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346E" w:rsidP="00400628" w14:paraId="6F1E0E10" w14:textId="50865B2F">
      <w:pPr>
        <w:jc w:val="center"/>
        <w:rPr>
          <w:b/>
          <w:bCs/>
          <w:color w:val="000000" w:themeColor="text1"/>
        </w:rPr>
      </w:pPr>
      <w:r w:rsidRPr="00400628">
        <w:rPr>
          <w:b/>
          <w:bCs/>
          <w:color w:val="000000" w:themeColor="text1"/>
        </w:rPr>
        <w:t>SUPPORTING STATEMENT FOR PAPERWORK REDUCTION ACT SUBMISSION</w:t>
      </w:r>
    </w:p>
    <w:p w:rsidR="00400628" w:rsidRPr="00400628" w:rsidP="00400628" w14:paraId="4F27F05D" w14:textId="4D64F869">
      <w:pPr>
        <w:jc w:val="center"/>
        <w:rPr>
          <w:b/>
          <w:bCs/>
          <w:color w:val="000000" w:themeColor="text1"/>
        </w:rPr>
      </w:pPr>
      <w:r>
        <w:rPr>
          <w:b/>
          <w:bCs/>
          <w:color w:val="000000" w:themeColor="text1"/>
        </w:rPr>
        <w:t>Perkins V State Plan</w:t>
      </w:r>
      <w:r w:rsidR="005D2AF0">
        <w:rPr>
          <w:b/>
          <w:bCs/>
          <w:color w:val="000000" w:themeColor="text1"/>
        </w:rPr>
        <w:t xml:space="preserve"> (OMB Control Number 1830-0029</w:t>
      </w:r>
      <w:r>
        <w:rPr>
          <w:b/>
          <w:bCs/>
          <w:color w:val="000000" w:themeColor="text1"/>
        </w:rPr>
        <w:t>)</w:t>
      </w:r>
    </w:p>
    <w:p w:rsidR="00400628" w:rsidRPr="00400628" w:rsidP="00400628" w14:paraId="2007C363" w14:textId="77777777">
      <w:pPr>
        <w:numPr>
          <w:ilvl w:val="0"/>
          <w:numId w:val="5"/>
        </w:numPr>
        <w:rPr>
          <w:b/>
          <w:bCs/>
          <w:color w:val="000000" w:themeColor="text1"/>
        </w:rPr>
      </w:pPr>
      <w:r w:rsidRPr="00400628">
        <w:rPr>
          <w:b/>
          <w:bCs/>
          <w:color w:val="000000" w:themeColor="text1"/>
        </w:rPr>
        <w:t xml:space="preserve">Justification </w:t>
      </w:r>
    </w:p>
    <w:p w:rsidR="00400628" w:rsidRPr="00400628" w:rsidP="00400628" w14:paraId="694CD7AB" w14:textId="77777777">
      <w:pPr>
        <w:numPr>
          <w:ilvl w:val="0"/>
          <w:numId w:val="6"/>
        </w:numPr>
        <w:rPr>
          <w:b/>
          <w:bCs/>
          <w:color w:val="000000" w:themeColor="text1"/>
        </w:rPr>
      </w:pPr>
      <w:r w:rsidRPr="00400628">
        <w:rPr>
          <w:b/>
          <w:bCs/>
          <w:color w:val="000000" w:themeColor="text1"/>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9B4421" w14:paraId="3A3D3F8E" w14:textId="538FA5EE">
      <w:pPr>
        <w:rPr>
          <w:color w:val="000000" w:themeColor="text1"/>
        </w:rPr>
      </w:pPr>
      <w:r w:rsidRPr="413D9AEF">
        <w:rPr>
          <w:color w:val="000000" w:themeColor="text1"/>
        </w:rPr>
        <w:t xml:space="preserve">This is a request to revise the information collection used by the U.S. Department of Education </w:t>
      </w:r>
      <w:r w:rsidRPr="413D9AEF" w:rsidR="00E547FB">
        <w:rPr>
          <w:color w:val="000000" w:themeColor="text1"/>
        </w:rPr>
        <w:t xml:space="preserve">(Department) </w:t>
      </w:r>
      <w:r w:rsidRPr="413D9AEF">
        <w:rPr>
          <w:color w:val="000000" w:themeColor="text1"/>
        </w:rPr>
        <w:t xml:space="preserve">to gather State plans from eligible agencies under the </w:t>
      </w:r>
      <w:hyperlink r:id="rId9">
        <w:r w:rsidRPr="413D9AEF">
          <w:rPr>
            <w:rStyle w:val="Hyperlink"/>
          </w:rPr>
          <w:t>Carl D. Perkins Career and Technical Education Act</w:t>
        </w:r>
        <w:r w:rsidRPr="413D9AEF" w:rsidR="00E547FB">
          <w:rPr>
            <w:rStyle w:val="Hyperlink"/>
          </w:rPr>
          <w:t xml:space="preserve"> of 2006 (</w:t>
        </w:r>
        <w:r w:rsidRPr="413D9AEF">
          <w:rPr>
            <w:rStyle w:val="Hyperlink"/>
          </w:rPr>
          <w:t>Perkins V)</w:t>
        </w:r>
      </w:hyperlink>
      <w:r w:rsidRPr="413D9AEF" w:rsidR="002F24C3">
        <w:rPr>
          <w:color w:val="000000" w:themeColor="text1"/>
        </w:rPr>
        <w:t xml:space="preserve"> </w:t>
      </w:r>
      <w:r w:rsidRPr="413D9AEF" w:rsidR="001A7908">
        <w:rPr>
          <w:color w:val="000000" w:themeColor="text1"/>
        </w:rPr>
        <w:t xml:space="preserve">(20 U.S.C. 2301 et seq.) </w:t>
      </w:r>
      <w:r w:rsidRPr="413D9AEF" w:rsidR="002F24C3">
        <w:rPr>
          <w:color w:val="000000" w:themeColor="text1"/>
        </w:rPr>
        <w:t>(State Plan Guide or Guide)</w:t>
      </w:r>
      <w:r w:rsidRPr="413D9AEF">
        <w:rPr>
          <w:color w:val="000000" w:themeColor="text1"/>
        </w:rPr>
        <w:t xml:space="preserve">. </w:t>
      </w:r>
      <w:r w:rsidRPr="413D9AEF">
        <w:rPr>
          <w:color w:val="000000" w:themeColor="text1"/>
        </w:rPr>
        <w:t xml:space="preserve">These </w:t>
      </w:r>
      <w:r w:rsidRPr="413D9AEF" w:rsidR="00E63482">
        <w:rPr>
          <w:color w:val="000000" w:themeColor="text1"/>
        </w:rPr>
        <w:t>revisions would</w:t>
      </w:r>
      <w:r w:rsidRPr="413D9AEF" w:rsidR="00456952">
        <w:rPr>
          <w:color w:val="000000" w:themeColor="text1"/>
        </w:rPr>
        <w:t>:</w:t>
      </w:r>
      <w:r w:rsidRPr="413D9AEF" w:rsidR="00DD0E20">
        <w:rPr>
          <w:color w:val="000000" w:themeColor="text1"/>
        </w:rPr>
        <w:t xml:space="preserve"> specify the </w:t>
      </w:r>
      <w:r w:rsidRPr="413D9AEF" w:rsidR="006F68FC">
        <w:rPr>
          <w:color w:val="000000" w:themeColor="text1"/>
        </w:rPr>
        <w:t xml:space="preserve">numerators and denominators </w:t>
      </w:r>
      <w:r w:rsidRPr="413D9AEF" w:rsidR="00037816">
        <w:rPr>
          <w:color w:val="000000" w:themeColor="text1"/>
        </w:rPr>
        <w:t>for</w:t>
      </w:r>
      <w:r w:rsidRPr="413D9AEF" w:rsidR="00590767">
        <w:rPr>
          <w:color w:val="000000" w:themeColor="text1"/>
        </w:rPr>
        <w:t xml:space="preserve"> the </w:t>
      </w:r>
      <w:r w:rsidRPr="413D9AEF" w:rsidR="00037816">
        <w:rPr>
          <w:color w:val="000000" w:themeColor="text1"/>
        </w:rPr>
        <w:t xml:space="preserve">core indicators of </w:t>
      </w:r>
      <w:r w:rsidRPr="413D9AEF" w:rsidR="00590767">
        <w:rPr>
          <w:color w:val="000000" w:themeColor="text1"/>
        </w:rPr>
        <w:t xml:space="preserve">performance. </w:t>
      </w:r>
    </w:p>
    <w:p w:rsidR="00D50E51" w14:paraId="2E493B04" w14:textId="60AB8743">
      <w:pPr>
        <w:rPr>
          <w:color w:val="000000" w:themeColor="text1"/>
        </w:rPr>
      </w:pPr>
      <w:r w:rsidRPr="008B5884">
        <w:rPr>
          <w:color w:val="000000" w:themeColor="text1"/>
        </w:rPr>
        <w:t xml:space="preserve">State plans consist of narrative information, budgets, and performance levels pursuant to </w:t>
      </w:r>
      <w:r w:rsidR="00E547FB">
        <w:rPr>
          <w:color w:val="000000" w:themeColor="text1"/>
        </w:rPr>
        <w:t>Perkins V</w:t>
      </w:r>
      <w:r w:rsidRPr="4A915E72" w:rsidR="00033B43">
        <w:rPr>
          <w:color w:val="000000" w:themeColor="text1"/>
        </w:rPr>
        <w:t xml:space="preserve"> (in particular</w:t>
      </w:r>
      <w:r w:rsidR="00D571BA">
        <w:rPr>
          <w:color w:val="000000" w:themeColor="text1"/>
        </w:rPr>
        <w:t>,</w:t>
      </w:r>
      <w:r w:rsidRPr="4A915E72" w:rsidR="00033B43">
        <w:rPr>
          <w:color w:val="000000" w:themeColor="text1"/>
        </w:rPr>
        <w:t xml:space="preserve"> sections 113 and 122)</w:t>
      </w:r>
      <w:r w:rsidRPr="16BD3605" w:rsidR="16CB80E6">
        <w:rPr>
          <w:color w:val="000000" w:themeColor="text1"/>
        </w:rPr>
        <w:t>,</w:t>
      </w:r>
      <w:r w:rsidRPr="008B5884">
        <w:rPr>
          <w:color w:val="000000" w:themeColor="text1"/>
        </w:rPr>
        <w:t xml:space="preserve"> applicable Federal regulations pursuant to the Uniform Guidance (2 CFR 200</w:t>
      </w:r>
      <w:r w:rsidRPr="4DCBF589">
        <w:rPr>
          <w:color w:val="000000" w:themeColor="text1"/>
        </w:rPr>
        <w:t>)</w:t>
      </w:r>
      <w:r w:rsidRPr="4DCBF589" w:rsidR="49BEFD02">
        <w:rPr>
          <w:color w:val="000000" w:themeColor="text1"/>
        </w:rPr>
        <w:t>,</w:t>
      </w:r>
      <w:r w:rsidRPr="008B5884">
        <w:rPr>
          <w:color w:val="000000" w:themeColor="text1"/>
        </w:rPr>
        <w:t xml:space="preserve"> and Education Department General Administrative Regulations (</w:t>
      </w:r>
      <w:r w:rsidRPr="4A915E72" w:rsidR="0032518A">
        <w:rPr>
          <w:color w:val="000000" w:themeColor="text1"/>
        </w:rPr>
        <w:t>34</w:t>
      </w:r>
      <w:r w:rsidRPr="008B5884">
        <w:rPr>
          <w:color w:val="000000" w:themeColor="text1"/>
        </w:rPr>
        <w:t xml:space="preserve"> CFR 76).  Eligible agencies are the State boards, or sole State agencies, responsible for career and technical education in the 50 States, the District of Columbia, Puerto Rico, and the outlying areas of the United States Virgin Islands, Guam, American Samoa, the Commonwealth of the Northern Marianas Islands, and the Republic of Palau.   </w:t>
      </w:r>
    </w:p>
    <w:p w:rsidR="00D2307C" w:rsidRPr="00DF371F" w14:paraId="69E466F3" w14:textId="3AE0CD06">
      <w:pPr>
        <w:rPr>
          <w:color w:val="000000" w:themeColor="text1"/>
        </w:rPr>
      </w:pPr>
      <w:r w:rsidRPr="00DF371F">
        <w:rPr>
          <w:color w:val="000000" w:themeColor="text1"/>
        </w:rPr>
        <w:t xml:space="preserve">A central part of </w:t>
      </w:r>
      <w:r w:rsidR="00E547FB">
        <w:rPr>
          <w:color w:val="000000" w:themeColor="text1"/>
        </w:rPr>
        <w:t xml:space="preserve">Perkins V </w:t>
      </w:r>
      <w:r w:rsidRPr="00DF371F">
        <w:rPr>
          <w:color w:val="000000" w:themeColor="text1"/>
        </w:rPr>
        <w:t>is an accountability system</w:t>
      </w:r>
      <w:r w:rsidRPr="00DF371F" w:rsidR="002C7ABE">
        <w:rPr>
          <w:color w:val="000000" w:themeColor="text1"/>
        </w:rPr>
        <w:t xml:space="preserve"> </w:t>
      </w:r>
      <w:r w:rsidRPr="00DF371F">
        <w:rPr>
          <w:color w:val="000000" w:themeColor="text1"/>
        </w:rPr>
        <w:t>that measures and hold</w:t>
      </w:r>
      <w:r w:rsidR="00A9488A">
        <w:rPr>
          <w:color w:val="000000" w:themeColor="text1"/>
        </w:rPr>
        <w:t>s</w:t>
      </w:r>
      <w:r w:rsidRPr="00DF371F">
        <w:rPr>
          <w:color w:val="000000" w:themeColor="text1"/>
        </w:rPr>
        <w:t xml:space="preserve"> States and subrecipients responsible for the outcomes of CTE concentrators using “core indicators of performance”</w:t>
      </w:r>
      <w:r w:rsidRPr="00DF371F" w:rsidR="002C7ABE">
        <w:rPr>
          <w:color w:val="000000" w:themeColor="text1"/>
        </w:rPr>
        <w:t xml:space="preserve"> that are described in </w:t>
      </w:r>
      <w:r w:rsidR="003E2F88">
        <w:rPr>
          <w:color w:val="000000" w:themeColor="text1"/>
        </w:rPr>
        <w:t>section 113 of the</w:t>
      </w:r>
      <w:r w:rsidRPr="00DF371F" w:rsidR="002C7ABE">
        <w:rPr>
          <w:color w:val="000000" w:themeColor="text1"/>
        </w:rPr>
        <w:t xml:space="preserve"> statute. </w:t>
      </w:r>
      <w:r w:rsidRPr="00DF371F">
        <w:rPr>
          <w:color w:val="000000" w:themeColor="text1"/>
        </w:rPr>
        <w:t xml:space="preserve"> </w:t>
      </w:r>
      <w:r w:rsidRPr="00DF371F">
        <w:rPr>
          <w:color w:val="000000" w:themeColor="text1"/>
        </w:rPr>
        <w:t xml:space="preserve">Each </w:t>
      </w:r>
      <w:r w:rsidRPr="00DF371F" w:rsidR="002C7ABE">
        <w:rPr>
          <w:color w:val="000000" w:themeColor="text1"/>
        </w:rPr>
        <w:t xml:space="preserve">State </w:t>
      </w:r>
      <w:r w:rsidR="0020500E">
        <w:rPr>
          <w:color w:val="000000" w:themeColor="text1"/>
        </w:rPr>
        <w:t>esta</w:t>
      </w:r>
      <w:r w:rsidR="004B08B2">
        <w:rPr>
          <w:color w:val="000000" w:themeColor="text1"/>
        </w:rPr>
        <w:t>blishes</w:t>
      </w:r>
      <w:r w:rsidRPr="00DF371F" w:rsidR="002C7ABE">
        <w:rPr>
          <w:color w:val="000000" w:themeColor="text1"/>
        </w:rPr>
        <w:t xml:space="preserve"> annual State </w:t>
      </w:r>
      <w:r w:rsidR="007776AD">
        <w:rPr>
          <w:color w:val="000000" w:themeColor="text1"/>
        </w:rPr>
        <w:t xml:space="preserve">determined </w:t>
      </w:r>
      <w:r w:rsidRPr="00DF371F" w:rsidR="002C7ABE">
        <w:rPr>
          <w:color w:val="000000" w:themeColor="text1"/>
        </w:rPr>
        <w:t xml:space="preserve">performance levels </w:t>
      </w:r>
      <w:r w:rsidR="007776AD">
        <w:rPr>
          <w:color w:val="000000" w:themeColor="text1"/>
        </w:rPr>
        <w:t xml:space="preserve">(SDPLs) </w:t>
      </w:r>
      <w:r w:rsidRPr="00DF371F" w:rsidR="00C678EF">
        <w:rPr>
          <w:color w:val="000000" w:themeColor="text1"/>
        </w:rPr>
        <w:t xml:space="preserve">that </w:t>
      </w:r>
      <w:r w:rsidRPr="00DF371F">
        <w:rPr>
          <w:color w:val="000000" w:themeColor="text1"/>
        </w:rPr>
        <w:t>it sets out in its State plan and then agrees upon l</w:t>
      </w:r>
      <w:r w:rsidRPr="00DF371F" w:rsidR="002C7ABE">
        <w:rPr>
          <w:color w:val="000000" w:themeColor="text1"/>
        </w:rPr>
        <w:t xml:space="preserve">ocal levels of performance </w:t>
      </w:r>
      <w:r w:rsidRPr="00DF371F">
        <w:rPr>
          <w:color w:val="000000" w:themeColor="text1"/>
        </w:rPr>
        <w:t xml:space="preserve">with </w:t>
      </w:r>
      <w:r w:rsidRPr="00DF371F" w:rsidR="002C7ABE">
        <w:rPr>
          <w:color w:val="000000" w:themeColor="text1"/>
        </w:rPr>
        <w:t>subrecipients</w:t>
      </w:r>
      <w:r w:rsidRPr="00DF371F">
        <w:rPr>
          <w:color w:val="000000" w:themeColor="text1"/>
        </w:rPr>
        <w:t xml:space="preserve">.  </w:t>
      </w:r>
      <w:r w:rsidR="007776AD">
        <w:rPr>
          <w:color w:val="000000" w:themeColor="text1"/>
        </w:rPr>
        <w:t>Following Perkins reauthorization, w</w:t>
      </w:r>
      <w:r w:rsidRPr="00DF371F">
        <w:rPr>
          <w:color w:val="000000" w:themeColor="text1"/>
        </w:rPr>
        <w:t>hen the</w:t>
      </w:r>
      <w:r w:rsidR="00E547FB">
        <w:rPr>
          <w:color w:val="000000" w:themeColor="text1"/>
        </w:rPr>
        <w:t xml:space="preserve"> </w:t>
      </w:r>
      <w:r w:rsidRPr="00DF371F" w:rsidR="004F4288">
        <w:rPr>
          <w:color w:val="000000" w:themeColor="text1"/>
        </w:rPr>
        <w:t xml:space="preserve">Department </w:t>
      </w:r>
      <w:r w:rsidRPr="00DF371F">
        <w:rPr>
          <w:color w:val="000000" w:themeColor="text1"/>
        </w:rPr>
        <w:t>first solicited new State plans in 2019 with this information collection request, it neither specified numerators and denominators for the core indicators nor asked States to specify them in their State plans</w:t>
      </w:r>
      <w:r w:rsidR="00D85F12">
        <w:rPr>
          <w:color w:val="000000" w:themeColor="text1"/>
        </w:rPr>
        <w:t>, with the exception of the secondary program quality indicators</w:t>
      </w:r>
      <w:r w:rsidRPr="00DF371F">
        <w:rPr>
          <w:color w:val="000000" w:themeColor="text1"/>
        </w:rPr>
        <w:t>.  The Department instead retrospectively collect</w:t>
      </w:r>
      <w:r w:rsidRPr="00DF371F" w:rsidR="000A3191">
        <w:rPr>
          <w:color w:val="000000" w:themeColor="text1"/>
        </w:rPr>
        <w:t>ed</w:t>
      </w:r>
      <w:r w:rsidRPr="00DF371F">
        <w:rPr>
          <w:color w:val="000000" w:themeColor="text1"/>
        </w:rPr>
        <w:t xml:space="preserve"> </w:t>
      </w:r>
      <w:r w:rsidRPr="00DF371F" w:rsidR="004F4288">
        <w:rPr>
          <w:color w:val="000000" w:themeColor="text1"/>
        </w:rPr>
        <w:t xml:space="preserve">the numerators and denominators used by the States in the </w:t>
      </w:r>
      <w:r w:rsidR="00606B79">
        <w:rPr>
          <w:color w:val="000000" w:themeColor="text1"/>
        </w:rPr>
        <w:t>Consolidated Annual Report (CAR)</w:t>
      </w:r>
      <w:r w:rsidRPr="00DF371F" w:rsidR="004F4288">
        <w:rPr>
          <w:color w:val="000000" w:themeColor="text1"/>
        </w:rPr>
        <w:t xml:space="preserve"> information collection request (ICR) (OMB number 1830-0</w:t>
      </w:r>
      <w:r w:rsidR="00E547FB">
        <w:rPr>
          <w:color w:val="000000" w:themeColor="text1"/>
        </w:rPr>
        <w:t>569</w:t>
      </w:r>
      <w:r w:rsidRPr="00DF371F" w:rsidR="004F4288">
        <w:rPr>
          <w:color w:val="000000" w:themeColor="text1"/>
        </w:rPr>
        <w:t xml:space="preserve">) to report their actual levels of performance, financial data, and other information about their performance and uses of grant funds. </w:t>
      </w:r>
    </w:p>
    <w:p w:rsidR="00893611" w14:paraId="2256BBAE" w14:textId="75F2648B">
      <w:pPr>
        <w:rPr>
          <w:color w:val="000000" w:themeColor="text1"/>
        </w:rPr>
      </w:pPr>
      <w:r w:rsidRPr="00DF371F">
        <w:rPr>
          <w:color w:val="000000" w:themeColor="text1"/>
        </w:rPr>
        <w:t xml:space="preserve">After closely reviewing the numerators and denominators used by States to measure performance, the Department is now </w:t>
      </w:r>
      <w:r w:rsidR="00081974">
        <w:rPr>
          <w:color w:val="000000" w:themeColor="text1"/>
        </w:rPr>
        <w:t xml:space="preserve">proposing </w:t>
      </w:r>
      <w:r w:rsidR="00A932BC">
        <w:rPr>
          <w:color w:val="000000" w:themeColor="text1"/>
        </w:rPr>
        <w:t xml:space="preserve">revisions to the </w:t>
      </w:r>
      <w:r w:rsidR="006802E8">
        <w:rPr>
          <w:color w:val="000000" w:themeColor="text1"/>
        </w:rPr>
        <w:t>State Plan Guide</w:t>
      </w:r>
      <w:r w:rsidR="00135542">
        <w:rPr>
          <w:color w:val="000000" w:themeColor="text1"/>
        </w:rPr>
        <w:t xml:space="preserve"> and CAR</w:t>
      </w:r>
      <w:r w:rsidR="007776AD">
        <w:rPr>
          <w:color w:val="000000" w:themeColor="text1"/>
        </w:rPr>
        <w:t xml:space="preserve"> </w:t>
      </w:r>
      <w:r w:rsidRPr="6C8D417F" w:rsidR="006802E8">
        <w:rPr>
          <w:color w:val="000000" w:themeColor="text1"/>
        </w:rPr>
        <w:t>that</w:t>
      </w:r>
      <w:r w:rsidR="006802E8">
        <w:rPr>
          <w:color w:val="000000" w:themeColor="text1"/>
        </w:rPr>
        <w:t xml:space="preserve"> describe</w:t>
      </w:r>
      <w:r w:rsidR="007776AD">
        <w:rPr>
          <w:color w:val="000000" w:themeColor="text1"/>
        </w:rPr>
        <w:t xml:space="preserve"> the numerator</w:t>
      </w:r>
      <w:r w:rsidR="00816A45">
        <w:rPr>
          <w:color w:val="000000" w:themeColor="text1"/>
        </w:rPr>
        <w:t>s</w:t>
      </w:r>
      <w:r w:rsidR="007776AD">
        <w:rPr>
          <w:color w:val="000000" w:themeColor="text1"/>
        </w:rPr>
        <w:t xml:space="preserve"> and denominators for </w:t>
      </w:r>
      <w:r w:rsidR="00816A45">
        <w:rPr>
          <w:color w:val="000000" w:themeColor="text1"/>
        </w:rPr>
        <w:t xml:space="preserve">each of </w:t>
      </w:r>
      <w:r w:rsidR="007776AD">
        <w:rPr>
          <w:color w:val="000000" w:themeColor="text1"/>
        </w:rPr>
        <w:t xml:space="preserve">the statutorily required </w:t>
      </w:r>
      <w:r w:rsidRPr="561E2FC3" w:rsidR="7B889488">
        <w:rPr>
          <w:color w:val="000000" w:themeColor="text1"/>
        </w:rPr>
        <w:t>core indicators</w:t>
      </w:r>
      <w:r w:rsidR="007776AD">
        <w:rPr>
          <w:color w:val="000000" w:themeColor="text1"/>
        </w:rPr>
        <w:t xml:space="preserve"> in both</w:t>
      </w:r>
      <w:r w:rsidRPr="00DF371F">
        <w:rPr>
          <w:color w:val="000000" w:themeColor="text1"/>
        </w:rPr>
        <w:t xml:space="preserve"> the State </w:t>
      </w:r>
      <w:r w:rsidR="006802E8">
        <w:rPr>
          <w:color w:val="000000" w:themeColor="text1"/>
        </w:rPr>
        <w:t>P</w:t>
      </w:r>
      <w:r w:rsidRPr="00DF371F">
        <w:rPr>
          <w:color w:val="000000" w:themeColor="text1"/>
        </w:rPr>
        <w:t xml:space="preserve">lan </w:t>
      </w:r>
      <w:r w:rsidR="006802E8">
        <w:rPr>
          <w:color w:val="000000" w:themeColor="text1"/>
        </w:rPr>
        <w:t xml:space="preserve">Guide </w:t>
      </w:r>
      <w:r w:rsidRPr="00DF371F">
        <w:rPr>
          <w:color w:val="000000" w:themeColor="text1"/>
        </w:rPr>
        <w:t xml:space="preserve">ICR </w:t>
      </w:r>
      <w:r w:rsidR="00EA12EA">
        <w:rPr>
          <w:color w:val="000000" w:themeColor="text1"/>
        </w:rPr>
        <w:t>and CAR ICR</w:t>
      </w:r>
      <w:r w:rsidR="00816A45">
        <w:rPr>
          <w:color w:val="000000" w:themeColor="text1"/>
        </w:rPr>
        <w:t xml:space="preserve">. </w:t>
      </w:r>
      <w:r w:rsidR="00D05494">
        <w:rPr>
          <w:rFonts w:eastAsiaTheme="minorEastAsia"/>
          <w:color w:val="000000" w:themeColor="text1"/>
        </w:rPr>
        <w:t>Because the prior information collections did not specify numerators and denominators that all States must use when reporting, it is not clear that States</w:t>
      </w:r>
      <w:r w:rsidRPr="009C1FF6" w:rsidR="00D05494">
        <w:rPr>
          <w:rFonts w:eastAsiaTheme="minorEastAsia"/>
          <w:color w:val="000000" w:themeColor="text1"/>
        </w:rPr>
        <w:t xml:space="preserve"> are </w:t>
      </w:r>
      <w:r w:rsidR="00D05494">
        <w:rPr>
          <w:rFonts w:eastAsiaTheme="minorEastAsia"/>
          <w:color w:val="000000" w:themeColor="text1"/>
        </w:rPr>
        <w:t xml:space="preserve">including all </w:t>
      </w:r>
      <w:r w:rsidRPr="000868E8" w:rsidR="00D05494">
        <w:rPr>
          <w:rFonts w:eastAsiaTheme="minorEastAsia"/>
          <w:i/>
          <w:color w:val="000000" w:themeColor="text1"/>
        </w:rPr>
        <w:t>applicable</w:t>
      </w:r>
      <w:r w:rsidR="00D05494">
        <w:rPr>
          <w:rFonts w:eastAsiaTheme="minorEastAsia"/>
          <w:color w:val="000000" w:themeColor="text1"/>
        </w:rPr>
        <w:t xml:space="preserve"> students required under the law when</w:t>
      </w:r>
      <w:r w:rsidRPr="009C1FF6" w:rsidR="00D05494">
        <w:rPr>
          <w:rFonts w:eastAsiaTheme="minorEastAsia"/>
          <w:color w:val="000000" w:themeColor="text1"/>
        </w:rPr>
        <w:t xml:space="preserve"> </w:t>
      </w:r>
      <w:r w:rsidR="00D05494">
        <w:rPr>
          <w:rFonts w:eastAsiaTheme="minorEastAsia"/>
          <w:color w:val="000000" w:themeColor="text1"/>
        </w:rPr>
        <w:t xml:space="preserve">reporting </w:t>
      </w:r>
      <w:r w:rsidRPr="009C1FF6" w:rsidR="00D05494">
        <w:rPr>
          <w:rFonts w:eastAsiaTheme="minorEastAsia"/>
          <w:color w:val="000000" w:themeColor="text1"/>
        </w:rPr>
        <w:t xml:space="preserve">certain performance indicators. </w:t>
      </w:r>
      <w:r w:rsidRPr="274D5269" w:rsidR="00D05494">
        <w:rPr>
          <w:rFonts w:eastAsiaTheme="minorEastAsia"/>
          <w:color w:val="000000" w:themeColor="text1"/>
        </w:rPr>
        <w:t>In other cases, State numerator and denominator descriptions</w:t>
      </w:r>
      <w:r w:rsidR="00D05494">
        <w:rPr>
          <w:rFonts w:eastAsiaTheme="minorEastAsia"/>
          <w:color w:val="000000" w:themeColor="text1"/>
        </w:rPr>
        <w:t xml:space="preserve"> previously provided by States</w:t>
      </w:r>
      <w:r w:rsidRPr="274D5269" w:rsidR="00D05494">
        <w:rPr>
          <w:rFonts w:eastAsiaTheme="minorEastAsia"/>
          <w:color w:val="000000" w:themeColor="text1"/>
        </w:rPr>
        <w:t xml:space="preserve"> are unclear, making it difficult </w:t>
      </w:r>
      <w:r w:rsidR="00D05494">
        <w:rPr>
          <w:rFonts w:eastAsiaTheme="minorEastAsia"/>
          <w:color w:val="000000" w:themeColor="text1"/>
        </w:rPr>
        <w:t xml:space="preserve">for the </w:t>
      </w:r>
      <w:r w:rsidR="00D05494">
        <w:rPr>
          <w:rFonts w:eastAsiaTheme="minorEastAsia"/>
          <w:color w:val="000000" w:themeColor="text1"/>
        </w:rPr>
        <w:t>Department</w:t>
      </w:r>
      <w:r w:rsidRPr="274D5269" w:rsidR="00D05494">
        <w:rPr>
          <w:rFonts w:eastAsiaTheme="minorEastAsia"/>
          <w:color w:val="000000" w:themeColor="text1"/>
        </w:rPr>
        <w:t xml:space="preserve"> to </w:t>
      </w:r>
      <w:r w:rsidR="00D05494">
        <w:rPr>
          <w:rFonts w:eastAsiaTheme="minorEastAsia"/>
          <w:color w:val="000000" w:themeColor="text1"/>
        </w:rPr>
        <w:t xml:space="preserve">determine </w:t>
      </w:r>
      <w:r w:rsidRPr="274D5269" w:rsidR="00D05494">
        <w:rPr>
          <w:rFonts w:eastAsiaTheme="minorEastAsia"/>
          <w:color w:val="000000" w:themeColor="text1"/>
        </w:rPr>
        <w:t xml:space="preserve">whether </w:t>
      </w:r>
      <w:r w:rsidR="00D05494">
        <w:rPr>
          <w:rFonts w:eastAsiaTheme="minorEastAsia"/>
          <w:color w:val="000000" w:themeColor="text1"/>
        </w:rPr>
        <w:t>States</w:t>
      </w:r>
      <w:r w:rsidRPr="274D5269" w:rsidR="00D05494">
        <w:rPr>
          <w:rFonts w:eastAsiaTheme="minorEastAsia"/>
          <w:color w:val="000000" w:themeColor="text1"/>
        </w:rPr>
        <w:t xml:space="preserve"> are measuring what the law requires. </w:t>
      </w:r>
      <w:r w:rsidR="00816A45">
        <w:rPr>
          <w:color w:val="000000" w:themeColor="text1"/>
        </w:rPr>
        <w:t xml:space="preserve"> Specific to the State Plan ICR</w:t>
      </w:r>
      <w:r w:rsidR="00A22E3D">
        <w:rPr>
          <w:color w:val="000000" w:themeColor="text1"/>
        </w:rPr>
        <w:t>,</w:t>
      </w:r>
      <w:r w:rsidR="00816A45">
        <w:rPr>
          <w:color w:val="000000" w:themeColor="text1"/>
        </w:rPr>
        <w:t xml:space="preserve"> these </w:t>
      </w:r>
      <w:r w:rsidRPr="00DF371F">
        <w:rPr>
          <w:color w:val="000000" w:themeColor="text1"/>
        </w:rPr>
        <w:t xml:space="preserve">numerators and denominators </w:t>
      </w:r>
      <w:r w:rsidR="00816A45">
        <w:rPr>
          <w:color w:val="000000" w:themeColor="text1"/>
        </w:rPr>
        <w:t>w</w:t>
      </w:r>
      <w:r w:rsidR="005656B1">
        <w:rPr>
          <w:color w:val="000000" w:themeColor="text1"/>
        </w:rPr>
        <w:t>ould</w:t>
      </w:r>
      <w:r w:rsidR="00816A45">
        <w:rPr>
          <w:color w:val="000000" w:themeColor="text1"/>
        </w:rPr>
        <w:t xml:space="preserve"> provide clarity to </w:t>
      </w:r>
      <w:r w:rsidRPr="00DF371F">
        <w:rPr>
          <w:color w:val="000000" w:themeColor="text1"/>
        </w:rPr>
        <w:t>States in determining their annual performance levels</w:t>
      </w:r>
      <w:r w:rsidR="004756C7">
        <w:rPr>
          <w:color w:val="000000" w:themeColor="text1"/>
        </w:rPr>
        <w:t xml:space="preserve"> by clarifying exactly what</w:t>
      </w:r>
      <w:r w:rsidR="008D60B9">
        <w:rPr>
          <w:color w:val="000000" w:themeColor="text1"/>
        </w:rPr>
        <w:t xml:space="preserve"> performance</w:t>
      </w:r>
      <w:r w:rsidR="004756C7">
        <w:rPr>
          <w:color w:val="000000" w:themeColor="text1"/>
        </w:rPr>
        <w:t xml:space="preserve"> data the Department </w:t>
      </w:r>
      <w:r w:rsidR="001C78A0">
        <w:rPr>
          <w:color w:val="000000" w:themeColor="text1"/>
        </w:rPr>
        <w:t xml:space="preserve">would </w:t>
      </w:r>
      <w:r w:rsidR="004756C7">
        <w:rPr>
          <w:color w:val="000000" w:themeColor="text1"/>
        </w:rPr>
        <w:t>collect</w:t>
      </w:r>
      <w:r w:rsidR="00B451F9">
        <w:rPr>
          <w:color w:val="000000" w:themeColor="text1"/>
        </w:rPr>
        <w:t xml:space="preserve"> for the numerator and denominators in the CAR ICR</w:t>
      </w:r>
      <w:r w:rsidRPr="00DF371F" w:rsidR="00F46086">
        <w:rPr>
          <w:color w:val="000000" w:themeColor="text1"/>
        </w:rPr>
        <w:t xml:space="preserve">.  </w:t>
      </w:r>
    </w:p>
    <w:p w:rsidR="000E036E" w:rsidRPr="00DF371F" w14:paraId="3B727C2A" w14:textId="78C78112">
      <w:pPr>
        <w:rPr>
          <w:color w:val="000000" w:themeColor="text1"/>
        </w:rPr>
      </w:pPr>
      <w:r>
        <w:rPr>
          <w:color w:val="000000" w:themeColor="text1"/>
        </w:rPr>
        <w:t xml:space="preserve">States </w:t>
      </w:r>
      <w:r w:rsidRPr="111F6AFA" w:rsidR="04A38726">
        <w:rPr>
          <w:color w:val="000000" w:themeColor="text1"/>
        </w:rPr>
        <w:t xml:space="preserve">continue to be </w:t>
      </w:r>
      <w:r>
        <w:rPr>
          <w:color w:val="000000" w:themeColor="text1"/>
        </w:rPr>
        <w:t xml:space="preserve">solely </w:t>
      </w:r>
      <w:r w:rsidRPr="111F6AFA" w:rsidR="46026929">
        <w:rPr>
          <w:color w:val="000000" w:themeColor="text1"/>
        </w:rPr>
        <w:t xml:space="preserve">responsible for </w:t>
      </w:r>
      <w:r w:rsidRPr="111F6AFA" w:rsidR="009E67B1">
        <w:rPr>
          <w:color w:val="000000" w:themeColor="text1"/>
        </w:rPr>
        <w:t>estab</w:t>
      </w:r>
      <w:r w:rsidRPr="111F6AFA" w:rsidR="00DE3038">
        <w:rPr>
          <w:color w:val="000000" w:themeColor="text1"/>
        </w:rPr>
        <w:t>lish</w:t>
      </w:r>
      <w:r w:rsidRPr="111F6AFA" w:rsidR="6EEE0C3D">
        <w:rPr>
          <w:color w:val="000000" w:themeColor="text1"/>
        </w:rPr>
        <w:t>ment of</w:t>
      </w:r>
      <w:r w:rsidR="00DE3038">
        <w:rPr>
          <w:color w:val="000000" w:themeColor="text1"/>
        </w:rPr>
        <w:t xml:space="preserve"> their </w:t>
      </w:r>
      <w:r w:rsidRPr="561E2FC3" w:rsidR="7C6D89CF">
        <w:rPr>
          <w:color w:val="000000" w:themeColor="text1"/>
        </w:rPr>
        <w:t>SDPL</w:t>
      </w:r>
      <w:r w:rsidRPr="561E2FC3" w:rsidR="009E67B1">
        <w:rPr>
          <w:color w:val="000000" w:themeColor="text1"/>
        </w:rPr>
        <w:t>s</w:t>
      </w:r>
      <w:r w:rsidR="009E67B1">
        <w:rPr>
          <w:color w:val="000000" w:themeColor="text1"/>
        </w:rPr>
        <w:t xml:space="preserve"> and no</w:t>
      </w:r>
      <w:r w:rsidRPr="009E67B1" w:rsidR="009E67B1">
        <w:rPr>
          <w:color w:val="000000" w:themeColor="text1"/>
        </w:rPr>
        <w:t xml:space="preserve">thing in this proposed ICR impacts States' ability to set their </w:t>
      </w:r>
      <w:r w:rsidRPr="561E2FC3" w:rsidR="6552D8EE">
        <w:rPr>
          <w:color w:val="000000" w:themeColor="text1"/>
        </w:rPr>
        <w:t>SDPL</w:t>
      </w:r>
      <w:r w:rsidRPr="561E2FC3" w:rsidR="009E67B1">
        <w:rPr>
          <w:color w:val="000000" w:themeColor="text1"/>
        </w:rPr>
        <w:t>s</w:t>
      </w:r>
      <w:r w:rsidRPr="009E67B1" w:rsidR="009E67B1">
        <w:rPr>
          <w:color w:val="000000" w:themeColor="text1"/>
        </w:rPr>
        <w:t xml:space="preserve"> at the numerical values of their choice.</w:t>
      </w:r>
      <w:r>
        <w:rPr>
          <w:color w:val="000000" w:themeColor="text1"/>
        </w:rPr>
        <w:t xml:space="preserve"> </w:t>
      </w:r>
      <w:r w:rsidR="00CC15F3">
        <w:rPr>
          <w:color w:val="000000" w:themeColor="text1"/>
        </w:rPr>
        <w:t xml:space="preserve"> </w:t>
      </w:r>
      <w:r w:rsidRPr="00DF371F" w:rsidR="00F46086">
        <w:rPr>
          <w:color w:val="000000" w:themeColor="text1"/>
        </w:rPr>
        <w:t xml:space="preserve">We are </w:t>
      </w:r>
      <w:r w:rsidR="0068082D">
        <w:rPr>
          <w:color w:val="000000" w:themeColor="text1"/>
        </w:rPr>
        <w:t>describing</w:t>
      </w:r>
      <w:r w:rsidR="00A22E3D">
        <w:rPr>
          <w:color w:val="000000" w:themeColor="text1"/>
        </w:rPr>
        <w:t xml:space="preserve"> </w:t>
      </w:r>
      <w:r w:rsidRPr="00DF371F" w:rsidR="00F46086">
        <w:rPr>
          <w:color w:val="000000" w:themeColor="text1"/>
        </w:rPr>
        <w:t xml:space="preserve">the </w:t>
      </w:r>
      <w:r w:rsidR="001603B3">
        <w:rPr>
          <w:color w:val="000000" w:themeColor="text1"/>
        </w:rPr>
        <w:t xml:space="preserve">data to be </w:t>
      </w:r>
      <w:r w:rsidR="00847A43">
        <w:rPr>
          <w:color w:val="000000" w:themeColor="text1"/>
        </w:rPr>
        <w:t xml:space="preserve">collected </w:t>
      </w:r>
      <w:r w:rsidR="001603B3">
        <w:rPr>
          <w:color w:val="000000" w:themeColor="text1"/>
        </w:rPr>
        <w:t xml:space="preserve">in the </w:t>
      </w:r>
      <w:r w:rsidRPr="00DF371F" w:rsidR="00F46086">
        <w:rPr>
          <w:color w:val="000000" w:themeColor="text1"/>
        </w:rPr>
        <w:t xml:space="preserve">numerators and denominators for States </w:t>
      </w:r>
      <w:r w:rsidRPr="00DF371F" w:rsidR="00DB70DD">
        <w:rPr>
          <w:color w:val="000000" w:themeColor="text1"/>
        </w:rPr>
        <w:t xml:space="preserve">to </w:t>
      </w:r>
      <w:r w:rsidRPr="00DF371F" w:rsidR="000A3191">
        <w:rPr>
          <w:color w:val="000000" w:themeColor="text1"/>
        </w:rPr>
        <w:t xml:space="preserve">advance </w:t>
      </w:r>
      <w:r w:rsidRPr="00DF371F" w:rsidR="00DB70DD">
        <w:rPr>
          <w:color w:val="000000" w:themeColor="text1"/>
        </w:rPr>
        <w:t xml:space="preserve">several goals: (1) </w:t>
      </w:r>
      <w:r w:rsidRPr="00410FD7" w:rsidR="00410FD7">
        <w:rPr>
          <w:color w:val="000000" w:themeColor="text1"/>
        </w:rPr>
        <w:t>ensure that States measure the indicators in a manner that is consistent with the statute</w:t>
      </w:r>
      <w:r w:rsidRPr="00DF371F" w:rsidR="00DB70DD">
        <w:rPr>
          <w:color w:val="000000" w:themeColor="text1"/>
        </w:rPr>
        <w:t xml:space="preserve">; </w:t>
      </w:r>
      <w:r w:rsidRPr="00DF371F" w:rsidR="00A335F3">
        <w:rPr>
          <w:color w:val="000000" w:themeColor="text1"/>
        </w:rPr>
        <w:t>(2)</w:t>
      </w:r>
      <w:r w:rsidR="00776DC9">
        <w:rPr>
          <w:color w:val="000000" w:themeColor="text1"/>
        </w:rPr>
        <w:t xml:space="preserve"> </w:t>
      </w:r>
      <w:r w:rsidR="000B22A9">
        <w:rPr>
          <w:color w:val="000000" w:themeColor="text1"/>
        </w:rPr>
        <w:t xml:space="preserve">reduce </w:t>
      </w:r>
      <w:r w:rsidRPr="00DF371F" w:rsidR="00A335F3">
        <w:rPr>
          <w:color w:val="000000" w:themeColor="text1"/>
        </w:rPr>
        <w:t>the collection of</w:t>
      </w:r>
      <w:r w:rsidR="00644415">
        <w:rPr>
          <w:color w:val="000000" w:themeColor="text1"/>
        </w:rPr>
        <w:t xml:space="preserve"> potentially</w:t>
      </w:r>
      <w:r w:rsidRPr="00DF371F" w:rsidR="00A335F3">
        <w:rPr>
          <w:color w:val="000000" w:themeColor="text1"/>
        </w:rPr>
        <w:t xml:space="preserve"> duplicative information consistent with section </w:t>
      </w:r>
      <w:r w:rsidRPr="00DF371F" w:rsidR="006B6ED6">
        <w:rPr>
          <w:color w:val="000000" w:themeColor="text1"/>
        </w:rPr>
        <w:t xml:space="preserve">113(b)(3)(C)(iii) </w:t>
      </w:r>
      <w:r w:rsidRPr="00DF371F" w:rsidR="00A335F3">
        <w:rPr>
          <w:color w:val="000000" w:themeColor="text1"/>
        </w:rPr>
        <w:t xml:space="preserve">of the law; </w:t>
      </w:r>
      <w:r w:rsidRPr="00DF371F" w:rsidR="00DB70DD">
        <w:rPr>
          <w:color w:val="000000" w:themeColor="text1"/>
        </w:rPr>
        <w:t>(</w:t>
      </w:r>
      <w:r w:rsidRPr="00DF371F" w:rsidR="00A335F3">
        <w:rPr>
          <w:color w:val="000000" w:themeColor="text1"/>
        </w:rPr>
        <w:t>3</w:t>
      </w:r>
      <w:r w:rsidRPr="00DF371F" w:rsidR="00DB70DD">
        <w:rPr>
          <w:color w:val="000000" w:themeColor="text1"/>
        </w:rPr>
        <w:t xml:space="preserve">) </w:t>
      </w:r>
      <w:r w:rsidRPr="00DF371F" w:rsidR="00C55B17">
        <w:rPr>
          <w:color w:val="000000" w:themeColor="text1"/>
        </w:rPr>
        <w:t xml:space="preserve">promote the collection of more accurate and complete data on the post-program outcomes of CTE concentrators </w:t>
      </w:r>
      <w:r w:rsidRPr="00DF371F" w:rsidR="00564907">
        <w:rPr>
          <w:color w:val="000000" w:themeColor="text1"/>
        </w:rPr>
        <w:t xml:space="preserve">by giving </w:t>
      </w:r>
      <w:r w:rsidRPr="00DF371F" w:rsidR="00E000F9">
        <w:rPr>
          <w:color w:val="000000" w:themeColor="text1"/>
        </w:rPr>
        <w:t xml:space="preserve">States more time to </w:t>
      </w:r>
      <w:r w:rsidRPr="00DF371F" w:rsidR="00564907">
        <w:rPr>
          <w:color w:val="000000" w:themeColor="text1"/>
        </w:rPr>
        <w:t>report these data;</w:t>
      </w:r>
      <w:r w:rsidRPr="00DF371F" w:rsidR="00E000F9">
        <w:rPr>
          <w:color w:val="000000" w:themeColor="text1"/>
        </w:rPr>
        <w:t xml:space="preserve"> and (4) </w:t>
      </w:r>
      <w:r w:rsidRPr="00DF371F" w:rsidR="00F46086">
        <w:rPr>
          <w:color w:val="000000" w:themeColor="text1"/>
        </w:rPr>
        <w:t>improve the co</w:t>
      </w:r>
      <w:r w:rsidR="009A1980">
        <w:rPr>
          <w:color w:val="000000" w:themeColor="text1"/>
        </w:rPr>
        <w:t>nsistency</w:t>
      </w:r>
      <w:r w:rsidRPr="00DF371F" w:rsidR="00F46086">
        <w:rPr>
          <w:color w:val="000000" w:themeColor="text1"/>
        </w:rPr>
        <w:t xml:space="preserve"> of the data collected from States to facilitate the </w:t>
      </w:r>
      <w:r w:rsidRPr="00DF371F" w:rsidR="00CF017D">
        <w:rPr>
          <w:color w:val="000000" w:themeColor="text1"/>
        </w:rPr>
        <w:t>“</w:t>
      </w:r>
      <w:r w:rsidRPr="00DF371F" w:rsidR="00F46086">
        <w:rPr>
          <w:color w:val="000000" w:themeColor="text1"/>
        </w:rPr>
        <w:t>aggregate analysis</w:t>
      </w:r>
      <w:r w:rsidRPr="00DF371F" w:rsidR="00CF017D">
        <w:rPr>
          <w:color w:val="000000" w:themeColor="text1"/>
        </w:rPr>
        <w:t>”</w:t>
      </w:r>
      <w:r w:rsidRPr="00DF371F" w:rsidR="00F46086">
        <w:rPr>
          <w:color w:val="000000" w:themeColor="text1"/>
        </w:rPr>
        <w:t xml:space="preserve"> </w:t>
      </w:r>
      <w:r w:rsidRPr="00DF371F" w:rsidR="0072024E">
        <w:rPr>
          <w:color w:val="000000" w:themeColor="text1"/>
        </w:rPr>
        <w:t xml:space="preserve">of performance </w:t>
      </w:r>
      <w:r w:rsidRPr="00DF371F" w:rsidR="00F46086">
        <w:rPr>
          <w:color w:val="000000" w:themeColor="text1"/>
        </w:rPr>
        <w:t xml:space="preserve">and State-by-State comparisons </w:t>
      </w:r>
      <w:r w:rsidRPr="00DF371F" w:rsidR="0072024E">
        <w:rPr>
          <w:color w:val="000000" w:themeColor="text1"/>
        </w:rPr>
        <w:t xml:space="preserve">that </w:t>
      </w:r>
      <w:r w:rsidRPr="00DF371F" w:rsidR="001676D4">
        <w:rPr>
          <w:color w:val="000000" w:themeColor="text1"/>
        </w:rPr>
        <w:t>sections 113(b)(3)(C)(iv) and 114(a)</w:t>
      </w:r>
      <w:r w:rsidR="005262CA">
        <w:rPr>
          <w:color w:val="000000" w:themeColor="text1"/>
        </w:rPr>
        <w:t>(1)</w:t>
      </w:r>
      <w:r w:rsidRPr="00DF371F" w:rsidR="001676D4">
        <w:rPr>
          <w:color w:val="000000" w:themeColor="text1"/>
        </w:rPr>
        <w:t>) of the law, respectively</w:t>
      </w:r>
      <w:r w:rsidRPr="00DF371F" w:rsidR="00555A5C">
        <w:rPr>
          <w:color w:val="000000" w:themeColor="text1"/>
        </w:rPr>
        <w:t xml:space="preserve">, </w:t>
      </w:r>
      <w:r w:rsidRPr="00DF371F" w:rsidR="0072024E">
        <w:rPr>
          <w:color w:val="000000" w:themeColor="text1"/>
        </w:rPr>
        <w:t>direct</w:t>
      </w:r>
      <w:r w:rsidRPr="00DF371F" w:rsidR="042DBC67">
        <w:rPr>
          <w:color w:val="000000" w:themeColor="text1"/>
        </w:rPr>
        <w:t>s</w:t>
      </w:r>
      <w:r w:rsidRPr="00DF371F" w:rsidR="0072024E">
        <w:rPr>
          <w:color w:val="000000" w:themeColor="text1"/>
        </w:rPr>
        <w:t xml:space="preserve"> the Department to produce</w:t>
      </w:r>
      <w:r w:rsidRPr="00DF371F" w:rsidR="00555A5C">
        <w:rPr>
          <w:color w:val="000000" w:themeColor="text1"/>
        </w:rPr>
        <w:t xml:space="preserve">.  </w:t>
      </w:r>
      <w:r w:rsidRPr="00DF371F" w:rsidR="006C3C76">
        <w:rPr>
          <w:color w:val="000000" w:themeColor="text1"/>
        </w:rPr>
        <w:t xml:space="preserve"> </w:t>
      </w:r>
      <w:r w:rsidRPr="00747878" w:rsidR="00747878">
        <w:rPr>
          <w:color w:val="000000" w:themeColor="text1"/>
        </w:rPr>
        <w:t xml:space="preserve">In addition these data specifications would improve the ability of States to meet the requirements of section 113(b)(3)(A)(i)(III)(dd) of Perkins V, which directs States, in establishing their State-determined performance levels, to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  </w:t>
      </w:r>
    </w:p>
    <w:p w:rsidR="004530B1" w14:paraId="7D7D3C10" w14:textId="50DAA8B5">
      <w:pPr>
        <w:rPr>
          <w:color w:val="000000" w:themeColor="text1"/>
        </w:rPr>
      </w:pPr>
      <w:r>
        <w:rPr>
          <w:b/>
          <w:bCs/>
          <w:color w:val="000000" w:themeColor="text1"/>
        </w:rPr>
        <w:t>Performance Indicator Specifications</w:t>
      </w:r>
    </w:p>
    <w:p w:rsidR="004530B1" w:rsidRPr="00BD18A5" w14:paraId="61F95200" w14:textId="2A6B0AEB">
      <w:pPr>
        <w:rPr>
          <w:color w:val="000000" w:themeColor="text1"/>
        </w:rPr>
      </w:pPr>
      <w:r w:rsidRPr="0C59B869">
        <w:rPr>
          <w:color w:val="000000" w:themeColor="text1"/>
        </w:rPr>
        <w:t xml:space="preserve">For each indicator of performance, </w:t>
      </w:r>
      <w:r w:rsidRPr="0C59B869" w:rsidR="00635DDD">
        <w:rPr>
          <w:color w:val="000000" w:themeColor="text1"/>
        </w:rPr>
        <w:t xml:space="preserve">the Department </w:t>
      </w:r>
      <w:r w:rsidRPr="0C59B869" w:rsidR="00992B6D">
        <w:rPr>
          <w:color w:val="000000" w:themeColor="text1"/>
        </w:rPr>
        <w:t xml:space="preserve">proposes </w:t>
      </w:r>
      <w:r w:rsidRPr="0C59B869" w:rsidR="002D54A7">
        <w:rPr>
          <w:color w:val="000000" w:themeColor="text1"/>
        </w:rPr>
        <w:t xml:space="preserve">to provide States with data </w:t>
      </w:r>
      <w:r w:rsidRPr="0C59B869" w:rsidR="00992B6D">
        <w:rPr>
          <w:color w:val="000000" w:themeColor="text1"/>
        </w:rPr>
        <w:t xml:space="preserve">specifications </w:t>
      </w:r>
      <w:r w:rsidRPr="0C59B869" w:rsidR="002D54A7">
        <w:rPr>
          <w:color w:val="000000" w:themeColor="text1"/>
        </w:rPr>
        <w:t>for</w:t>
      </w:r>
      <w:r w:rsidRPr="0C59B869" w:rsidR="00992B6D">
        <w:rPr>
          <w:color w:val="000000" w:themeColor="text1"/>
        </w:rPr>
        <w:t xml:space="preserve"> the numerator and de</w:t>
      </w:r>
      <w:r w:rsidRPr="0C59B869" w:rsidR="00A04FDC">
        <w:rPr>
          <w:color w:val="000000" w:themeColor="text1"/>
        </w:rPr>
        <w:t xml:space="preserve">nominator as follows. </w:t>
      </w:r>
    </w:p>
    <w:p w:rsidR="000C2A43" w:rsidP="002A2B6E" w14:paraId="15B1C863" w14:textId="075B57BE">
      <w:pPr>
        <w:rPr>
          <w:color w:val="000000" w:themeColor="text1"/>
        </w:rPr>
      </w:pPr>
      <w:r w:rsidRPr="0C59B869">
        <w:rPr>
          <w:color w:val="000000" w:themeColor="text1"/>
          <w:u w:val="single"/>
        </w:rPr>
        <w:t>Graduation Rate</w:t>
      </w:r>
      <w:r w:rsidRPr="0C59B869" w:rsidR="59647F86">
        <w:rPr>
          <w:color w:val="000000" w:themeColor="text1"/>
          <w:u w:val="single"/>
        </w:rPr>
        <w:t xml:space="preserve"> </w:t>
      </w:r>
      <w:r w:rsidRPr="0C59B869">
        <w:rPr>
          <w:color w:val="000000" w:themeColor="text1"/>
          <w:u w:val="single"/>
        </w:rPr>
        <w:t xml:space="preserve">( </w:t>
      </w:r>
      <w:r w:rsidRPr="0C59B869">
        <w:rPr>
          <w:color w:val="000000" w:themeColor="text1"/>
          <w:u w:val="single"/>
        </w:rPr>
        <w:t>1S1</w:t>
      </w:r>
      <w:r w:rsidRPr="0C59B869" w:rsidR="002A2B6E">
        <w:rPr>
          <w:color w:val="000000" w:themeColor="text1"/>
          <w:u w:val="single"/>
        </w:rPr>
        <w:t xml:space="preserve"> and </w:t>
      </w:r>
      <w:r w:rsidR="00705CAD">
        <w:rPr>
          <w:color w:val="000000" w:themeColor="text1"/>
          <w:u w:val="single"/>
        </w:rPr>
        <w:t>1S2</w:t>
      </w:r>
      <w:r w:rsidRPr="0C59B869" w:rsidR="002A2B6E">
        <w:rPr>
          <w:color w:val="000000" w:themeColor="text1"/>
          <w:u w:val="single"/>
        </w:rPr>
        <w:t>)</w:t>
      </w:r>
      <w:r w:rsidRPr="0C59B869">
        <w:rPr>
          <w:color w:val="000000" w:themeColor="text1"/>
        </w:rPr>
        <w:t xml:space="preserve"> </w:t>
      </w:r>
    </w:p>
    <w:p w:rsidR="002A2B6E" w:rsidRPr="00680FEA" w:rsidP="002A2B6E" w14:paraId="277B7358" w14:textId="01F4EED8">
      <w:pPr>
        <w:rPr>
          <w:color w:val="000000" w:themeColor="text1"/>
        </w:rPr>
      </w:pPr>
      <w:r w:rsidRPr="0C59B869">
        <w:rPr>
          <w:color w:val="000000" w:themeColor="text1"/>
        </w:rPr>
        <w:t>Section 113(b) (2)(A)(i)(I) of Perkins V identifies as a core indicator of performance the percentage of CTE concentrators who graduate high school, as</w:t>
      </w:r>
      <w:r w:rsidR="008D1905">
        <w:rPr>
          <w:color w:val="000000" w:themeColor="text1"/>
        </w:rPr>
        <w:t xml:space="preserve"> </w:t>
      </w:r>
      <w:r w:rsidRPr="0C59B869">
        <w:rPr>
          <w:color w:val="000000" w:themeColor="text1"/>
        </w:rPr>
        <w:t>measured by the four-year adjusted cohort graduation rate (defined in section 8101 of the Elementary and Secondary Education Act of 1965 (ESEA)</w:t>
      </w:r>
      <w:r w:rsidR="003F4C2F">
        <w:rPr>
          <w:color w:val="000000" w:themeColor="text1"/>
        </w:rPr>
        <w:t>)</w:t>
      </w:r>
      <w:r w:rsidRPr="0C59B869">
        <w:rPr>
          <w:color w:val="000000" w:themeColor="text1"/>
        </w:rPr>
        <w:t xml:space="preserve">.   We are proposing to specify the data to be included in the numerators and denominators for the four-year graduation rate indicator to ensure consistency with the statutory description of the indicator.  The proposed specification includes key provisions of the statutory definition of “four-year adjusted cohort graduation rate” from </w:t>
      </w:r>
      <w:r w:rsidR="008D1905">
        <w:rPr>
          <w:color w:val="000000" w:themeColor="text1"/>
        </w:rPr>
        <w:t xml:space="preserve">ESEA </w:t>
      </w:r>
      <w:r w:rsidRPr="0C59B869">
        <w:rPr>
          <w:color w:val="000000" w:themeColor="text1"/>
        </w:rPr>
        <w:t xml:space="preserve">section 8101(25), as well as </w:t>
      </w:r>
      <w:r w:rsidRPr="0C59B869" w:rsidR="00E10ED8">
        <w:rPr>
          <w:color w:val="000000" w:themeColor="text1"/>
        </w:rPr>
        <w:t xml:space="preserve">by cross-referencing </w:t>
      </w:r>
      <w:r w:rsidRPr="0C59B869">
        <w:rPr>
          <w:color w:val="000000" w:themeColor="text1"/>
        </w:rPr>
        <w:t xml:space="preserve">the definition of “regular high school diploma” from </w:t>
      </w:r>
      <w:r w:rsidR="00DD0F42">
        <w:rPr>
          <w:color w:val="000000" w:themeColor="text1"/>
        </w:rPr>
        <w:t xml:space="preserve">ESEA </w:t>
      </w:r>
      <w:r w:rsidRPr="0C59B869">
        <w:rPr>
          <w:color w:val="000000" w:themeColor="text1"/>
        </w:rPr>
        <w:t xml:space="preserve">section 8101(43), a term used in the definition </w:t>
      </w:r>
      <w:r w:rsidRPr="0C59B869" w:rsidR="00E10ED8">
        <w:rPr>
          <w:color w:val="000000" w:themeColor="text1"/>
        </w:rPr>
        <w:t xml:space="preserve">of </w:t>
      </w:r>
      <w:r w:rsidRPr="0C59B869">
        <w:rPr>
          <w:color w:val="000000" w:themeColor="text1"/>
        </w:rPr>
        <w:t xml:space="preserve">“four-year adjusted cohort graduation rate.” The specifications would make clear that the numerator and denominator are the numbers of secondary CTE concentrators who, in the reporting year, were included in the numerator and the denominator, respectively, used by the State to calculate the four-year adjusted cohort rate under ESEA.  Based on the information States provided with their 2023-24 performance data, it appears that one State is including in the numerator CTE concentrators who were awarded credentials that are not consistent with the ESEA definition of “regular high school diploma.” </w:t>
      </w:r>
    </w:p>
    <w:p w:rsidR="00A04FDC" w:rsidRPr="00680FEA" w:rsidP="002A2B6E" w14:paraId="4FA3F8B4" w14:textId="1BD8AC8C">
      <w:pPr>
        <w:rPr>
          <w:color w:val="000000" w:themeColor="text1"/>
        </w:rPr>
      </w:pPr>
      <w:r w:rsidRPr="00680FEA">
        <w:rPr>
          <w:color w:val="000000" w:themeColor="text1"/>
        </w:rPr>
        <w:t>Section 113(b)(2)(A)(i)(II) of Perkins V identifies as a core indicator of performance the percentage of CTE concentrators who graduate high school, as</w:t>
      </w:r>
      <w:r w:rsidR="00DD0F42">
        <w:rPr>
          <w:color w:val="000000" w:themeColor="text1"/>
        </w:rPr>
        <w:t xml:space="preserve"> </w:t>
      </w:r>
      <w:r w:rsidRPr="00680FEA">
        <w:rPr>
          <w:color w:val="000000" w:themeColor="text1"/>
        </w:rPr>
        <w:t xml:space="preserve">measured by the extended-year adjusted cohort graduation rate (defined in </w:t>
      </w:r>
      <w:r w:rsidR="001D38F5">
        <w:rPr>
          <w:color w:val="000000" w:themeColor="text1"/>
        </w:rPr>
        <w:t xml:space="preserve">ESEA </w:t>
      </w:r>
      <w:r w:rsidRPr="00680FEA">
        <w:rPr>
          <w:color w:val="000000" w:themeColor="text1"/>
        </w:rPr>
        <w:t xml:space="preserve">section 8101).  Use of this indicator by States is optional.  As with the four-year graduation rate indicator, we are proposing to specify the numerator and denominator by directly </w:t>
      </w:r>
      <w:r w:rsidRPr="00680FEA">
        <w:rPr>
          <w:color w:val="000000" w:themeColor="text1"/>
        </w:rPr>
        <w:t xml:space="preserve">incorporating key provisions of the definition of “extended-year graduation rate” from </w:t>
      </w:r>
      <w:r w:rsidR="001D38F5">
        <w:rPr>
          <w:color w:val="000000" w:themeColor="text1"/>
        </w:rPr>
        <w:t xml:space="preserve">ESEA </w:t>
      </w:r>
      <w:r w:rsidRPr="00680FEA">
        <w:rPr>
          <w:color w:val="000000" w:themeColor="text1"/>
        </w:rPr>
        <w:t xml:space="preserve">section 8101(23) </w:t>
      </w:r>
      <w:r w:rsidR="004661B4">
        <w:rPr>
          <w:color w:val="000000" w:themeColor="text1"/>
        </w:rPr>
        <w:t xml:space="preserve"> </w:t>
      </w:r>
      <w:r w:rsidRPr="00680FEA">
        <w:rPr>
          <w:color w:val="000000" w:themeColor="text1"/>
        </w:rPr>
        <w:t>that is referenced in the statutory description of this indicator.   One State using this indicator appears to be including in the numerator CTE concentrators who were awarded credentials that are not consistent with the ESEA definition of “regular high school diploma.”</w:t>
      </w:r>
    </w:p>
    <w:p w:rsidR="00E000F9" w:rsidRPr="00DF371F" w14:paraId="7B80748F" w14:textId="6F55F4F9">
      <w:pPr>
        <w:rPr>
          <w:color w:val="000000" w:themeColor="text1"/>
        </w:rPr>
      </w:pPr>
      <w:r w:rsidRPr="00DF371F">
        <w:rPr>
          <w:color w:val="000000" w:themeColor="text1"/>
          <w:u w:val="single"/>
        </w:rPr>
        <w:t xml:space="preserve">Academic </w:t>
      </w:r>
      <w:r w:rsidRPr="00DF371F" w:rsidR="00A335F3">
        <w:rPr>
          <w:color w:val="000000" w:themeColor="text1"/>
          <w:u w:val="single"/>
        </w:rPr>
        <w:t>P</w:t>
      </w:r>
      <w:r w:rsidRPr="00DF371F">
        <w:rPr>
          <w:color w:val="000000" w:themeColor="text1"/>
          <w:u w:val="single"/>
        </w:rPr>
        <w:t>roficiency</w:t>
      </w:r>
      <w:r w:rsidRPr="00DF371F" w:rsidR="00BA55A7">
        <w:rPr>
          <w:color w:val="000000" w:themeColor="text1"/>
          <w:u w:val="single"/>
        </w:rPr>
        <w:t xml:space="preserve"> (2S1, 2S2, and 2S3)</w:t>
      </w:r>
      <w:r w:rsidRPr="00DF371F">
        <w:rPr>
          <w:color w:val="000000" w:themeColor="text1"/>
        </w:rPr>
        <w:t>.</w:t>
      </w:r>
    </w:p>
    <w:p w:rsidR="00E000F9" w:rsidRPr="00DF371F" w14:paraId="499CF87A" w14:textId="2CC7091B">
      <w:pPr>
        <w:rPr>
          <w:color w:val="000000" w:themeColor="text1"/>
        </w:rPr>
      </w:pPr>
      <w:r w:rsidRPr="00DF371F">
        <w:rPr>
          <w:color w:val="000000" w:themeColor="text1"/>
        </w:rPr>
        <w:t xml:space="preserve">Section 113(b)(2)(A)(ii) of </w:t>
      </w:r>
      <w:r w:rsidRPr="00DF371F" w:rsidR="00684A46">
        <w:rPr>
          <w:color w:val="000000" w:themeColor="text1"/>
        </w:rPr>
        <w:t xml:space="preserve">Perkins V </w:t>
      </w:r>
      <w:r w:rsidRPr="00DF371F">
        <w:rPr>
          <w:color w:val="000000" w:themeColor="text1"/>
        </w:rPr>
        <w:t xml:space="preserve">identifies as a core indicator of performance CTE concentrator proficiency in the challenging State academic standards adopted by the State under </w:t>
      </w:r>
      <w:r w:rsidR="001D38F5">
        <w:rPr>
          <w:color w:val="000000" w:themeColor="text1"/>
        </w:rPr>
        <w:t xml:space="preserve">ESEA </w:t>
      </w:r>
      <w:r w:rsidRPr="00DF371F">
        <w:rPr>
          <w:color w:val="000000" w:themeColor="text1"/>
        </w:rPr>
        <w:t xml:space="preserve">section 1111(b)(1) , as measured by the academic assessments described in </w:t>
      </w:r>
      <w:r w:rsidR="001D38F5">
        <w:rPr>
          <w:color w:val="000000" w:themeColor="text1"/>
        </w:rPr>
        <w:t xml:space="preserve">ESEA </w:t>
      </w:r>
      <w:r w:rsidRPr="00DF371F">
        <w:rPr>
          <w:color w:val="000000" w:themeColor="text1"/>
        </w:rPr>
        <w:t>section 1111(b)(2) of such Act.  These are assessments in reading/language arts</w:t>
      </w:r>
      <w:r w:rsidR="00301510">
        <w:rPr>
          <w:color w:val="000000" w:themeColor="text1"/>
        </w:rPr>
        <w:t xml:space="preserve"> (2S1)</w:t>
      </w:r>
      <w:r w:rsidRPr="00DF371F">
        <w:rPr>
          <w:color w:val="000000" w:themeColor="text1"/>
        </w:rPr>
        <w:t>, mathematics</w:t>
      </w:r>
      <w:r w:rsidR="00301510">
        <w:rPr>
          <w:color w:val="000000" w:themeColor="text1"/>
        </w:rPr>
        <w:t xml:space="preserve"> (2S2)</w:t>
      </w:r>
      <w:r w:rsidRPr="00DF371F">
        <w:rPr>
          <w:color w:val="000000" w:themeColor="text1"/>
        </w:rPr>
        <w:t>, and science</w:t>
      </w:r>
      <w:r w:rsidR="00301510">
        <w:rPr>
          <w:color w:val="000000" w:themeColor="text1"/>
        </w:rPr>
        <w:t xml:space="preserve"> (2S3)</w:t>
      </w:r>
      <w:r w:rsidRPr="00DF371F">
        <w:rPr>
          <w:color w:val="000000" w:themeColor="text1"/>
        </w:rPr>
        <w:t>.</w:t>
      </w:r>
    </w:p>
    <w:p w:rsidR="00E000F9" w:rsidRPr="00DF371F" w14:paraId="4A4E807E" w14:textId="64F7361C">
      <w:pPr>
        <w:rPr>
          <w:color w:val="000000" w:themeColor="text1"/>
        </w:rPr>
      </w:pPr>
      <w:r w:rsidRPr="00DF371F">
        <w:rPr>
          <w:color w:val="000000" w:themeColor="text1"/>
        </w:rPr>
        <w:t xml:space="preserve">We are </w:t>
      </w:r>
      <w:r w:rsidR="00D903DE">
        <w:rPr>
          <w:color w:val="000000" w:themeColor="text1"/>
        </w:rPr>
        <w:t>proposing to</w:t>
      </w:r>
      <w:r w:rsidRPr="00DF371F">
        <w:rPr>
          <w:color w:val="000000" w:themeColor="text1"/>
        </w:rPr>
        <w:t xml:space="preserve"> </w:t>
      </w:r>
      <w:r w:rsidR="00DC3EC9">
        <w:rPr>
          <w:color w:val="000000" w:themeColor="text1"/>
        </w:rPr>
        <w:t>specif</w:t>
      </w:r>
      <w:r w:rsidR="00B71B36">
        <w:rPr>
          <w:color w:val="000000" w:themeColor="text1"/>
        </w:rPr>
        <w:t>y</w:t>
      </w:r>
      <w:r w:rsidRPr="00DF371F">
        <w:rPr>
          <w:color w:val="000000" w:themeColor="text1"/>
        </w:rPr>
        <w:t xml:space="preserve"> the </w:t>
      </w:r>
      <w:r w:rsidR="00FE25C6">
        <w:rPr>
          <w:color w:val="000000" w:themeColor="text1"/>
        </w:rPr>
        <w:t xml:space="preserve">data to be included in the </w:t>
      </w:r>
      <w:r w:rsidRPr="00DF371F">
        <w:rPr>
          <w:color w:val="000000" w:themeColor="text1"/>
        </w:rPr>
        <w:t>numerator</w:t>
      </w:r>
      <w:r w:rsidRPr="00DF371F">
        <w:rPr>
          <w:color w:val="000000" w:themeColor="text1"/>
        </w:rPr>
        <w:t>s</w:t>
      </w:r>
      <w:r w:rsidRPr="00DF371F">
        <w:rPr>
          <w:color w:val="000000" w:themeColor="text1"/>
        </w:rPr>
        <w:t xml:space="preserve"> and denominators for the academic proficiency indicator </w:t>
      </w:r>
      <w:r w:rsidRPr="00DF371F" w:rsidR="00156B3C">
        <w:rPr>
          <w:color w:val="000000" w:themeColor="text1"/>
        </w:rPr>
        <w:t>t</w:t>
      </w:r>
      <w:r w:rsidR="00393296">
        <w:rPr>
          <w:color w:val="000000" w:themeColor="text1"/>
        </w:rPr>
        <w:t>o</w:t>
      </w:r>
      <w:r w:rsidRPr="00DF371F" w:rsidR="00156B3C">
        <w:rPr>
          <w:color w:val="000000" w:themeColor="text1"/>
        </w:rPr>
        <w:t xml:space="preserve"> ensure consistency with the statutory description of the indicator.  These </w:t>
      </w:r>
      <w:r w:rsidR="00B14DEF">
        <w:rPr>
          <w:color w:val="000000" w:themeColor="text1"/>
        </w:rPr>
        <w:t xml:space="preserve">data </w:t>
      </w:r>
      <w:r w:rsidR="00B34C57">
        <w:rPr>
          <w:color w:val="000000" w:themeColor="text1"/>
        </w:rPr>
        <w:t>specification</w:t>
      </w:r>
      <w:r w:rsidR="00B14DEF">
        <w:rPr>
          <w:color w:val="000000" w:themeColor="text1"/>
        </w:rPr>
        <w:t>s</w:t>
      </w:r>
      <w:r w:rsidR="00B34C57">
        <w:rPr>
          <w:color w:val="000000" w:themeColor="text1"/>
        </w:rPr>
        <w:t xml:space="preserve"> </w:t>
      </w:r>
      <w:r w:rsidRPr="00DF371F" w:rsidR="00156B3C">
        <w:rPr>
          <w:color w:val="000000" w:themeColor="text1"/>
        </w:rPr>
        <w:t>would</w:t>
      </w:r>
      <w:r w:rsidRPr="00DF371F">
        <w:rPr>
          <w:color w:val="000000" w:themeColor="text1"/>
        </w:rPr>
        <w:t>:</w:t>
      </w:r>
    </w:p>
    <w:p w:rsidR="00F72C83" w:rsidP="00F72C83" w14:paraId="1C34F694" w14:textId="7AE3BE9D">
      <w:pPr>
        <w:pStyle w:val="ListParagraph"/>
        <w:numPr>
          <w:ilvl w:val="0"/>
          <w:numId w:val="1"/>
        </w:numPr>
        <w:rPr>
          <w:color w:val="000000" w:themeColor="text1"/>
          <w:kern w:val="0"/>
          <w14:ligatures w14:val="none"/>
        </w:rPr>
      </w:pPr>
      <w:r w:rsidRPr="00DF371F">
        <w:rPr>
          <w:b/>
          <w:bCs/>
          <w:color w:val="000000" w:themeColor="text1"/>
          <w:kern w:val="0"/>
          <w14:ligatures w14:val="none"/>
        </w:rPr>
        <w:t>Include all CTE concentrators in the numerator and denominator</w:t>
      </w:r>
      <w:r w:rsidR="00BF73F4">
        <w:rPr>
          <w:b/>
          <w:bCs/>
          <w:color w:val="000000" w:themeColor="text1"/>
          <w:kern w:val="0"/>
          <w14:ligatures w14:val="none"/>
        </w:rPr>
        <w:t>,</w:t>
      </w:r>
      <w:r w:rsidRPr="4BFD5D39" w:rsidR="00CE21A0">
        <w:rPr>
          <w:b/>
          <w:color w:val="000000" w:themeColor="text1"/>
        </w:rPr>
        <w:t xml:space="preserve"> </w:t>
      </w:r>
      <w:r w:rsidRPr="00DF371F">
        <w:rPr>
          <w:b/>
          <w:bCs/>
          <w:color w:val="000000" w:themeColor="text1"/>
          <w:kern w:val="0"/>
          <w14:ligatures w14:val="none"/>
        </w:rPr>
        <w:t>not only those who graduated</w:t>
      </w:r>
      <w:r w:rsidRPr="00DF371F">
        <w:rPr>
          <w:color w:val="000000" w:themeColor="text1"/>
          <w:kern w:val="0"/>
          <w14:ligatures w14:val="none"/>
        </w:rPr>
        <w:t xml:space="preserve">.  </w:t>
      </w:r>
      <w:r w:rsidR="001031CB">
        <w:rPr>
          <w:color w:val="000000" w:themeColor="text1"/>
          <w:kern w:val="0"/>
          <w14:ligatures w14:val="none"/>
        </w:rPr>
        <w:t>Based on their performance reports f</w:t>
      </w:r>
      <w:r w:rsidRPr="00DF371F">
        <w:rPr>
          <w:color w:val="000000" w:themeColor="text1"/>
          <w:kern w:val="0"/>
          <w14:ligatures w14:val="none"/>
        </w:rPr>
        <w:t xml:space="preserve">or the 2022-23 reporting year, </w:t>
      </w:r>
      <w:r w:rsidR="00063351">
        <w:rPr>
          <w:color w:val="000000" w:themeColor="text1"/>
          <w:kern w:val="0"/>
          <w14:ligatures w14:val="none"/>
        </w:rPr>
        <w:t>seven</w:t>
      </w:r>
      <w:r w:rsidRPr="00DF371F" w:rsidR="00063351">
        <w:rPr>
          <w:color w:val="000000" w:themeColor="text1"/>
          <w:kern w:val="0"/>
          <w14:ligatures w14:val="none"/>
        </w:rPr>
        <w:t xml:space="preserve"> </w:t>
      </w:r>
      <w:r w:rsidRPr="00DF371F">
        <w:rPr>
          <w:color w:val="000000" w:themeColor="text1"/>
          <w:kern w:val="0"/>
          <w14:ligatures w14:val="none"/>
        </w:rPr>
        <w:t xml:space="preserve">States </w:t>
      </w:r>
      <w:r w:rsidR="001031CB">
        <w:rPr>
          <w:color w:val="000000" w:themeColor="text1"/>
        </w:rPr>
        <w:t xml:space="preserve">appear to be </w:t>
      </w:r>
      <w:r w:rsidRPr="00DF371F">
        <w:rPr>
          <w:color w:val="000000" w:themeColor="text1"/>
          <w:kern w:val="0"/>
          <w14:ligatures w14:val="none"/>
        </w:rPr>
        <w:t>report</w:t>
      </w:r>
      <w:r w:rsidR="001031CB">
        <w:rPr>
          <w:color w:val="000000" w:themeColor="text1"/>
          <w:kern w:val="0"/>
          <w14:ligatures w14:val="none"/>
        </w:rPr>
        <w:t>ing</w:t>
      </w:r>
      <w:r w:rsidRPr="00DF371F">
        <w:rPr>
          <w:color w:val="000000" w:themeColor="text1"/>
          <w:kern w:val="0"/>
          <w14:ligatures w14:val="none"/>
        </w:rPr>
        <w:t xml:space="preserve"> </w:t>
      </w:r>
      <w:r w:rsidRPr="00DF371F">
        <w:rPr>
          <w:color w:val="000000" w:themeColor="text1"/>
          <w:kern w:val="0"/>
          <w14:ligatures w14:val="none"/>
        </w:rPr>
        <w:t xml:space="preserve">only </w:t>
      </w:r>
      <w:r w:rsidRPr="00DF371F">
        <w:rPr>
          <w:color w:val="000000" w:themeColor="text1"/>
          <w:kern w:val="0"/>
          <w14:ligatures w14:val="none"/>
        </w:rPr>
        <w:t>on CTE concentrators who graduated from high school, excluding from the</w:t>
      </w:r>
      <w:r w:rsidR="001031CB">
        <w:rPr>
          <w:color w:val="000000" w:themeColor="text1"/>
          <w:kern w:val="0"/>
          <w14:ligatures w14:val="none"/>
        </w:rPr>
        <w:t>ir</w:t>
      </w:r>
      <w:r w:rsidRPr="00DF371F">
        <w:rPr>
          <w:color w:val="000000" w:themeColor="text1"/>
          <w:kern w:val="0"/>
          <w14:ligatures w14:val="none"/>
        </w:rPr>
        <w:t xml:space="preserve"> calculation</w:t>
      </w:r>
      <w:r w:rsidRPr="4BFD5D39" w:rsidR="009547C9">
        <w:rPr>
          <w:color w:val="000000" w:themeColor="text1"/>
        </w:rPr>
        <w:t xml:space="preserve"> </w:t>
      </w:r>
      <w:r w:rsidRPr="00DF371F">
        <w:rPr>
          <w:color w:val="000000" w:themeColor="text1"/>
          <w:kern w:val="0"/>
          <w14:ligatures w14:val="none"/>
        </w:rPr>
        <w:t xml:space="preserve">those CTE concentrators who exited secondary school without </w:t>
      </w:r>
      <w:r w:rsidR="00903F3B">
        <w:rPr>
          <w:color w:val="000000" w:themeColor="text1"/>
          <w:kern w:val="0"/>
          <w14:ligatures w14:val="none"/>
        </w:rPr>
        <w:t>graduating</w:t>
      </w:r>
      <w:r w:rsidRPr="00DF371F">
        <w:rPr>
          <w:color w:val="000000" w:themeColor="text1"/>
          <w:kern w:val="0"/>
          <w14:ligatures w14:val="none"/>
        </w:rPr>
        <w:t xml:space="preserve">.  The statute requires measurement of “CTE concentrator proficiency” and does not limit the indicator to high school graduates.  The </w:t>
      </w:r>
      <w:r w:rsidR="001031CB">
        <w:rPr>
          <w:color w:val="000000" w:themeColor="text1"/>
        </w:rPr>
        <w:t>data specification</w:t>
      </w:r>
      <w:r w:rsidRPr="6C8D417F">
        <w:rPr>
          <w:color w:val="000000" w:themeColor="text1"/>
        </w:rPr>
        <w:t xml:space="preserve"> </w:t>
      </w:r>
      <w:r w:rsidRPr="00DF371F">
        <w:rPr>
          <w:color w:val="000000" w:themeColor="text1"/>
          <w:kern w:val="0"/>
          <w14:ligatures w14:val="none"/>
        </w:rPr>
        <w:t>we are proposing would include all CTE concentrators who exited secondary education in the reporting year.</w:t>
      </w:r>
    </w:p>
    <w:p w:rsidR="00680FEA" w:rsidRPr="00DF371F" w:rsidP="00680FEA" w14:paraId="7F2B348F" w14:textId="77777777">
      <w:pPr>
        <w:pStyle w:val="ListParagraph"/>
        <w:rPr>
          <w:color w:val="000000" w:themeColor="text1"/>
          <w:kern w:val="0"/>
          <w14:ligatures w14:val="none"/>
        </w:rPr>
      </w:pPr>
    </w:p>
    <w:p w:rsidR="0007276F" w:rsidP="0007276F" w14:paraId="38380534" w14:textId="28B9E800">
      <w:pPr>
        <w:pStyle w:val="ListParagraph"/>
        <w:numPr>
          <w:ilvl w:val="0"/>
          <w:numId w:val="1"/>
        </w:numPr>
        <w:rPr>
          <w:color w:val="000000" w:themeColor="text1"/>
          <w:kern w:val="0"/>
          <w14:ligatures w14:val="none"/>
        </w:rPr>
      </w:pPr>
      <w:r w:rsidRPr="0007276F">
        <w:rPr>
          <w:b/>
          <w:color w:val="000000" w:themeColor="text1"/>
        </w:rPr>
        <w:t xml:space="preserve">Specify </w:t>
      </w:r>
      <w:r w:rsidRPr="0007276F" w:rsidR="00E000F9">
        <w:rPr>
          <w:b/>
          <w:bCs/>
          <w:color w:val="000000" w:themeColor="text1"/>
          <w:kern w:val="0"/>
          <w14:ligatures w14:val="none"/>
        </w:rPr>
        <w:t>that the</w:t>
      </w:r>
      <w:r w:rsidRPr="0007276F" w:rsidR="008C786D">
        <w:rPr>
          <w:b/>
          <w:color w:val="000000" w:themeColor="text1"/>
        </w:rPr>
        <w:t xml:space="preserve"> numerator and denominator must include</w:t>
      </w:r>
      <w:r w:rsidRPr="0007276F" w:rsidR="00E000F9">
        <w:rPr>
          <w:b/>
          <w:color w:val="000000" w:themeColor="text1"/>
        </w:rPr>
        <w:t xml:space="preserve"> the </w:t>
      </w:r>
      <w:r w:rsidR="003654E6">
        <w:rPr>
          <w:b/>
          <w:color w:val="000000" w:themeColor="text1"/>
        </w:rPr>
        <w:t xml:space="preserve">assessment </w:t>
      </w:r>
      <w:r w:rsidRPr="0007276F" w:rsidR="00E000F9">
        <w:rPr>
          <w:b/>
          <w:bCs/>
          <w:color w:val="000000" w:themeColor="text1"/>
          <w:kern w:val="0"/>
          <w14:ligatures w14:val="none"/>
        </w:rPr>
        <w:t>scores of all CTE concentrators who took the assessments.</w:t>
      </w:r>
      <w:r w:rsidRPr="0007276F" w:rsidR="00E000F9">
        <w:rPr>
          <w:color w:val="000000" w:themeColor="text1"/>
          <w:kern w:val="0"/>
          <w14:ligatures w14:val="none"/>
        </w:rPr>
        <w:t xml:space="preserve">  </w:t>
      </w:r>
      <w:r w:rsidRPr="0007276F" w:rsidR="00D55326">
        <w:rPr>
          <w:color w:val="000000" w:themeColor="text1"/>
          <w:kern w:val="0"/>
          <w14:ligatures w14:val="none"/>
        </w:rPr>
        <w:t xml:space="preserve">During the 2021-22 reporting year, </w:t>
      </w:r>
      <w:r w:rsidRPr="0007276F" w:rsidR="000065C2">
        <w:rPr>
          <w:color w:val="000000" w:themeColor="text1"/>
          <w:kern w:val="0"/>
          <w14:ligatures w14:val="none"/>
        </w:rPr>
        <w:t xml:space="preserve">at least </w:t>
      </w:r>
      <w:r w:rsidRPr="0007276F" w:rsidR="00D55326">
        <w:rPr>
          <w:color w:val="000000" w:themeColor="text1"/>
          <w:kern w:val="0"/>
          <w14:ligatures w14:val="none"/>
        </w:rPr>
        <w:t xml:space="preserve">seven States </w:t>
      </w:r>
      <w:r w:rsidRPr="0007276F" w:rsidR="00B520F7">
        <w:rPr>
          <w:color w:val="000000" w:themeColor="text1"/>
          <w:kern w:val="0"/>
          <w14:ligatures w14:val="none"/>
        </w:rPr>
        <w:t>may</w:t>
      </w:r>
      <w:r w:rsidRPr="0007276F" w:rsidR="00D55326">
        <w:rPr>
          <w:color w:val="000000" w:themeColor="text1"/>
          <w:kern w:val="0"/>
          <w14:ligatures w14:val="none"/>
        </w:rPr>
        <w:t xml:space="preserve"> have </w:t>
      </w:r>
      <w:r w:rsidRPr="0007276F" w:rsidR="00A176D5">
        <w:rPr>
          <w:color w:val="000000" w:themeColor="text1"/>
          <w:kern w:val="0"/>
          <w14:ligatures w14:val="none"/>
        </w:rPr>
        <w:t xml:space="preserve">excluded from </w:t>
      </w:r>
      <w:r w:rsidRPr="0007276F" w:rsidR="000065C2">
        <w:rPr>
          <w:color w:val="000000" w:themeColor="text1"/>
          <w:kern w:val="0"/>
          <w14:ligatures w14:val="none"/>
        </w:rPr>
        <w:t xml:space="preserve">their </w:t>
      </w:r>
      <w:r w:rsidRPr="0007276F" w:rsidR="00A176D5">
        <w:rPr>
          <w:color w:val="000000" w:themeColor="text1"/>
          <w:kern w:val="0"/>
          <w14:ligatures w14:val="none"/>
        </w:rPr>
        <w:t xml:space="preserve">measurement of the indicator the scores of CTE concentrators </w:t>
      </w:r>
      <w:r w:rsidRPr="0007276F" w:rsidR="003D7591">
        <w:rPr>
          <w:color w:val="000000" w:themeColor="text1"/>
          <w:kern w:val="0"/>
          <w14:ligatures w14:val="none"/>
        </w:rPr>
        <w:t xml:space="preserve">who did not attend the same school within a local educational agency (LEA) for at least half of a school year.  We surmise </w:t>
      </w:r>
      <w:r w:rsidRPr="0007276F" w:rsidR="00EC255D">
        <w:rPr>
          <w:color w:val="000000" w:themeColor="text1"/>
          <w:kern w:val="0"/>
          <w14:ligatures w14:val="none"/>
        </w:rPr>
        <w:t xml:space="preserve">this because their </w:t>
      </w:r>
      <w:r w:rsidRPr="0007276F">
        <w:rPr>
          <w:color w:val="000000" w:themeColor="text1"/>
        </w:rPr>
        <w:t>numerator</w:t>
      </w:r>
      <w:r w:rsidRPr="0007276F" w:rsidR="002B2802">
        <w:rPr>
          <w:color w:val="000000" w:themeColor="text1"/>
        </w:rPr>
        <w:t>s</w:t>
      </w:r>
      <w:r w:rsidRPr="0007276F">
        <w:rPr>
          <w:color w:val="000000" w:themeColor="text1"/>
        </w:rPr>
        <w:t xml:space="preserve"> </w:t>
      </w:r>
      <w:r w:rsidRPr="0007276F" w:rsidR="00AD1A5A">
        <w:rPr>
          <w:color w:val="000000" w:themeColor="text1"/>
          <w:kern w:val="0"/>
          <w14:ligatures w14:val="none"/>
        </w:rPr>
        <w:t>refer to us</w:t>
      </w:r>
      <w:r w:rsidRPr="0007276F" w:rsidR="00D56991">
        <w:rPr>
          <w:color w:val="000000" w:themeColor="text1"/>
          <w:kern w:val="0"/>
          <w14:ligatures w14:val="none"/>
        </w:rPr>
        <w:t xml:space="preserve">ing </w:t>
      </w:r>
      <w:r w:rsidRPr="0007276F" w:rsidR="001666C4">
        <w:rPr>
          <w:color w:val="000000" w:themeColor="text1"/>
          <w:kern w:val="0"/>
          <w14:ligatures w14:val="none"/>
        </w:rPr>
        <w:t xml:space="preserve">the same </w:t>
      </w:r>
      <w:r w:rsidRPr="0007276F" w:rsidR="00D56991">
        <w:rPr>
          <w:color w:val="000000" w:themeColor="text1"/>
          <w:kern w:val="0"/>
          <w14:ligatures w14:val="none"/>
        </w:rPr>
        <w:t xml:space="preserve">student proficiency data </w:t>
      </w:r>
      <w:r w:rsidRPr="0007276F" w:rsidR="001666C4">
        <w:rPr>
          <w:color w:val="000000" w:themeColor="text1"/>
          <w:kern w:val="0"/>
          <w14:ligatures w14:val="none"/>
        </w:rPr>
        <w:t xml:space="preserve">used </w:t>
      </w:r>
      <w:r w:rsidRPr="0007276F" w:rsidR="3C2D23D4">
        <w:rPr>
          <w:color w:val="000000" w:themeColor="text1"/>
          <w:kern w:val="0"/>
          <w14:ligatures w14:val="none"/>
        </w:rPr>
        <w:t>to</w:t>
      </w:r>
      <w:r w:rsidRPr="0007276F" w:rsidR="001666C4">
        <w:rPr>
          <w:color w:val="000000" w:themeColor="text1"/>
          <w:kern w:val="0"/>
          <w14:ligatures w14:val="none"/>
        </w:rPr>
        <w:t xml:space="preserve"> </w:t>
      </w:r>
      <w:r w:rsidRPr="0007276F" w:rsidR="009556A8">
        <w:rPr>
          <w:color w:val="000000" w:themeColor="text1"/>
          <w:kern w:val="0"/>
          <w14:ligatures w14:val="none"/>
        </w:rPr>
        <w:t xml:space="preserve">calculate </w:t>
      </w:r>
      <w:r w:rsidRPr="0007276F" w:rsidR="00D55326">
        <w:rPr>
          <w:color w:val="000000" w:themeColor="text1"/>
          <w:kern w:val="0"/>
          <w14:ligatures w14:val="none"/>
        </w:rPr>
        <w:t xml:space="preserve">the academic achievement indicator in </w:t>
      </w:r>
      <w:r w:rsidRPr="0007276F" w:rsidR="003B187F">
        <w:rPr>
          <w:color w:val="000000" w:themeColor="text1"/>
          <w:kern w:val="0"/>
          <w14:ligatures w14:val="none"/>
        </w:rPr>
        <w:t xml:space="preserve">the </w:t>
      </w:r>
      <w:r w:rsidRPr="0007276F" w:rsidR="00D55326">
        <w:rPr>
          <w:color w:val="000000" w:themeColor="text1"/>
          <w:kern w:val="0"/>
          <w14:ligatures w14:val="none"/>
        </w:rPr>
        <w:t xml:space="preserve">State system of annual meaningful differentiation for schools </w:t>
      </w:r>
      <w:r w:rsidRPr="0007276F" w:rsidR="0055795B">
        <w:rPr>
          <w:color w:val="000000" w:themeColor="text1"/>
          <w:kern w:val="0"/>
          <w14:ligatures w14:val="none"/>
        </w:rPr>
        <w:t xml:space="preserve">authorized by ESEA Title I, Part A. </w:t>
      </w:r>
      <w:r w:rsidRPr="0007276F" w:rsidR="000065C2">
        <w:rPr>
          <w:color w:val="000000" w:themeColor="text1"/>
          <w:kern w:val="0"/>
          <w14:ligatures w14:val="none"/>
        </w:rPr>
        <w:t xml:space="preserve"> </w:t>
      </w:r>
      <w:r w:rsidRPr="0007276F" w:rsidR="00C85CD7">
        <w:rPr>
          <w:color w:val="000000" w:themeColor="text1"/>
          <w:kern w:val="0"/>
          <w14:ligatures w14:val="none"/>
        </w:rPr>
        <w:t xml:space="preserve">Under </w:t>
      </w:r>
      <w:r w:rsidRPr="0007276F" w:rsidR="00731D8E">
        <w:rPr>
          <w:color w:val="000000" w:themeColor="text1"/>
        </w:rPr>
        <w:t>the ESEA</w:t>
      </w:r>
      <w:r w:rsidRPr="0007276F" w:rsidR="00C85CD7">
        <w:rPr>
          <w:color w:val="000000" w:themeColor="text1"/>
          <w:kern w:val="0"/>
          <w14:ligatures w14:val="none"/>
        </w:rPr>
        <w:t xml:space="preserve">, </w:t>
      </w:r>
      <w:r w:rsidRPr="0007276F" w:rsidR="00343386">
        <w:rPr>
          <w:color w:val="000000" w:themeColor="text1"/>
          <w:kern w:val="0"/>
          <w14:ligatures w14:val="none"/>
        </w:rPr>
        <w:t xml:space="preserve">the State </w:t>
      </w:r>
      <w:r w:rsidRPr="0007276F" w:rsidR="00336BB5">
        <w:rPr>
          <w:color w:val="000000" w:themeColor="text1"/>
          <w:kern w:val="0"/>
          <w14:ligatures w14:val="none"/>
        </w:rPr>
        <w:t xml:space="preserve">must exclude from the academic achievement indicator </w:t>
      </w:r>
      <w:r w:rsidRPr="0007276F" w:rsidR="000065C2">
        <w:rPr>
          <w:color w:val="000000" w:themeColor="text1"/>
          <w:kern w:val="0"/>
          <w14:ligatures w14:val="none"/>
        </w:rPr>
        <w:t xml:space="preserve">the </w:t>
      </w:r>
      <w:r w:rsidRPr="0007276F" w:rsidR="00336BB5">
        <w:rPr>
          <w:color w:val="000000" w:themeColor="text1"/>
          <w:kern w:val="0"/>
          <w14:ligatures w14:val="none"/>
        </w:rPr>
        <w:t>scores</w:t>
      </w:r>
      <w:r w:rsidRPr="0007276F" w:rsidR="000065C2">
        <w:rPr>
          <w:color w:val="000000" w:themeColor="text1"/>
          <w:kern w:val="0"/>
          <w14:ligatures w14:val="none"/>
        </w:rPr>
        <w:t xml:space="preserve"> of any student who has not attended the same school within a LEA for at least half of a school year.</w:t>
      </w:r>
      <w:r>
        <w:rPr>
          <w:vertAlign w:val="superscript"/>
        </w:rPr>
        <w:footnoteReference w:id="3"/>
      </w:r>
      <w:r w:rsidRPr="0007276F" w:rsidR="000065C2">
        <w:rPr>
          <w:color w:val="000000" w:themeColor="text1"/>
          <w:kern w:val="0"/>
          <w14:ligatures w14:val="none"/>
        </w:rPr>
        <w:t xml:space="preserve">  </w:t>
      </w:r>
      <w:r w:rsidRPr="0007276F" w:rsidR="00AD3FE2">
        <w:rPr>
          <w:color w:val="000000" w:themeColor="text1"/>
          <w:kern w:val="0"/>
          <w14:ligatures w14:val="none"/>
        </w:rPr>
        <w:t>However, t</w:t>
      </w:r>
      <w:r w:rsidRPr="0007276F" w:rsidR="009A59C7">
        <w:rPr>
          <w:color w:val="000000" w:themeColor="text1"/>
          <w:kern w:val="0"/>
          <w14:ligatures w14:val="none"/>
        </w:rPr>
        <w:t xml:space="preserve">he </w:t>
      </w:r>
      <w:r w:rsidRPr="0007276F" w:rsidR="005D07E8">
        <w:rPr>
          <w:color w:val="000000" w:themeColor="text1"/>
          <w:kern w:val="0"/>
          <w14:ligatures w14:val="none"/>
        </w:rPr>
        <w:t xml:space="preserve">Perkins V </w:t>
      </w:r>
      <w:r w:rsidRPr="0007276F" w:rsidR="009A59C7">
        <w:rPr>
          <w:color w:val="000000" w:themeColor="text1"/>
          <w:kern w:val="0"/>
          <w14:ligatures w14:val="none"/>
        </w:rPr>
        <w:t xml:space="preserve">statute </w:t>
      </w:r>
      <w:r w:rsidRPr="0007276F" w:rsidR="005D07E8">
        <w:rPr>
          <w:color w:val="000000" w:themeColor="text1"/>
          <w:kern w:val="0"/>
          <w14:ligatures w14:val="none"/>
        </w:rPr>
        <w:t xml:space="preserve">does not </w:t>
      </w:r>
      <w:r w:rsidRPr="0007276F" w:rsidR="00673FF3">
        <w:rPr>
          <w:color w:val="000000" w:themeColor="text1"/>
          <w:kern w:val="0"/>
          <w14:ligatures w14:val="none"/>
        </w:rPr>
        <w:t xml:space="preserve">provide for the </w:t>
      </w:r>
      <w:r w:rsidRPr="0007276F" w:rsidR="005D07E8">
        <w:rPr>
          <w:color w:val="000000" w:themeColor="text1"/>
          <w:kern w:val="0"/>
          <w14:ligatures w14:val="none"/>
        </w:rPr>
        <w:t>exclu</w:t>
      </w:r>
      <w:r w:rsidRPr="0007276F" w:rsidR="00673FF3">
        <w:rPr>
          <w:color w:val="000000" w:themeColor="text1"/>
          <w:kern w:val="0"/>
          <w14:ligatures w14:val="none"/>
        </w:rPr>
        <w:t>sion</w:t>
      </w:r>
      <w:r w:rsidRPr="0007276F" w:rsidR="005D07E8">
        <w:rPr>
          <w:color w:val="000000" w:themeColor="text1"/>
          <w:kern w:val="0"/>
          <w14:ligatures w14:val="none"/>
        </w:rPr>
        <w:t xml:space="preserve"> </w:t>
      </w:r>
      <w:r w:rsidRPr="0007276F" w:rsidR="00673FF3">
        <w:rPr>
          <w:color w:val="000000" w:themeColor="text1"/>
          <w:kern w:val="0"/>
          <w14:ligatures w14:val="none"/>
        </w:rPr>
        <w:t xml:space="preserve">of </w:t>
      </w:r>
      <w:r w:rsidRPr="0007276F" w:rsidR="009A59C7">
        <w:rPr>
          <w:color w:val="000000" w:themeColor="text1"/>
          <w:kern w:val="0"/>
          <w14:ligatures w14:val="none"/>
        </w:rPr>
        <w:t xml:space="preserve">the scores of students who attended </w:t>
      </w:r>
      <w:r w:rsidRPr="0007276F" w:rsidR="00C404F0">
        <w:rPr>
          <w:color w:val="000000" w:themeColor="text1"/>
          <w:kern w:val="0"/>
          <w14:ligatures w14:val="none"/>
        </w:rPr>
        <w:t xml:space="preserve">school for only part of the year.  The </w:t>
      </w:r>
      <w:r w:rsidRPr="0007276F" w:rsidR="00F01242">
        <w:rPr>
          <w:color w:val="000000" w:themeColor="text1"/>
        </w:rPr>
        <w:t xml:space="preserve">data </w:t>
      </w:r>
      <w:r w:rsidRPr="0007276F" w:rsidR="00D77984">
        <w:rPr>
          <w:color w:val="000000" w:themeColor="text1"/>
        </w:rPr>
        <w:t>specifications</w:t>
      </w:r>
      <w:r w:rsidRPr="0007276F" w:rsidR="00C404F0">
        <w:rPr>
          <w:color w:val="000000" w:themeColor="text1"/>
        </w:rPr>
        <w:t xml:space="preserve"> </w:t>
      </w:r>
      <w:r w:rsidRPr="0007276F" w:rsidR="00C404F0">
        <w:rPr>
          <w:color w:val="000000" w:themeColor="text1"/>
          <w:kern w:val="0"/>
          <w14:ligatures w14:val="none"/>
        </w:rPr>
        <w:t xml:space="preserve">we propose would use the </w:t>
      </w:r>
      <w:r w:rsidRPr="0007276F" w:rsidR="00D77984">
        <w:rPr>
          <w:color w:val="000000" w:themeColor="text1"/>
        </w:rPr>
        <w:t xml:space="preserve">ESEA </w:t>
      </w:r>
      <w:r w:rsidRPr="0007276F" w:rsidR="00C404F0">
        <w:rPr>
          <w:color w:val="000000" w:themeColor="text1"/>
          <w:kern w:val="0"/>
          <w14:ligatures w14:val="none"/>
        </w:rPr>
        <w:t xml:space="preserve">scores that were used to calculate proficiency in reading/language arts, mathematics, and science </w:t>
      </w:r>
      <w:r w:rsidRPr="0007276F" w:rsidR="0089040B">
        <w:rPr>
          <w:color w:val="000000" w:themeColor="text1"/>
          <w:kern w:val="0"/>
          <w14:ligatures w14:val="none"/>
        </w:rPr>
        <w:t>for State and local report cards under ESEA, Title I, Part A</w:t>
      </w:r>
      <w:r w:rsidRPr="0007276F" w:rsidR="007E7223">
        <w:rPr>
          <w:color w:val="000000" w:themeColor="text1"/>
          <w:kern w:val="0"/>
          <w14:ligatures w14:val="none"/>
        </w:rPr>
        <w:t xml:space="preserve">.  </w:t>
      </w:r>
      <w:r w:rsidRPr="0007276F" w:rsidR="00180271">
        <w:rPr>
          <w:color w:val="000000" w:themeColor="text1"/>
          <w:kern w:val="0"/>
          <w14:ligatures w14:val="none"/>
        </w:rPr>
        <w:t xml:space="preserve">These are the scores of all </w:t>
      </w:r>
      <w:r w:rsidRPr="0007276F" w:rsidR="007E7223">
        <w:rPr>
          <w:color w:val="000000" w:themeColor="text1"/>
          <w:kern w:val="0"/>
          <w14:ligatures w14:val="none"/>
        </w:rPr>
        <w:t xml:space="preserve">students who </w:t>
      </w:r>
      <w:r w:rsidRPr="0007276F" w:rsidR="00180271">
        <w:rPr>
          <w:color w:val="000000" w:themeColor="text1"/>
          <w:kern w:val="0"/>
          <w14:ligatures w14:val="none"/>
        </w:rPr>
        <w:t>took the assessment, including the s</w:t>
      </w:r>
      <w:r w:rsidRPr="0007276F" w:rsidR="007E7223">
        <w:rPr>
          <w:color w:val="000000" w:themeColor="text1"/>
          <w:kern w:val="0"/>
          <w14:ligatures w14:val="none"/>
        </w:rPr>
        <w:t>cores of students with partial attendance</w:t>
      </w:r>
      <w:r w:rsidRPr="0007276F" w:rsidR="009B6639">
        <w:rPr>
          <w:color w:val="000000" w:themeColor="text1"/>
        </w:rPr>
        <w:t>, which must be reported under ESEA</w:t>
      </w:r>
      <w:r w:rsidRPr="0007276F" w:rsidR="00956A20">
        <w:rPr>
          <w:color w:val="000000" w:themeColor="text1"/>
        </w:rPr>
        <w:t xml:space="preserve"> (though not used for the ESEA academic achievement indicator)</w:t>
      </w:r>
      <w:r w:rsidRPr="0007276F" w:rsidR="00180271">
        <w:rPr>
          <w:color w:val="000000" w:themeColor="text1"/>
          <w:kern w:val="0"/>
          <w14:ligatures w14:val="none"/>
        </w:rPr>
        <w:t>.</w:t>
      </w:r>
      <w:r>
        <w:rPr>
          <w:vertAlign w:val="superscript"/>
        </w:rPr>
        <w:footnoteReference w:id="4"/>
      </w:r>
      <w:r w:rsidRPr="0007276F" w:rsidR="007E7223">
        <w:rPr>
          <w:color w:val="000000" w:themeColor="text1"/>
          <w:kern w:val="0"/>
          <w14:ligatures w14:val="none"/>
        </w:rPr>
        <w:t xml:space="preserve">  </w:t>
      </w:r>
      <w:r w:rsidRPr="0007276F">
        <w:rPr>
          <w:color w:val="000000" w:themeColor="text1"/>
          <w:kern w:val="0"/>
          <w14:ligatures w14:val="none"/>
        </w:rPr>
        <w:t xml:space="preserve">Therefore, this specification would ensure that the </w:t>
      </w:r>
      <w:r w:rsidR="003654E6">
        <w:rPr>
          <w:color w:val="000000" w:themeColor="text1"/>
          <w:kern w:val="0"/>
          <w14:ligatures w14:val="none"/>
        </w:rPr>
        <w:t xml:space="preserve">assessment </w:t>
      </w:r>
      <w:r w:rsidRPr="0007276F">
        <w:rPr>
          <w:color w:val="000000" w:themeColor="text1"/>
          <w:kern w:val="0"/>
          <w14:ligatures w14:val="none"/>
        </w:rPr>
        <w:t xml:space="preserve">scores of all CTE concentrators on the ESEA assessments are counted in measuring academic proficiency for Perkins V. </w:t>
      </w:r>
    </w:p>
    <w:p w:rsidR="0007276F" w:rsidRPr="0007276F" w:rsidP="00680FEA" w14:paraId="2EC16A56" w14:textId="77777777">
      <w:pPr>
        <w:pStyle w:val="ListParagraph"/>
        <w:rPr>
          <w:color w:val="000000" w:themeColor="text1"/>
          <w:kern w:val="0"/>
          <w14:ligatures w14:val="none"/>
        </w:rPr>
      </w:pPr>
    </w:p>
    <w:p w:rsidR="004A21B6" w:rsidP="004A21B6" w14:paraId="499882AE" w14:textId="52778D8B">
      <w:pPr>
        <w:pStyle w:val="ListParagraph"/>
        <w:numPr>
          <w:ilvl w:val="0"/>
          <w:numId w:val="1"/>
        </w:numPr>
        <w:rPr>
          <w:color w:val="000000" w:themeColor="text1"/>
          <w:kern w:val="0"/>
          <w14:ligatures w14:val="none"/>
        </w:rPr>
      </w:pPr>
      <w:r>
        <w:rPr>
          <w:b/>
          <w:bCs/>
          <w:color w:val="000000" w:themeColor="text1"/>
          <w:kern w:val="0"/>
          <w14:ligatures w14:val="none"/>
        </w:rPr>
        <w:t xml:space="preserve">Specify that </w:t>
      </w:r>
      <w:r w:rsidR="00CE765D">
        <w:rPr>
          <w:b/>
          <w:bCs/>
          <w:color w:val="000000" w:themeColor="text1"/>
          <w:kern w:val="0"/>
          <w14:ligatures w14:val="none"/>
        </w:rPr>
        <w:t xml:space="preserve">the data </w:t>
      </w:r>
      <w:r w:rsidRPr="00DF371F">
        <w:rPr>
          <w:b/>
          <w:bCs/>
          <w:color w:val="000000" w:themeColor="text1"/>
          <w:kern w:val="0"/>
          <w14:ligatures w14:val="none"/>
        </w:rPr>
        <w:t xml:space="preserve">in the numerator only </w:t>
      </w:r>
      <w:r w:rsidR="00CE765D">
        <w:rPr>
          <w:b/>
          <w:bCs/>
          <w:color w:val="000000" w:themeColor="text1"/>
          <w:kern w:val="0"/>
          <w14:ligatures w14:val="none"/>
        </w:rPr>
        <w:t xml:space="preserve">include </w:t>
      </w:r>
      <w:r w:rsidRPr="00DF371F">
        <w:rPr>
          <w:b/>
          <w:bCs/>
          <w:color w:val="000000" w:themeColor="text1"/>
          <w:kern w:val="0"/>
          <w14:ligatures w14:val="none"/>
        </w:rPr>
        <w:t>CTE concentrators who achieved proficiency or higher.</w:t>
      </w:r>
      <w:r w:rsidRPr="00DF371F">
        <w:rPr>
          <w:color w:val="000000" w:themeColor="text1"/>
          <w:kern w:val="0"/>
          <w14:ligatures w14:val="none"/>
        </w:rPr>
        <w:t xml:space="preserve">  For high schools only, States may choose to include in the ESEA Title</w:t>
      </w:r>
      <w:r w:rsidR="00B8695A">
        <w:rPr>
          <w:color w:val="000000" w:themeColor="text1"/>
          <w:kern w:val="0"/>
          <w14:ligatures w14:val="none"/>
        </w:rPr>
        <w:t xml:space="preserve"> I</w:t>
      </w:r>
      <w:r w:rsidRPr="00DF371F">
        <w:rPr>
          <w:color w:val="000000" w:themeColor="text1"/>
          <w:kern w:val="0"/>
          <w14:ligatures w14:val="none"/>
        </w:rPr>
        <w:t xml:space="preserve">, Part A academic achievement indicator </w:t>
      </w:r>
      <w:r w:rsidRPr="00DF371F" w:rsidR="002417FF">
        <w:rPr>
          <w:color w:val="000000" w:themeColor="text1"/>
          <w:kern w:val="0"/>
          <w14:ligatures w14:val="none"/>
        </w:rPr>
        <w:t xml:space="preserve">the scores of </w:t>
      </w:r>
      <w:r w:rsidRPr="00DF371F">
        <w:rPr>
          <w:color w:val="000000" w:themeColor="text1"/>
          <w:kern w:val="0"/>
          <w14:ligatures w14:val="none"/>
        </w:rPr>
        <w:t>students who demonstrate growth in their performance on the reading/language arts and mathematics assessments, in addition to students who demonstrated proficiency.</w:t>
      </w:r>
      <w:r>
        <w:rPr>
          <w:color w:val="000000" w:themeColor="text1"/>
          <w:vertAlign w:val="superscript"/>
        </w:rPr>
        <w:footnoteReference w:id="5"/>
      </w:r>
      <w:r w:rsidRPr="00DF371F">
        <w:rPr>
          <w:color w:val="000000" w:themeColor="text1"/>
          <w:kern w:val="0"/>
          <w14:ligatures w14:val="none"/>
        </w:rPr>
        <w:t xml:space="preserve">  </w:t>
      </w:r>
      <w:r w:rsidRPr="00DF371F" w:rsidR="00C051EC">
        <w:rPr>
          <w:color w:val="000000" w:themeColor="text1"/>
          <w:kern w:val="0"/>
          <w14:ligatures w14:val="none"/>
        </w:rPr>
        <w:t xml:space="preserve">For the </w:t>
      </w:r>
      <w:r w:rsidR="00847C38">
        <w:rPr>
          <w:color w:val="000000" w:themeColor="text1"/>
          <w:kern w:val="0"/>
          <w14:ligatures w14:val="none"/>
        </w:rPr>
        <w:t xml:space="preserve">Perkins </w:t>
      </w:r>
      <w:r w:rsidRPr="00DF371F" w:rsidR="00C051EC">
        <w:rPr>
          <w:color w:val="000000" w:themeColor="text1"/>
          <w:kern w:val="0"/>
          <w14:ligatures w14:val="none"/>
        </w:rPr>
        <w:t xml:space="preserve">2022-23 reporting year, </w:t>
      </w:r>
      <w:r w:rsidR="00C051EC">
        <w:rPr>
          <w:color w:val="000000" w:themeColor="text1"/>
          <w:kern w:val="0"/>
          <w14:ligatures w14:val="none"/>
        </w:rPr>
        <w:t xml:space="preserve">based on the performance reports they submitted, </w:t>
      </w:r>
      <w:r w:rsidRPr="00DF371F" w:rsidR="00C051EC">
        <w:rPr>
          <w:color w:val="000000" w:themeColor="text1"/>
          <w:kern w:val="0"/>
          <w14:ligatures w14:val="none"/>
        </w:rPr>
        <w:t xml:space="preserve">two </w:t>
      </w:r>
      <w:r w:rsidR="007824ED">
        <w:rPr>
          <w:color w:val="000000" w:themeColor="text1"/>
          <w:kern w:val="0"/>
          <w14:ligatures w14:val="none"/>
        </w:rPr>
        <w:t>S</w:t>
      </w:r>
      <w:r w:rsidRPr="00DF371F" w:rsidR="00C051EC">
        <w:rPr>
          <w:color w:val="000000" w:themeColor="text1"/>
          <w:kern w:val="0"/>
          <w14:ligatures w14:val="none"/>
        </w:rPr>
        <w:t xml:space="preserve">tates </w:t>
      </w:r>
      <w:r w:rsidR="00C051EC">
        <w:rPr>
          <w:color w:val="000000" w:themeColor="text1"/>
          <w:kern w:val="0"/>
          <w14:ligatures w14:val="none"/>
        </w:rPr>
        <w:t>may</w:t>
      </w:r>
      <w:r w:rsidRPr="00DF371F" w:rsidR="00C051EC">
        <w:rPr>
          <w:color w:val="000000" w:themeColor="text1"/>
          <w:kern w:val="0"/>
          <w14:ligatures w14:val="none"/>
        </w:rPr>
        <w:t xml:space="preserve"> have counted the scores of CTE concentrators who demonstrated growth as if they achieved proficiency.</w:t>
      </w:r>
      <w:r w:rsidR="00C051EC">
        <w:rPr>
          <w:color w:val="000000" w:themeColor="text1"/>
          <w:kern w:val="0"/>
          <w14:ligatures w14:val="none"/>
        </w:rPr>
        <w:t xml:space="preserve"> </w:t>
      </w:r>
      <w:r w:rsidR="00CA6BBB">
        <w:rPr>
          <w:color w:val="000000" w:themeColor="text1"/>
          <w:kern w:val="0"/>
          <w14:ligatures w14:val="none"/>
        </w:rPr>
        <w:t xml:space="preserve">Section 113(b)(2)(A)(ii) of </w:t>
      </w:r>
      <w:r w:rsidRPr="00DF371F" w:rsidR="002417FF">
        <w:rPr>
          <w:color w:val="000000" w:themeColor="text1"/>
          <w:kern w:val="0"/>
          <w14:ligatures w14:val="none"/>
        </w:rPr>
        <w:t xml:space="preserve">Perkins V </w:t>
      </w:r>
      <w:r w:rsidR="000C0EC5">
        <w:rPr>
          <w:color w:val="000000" w:themeColor="text1"/>
          <w:kern w:val="0"/>
          <w14:ligatures w14:val="none"/>
        </w:rPr>
        <w:t>provides</w:t>
      </w:r>
      <w:r w:rsidRPr="00DF371F" w:rsidR="002417FF">
        <w:rPr>
          <w:color w:val="000000" w:themeColor="text1"/>
          <w:kern w:val="0"/>
          <w14:ligatures w14:val="none"/>
        </w:rPr>
        <w:t xml:space="preserve"> that the core indicator measures “CTE concentrator proficiency” exclusively. </w:t>
      </w:r>
      <w:r w:rsidR="00847C38">
        <w:rPr>
          <w:color w:val="000000" w:themeColor="text1"/>
          <w:kern w:val="0"/>
          <w14:ligatures w14:val="none"/>
        </w:rPr>
        <w:t xml:space="preserve">For this reason, the Department is specifying </w:t>
      </w:r>
      <w:r w:rsidRPr="000B0D17" w:rsidR="000B0D17">
        <w:rPr>
          <w:color w:val="000000" w:themeColor="text1"/>
          <w:kern w:val="0"/>
          <w14:ligatures w14:val="none"/>
        </w:rPr>
        <w:t xml:space="preserve">that the data sources for the academic proficiency indicator are the scores of CTE concentrators that are used to report on student performance in the State and LEA report cards under ESEA Title I, Part A. </w:t>
      </w:r>
    </w:p>
    <w:p w:rsidR="006608D3" w:rsidRPr="00DF371F" w:rsidP="00BD18A5" w14:paraId="57127570" w14:textId="77777777">
      <w:pPr>
        <w:pStyle w:val="ListParagraph"/>
        <w:rPr>
          <w:color w:val="000000" w:themeColor="text1"/>
          <w:kern w:val="0"/>
          <w14:ligatures w14:val="none"/>
        </w:rPr>
      </w:pPr>
    </w:p>
    <w:p w:rsidR="009F4876" w:rsidRPr="009F4876" w:rsidP="009F4876" w14:paraId="3F391FD0" w14:textId="23AC68B4">
      <w:pPr>
        <w:pStyle w:val="ListParagraph"/>
        <w:numPr>
          <w:ilvl w:val="0"/>
          <w:numId w:val="1"/>
        </w:numPr>
        <w:rPr>
          <w:color w:val="000000" w:themeColor="text1"/>
          <w:kern w:val="0"/>
          <w14:ligatures w14:val="none"/>
        </w:rPr>
      </w:pPr>
      <w:r w:rsidRPr="007A1589">
        <w:rPr>
          <w:b/>
          <w:bCs/>
          <w:color w:val="000000" w:themeColor="text1"/>
          <w:kern w:val="0"/>
          <w14:ligatures w14:val="none"/>
        </w:rPr>
        <w:t xml:space="preserve">Provide for the reporting of a CTE concentrator’s academic proficiency once only, in the reporting year they exit secondary education. </w:t>
      </w:r>
      <w:r>
        <w:rPr>
          <w:b/>
          <w:bCs/>
          <w:color w:val="000000" w:themeColor="text1"/>
          <w:kern w:val="0"/>
          <w14:ligatures w14:val="none"/>
        </w:rPr>
        <w:t xml:space="preserve"> </w:t>
      </w:r>
      <w:r w:rsidRPr="009F4876">
        <w:rPr>
          <w:color w:val="000000" w:themeColor="text1"/>
          <w:kern w:val="0"/>
          <w14:ligatures w14:val="none"/>
        </w:rPr>
        <w:t>Section 113(b)(3)(C)(iii) of Perkins V directs the Secretary to “ensure that each eligible agency does not report duplicative information” under section 113.  The</w:t>
      </w:r>
      <w:r w:rsidRPr="009F4876">
        <w:rPr>
          <w:color w:val="000000" w:themeColor="text1"/>
        </w:rPr>
        <w:t xml:space="preserve"> specifications</w:t>
      </w:r>
      <w:r w:rsidRPr="009F4876">
        <w:rPr>
          <w:color w:val="000000" w:themeColor="text1"/>
          <w:kern w:val="0"/>
          <w14:ligatures w14:val="none"/>
        </w:rPr>
        <w:t xml:space="preserve"> we are proposing for the numerators and denominators of the academic proficiency indicator would prevent the collection of duplicative information by </w:t>
      </w:r>
      <w:r w:rsidRPr="009F4876">
        <w:rPr>
          <w:b/>
          <w:bCs/>
          <w:color w:val="000000" w:themeColor="text1"/>
          <w:kern w:val="0"/>
          <w14:ligatures w14:val="none"/>
        </w:rPr>
        <w:t>including only the scores of CTE concentrators who exited secondary education in the reporting year (i.e</w:t>
      </w:r>
      <w:r w:rsidRPr="009F4876">
        <w:rPr>
          <w:b/>
          <w:color w:val="000000" w:themeColor="text1"/>
        </w:rPr>
        <w:t>.</w:t>
      </w:r>
      <w:r w:rsidRPr="009F4876">
        <w:rPr>
          <w:b/>
          <w:bCs/>
          <w:color w:val="000000" w:themeColor="text1"/>
          <w:kern w:val="0"/>
          <w14:ligatures w14:val="none"/>
        </w:rPr>
        <w:t xml:space="preserve">, use an exit cohort).  </w:t>
      </w:r>
      <w:r w:rsidRPr="009F4876">
        <w:rPr>
          <w:color w:val="000000" w:themeColor="text1"/>
          <w:kern w:val="0"/>
          <w14:ligatures w14:val="none"/>
        </w:rPr>
        <w:t xml:space="preserve">For the 2022-23 reporting year, </w:t>
      </w:r>
      <w:r w:rsidRPr="009F4876">
        <w:rPr>
          <w:color w:val="000000" w:themeColor="text1"/>
        </w:rPr>
        <w:t>22 states reported using an “active” cohort of students, which means that these States reported on all students who were presently enrolled across each grade level and who met the definition of CTE concentrator in the reporting year.  This includes all students who met the definition of CTE concentrator in the reporting year, which, depending on the State, could include students who are sophomores, juniors, and seniors.  For example, if a State assessment occurs in 10th grade and a student becomes a CTE concentrator in that same year, these States report on the academic proficiency of that student following the student’s enrollment in each of 10th, 11th, and 12th grades.  As a result, the State would be reporting on the academic proficiency of the same CTE concentrator in three consecutive years.  Another 26 States reported using an “exit” cohort, meaning that they reported only once on the academic proficiency of CTE concentrators, after they exited secondary school.  Additionally, it is unclear whether five States used an “active” or “exit” cohort.  We are proposing to collect data on CTE concentrators who exited secondary education in the reporting year for this indicator because Perkins V requires alignment of both the one-time ESEA assessment measuring proficiency and the identif</w:t>
      </w:r>
      <w:r w:rsidR="0092575C">
        <w:rPr>
          <w:color w:val="000000" w:themeColor="text1"/>
        </w:rPr>
        <w:t>ication</w:t>
      </w:r>
      <w:r w:rsidRPr="009F4876">
        <w:rPr>
          <w:color w:val="000000" w:themeColor="text1"/>
        </w:rPr>
        <w:t xml:space="preserve"> of CTE concentrators which may not be available until the student exits the program.  Reporting one-time assessment results for individual students in multiple years, i.e., the use of an “active” cohort, may result in duplicative reporting that section 113(b)(3)(C)(iii) directs the Department to prevent. </w:t>
      </w:r>
      <w:r>
        <w:rPr>
          <w:rStyle w:val="ui-provider"/>
        </w:rPr>
        <w:t>This change would also bring Perkins into alignment with ESEA approach to reporting proficiency data</w:t>
      </w:r>
      <w:r w:rsidR="003838DD">
        <w:rPr>
          <w:rStyle w:val="ui-provider"/>
        </w:rPr>
        <w:t xml:space="preserve"> </w:t>
      </w:r>
      <w:r w:rsidRPr="003838DD" w:rsidR="003838DD">
        <w:rPr>
          <w:rStyle w:val="ui-provider"/>
        </w:rPr>
        <w:t xml:space="preserve">(i.e. reporting student proficiency data only one time during secondary school). </w:t>
      </w:r>
      <w:r w:rsidR="00B04AC0">
        <w:rPr>
          <w:rStyle w:val="ui-provider"/>
        </w:rPr>
        <w:t xml:space="preserve"> </w:t>
      </w:r>
      <w:r>
        <w:rPr>
          <w:rStyle w:val="ui-provider"/>
        </w:rPr>
        <w:t xml:space="preserve"> </w:t>
      </w:r>
      <w:r w:rsidRPr="009F4876">
        <w:rPr>
          <w:color w:val="000000" w:themeColor="text1"/>
        </w:rPr>
        <w:t xml:space="preserve">We believe that reporting data on an exiting cohort would provide a more transparent picture of </w:t>
      </w:r>
      <w:r w:rsidR="00B14A90">
        <w:rPr>
          <w:color w:val="000000" w:themeColor="text1"/>
        </w:rPr>
        <w:t>CTE</w:t>
      </w:r>
      <w:r w:rsidRPr="009F4876">
        <w:rPr>
          <w:color w:val="000000" w:themeColor="text1"/>
        </w:rPr>
        <w:t xml:space="preserve"> concentrator academic proficiency for policymakers, taxpayers, and parents. </w:t>
      </w:r>
      <w:r w:rsidRPr="009F4876">
        <w:rPr>
          <w:color w:val="000000" w:themeColor="text1"/>
          <w:kern w:val="0"/>
          <w14:ligatures w14:val="none"/>
        </w:rPr>
        <w:t xml:space="preserve"> </w:t>
      </w:r>
    </w:p>
    <w:p w:rsidR="009F4876" w:rsidRPr="00DF371F" w:rsidP="007A166F" w14:paraId="33707C3F" w14:textId="77777777">
      <w:pPr>
        <w:pStyle w:val="ListParagraph"/>
        <w:rPr>
          <w:color w:val="000000" w:themeColor="text1"/>
          <w:kern w:val="0"/>
          <w14:ligatures w14:val="none"/>
        </w:rPr>
      </w:pPr>
    </w:p>
    <w:p w:rsidR="00EB27EF" w:rsidRPr="00DF371F" w:rsidP="006C3C76" w14:paraId="7BD5B8A7" w14:textId="77777777">
      <w:pPr>
        <w:rPr>
          <w:color w:val="000000" w:themeColor="text1"/>
          <w:kern w:val="0"/>
          <w:u w:val="single"/>
          <w14:ligatures w14:val="none"/>
        </w:rPr>
      </w:pPr>
      <w:r w:rsidRPr="00DF371F">
        <w:rPr>
          <w:color w:val="000000" w:themeColor="text1"/>
          <w:kern w:val="0"/>
          <w:u w:val="single"/>
          <w14:ligatures w14:val="none"/>
        </w:rPr>
        <w:t>Secondary Post-</w:t>
      </w:r>
      <w:r w:rsidRPr="00DF371F">
        <w:rPr>
          <w:color w:val="000000" w:themeColor="text1"/>
          <w:u w:val="single"/>
        </w:rPr>
        <w:t xml:space="preserve">Program Placement (3S1). </w:t>
      </w:r>
    </w:p>
    <w:p w:rsidR="00EB27EF" w:rsidRPr="00DF371F" w:rsidP="00684A46" w14:paraId="229A7EC3" w14:textId="0DC9C1F6">
      <w:pPr>
        <w:contextualSpacing/>
        <w:rPr>
          <w:color w:val="000000" w:themeColor="text1"/>
          <w:kern w:val="0"/>
          <w14:ligatures w14:val="none"/>
        </w:rPr>
      </w:pPr>
      <w:r w:rsidRPr="00DF371F">
        <w:rPr>
          <w:color w:val="000000" w:themeColor="text1"/>
          <w:kern w:val="0"/>
          <w14:ligatures w14:val="none"/>
        </w:rPr>
        <w:t xml:space="preserve">Section 113(b)(A)(iii) of Perkins V </w:t>
      </w:r>
      <w:r w:rsidRPr="00DF371F">
        <w:rPr>
          <w:color w:val="000000" w:themeColor="text1"/>
        </w:rPr>
        <w:t>identifies as a core indicator of performance th</w:t>
      </w:r>
      <w:r w:rsidRPr="00DF371F">
        <w:rPr>
          <w:color w:val="000000" w:themeColor="text1"/>
          <w:kern w:val="0"/>
          <w14:ligatures w14:val="none"/>
        </w:rPr>
        <w:t xml:space="preserve">e percentage of secondary CTE concentrators who, in the second quarter after exiting from secondary education, are in postsecondary education or advanced training, military service or a service program that receives assistance under </w:t>
      </w:r>
      <w:r w:rsidR="002C4EF1">
        <w:rPr>
          <w:color w:val="000000" w:themeColor="text1"/>
          <w:kern w:val="0"/>
          <w14:ligatures w14:val="none"/>
        </w:rPr>
        <w:t>T</w:t>
      </w:r>
      <w:r w:rsidRPr="00DF371F">
        <w:rPr>
          <w:color w:val="000000" w:themeColor="text1"/>
          <w:kern w:val="0"/>
          <w14:ligatures w14:val="none"/>
        </w:rPr>
        <w:t xml:space="preserve">itle I of the National and Community Service Act of 1990 (42 U.S.C. 12511 et seq.), are volunteers as described in section 5(a) of the Peace Corps Act (22 U.S.C. 2504(a)), or are employed.  </w:t>
      </w:r>
    </w:p>
    <w:p w:rsidR="00684A46" w:rsidRPr="00DF371F" w:rsidP="00684A46" w14:paraId="0B10FDD8" w14:textId="77777777">
      <w:pPr>
        <w:contextualSpacing/>
        <w:rPr>
          <w:color w:val="000000" w:themeColor="text1"/>
          <w:kern w:val="0"/>
          <w14:ligatures w14:val="none"/>
        </w:rPr>
      </w:pPr>
    </w:p>
    <w:p w:rsidR="00E625ED" w:rsidRPr="00DF371F" w:rsidP="00A335F3" w14:paraId="7AFFF6D3" w14:textId="283982F4">
      <w:pPr>
        <w:contextualSpacing/>
        <w:rPr>
          <w:color w:val="000000" w:themeColor="text1"/>
          <w:kern w:val="0"/>
          <w14:ligatures w14:val="none"/>
        </w:rPr>
      </w:pPr>
      <w:r w:rsidRPr="00DF371F">
        <w:rPr>
          <w:color w:val="000000" w:themeColor="text1"/>
          <w:kern w:val="0"/>
          <w14:ligatures w14:val="none"/>
        </w:rPr>
        <w:t xml:space="preserve">The </w:t>
      </w:r>
      <w:r w:rsidR="00603B55">
        <w:rPr>
          <w:color w:val="000000" w:themeColor="text1"/>
          <w:kern w:val="0"/>
          <w14:ligatures w14:val="none"/>
        </w:rPr>
        <w:t xml:space="preserve">ICR </w:t>
      </w:r>
      <w:r w:rsidRPr="00DF371F">
        <w:rPr>
          <w:color w:val="000000" w:themeColor="text1"/>
          <w:kern w:val="0"/>
          <w14:ligatures w14:val="none"/>
        </w:rPr>
        <w:t xml:space="preserve">numerator and denominator </w:t>
      </w:r>
      <w:r w:rsidR="00736EE2">
        <w:rPr>
          <w:color w:val="000000" w:themeColor="text1"/>
          <w:kern w:val="0"/>
          <w14:ligatures w14:val="none"/>
        </w:rPr>
        <w:t>specifications</w:t>
      </w:r>
      <w:r w:rsidR="00BD6E3F">
        <w:rPr>
          <w:color w:val="000000" w:themeColor="text1"/>
          <w:kern w:val="0"/>
          <w14:ligatures w14:val="none"/>
        </w:rPr>
        <w:t xml:space="preserve"> </w:t>
      </w:r>
      <w:r w:rsidR="005E744B">
        <w:rPr>
          <w:color w:val="000000" w:themeColor="text1"/>
          <w:kern w:val="0"/>
          <w14:ligatures w14:val="none"/>
        </w:rPr>
        <w:t>would</w:t>
      </w:r>
      <w:r w:rsidR="00BD6E3F">
        <w:rPr>
          <w:color w:val="000000" w:themeColor="text1"/>
          <w:kern w:val="0"/>
          <w14:ligatures w14:val="none"/>
        </w:rPr>
        <w:t xml:space="preserve"> </w:t>
      </w:r>
      <w:r w:rsidR="00155121">
        <w:rPr>
          <w:color w:val="000000" w:themeColor="text1"/>
          <w:kern w:val="0"/>
          <w14:ligatures w14:val="none"/>
        </w:rPr>
        <w:t>clarify</w:t>
      </w:r>
      <w:r w:rsidRPr="00DF371F" w:rsidR="006C3C76">
        <w:rPr>
          <w:color w:val="000000" w:themeColor="text1"/>
          <w:kern w:val="0"/>
          <w14:ligatures w14:val="none"/>
        </w:rPr>
        <w:t xml:space="preserve"> that States must</w:t>
      </w:r>
      <w:r w:rsidRPr="00DF371F" w:rsidR="00A335F3">
        <w:rPr>
          <w:color w:val="000000" w:themeColor="text1"/>
          <w:kern w:val="0"/>
          <w14:ligatures w14:val="none"/>
        </w:rPr>
        <w:t xml:space="preserve"> </w:t>
      </w:r>
      <w:r w:rsidRPr="00DF371F" w:rsidR="00A335F3">
        <w:rPr>
          <w:b/>
          <w:bCs/>
          <w:color w:val="000000" w:themeColor="text1"/>
          <w:kern w:val="0"/>
          <w14:ligatures w14:val="none"/>
        </w:rPr>
        <w:t>i</w:t>
      </w:r>
      <w:r w:rsidRPr="00DF371F">
        <w:rPr>
          <w:b/>
          <w:bCs/>
          <w:color w:val="000000" w:themeColor="text1"/>
          <w:kern w:val="0"/>
          <w14:ligatures w14:val="none"/>
        </w:rPr>
        <w:t>nclude all CTE concentrators in the numerator and denominator</w:t>
      </w:r>
      <w:r w:rsidR="00430075">
        <w:rPr>
          <w:b/>
          <w:bCs/>
          <w:color w:val="000000" w:themeColor="text1"/>
          <w:kern w:val="0"/>
          <w14:ligatures w14:val="none"/>
        </w:rPr>
        <w:t xml:space="preserve"> who exited</w:t>
      </w:r>
      <w:r w:rsidR="005E5205">
        <w:rPr>
          <w:b/>
          <w:bCs/>
          <w:color w:val="000000" w:themeColor="text1"/>
          <w:kern w:val="0"/>
          <w14:ligatures w14:val="none"/>
        </w:rPr>
        <w:t xml:space="preserve"> secondary education</w:t>
      </w:r>
      <w:r w:rsidRPr="00DF371F">
        <w:rPr>
          <w:b/>
          <w:bCs/>
          <w:color w:val="000000" w:themeColor="text1"/>
          <w:kern w:val="0"/>
          <w14:ligatures w14:val="none"/>
        </w:rPr>
        <w:t>, not only those who graduated</w:t>
      </w:r>
      <w:r w:rsidRPr="00DF371F">
        <w:rPr>
          <w:color w:val="000000" w:themeColor="text1"/>
          <w:kern w:val="0"/>
          <w14:ligatures w14:val="none"/>
        </w:rPr>
        <w:t xml:space="preserve">. </w:t>
      </w:r>
      <w:r w:rsidRPr="00DF371F" w:rsidR="006C3C76">
        <w:rPr>
          <w:color w:val="000000" w:themeColor="text1"/>
          <w:kern w:val="0"/>
          <w14:ligatures w14:val="none"/>
        </w:rPr>
        <w:t xml:space="preserve"> For the 2022-23 reporting year, </w:t>
      </w:r>
      <w:r w:rsidR="00736EE2">
        <w:rPr>
          <w:color w:val="000000" w:themeColor="text1"/>
          <w:kern w:val="0"/>
          <w14:ligatures w14:val="none"/>
        </w:rPr>
        <w:t xml:space="preserve">it appears that </w:t>
      </w:r>
      <w:r w:rsidRPr="00DF371F" w:rsidR="006C3C76">
        <w:rPr>
          <w:color w:val="000000" w:themeColor="text1"/>
          <w:kern w:val="0"/>
          <w14:ligatures w14:val="none"/>
        </w:rPr>
        <w:t>a</w:t>
      </w:r>
      <w:r w:rsidRPr="00DF371F">
        <w:rPr>
          <w:color w:val="000000" w:themeColor="text1"/>
          <w:kern w:val="0"/>
          <w14:ligatures w14:val="none"/>
        </w:rPr>
        <w:t xml:space="preserve">t least 18 States </w:t>
      </w:r>
      <w:r w:rsidR="00736EE2">
        <w:rPr>
          <w:color w:val="000000" w:themeColor="text1"/>
          <w:kern w:val="0"/>
          <w14:ligatures w14:val="none"/>
        </w:rPr>
        <w:t xml:space="preserve">may have </w:t>
      </w:r>
      <w:r w:rsidRPr="00DF371F">
        <w:rPr>
          <w:color w:val="000000" w:themeColor="text1"/>
          <w:kern w:val="0"/>
          <w14:ligatures w14:val="none"/>
        </w:rPr>
        <w:t xml:space="preserve">reported only on the post-program outcomes of CTE concentrators who graduated from high school, excluding CTE concentrators who exited from secondary education without </w:t>
      </w:r>
      <w:r w:rsidR="006D3DE4">
        <w:rPr>
          <w:color w:val="000000" w:themeColor="text1"/>
          <w:kern w:val="0"/>
          <w14:ligatures w14:val="none"/>
        </w:rPr>
        <w:t>graduating</w:t>
      </w:r>
      <w:r w:rsidRPr="00DF371F">
        <w:rPr>
          <w:color w:val="000000" w:themeColor="text1"/>
          <w:kern w:val="0"/>
          <w14:ligatures w14:val="none"/>
        </w:rPr>
        <w:t xml:space="preserve">.  The statute refers to only “CTE concentrators who, in the second quarter after exiting from secondary education” and does not limit the measure to CTE concentrators who graduated from high school.  </w:t>
      </w:r>
      <w:r w:rsidR="004639F0">
        <w:rPr>
          <w:color w:val="000000" w:themeColor="text1"/>
          <w:kern w:val="0"/>
          <w14:ligatures w14:val="none"/>
        </w:rPr>
        <w:t xml:space="preserve">Under the proposed revisions, </w:t>
      </w:r>
      <w:r w:rsidRPr="00DF371F">
        <w:rPr>
          <w:color w:val="000000" w:themeColor="text1"/>
          <w:kern w:val="0"/>
          <w14:ligatures w14:val="none"/>
        </w:rPr>
        <w:t xml:space="preserve">States must include all CTE concentrators who exited secondary education in the numerator and denominator. </w:t>
      </w:r>
    </w:p>
    <w:p w:rsidR="007A166F" w:rsidP="00A335F3" w14:paraId="455D0029" w14:textId="77777777">
      <w:pPr>
        <w:contextualSpacing/>
        <w:rPr>
          <w:color w:val="000000" w:themeColor="text1"/>
          <w:kern w:val="0"/>
          <w14:ligatures w14:val="none"/>
        </w:rPr>
      </w:pPr>
    </w:p>
    <w:p w:rsidR="00E0223A" w:rsidP="00A335F3" w14:paraId="6D5CF80E" w14:textId="4564C16B">
      <w:pPr>
        <w:contextualSpacing/>
        <w:rPr>
          <w:color w:val="000000" w:themeColor="text1"/>
          <w:kern w:val="0"/>
          <w14:ligatures w14:val="none"/>
        </w:rPr>
      </w:pPr>
      <w:r>
        <w:rPr>
          <w:color w:val="000000" w:themeColor="text1"/>
          <w:kern w:val="0"/>
          <w14:ligatures w14:val="none"/>
        </w:rPr>
        <w:t xml:space="preserve">The Department is also including specifications that address the </w:t>
      </w:r>
      <w:r w:rsidR="001C6675">
        <w:rPr>
          <w:color w:val="000000" w:themeColor="text1"/>
          <w:kern w:val="0"/>
          <w14:ligatures w14:val="none"/>
        </w:rPr>
        <w:t xml:space="preserve">timing of the program year that should be included in the numerator and denominator for the post-program secondary indicator. The justification for this change is discussed more fully in the postsecondary indicator, which contains a similarly constructed revision. </w:t>
      </w:r>
    </w:p>
    <w:p w:rsidR="007A166F" w:rsidP="000F70ED" w14:paraId="35A85880" w14:textId="77777777">
      <w:pPr>
        <w:contextualSpacing/>
        <w:rPr>
          <w:color w:val="000000" w:themeColor="text1"/>
          <w:kern w:val="0"/>
          <w:u w:val="single"/>
          <w14:ligatures w14:val="none"/>
        </w:rPr>
      </w:pPr>
    </w:p>
    <w:p w:rsidR="000F70ED" w:rsidRPr="00DF371F" w:rsidP="000F70ED" w14:paraId="0C18D3FC" w14:textId="37904B5F">
      <w:pPr>
        <w:contextualSpacing/>
        <w:rPr>
          <w:color w:val="000000" w:themeColor="text1"/>
          <w:u w:val="single"/>
        </w:rPr>
      </w:pPr>
      <w:r w:rsidRPr="00DF371F">
        <w:rPr>
          <w:color w:val="000000" w:themeColor="text1"/>
          <w:kern w:val="0"/>
          <w:u w:val="single"/>
          <w14:ligatures w14:val="none"/>
        </w:rPr>
        <w:t>Secondary and Postsecondary CTE Concentrators in Non-traditional Fields (4S1 and 3P1).</w:t>
      </w:r>
    </w:p>
    <w:p w:rsidR="000F70ED" w:rsidRPr="00DF371F" w:rsidP="000F70ED" w14:paraId="2F89146F" w14:textId="77777777">
      <w:pPr>
        <w:contextualSpacing/>
        <w:rPr>
          <w:color w:val="000000" w:themeColor="text1"/>
        </w:rPr>
      </w:pPr>
    </w:p>
    <w:p w:rsidR="000F70ED" w:rsidRPr="00DF371F" w:rsidP="000F70ED" w14:paraId="38E1AE68" w14:textId="53A390BE">
      <w:pPr>
        <w:contextualSpacing/>
        <w:rPr>
          <w:color w:val="000000" w:themeColor="text1"/>
        </w:rPr>
      </w:pPr>
      <w:r w:rsidRPr="00DF371F">
        <w:rPr>
          <w:color w:val="000000" w:themeColor="text1"/>
        </w:rPr>
        <w:t>Sections 113(b)(2)(A)(v) and 113(b)(2)(B)(iii) of Perkins V establishes as core indicators of performance the percentage of secondary and postsecondary CTE concentrators, respectively, in CTE programs and programs of study that lead to non-traditional fields.  Section 3(33) of Perkins V defines the term “non-traditional fields” as “occupations or fields of work, such as careers in computer science, technology, and other current and emerging high skill occupations, for which individuals from one gender comprise less than 25 percent of the individuals employed in each such occupation or field of work.”</w:t>
      </w:r>
      <w:r w:rsidR="00EA47CE">
        <w:rPr>
          <w:color w:val="000000" w:themeColor="text1"/>
        </w:rPr>
        <w:t xml:space="preserve"> The Department is proposing specifying numerators and denominators for both the secondary and postsecondary indicators </w:t>
      </w:r>
      <w:r w:rsidR="00F65C78">
        <w:rPr>
          <w:color w:val="000000" w:themeColor="text1"/>
        </w:rPr>
        <w:t xml:space="preserve">in a similar fashion </w:t>
      </w:r>
      <w:r w:rsidR="00EA47CE">
        <w:rPr>
          <w:color w:val="000000" w:themeColor="text1"/>
        </w:rPr>
        <w:t xml:space="preserve">and describes the justification for both as follows. </w:t>
      </w:r>
    </w:p>
    <w:p w:rsidR="000F70ED" w:rsidRPr="00DF371F" w:rsidP="000F70ED" w14:paraId="44EC9B94" w14:textId="77777777">
      <w:pPr>
        <w:contextualSpacing/>
        <w:rPr>
          <w:color w:val="000000" w:themeColor="text1"/>
        </w:rPr>
      </w:pPr>
    </w:p>
    <w:p w:rsidR="000F70ED" w:rsidRPr="00DF371F" w:rsidP="000F70ED" w14:paraId="441967C3" w14:textId="45AB30EB">
      <w:pPr>
        <w:contextualSpacing/>
        <w:rPr>
          <w:color w:val="000000" w:themeColor="text1"/>
        </w:rPr>
      </w:pPr>
      <w:r>
        <w:rPr>
          <w:color w:val="000000" w:themeColor="text1"/>
        </w:rPr>
        <w:t xml:space="preserve">During the 2022-23 reporting year, </w:t>
      </w:r>
      <w:r w:rsidR="003838DD">
        <w:rPr>
          <w:color w:val="000000" w:themeColor="text1"/>
        </w:rPr>
        <w:t>most</w:t>
      </w:r>
      <w:r w:rsidRPr="00DF371F">
        <w:rPr>
          <w:color w:val="000000" w:themeColor="text1"/>
        </w:rPr>
        <w:t xml:space="preserve"> States </w:t>
      </w:r>
      <w:r>
        <w:rPr>
          <w:color w:val="000000" w:themeColor="text1"/>
        </w:rPr>
        <w:t>measured</w:t>
      </w:r>
      <w:r w:rsidRPr="00DF371F">
        <w:rPr>
          <w:color w:val="000000" w:themeColor="text1"/>
        </w:rPr>
        <w:t xml:space="preserve"> these two core indicators in the same way, with the same numerators and denominators.  The small number of States that established different definitions preclude the aggregation of the data to measure national progress in reducing occupational segregation by gender and to compare performance on these indicators across States.  We are proposing </w:t>
      </w:r>
      <w:r>
        <w:rPr>
          <w:color w:val="000000" w:themeColor="text1"/>
        </w:rPr>
        <w:t>specifications</w:t>
      </w:r>
      <w:r w:rsidRPr="111F6AFA">
        <w:rPr>
          <w:color w:val="000000" w:themeColor="text1"/>
        </w:rPr>
        <w:t xml:space="preserve"> for these</w:t>
      </w:r>
      <w:r>
        <w:rPr>
          <w:color w:val="000000" w:themeColor="text1"/>
        </w:rPr>
        <w:t xml:space="preserve"> </w:t>
      </w:r>
      <w:r w:rsidRPr="00DF371F">
        <w:rPr>
          <w:color w:val="000000" w:themeColor="text1"/>
        </w:rPr>
        <w:t xml:space="preserve">numerators and denominators that </w:t>
      </w:r>
      <w:r w:rsidR="001C2F5A">
        <w:rPr>
          <w:color w:val="000000" w:themeColor="text1"/>
        </w:rPr>
        <w:t xml:space="preserve">best reflect the statute and </w:t>
      </w:r>
      <w:r w:rsidR="00FF4ACF">
        <w:rPr>
          <w:color w:val="000000" w:themeColor="text1"/>
        </w:rPr>
        <w:t xml:space="preserve">that </w:t>
      </w:r>
      <w:r>
        <w:rPr>
          <w:color w:val="000000" w:themeColor="text1"/>
        </w:rPr>
        <w:t xml:space="preserve">are consistent with the manner in which the </w:t>
      </w:r>
      <w:r w:rsidRPr="6C8D417F">
        <w:rPr>
          <w:color w:val="000000" w:themeColor="text1"/>
        </w:rPr>
        <w:t>majority of States</w:t>
      </w:r>
      <w:r>
        <w:rPr>
          <w:color w:val="000000" w:themeColor="text1"/>
        </w:rPr>
        <w:t xml:space="preserve"> </w:t>
      </w:r>
      <w:r w:rsidR="00C73EBD">
        <w:rPr>
          <w:color w:val="000000" w:themeColor="text1"/>
        </w:rPr>
        <w:t>now</w:t>
      </w:r>
      <w:r>
        <w:rPr>
          <w:color w:val="000000" w:themeColor="text1"/>
        </w:rPr>
        <w:t xml:space="preserve"> </w:t>
      </w:r>
      <w:r w:rsidR="00C73EBD">
        <w:rPr>
          <w:color w:val="000000" w:themeColor="text1"/>
        </w:rPr>
        <w:t xml:space="preserve">report </w:t>
      </w:r>
      <w:r>
        <w:rPr>
          <w:color w:val="000000" w:themeColor="text1"/>
        </w:rPr>
        <w:t xml:space="preserve"> the data</w:t>
      </w:r>
      <w:r w:rsidRPr="00DF371F">
        <w:rPr>
          <w:color w:val="000000" w:themeColor="text1"/>
        </w:rPr>
        <w:t>:</w:t>
      </w:r>
    </w:p>
    <w:p w:rsidR="000F70ED" w:rsidRPr="00DF371F" w:rsidP="000F70ED" w14:paraId="1DAE8C5E" w14:textId="6226470B">
      <w:pPr>
        <w:pStyle w:val="ListParagraph"/>
        <w:numPr>
          <w:ilvl w:val="0"/>
          <w:numId w:val="4"/>
        </w:numPr>
        <w:rPr>
          <w:color w:val="000000" w:themeColor="text1"/>
          <w:kern w:val="0"/>
          <w14:ligatures w14:val="none"/>
        </w:rPr>
      </w:pPr>
      <w:r w:rsidRPr="111F6AFA">
        <w:rPr>
          <w:b/>
          <w:color w:val="000000" w:themeColor="text1"/>
        </w:rPr>
        <w:t xml:space="preserve">Specify </w:t>
      </w:r>
      <w:r w:rsidRPr="00F91CD5">
        <w:rPr>
          <w:b/>
          <w:bCs/>
          <w:color w:val="000000" w:themeColor="text1"/>
          <w:kern w:val="0"/>
          <w14:ligatures w14:val="none"/>
        </w:rPr>
        <w:t xml:space="preserve">that the denominator is the number of CTE concentrators who are concentrating their studies in a CTE program or program of study that leads to a non-traditional field, not all CTE concentrators. </w:t>
      </w:r>
      <w:r w:rsidRPr="00F91CD5">
        <w:rPr>
          <w:color w:val="000000" w:themeColor="text1"/>
          <w:kern w:val="0"/>
          <w14:ligatures w14:val="none"/>
        </w:rPr>
        <w:t xml:space="preserve"> During the 2022-23 reporting year, all States </w:t>
      </w:r>
      <w:r w:rsidRPr="111F6AFA">
        <w:rPr>
          <w:color w:val="000000" w:themeColor="text1"/>
        </w:rPr>
        <w:t xml:space="preserve">used the same data source for the </w:t>
      </w:r>
      <w:r w:rsidRPr="00F91CD5">
        <w:rPr>
          <w:color w:val="000000" w:themeColor="text1"/>
          <w:kern w:val="0"/>
          <w14:ligatures w14:val="none"/>
        </w:rPr>
        <w:t>numerator for 4S1</w:t>
      </w:r>
      <w:r w:rsidRPr="111F6AFA">
        <w:rPr>
          <w:color w:val="000000" w:themeColor="text1"/>
        </w:rPr>
        <w:t>:</w:t>
      </w:r>
      <w:r w:rsidRPr="00F91CD5">
        <w:rPr>
          <w:color w:val="000000" w:themeColor="text1"/>
          <w:kern w:val="0"/>
          <w14:ligatures w14:val="none"/>
        </w:rPr>
        <w:t xml:space="preserve"> the number of CTE concentrators in programs designated as non-traditional </w:t>
      </w:r>
      <w:r w:rsidRPr="00F91CD5">
        <w:rPr>
          <w:color w:val="000000" w:themeColor="text1"/>
          <w:kern w:val="0"/>
          <w14:ligatures w14:val="none"/>
        </w:rPr>
        <w:t xml:space="preserve">for males or females who are the gender that is non-traditional for the program, such as, for example, males in nursing and females in automotive technology.  All but 8 States identified as the denominator for 4S1 the total number of CTE concentrators in programs designated as non-traditional for males or females.  The remaining 8 States identified as the denominator for 4S1 the total number of CTE concentrators in all programs.  There was less variation in how States measured 3P1; only 4 States identified as the denominator for 3P1 all CTE concentrators.  </w:t>
      </w:r>
      <w:r w:rsidRPr="006128B5" w:rsidR="006128B5">
        <w:rPr>
          <w:color w:val="000000" w:themeColor="text1"/>
          <w:kern w:val="0"/>
          <w14:ligatures w14:val="none"/>
        </w:rPr>
        <w:t>Four of the States that identified the total number of CTE concentrators as the denominator for 4S1 did not do this for 3P1; like most other States, they instead identified as the denominator for 3P1 the total number of CTE concentrators in programs designated as non-traditional for males or females.</w:t>
      </w:r>
      <w:r w:rsidR="006128B5">
        <w:rPr>
          <w:color w:val="000000" w:themeColor="text1"/>
          <w:kern w:val="0"/>
          <w14:ligatures w14:val="none"/>
        </w:rPr>
        <w:t xml:space="preserve">  </w:t>
      </w:r>
      <w:r w:rsidRPr="00F91CD5">
        <w:rPr>
          <w:color w:val="000000" w:themeColor="text1"/>
          <w:kern w:val="0"/>
          <w14:ligatures w14:val="none"/>
        </w:rPr>
        <w:t xml:space="preserve">We propose to </w:t>
      </w:r>
      <w:r>
        <w:rPr>
          <w:color w:val="000000" w:themeColor="text1"/>
          <w:kern w:val="0"/>
          <w14:ligatures w14:val="none"/>
        </w:rPr>
        <w:t>collect</w:t>
      </w:r>
      <w:r w:rsidRPr="00F91CD5">
        <w:rPr>
          <w:color w:val="000000" w:themeColor="text1"/>
          <w:kern w:val="0"/>
          <w14:ligatures w14:val="none"/>
        </w:rPr>
        <w:t xml:space="preserve"> the number of CTE concentrators who are in CTE programs and programs of study that lead to non-traditional fields as the denominator (i.e., the approach taken by most States) for 4S1 and 3P1 because it </w:t>
      </w:r>
      <w:r w:rsidRPr="111F6AFA">
        <w:rPr>
          <w:color w:val="000000" w:themeColor="text1"/>
        </w:rPr>
        <w:t xml:space="preserve">results in the collection of data that </w:t>
      </w:r>
      <w:r w:rsidRPr="00F91CD5">
        <w:rPr>
          <w:color w:val="000000" w:themeColor="text1"/>
          <w:kern w:val="0"/>
          <w14:ligatures w14:val="none"/>
        </w:rPr>
        <w:t xml:space="preserve">measures the extent to which segregation by gender in CTE programs and programs of study that lead to non-traditional fields is being reduced, </w:t>
      </w:r>
      <w:r w:rsidRPr="111F6AFA">
        <w:rPr>
          <w:color w:val="000000" w:themeColor="text1"/>
        </w:rPr>
        <w:t>consistent with</w:t>
      </w:r>
      <w:r w:rsidRPr="00F91CD5">
        <w:rPr>
          <w:color w:val="000000" w:themeColor="text1"/>
          <w:kern w:val="0"/>
          <w14:ligatures w14:val="none"/>
        </w:rPr>
        <w:t xml:space="preserve"> the </w:t>
      </w:r>
      <w:r w:rsidRPr="111F6AFA">
        <w:rPr>
          <w:color w:val="000000" w:themeColor="text1"/>
        </w:rPr>
        <w:t>Perkins statute</w:t>
      </w:r>
      <w:r w:rsidRPr="00F91CD5">
        <w:rPr>
          <w:color w:val="000000" w:themeColor="text1"/>
          <w:kern w:val="0"/>
          <w14:ligatures w14:val="none"/>
        </w:rPr>
        <w:t>.</w:t>
      </w:r>
      <w:r w:rsidRPr="0096562E">
        <w:rPr>
          <w:color w:val="000000" w:themeColor="text1"/>
          <w:kern w:val="0"/>
          <w14:ligatures w14:val="none"/>
        </w:rPr>
        <w:t xml:space="preserve"> </w:t>
      </w:r>
      <w:r w:rsidRPr="00F91CD5">
        <w:rPr>
          <w:color w:val="000000" w:themeColor="text1"/>
          <w:kern w:val="0"/>
          <w14:ligatures w14:val="none"/>
        </w:rPr>
        <w:t xml:space="preserve"> </w:t>
      </w:r>
      <w:r w:rsidRPr="111F6AFA">
        <w:rPr>
          <w:color w:val="000000" w:themeColor="text1"/>
        </w:rPr>
        <w:t>If States continued u</w:t>
      </w:r>
      <w:r w:rsidRPr="00F91CD5">
        <w:rPr>
          <w:color w:val="000000" w:themeColor="text1"/>
          <w:kern w:val="0"/>
          <w14:ligatures w14:val="none"/>
        </w:rPr>
        <w:t xml:space="preserve">sing </w:t>
      </w:r>
      <w:r w:rsidRPr="111F6AFA">
        <w:rPr>
          <w:color w:val="000000" w:themeColor="text1"/>
        </w:rPr>
        <w:t xml:space="preserve">the alternative measurement approach, </w:t>
      </w:r>
      <w:r w:rsidRPr="00F91CD5">
        <w:rPr>
          <w:color w:val="000000" w:themeColor="text1"/>
          <w:kern w:val="0"/>
          <w14:ligatures w14:val="none"/>
        </w:rPr>
        <w:t>the total number of CTE concentrators as the denominator</w:t>
      </w:r>
      <w:r w:rsidRPr="111F6AFA">
        <w:rPr>
          <w:color w:val="000000" w:themeColor="text1"/>
        </w:rPr>
        <w:t>,</w:t>
      </w:r>
      <w:r w:rsidRPr="00F91CD5">
        <w:rPr>
          <w:color w:val="000000" w:themeColor="text1"/>
          <w:kern w:val="0"/>
          <w14:ligatures w14:val="none"/>
        </w:rPr>
        <w:t xml:space="preserve"> </w:t>
      </w:r>
      <w:r w:rsidRPr="111F6AFA">
        <w:rPr>
          <w:color w:val="000000" w:themeColor="text1"/>
        </w:rPr>
        <w:t>this indicator would be redundant</w:t>
      </w:r>
      <w:r w:rsidR="00DE367F">
        <w:rPr>
          <w:color w:val="000000" w:themeColor="text1"/>
        </w:rPr>
        <w:t>. T</w:t>
      </w:r>
      <w:r w:rsidRPr="00F91CD5">
        <w:rPr>
          <w:color w:val="000000" w:themeColor="text1"/>
          <w:kern w:val="0"/>
          <w14:ligatures w14:val="none"/>
        </w:rPr>
        <w:t>h</w:t>
      </w:r>
      <w:r w:rsidRPr="111F6AFA">
        <w:rPr>
          <w:color w:val="000000" w:themeColor="text1"/>
        </w:rPr>
        <w:t xml:space="preserve">e </w:t>
      </w:r>
      <w:r w:rsidRPr="00F91CD5">
        <w:rPr>
          <w:color w:val="000000" w:themeColor="text1"/>
          <w:kern w:val="0"/>
          <w14:ligatures w14:val="none"/>
        </w:rPr>
        <w:t>ICR already collects this information</w:t>
      </w:r>
      <w:r w:rsidRPr="00F91CD5">
        <w:t xml:space="preserve"> </w:t>
      </w:r>
      <w:r>
        <w:t xml:space="preserve">on the </w:t>
      </w:r>
      <w:r w:rsidRPr="00F91CD5">
        <w:rPr>
          <w:color w:val="000000" w:themeColor="text1"/>
          <w:kern w:val="0"/>
          <w14:ligatures w14:val="none"/>
        </w:rPr>
        <w:t>CTE Concentrator Enrollment Form</w:t>
      </w:r>
      <w:r>
        <w:rPr>
          <w:color w:val="000000" w:themeColor="text1"/>
          <w:kern w:val="0"/>
          <w14:ligatures w14:val="none"/>
        </w:rPr>
        <w:t>,</w:t>
      </w:r>
      <w:r w:rsidRPr="00F91CD5">
        <w:rPr>
          <w:color w:val="000000" w:themeColor="text1"/>
          <w:kern w:val="0"/>
          <w14:ligatures w14:val="none"/>
        </w:rPr>
        <w:t xml:space="preserve"> </w:t>
      </w:r>
      <w:r>
        <w:rPr>
          <w:color w:val="000000" w:themeColor="text1"/>
          <w:kern w:val="0"/>
          <w14:ligatures w14:val="none"/>
        </w:rPr>
        <w:t>which</w:t>
      </w:r>
      <w:r w:rsidRPr="00F91CD5">
        <w:rPr>
          <w:color w:val="000000" w:themeColor="text1"/>
          <w:kern w:val="0"/>
          <w14:ligatures w14:val="none"/>
        </w:rPr>
        <w:t xml:space="preserve"> requir</w:t>
      </w:r>
      <w:r>
        <w:rPr>
          <w:color w:val="000000" w:themeColor="text1"/>
          <w:kern w:val="0"/>
          <w14:ligatures w14:val="none"/>
        </w:rPr>
        <w:t>es</w:t>
      </w:r>
      <w:r w:rsidRPr="00F91CD5">
        <w:rPr>
          <w:color w:val="000000" w:themeColor="text1"/>
          <w:kern w:val="0"/>
          <w14:ligatures w14:val="none"/>
        </w:rPr>
        <w:t xml:space="preserve"> States to disaggregate the number of CTE concentrators who are enrolled in CTE programs or programs of study that are non-traditional for their gender. </w:t>
      </w:r>
    </w:p>
    <w:p w:rsidR="000F70ED" w:rsidRPr="00F91CD5" w:rsidP="000F70ED" w14:paraId="4C4BB489" w14:textId="77777777">
      <w:pPr>
        <w:pStyle w:val="ListParagraph"/>
        <w:rPr>
          <w:color w:val="000000" w:themeColor="text1"/>
          <w:kern w:val="0"/>
          <w14:ligatures w14:val="none"/>
        </w:rPr>
      </w:pPr>
    </w:p>
    <w:p w:rsidR="000F70ED" w:rsidRPr="00DF371F" w:rsidP="000F70ED" w14:paraId="0F59C310" w14:textId="5B3C47B2">
      <w:pPr>
        <w:pStyle w:val="ListParagraph"/>
        <w:numPr>
          <w:ilvl w:val="0"/>
          <w:numId w:val="4"/>
        </w:numPr>
        <w:rPr>
          <w:color w:val="000000" w:themeColor="text1"/>
        </w:rPr>
      </w:pPr>
      <w:r w:rsidRPr="111F6AFA">
        <w:rPr>
          <w:b/>
          <w:color w:val="000000" w:themeColor="text1"/>
        </w:rPr>
        <w:t xml:space="preserve">Specify </w:t>
      </w:r>
      <w:r w:rsidRPr="00DF371F">
        <w:rPr>
          <w:b/>
          <w:bCs/>
          <w:color w:val="000000" w:themeColor="text1"/>
          <w:kern w:val="0"/>
          <w14:ligatures w14:val="none"/>
        </w:rPr>
        <w:t xml:space="preserve">that the </w:t>
      </w:r>
      <w:r w:rsidR="00597057">
        <w:rPr>
          <w:b/>
          <w:bCs/>
          <w:color w:val="000000" w:themeColor="text1"/>
          <w:kern w:val="0"/>
          <w14:ligatures w14:val="none"/>
        </w:rPr>
        <w:t xml:space="preserve">students </w:t>
      </w:r>
      <w:r w:rsidR="0045006D">
        <w:rPr>
          <w:b/>
          <w:bCs/>
          <w:color w:val="000000" w:themeColor="text1"/>
          <w:kern w:val="0"/>
          <w14:ligatures w14:val="none"/>
        </w:rPr>
        <w:t>who</w:t>
      </w:r>
      <w:r w:rsidRPr="111F6AFA">
        <w:rPr>
          <w:b/>
          <w:color w:val="000000" w:themeColor="text1"/>
        </w:rPr>
        <w:t xml:space="preserve"> </w:t>
      </w:r>
      <w:r w:rsidRPr="00DF371F">
        <w:rPr>
          <w:b/>
          <w:bCs/>
          <w:color w:val="000000" w:themeColor="text1"/>
          <w:kern w:val="0"/>
          <w14:ligatures w14:val="none"/>
        </w:rPr>
        <w:t xml:space="preserve">are </w:t>
      </w:r>
      <w:r w:rsidRPr="111F6AFA">
        <w:rPr>
          <w:b/>
          <w:color w:val="000000" w:themeColor="text1"/>
        </w:rPr>
        <w:t xml:space="preserve">CTE concentrators </w:t>
      </w:r>
      <w:r w:rsidR="0045006D">
        <w:rPr>
          <w:b/>
          <w:color w:val="000000" w:themeColor="text1"/>
        </w:rPr>
        <w:t>and</w:t>
      </w:r>
      <w:r w:rsidRPr="111F6AFA" w:rsidR="0045006D">
        <w:rPr>
          <w:b/>
          <w:color w:val="000000" w:themeColor="text1"/>
        </w:rPr>
        <w:t xml:space="preserve"> </w:t>
      </w:r>
      <w:r w:rsidRPr="111F6AFA">
        <w:rPr>
          <w:b/>
          <w:color w:val="000000" w:themeColor="text1"/>
        </w:rPr>
        <w:t xml:space="preserve">are </w:t>
      </w:r>
      <w:r w:rsidRPr="00DF371F">
        <w:rPr>
          <w:b/>
          <w:bCs/>
          <w:color w:val="000000" w:themeColor="text1"/>
          <w:kern w:val="0"/>
          <w14:ligatures w14:val="none"/>
        </w:rPr>
        <w:t>concentrating their studies in a CTE program or program of study that leads to non-traditional fields</w:t>
      </w:r>
      <w:r w:rsidR="00D40B20">
        <w:rPr>
          <w:b/>
          <w:bCs/>
          <w:color w:val="000000" w:themeColor="text1"/>
          <w:kern w:val="0"/>
          <w14:ligatures w14:val="none"/>
        </w:rPr>
        <w:t xml:space="preserve"> for their gender</w:t>
      </w:r>
      <w:r w:rsidR="0045006D">
        <w:rPr>
          <w:b/>
          <w:bCs/>
          <w:color w:val="000000" w:themeColor="text1"/>
          <w:kern w:val="0"/>
          <w14:ligatures w14:val="none"/>
        </w:rPr>
        <w:t xml:space="preserve"> are included in the numerator and denominator</w:t>
      </w:r>
      <w:r w:rsidRPr="00DF371F">
        <w:rPr>
          <w:color w:val="000000" w:themeColor="text1"/>
          <w:kern w:val="0"/>
          <w14:ligatures w14:val="none"/>
        </w:rPr>
        <w:t xml:space="preserve">.  During the 2022-23 reporting year, for 4S1, most States measured the percentage of students who were CTE concentrators in CTE programs or programs of study that are non-traditional for their gender.  </w:t>
      </w:r>
      <w:r w:rsidRPr="6C8D417F">
        <w:rPr>
          <w:color w:val="000000" w:themeColor="text1"/>
        </w:rPr>
        <w:t xml:space="preserve">Four </w:t>
      </w:r>
      <w:r w:rsidRPr="00DF371F">
        <w:rPr>
          <w:color w:val="000000" w:themeColor="text1"/>
          <w:kern w:val="0"/>
          <w14:ligatures w14:val="none"/>
        </w:rPr>
        <w:t xml:space="preserve">States included CTE </w:t>
      </w:r>
      <w:r w:rsidRPr="6C8D417F">
        <w:rPr>
          <w:color w:val="000000" w:themeColor="text1"/>
        </w:rPr>
        <w:t>students</w:t>
      </w:r>
      <w:r w:rsidRPr="00DF371F">
        <w:rPr>
          <w:color w:val="000000" w:themeColor="text1"/>
          <w:kern w:val="0"/>
          <w14:ligatures w14:val="none"/>
        </w:rPr>
        <w:t xml:space="preserve"> in the numerator for 4S1 if they took or passed </w:t>
      </w:r>
      <w:r>
        <w:rPr>
          <w:color w:val="000000" w:themeColor="text1"/>
          <w:kern w:val="0"/>
          <w14:ligatures w14:val="none"/>
        </w:rPr>
        <w:t xml:space="preserve">only </w:t>
      </w:r>
      <w:r w:rsidRPr="00DF371F">
        <w:rPr>
          <w:color w:val="000000" w:themeColor="text1"/>
          <w:kern w:val="0"/>
          <w14:ligatures w14:val="none"/>
        </w:rPr>
        <w:t>one course that was in a CTE program or program of study that was non-traditional for their gender;</w:t>
      </w:r>
      <w:r>
        <w:rPr>
          <w:color w:val="000000" w:themeColor="text1"/>
          <w:kern w:val="0"/>
          <w14:ligatures w14:val="none"/>
        </w:rPr>
        <w:t xml:space="preserve"> for those States,</w:t>
      </w:r>
      <w:r w:rsidRPr="00DF371F">
        <w:rPr>
          <w:color w:val="000000" w:themeColor="text1"/>
        </w:rPr>
        <w:t xml:space="preserve"> </w:t>
      </w:r>
      <w:r w:rsidRPr="00DF371F">
        <w:rPr>
          <w:color w:val="000000" w:themeColor="text1"/>
          <w:kern w:val="0"/>
          <w14:ligatures w14:val="none"/>
        </w:rPr>
        <w:t xml:space="preserve">students need not, in other words, be concentrating their studies in a CTE program in a non-traditional field in order to be included in the numerator.  For 3P1, </w:t>
      </w:r>
      <w:r w:rsidRPr="6C8D417F">
        <w:rPr>
          <w:color w:val="000000" w:themeColor="text1"/>
        </w:rPr>
        <w:t>eight</w:t>
      </w:r>
      <w:r w:rsidRPr="00DF371F">
        <w:rPr>
          <w:color w:val="000000" w:themeColor="text1"/>
          <w:kern w:val="0"/>
          <w14:ligatures w14:val="none"/>
        </w:rPr>
        <w:t xml:space="preserve"> States </w:t>
      </w:r>
      <w:r w:rsidRPr="6C8D417F">
        <w:rPr>
          <w:color w:val="000000" w:themeColor="text1"/>
        </w:rPr>
        <w:t xml:space="preserve">appear to have </w:t>
      </w:r>
      <w:r w:rsidRPr="00DF371F">
        <w:rPr>
          <w:color w:val="000000" w:themeColor="text1"/>
          <w:kern w:val="0"/>
          <w14:ligatures w14:val="none"/>
        </w:rPr>
        <w:t xml:space="preserve">included CTE concentrators in the numerator if they were enrolled in a program that was non-traditional for their </w:t>
      </w:r>
      <w:r w:rsidRPr="6C8D417F">
        <w:rPr>
          <w:color w:val="000000" w:themeColor="text1"/>
        </w:rPr>
        <w:t>gender but did not concentrate their studies in that program</w:t>
      </w:r>
      <w:r w:rsidRPr="00DF371F">
        <w:rPr>
          <w:color w:val="000000" w:themeColor="text1"/>
          <w:kern w:val="0"/>
          <w14:ligatures w14:val="none"/>
        </w:rPr>
        <w:t xml:space="preserve">.  </w:t>
      </w:r>
      <w:r w:rsidRPr="0007522F">
        <w:rPr>
          <w:color w:val="000000" w:themeColor="text1"/>
          <w:kern w:val="0"/>
          <w14:ligatures w14:val="none"/>
        </w:rPr>
        <w:t xml:space="preserve">We propose to collect information for </w:t>
      </w:r>
      <w:r w:rsidRPr="111F6AFA">
        <w:rPr>
          <w:color w:val="000000" w:themeColor="text1"/>
        </w:rPr>
        <w:t>the</w:t>
      </w:r>
      <w:r w:rsidRPr="00DF371F">
        <w:rPr>
          <w:color w:val="000000" w:themeColor="text1"/>
          <w:kern w:val="0"/>
          <w14:ligatures w14:val="none"/>
        </w:rPr>
        <w:t xml:space="preserve"> numerators for 4S1 and 3P1 </w:t>
      </w:r>
      <w:r>
        <w:rPr>
          <w:color w:val="000000" w:themeColor="text1"/>
          <w:kern w:val="0"/>
          <w14:ligatures w14:val="none"/>
        </w:rPr>
        <w:t xml:space="preserve">that is limited to </w:t>
      </w:r>
      <w:r w:rsidRPr="00DF371F">
        <w:rPr>
          <w:color w:val="000000" w:themeColor="text1"/>
          <w:kern w:val="0"/>
          <w14:ligatures w14:val="none"/>
        </w:rPr>
        <w:t>students who are concentrating their studies in a CTE program or program of study that leads to a non-traditional field because we believe this reflects the</w:t>
      </w:r>
      <w:r w:rsidRPr="111F6AFA">
        <w:rPr>
          <w:color w:val="000000" w:themeColor="text1"/>
        </w:rPr>
        <w:t xml:space="preserve"> statutory</w:t>
      </w:r>
      <w:r w:rsidRPr="00DF371F">
        <w:rPr>
          <w:color w:val="000000" w:themeColor="text1"/>
          <w:kern w:val="0"/>
          <w14:ligatures w14:val="none"/>
        </w:rPr>
        <w:t xml:space="preserve"> intent of the indicator. </w:t>
      </w:r>
      <w:r w:rsidRPr="111F6AFA">
        <w:rPr>
          <w:color w:val="000000" w:themeColor="text1"/>
        </w:rPr>
        <w:t>Perkins IV, the predecessor statute, required States to measure and negotiate performance levels for “Student participation in and completion of career and technical education programs that lead to non-traditional fields” at the secondary level and “student participation in, and completion of, career and technical education programs that lead to employment in non-traditional fields” at the postsecondary level.  In reauthorizing the law in 201</w:t>
      </w:r>
      <w:r>
        <w:rPr>
          <w:color w:val="000000" w:themeColor="text1"/>
        </w:rPr>
        <w:t>8</w:t>
      </w:r>
      <w:r w:rsidRPr="111F6AFA">
        <w:rPr>
          <w:color w:val="000000" w:themeColor="text1"/>
        </w:rPr>
        <w:t xml:space="preserve">, Congress removed the references to “student participation” and “completion,” replacing them with “the percentage of CTE concentrators in CTE programs and programs of study that lead to non-traditional fields” at both the secondary and postsecondary levels.  We think Congress purposively changed the reference from “student participation” to “CTE concentrators” to focus this indicator on students who </w:t>
      </w:r>
      <w:r w:rsidRPr="111F6AFA">
        <w:rPr>
          <w:color w:val="000000" w:themeColor="text1"/>
        </w:rPr>
        <w:t>concentrate their studies (i.e., are CTE concentrators) in CTE programs and programs of study that lead to non-traditional fields</w:t>
      </w:r>
      <w:r>
        <w:rPr>
          <w:color w:val="000000" w:themeColor="text1"/>
        </w:rPr>
        <w:t xml:space="preserve"> and request that States report accordingly</w:t>
      </w:r>
      <w:r w:rsidRPr="111F6AFA">
        <w:rPr>
          <w:color w:val="000000" w:themeColor="text1"/>
        </w:rPr>
        <w:t>.</w:t>
      </w:r>
    </w:p>
    <w:p w:rsidR="000F70ED" w:rsidRPr="00DF371F" w:rsidP="000F70ED" w14:paraId="019D07BF" w14:textId="77777777">
      <w:pPr>
        <w:pStyle w:val="ListParagraph"/>
        <w:rPr>
          <w:color w:val="000000" w:themeColor="text1"/>
          <w:kern w:val="0"/>
          <w14:ligatures w14:val="none"/>
        </w:rPr>
      </w:pPr>
    </w:p>
    <w:p w:rsidR="000F70ED" w:rsidRPr="00DF371F" w:rsidP="000F70ED" w14:paraId="003ED014" w14:textId="13FB6C56">
      <w:pPr>
        <w:pStyle w:val="ListParagraph"/>
        <w:numPr>
          <w:ilvl w:val="0"/>
          <w:numId w:val="4"/>
        </w:numPr>
        <w:rPr>
          <w:color w:val="000000" w:themeColor="text1"/>
          <w:kern w:val="0"/>
          <w14:ligatures w14:val="none"/>
        </w:rPr>
      </w:pPr>
      <w:r w:rsidRPr="111F6AFA">
        <w:rPr>
          <w:b/>
          <w:color w:val="000000" w:themeColor="text1"/>
        </w:rPr>
        <w:t xml:space="preserve">Specify </w:t>
      </w:r>
      <w:r w:rsidRPr="00DF371F">
        <w:rPr>
          <w:b/>
          <w:bCs/>
          <w:color w:val="000000" w:themeColor="text1"/>
          <w:kern w:val="0"/>
          <w14:ligatures w14:val="none"/>
        </w:rPr>
        <w:t>that the numerator is the number of CTE concentrators from the minority gender in CTE programs or programs of study that lead to non-traditional fields.</w:t>
      </w:r>
      <w:r w:rsidRPr="00DF371F">
        <w:rPr>
          <w:color w:val="000000" w:themeColor="text1"/>
          <w:kern w:val="0"/>
          <w14:ligatures w14:val="none"/>
        </w:rPr>
        <w:t xml:space="preserve">  For 3P1, three States identified as the</w:t>
      </w:r>
      <w:r w:rsidRPr="111F6AFA">
        <w:rPr>
          <w:color w:val="000000" w:themeColor="text1"/>
        </w:rPr>
        <w:t xml:space="preserve"> </w:t>
      </w:r>
      <w:r w:rsidRPr="00DF371F">
        <w:rPr>
          <w:color w:val="000000" w:themeColor="text1"/>
          <w:kern w:val="0"/>
          <w14:ligatures w14:val="none"/>
        </w:rPr>
        <w:t xml:space="preserve">numerator all CTE concentrators in CTE programs and programs of study that lead to non-traditional fields, not only those from the minority gender.  For 4S1, </w:t>
      </w:r>
      <w:r w:rsidRPr="111F6AFA">
        <w:rPr>
          <w:color w:val="000000" w:themeColor="text1"/>
        </w:rPr>
        <w:t xml:space="preserve">even though it is </w:t>
      </w:r>
      <w:r w:rsidR="00982D3D">
        <w:rPr>
          <w:color w:val="000000" w:themeColor="text1"/>
        </w:rPr>
        <w:t xml:space="preserve">largely </w:t>
      </w:r>
      <w:r w:rsidRPr="111F6AFA">
        <w:rPr>
          <w:color w:val="000000" w:themeColor="text1"/>
        </w:rPr>
        <w:t>the same as 3P1,</w:t>
      </w:r>
      <w:r w:rsidRPr="00982D3D" w:rsidR="00982D3D">
        <w:t xml:space="preserve"> </w:t>
      </w:r>
      <w:r w:rsidRPr="00982D3D" w:rsidR="00982D3D">
        <w:rPr>
          <w:color w:val="000000" w:themeColor="text1"/>
        </w:rPr>
        <w:t>with the former applicable to secondary CTE and the latter applicable to postsecondary CTE,</w:t>
      </w:r>
      <w:r w:rsidRPr="111F6AFA">
        <w:rPr>
          <w:color w:val="000000" w:themeColor="text1"/>
        </w:rPr>
        <w:t xml:space="preserve"> </w:t>
      </w:r>
      <w:r w:rsidRPr="00DF371F">
        <w:rPr>
          <w:color w:val="000000" w:themeColor="text1"/>
          <w:kern w:val="0"/>
          <w14:ligatures w14:val="none"/>
        </w:rPr>
        <w:t xml:space="preserve">all States identified as the numerator students from the minority gender who were concentrating their studies in a CTE program or program of study that leads to non-traditional fields.  We </w:t>
      </w:r>
      <w:r>
        <w:rPr>
          <w:color w:val="000000" w:themeColor="text1"/>
          <w:kern w:val="0"/>
          <w14:ligatures w14:val="none"/>
        </w:rPr>
        <w:t>proposed to</w:t>
      </w:r>
      <w:r w:rsidRPr="00DF371F">
        <w:rPr>
          <w:color w:val="000000" w:themeColor="text1"/>
          <w:kern w:val="0"/>
          <w14:ligatures w14:val="none"/>
        </w:rPr>
        <w:t xml:space="preserve"> </w:t>
      </w:r>
      <w:r w:rsidRPr="111F6AFA">
        <w:rPr>
          <w:color w:val="000000" w:themeColor="text1"/>
        </w:rPr>
        <w:t xml:space="preserve">specify </w:t>
      </w:r>
      <w:r w:rsidRPr="00DF371F">
        <w:rPr>
          <w:color w:val="000000" w:themeColor="text1"/>
          <w:kern w:val="0"/>
          <w14:ligatures w14:val="none"/>
        </w:rPr>
        <w:t xml:space="preserve">the numerators for 4S1 and 3P1 </w:t>
      </w:r>
      <w:r w:rsidRPr="111F6AFA">
        <w:rPr>
          <w:color w:val="000000" w:themeColor="text1"/>
        </w:rPr>
        <w:t xml:space="preserve">are </w:t>
      </w:r>
      <w:r w:rsidRPr="00DF371F">
        <w:rPr>
          <w:color w:val="000000" w:themeColor="text1"/>
          <w:kern w:val="0"/>
          <w14:ligatures w14:val="none"/>
        </w:rPr>
        <w:t>CTE concentrators from the minority gender in CTE programs or programs of study that lead to non-traditional fields because this reflects the</w:t>
      </w:r>
      <w:r w:rsidRPr="111F6AFA">
        <w:rPr>
          <w:color w:val="000000" w:themeColor="text1"/>
        </w:rPr>
        <w:t xml:space="preserve"> statutory</w:t>
      </w:r>
      <w:r w:rsidRPr="00DF371F">
        <w:rPr>
          <w:color w:val="000000" w:themeColor="text1"/>
          <w:kern w:val="0"/>
          <w14:ligatures w14:val="none"/>
        </w:rPr>
        <w:t xml:space="preserve"> intent of the indicator. </w:t>
      </w:r>
    </w:p>
    <w:p w:rsidR="000F70ED" w:rsidRPr="00DF371F" w:rsidP="000F70ED" w14:paraId="04C150C2" w14:textId="77777777">
      <w:pPr>
        <w:pStyle w:val="ListParagraph"/>
        <w:rPr>
          <w:color w:val="000000" w:themeColor="text1"/>
          <w:kern w:val="0"/>
          <w14:ligatures w14:val="none"/>
        </w:rPr>
      </w:pPr>
    </w:p>
    <w:p w:rsidR="007A166F" w:rsidRPr="00637CC1" w:rsidP="00E2207E" w14:paraId="6FC61005" w14:textId="47094B59">
      <w:pPr>
        <w:pStyle w:val="ListParagraph"/>
        <w:numPr>
          <w:ilvl w:val="0"/>
          <w:numId w:val="4"/>
        </w:numPr>
        <w:rPr>
          <w:color w:val="000000" w:themeColor="text1"/>
          <w:kern w:val="0"/>
          <w:u w:val="single"/>
          <w14:ligatures w14:val="none"/>
        </w:rPr>
      </w:pPr>
      <w:r w:rsidRPr="00455881">
        <w:rPr>
          <w:b/>
          <w:color w:val="000000" w:themeColor="text1"/>
        </w:rPr>
        <w:t xml:space="preserve">Specify </w:t>
      </w:r>
      <w:r w:rsidRPr="00455881">
        <w:rPr>
          <w:b/>
          <w:bCs/>
          <w:color w:val="000000" w:themeColor="text1"/>
          <w:kern w:val="0"/>
          <w14:ligatures w14:val="none"/>
        </w:rPr>
        <w:t>that CTE concentrators from the minority gender in CTE programs or programs of study that lead to non-traditional fields are included in the</w:t>
      </w:r>
      <w:r w:rsidRPr="00455881">
        <w:rPr>
          <w:b/>
          <w:color w:val="000000" w:themeColor="text1"/>
        </w:rPr>
        <w:t xml:space="preserve"> numerator</w:t>
      </w:r>
      <w:r w:rsidRPr="00455881">
        <w:rPr>
          <w:b/>
          <w:bCs/>
          <w:color w:val="000000" w:themeColor="text1"/>
          <w:kern w:val="0"/>
          <w14:ligatures w14:val="none"/>
        </w:rPr>
        <w:t xml:space="preserve"> in each reporting year in which they meet these criteria.  </w:t>
      </w:r>
      <w:r w:rsidRPr="00455881">
        <w:rPr>
          <w:color w:val="000000" w:themeColor="text1"/>
          <w:kern w:val="0"/>
          <w14:ligatures w14:val="none"/>
        </w:rPr>
        <w:t xml:space="preserve">This means that CTE concentrators from the minority gender in a CTE program or program of study that leads to a non-traditional field would be reported in multiple years, and not only upon their exit from secondary education and completion of postsecondary education.  For 4S1, three States reported CTE concentrators from the minority gender in CTE programs or programs of study that lead to non-traditional fields only when they exited secondary education; for 3P1, four States reported these students upon their completion of a program.  We propose to use an “active cohort” for these indicators, collecting data on students who meet the criteria in each year they meet them, because </w:t>
      </w:r>
      <w:r w:rsidRPr="00455881">
        <w:rPr>
          <w:color w:val="000000" w:themeColor="text1"/>
        </w:rPr>
        <w:t xml:space="preserve">the overwhelming majority of States now report on these indicators as an </w:t>
      </w:r>
      <w:r w:rsidRPr="00455881">
        <w:rPr>
          <w:color w:val="000000" w:themeColor="text1"/>
          <w:kern w:val="0"/>
          <w14:ligatures w14:val="none"/>
        </w:rPr>
        <w:t>”</w:t>
      </w:r>
      <w:r w:rsidRPr="00455881">
        <w:rPr>
          <w:color w:val="000000" w:themeColor="text1"/>
        </w:rPr>
        <w:t>active cohort.”</w:t>
      </w:r>
      <w:r w:rsidRPr="00455881">
        <w:rPr>
          <w:color w:val="000000" w:themeColor="text1"/>
          <w:kern w:val="0"/>
          <w14:ligatures w14:val="none"/>
        </w:rPr>
        <w:t xml:space="preserve">  </w:t>
      </w:r>
      <w:r w:rsidRPr="00455881">
        <w:rPr>
          <w:color w:val="000000" w:themeColor="text1"/>
        </w:rPr>
        <w:t>We think this is an important consideration</w:t>
      </w:r>
      <w:r w:rsidRPr="00C902D4">
        <w:t xml:space="preserve"> </w:t>
      </w:r>
      <w:r w:rsidRPr="00455881">
        <w:rPr>
          <w:color w:val="000000" w:themeColor="text1"/>
        </w:rPr>
        <w:t xml:space="preserve">given the burden that would be associated with making this change.  Unlike the academic proficiency indicators, which are intended to measure CTE concentrator proficiency on one-time assessments, the non-traditional field indicator captures students’ annual status as studying in a non-traditional field; a student’s status may change in different years in which they are a CTE concentrator.  For the academic proficiency indicators, on the other hand, a plurality of States are already using an “exit cohort.” </w:t>
      </w:r>
    </w:p>
    <w:p w:rsidR="00E2207E" w:rsidRPr="00DF371F" w:rsidP="00E2207E" w14:paraId="6ADB9CB9" w14:textId="66D40B65">
      <w:pPr>
        <w:contextualSpacing/>
        <w:rPr>
          <w:color w:val="000000" w:themeColor="text1"/>
          <w:kern w:val="0"/>
          <w:u w:val="single"/>
          <w14:ligatures w14:val="none"/>
        </w:rPr>
      </w:pPr>
      <w:r w:rsidRPr="00DF371F">
        <w:rPr>
          <w:color w:val="000000" w:themeColor="text1"/>
          <w:kern w:val="0"/>
          <w:u w:val="single"/>
          <w14:ligatures w14:val="none"/>
        </w:rPr>
        <w:t xml:space="preserve">Secondary Program Quality </w:t>
      </w:r>
      <w:r w:rsidR="00DF10F7">
        <w:rPr>
          <w:color w:val="000000" w:themeColor="text1"/>
          <w:kern w:val="0"/>
          <w:u w:val="single"/>
          <w14:ligatures w14:val="none"/>
        </w:rPr>
        <w:t xml:space="preserve">(5S1, </w:t>
      </w:r>
      <w:r w:rsidRPr="00DF371F" w:rsidR="00617334">
        <w:rPr>
          <w:color w:val="000000" w:themeColor="text1"/>
          <w:kern w:val="0"/>
          <w:u w:val="single"/>
          <w14:ligatures w14:val="none"/>
        </w:rPr>
        <w:t>5S</w:t>
      </w:r>
      <w:r w:rsidRPr="00DF371F" w:rsidR="00A335F3">
        <w:rPr>
          <w:color w:val="000000" w:themeColor="text1"/>
          <w:kern w:val="0"/>
          <w:u w:val="single"/>
          <w14:ligatures w14:val="none"/>
        </w:rPr>
        <w:t>2</w:t>
      </w:r>
      <w:r w:rsidR="00DF10F7">
        <w:rPr>
          <w:color w:val="000000" w:themeColor="text1"/>
          <w:kern w:val="0"/>
          <w:u w:val="single"/>
          <w14:ligatures w14:val="none"/>
        </w:rPr>
        <w:t>, 5S3</w:t>
      </w:r>
      <w:r w:rsidRPr="00DF371F" w:rsidR="00617334">
        <w:rPr>
          <w:color w:val="000000" w:themeColor="text1"/>
          <w:kern w:val="0"/>
          <w:u w:val="single"/>
          <w14:ligatures w14:val="none"/>
        </w:rPr>
        <w:t>)</w:t>
      </w:r>
    </w:p>
    <w:p w:rsidR="00E2207E" w:rsidRPr="00DF371F" w:rsidP="00E2207E" w14:paraId="6C4B74B0" w14:textId="77777777">
      <w:pPr>
        <w:contextualSpacing/>
        <w:rPr>
          <w:color w:val="000000" w:themeColor="text1"/>
          <w:kern w:val="0"/>
          <w14:ligatures w14:val="none"/>
        </w:rPr>
      </w:pPr>
    </w:p>
    <w:p w:rsidR="007A166F" w:rsidP="00A335F3" w14:paraId="31337409" w14:textId="6E45314D">
      <w:pPr>
        <w:contextualSpacing/>
        <w:rPr>
          <w:color w:val="000000" w:themeColor="text1"/>
          <w:kern w:val="0"/>
          <w14:ligatures w14:val="none"/>
        </w:rPr>
      </w:pPr>
      <w:r w:rsidRPr="00DF371F">
        <w:rPr>
          <w:color w:val="000000" w:themeColor="text1"/>
          <w:kern w:val="0"/>
          <w14:ligatures w14:val="none"/>
        </w:rPr>
        <w:t>Section 113(b)(2)(A)(iv) of Perkins V gives States a choice among three secondary program quality indicators, which include the percentage of CTE concentrators graduating from high school having</w:t>
      </w:r>
      <w:r w:rsidRPr="00DF371F" w:rsidR="00233A05">
        <w:rPr>
          <w:color w:val="000000" w:themeColor="text1"/>
          <w:kern w:val="0"/>
          <w14:ligatures w14:val="none"/>
        </w:rPr>
        <w:t>: (1</w:t>
      </w:r>
      <w:r w:rsidRPr="00DF371F">
        <w:rPr>
          <w:color w:val="000000" w:themeColor="text1"/>
          <w:kern w:val="0"/>
          <w14:ligatures w14:val="none"/>
        </w:rPr>
        <w:t>) attained a recognized postsecondary credential</w:t>
      </w:r>
      <w:r w:rsidR="00CC4100">
        <w:rPr>
          <w:color w:val="000000" w:themeColor="text1"/>
          <w:kern w:val="0"/>
          <w14:ligatures w14:val="none"/>
        </w:rPr>
        <w:t>(5S1)</w:t>
      </w:r>
      <w:r w:rsidRPr="00DF371F" w:rsidR="00233A05">
        <w:rPr>
          <w:color w:val="000000" w:themeColor="text1"/>
          <w:kern w:val="0"/>
          <w14:ligatures w14:val="none"/>
        </w:rPr>
        <w:t>; (</w:t>
      </w:r>
      <w:r w:rsidRPr="00DF371F">
        <w:rPr>
          <w:color w:val="000000" w:themeColor="text1"/>
          <w:kern w:val="0"/>
          <w14:ligatures w14:val="none"/>
        </w:rPr>
        <w:t>2) attained postsecondary credits in the relevant CTE program or program of study earned through a dual or concurrent enrollment program or another credit transfer agreement</w:t>
      </w:r>
      <w:r w:rsidR="00CC4100">
        <w:rPr>
          <w:color w:val="000000" w:themeColor="text1"/>
          <w:kern w:val="0"/>
          <w14:ligatures w14:val="none"/>
        </w:rPr>
        <w:t xml:space="preserve"> (5S2)</w:t>
      </w:r>
      <w:r w:rsidRPr="00DF371F" w:rsidR="00233A05">
        <w:rPr>
          <w:color w:val="000000" w:themeColor="text1"/>
          <w:kern w:val="0"/>
          <w14:ligatures w14:val="none"/>
        </w:rPr>
        <w:t xml:space="preserve">; </w:t>
      </w:r>
      <w:r w:rsidRPr="00DF371F">
        <w:rPr>
          <w:color w:val="000000" w:themeColor="text1"/>
          <w:kern w:val="0"/>
          <w14:ligatures w14:val="none"/>
        </w:rPr>
        <w:t xml:space="preserve">or </w:t>
      </w:r>
      <w:r w:rsidRPr="00DF371F" w:rsidR="00233A05">
        <w:rPr>
          <w:color w:val="000000" w:themeColor="text1"/>
          <w:kern w:val="0"/>
          <w14:ligatures w14:val="none"/>
        </w:rPr>
        <w:t>(</w:t>
      </w:r>
      <w:r w:rsidRPr="00DF371F">
        <w:rPr>
          <w:color w:val="000000" w:themeColor="text1"/>
          <w:kern w:val="0"/>
          <w14:ligatures w14:val="none"/>
        </w:rPr>
        <w:t>3) participated in work-based learning</w:t>
      </w:r>
      <w:r w:rsidR="00CC4100">
        <w:rPr>
          <w:color w:val="000000" w:themeColor="text1"/>
          <w:kern w:val="0"/>
          <w14:ligatures w14:val="none"/>
        </w:rPr>
        <w:t xml:space="preserve"> (5S3)</w:t>
      </w:r>
      <w:r w:rsidRPr="00DF371F">
        <w:rPr>
          <w:color w:val="000000" w:themeColor="text1"/>
          <w:kern w:val="0"/>
          <w14:ligatures w14:val="none"/>
        </w:rPr>
        <w:t xml:space="preserve">.  </w:t>
      </w:r>
    </w:p>
    <w:p w:rsidR="00637CC1" w:rsidP="00A335F3" w14:paraId="4D878749" w14:textId="77777777">
      <w:pPr>
        <w:contextualSpacing/>
        <w:rPr>
          <w:color w:val="000000" w:themeColor="text1"/>
          <w:kern w:val="0"/>
          <w14:ligatures w14:val="none"/>
        </w:rPr>
      </w:pPr>
    </w:p>
    <w:p w:rsidR="00A335F3" w:rsidRPr="00DF371F" w:rsidP="00A335F3" w14:paraId="1F0D485C" w14:textId="32975015">
      <w:pPr>
        <w:rPr>
          <w:color w:val="000000" w:themeColor="text1"/>
          <w:kern w:val="0"/>
          <w14:ligatures w14:val="none"/>
        </w:rPr>
      </w:pPr>
      <w:r>
        <w:rPr>
          <w:color w:val="000000" w:themeColor="text1"/>
          <w:kern w:val="0"/>
          <w14:ligatures w14:val="none"/>
        </w:rPr>
        <w:t>For 5S2 in particular, w</w:t>
      </w:r>
      <w:r w:rsidRPr="00DF371F" w:rsidR="00233A05">
        <w:rPr>
          <w:color w:val="000000" w:themeColor="text1"/>
          <w:kern w:val="0"/>
          <w14:ligatures w14:val="none"/>
        </w:rPr>
        <w:t xml:space="preserve">e are </w:t>
      </w:r>
      <w:r w:rsidR="00C9005D">
        <w:rPr>
          <w:color w:val="000000" w:themeColor="text1"/>
          <w:kern w:val="0"/>
          <w14:ligatures w14:val="none"/>
        </w:rPr>
        <w:t>proposing to</w:t>
      </w:r>
      <w:r w:rsidRPr="00DF371F" w:rsidR="00233A05">
        <w:rPr>
          <w:color w:val="000000" w:themeColor="text1"/>
          <w:kern w:val="0"/>
          <w14:ligatures w14:val="none"/>
        </w:rPr>
        <w:t xml:space="preserve"> </w:t>
      </w:r>
      <w:r w:rsidRPr="111F6AFA" w:rsidR="00D45D7B">
        <w:rPr>
          <w:color w:val="000000" w:themeColor="text1"/>
        </w:rPr>
        <w:t xml:space="preserve">specify </w:t>
      </w:r>
      <w:r w:rsidRPr="00DF371F" w:rsidR="00233A05">
        <w:rPr>
          <w:color w:val="000000" w:themeColor="text1"/>
          <w:kern w:val="0"/>
          <w14:ligatures w14:val="none"/>
        </w:rPr>
        <w:t>the numerator</w:t>
      </w:r>
      <w:r w:rsidRPr="00DF371F">
        <w:rPr>
          <w:color w:val="000000" w:themeColor="text1"/>
          <w:kern w:val="0"/>
          <w14:ligatures w14:val="none"/>
        </w:rPr>
        <w:t xml:space="preserve"> of the postsecondary credits attainment indicator</w:t>
      </w:r>
      <w:r w:rsidRPr="111F6AFA" w:rsidR="000F2947">
        <w:rPr>
          <w:color w:val="000000" w:themeColor="text1"/>
        </w:rPr>
        <w:t>.</w:t>
      </w:r>
      <w:r w:rsidRPr="00DF371F">
        <w:rPr>
          <w:color w:val="000000" w:themeColor="text1"/>
          <w:kern w:val="0"/>
          <w14:ligatures w14:val="none"/>
        </w:rPr>
        <w:t xml:space="preserve"> States </w:t>
      </w:r>
      <w:r w:rsidR="00047394">
        <w:rPr>
          <w:color w:val="000000" w:themeColor="text1"/>
          <w:kern w:val="0"/>
          <w14:ligatures w14:val="none"/>
        </w:rPr>
        <w:t>w</w:t>
      </w:r>
      <w:r w:rsidR="004E025C">
        <w:rPr>
          <w:color w:val="000000" w:themeColor="text1"/>
          <w:kern w:val="0"/>
          <w14:ligatures w14:val="none"/>
        </w:rPr>
        <w:t>ould</w:t>
      </w:r>
      <w:r w:rsidRPr="00DF371F" w:rsidR="009E1488">
        <w:rPr>
          <w:color w:val="000000" w:themeColor="text1"/>
          <w:kern w:val="0"/>
          <w14:ligatures w14:val="none"/>
        </w:rPr>
        <w:t xml:space="preserve"> </w:t>
      </w:r>
      <w:r w:rsidRPr="00DF371F">
        <w:rPr>
          <w:b/>
          <w:bCs/>
          <w:color w:val="000000" w:themeColor="text1"/>
          <w:kern w:val="0"/>
          <w14:ligatures w14:val="none"/>
        </w:rPr>
        <w:t>include in the numerator only those CTE concentrator high school graduates who earned postsecondary credits “in the relevant career and technical education program or program of study"</w:t>
      </w:r>
      <w:r w:rsidR="00F01F61">
        <w:rPr>
          <w:b/>
          <w:bCs/>
          <w:color w:val="000000" w:themeColor="text1"/>
          <w:kern w:val="0"/>
          <w14:ligatures w14:val="none"/>
        </w:rPr>
        <w:t xml:space="preserve"> </w:t>
      </w:r>
      <w:r w:rsidRPr="008467CC" w:rsidR="0015226C">
        <w:rPr>
          <w:color w:val="000000" w:themeColor="text1"/>
          <w:kern w:val="0"/>
          <w14:ligatures w14:val="none"/>
        </w:rPr>
        <w:t>as specified in s</w:t>
      </w:r>
      <w:r w:rsidRPr="00165C77" w:rsidR="00B87BBE">
        <w:rPr>
          <w:color w:val="000000" w:themeColor="text1"/>
          <w:kern w:val="0"/>
          <w14:ligatures w14:val="none"/>
        </w:rPr>
        <w:t>ection</w:t>
      </w:r>
      <w:r w:rsidR="00B87BBE">
        <w:rPr>
          <w:color w:val="000000" w:themeColor="text1"/>
          <w:kern w:val="0"/>
          <w14:ligatures w14:val="none"/>
        </w:rPr>
        <w:t xml:space="preserve"> 113(b)(2)(A)(iv)(I)(bb) of </w:t>
      </w:r>
      <w:r w:rsidRPr="00DF371F" w:rsidR="00B87BBE">
        <w:rPr>
          <w:color w:val="000000" w:themeColor="text1"/>
          <w:kern w:val="0"/>
          <w14:ligatures w14:val="none"/>
        </w:rPr>
        <w:t>Perkins V</w:t>
      </w:r>
      <w:r w:rsidR="00F667A8">
        <w:rPr>
          <w:color w:val="000000" w:themeColor="text1"/>
          <w:kern w:val="0"/>
          <w14:ligatures w14:val="none"/>
        </w:rPr>
        <w:t>.</w:t>
      </w:r>
      <w:r w:rsidR="00B87BBE">
        <w:rPr>
          <w:color w:val="000000" w:themeColor="text1"/>
          <w:kern w:val="0"/>
          <w14:ligatures w14:val="none"/>
        </w:rPr>
        <w:t xml:space="preserve"> </w:t>
      </w:r>
      <w:r w:rsidRPr="00DF371F">
        <w:rPr>
          <w:color w:val="000000" w:themeColor="text1"/>
          <w:kern w:val="0"/>
          <w14:ligatures w14:val="none"/>
        </w:rPr>
        <w:t xml:space="preserve"> Five of the 12 States using this indicator during the 2022-23 reporting year d</w:t>
      </w:r>
      <w:r w:rsidRPr="111F6AFA" w:rsidR="00A63BF9">
        <w:rPr>
          <w:color w:val="000000" w:themeColor="text1"/>
        </w:rPr>
        <w:t>id</w:t>
      </w:r>
      <w:r w:rsidRPr="00DF371F">
        <w:rPr>
          <w:color w:val="000000" w:themeColor="text1"/>
          <w:kern w:val="0"/>
          <w14:ligatures w14:val="none"/>
        </w:rPr>
        <w:t xml:space="preserve"> not specify in the</w:t>
      </w:r>
      <w:r w:rsidR="00F25A98">
        <w:rPr>
          <w:color w:val="000000" w:themeColor="text1"/>
          <w:kern w:val="0"/>
          <w14:ligatures w14:val="none"/>
        </w:rPr>
        <w:t>ir</w:t>
      </w:r>
      <w:r w:rsidRPr="00DF371F">
        <w:rPr>
          <w:color w:val="000000" w:themeColor="text1"/>
          <w:kern w:val="0"/>
          <w14:ligatures w14:val="none"/>
        </w:rPr>
        <w:t xml:space="preserve"> numerator that the </w:t>
      </w:r>
      <w:r w:rsidRPr="00DF371F">
        <w:rPr>
          <w:color w:val="000000" w:themeColor="text1"/>
          <w:kern w:val="0"/>
          <w14:ligatures w14:val="none"/>
        </w:rPr>
        <w:t>postsecondary credits were earned “in the relevant career and technical education program or program of study” as required by the statute</w:t>
      </w:r>
      <w:r w:rsidRPr="00DF371F" w:rsidR="4314211E">
        <w:rPr>
          <w:color w:val="000000" w:themeColor="text1"/>
          <w:kern w:val="0"/>
          <w14:ligatures w14:val="none"/>
        </w:rPr>
        <w:t>, which we note would include both academic and technical coursework as part of the program</w:t>
      </w:r>
      <w:r w:rsidRPr="00DF371F">
        <w:rPr>
          <w:color w:val="000000" w:themeColor="text1"/>
          <w:kern w:val="0"/>
          <w14:ligatures w14:val="none"/>
        </w:rPr>
        <w:t>.</w:t>
      </w:r>
      <w:r w:rsidR="000619F9">
        <w:rPr>
          <w:color w:val="000000" w:themeColor="text1"/>
          <w:kern w:val="0"/>
          <w14:ligatures w14:val="none"/>
        </w:rPr>
        <w:t xml:space="preserve">  The proposed data specifications </w:t>
      </w:r>
      <w:r w:rsidR="00C84C28">
        <w:rPr>
          <w:color w:val="000000" w:themeColor="text1"/>
          <w:kern w:val="0"/>
          <w14:ligatures w14:val="none"/>
        </w:rPr>
        <w:t xml:space="preserve">for 5S1, attained recognized postsecondary credential, and 5S1, participated in work-based learning, are </w:t>
      </w:r>
      <w:r w:rsidR="008E663C">
        <w:rPr>
          <w:color w:val="000000" w:themeColor="text1"/>
          <w:kern w:val="0"/>
          <w14:ligatures w14:val="none"/>
        </w:rPr>
        <w:t xml:space="preserve">based on the statute and appear to be consistent with </w:t>
      </w:r>
      <w:r w:rsidR="000900BB">
        <w:rPr>
          <w:color w:val="000000" w:themeColor="text1"/>
          <w:kern w:val="0"/>
          <w14:ligatures w14:val="none"/>
        </w:rPr>
        <w:t xml:space="preserve">how States have been measuring these indicators. </w:t>
      </w:r>
    </w:p>
    <w:p w:rsidR="00B34764" w:rsidP="002213BF" w14:paraId="4959031B" w14:textId="07CD99C3">
      <w:pPr>
        <w:contextualSpacing/>
        <w:rPr>
          <w:color w:val="000000" w:themeColor="text1"/>
          <w:u w:val="single"/>
        </w:rPr>
      </w:pPr>
      <w:r>
        <w:rPr>
          <w:color w:val="000000" w:themeColor="text1"/>
          <w:u w:val="single"/>
        </w:rPr>
        <w:t xml:space="preserve">Post-program </w:t>
      </w:r>
      <w:r w:rsidR="007A166F">
        <w:rPr>
          <w:color w:val="000000" w:themeColor="text1"/>
          <w:u w:val="single"/>
        </w:rPr>
        <w:t>P</w:t>
      </w:r>
      <w:r>
        <w:rPr>
          <w:color w:val="000000" w:themeColor="text1"/>
          <w:u w:val="single"/>
        </w:rPr>
        <w:t>lacement (1P1</w:t>
      </w:r>
      <w:r w:rsidR="001C6675">
        <w:rPr>
          <w:color w:val="000000" w:themeColor="text1"/>
          <w:u w:val="single"/>
        </w:rPr>
        <w:t xml:space="preserve"> and 3S1</w:t>
      </w:r>
      <w:r>
        <w:rPr>
          <w:color w:val="000000" w:themeColor="text1"/>
          <w:u w:val="single"/>
        </w:rPr>
        <w:t xml:space="preserve">) </w:t>
      </w:r>
    </w:p>
    <w:p w:rsidR="00875BFB" w:rsidRPr="00BD18A5" w:rsidP="002213BF" w14:paraId="18F789EE" w14:textId="77777777">
      <w:pPr>
        <w:contextualSpacing/>
        <w:rPr>
          <w:color w:val="000000" w:themeColor="text1"/>
          <w:u w:val="single"/>
        </w:rPr>
      </w:pPr>
    </w:p>
    <w:p w:rsidR="00F92F79" w:rsidRPr="00DF371F" w:rsidP="002213BF" w14:paraId="611C6822" w14:textId="6B4D3ACC">
      <w:pPr>
        <w:contextualSpacing/>
        <w:rPr>
          <w:color w:val="000000" w:themeColor="text1"/>
        </w:rPr>
      </w:pPr>
      <w:r w:rsidRPr="00DF371F">
        <w:rPr>
          <w:color w:val="000000" w:themeColor="text1"/>
        </w:rPr>
        <w:t xml:space="preserve">Perkins V establishes two core indicators that measure </w:t>
      </w:r>
      <w:r w:rsidRPr="00DF371F" w:rsidR="009C2DCC">
        <w:rPr>
          <w:color w:val="000000" w:themeColor="text1"/>
        </w:rPr>
        <w:t>the outcomes of CTE concentrators after exit or completion.  In addition to the post-program placement indicator for secondary CTE concentrators described previously</w:t>
      </w:r>
      <w:r w:rsidRPr="00DF371F">
        <w:rPr>
          <w:color w:val="000000" w:themeColor="text1"/>
        </w:rPr>
        <w:t xml:space="preserve">, section 113(b)(2)(B)(i) of Perkins V identifies as a core indicator of performance the percentage of postsecondary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   </w:t>
      </w:r>
    </w:p>
    <w:p w:rsidR="00F92F79" w:rsidRPr="00DF371F" w:rsidP="002213BF" w14:paraId="3E14C39A" w14:textId="77777777">
      <w:pPr>
        <w:contextualSpacing/>
        <w:rPr>
          <w:color w:val="000000" w:themeColor="text1"/>
        </w:rPr>
      </w:pPr>
    </w:p>
    <w:p w:rsidR="001C6675" w:rsidRPr="00A760A7" w:rsidP="002213BF" w14:paraId="2D4FF02A" w14:textId="3CF33117">
      <w:pPr>
        <w:rPr>
          <w:color w:val="000000" w:themeColor="text1"/>
        </w:rPr>
      </w:pPr>
      <w:r w:rsidRPr="00DF371F">
        <w:rPr>
          <w:color w:val="000000" w:themeColor="text1"/>
        </w:rPr>
        <w:t xml:space="preserve">The numerator and denominator </w:t>
      </w:r>
      <w:r w:rsidR="00FD4298">
        <w:rPr>
          <w:color w:val="000000" w:themeColor="text1"/>
        </w:rPr>
        <w:t>specifications</w:t>
      </w:r>
      <w:r w:rsidRPr="00DF371F" w:rsidR="000127ED">
        <w:rPr>
          <w:color w:val="000000" w:themeColor="text1"/>
        </w:rPr>
        <w:t xml:space="preserve"> </w:t>
      </w:r>
      <w:r w:rsidRPr="00DF371F">
        <w:rPr>
          <w:color w:val="000000" w:themeColor="text1"/>
        </w:rPr>
        <w:t xml:space="preserve">we are proposing for these two indicators </w:t>
      </w:r>
      <w:r w:rsidRPr="00DF371F" w:rsidR="003D57DC">
        <w:rPr>
          <w:color w:val="000000" w:themeColor="text1"/>
        </w:rPr>
        <w:t xml:space="preserve">would </w:t>
      </w:r>
      <w:r>
        <w:rPr>
          <w:color w:val="000000" w:themeColor="text1"/>
        </w:rPr>
        <w:t xml:space="preserve">specify that </w:t>
      </w:r>
      <w:r w:rsidR="00A760A7">
        <w:rPr>
          <w:color w:val="000000" w:themeColor="text1"/>
        </w:rPr>
        <w:t xml:space="preserve">the reporting period </w:t>
      </w:r>
      <w:r w:rsidR="000900BB">
        <w:rPr>
          <w:color w:val="000000" w:themeColor="text1"/>
        </w:rPr>
        <w:t>is</w:t>
      </w:r>
      <w:r w:rsidR="00A760A7">
        <w:rPr>
          <w:color w:val="000000" w:themeColor="text1"/>
        </w:rPr>
        <w:t xml:space="preserve"> the </w:t>
      </w:r>
      <w:r w:rsidR="005464C3">
        <w:rPr>
          <w:i/>
          <w:iCs/>
          <w:color w:val="000000" w:themeColor="text1"/>
        </w:rPr>
        <w:t xml:space="preserve">preceding reporting year. </w:t>
      </w:r>
    </w:p>
    <w:p w:rsidR="003D57DC" w:rsidRPr="00DF371F" w:rsidP="000341DE" w14:paraId="2BA2479C" w14:textId="59879FF4">
      <w:pPr>
        <w:rPr>
          <w:color w:val="000000" w:themeColor="text1"/>
        </w:rPr>
      </w:pPr>
      <w:r w:rsidRPr="63CCE1A2">
        <w:rPr>
          <w:b/>
          <w:bCs/>
          <w:color w:val="000000" w:themeColor="text1"/>
        </w:rPr>
        <w:t xml:space="preserve">Using the preceding reporting year as the reporting period would </w:t>
      </w:r>
      <w:r w:rsidRPr="00DF371F">
        <w:rPr>
          <w:b/>
          <w:bCs/>
          <w:color w:val="000000" w:themeColor="text1"/>
        </w:rPr>
        <w:t>give States</w:t>
      </w:r>
      <w:r w:rsidRPr="00DF371F" w:rsidR="00D45495">
        <w:rPr>
          <w:b/>
          <w:bCs/>
          <w:color w:val="000000" w:themeColor="text1"/>
        </w:rPr>
        <w:t xml:space="preserve"> 16 months (i.e., an additional </w:t>
      </w:r>
      <w:r w:rsidR="00DC0C68">
        <w:rPr>
          <w:b/>
          <w:bCs/>
          <w:color w:val="000000" w:themeColor="text1"/>
        </w:rPr>
        <w:t xml:space="preserve">program </w:t>
      </w:r>
      <w:r w:rsidRPr="00DF371F" w:rsidR="00D45495">
        <w:rPr>
          <w:b/>
          <w:bCs/>
          <w:color w:val="000000" w:themeColor="text1"/>
        </w:rPr>
        <w:t xml:space="preserve">year) to </w:t>
      </w:r>
      <w:r w:rsidR="006C217E">
        <w:rPr>
          <w:b/>
          <w:bCs/>
          <w:color w:val="000000" w:themeColor="text1"/>
        </w:rPr>
        <w:t>gather data on</w:t>
      </w:r>
      <w:r w:rsidRPr="00DF371F" w:rsidR="006C217E">
        <w:rPr>
          <w:b/>
          <w:bCs/>
          <w:color w:val="000000" w:themeColor="text1"/>
        </w:rPr>
        <w:t xml:space="preserve"> </w:t>
      </w:r>
      <w:r w:rsidRPr="00DF371F" w:rsidR="00D45495">
        <w:rPr>
          <w:b/>
          <w:bCs/>
          <w:color w:val="000000" w:themeColor="text1"/>
        </w:rPr>
        <w:t>the post-program outcomes of CTE concentrators</w:t>
      </w:r>
      <w:r w:rsidRPr="63CCE1A2" w:rsidR="005357BC">
        <w:rPr>
          <w:b/>
          <w:bCs/>
          <w:color w:val="000000" w:themeColor="text1"/>
        </w:rPr>
        <w:t>.</w:t>
      </w:r>
      <w:r w:rsidR="008B6496">
        <w:rPr>
          <w:b/>
          <w:bCs/>
          <w:color w:val="000000" w:themeColor="text1"/>
        </w:rPr>
        <w:t xml:space="preserve">  </w:t>
      </w:r>
      <w:r w:rsidRPr="00BD18A5" w:rsidR="005357BC">
        <w:rPr>
          <w:color w:val="000000" w:themeColor="text1"/>
        </w:rPr>
        <w:t xml:space="preserve">This change </w:t>
      </w:r>
      <w:r w:rsidRPr="63CCE1A2" w:rsidR="005357BC">
        <w:rPr>
          <w:color w:val="000000" w:themeColor="text1"/>
        </w:rPr>
        <w:t>would</w:t>
      </w:r>
      <w:r w:rsidRPr="63CCE1A2" w:rsidR="00D45495">
        <w:rPr>
          <w:color w:val="000000" w:themeColor="text1"/>
        </w:rPr>
        <w:t xml:space="preserve"> </w:t>
      </w:r>
      <w:r w:rsidRPr="00BD18A5" w:rsidR="00D45495">
        <w:rPr>
          <w:color w:val="000000" w:themeColor="text1"/>
        </w:rPr>
        <w:t>improve the completeness and accuracy of these data</w:t>
      </w:r>
      <w:r w:rsidRPr="00DF371F" w:rsidR="00D45495">
        <w:rPr>
          <w:color w:val="000000" w:themeColor="text1"/>
        </w:rPr>
        <w:t xml:space="preserve">.  </w:t>
      </w:r>
      <w:r w:rsidR="00466090">
        <w:rPr>
          <w:color w:val="000000" w:themeColor="text1"/>
        </w:rPr>
        <w:t xml:space="preserve">Most </w:t>
      </w:r>
      <w:r w:rsidRPr="00DF371F" w:rsidR="00D45495">
        <w:rPr>
          <w:color w:val="000000" w:themeColor="text1"/>
        </w:rPr>
        <w:t xml:space="preserve">States </w:t>
      </w:r>
      <w:r w:rsidR="00466090">
        <w:rPr>
          <w:color w:val="000000" w:themeColor="text1"/>
        </w:rPr>
        <w:t>take</w:t>
      </w:r>
      <w:r w:rsidRPr="00DF371F" w:rsidR="00D45495">
        <w:rPr>
          <w:color w:val="000000" w:themeColor="text1"/>
        </w:rPr>
        <w:t xml:space="preserve"> four months after the end of the reporting year (i.e., </w:t>
      </w:r>
      <w:r w:rsidRPr="63CCE1A2" w:rsidR="00142FD5">
        <w:rPr>
          <w:color w:val="000000" w:themeColor="text1"/>
        </w:rPr>
        <w:t xml:space="preserve">from October 1 </w:t>
      </w:r>
      <w:r w:rsidRPr="00DF371F" w:rsidR="00D45495">
        <w:rPr>
          <w:color w:val="000000" w:themeColor="text1"/>
        </w:rPr>
        <w:t>until January 31</w:t>
      </w:r>
      <w:r w:rsidR="00A92C37">
        <w:rPr>
          <w:color w:val="000000" w:themeColor="text1"/>
        </w:rPr>
        <w:t xml:space="preserve"> when the CAR performance data is generally due to the Department</w:t>
      </w:r>
      <w:r w:rsidRPr="00DF371F" w:rsidR="00D45495">
        <w:rPr>
          <w:color w:val="000000" w:themeColor="text1"/>
        </w:rPr>
        <w:t xml:space="preserve">) to determine the employment and educational outcomes of </w:t>
      </w:r>
      <w:r w:rsidRPr="00DF371F" w:rsidR="0060356D">
        <w:rPr>
          <w:color w:val="000000" w:themeColor="text1"/>
        </w:rPr>
        <w:t xml:space="preserve">secondary CTE concentrators who exited </w:t>
      </w:r>
      <w:r w:rsidRPr="00DF371F" w:rsidR="00865A6B">
        <w:rPr>
          <w:color w:val="000000" w:themeColor="text1"/>
        </w:rPr>
        <w:t xml:space="preserve">secondary education and postsecondary </w:t>
      </w:r>
      <w:r w:rsidRPr="00DF371F" w:rsidR="00D45495">
        <w:rPr>
          <w:color w:val="000000" w:themeColor="text1"/>
        </w:rPr>
        <w:t xml:space="preserve">CTE concentrators who completed a CTE program or program of study in June of the reporting year.  This does not provide sufficient time for States to access administrative data </w:t>
      </w:r>
      <w:r w:rsidRPr="63CCE1A2" w:rsidR="00A73BE5">
        <w:rPr>
          <w:color w:val="000000" w:themeColor="text1"/>
        </w:rPr>
        <w:t xml:space="preserve">(e.g., </w:t>
      </w:r>
      <w:r w:rsidRPr="00DF371F" w:rsidR="00D45495">
        <w:rPr>
          <w:color w:val="000000" w:themeColor="text1"/>
        </w:rPr>
        <w:t>unemployment insurance wage records</w:t>
      </w:r>
      <w:r w:rsidRPr="63CCE1A2" w:rsidR="009C75A4">
        <w:rPr>
          <w:color w:val="000000" w:themeColor="text1"/>
        </w:rPr>
        <w:t>)</w:t>
      </w:r>
      <w:r w:rsidRPr="00DF371F" w:rsidR="00D45495">
        <w:rPr>
          <w:color w:val="000000" w:themeColor="text1"/>
        </w:rPr>
        <w:t xml:space="preserve">, </w:t>
      </w:r>
      <w:r w:rsidRPr="00FC72B3" w:rsidR="00FC72B3">
        <w:rPr>
          <w:color w:val="000000" w:themeColor="text1"/>
        </w:rPr>
        <w:t>like they do with programs authorized by the Workforce Innovation and Opportunity Act</w:t>
      </w:r>
      <w:r w:rsidRPr="63CCE1A2" w:rsidR="006949A2">
        <w:rPr>
          <w:color w:val="000000" w:themeColor="text1"/>
        </w:rPr>
        <w:t>.</w:t>
      </w:r>
      <w:r w:rsidRPr="63CCE1A2" w:rsidR="00FD0C9F">
        <w:rPr>
          <w:color w:val="000000" w:themeColor="text1"/>
        </w:rPr>
        <w:t xml:space="preserve"> </w:t>
      </w:r>
      <w:r w:rsidR="00AA36BB">
        <w:t xml:space="preserve">While </w:t>
      </w:r>
      <w:r w:rsidR="00C43D82">
        <w:t xml:space="preserve">State </w:t>
      </w:r>
      <w:r w:rsidR="00AA36BB">
        <w:t>unemployment insurance wage records do not include data on workers who are self-employed, employed as independent contractors, or employed by the Federal government,</w:t>
      </w:r>
      <w:r>
        <w:rPr>
          <w:rStyle w:val="FootnoteReference"/>
        </w:rPr>
        <w:footnoteReference w:id="6"/>
      </w:r>
      <w:r w:rsidR="00AA36BB">
        <w:t xml:space="preserve"> they are an important data source on employment</w:t>
      </w:r>
      <w:r>
        <w:rPr>
          <w:vertAlign w:val="superscript"/>
        </w:rPr>
        <w:footnoteReference w:id="7"/>
      </w:r>
      <w:r w:rsidR="00AA36BB">
        <w:t xml:space="preserve"> that States should be able to use to identify the employment status of CTE concentrators after they exit secondary education or complete a postsecondary program. </w:t>
      </w:r>
      <w:r w:rsidRPr="000A03E5" w:rsidR="000A03E5">
        <w:t>The results of student surveys administered by schools, LEAs, and institutions of higher education may not be accurate if the surveys have a low response rate.</w:t>
      </w:r>
      <w:r>
        <w:rPr>
          <w:rStyle w:val="FootnoteReference"/>
        </w:rPr>
        <w:footnoteReference w:id="8"/>
      </w:r>
      <w:r w:rsidR="00AA36BB">
        <w:t xml:space="preserve"> </w:t>
      </w:r>
      <w:r w:rsidR="005C6B5E">
        <w:t xml:space="preserve"> </w:t>
      </w:r>
      <w:r w:rsidRPr="00064A33" w:rsidR="00064A33">
        <w:t>Using unemployment insurance wage records also may be less expensive than administering surveys.</w:t>
      </w:r>
      <w:r>
        <w:rPr>
          <w:rStyle w:val="FootnoteReference"/>
        </w:rPr>
        <w:footnoteReference w:id="9"/>
      </w:r>
      <w:r w:rsidRPr="00064A33" w:rsidR="00064A33">
        <w:t xml:space="preserve"> </w:t>
      </w:r>
      <w:r w:rsidR="00087F3C">
        <w:rPr>
          <w:color w:val="000000" w:themeColor="text1"/>
        </w:rPr>
        <w:t xml:space="preserve"> </w:t>
      </w:r>
      <w:r w:rsidRPr="00382F7F" w:rsidR="00382F7F">
        <w:rPr>
          <w:color w:val="000000" w:themeColor="text1"/>
        </w:rPr>
        <w:t xml:space="preserve">For CTE concentrators who exit high school or complete a </w:t>
      </w:r>
      <w:r w:rsidRPr="00382F7F" w:rsidR="00382F7F">
        <w:rPr>
          <w:color w:val="000000" w:themeColor="text1"/>
        </w:rPr>
        <w:t>postsecondary program in June of the reporting year, the end of the second quarter after exit or completion is</w:t>
      </w:r>
      <w:r w:rsidRPr="00382F7F" w:rsidR="00382F7F">
        <w:rPr>
          <w:color w:val="000000" w:themeColor="text1"/>
        </w:rPr>
        <w:t xml:space="preserve"> </w:t>
      </w:r>
      <w:r w:rsidR="00D606CA">
        <w:rPr>
          <w:color w:val="000000" w:themeColor="text1"/>
        </w:rPr>
        <w:t>De</w:t>
      </w:r>
      <w:r w:rsidR="007B6E2F">
        <w:rPr>
          <w:color w:val="000000" w:themeColor="text1"/>
        </w:rPr>
        <w:t>c</w:t>
      </w:r>
      <w:r w:rsidRPr="00382F7F" w:rsidR="00382F7F">
        <w:rPr>
          <w:color w:val="000000" w:themeColor="text1"/>
        </w:rPr>
        <w:t>ember 3</w:t>
      </w:r>
      <w:r w:rsidR="007B6E2F">
        <w:rPr>
          <w:color w:val="000000" w:themeColor="text1"/>
        </w:rPr>
        <w:t>1</w:t>
      </w:r>
      <w:r w:rsidRPr="00382F7F" w:rsidR="00382F7F">
        <w:rPr>
          <w:color w:val="000000" w:themeColor="text1"/>
        </w:rPr>
        <w:t xml:space="preserve">.  </w:t>
      </w:r>
      <w:r w:rsidR="00382F7F">
        <w:rPr>
          <w:color w:val="000000" w:themeColor="text1"/>
        </w:rPr>
        <w:t xml:space="preserve"> </w:t>
      </w:r>
      <w:r w:rsidR="00087F3C">
        <w:rPr>
          <w:color w:val="000000" w:themeColor="text1"/>
        </w:rPr>
        <w:t>Most States collect unemployment insurance wage records on a quarterly basis</w:t>
      </w:r>
      <w:r w:rsidR="00C04A1F">
        <w:rPr>
          <w:color w:val="000000" w:themeColor="text1"/>
        </w:rPr>
        <w:t>,</w:t>
      </w:r>
      <w:r w:rsidR="00087F3C">
        <w:rPr>
          <w:color w:val="000000" w:themeColor="text1"/>
        </w:rPr>
        <w:t xml:space="preserve"> and </w:t>
      </w:r>
      <w:r w:rsidR="00E568C9">
        <w:rPr>
          <w:color w:val="000000" w:themeColor="text1"/>
        </w:rPr>
        <w:t>there is typically a lag after the end of a quarter before it is available for matching.</w:t>
      </w:r>
      <w:r>
        <w:rPr>
          <w:rStyle w:val="FootnoteReference"/>
          <w:color w:val="000000" w:themeColor="text1"/>
        </w:rPr>
        <w:footnoteReference w:id="10"/>
      </w:r>
      <w:r w:rsidRPr="00DF371F" w:rsidR="00D45495">
        <w:rPr>
          <w:color w:val="000000" w:themeColor="text1"/>
        </w:rPr>
        <w:t xml:space="preserve"> </w:t>
      </w:r>
      <w:r w:rsidR="006F7EBE">
        <w:rPr>
          <w:color w:val="000000" w:themeColor="text1"/>
        </w:rPr>
        <w:t xml:space="preserve"> </w:t>
      </w:r>
      <w:r w:rsidRPr="00DF371F" w:rsidR="00D45495">
        <w:rPr>
          <w:color w:val="000000" w:themeColor="text1"/>
        </w:rPr>
        <w:t xml:space="preserve">For this reason, we </w:t>
      </w:r>
      <w:r w:rsidRPr="00DF371F" w:rsidR="00865A6B">
        <w:rPr>
          <w:color w:val="000000" w:themeColor="text1"/>
        </w:rPr>
        <w:t xml:space="preserve">are </w:t>
      </w:r>
      <w:r w:rsidRPr="63CCE1A2" w:rsidR="009C5021">
        <w:rPr>
          <w:color w:val="000000" w:themeColor="text1"/>
        </w:rPr>
        <w:t xml:space="preserve">proposing to </w:t>
      </w:r>
      <w:r w:rsidR="00AE44E4">
        <w:rPr>
          <w:color w:val="000000" w:themeColor="text1"/>
        </w:rPr>
        <w:t>specify</w:t>
      </w:r>
      <w:r w:rsidR="00FB01E4">
        <w:rPr>
          <w:color w:val="000000" w:themeColor="text1"/>
        </w:rPr>
        <w:t xml:space="preserve"> </w:t>
      </w:r>
      <w:r w:rsidR="00192409">
        <w:rPr>
          <w:color w:val="000000" w:themeColor="text1"/>
        </w:rPr>
        <w:t xml:space="preserve">that </w:t>
      </w:r>
      <w:r w:rsidR="00AE44E4">
        <w:rPr>
          <w:color w:val="000000" w:themeColor="text1"/>
        </w:rPr>
        <w:t>the numerator and denominator</w:t>
      </w:r>
      <w:r w:rsidR="000B5109">
        <w:rPr>
          <w:color w:val="000000" w:themeColor="text1"/>
        </w:rPr>
        <w:t xml:space="preserve"> for </w:t>
      </w:r>
      <w:r w:rsidRPr="63CCE1A2" w:rsidR="00D824D4">
        <w:rPr>
          <w:color w:val="000000" w:themeColor="text1"/>
        </w:rPr>
        <w:t xml:space="preserve">the secondary and postsecondary post-program </w:t>
      </w:r>
      <w:r w:rsidR="000B5109">
        <w:rPr>
          <w:color w:val="000000" w:themeColor="text1"/>
        </w:rPr>
        <w:t xml:space="preserve">indicators is CTE concentrators who exited </w:t>
      </w:r>
      <w:r w:rsidRPr="63CCE1A2" w:rsidR="00FD0C9F">
        <w:rPr>
          <w:color w:val="000000" w:themeColor="text1"/>
        </w:rPr>
        <w:t xml:space="preserve">or completed </w:t>
      </w:r>
      <w:r w:rsidR="000B5109">
        <w:rPr>
          <w:color w:val="000000" w:themeColor="text1"/>
        </w:rPr>
        <w:t xml:space="preserve">during the preceding </w:t>
      </w:r>
      <w:r w:rsidR="008737D0">
        <w:rPr>
          <w:color w:val="000000" w:themeColor="text1"/>
        </w:rPr>
        <w:t xml:space="preserve">program year, </w:t>
      </w:r>
      <w:r w:rsidRPr="00DF371F" w:rsidR="00D45495">
        <w:rPr>
          <w:color w:val="000000" w:themeColor="text1"/>
        </w:rPr>
        <w:t xml:space="preserve">giving States 16 months to collect these data.  </w:t>
      </w:r>
    </w:p>
    <w:p w:rsidR="004F7637" w:rsidRPr="00DF371F" w:rsidP="004F7637" w14:paraId="555EAE33" w14:textId="4C8684F6">
      <w:pPr>
        <w:contextualSpacing/>
        <w:rPr>
          <w:color w:val="000000" w:themeColor="text1"/>
          <w:u w:val="single"/>
        </w:rPr>
      </w:pPr>
      <w:r w:rsidRPr="00DF371F">
        <w:rPr>
          <w:color w:val="000000" w:themeColor="text1"/>
          <w:u w:val="single"/>
        </w:rPr>
        <w:t>Attainment of a Recognized Postsecondary Credential by Postsecondary CTE Concentrators (2P1)</w:t>
      </w:r>
    </w:p>
    <w:p w:rsidR="004F7637" w:rsidRPr="00DF371F" w:rsidP="004F7637" w14:paraId="2C4DBF02" w14:textId="77777777">
      <w:pPr>
        <w:contextualSpacing/>
        <w:rPr>
          <w:color w:val="000000" w:themeColor="text1"/>
          <w:u w:val="single"/>
        </w:rPr>
      </w:pPr>
    </w:p>
    <w:p w:rsidR="004F7637" w:rsidRPr="00DF371F" w:rsidP="004F7637" w14:paraId="3DA57975" w14:textId="77777777">
      <w:pPr>
        <w:contextualSpacing/>
        <w:rPr>
          <w:color w:val="000000" w:themeColor="text1"/>
        </w:rPr>
      </w:pPr>
      <w:r w:rsidRPr="00DF371F">
        <w:rPr>
          <w:color w:val="000000" w:themeColor="text1"/>
        </w:rPr>
        <w:t>Section 113(b)(2)(B)(ii) of Perkins V establishes as a core indicator of performance the percentage of postsecondary CTE concentrators who receive a recognized postsecondary credential during participation in or within 1 year of program completion.</w:t>
      </w:r>
    </w:p>
    <w:p w:rsidR="004F7637" w:rsidP="004F7637" w14:paraId="10314D28" w14:textId="77777777">
      <w:pPr>
        <w:contextualSpacing/>
        <w:rPr>
          <w:color w:val="000000" w:themeColor="text1"/>
        </w:rPr>
      </w:pPr>
    </w:p>
    <w:p w:rsidR="009B46F7" w:rsidP="004F7637" w14:paraId="660BAFE2" w14:textId="16CFB14E">
      <w:pPr>
        <w:contextualSpacing/>
        <w:rPr>
          <w:color w:val="000000" w:themeColor="text1"/>
        </w:rPr>
      </w:pPr>
      <w:r w:rsidRPr="0C59B869">
        <w:rPr>
          <w:color w:val="000000" w:themeColor="text1"/>
        </w:rPr>
        <w:t xml:space="preserve"> </w:t>
      </w:r>
      <w:r w:rsidRPr="0C59B869">
        <w:rPr>
          <w:color w:val="000000" w:themeColor="text1"/>
        </w:rPr>
        <w:t xml:space="preserve">For the </w:t>
      </w:r>
      <w:r w:rsidRPr="0C59B869" w:rsidR="002777EE">
        <w:rPr>
          <w:color w:val="000000" w:themeColor="text1"/>
        </w:rPr>
        <w:t>attained</w:t>
      </w:r>
      <w:r w:rsidRPr="0C59B869">
        <w:rPr>
          <w:color w:val="000000" w:themeColor="text1"/>
        </w:rPr>
        <w:t xml:space="preserve"> recognized postsecondary credential indicator, we</w:t>
      </w:r>
      <w:r w:rsidRPr="0C59B869" w:rsidR="00ED16BF">
        <w:rPr>
          <w:color w:val="000000" w:themeColor="text1"/>
        </w:rPr>
        <w:t xml:space="preserve"> describe the numerator as </w:t>
      </w:r>
      <w:r w:rsidRPr="0C59B869" w:rsidR="004C2F53">
        <w:rPr>
          <w:color w:val="000000" w:themeColor="text1"/>
        </w:rPr>
        <w:t>“</w:t>
      </w:r>
      <w:r w:rsidR="00E7009D">
        <w:rPr>
          <w:color w:val="000000" w:themeColor="text1"/>
        </w:rPr>
        <w:t>t</w:t>
      </w:r>
      <w:r w:rsidRPr="00E7009D" w:rsidR="00E7009D">
        <w:rPr>
          <w:color w:val="000000" w:themeColor="text1"/>
        </w:rPr>
        <w:t>he number of CTE concentrators at the postsecondary level who received a recognized postsecondary credential in the reporting year or who were enrolled in the previous reporting year and earned their credential in the reporting year</w:t>
      </w:r>
      <w:r w:rsidRPr="0C59B869" w:rsidR="004C2F53">
        <w:rPr>
          <w:color w:val="000000" w:themeColor="text1"/>
        </w:rPr>
        <w:t>” and the denominator as “</w:t>
      </w:r>
      <w:r w:rsidR="00F637F3">
        <w:rPr>
          <w:color w:val="000000" w:themeColor="text1"/>
        </w:rPr>
        <w:t>t</w:t>
      </w:r>
      <w:r w:rsidRPr="00F637F3" w:rsidR="00F637F3">
        <w:rPr>
          <w:color w:val="000000" w:themeColor="text1"/>
        </w:rPr>
        <w:t>he number of CTE concentrators at the postsecondary level who were enrolled in the reporting year or who were enrolled in the previous reporting year and earned a recognized postsecondary credential in the reporting year.</w:t>
      </w:r>
      <w:r w:rsidR="00F637F3">
        <w:rPr>
          <w:color w:val="000000" w:themeColor="text1"/>
        </w:rPr>
        <w:t>”</w:t>
      </w:r>
      <w:r w:rsidRPr="0C59B869" w:rsidR="005D538B">
        <w:rPr>
          <w:color w:val="000000" w:themeColor="text1"/>
        </w:rPr>
        <w:t xml:space="preserve"> </w:t>
      </w:r>
      <w:r w:rsidRPr="0C59B869">
        <w:rPr>
          <w:color w:val="000000" w:themeColor="text1"/>
        </w:rPr>
        <w:t xml:space="preserve">This </w:t>
      </w:r>
      <w:r w:rsidRPr="0C59B869" w:rsidR="00346E8D">
        <w:rPr>
          <w:color w:val="000000" w:themeColor="text1"/>
        </w:rPr>
        <w:t>specification</w:t>
      </w:r>
      <w:r w:rsidRPr="0C59B869">
        <w:rPr>
          <w:color w:val="000000" w:themeColor="text1"/>
        </w:rPr>
        <w:t xml:space="preserve"> </w:t>
      </w:r>
      <w:r w:rsidRPr="0C59B869" w:rsidR="003E6E9E">
        <w:rPr>
          <w:color w:val="000000" w:themeColor="text1"/>
        </w:rPr>
        <w:t xml:space="preserve">would assure alignment with the law and improve the consistency of State data. </w:t>
      </w:r>
    </w:p>
    <w:p w:rsidR="009B46F7" w:rsidP="004F7637" w14:paraId="7B0EEEAD" w14:textId="77777777">
      <w:pPr>
        <w:contextualSpacing/>
        <w:rPr>
          <w:color w:val="000000" w:themeColor="text1"/>
        </w:rPr>
      </w:pPr>
    </w:p>
    <w:p w:rsidR="004F7637" w:rsidRPr="00DF371F" w:rsidP="004F7637" w14:paraId="4E69AE3A" w14:textId="3E428412">
      <w:pPr>
        <w:contextualSpacing/>
        <w:rPr>
          <w:color w:val="000000" w:themeColor="text1"/>
        </w:rPr>
      </w:pPr>
      <w:r w:rsidRPr="406DF461">
        <w:rPr>
          <w:color w:val="000000" w:themeColor="text1"/>
        </w:rPr>
        <w:t xml:space="preserve">While States </w:t>
      </w:r>
      <w:r w:rsidRPr="406DF461" w:rsidR="00655E4B">
        <w:rPr>
          <w:color w:val="000000" w:themeColor="text1"/>
        </w:rPr>
        <w:t xml:space="preserve">used similar </w:t>
      </w:r>
      <w:r w:rsidRPr="406DF461">
        <w:rPr>
          <w:color w:val="000000" w:themeColor="text1"/>
        </w:rPr>
        <w:t>numerator</w:t>
      </w:r>
      <w:r w:rsidR="004F740E">
        <w:rPr>
          <w:color w:val="000000" w:themeColor="text1"/>
        </w:rPr>
        <w:t>s</w:t>
      </w:r>
      <w:r w:rsidRPr="406DF461">
        <w:rPr>
          <w:color w:val="000000" w:themeColor="text1"/>
        </w:rPr>
        <w:t xml:space="preserve"> </w:t>
      </w:r>
      <w:r w:rsidRPr="406DF461" w:rsidR="00192409">
        <w:rPr>
          <w:color w:val="000000" w:themeColor="text1"/>
        </w:rPr>
        <w:t>for</w:t>
      </w:r>
      <w:r w:rsidRPr="406DF461" w:rsidR="00B42081">
        <w:rPr>
          <w:color w:val="000000" w:themeColor="text1"/>
        </w:rPr>
        <w:t xml:space="preserve"> this indicator</w:t>
      </w:r>
      <w:r w:rsidRPr="406DF461" w:rsidR="005D538B">
        <w:rPr>
          <w:color w:val="000000" w:themeColor="text1"/>
        </w:rPr>
        <w:t xml:space="preserve"> that are comparable to our </w:t>
      </w:r>
      <w:r w:rsidR="00346E8D">
        <w:rPr>
          <w:color w:val="000000" w:themeColor="text1"/>
        </w:rPr>
        <w:t>specification</w:t>
      </w:r>
      <w:r w:rsidRPr="406DF461">
        <w:rPr>
          <w:color w:val="000000" w:themeColor="text1"/>
        </w:rPr>
        <w:t xml:space="preserve">, there </w:t>
      </w:r>
      <w:r w:rsidR="00346E8D">
        <w:rPr>
          <w:color w:val="000000" w:themeColor="text1"/>
        </w:rPr>
        <w:t>is</w:t>
      </w:r>
      <w:r w:rsidRPr="406DF461">
        <w:rPr>
          <w:color w:val="000000" w:themeColor="text1"/>
        </w:rPr>
        <w:t xml:space="preserve"> great variation in </w:t>
      </w:r>
      <w:r w:rsidRPr="406DF461" w:rsidR="00192409">
        <w:rPr>
          <w:color w:val="000000" w:themeColor="text1"/>
        </w:rPr>
        <w:t xml:space="preserve">their </w:t>
      </w:r>
      <w:r w:rsidRPr="406DF461">
        <w:rPr>
          <w:color w:val="000000" w:themeColor="text1"/>
        </w:rPr>
        <w:t>denominator</w:t>
      </w:r>
      <w:r w:rsidRPr="406DF461" w:rsidR="00192409">
        <w:rPr>
          <w:color w:val="000000" w:themeColor="text1"/>
        </w:rPr>
        <w:t>s</w:t>
      </w:r>
      <w:r w:rsidRPr="406DF461">
        <w:rPr>
          <w:color w:val="000000" w:themeColor="text1"/>
        </w:rPr>
        <w:t xml:space="preserve">.  </w:t>
      </w:r>
      <w:r w:rsidR="0022588A">
        <w:rPr>
          <w:color w:val="000000" w:themeColor="text1"/>
        </w:rPr>
        <w:t xml:space="preserve">In their 2023-24 performance reports, </w:t>
      </w:r>
      <w:r w:rsidRPr="406DF461">
        <w:rPr>
          <w:color w:val="000000" w:themeColor="text1"/>
        </w:rPr>
        <w:t xml:space="preserve">States </w:t>
      </w:r>
      <w:r w:rsidRPr="406DF461" w:rsidR="000A7565">
        <w:rPr>
          <w:color w:val="000000" w:themeColor="text1"/>
        </w:rPr>
        <w:t xml:space="preserve">used </w:t>
      </w:r>
      <w:r w:rsidRPr="406DF461">
        <w:rPr>
          <w:color w:val="000000" w:themeColor="text1"/>
        </w:rPr>
        <w:t xml:space="preserve">at least eight different </w:t>
      </w:r>
      <w:r w:rsidRPr="406DF461" w:rsidR="000A7565">
        <w:rPr>
          <w:color w:val="000000" w:themeColor="text1"/>
        </w:rPr>
        <w:t xml:space="preserve">variations </w:t>
      </w:r>
      <w:r w:rsidRPr="406DF461">
        <w:rPr>
          <w:color w:val="000000" w:themeColor="text1"/>
        </w:rPr>
        <w:t>of the denominator, with some measuring attainment of CTE concentrators who exited during the prior reporting year, some measuring attainment by CTE concentrators who exited during the reporting year, others measuring attainment by CTE concentrators who completed a program during the prior year, and so forth.  Consequently, data for this indicator cannot responsibly be aggregated nationally or used to make State-by-State comparisons</w:t>
      </w:r>
      <w:r w:rsidR="004B48A2">
        <w:rPr>
          <w:color w:val="000000" w:themeColor="text1"/>
        </w:rPr>
        <w:t xml:space="preserve"> as is required in section</w:t>
      </w:r>
      <w:r w:rsidR="00841791">
        <w:rPr>
          <w:color w:val="000000" w:themeColor="text1"/>
        </w:rPr>
        <w:t xml:space="preserve">s </w:t>
      </w:r>
      <w:r w:rsidR="00841791">
        <w:t>113(b)(3)(C)(iv) and</w:t>
      </w:r>
      <w:r w:rsidR="004B48A2">
        <w:rPr>
          <w:color w:val="000000" w:themeColor="text1"/>
        </w:rPr>
        <w:t xml:space="preserve"> 114</w:t>
      </w:r>
      <w:r w:rsidR="008429FE">
        <w:rPr>
          <w:color w:val="000000" w:themeColor="text1"/>
        </w:rPr>
        <w:t>(a)(1)</w:t>
      </w:r>
      <w:r w:rsidR="004B48A2">
        <w:rPr>
          <w:color w:val="000000" w:themeColor="text1"/>
        </w:rPr>
        <w:t xml:space="preserve"> of Perkins</w:t>
      </w:r>
      <w:r w:rsidRPr="406DF461">
        <w:rPr>
          <w:color w:val="000000" w:themeColor="text1"/>
        </w:rPr>
        <w:t xml:space="preserve">.  We believe </w:t>
      </w:r>
      <w:r w:rsidRPr="406DF461" w:rsidR="0059552B">
        <w:rPr>
          <w:color w:val="000000" w:themeColor="text1"/>
        </w:rPr>
        <w:t xml:space="preserve">the numerator and denominator </w:t>
      </w:r>
      <w:r w:rsidRPr="406DF461" w:rsidR="00192409">
        <w:rPr>
          <w:color w:val="000000" w:themeColor="text1"/>
        </w:rPr>
        <w:t xml:space="preserve">we </w:t>
      </w:r>
      <w:r w:rsidR="004114AC">
        <w:rPr>
          <w:color w:val="000000" w:themeColor="text1"/>
        </w:rPr>
        <w:t xml:space="preserve">propose </w:t>
      </w:r>
      <w:r w:rsidRPr="406DF461">
        <w:rPr>
          <w:color w:val="000000" w:themeColor="text1"/>
        </w:rPr>
        <w:t xml:space="preserve">best reflect the statutory description of the </w:t>
      </w:r>
      <w:r w:rsidRPr="406DF461" w:rsidR="0054346E">
        <w:rPr>
          <w:color w:val="000000" w:themeColor="text1"/>
        </w:rPr>
        <w:t>indicator</w:t>
      </w:r>
      <w:r w:rsidR="003710A9">
        <w:rPr>
          <w:color w:val="000000" w:themeColor="text1"/>
        </w:rPr>
        <w:t>.</w:t>
      </w:r>
      <w:r w:rsidRPr="406DF461">
        <w:rPr>
          <w:color w:val="000000" w:themeColor="text1"/>
        </w:rPr>
        <w:t xml:space="preserve"> </w:t>
      </w:r>
    </w:p>
    <w:p w:rsidR="004F7637" w:rsidP="002213BF" w14:paraId="105E14BF" w14:textId="77777777">
      <w:pPr>
        <w:contextualSpacing/>
        <w:rPr>
          <w:color w:val="000000" w:themeColor="text1"/>
          <w:kern w:val="0"/>
          <w:u w:val="single"/>
          <w14:ligatures w14:val="none"/>
        </w:rPr>
      </w:pPr>
    </w:p>
    <w:p w:rsidR="00AF49DD" w:rsidRPr="005C182E" w:rsidP="005C182E" w14:paraId="4D0C8703" w14:textId="3CE59627">
      <w:pPr>
        <w:numPr>
          <w:ilvl w:val="0"/>
          <w:numId w:val="6"/>
        </w:numPr>
        <w:spacing w:after="0"/>
        <w:rPr>
          <w:b/>
        </w:rPr>
      </w:pPr>
      <w:r w:rsidRPr="005C182E">
        <w:rPr>
          <w:b/>
        </w:rPr>
        <w:t>Indicate how, by whom, and for what purpose the information is to be used.  Except for a new collection, indicate the actual use the agency has made of the information received from the current collection.</w:t>
      </w:r>
    </w:p>
    <w:p w:rsidR="00AF49DD" w:rsidRPr="00F345C4" w:rsidP="00AF49DD" w14:paraId="74A46A49" w14:textId="77777777">
      <w:pPr>
        <w:pStyle w:val="ListParagraph"/>
        <w:spacing w:after="0"/>
        <w:ind w:left="360"/>
        <w:rPr>
          <w:b/>
        </w:rPr>
      </w:pPr>
    </w:p>
    <w:p w:rsidR="00AF49DD" w:rsidRPr="00D04C1A" w:rsidP="6D122F95" w14:paraId="628E5772" w14:textId="572112B9">
      <w:pPr>
        <w:pStyle w:val="CommentText"/>
        <w:tabs>
          <w:tab w:val="center" w:pos="8505"/>
        </w:tabs>
        <w:spacing w:after="0"/>
        <w:rPr>
          <w:sz w:val="22"/>
          <w:szCs w:val="22"/>
        </w:rPr>
      </w:pPr>
      <w:r w:rsidRPr="00D04C1A">
        <w:rPr>
          <w:sz w:val="22"/>
          <w:szCs w:val="22"/>
        </w:rPr>
        <w:t>Pursuant to section 122(f), the Department uses the information contained in each eligible agency’s State plan and annual revisions to determine whether the eligible agency has met the requirements of the Act, including submitting State-determined levels of performance that meet the criteria established in section 113(b)(3) and section 113(b)(3)(A)(i)(III).  The Department also uses the information to determine areas in need of technical assistance in States, and to provide information on State’s Perkins V initiatives, funding, and performance levels to Congress, interested stakeholders, and the public.</w:t>
      </w:r>
      <w:r w:rsidR="002C00EB">
        <w:rPr>
          <w:sz w:val="22"/>
          <w:szCs w:val="22"/>
        </w:rPr>
        <w:t xml:space="preserve">  States also use the data to measure and improve the outcomes of CTE programs and programs of study.</w:t>
      </w:r>
    </w:p>
    <w:p w:rsidR="00AF49DD" w:rsidRPr="002A139F" w:rsidP="00AF49DD" w14:paraId="09BDA408" w14:textId="77777777">
      <w:pPr>
        <w:tabs>
          <w:tab w:val="center" w:pos="8505"/>
        </w:tabs>
        <w:spacing w:after="0"/>
        <w:rPr>
          <w:b/>
        </w:rPr>
      </w:pPr>
      <w:r w:rsidRPr="007C7F32">
        <w:t xml:space="preserve">  </w:t>
      </w:r>
    </w:p>
    <w:p w:rsidR="00AF49DD" w:rsidP="0DFB6A76" w14:paraId="4B4A84CC" w14:textId="77777777">
      <w:pPr>
        <w:pStyle w:val="ListParagraph"/>
        <w:numPr>
          <w:ilvl w:val="0"/>
          <w:numId w:val="6"/>
        </w:numPr>
        <w:spacing w:after="0" w:line="240" w:lineRule="auto"/>
      </w:pPr>
      <w:r w:rsidRPr="00766B11">
        <w:rPr>
          <w:b/>
        </w:rPr>
        <w:t>Describe whether, and to what extent, the collection of information involves the use of</w:t>
      </w:r>
      <w:r w:rsidRPr="005275D6">
        <w:rPr>
          <w:b/>
        </w:rPr>
        <w:t xml:space="preserve">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AF49DD" w:rsidP="28C882EE" w14:paraId="04D5614D" w14:textId="77777777">
      <w:pPr>
        <w:pStyle w:val="ListParagraph"/>
        <w:spacing w:after="0" w:line="240" w:lineRule="auto"/>
        <w:ind w:left="360"/>
        <w:rPr>
          <w:b/>
        </w:rPr>
      </w:pPr>
    </w:p>
    <w:p w:rsidR="00AF49DD" w:rsidP="0DFB6A76" w14:paraId="09027CA0" w14:textId="32D21BE5">
      <w:pPr>
        <w:pStyle w:val="ListParagraph"/>
        <w:spacing w:after="0" w:line="240" w:lineRule="auto"/>
        <w:ind w:left="0"/>
      </w:pPr>
      <w:r w:rsidRPr="0073073E">
        <w:t xml:space="preserve">The Department requires eligible agencies to submit State plans and annual revisions electronically via the Perkins V State Plan Portal at </w:t>
      </w:r>
      <w:hyperlink r:id="rId10" w:history="1">
        <w:r w:rsidRPr="00A9482F" w:rsidR="002C00EB">
          <w:rPr>
            <w:rStyle w:val="Hyperlink"/>
          </w:rPr>
          <w:t>https://perkins.ed.gov/pims</w:t>
        </w:r>
      </w:hyperlink>
      <w:r w:rsidRPr="0073073E">
        <w:t xml:space="preserve">.  </w:t>
      </w:r>
    </w:p>
    <w:p w:rsidR="00AF49DD" w:rsidP="28C882EE" w14:paraId="3F73BBB3" w14:textId="77777777">
      <w:pPr>
        <w:pStyle w:val="ListParagraph"/>
        <w:spacing w:after="0" w:line="240" w:lineRule="auto"/>
        <w:ind w:left="360"/>
      </w:pPr>
    </w:p>
    <w:p w:rsidR="00AF49DD" w:rsidRPr="005C182E" w:rsidP="0DFB6A76" w14:paraId="0AB6F14A" w14:textId="1086DDF0">
      <w:pPr>
        <w:pStyle w:val="ListParagraph"/>
        <w:numPr>
          <w:ilvl w:val="0"/>
          <w:numId w:val="6"/>
        </w:numPr>
        <w:rPr>
          <w:b/>
        </w:rPr>
      </w:pPr>
      <w:r w:rsidRPr="002A139F">
        <w:rPr>
          <w:b/>
          <w:bCs/>
        </w:rPr>
        <w:t>Describe efforts to identify duplication. Show specifically why any similar information already available cannot be used or modified for use for the purposes described in Item 2 above.</w:t>
      </w:r>
    </w:p>
    <w:p w:rsidR="00AF49DD" w:rsidP="00AF49DD" w14:paraId="275359C2" w14:textId="77777777">
      <w:r>
        <w:t>This is a unique collection; there are no similar data collections which seek this information.</w:t>
      </w:r>
    </w:p>
    <w:p w:rsidR="00AF49DD" w:rsidRPr="00D04C1A" w:rsidP="6D122F95" w14:paraId="00344C9D" w14:textId="77777777">
      <w:pPr>
        <w:pStyle w:val="CommentText"/>
        <w:numPr>
          <w:ilvl w:val="0"/>
          <w:numId w:val="6"/>
        </w:numPr>
        <w:rPr>
          <w:b/>
          <w:sz w:val="22"/>
          <w:szCs w:val="22"/>
        </w:rPr>
      </w:pPr>
      <w:r w:rsidRPr="00D04C1A">
        <w:rPr>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F49DD" w:rsidP="00AF49DD" w14:paraId="716BD6E2" w14:textId="199889F7">
      <w:r>
        <w:t>The collection does not impact small businesses or other small entities.</w:t>
      </w:r>
    </w:p>
    <w:p w:rsidR="00AF49DD" w:rsidRPr="00D04C1A" w:rsidP="6D122F95" w14:paraId="42FBD0A5" w14:textId="77777777">
      <w:pPr>
        <w:pStyle w:val="CommentText"/>
        <w:numPr>
          <w:ilvl w:val="0"/>
          <w:numId w:val="6"/>
        </w:numPr>
        <w:rPr>
          <w:b/>
          <w:sz w:val="22"/>
          <w:szCs w:val="22"/>
        </w:rPr>
      </w:pPr>
      <w:r w:rsidRPr="00D04C1A">
        <w:rPr>
          <w:b/>
          <w:sz w:val="22"/>
          <w:szCs w:val="22"/>
        </w:rPr>
        <w:t>Describe the consequences to Federal program or policy activities if the collection is not conducted or is conducted less frequently, as well as any technical or legal obstacles to reducing burden.</w:t>
      </w:r>
    </w:p>
    <w:p w:rsidR="00AF49DD" w:rsidP="00AF49DD" w14:paraId="51801C36" w14:textId="32E70FDC">
      <w:r>
        <w:t xml:space="preserve">Pursuant to section 122(a)(1) of Perkins V, each eligible agency must submit a State plan </w:t>
      </w:r>
      <w:r w:rsidR="002C00EB">
        <w:t xml:space="preserve">or </w:t>
      </w:r>
      <w:r>
        <w:t xml:space="preserve">annual revisions for any fiscal year in which they seek assistance under the Act.  </w:t>
      </w:r>
    </w:p>
    <w:p w:rsidR="00AF49DD" w:rsidRPr="00D04C1A" w:rsidP="00572D97" w14:paraId="064B85F4" w14:textId="77777777">
      <w:pPr>
        <w:pStyle w:val="CommentText"/>
        <w:numPr>
          <w:ilvl w:val="0"/>
          <w:numId w:val="6"/>
        </w:numPr>
        <w:spacing w:after="120"/>
        <w:rPr>
          <w:b/>
          <w:sz w:val="22"/>
          <w:szCs w:val="22"/>
        </w:rPr>
      </w:pPr>
      <w:r w:rsidRPr="00D04C1A">
        <w:rPr>
          <w:b/>
          <w:sz w:val="22"/>
          <w:szCs w:val="22"/>
        </w:rPr>
        <w:t>Explain any special circumstances that would cause an information collection to be conducted in a manner:</w:t>
      </w:r>
    </w:p>
    <w:p w:rsidR="00AF49DD" w:rsidRPr="002A139F" w:rsidP="00572D97" w14:paraId="1A5E8A08" w14:textId="77777777">
      <w:pPr>
        <w:spacing w:after="120"/>
        <w:ind w:left="900"/>
        <w:rPr>
          <w:b/>
          <w:bCs/>
        </w:rPr>
      </w:pPr>
      <w:r w:rsidRPr="002A139F">
        <w:rPr>
          <w:b/>
          <w:bCs/>
        </w:rPr>
        <w:t>• requiring respondents to report information to the agency more often than quarterly;</w:t>
      </w:r>
    </w:p>
    <w:p w:rsidR="00AF49DD" w:rsidRPr="002A139F" w:rsidP="00572D97" w14:paraId="37E204B6" w14:textId="77777777">
      <w:pPr>
        <w:spacing w:after="120"/>
        <w:ind w:left="900"/>
        <w:rPr>
          <w:b/>
          <w:bCs/>
        </w:rPr>
      </w:pPr>
      <w:r w:rsidRPr="002A139F">
        <w:rPr>
          <w:b/>
          <w:bCs/>
        </w:rPr>
        <w:t>• requiring respondents to prepare a written response to a collection of information in fewer than 30 days after receipt of it;</w:t>
      </w:r>
    </w:p>
    <w:p w:rsidR="00AF49DD" w:rsidRPr="002A139F" w:rsidP="00572D97" w14:paraId="74DB8F9C" w14:textId="77777777">
      <w:pPr>
        <w:spacing w:after="120"/>
        <w:ind w:left="900"/>
        <w:rPr>
          <w:b/>
          <w:bCs/>
        </w:rPr>
      </w:pPr>
      <w:r w:rsidRPr="002A139F">
        <w:rPr>
          <w:b/>
          <w:bCs/>
        </w:rPr>
        <w:t>• requiring respondents to submit more than an original and two copies of any document;</w:t>
      </w:r>
    </w:p>
    <w:p w:rsidR="00AF49DD" w:rsidRPr="002A139F" w:rsidP="00572D97" w14:paraId="2621372E" w14:textId="77777777">
      <w:pPr>
        <w:spacing w:after="120"/>
        <w:ind w:left="900"/>
        <w:rPr>
          <w:b/>
          <w:bCs/>
        </w:rPr>
      </w:pPr>
      <w:r w:rsidRPr="002A139F">
        <w:rPr>
          <w:b/>
          <w:bCs/>
        </w:rPr>
        <w:t>• requiring respondents to retain records, other than health, medical, government contract, grant-in-aid, or tax records for more than three years;</w:t>
      </w:r>
    </w:p>
    <w:p w:rsidR="00AF49DD" w:rsidRPr="002A139F" w:rsidP="00572D97" w14:paraId="634E9B94" w14:textId="77777777">
      <w:pPr>
        <w:spacing w:after="120"/>
        <w:ind w:left="900"/>
        <w:rPr>
          <w:b/>
          <w:bCs/>
        </w:rPr>
      </w:pPr>
      <w:r w:rsidRPr="002A139F">
        <w:rPr>
          <w:b/>
          <w:bCs/>
        </w:rPr>
        <w:t>• in connection with a statistical survey, that is not designed to produce valid and reliable results than can be generalized to the universe of study;</w:t>
      </w:r>
    </w:p>
    <w:p w:rsidR="00AF49DD" w:rsidRPr="002A139F" w:rsidP="00572D97" w14:paraId="59B35BA0" w14:textId="77777777">
      <w:pPr>
        <w:spacing w:after="120"/>
        <w:ind w:left="900"/>
        <w:rPr>
          <w:b/>
          <w:bCs/>
        </w:rPr>
      </w:pPr>
      <w:r w:rsidRPr="002A139F">
        <w:rPr>
          <w:b/>
          <w:bCs/>
        </w:rPr>
        <w:t>• requiring the use of a statistical data classification that has not been reviewed and approved by OMB;</w:t>
      </w:r>
    </w:p>
    <w:p w:rsidR="00AF49DD" w:rsidRPr="002A139F" w:rsidP="00572D97" w14:paraId="50CEE151" w14:textId="77777777">
      <w:pPr>
        <w:spacing w:after="120"/>
        <w:ind w:left="900"/>
        <w:rPr>
          <w:b/>
          <w:bCs/>
        </w:rPr>
      </w:pPr>
      <w:r w:rsidRPr="002A139F">
        <w:rPr>
          <w:b/>
          <w:bCs/>
        </w:rPr>
        <w:t xml:space="preserve">• that includes a pledge of confidentiality that is not supported by authority established in statute or regulation, that is not supported by disclosure and data security policies that are </w:t>
      </w:r>
      <w:r w:rsidRPr="002A139F">
        <w:rPr>
          <w:b/>
          <w:bCs/>
        </w:rPr>
        <w:t>consistent with the pledge, or that unnecessarily impedes sharing of data with other agencies for compatible confidential use; or</w:t>
      </w:r>
    </w:p>
    <w:p w:rsidR="00AF49DD" w:rsidRPr="005C182E" w:rsidP="00572D97" w14:paraId="35110237" w14:textId="708D5F94">
      <w:pPr>
        <w:spacing w:after="120"/>
        <w:ind w:left="900"/>
        <w:rPr>
          <w:b/>
        </w:rPr>
      </w:pPr>
      <w:r w:rsidRPr="002A139F">
        <w:rPr>
          <w:b/>
          <w:bCs/>
        </w:rPr>
        <w:t>• requiring respondents to submit proprietary trade secrets, or other confidential information unless the agency can demonstrate that it has instituted procedures to protect the information’s confidentiality to the extent permitted by law.</w:t>
      </w:r>
    </w:p>
    <w:p w:rsidR="00AF49DD" w:rsidP="00AF49DD" w14:paraId="688EBDF6" w14:textId="77777777">
      <w:r>
        <w:t>The collection does not anticipate any such special circumstances.</w:t>
      </w:r>
    </w:p>
    <w:p w:rsidR="00AF49DD" w:rsidP="00572D97" w14:paraId="5DA9B7BB" w14:textId="77777777">
      <w:pPr>
        <w:pStyle w:val="ListParagraph"/>
        <w:numPr>
          <w:ilvl w:val="0"/>
          <w:numId w:val="6"/>
        </w:numPr>
        <w:spacing w:after="120"/>
        <w:rPr>
          <w:b/>
          <w:bCs/>
        </w:rPr>
      </w:pPr>
      <w:r w:rsidRPr="002A139F">
        <w:rPr>
          <w:b/>
          <w:bCs/>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F49DD" w:rsidP="00572D97" w14:paraId="52FA5EF8" w14:textId="77777777">
      <w:pPr>
        <w:pStyle w:val="ListParagraph"/>
        <w:spacing w:after="120"/>
        <w:ind w:left="360"/>
        <w:rPr>
          <w:b/>
          <w:bCs/>
        </w:rPr>
      </w:pPr>
    </w:p>
    <w:p w:rsidR="00AF49DD" w:rsidRPr="002A139F" w:rsidP="00572D97" w14:paraId="6A1A285B" w14:textId="77777777">
      <w:pPr>
        <w:pStyle w:val="ListParagraph"/>
        <w:spacing w:after="120"/>
        <w:rPr>
          <w:b/>
          <w:bCs/>
        </w:rPr>
      </w:pPr>
      <w:r w:rsidRPr="002A139F">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AF49DD" w:rsidRPr="002A139F" w:rsidP="00572D97" w14:paraId="088B2A37" w14:textId="77777777">
      <w:pPr>
        <w:pStyle w:val="ListParagraph"/>
        <w:spacing w:after="120"/>
        <w:rPr>
          <w:b/>
          <w:bCs/>
        </w:rPr>
      </w:pPr>
    </w:p>
    <w:p w:rsidR="00AF49DD" w:rsidRPr="00477FA1" w:rsidP="00572D97" w14:paraId="582D3102" w14:textId="164B6E4D">
      <w:pPr>
        <w:pStyle w:val="ListParagraph"/>
        <w:spacing w:after="120"/>
        <w:rPr>
          <w:b/>
        </w:rPr>
      </w:pPr>
      <w:r w:rsidRPr="002A139F">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33DE1" w:rsidP="00AF49DD" w14:paraId="05C2FF8E" w14:textId="38E31A11">
      <w:r w:rsidRPr="005A1091">
        <w:t xml:space="preserve">The Department consulted eight different stakeholder groups and four different State CTE directors when drafting this update to understand both the usefulness of collecting and the availability of these data.  </w:t>
      </w:r>
      <w:r w:rsidR="00AF49DD">
        <w:t>The Department publish</w:t>
      </w:r>
      <w:r w:rsidR="00C50BB7">
        <w:t>ed</w:t>
      </w:r>
      <w:r w:rsidR="00AF49DD">
        <w:t xml:space="preserve"> a 60-day notice in the Federal Register</w:t>
      </w:r>
      <w:r w:rsidR="002A5783">
        <w:t xml:space="preserve"> on September 11, 2024</w:t>
      </w:r>
      <w:r w:rsidR="00CB458A">
        <w:t>.</w:t>
      </w:r>
      <w:r w:rsidR="00AF49DD">
        <w:t xml:space="preserve"> </w:t>
      </w:r>
      <w:r>
        <w:t xml:space="preserve"> </w:t>
      </w:r>
      <w:r w:rsidRPr="00E33DE1">
        <w:t xml:space="preserve">We received 53 sets of comments on the Perkins V State Plan Guide that were submitted through Regulations.gov.  We also received comments from State agency officials during briefings about the revisions to the two ICRs and in correspondence from members of Congress.  </w:t>
      </w:r>
      <w:r>
        <w:t>In the attached document, we</w:t>
      </w:r>
      <w:r w:rsidRPr="00E33DE1">
        <w:t xml:space="preserve"> address all of the comments we received on the Perkins V State Plan Guide </w:t>
      </w:r>
      <w:r>
        <w:t>and describe the changes we are making to the</w:t>
      </w:r>
      <w:r w:rsidR="00545D4D">
        <w:t xml:space="preserve"> Perkins V State Plan Guide in response to these comments. </w:t>
      </w:r>
    </w:p>
    <w:p w:rsidR="00AF49DD" w:rsidP="00AF49DD" w14:paraId="58BE0912" w14:textId="38D1C63E">
      <w:r>
        <w:t>The Department will publish a 30-day notice in the Federal Register and will review and respond to the comments received.  Changes will be made when appropriate.</w:t>
      </w:r>
      <w:r w:rsidR="005A1091">
        <w:t xml:space="preserve"> </w:t>
      </w:r>
    </w:p>
    <w:p w:rsidR="00AF49DD" w:rsidRPr="00957DF3" w:rsidP="23AE47F2" w14:paraId="0D6ECE3C" w14:textId="77777777">
      <w:pPr>
        <w:pStyle w:val="CommentText"/>
        <w:numPr>
          <w:ilvl w:val="0"/>
          <w:numId w:val="6"/>
        </w:numPr>
        <w:rPr>
          <w:b/>
          <w:sz w:val="22"/>
          <w:szCs w:val="22"/>
        </w:rPr>
      </w:pPr>
      <w:r w:rsidRPr="00957DF3">
        <w:rPr>
          <w:b/>
          <w:sz w:val="22"/>
          <w:szCs w:val="22"/>
        </w:rPr>
        <w:t>Explain any decision to provide any payment or gift to respondents, other than remuneration of contractors or grantees with meaningful justification.</w:t>
      </w:r>
    </w:p>
    <w:p w:rsidR="00AF49DD" w:rsidP="00AF49DD" w14:paraId="6EEA8D57" w14:textId="77777777">
      <w:r>
        <w:t xml:space="preserve">There will be no payments or gifts to respondents of this information collection. </w:t>
      </w:r>
    </w:p>
    <w:p w:rsidR="00AF49DD" w:rsidRPr="00957DF3" w:rsidP="23AE47F2" w14:paraId="4158F20E" w14:textId="77777777">
      <w:pPr>
        <w:pStyle w:val="CommentText"/>
        <w:numPr>
          <w:ilvl w:val="0"/>
          <w:numId w:val="6"/>
        </w:numPr>
        <w:rPr>
          <w:b/>
          <w:sz w:val="22"/>
          <w:szCs w:val="22"/>
        </w:rPr>
      </w:pPr>
      <w:r w:rsidRPr="00957DF3">
        <w:rPr>
          <w:b/>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Requests for this information are in accordance with the following ED and OMB policies: Privacy Act of 1974, OMB Circular </w:t>
      </w:r>
      <w:r w:rsidRPr="00957DF3">
        <w:rPr>
          <w:b/>
          <w:sz w:val="22"/>
          <w:szCs w:val="22"/>
        </w:rPr>
        <w:t>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rsidR="00AF49DD" w:rsidP="00AF49DD" w14:paraId="0C4AD044" w14:textId="77777777">
      <w:r>
        <w:t xml:space="preserve">The Department makes no pledge about the confidentiality of the data provided by respondents of this information collection. </w:t>
      </w:r>
    </w:p>
    <w:p w:rsidR="00AF49DD" w:rsidRPr="00957DF3" w:rsidP="0A9AD581" w14:paraId="6B0E146E" w14:textId="77777777">
      <w:pPr>
        <w:pStyle w:val="CommentText"/>
        <w:numPr>
          <w:ilvl w:val="0"/>
          <w:numId w:val="6"/>
        </w:numPr>
        <w:rPr>
          <w:b/>
          <w:sz w:val="22"/>
          <w:szCs w:val="22"/>
        </w:rPr>
      </w:pPr>
      <w:r w:rsidRPr="00957DF3">
        <w:rPr>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49DD" w:rsidP="00AF49DD" w14:paraId="1632C1F7" w14:textId="77777777">
      <w:r>
        <w:t>There are no questions of a sensitive nature contained in this information collection.</w:t>
      </w:r>
    </w:p>
    <w:p w:rsidR="00AF49DD" w:rsidRPr="00957DF3" w:rsidP="0A9AD581" w14:paraId="437F3D19" w14:textId="77777777">
      <w:pPr>
        <w:pStyle w:val="CommentText"/>
        <w:numPr>
          <w:ilvl w:val="0"/>
          <w:numId w:val="6"/>
        </w:numPr>
        <w:rPr>
          <w:b/>
          <w:sz w:val="22"/>
          <w:szCs w:val="22"/>
        </w:rPr>
      </w:pPr>
      <w:r w:rsidRPr="00957DF3">
        <w:rPr>
          <w:b/>
          <w:sz w:val="22"/>
          <w:szCs w:val="22"/>
        </w:rPr>
        <w:t>Provide estimates of the hour burden of the collection of information.  The statement should:</w:t>
      </w:r>
    </w:p>
    <w:p w:rsidR="00AF49DD" w:rsidRPr="002A139F" w:rsidP="00AF49DD" w14:paraId="0357BB2E" w14:textId="77777777">
      <w:pPr>
        <w:ind w:left="360"/>
        <w:rPr>
          <w:b/>
          <w:bCs/>
        </w:rPr>
      </w:pPr>
      <w:r w:rsidRPr="002A139F">
        <w:rPr>
          <w:b/>
          <w:bCs/>
        </w:rPr>
        <w:t xml:space="preserve">• </w:t>
      </w:r>
      <w:r>
        <w:rPr>
          <w:b/>
          <w:bCs/>
        </w:rPr>
        <w:t xml:space="preserve"> </w:t>
      </w:r>
      <w:r w:rsidRPr="002A139F">
        <w:rPr>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F49DD" w:rsidRPr="002A139F" w:rsidP="00AF49DD" w14:paraId="57B4980B" w14:textId="77777777">
      <w:pPr>
        <w:ind w:left="360"/>
        <w:rPr>
          <w:b/>
          <w:bCs/>
        </w:rPr>
      </w:pPr>
      <w:r w:rsidRPr="002A139F">
        <w:rPr>
          <w:b/>
          <w:bCs/>
        </w:rPr>
        <w:t>• 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AF49DD" w:rsidP="00AF49DD" w14:paraId="4639D103" w14:textId="77777777">
      <w:pPr>
        <w:ind w:left="360"/>
        <w:rPr>
          <w:b/>
          <w:bCs/>
        </w:rPr>
      </w:pPr>
      <w:r w:rsidRPr="002A139F">
        <w:rPr>
          <w:b/>
          <w:bCs/>
        </w:rPr>
        <w:t>• 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25829" w:rsidP="00C25829" w14:paraId="6ED5B810" w14:textId="77777777">
      <w:pPr>
        <w:tabs>
          <w:tab w:val="left" w:pos="624"/>
          <w:tab w:val="left" w:pos="2340"/>
          <w:tab w:val="right" w:pos="9588"/>
        </w:tabs>
        <w:spacing w:after="0"/>
        <w:ind w:left="90"/>
        <w:rPr>
          <w:bCs/>
        </w:rPr>
      </w:pPr>
      <w:r>
        <w:rPr>
          <w:bCs/>
        </w:rPr>
        <w:t xml:space="preserve">To determine the estimated burden hours associated with the Perkins V State plan collection, the Department originally consulted State employees who are responsible for State plan development at nine eligible agencies. The Department later adjusted its first estimated burden hours based on public comments from the 60-day comment period in 2019.  To estimate burden for this revision and renewal, </w:t>
      </w:r>
      <w:r w:rsidRPr="00223D1D">
        <w:rPr>
          <w:bCs/>
        </w:rPr>
        <w:t xml:space="preserve">we </w:t>
      </w:r>
      <w:r>
        <w:rPr>
          <w:bCs/>
        </w:rPr>
        <w:t xml:space="preserve">consulted with four State eligible agency officials responsible for State plan development, two </w:t>
      </w:r>
      <w:r>
        <w:rPr>
          <w:bCs/>
        </w:rPr>
        <w:t xml:space="preserve">professional associations that represent CTE administrators at the State and local levels, and </w:t>
      </w:r>
      <w:r w:rsidRPr="004341E0">
        <w:rPr>
          <w:bCs/>
        </w:rPr>
        <w:t>two associations that represent other CTE stakeholders.</w:t>
      </w:r>
    </w:p>
    <w:p w:rsidR="00C25829" w:rsidP="00C25829" w14:paraId="18031D59" w14:textId="77777777">
      <w:pPr>
        <w:tabs>
          <w:tab w:val="left" w:pos="624"/>
          <w:tab w:val="left" w:pos="2340"/>
          <w:tab w:val="right" w:pos="9588"/>
        </w:tabs>
        <w:spacing w:after="0"/>
        <w:rPr>
          <w:bCs/>
        </w:rPr>
      </w:pPr>
    </w:p>
    <w:p w:rsidR="00C25829" w:rsidP="00C25829" w14:paraId="4A89A996" w14:textId="77777777">
      <w:pPr>
        <w:tabs>
          <w:tab w:val="left" w:pos="624"/>
          <w:tab w:val="left" w:pos="2340"/>
          <w:tab w:val="right" w:pos="9588"/>
        </w:tabs>
        <w:spacing w:after="0"/>
      </w:pPr>
      <w:r>
        <w:rPr>
          <w:bCs/>
        </w:rPr>
        <w:t xml:space="preserve">We estimate that the burden hours per response averaged across the three years of this information collection request will be </w:t>
      </w:r>
      <w:r>
        <w:t>19 hours</w:t>
      </w:r>
      <w:r>
        <w:rPr>
          <w:bCs/>
        </w:rPr>
        <w:t xml:space="preserve">.  </w:t>
      </w:r>
      <w:r>
        <w:t>Our estimates make the following assumptions:</w:t>
      </w:r>
    </w:p>
    <w:p w:rsidR="00C25829" w:rsidP="00C25829" w14:paraId="1E3BB98F" w14:textId="77777777">
      <w:pPr>
        <w:tabs>
          <w:tab w:val="left" w:pos="624"/>
          <w:tab w:val="left" w:pos="2340"/>
          <w:tab w:val="right" w:pos="9588"/>
        </w:tabs>
        <w:spacing w:after="0"/>
      </w:pPr>
    </w:p>
    <w:p w:rsidR="00C25829" w:rsidP="00C25829" w14:paraId="744A6329" w14:textId="77777777">
      <w:pPr>
        <w:pStyle w:val="ListParagraph"/>
        <w:numPr>
          <w:ilvl w:val="0"/>
          <w:numId w:val="17"/>
        </w:numPr>
      </w:pPr>
      <w:r>
        <w:t>For 2025, all 54 respondents will submit revisions to their State Determined Performance Levels (SDPLs) and budgets for the forthcoming fiscal year’s State allocation;</w:t>
      </w:r>
    </w:p>
    <w:p w:rsidR="00C25829" w:rsidP="00C25829" w14:paraId="64CB0F48" w14:textId="77777777">
      <w:pPr>
        <w:pStyle w:val="ListParagraph"/>
        <w:numPr>
          <w:ilvl w:val="0"/>
          <w:numId w:val="17"/>
        </w:numPr>
      </w:pPr>
      <w:r>
        <w:t>For 2026, all 54 respondents will submit revisions to their State Determined Performance Levels (SDPLs) and budgets for the forthcoming fiscal year’s State allocation; and</w:t>
      </w:r>
    </w:p>
    <w:p w:rsidR="00C25829" w:rsidP="00C25829" w14:paraId="5D1632DE" w14:textId="77777777">
      <w:pPr>
        <w:pStyle w:val="ListParagraph"/>
        <w:numPr>
          <w:ilvl w:val="0"/>
          <w:numId w:val="17"/>
        </w:numPr>
      </w:pPr>
      <w:r>
        <w:t>For 2027, all 54 respondents will submit revisions to their State Determined Performance Levels (SDPLs) and budgets for the forthcoming fiscal year’s State allocation.</w:t>
      </w:r>
    </w:p>
    <w:p w:rsidR="00C25829" w:rsidP="00C25829" w14:paraId="37AA5633" w14:textId="77777777">
      <w:r>
        <w:t>The estimates for every year include the time required to review instructions, prepare a budget for the forthcoming fiscal year’s State allocation, participate in training for the information collection tool, and to respond to the information collection.</w:t>
      </w:r>
    </w:p>
    <w:p w:rsidR="00C25829" w:rsidRPr="00DF411E" w:rsidP="00DF411E" w14:paraId="6BB6A325" w14:textId="0079D192">
      <w:r>
        <w:t>The estimates for submitting revisions to SDPLs also includes time required to compute any revisions to SDPLs, as well as the time required for public comment and responding to any comments.</w:t>
      </w:r>
    </w:p>
    <w:tbl>
      <w:tblPr>
        <w:tblW w:w="9938" w:type="dxa"/>
        <w:tblLook w:val="04A0"/>
      </w:tblPr>
      <w:tblGrid>
        <w:gridCol w:w="1140"/>
        <w:gridCol w:w="1131"/>
        <w:gridCol w:w="1195"/>
        <w:gridCol w:w="1273"/>
        <w:gridCol w:w="1074"/>
        <w:gridCol w:w="1035"/>
        <w:gridCol w:w="810"/>
        <w:gridCol w:w="1195"/>
        <w:gridCol w:w="1085"/>
      </w:tblGrid>
      <w:tr w14:paraId="7CA75AC5" w14:textId="77777777" w:rsidTr="00637CC1">
        <w:tblPrEx>
          <w:tblW w:w="9938" w:type="dxa"/>
          <w:tblLook w:val="04A0"/>
        </w:tblPrEx>
        <w:trPr>
          <w:trHeight w:val="1961"/>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829" w:rsidRPr="00591038" w:rsidP="00451B71" w14:paraId="589DBC46"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364CB0C2"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3725C876"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Year</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3F88235F"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64C1B872"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76CDCB72"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Sample Size (if applicable)</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002D30B"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176725F0"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6B2732F7"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Respondent Response Rate (if applicable)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829" w:rsidRPr="00591038" w:rsidP="00451B71" w14:paraId="59DB1235"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Number of Respondents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4566B6C"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4263E4DA"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0D4F5823"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Number of Responses</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37F5017E"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4D472340"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Average Burden Hours per Response</w:t>
            </w:r>
          </w:p>
          <w:p w:rsidR="00C25829" w:rsidRPr="00591038" w:rsidP="00451B71" w14:paraId="3D203E58"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904859F"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5D86DB75"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Total Annual Burden Hours</w:t>
            </w:r>
          </w:p>
          <w:p w:rsidR="00C25829" w:rsidRPr="00591038" w:rsidP="00451B71" w14:paraId="199E0846"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EB02711"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26D79583"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378F905E"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Estimated Respondent Average Hourly Wage</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9A22E75"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7DDCFCD7"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w:t>
            </w:r>
          </w:p>
          <w:p w:rsidR="00C25829" w:rsidRPr="00591038" w:rsidP="00451B71" w14:paraId="21DCC91B" w14:textId="77777777">
            <w:pPr>
              <w:spacing w:after="0" w:line="240" w:lineRule="auto"/>
              <w:jc w:val="center"/>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Total Annual Costs (Hourly Wage x Total Burden Hours)</w:t>
            </w:r>
          </w:p>
          <w:p w:rsidR="00C25829" w:rsidRPr="00591038" w:rsidP="00451B71" w14:paraId="2E1BD42C" w14:textId="77777777">
            <w:pPr>
              <w:spacing w:after="0" w:line="240" w:lineRule="auto"/>
              <w:jc w:val="center"/>
              <w:rPr>
                <w:rFonts w:ascii="Calibri" w:eastAsia="Times New Roman" w:hAnsi="Calibri" w:cs="Calibri"/>
                <w:color w:val="000000"/>
                <w:kern w:val="0"/>
                <w:sz w:val="20"/>
                <w:szCs w:val="20"/>
                <w14:ligatures w14:val="none"/>
              </w:rPr>
            </w:pPr>
          </w:p>
        </w:tc>
      </w:tr>
      <w:tr w14:paraId="55CC8CDE" w14:textId="77777777" w:rsidTr="00637CC1">
        <w:tblPrEx>
          <w:tblW w:w="9938" w:type="dxa"/>
          <w:tblLook w:val="04A0"/>
        </w:tblPrEx>
        <w:trPr>
          <w:trHeight w:val="29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829" w:rsidRPr="00591038" w:rsidP="00451B71" w14:paraId="3B524003"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2025</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D6E8416"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N/A</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73CE2764"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100%</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6CA1AA5"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26CF465"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38E8B955"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31AC845"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1,026</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581E977"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xml:space="preserve">$72.72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23E65160"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xml:space="preserve">$74,611 </w:t>
            </w:r>
          </w:p>
        </w:tc>
      </w:tr>
      <w:tr w14:paraId="741CC087" w14:textId="77777777" w:rsidTr="00637CC1">
        <w:tblPrEx>
          <w:tblW w:w="9938" w:type="dxa"/>
          <w:tblLook w:val="04A0"/>
        </w:tblPrEx>
        <w:trPr>
          <w:trHeight w:val="29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829" w:rsidRPr="00591038" w:rsidP="00451B71" w14:paraId="2344F4F2"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2026</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2775A8A7"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N/A</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67D3E61B"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100%</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72F9909"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080ED872"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3C924FA7"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4068306"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1,026</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8DD505A"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xml:space="preserve">$72.72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7D6057FF"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$74,611</w:t>
            </w:r>
          </w:p>
        </w:tc>
      </w:tr>
      <w:tr w14:paraId="5CA0569A" w14:textId="77777777" w:rsidTr="00637CC1">
        <w:tblPrEx>
          <w:tblW w:w="9938" w:type="dxa"/>
          <w:tblLook w:val="04A0"/>
        </w:tblPrEx>
        <w:trPr>
          <w:trHeight w:val="29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829" w:rsidRPr="00591038" w:rsidP="00451B71" w14:paraId="0E12F4A8"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2027</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08407D05"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N/A</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2D08CDD5"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100%</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5CD33E1"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6C4C0DDC"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3CBCA9EE"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2CCFF6CA"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1,026</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13B695E"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 xml:space="preserve">$72.72 </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F4607A7"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$74,611</w:t>
            </w:r>
            <w:r w:rsidRPr="00591038">
              <w:rPr>
                <w:rFonts w:ascii="Calibri" w:eastAsia="Times New Roman" w:hAnsi="Calibri" w:cs="Calibri"/>
                <w:color w:val="000000"/>
                <w:kern w:val="0"/>
                <w:sz w:val="20"/>
                <w:szCs w:val="20"/>
                <w14:ligatures w14:val="none"/>
              </w:rPr>
              <w:t xml:space="preserve"> </w:t>
            </w:r>
          </w:p>
        </w:tc>
      </w:tr>
      <w:tr w14:paraId="31569FD0" w14:textId="77777777" w:rsidTr="00637CC1">
        <w:tblPrEx>
          <w:tblW w:w="9938" w:type="dxa"/>
          <w:tblLook w:val="04A0"/>
        </w:tblPrEx>
        <w:trPr>
          <w:trHeight w:val="52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829" w:rsidRPr="00591038" w:rsidP="00451B71" w14:paraId="0E272FFC" w14:textId="77777777">
            <w:pPr>
              <w:spacing w:after="0" w:line="240" w:lineRule="auto"/>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Annualized Totals</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0688874"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N/A</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5477C92"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100%</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7282A9E1"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19BC0976"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54</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5DC3BCEC"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19</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39338765"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1,026</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08DE097B" w14:textId="77777777">
            <w:pPr>
              <w:spacing w:after="0" w:line="240" w:lineRule="auto"/>
              <w:jc w:val="right"/>
              <w:rPr>
                <w:rFonts w:ascii="Calibri" w:eastAsia="Times New Roman" w:hAnsi="Calibri" w:cs="Calibri"/>
                <w:color w:val="000000"/>
                <w:kern w:val="0"/>
                <w:sz w:val="20"/>
                <w:szCs w:val="20"/>
                <w14:ligatures w14:val="none"/>
              </w:rPr>
            </w:pPr>
            <w:r w:rsidRPr="00591038">
              <w:rPr>
                <w:rFonts w:ascii="Calibri" w:eastAsia="Times New Roman" w:hAnsi="Calibri" w:cs="Calibri"/>
                <w:color w:val="000000"/>
                <w:kern w:val="0"/>
                <w:sz w:val="20"/>
                <w:szCs w:val="20"/>
                <w14:ligatures w14:val="none"/>
              </w:rPr>
              <w:t>$72.72</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C25829" w:rsidRPr="00591038" w:rsidP="00451B71" w14:paraId="491E7AB7" w14:textId="77777777">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$74,611</w:t>
            </w:r>
          </w:p>
        </w:tc>
      </w:tr>
    </w:tbl>
    <w:p w:rsidR="00C25829" w:rsidP="00C25829" w14:paraId="633DC687" w14:textId="77777777">
      <w:pPr>
        <w:tabs>
          <w:tab w:val="left" w:pos="624"/>
          <w:tab w:val="left" w:pos="2340"/>
          <w:tab w:val="right" w:pos="9588"/>
        </w:tabs>
        <w:spacing w:after="0"/>
        <w:rPr>
          <w:bCs/>
        </w:rPr>
      </w:pPr>
    </w:p>
    <w:p w:rsidR="00C25829" w:rsidP="00C25829" w14:paraId="53F60C52" w14:textId="77777777">
      <w:pPr>
        <w:tabs>
          <w:tab w:val="left" w:pos="624"/>
          <w:tab w:val="left" w:pos="2340"/>
          <w:tab w:val="right" w:pos="9588"/>
        </w:tabs>
        <w:spacing w:after="0"/>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Pr>
          <w:bCs/>
        </w:rPr>
        <w:t xml:space="preserve">72.72 </w:t>
      </w:r>
      <w:r w:rsidRPr="00E4449A">
        <w:rPr>
          <w:bCs/>
        </w:rPr>
        <w:t xml:space="preserve">per hour, the mean hourly compensation cost for </w:t>
      </w:r>
      <w:r>
        <w:rPr>
          <w:bCs/>
        </w:rPr>
        <w:t>State and local government workers who were in management, professional, and related occupations in March 2024.</w:t>
      </w:r>
      <w:r>
        <w:rPr>
          <w:rStyle w:val="FootnoteReference"/>
          <w:rFonts w:ascii="Times New Roman" w:hAnsi="Times New Roman"/>
          <w:bCs/>
        </w:rPr>
        <w:footnoteReference w:id="11"/>
      </w:r>
      <w:r w:rsidRPr="003842A4">
        <w:t xml:space="preserve"> </w:t>
      </w:r>
      <w:r w:rsidRPr="003842A4">
        <w:rPr>
          <w:bCs/>
        </w:rPr>
        <w:t>The total annualized cost to respondents of the hour burdens for this collection is estimated to be $</w:t>
      </w:r>
      <w:r>
        <w:rPr>
          <w:bCs/>
        </w:rPr>
        <w:t xml:space="preserve">74,611, </w:t>
      </w:r>
      <w:r w:rsidRPr="003842A4">
        <w:rPr>
          <w:bCs/>
        </w:rPr>
        <w:t xml:space="preserve">as indicated in the table below.   </w:t>
      </w:r>
      <w:r>
        <w:rPr>
          <w:rStyle w:val="a"/>
          <w:bCs/>
        </w:rPr>
        <w:t xml:space="preserve">Within that amount </w:t>
      </w:r>
      <w:r>
        <w:t xml:space="preserve">the Department has adjusted our estimates to indicate that professional </w:t>
      </w:r>
      <w:r>
        <w:t xml:space="preserve">staff would be solely responsible for this submission, without assistance from clerical staff (our previous estimate had assumed that 12 hours of assistance would be provided by clerical staff). </w:t>
      </w:r>
    </w:p>
    <w:p w:rsidR="00C25829" w:rsidRPr="00572D97" w:rsidP="00C25829" w14:paraId="2143997B" w14:textId="77777777">
      <w:pPr>
        <w:tabs>
          <w:tab w:val="left" w:pos="624"/>
          <w:tab w:val="left" w:pos="2340"/>
          <w:tab w:val="right" w:pos="9588"/>
        </w:tabs>
        <w:spacing w:after="0"/>
        <w:ind w:left="-90"/>
        <w:rPr>
          <w:bCs/>
        </w:rPr>
      </w:pPr>
    </w:p>
    <w:tbl>
      <w:tblPr>
        <w:tblW w:w="9810" w:type="dxa"/>
        <w:tblInd w:w="-10" w:type="dxa"/>
        <w:tblLook w:val="04A0"/>
      </w:tblPr>
      <w:tblGrid>
        <w:gridCol w:w="2590"/>
        <w:gridCol w:w="2920"/>
        <w:gridCol w:w="1960"/>
        <w:gridCol w:w="2340"/>
      </w:tblGrid>
      <w:tr w14:paraId="6CD183C6" w14:textId="77777777" w:rsidTr="00451B71">
        <w:tblPrEx>
          <w:tblW w:w="9810" w:type="dxa"/>
          <w:tblInd w:w="-10" w:type="dxa"/>
          <w:tblLook w:val="04A0"/>
        </w:tblPrEx>
        <w:trPr>
          <w:trHeight w:val="645"/>
        </w:trPr>
        <w:tc>
          <w:tcPr>
            <w:tcW w:w="25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C25829" w:rsidRPr="00591038" w:rsidP="00451B71" w14:paraId="3963C88B" w14:textId="77777777">
            <w:pPr>
              <w:spacing w:after="0" w:line="240" w:lineRule="auto"/>
              <w:jc w:val="center"/>
              <w:rPr>
                <w:rFonts w:eastAsia="Times New Roman"/>
                <w:color w:val="000000"/>
                <w:kern w:val="0"/>
                <w:sz w:val="20"/>
                <w:szCs w:val="20"/>
                <w14:ligatures w14:val="none"/>
              </w:rPr>
            </w:pPr>
            <w:r w:rsidRPr="00591038">
              <w:rPr>
                <w:rFonts w:eastAsia="Times New Roman"/>
                <w:color w:val="000000"/>
                <w:kern w:val="0"/>
                <w:sz w:val="20"/>
                <w:szCs w:val="20"/>
                <w14:ligatures w14:val="none"/>
              </w:rPr>
              <w:t>Type of Staff</w:t>
            </w:r>
          </w:p>
        </w:tc>
        <w:tc>
          <w:tcPr>
            <w:tcW w:w="2920" w:type="dxa"/>
            <w:tcBorders>
              <w:top w:val="single" w:sz="8" w:space="0" w:color="auto"/>
              <w:left w:val="nil"/>
              <w:bottom w:val="single" w:sz="8" w:space="0" w:color="auto"/>
              <w:right w:val="single" w:sz="8" w:space="0" w:color="auto"/>
            </w:tcBorders>
            <w:shd w:val="clear" w:color="auto" w:fill="FFFFFF" w:themeFill="background1"/>
            <w:vAlign w:val="center"/>
            <w:hideMark/>
          </w:tcPr>
          <w:p w:rsidR="00C25829" w:rsidRPr="00591038" w:rsidP="00451B71" w14:paraId="44115390" w14:textId="77777777">
            <w:pPr>
              <w:spacing w:after="0" w:line="240" w:lineRule="auto"/>
              <w:jc w:val="center"/>
              <w:rPr>
                <w:rFonts w:eastAsia="Times New Roman"/>
                <w:color w:val="000000"/>
                <w:kern w:val="0"/>
                <w:sz w:val="20"/>
                <w:szCs w:val="20"/>
                <w14:ligatures w14:val="none"/>
              </w:rPr>
            </w:pPr>
            <w:r w:rsidRPr="00591038">
              <w:rPr>
                <w:rFonts w:eastAsia="Times New Roman"/>
                <w:color w:val="000000"/>
                <w:kern w:val="0"/>
                <w:sz w:val="20"/>
                <w:szCs w:val="20"/>
                <w14:ligatures w14:val="none"/>
              </w:rPr>
              <w:t>Total Estimated Number of Burden Hours</w:t>
            </w:r>
          </w:p>
        </w:tc>
        <w:tc>
          <w:tcPr>
            <w:tcW w:w="1960" w:type="dxa"/>
            <w:tcBorders>
              <w:top w:val="single" w:sz="8" w:space="0" w:color="auto"/>
              <w:left w:val="nil"/>
              <w:bottom w:val="single" w:sz="8" w:space="0" w:color="auto"/>
              <w:right w:val="single" w:sz="8" w:space="0" w:color="auto"/>
            </w:tcBorders>
            <w:shd w:val="clear" w:color="auto" w:fill="FFFFFF" w:themeFill="background1"/>
            <w:vAlign w:val="center"/>
            <w:hideMark/>
          </w:tcPr>
          <w:p w:rsidR="00C25829" w:rsidRPr="00591038" w:rsidP="00451B71" w14:paraId="67BF97B2" w14:textId="77777777">
            <w:pPr>
              <w:spacing w:after="0" w:line="240" w:lineRule="auto"/>
              <w:jc w:val="center"/>
              <w:rPr>
                <w:rFonts w:eastAsia="Times New Roman"/>
                <w:color w:val="000000"/>
                <w:kern w:val="0"/>
                <w:sz w:val="20"/>
                <w:szCs w:val="20"/>
                <w14:ligatures w14:val="none"/>
              </w:rPr>
            </w:pPr>
            <w:r w:rsidRPr="00591038">
              <w:rPr>
                <w:rFonts w:eastAsia="Times New Roman"/>
                <w:color w:val="000000"/>
                <w:kern w:val="0"/>
                <w:sz w:val="20"/>
                <w:szCs w:val="20"/>
                <w14:ligatures w14:val="none"/>
              </w:rPr>
              <w:t>Estimated Hourly Cost</w:t>
            </w:r>
          </w:p>
        </w:tc>
        <w:tc>
          <w:tcPr>
            <w:tcW w:w="2340" w:type="dxa"/>
            <w:tcBorders>
              <w:top w:val="single" w:sz="8" w:space="0" w:color="auto"/>
              <w:left w:val="nil"/>
              <w:bottom w:val="single" w:sz="8" w:space="0" w:color="auto"/>
              <w:right w:val="single" w:sz="8" w:space="0" w:color="auto"/>
            </w:tcBorders>
            <w:shd w:val="clear" w:color="auto" w:fill="FFFFFF" w:themeFill="background1"/>
            <w:vAlign w:val="center"/>
            <w:hideMark/>
          </w:tcPr>
          <w:p w:rsidR="00C25829" w:rsidRPr="00591038" w:rsidP="00451B71" w14:paraId="3C2B8671" w14:textId="77777777">
            <w:pPr>
              <w:spacing w:after="0" w:line="240" w:lineRule="auto"/>
              <w:jc w:val="center"/>
              <w:rPr>
                <w:rFonts w:eastAsia="Times New Roman"/>
                <w:color w:val="000000"/>
                <w:kern w:val="0"/>
                <w:sz w:val="20"/>
                <w:szCs w:val="20"/>
                <w14:ligatures w14:val="none"/>
              </w:rPr>
            </w:pPr>
            <w:r w:rsidRPr="00591038">
              <w:rPr>
                <w:rFonts w:eastAsia="Times New Roman"/>
                <w:color w:val="000000"/>
                <w:kern w:val="0"/>
                <w:sz w:val="20"/>
                <w:szCs w:val="20"/>
                <w14:ligatures w14:val="none"/>
              </w:rPr>
              <w:t>Total Costs (Rounded to the Nearest dollar)</w:t>
            </w:r>
          </w:p>
        </w:tc>
      </w:tr>
      <w:tr w14:paraId="4CDC0A66" w14:textId="77777777" w:rsidTr="00451B71">
        <w:tblPrEx>
          <w:tblW w:w="9810" w:type="dxa"/>
          <w:tblInd w:w="-10" w:type="dxa"/>
          <w:tblLook w:val="04A0"/>
        </w:tblPrEx>
        <w:trPr>
          <w:trHeight w:val="330"/>
        </w:trPr>
        <w:tc>
          <w:tcPr>
            <w:tcW w:w="2590" w:type="dxa"/>
            <w:tcBorders>
              <w:top w:val="nil"/>
              <w:left w:val="single" w:sz="8" w:space="0" w:color="auto"/>
              <w:bottom w:val="single" w:sz="8" w:space="0" w:color="auto"/>
              <w:right w:val="single" w:sz="8" w:space="0" w:color="auto"/>
            </w:tcBorders>
            <w:shd w:val="clear" w:color="auto" w:fill="auto"/>
            <w:vAlign w:val="center"/>
            <w:hideMark/>
          </w:tcPr>
          <w:p w:rsidR="00C25829" w:rsidRPr="00591038" w:rsidP="00451B71" w14:paraId="3CB94442" w14:textId="77777777">
            <w:pPr>
              <w:spacing w:after="0" w:line="240" w:lineRule="auto"/>
              <w:jc w:val="center"/>
              <w:rPr>
                <w:rFonts w:eastAsia="Times New Roman"/>
                <w:color w:val="000000"/>
                <w:kern w:val="0"/>
                <w:sz w:val="20"/>
                <w:szCs w:val="20"/>
                <w14:ligatures w14:val="none"/>
              </w:rPr>
            </w:pPr>
            <w:r w:rsidRPr="00591038">
              <w:rPr>
                <w:rFonts w:eastAsia="Times New Roman"/>
                <w:color w:val="000000"/>
                <w:kern w:val="0"/>
                <w:sz w:val="20"/>
                <w:szCs w:val="20"/>
                <w14:ligatures w14:val="none"/>
              </w:rPr>
              <w:t>Professional</w:t>
            </w:r>
          </w:p>
        </w:tc>
        <w:tc>
          <w:tcPr>
            <w:tcW w:w="2920" w:type="dxa"/>
            <w:tcBorders>
              <w:top w:val="nil"/>
              <w:left w:val="nil"/>
              <w:bottom w:val="single" w:sz="8" w:space="0" w:color="auto"/>
              <w:right w:val="single" w:sz="8" w:space="0" w:color="auto"/>
            </w:tcBorders>
            <w:shd w:val="clear" w:color="auto" w:fill="auto"/>
            <w:vAlign w:val="center"/>
            <w:hideMark/>
          </w:tcPr>
          <w:p w:rsidR="00C25829" w:rsidRPr="00591038" w:rsidP="00451B71" w14:paraId="2A7C5F3C" w14:textId="7777777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1,026</w:t>
            </w:r>
          </w:p>
        </w:tc>
        <w:tc>
          <w:tcPr>
            <w:tcW w:w="1960" w:type="dxa"/>
            <w:tcBorders>
              <w:top w:val="nil"/>
              <w:left w:val="nil"/>
              <w:bottom w:val="single" w:sz="8" w:space="0" w:color="auto"/>
              <w:right w:val="single" w:sz="8" w:space="0" w:color="auto"/>
            </w:tcBorders>
            <w:shd w:val="clear" w:color="auto" w:fill="auto"/>
            <w:vAlign w:val="center"/>
            <w:hideMark/>
          </w:tcPr>
          <w:p w:rsidR="00C25829" w:rsidRPr="00591038" w:rsidP="00451B71" w14:paraId="005E50AD" w14:textId="77777777">
            <w:pPr>
              <w:spacing w:after="0" w:line="240" w:lineRule="auto"/>
              <w:jc w:val="center"/>
              <w:rPr>
                <w:rFonts w:eastAsia="Times New Roman"/>
                <w:color w:val="000000"/>
                <w:kern w:val="0"/>
                <w:sz w:val="20"/>
                <w:szCs w:val="20"/>
                <w14:ligatures w14:val="none"/>
              </w:rPr>
            </w:pPr>
            <w:r w:rsidRPr="00591038">
              <w:rPr>
                <w:rFonts w:eastAsia="Times New Roman"/>
                <w:color w:val="000000"/>
                <w:kern w:val="0"/>
                <w:sz w:val="20"/>
                <w:szCs w:val="20"/>
                <w14:ligatures w14:val="none"/>
              </w:rPr>
              <w:t xml:space="preserve">$72.72 </w:t>
            </w:r>
          </w:p>
        </w:tc>
        <w:tc>
          <w:tcPr>
            <w:tcW w:w="2340" w:type="dxa"/>
            <w:tcBorders>
              <w:top w:val="nil"/>
              <w:left w:val="nil"/>
              <w:bottom w:val="single" w:sz="8" w:space="0" w:color="auto"/>
              <w:right w:val="single" w:sz="8" w:space="0" w:color="auto"/>
            </w:tcBorders>
            <w:shd w:val="clear" w:color="auto" w:fill="auto"/>
            <w:vAlign w:val="center"/>
            <w:hideMark/>
          </w:tcPr>
          <w:p w:rsidR="00C25829" w:rsidRPr="00591038" w:rsidP="00451B71" w14:paraId="3D49A216" w14:textId="77777777">
            <w:pPr>
              <w:spacing w:after="0" w:line="240" w:lineRule="auto"/>
              <w:jc w:val="right"/>
              <w:rPr>
                <w:rFonts w:eastAsia="Times New Roman"/>
                <w:color w:val="000000"/>
                <w:kern w:val="0"/>
                <w:sz w:val="20"/>
                <w:szCs w:val="20"/>
                <w14:ligatures w14:val="none"/>
              </w:rPr>
            </w:pPr>
            <w:r w:rsidRPr="00591038">
              <w:rPr>
                <w:rFonts w:eastAsia="Times New Roman"/>
                <w:color w:val="000000"/>
                <w:kern w:val="0"/>
                <w:sz w:val="20"/>
                <w:szCs w:val="20"/>
                <w14:ligatures w14:val="none"/>
              </w:rPr>
              <w:t>$</w:t>
            </w:r>
            <w:r>
              <w:rPr>
                <w:rFonts w:eastAsia="Times New Roman"/>
                <w:color w:val="000000"/>
                <w:kern w:val="0"/>
                <w:sz w:val="20"/>
                <w:szCs w:val="20"/>
                <w14:ligatures w14:val="none"/>
              </w:rPr>
              <w:t>74,611</w:t>
            </w:r>
            <w:r w:rsidRPr="00591038">
              <w:rPr>
                <w:rFonts w:eastAsia="Times New Roman"/>
                <w:color w:val="000000"/>
                <w:kern w:val="0"/>
                <w:sz w:val="20"/>
                <w:szCs w:val="20"/>
                <w14:ligatures w14:val="none"/>
              </w:rPr>
              <w:t xml:space="preserve"> </w:t>
            </w:r>
          </w:p>
        </w:tc>
      </w:tr>
    </w:tbl>
    <w:p w:rsidR="00AF49DD" w:rsidRPr="002A139F" w:rsidP="00AF49DD" w14:paraId="28F3DD29" w14:textId="77777777">
      <w:pPr>
        <w:ind w:left="360"/>
        <w:rPr>
          <w:b/>
          <w:bCs/>
        </w:rPr>
      </w:pPr>
    </w:p>
    <w:p w:rsidR="00AF49DD" w:rsidRPr="00D00E1E" w:rsidP="07B9F8A7" w14:paraId="2E7846E9" w14:textId="77777777">
      <w:pPr>
        <w:pStyle w:val="CommentText"/>
        <w:numPr>
          <w:ilvl w:val="0"/>
          <w:numId w:val="6"/>
        </w:numPr>
        <w:rPr>
          <w:b/>
          <w:sz w:val="22"/>
          <w:szCs w:val="22"/>
        </w:rPr>
      </w:pPr>
      <w:r w:rsidRPr="00D00E1E">
        <w:rPr>
          <w:b/>
          <w:sz w:val="22"/>
          <w:szCs w:val="22"/>
        </w:rPr>
        <w:t>Provide an estimate of the total annual cost burden to respondents or record keepers resulting from the collection of information.  (Do not include the cost of any hour burden shown in Items 12 and 14.)</w:t>
      </w:r>
    </w:p>
    <w:p w:rsidR="00AF49DD" w:rsidRPr="002A139F" w:rsidP="00AF49DD" w14:paraId="57452A64" w14:textId="77777777">
      <w:pPr>
        <w:ind w:left="720"/>
        <w:rPr>
          <w:b/>
          <w:bCs/>
        </w:rPr>
      </w:pPr>
      <w:r w:rsidRPr="002A139F">
        <w:rPr>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AF49DD" w:rsidRPr="002A139F" w:rsidP="00AF49DD" w14:paraId="13781EB0" w14:textId="77777777">
      <w:pPr>
        <w:ind w:left="720"/>
        <w:rPr>
          <w:b/>
          <w:bCs/>
        </w:rPr>
      </w:pPr>
      <w:r w:rsidRPr="002A139F">
        <w:rPr>
          <w:b/>
          <w:bCs/>
        </w:rPr>
        <w:t>• 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F49DD" w:rsidRPr="002A139F" w:rsidP="00AF49DD" w14:paraId="5190FAA0" w14:textId="77777777">
      <w:pPr>
        <w:ind w:left="720"/>
        <w:rPr>
          <w:b/>
          <w:bCs/>
        </w:rPr>
      </w:pPr>
      <w:r w:rsidRPr="002A139F">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AF49DD" w:rsidRPr="002A139F" w:rsidP="00572D97" w14:paraId="21FA4220" w14:textId="0B4E2FEB">
      <w:pPr>
        <w:spacing w:after="0"/>
        <w:ind w:left="720"/>
        <w:rPr>
          <w:b/>
          <w:bCs/>
        </w:rPr>
      </w:pPr>
      <w:r w:rsidRPr="002A139F">
        <w:rPr>
          <w:b/>
          <w:bCs/>
        </w:rPr>
        <w:t>Total Annualized Capital/Startup Cost:  $0</w:t>
      </w:r>
    </w:p>
    <w:p w:rsidR="00AF49DD" w:rsidRPr="002A139F" w:rsidP="00572D97" w14:paraId="18C78E16" w14:textId="77777777">
      <w:pPr>
        <w:spacing w:after="0"/>
        <w:ind w:left="720"/>
        <w:rPr>
          <w:b/>
          <w:bCs/>
        </w:rPr>
      </w:pPr>
      <w:r w:rsidRPr="002A139F">
        <w:rPr>
          <w:b/>
          <w:bCs/>
        </w:rPr>
        <w:t>Total Annual Costs (O&amp;M):  $0</w:t>
      </w:r>
    </w:p>
    <w:p w:rsidR="00AF49DD" w:rsidRPr="002A139F" w:rsidP="00572D97" w14:paraId="1769EB5F" w14:textId="7817A018">
      <w:pPr>
        <w:spacing w:after="0"/>
        <w:ind w:left="720"/>
        <w:rPr>
          <w:b/>
          <w:bCs/>
        </w:rPr>
      </w:pPr>
      <w:r w:rsidRPr="002A139F">
        <w:rPr>
          <w:b/>
          <w:bCs/>
        </w:rPr>
        <w:t>Total Annualized Costs Requested:  $0</w:t>
      </w:r>
    </w:p>
    <w:p w:rsidR="00591038" w:rsidP="00AF49DD" w14:paraId="4D33A5E1" w14:textId="77777777"/>
    <w:p w:rsidR="00AF49DD" w:rsidP="00AF49DD" w14:paraId="0BB71DF9" w14:textId="754E0571">
      <w: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w:t>
      </w:r>
      <w:r>
        <w:t>information collection will not create costs associated with generating, maintaining, and disclosing or providing the information that is not already identified in Item 12 of this supporting statement.</w:t>
      </w:r>
    </w:p>
    <w:p w:rsidR="00AF49DD" w:rsidP="00477FA1" w14:paraId="0B059E52" w14:textId="77777777">
      <w:pPr>
        <w:pStyle w:val="ListParagraph"/>
        <w:numPr>
          <w:ilvl w:val="0"/>
          <w:numId w:val="6"/>
        </w:numPr>
        <w:rPr>
          <w:b/>
          <w:bCs/>
        </w:rPr>
      </w:pPr>
      <w:r w:rsidRPr="002A139F">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91038" w:rsidP="00393F84" w14:paraId="7BB8AB21" w14:textId="4BEED59D">
      <w:pPr>
        <w:rPr>
          <w:rStyle w:val="a"/>
        </w:rPr>
      </w:pPr>
      <w:r>
        <w:rPr>
          <w:rStyle w:val="a"/>
        </w:rPr>
        <w:t>As indicated in the table below, t</w:t>
      </w:r>
      <w:r w:rsidRPr="00120C6D">
        <w:rPr>
          <w:rStyle w:val="a"/>
        </w:rPr>
        <w:t xml:space="preserve">he </w:t>
      </w:r>
      <w:r>
        <w:rPr>
          <w:rStyle w:val="a"/>
        </w:rPr>
        <w:t xml:space="preserve">estimated annualized cost to the Federal government is </w:t>
      </w:r>
      <w:r w:rsidRPr="00AE5499" w:rsidR="00AE5499">
        <w:rPr>
          <w:color w:val="000000" w:themeColor="text1"/>
        </w:rPr>
        <w:t>$16,4</w:t>
      </w:r>
      <w:r w:rsidR="00AE5499">
        <w:rPr>
          <w:color w:val="000000" w:themeColor="text1"/>
        </w:rPr>
        <w:t>80</w:t>
      </w:r>
      <w:r>
        <w:rPr>
          <w:rStyle w:val="a"/>
        </w:rPr>
        <w:t xml:space="preserve">.  </w:t>
      </w:r>
      <w:r w:rsidRPr="00120C6D">
        <w:rPr>
          <w:rStyle w:val="a"/>
        </w:rPr>
        <w:t xml:space="preserve">This includes salaries of </w:t>
      </w:r>
      <w:r w:rsidR="00265388">
        <w:rPr>
          <w:rStyle w:val="a"/>
        </w:rPr>
        <w:t xml:space="preserve">five </w:t>
      </w:r>
      <w:r w:rsidRPr="00120C6D">
        <w:rPr>
          <w:rStyle w:val="a"/>
        </w:rPr>
        <w:t>program staff who</w:t>
      </w:r>
      <w:r>
        <w:rPr>
          <w:rStyle w:val="a"/>
        </w:rPr>
        <w:t xml:space="preserve"> develop the State plan guide, revise the State plan submission portal, provide annual training technical assistance to eligible agencies regarding the submission of information, and review and approve State plans, revisions, and annual budgets</w:t>
      </w:r>
      <w:r w:rsidR="00141FB5">
        <w:rPr>
          <w:rStyle w:val="a"/>
        </w:rPr>
        <w:t>.</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0"/>
        <w:gridCol w:w="1473"/>
        <w:gridCol w:w="1473"/>
        <w:gridCol w:w="1456"/>
        <w:gridCol w:w="1458"/>
        <w:gridCol w:w="1638"/>
      </w:tblGrid>
      <w:tr w14:paraId="212E36FF" w14:textId="77777777" w:rsidTr="00957DF3">
        <w:tblPrEx>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trPr>
        <w:tc>
          <w:tcPr>
            <w:tcW w:w="2010" w:type="dxa"/>
            <w:vMerge w:val="restart"/>
            <w:shd w:val="clear" w:color="auto" w:fill="D9D9D9" w:themeFill="background1" w:themeFillShade="D9"/>
            <w:vAlign w:val="center"/>
            <w:hideMark/>
          </w:tcPr>
          <w:p w:rsidR="009B1AEF" w:rsidRPr="00265388" w:rsidP="009B1AEF" w14:paraId="35449AEE"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Number of Employees</w:t>
            </w:r>
          </w:p>
        </w:tc>
        <w:tc>
          <w:tcPr>
            <w:tcW w:w="1473" w:type="dxa"/>
            <w:vMerge w:val="restart"/>
            <w:shd w:val="clear" w:color="auto" w:fill="D9D9D9" w:themeFill="background1" w:themeFillShade="D9"/>
            <w:vAlign w:val="center"/>
            <w:hideMark/>
          </w:tcPr>
          <w:p w:rsidR="009B1AEF" w:rsidRPr="00265388" w:rsidP="009B1AEF" w14:paraId="23F8618C"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Employee Grade</w:t>
            </w:r>
          </w:p>
        </w:tc>
        <w:tc>
          <w:tcPr>
            <w:tcW w:w="1473" w:type="dxa"/>
            <w:vMerge w:val="restart"/>
            <w:shd w:val="clear" w:color="auto" w:fill="D9D9D9" w:themeFill="background1" w:themeFillShade="D9"/>
            <w:vAlign w:val="center"/>
            <w:hideMark/>
          </w:tcPr>
          <w:p w:rsidR="009B1AEF" w:rsidRPr="00265388" w:rsidP="009B1AEF" w14:paraId="0AC2FD79" w14:textId="1B303B1F">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 xml:space="preserve">Estimated </w:t>
            </w:r>
            <w:r w:rsidRPr="520DE694" w:rsidR="005A039F">
              <w:rPr>
                <w:rFonts w:eastAsia="Times New Roman"/>
                <w:color w:val="000000"/>
                <w:kern w:val="0"/>
                <w14:ligatures w14:val="none"/>
              </w:rPr>
              <w:t xml:space="preserve">Average </w:t>
            </w:r>
            <w:r w:rsidRPr="520DE694">
              <w:rPr>
                <w:rFonts w:eastAsia="Times New Roman"/>
                <w:color w:val="000000"/>
                <w:kern w:val="0"/>
                <w14:ligatures w14:val="none"/>
              </w:rPr>
              <w:t>Number of Hours Per Employee</w:t>
            </w:r>
          </w:p>
        </w:tc>
        <w:tc>
          <w:tcPr>
            <w:tcW w:w="1456" w:type="dxa"/>
            <w:vMerge w:val="restart"/>
            <w:shd w:val="clear" w:color="auto" w:fill="D9D9D9" w:themeFill="background1" w:themeFillShade="D9"/>
            <w:vAlign w:val="center"/>
            <w:hideMark/>
          </w:tcPr>
          <w:p w:rsidR="009B1AEF" w:rsidRPr="00265388" w:rsidP="009B1AEF" w14:paraId="7582B49D" w14:textId="6458765A">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 xml:space="preserve">Total </w:t>
            </w:r>
            <w:r w:rsidRPr="520DE694" w:rsidR="005A039F">
              <w:rPr>
                <w:rFonts w:eastAsia="Times New Roman"/>
                <w:color w:val="000000"/>
                <w:kern w:val="0"/>
                <w14:ligatures w14:val="none"/>
              </w:rPr>
              <w:t xml:space="preserve">Average </w:t>
            </w:r>
            <w:r w:rsidRPr="520DE694">
              <w:rPr>
                <w:rFonts w:eastAsia="Times New Roman"/>
                <w:color w:val="000000"/>
                <w:kern w:val="0"/>
                <w14:ligatures w14:val="none"/>
              </w:rPr>
              <w:t>Number of Estimated Hours</w:t>
            </w:r>
          </w:p>
        </w:tc>
        <w:tc>
          <w:tcPr>
            <w:tcW w:w="1458" w:type="dxa"/>
            <w:vMerge w:val="restart"/>
            <w:shd w:val="clear" w:color="auto" w:fill="D9D9D9" w:themeFill="background1" w:themeFillShade="D9"/>
            <w:vAlign w:val="center"/>
            <w:hideMark/>
          </w:tcPr>
          <w:p w:rsidR="009B1AEF" w:rsidRPr="00265388" w:rsidP="009B1AEF" w14:paraId="3257EAF0" w14:textId="0A23A591">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 xml:space="preserve">Estimated </w:t>
            </w:r>
            <w:r w:rsidRPr="520DE694" w:rsidR="005A039F">
              <w:rPr>
                <w:rFonts w:eastAsia="Times New Roman"/>
                <w:color w:val="000000"/>
                <w:kern w:val="0"/>
                <w14:ligatures w14:val="none"/>
              </w:rPr>
              <w:t xml:space="preserve">Average </w:t>
            </w:r>
            <w:r w:rsidRPr="520DE694">
              <w:rPr>
                <w:rFonts w:eastAsia="Times New Roman"/>
                <w:color w:val="000000"/>
                <w:kern w:val="0"/>
                <w14:ligatures w14:val="none"/>
              </w:rPr>
              <w:t>Hourly Cost</w:t>
            </w:r>
          </w:p>
        </w:tc>
        <w:tc>
          <w:tcPr>
            <w:tcW w:w="1638" w:type="dxa"/>
            <w:shd w:val="clear" w:color="auto" w:fill="D9D9D9" w:themeFill="background1" w:themeFillShade="D9"/>
            <w:vAlign w:val="center"/>
            <w:hideMark/>
          </w:tcPr>
          <w:p w:rsidR="009B1AEF" w:rsidRPr="00265388" w:rsidP="009B1AEF" w14:paraId="71DCD56C"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Total Annualized Costs</w:t>
            </w:r>
          </w:p>
        </w:tc>
      </w:tr>
      <w:tr w14:paraId="142E9DAB" w14:textId="77777777" w:rsidTr="00957DF3">
        <w:tblPrEx>
          <w:tblW w:w="9508" w:type="dxa"/>
          <w:tblLook w:val="04A0"/>
        </w:tblPrEx>
        <w:trPr>
          <w:trHeight w:val="237"/>
        </w:trPr>
        <w:tc>
          <w:tcPr>
            <w:tcW w:w="2010" w:type="dxa"/>
            <w:vMerge/>
            <w:vAlign w:val="center"/>
            <w:hideMark/>
          </w:tcPr>
          <w:p w:rsidR="009B1AEF" w:rsidRPr="00957DF3" w:rsidP="009B1AEF" w14:paraId="2208A506" w14:textId="77777777">
            <w:pPr>
              <w:spacing w:after="0" w:line="240" w:lineRule="auto"/>
              <w:rPr>
                <w:rFonts w:eastAsia="Times New Roman" w:cstheme="minorHAnsi"/>
                <w:color w:val="000000"/>
                <w:kern w:val="0"/>
                <w14:ligatures w14:val="none"/>
              </w:rPr>
            </w:pPr>
          </w:p>
        </w:tc>
        <w:tc>
          <w:tcPr>
            <w:tcW w:w="1473" w:type="dxa"/>
            <w:vMerge/>
            <w:vAlign w:val="center"/>
            <w:hideMark/>
          </w:tcPr>
          <w:p w:rsidR="009B1AEF" w:rsidRPr="00957DF3" w:rsidP="009B1AEF" w14:paraId="40AF98F8" w14:textId="77777777">
            <w:pPr>
              <w:spacing w:after="0" w:line="240" w:lineRule="auto"/>
              <w:rPr>
                <w:rFonts w:eastAsia="Times New Roman" w:cstheme="minorHAnsi"/>
                <w:color w:val="000000"/>
                <w:kern w:val="0"/>
                <w14:ligatures w14:val="none"/>
              </w:rPr>
            </w:pPr>
          </w:p>
        </w:tc>
        <w:tc>
          <w:tcPr>
            <w:tcW w:w="1473" w:type="dxa"/>
            <w:vMerge/>
            <w:vAlign w:val="center"/>
            <w:hideMark/>
          </w:tcPr>
          <w:p w:rsidR="009B1AEF" w:rsidRPr="00957DF3" w:rsidP="009B1AEF" w14:paraId="2B8C2801" w14:textId="77777777">
            <w:pPr>
              <w:spacing w:after="0" w:line="240" w:lineRule="auto"/>
              <w:rPr>
                <w:rFonts w:eastAsia="Times New Roman" w:cstheme="minorHAnsi"/>
                <w:color w:val="000000"/>
                <w:kern w:val="0"/>
                <w14:ligatures w14:val="none"/>
              </w:rPr>
            </w:pPr>
          </w:p>
        </w:tc>
        <w:tc>
          <w:tcPr>
            <w:tcW w:w="1456" w:type="dxa"/>
            <w:vMerge/>
            <w:vAlign w:val="center"/>
            <w:hideMark/>
          </w:tcPr>
          <w:p w:rsidR="009B1AEF" w:rsidRPr="00957DF3" w:rsidP="009B1AEF" w14:paraId="3AE773E6" w14:textId="77777777">
            <w:pPr>
              <w:spacing w:after="0" w:line="240" w:lineRule="auto"/>
              <w:rPr>
                <w:rFonts w:eastAsia="Times New Roman" w:cstheme="minorHAnsi"/>
                <w:color w:val="000000"/>
                <w:kern w:val="0"/>
                <w14:ligatures w14:val="none"/>
              </w:rPr>
            </w:pPr>
          </w:p>
        </w:tc>
        <w:tc>
          <w:tcPr>
            <w:tcW w:w="1458" w:type="dxa"/>
            <w:vMerge/>
            <w:vAlign w:val="center"/>
            <w:hideMark/>
          </w:tcPr>
          <w:p w:rsidR="009B1AEF" w:rsidRPr="00957DF3" w:rsidP="009B1AEF" w14:paraId="5C56079C" w14:textId="77777777">
            <w:pPr>
              <w:spacing w:after="0" w:line="240" w:lineRule="auto"/>
              <w:rPr>
                <w:rFonts w:eastAsia="Times New Roman" w:cstheme="minorHAnsi"/>
                <w:color w:val="000000"/>
                <w:kern w:val="0"/>
                <w14:ligatures w14:val="none"/>
              </w:rPr>
            </w:pPr>
          </w:p>
        </w:tc>
        <w:tc>
          <w:tcPr>
            <w:tcW w:w="1638" w:type="dxa"/>
            <w:shd w:val="clear" w:color="auto" w:fill="D9D9D9" w:themeFill="background1" w:themeFillShade="D9"/>
            <w:vAlign w:val="center"/>
            <w:hideMark/>
          </w:tcPr>
          <w:p w:rsidR="009B1AEF" w:rsidRPr="00265388" w:rsidP="009B1AEF" w14:paraId="6B6EC954"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(Rounded to the Nearest .10)</w:t>
            </w:r>
          </w:p>
        </w:tc>
      </w:tr>
      <w:tr w14:paraId="527D0BA7" w14:textId="77777777" w:rsidTr="00957DF3">
        <w:tblPrEx>
          <w:tblW w:w="9508" w:type="dxa"/>
          <w:tblLook w:val="04A0"/>
        </w:tblPrEx>
        <w:trPr>
          <w:trHeight w:val="149"/>
        </w:trPr>
        <w:tc>
          <w:tcPr>
            <w:tcW w:w="2010" w:type="dxa"/>
            <w:shd w:val="clear" w:color="auto" w:fill="auto"/>
            <w:vAlign w:val="center"/>
            <w:hideMark/>
          </w:tcPr>
          <w:p w:rsidR="009B1AEF" w:rsidRPr="00265388" w:rsidP="009B1AEF" w14:paraId="5B63703A"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2</w:t>
            </w:r>
          </w:p>
        </w:tc>
        <w:tc>
          <w:tcPr>
            <w:tcW w:w="1473" w:type="dxa"/>
            <w:shd w:val="clear" w:color="auto" w:fill="auto"/>
            <w:vAlign w:val="center"/>
            <w:hideMark/>
          </w:tcPr>
          <w:p w:rsidR="009B1AEF" w:rsidRPr="00265388" w:rsidP="009B1AEF" w14:paraId="10D54960" w14:textId="77777777">
            <w:pPr>
              <w:spacing w:after="0" w:line="240" w:lineRule="auto"/>
              <w:rPr>
                <w:rFonts w:eastAsia="Times New Roman"/>
                <w:color w:val="000000"/>
                <w:kern w:val="0"/>
                <w14:ligatures w14:val="none"/>
              </w:rPr>
            </w:pPr>
            <w:r w:rsidRPr="520DE694">
              <w:rPr>
                <w:rFonts w:eastAsia="Times New Roman"/>
                <w:color w:val="000000"/>
                <w:kern w:val="0"/>
                <w14:ligatures w14:val="none"/>
              </w:rPr>
              <w:t>GS-13</w:t>
            </w:r>
          </w:p>
        </w:tc>
        <w:tc>
          <w:tcPr>
            <w:tcW w:w="1473" w:type="dxa"/>
            <w:shd w:val="clear" w:color="auto" w:fill="auto"/>
            <w:vAlign w:val="center"/>
            <w:hideMark/>
          </w:tcPr>
          <w:p w:rsidR="009B1AEF" w:rsidRPr="00265388" w:rsidP="009B1AEF" w14:paraId="616C955B" w14:textId="63CBC9F2">
            <w:pPr>
              <w:spacing w:after="0" w:line="240" w:lineRule="auto"/>
              <w:jc w:val="center"/>
              <w:rPr>
                <w:rFonts w:eastAsia="Times New Roman"/>
                <w:color w:val="000000"/>
                <w:kern w:val="0"/>
                <w14:ligatures w14:val="none"/>
              </w:rPr>
            </w:pPr>
            <w:r w:rsidRPr="078CDB1D">
              <w:rPr>
                <w:rFonts w:eastAsia="Times New Roman"/>
                <w:color w:val="000000"/>
                <w:kern w:val="0"/>
                <w14:ligatures w14:val="none"/>
              </w:rPr>
              <w:t>46</w:t>
            </w:r>
          </w:p>
        </w:tc>
        <w:tc>
          <w:tcPr>
            <w:tcW w:w="1456" w:type="dxa"/>
            <w:shd w:val="clear" w:color="auto" w:fill="auto"/>
            <w:vAlign w:val="center"/>
            <w:hideMark/>
          </w:tcPr>
          <w:p w:rsidR="009B1AEF" w:rsidRPr="00265388" w:rsidP="009B1AEF" w14:paraId="1DAAA7B7"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93</w:t>
            </w:r>
          </w:p>
        </w:tc>
        <w:tc>
          <w:tcPr>
            <w:tcW w:w="1458" w:type="dxa"/>
            <w:shd w:val="clear" w:color="auto" w:fill="auto"/>
            <w:vAlign w:val="center"/>
            <w:hideMark/>
          </w:tcPr>
          <w:p w:rsidR="009B1AEF" w:rsidRPr="00265388" w:rsidP="009B1AEF" w14:paraId="36F0E149" w14:textId="77777777">
            <w:pPr>
              <w:spacing w:after="0" w:line="240" w:lineRule="auto"/>
              <w:jc w:val="right"/>
              <w:rPr>
                <w:rFonts w:eastAsia="Times New Roman"/>
                <w:color w:val="000000"/>
                <w:kern w:val="0"/>
                <w14:ligatures w14:val="none"/>
              </w:rPr>
            </w:pPr>
            <w:r w:rsidRPr="520DE694">
              <w:rPr>
                <w:rFonts w:eastAsia="Times New Roman"/>
                <w:color w:val="000000"/>
                <w:kern w:val="0"/>
                <w14:ligatures w14:val="none"/>
              </w:rPr>
              <w:t xml:space="preserve">$64.06 </w:t>
            </w:r>
          </w:p>
        </w:tc>
        <w:tc>
          <w:tcPr>
            <w:tcW w:w="1638" w:type="dxa"/>
            <w:shd w:val="clear" w:color="auto" w:fill="auto"/>
            <w:vAlign w:val="center"/>
            <w:hideMark/>
          </w:tcPr>
          <w:p w:rsidR="009B1AEF" w:rsidRPr="00265388" w:rsidP="009B1AEF" w14:paraId="51FF8423" w14:textId="71D9A35A">
            <w:pPr>
              <w:spacing w:after="0" w:line="240" w:lineRule="auto"/>
              <w:jc w:val="right"/>
              <w:rPr>
                <w:rFonts w:eastAsia="Times New Roman"/>
                <w:color w:val="000000"/>
                <w:kern w:val="0"/>
                <w14:ligatures w14:val="none"/>
              </w:rPr>
            </w:pPr>
            <w:r w:rsidRPr="520DE694">
              <w:rPr>
                <w:rFonts w:eastAsia="Times New Roman"/>
                <w:color w:val="000000"/>
                <w:kern w:val="0"/>
                <w14:ligatures w14:val="none"/>
              </w:rPr>
              <w:t>$5,957.</w:t>
            </w:r>
            <w:r w:rsidRPr="520DE694" w:rsidR="00994174">
              <w:rPr>
                <w:rFonts w:eastAsia="Times New Roman"/>
                <w:color w:val="000000"/>
                <w:kern w:val="0"/>
                <w14:ligatures w14:val="none"/>
              </w:rPr>
              <w:t>60</w:t>
            </w:r>
            <w:r w:rsidRPr="520DE694">
              <w:rPr>
                <w:rFonts w:eastAsia="Times New Roman"/>
                <w:color w:val="000000"/>
                <w:kern w:val="0"/>
                <w14:ligatures w14:val="none"/>
              </w:rPr>
              <w:t xml:space="preserve"> </w:t>
            </w:r>
          </w:p>
        </w:tc>
      </w:tr>
      <w:tr w14:paraId="239C55DF" w14:textId="77777777" w:rsidTr="00957DF3">
        <w:tblPrEx>
          <w:tblW w:w="9508" w:type="dxa"/>
          <w:tblLook w:val="04A0"/>
        </w:tblPrEx>
        <w:trPr>
          <w:trHeight w:val="149"/>
        </w:trPr>
        <w:tc>
          <w:tcPr>
            <w:tcW w:w="2010" w:type="dxa"/>
            <w:shd w:val="clear" w:color="auto" w:fill="auto"/>
            <w:vAlign w:val="center"/>
            <w:hideMark/>
          </w:tcPr>
          <w:p w:rsidR="009B1AEF" w:rsidRPr="00265388" w:rsidP="009B1AEF" w14:paraId="2234F6D0"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3</w:t>
            </w:r>
          </w:p>
        </w:tc>
        <w:tc>
          <w:tcPr>
            <w:tcW w:w="1473" w:type="dxa"/>
            <w:shd w:val="clear" w:color="auto" w:fill="auto"/>
            <w:vAlign w:val="center"/>
            <w:hideMark/>
          </w:tcPr>
          <w:p w:rsidR="009B1AEF" w:rsidRPr="00265388" w:rsidP="009B1AEF" w14:paraId="64ED47AD" w14:textId="77777777">
            <w:pPr>
              <w:spacing w:after="0" w:line="240" w:lineRule="auto"/>
              <w:rPr>
                <w:rFonts w:eastAsia="Times New Roman"/>
                <w:color w:val="000000"/>
                <w:kern w:val="0"/>
                <w14:ligatures w14:val="none"/>
              </w:rPr>
            </w:pPr>
            <w:r w:rsidRPr="520DE694">
              <w:rPr>
                <w:rFonts w:eastAsia="Times New Roman"/>
                <w:color w:val="000000"/>
                <w:kern w:val="0"/>
                <w14:ligatures w14:val="none"/>
              </w:rPr>
              <w:t>GS-14</w:t>
            </w:r>
          </w:p>
        </w:tc>
        <w:tc>
          <w:tcPr>
            <w:tcW w:w="1473" w:type="dxa"/>
            <w:shd w:val="clear" w:color="auto" w:fill="auto"/>
            <w:vAlign w:val="center"/>
            <w:hideMark/>
          </w:tcPr>
          <w:p w:rsidR="009B1AEF" w:rsidRPr="00265388" w:rsidP="009B1AEF" w14:paraId="7DE3A7F0" w14:textId="7764E2B5">
            <w:pPr>
              <w:spacing w:after="0" w:line="240" w:lineRule="auto"/>
              <w:jc w:val="center"/>
              <w:rPr>
                <w:rFonts w:eastAsia="Times New Roman"/>
                <w:color w:val="000000"/>
                <w:kern w:val="0"/>
                <w14:ligatures w14:val="none"/>
              </w:rPr>
            </w:pPr>
            <w:r w:rsidRPr="078CDB1D">
              <w:rPr>
                <w:rFonts w:eastAsia="Times New Roman"/>
                <w:color w:val="000000"/>
                <w:kern w:val="0"/>
                <w14:ligatures w14:val="none"/>
              </w:rPr>
              <w:t>46</w:t>
            </w:r>
          </w:p>
        </w:tc>
        <w:tc>
          <w:tcPr>
            <w:tcW w:w="1456" w:type="dxa"/>
            <w:shd w:val="clear" w:color="auto" w:fill="auto"/>
            <w:vAlign w:val="center"/>
            <w:hideMark/>
          </w:tcPr>
          <w:p w:rsidR="009B1AEF" w:rsidRPr="00265388" w:rsidP="009B1AEF" w14:paraId="21AE9834" w14:textId="77777777">
            <w:pPr>
              <w:spacing w:after="0" w:line="240" w:lineRule="auto"/>
              <w:jc w:val="center"/>
              <w:rPr>
                <w:rFonts w:eastAsia="Times New Roman"/>
                <w:color w:val="000000"/>
                <w:kern w:val="0"/>
                <w14:ligatures w14:val="none"/>
              </w:rPr>
            </w:pPr>
            <w:r w:rsidRPr="520DE694">
              <w:rPr>
                <w:rFonts w:eastAsia="Times New Roman"/>
                <w:color w:val="000000"/>
                <w:kern w:val="0"/>
                <w14:ligatures w14:val="none"/>
              </w:rPr>
              <w:t>139</w:t>
            </w:r>
          </w:p>
        </w:tc>
        <w:tc>
          <w:tcPr>
            <w:tcW w:w="1458" w:type="dxa"/>
            <w:shd w:val="clear" w:color="auto" w:fill="auto"/>
            <w:vAlign w:val="center"/>
            <w:hideMark/>
          </w:tcPr>
          <w:p w:rsidR="009B1AEF" w:rsidRPr="00265388" w:rsidP="009B1AEF" w14:paraId="4211B9AA" w14:textId="77777777">
            <w:pPr>
              <w:spacing w:after="0" w:line="240" w:lineRule="auto"/>
              <w:jc w:val="right"/>
              <w:rPr>
                <w:rFonts w:eastAsia="Times New Roman"/>
                <w:color w:val="000000"/>
                <w:kern w:val="0"/>
                <w14:ligatures w14:val="none"/>
              </w:rPr>
            </w:pPr>
            <w:r w:rsidRPr="520DE694">
              <w:rPr>
                <w:rFonts w:eastAsia="Times New Roman"/>
                <w:color w:val="000000"/>
                <w:kern w:val="0"/>
                <w14:ligatures w14:val="none"/>
              </w:rPr>
              <w:t xml:space="preserve">$75.70 </w:t>
            </w:r>
          </w:p>
        </w:tc>
        <w:tc>
          <w:tcPr>
            <w:tcW w:w="1638" w:type="dxa"/>
            <w:shd w:val="clear" w:color="auto" w:fill="auto"/>
            <w:vAlign w:val="center"/>
            <w:hideMark/>
          </w:tcPr>
          <w:p w:rsidR="009B1AEF" w:rsidRPr="00265388" w:rsidP="009B1AEF" w14:paraId="3D0C8021" w14:textId="77777777">
            <w:pPr>
              <w:spacing w:after="0" w:line="240" w:lineRule="auto"/>
              <w:jc w:val="right"/>
              <w:rPr>
                <w:rFonts w:eastAsia="Times New Roman"/>
                <w:color w:val="000000"/>
                <w:kern w:val="0"/>
                <w14:ligatures w14:val="none"/>
              </w:rPr>
            </w:pPr>
            <w:r w:rsidRPr="520DE694">
              <w:rPr>
                <w:rFonts w:eastAsia="Times New Roman"/>
                <w:color w:val="000000"/>
                <w:kern w:val="0"/>
                <w14:ligatures w14:val="none"/>
              </w:rPr>
              <w:t xml:space="preserve">$10,522.30 </w:t>
            </w:r>
          </w:p>
        </w:tc>
      </w:tr>
      <w:tr w14:paraId="0CCD3A27" w14:textId="77777777" w:rsidTr="00957DF3">
        <w:tblPrEx>
          <w:tblW w:w="9508" w:type="dxa"/>
          <w:tblLook w:val="04A0"/>
        </w:tblPrEx>
        <w:trPr>
          <w:trHeight w:val="149"/>
        </w:trPr>
        <w:tc>
          <w:tcPr>
            <w:tcW w:w="7870" w:type="dxa"/>
            <w:gridSpan w:val="5"/>
            <w:shd w:val="clear" w:color="auto" w:fill="auto"/>
            <w:vAlign w:val="center"/>
            <w:hideMark/>
          </w:tcPr>
          <w:p w:rsidR="009B1AEF" w:rsidRPr="00957DF3" w:rsidP="009B1AEF" w14:paraId="3F97045C" w14:textId="77777777">
            <w:pPr>
              <w:spacing w:after="0" w:line="240" w:lineRule="auto"/>
              <w:jc w:val="right"/>
              <w:rPr>
                <w:rFonts w:eastAsia="Times New Roman"/>
                <w:color w:val="000000"/>
                <w:kern w:val="0"/>
                <w14:ligatures w14:val="none"/>
              </w:rPr>
            </w:pPr>
            <w:r w:rsidRPr="520DE694">
              <w:rPr>
                <w:rFonts w:eastAsia="Times New Roman"/>
                <w:color w:val="000000"/>
                <w:kern w:val="0"/>
                <w14:ligatures w14:val="none"/>
              </w:rPr>
              <w:t> TOTAL</w:t>
            </w:r>
          </w:p>
        </w:tc>
        <w:tc>
          <w:tcPr>
            <w:tcW w:w="1638" w:type="dxa"/>
            <w:shd w:val="clear" w:color="auto" w:fill="auto"/>
            <w:vAlign w:val="center"/>
            <w:hideMark/>
          </w:tcPr>
          <w:p w:rsidR="009B1AEF" w:rsidRPr="00265388" w:rsidP="009B1AEF" w14:paraId="1F8F07AE" w14:textId="0E084426">
            <w:pPr>
              <w:spacing w:after="0" w:line="240" w:lineRule="auto"/>
              <w:jc w:val="right"/>
              <w:rPr>
                <w:rFonts w:eastAsia="Times New Roman"/>
                <w:color w:val="000000"/>
                <w:kern w:val="0"/>
                <w14:ligatures w14:val="none"/>
              </w:rPr>
            </w:pPr>
            <w:bookmarkStart w:id="0" w:name="RANGE!F7"/>
            <w:r w:rsidRPr="520DE694">
              <w:rPr>
                <w:rFonts w:eastAsia="Times New Roman"/>
                <w:color w:val="000000"/>
                <w:kern w:val="0"/>
                <w14:ligatures w14:val="none"/>
              </w:rPr>
              <w:t>$16,479.</w:t>
            </w:r>
            <w:r w:rsidRPr="520DE694" w:rsidR="00265388">
              <w:rPr>
                <w:rFonts w:eastAsia="Times New Roman"/>
                <w:color w:val="000000"/>
                <w:kern w:val="0"/>
                <w14:ligatures w14:val="none"/>
              </w:rPr>
              <w:t>90</w:t>
            </w:r>
            <w:r w:rsidRPr="520DE694">
              <w:rPr>
                <w:rFonts w:eastAsia="Times New Roman"/>
                <w:color w:val="000000"/>
                <w:kern w:val="0"/>
                <w14:ligatures w14:val="none"/>
              </w:rPr>
              <w:t xml:space="preserve"> </w:t>
            </w:r>
            <w:bookmarkEnd w:id="0"/>
          </w:p>
        </w:tc>
      </w:tr>
    </w:tbl>
    <w:p w:rsidR="00AF49DD" w:rsidP="00AF49DD" w14:paraId="7197607D" w14:textId="77777777">
      <w:pPr>
        <w:pStyle w:val="ListParagraph"/>
        <w:ind w:left="360"/>
      </w:pPr>
    </w:p>
    <w:p w:rsidR="00AF49DD" w:rsidP="520DE694" w14:paraId="575D9E29" w14:textId="77777777">
      <w:pPr>
        <w:pStyle w:val="ListParagraph"/>
        <w:numPr>
          <w:ilvl w:val="0"/>
          <w:numId w:val="6"/>
        </w:numPr>
        <w:suppressAutoHyphens/>
        <w:spacing w:before="120" w:after="0" w:line="240" w:lineRule="auto"/>
        <w:rPr>
          <w:b/>
        </w:rPr>
      </w:pPr>
      <w:r w:rsidRPr="00091B2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r w:rsidRPr="002A20B7">
        <w:rPr>
          <w:b/>
        </w:rPr>
        <w:t xml:space="preserve">Provide a descriptive narrative for the reasons of </w:t>
      </w:r>
      <w:r w:rsidRPr="002A139F">
        <w:rPr>
          <w:b/>
        </w:rPr>
        <w:t>any change in addition to completing the table with the burden hour change(s) here.</w:t>
      </w:r>
    </w:p>
    <w:p w:rsidR="00AF49DD" w:rsidP="00AF49DD" w14:paraId="3D896363" w14:textId="77777777">
      <w:pPr>
        <w:pStyle w:val="ListParagraph"/>
        <w:rPr>
          <w:rStyle w:val="a"/>
          <w:b/>
        </w:rPr>
      </w:pPr>
    </w:p>
    <w:tbl>
      <w:tblPr>
        <w:tblStyle w:val="TableGrid"/>
        <w:tblW w:w="8887" w:type="dxa"/>
        <w:tblInd w:w="558" w:type="dxa"/>
        <w:tblLook w:val="04A0"/>
      </w:tblPr>
      <w:tblGrid>
        <w:gridCol w:w="1980"/>
        <w:gridCol w:w="1558"/>
        <w:gridCol w:w="2829"/>
        <w:gridCol w:w="2520"/>
      </w:tblGrid>
      <w:tr w14:paraId="581F92CF" w14:textId="77777777" w:rsidTr="378009ED">
        <w:tblPrEx>
          <w:tblW w:w="8887" w:type="dxa"/>
          <w:tblInd w:w="558" w:type="dxa"/>
          <w:tblLook w:val="04A0"/>
        </w:tblPrEx>
        <w:trPr>
          <w:trHeight w:val="300"/>
        </w:trPr>
        <w:tc>
          <w:tcPr>
            <w:tcW w:w="1980" w:type="dxa"/>
            <w:shd w:val="clear" w:color="auto" w:fill="D9D9D9" w:themeFill="background1" w:themeFillShade="D9"/>
          </w:tcPr>
          <w:p w:rsidR="00AF49DD" w:rsidRPr="00B321F8" w:rsidP="078CDB1D" w14:paraId="5AB6944C" w14:textId="77777777">
            <w:pPr>
              <w:suppressAutoHyphens/>
              <w:rPr>
                <w:rFonts w:asciiTheme="minorHAnsi" w:hAnsiTheme="minorHAnsi" w:cstheme="minorBidi"/>
                <w:sz w:val="22"/>
                <w:szCs w:val="22"/>
              </w:rPr>
            </w:pPr>
          </w:p>
        </w:tc>
        <w:tc>
          <w:tcPr>
            <w:tcW w:w="1558" w:type="dxa"/>
          </w:tcPr>
          <w:p w:rsidR="00AF49DD" w:rsidRPr="00B321F8" w:rsidP="078CDB1D" w14:paraId="2963FE74" w14:textId="77777777">
            <w:pPr>
              <w:suppressAutoHyphens/>
              <w:rPr>
                <w:rFonts w:asciiTheme="minorHAnsi" w:hAnsiTheme="minorHAnsi" w:cstheme="minorBidi"/>
                <w:sz w:val="22"/>
                <w:szCs w:val="22"/>
              </w:rPr>
            </w:pPr>
            <w:r w:rsidRPr="3532FEA2">
              <w:rPr>
                <w:rFonts w:asciiTheme="minorHAnsi" w:hAnsiTheme="minorHAnsi" w:cstheme="minorBidi"/>
                <w:sz w:val="22"/>
                <w:szCs w:val="22"/>
              </w:rPr>
              <w:t>Program Change Due to New Statute</w:t>
            </w:r>
          </w:p>
        </w:tc>
        <w:tc>
          <w:tcPr>
            <w:tcW w:w="2829" w:type="dxa"/>
          </w:tcPr>
          <w:p w:rsidR="00AF49DD" w:rsidRPr="00B321F8" w:rsidP="078CDB1D" w14:paraId="7C256F9E" w14:textId="77777777">
            <w:pPr>
              <w:suppressAutoHyphens/>
              <w:rPr>
                <w:rFonts w:asciiTheme="minorHAnsi" w:hAnsiTheme="minorHAnsi" w:cstheme="minorBidi"/>
                <w:sz w:val="22"/>
                <w:szCs w:val="22"/>
              </w:rPr>
            </w:pPr>
            <w:r w:rsidRPr="3532FEA2">
              <w:rPr>
                <w:rFonts w:asciiTheme="minorHAnsi" w:hAnsiTheme="minorHAnsi" w:cstheme="minorBidi"/>
                <w:sz w:val="22"/>
                <w:szCs w:val="22"/>
              </w:rPr>
              <w:t>Program Change Due to Agency Discretion</w:t>
            </w:r>
          </w:p>
        </w:tc>
        <w:tc>
          <w:tcPr>
            <w:tcW w:w="2520" w:type="dxa"/>
          </w:tcPr>
          <w:p w:rsidR="00AF49DD" w:rsidRPr="00B321F8" w:rsidP="078CDB1D" w14:paraId="43380B8A" w14:textId="77777777">
            <w:pPr>
              <w:suppressAutoHyphens/>
              <w:rPr>
                <w:rFonts w:asciiTheme="minorHAnsi" w:hAnsiTheme="minorHAnsi" w:cstheme="minorBidi"/>
                <w:sz w:val="22"/>
                <w:szCs w:val="22"/>
              </w:rPr>
            </w:pPr>
            <w:r w:rsidRPr="3532FEA2">
              <w:rPr>
                <w:rFonts w:asciiTheme="minorHAnsi" w:hAnsiTheme="minorHAnsi" w:cstheme="minorBidi"/>
                <w:sz w:val="22"/>
                <w:szCs w:val="22"/>
              </w:rPr>
              <w:t>Change Due to Adjustment in Agency Estimate</w:t>
            </w:r>
          </w:p>
        </w:tc>
      </w:tr>
      <w:tr w14:paraId="3F0BD07C" w14:textId="77777777" w:rsidTr="378009ED">
        <w:tblPrEx>
          <w:tblW w:w="8887" w:type="dxa"/>
          <w:tblInd w:w="558" w:type="dxa"/>
          <w:tblLook w:val="04A0"/>
        </w:tblPrEx>
        <w:trPr>
          <w:trHeight w:val="300"/>
        </w:trPr>
        <w:tc>
          <w:tcPr>
            <w:tcW w:w="1980" w:type="dxa"/>
          </w:tcPr>
          <w:p w:rsidR="00AF49DD" w:rsidRPr="00B321F8" w:rsidP="078CDB1D" w14:paraId="4E4FFBB2" w14:textId="77777777">
            <w:pPr>
              <w:suppressAutoHyphens/>
              <w:rPr>
                <w:rFonts w:asciiTheme="minorHAnsi" w:hAnsiTheme="minorHAnsi" w:cstheme="minorBidi"/>
                <w:sz w:val="22"/>
                <w:szCs w:val="22"/>
              </w:rPr>
            </w:pPr>
            <w:r w:rsidRPr="3532FEA2">
              <w:rPr>
                <w:rFonts w:asciiTheme="minorHAnsi" w:hAnsiTheme="minorHAnsi" w:cstheme="minorBidi"/>
                <w:sz w:val="22"/>
                <w:szCs w:val="22"/>
              </w:rPr>
              <w:t>Annual Burden</w:t>
            </w:r>
          </w:p>
        </w:tc>
        <w:tc>
          <w:tcPr>
            <w:tcW w:w="1558" w:type="dxa"/>
          </w:tcPr>
          <w:p w:rsidR="00AF49DD" w:rsidRPr="00B321F8" w:rsidP="078CDB1D" w14:paraId="6D77B61A" w14:textId="77777777">
            <w:pPr>
              <w:suppressAutoHyphens/>
              <w:rPr>
                <w:rFonts w:asciiTheme="minorHAnsi" w:hAnsiTheme="minorHAnsi" w:cstheme="minorBidi"/>
                <w:sz w:val="22"/>
                <w:szCs w:val="22"/>
              </w:rPr>
            </w:pPr>
          </w:p>
        </w:tc>
        <w:tc>
          <w:tcPr>
            <w:tcW w:w="2829" w:type="dxa"/>
          </w:tcPr>
          <w:p w:rsidR="00AF49DD" w:rsidRPr="002959F9" w:rsidP="00591038" w14:paraId="2491E681" w14:textId="3D48D3BC">
            <w:pPr>
              <w:suppressAutoHyphens/>
              <w:jc w:val="right"/>
              <w:rPr>
                <w:rFonts w:asciiTheme="minorHAnsi" w:hAnsiTheme="minorHAnsi" w:cstheme="minorHAnsi"/>
                <w:sz w:val="22"/>
                <w:szCs w:val="22"/>
              </w:rPr>
            </w:pPr>
            <w:r w:rsidRPr="002959F9">
              <w:rPr>
                <w:rFonts w:asciiTheme="minorHAnsi" w:hAnsiTheme="minorHAnsi" w:cstheme="minorHAnsi"/>
                <w:sz w:val="22"/>
                <w:szCs w:val="22"/>
              </w:rPr>
              <w:t>-594</w:t>
            </w:r>
          </w:p>
        </w:tc>
        <w:tc>
          <w:tcPr>
            <w:tcW w:w="2520" w:type="dxa"/>
          </w:tcPr>
          <w:p w:rsidR="00AF49DD" w:rsidRPr="00B321F8" w:rsidP="078CDB1D" w14:paraId="0C449B70" w14:textId="77777777">
            <w:pPr>
              <w:suppressAutoHyphens/>
              <w:rPr>
                <w:rFonts w:asciiTheme="minorHAnsi" w:hAnsiTheme="minorHAnsi" w:cstheme="minorBidi"/>
                <w:sz w:val="22"/>
                <w:szCs w:val="22"/>
              </w:rPr>
            </w:pPr>
          </w:p>
        </w:tc>
      </w:tr>
      <w:tr w14:paraId="3962713F" w14:textId="77777777" w:rsidTr="378009ED">
        <w:tblPrEx>
          <w:tblW w:w="8887" w:type="dxa"/>
          <w:tblInd w:w="558" w:type="dxa"/>
          <w:tblLook w:val="04A0"/>
        </w:tblPrEx>
        <w:trPr>
          <w:trHeight w:val="300"/>
        </w:trPr>
        <w:tc>
          <w:tcPr>
            <w:tcW w:w="1980" w:type="dxa"/>
          </w:tcPr>
          <w:p w:rsidR="00AF49DD" w:rsidRPr="00B321F8" w:rsidP="078CDB1D" w14:paraId="4349F2BF" w14:textId="77777777">
            <w:pPr>
              <w:suppressAutoHyphens/>
              <w:rPr>
                <w:rFonts w:asciiTheme="minorHAnsi" w:hAnsiTheme="minorHAnsi" w:cstheme="minorBidi"/>
                <w:sz w:val="22"/>
                <w:szCs w:val="22"/>
              </w:rPr>
            </w:pPr>
            <w:r w:rsidRPr="3532FEA2">
              <w:rPr>
                <w:rFonts w:asciiTheme="minorHAnsi" w:hAnsiTheme="minorHAnsi" w:cstheme="minorBidi"/>
                <w:sz w:val="22"/>
                <w:szCs w:val="22"/>
              </w:rPr>
              <w:t>Annual Responses</w:t>
            </w:r>
          </w:p>
        </w:tc>
        <w:tc>
          <w:tcPr>
            <w:tcW w:w="1558" w:type="dxa"/>
          </w:tcPr>
          <w:p w:rsidR="00AF49DD" w:rsidRPr="00B321F8" w:rsidP="078CDB1D" w14:paraId="06F27117" w14:textId="77777777">
            <w:pPr>
              <w:suppressAutoHyphens/>
              <w:rPr>
                <w:rFonts w:asciiTheme="minorHAnsi" w:hAnsiTheme="minorHAnsi" w:cstheme="minorBidi"/>
                <w:sz w:val="22"/>
                <w:szCs w:val="22"/>
              </w:rPr>
            </w:pPr>
          </w:p>
        </w:tc>
        <w:tc>
          <w:tcPr>
            <w:tcW w:w="2829" w:type="dxa"/>
          </w:tcPr>
          <w:p w:rsidR="00AF49DD" w:rsidRPr="00B321F8" w:rsidP="078CDB1D" w14:paraId="1DE941D2" w14:textId="252F7E84">
            <w:pPr>
              <w:suppressAutoHyphens/>
              <w:rPr>
                <w:rFonts w:asciiTheme="minorHAnsi" w:hAnsiTheme="minorHAnsi" w:cstheme="minorBidi"/>
                <w:sz w:val="22"/>
                <w:szCs w:val="22"/>
              </w:rPr>
            </w:pPr>
          </w:p>
        </w:tc>
        <w:tc>
          <w:tcPr>
            <w:tcW w:w="2520" w:type="dxa"/>
          </w:tcPr>
          <w:p w:rsidR="00AF49DD" w:rsidRPr="00B321F8" w:rsidP="078CDB1D" w14:paraId="188ECD30" w14:textId="77777777">
            <w:pPr>
              <w:suppressAutoHyphens/>
              <w:rPr>
                <w:rFonts w:asciiTheme="minorHAnsi" w:hAnsiTheme="minorHAnsi" w:cstheme="minorBidi"/>
                <w:sz w:val="22"/>
                <w:szCs w:val="22"/>
              </w:rPr>
            </w:pPr>
          </w:p>
        </w:tc>
      </w:tr>
    </w:tbl>
    <w:p w:rsidR="00AF49DD" w:rsidP="00AF49DD" w14:paraId="0038076A" w14:textId="77777777">
      <w:pPr>
        <w:pStyle w:val="ListParagraph"/>
        <w:rPr>
          <w:rStyle w:val="a"/>
          <w:b/>
        </w:rPr>
      </w:pPr>
    </w:p>
    <w:p w:rsidR="00291ECC" w:rsidP="0C59B869" w14:paraId="1E3F51C8" w14:textId="65029D3D">
      <w:pPr>
        <w:tabs>
          <w:tab w:val="left" w:pos="624"/>
          <w:tab w:val="left" w:pos="2340"/>
          <w:tab w:val="right" w:pos="9588"/>
        </w:tabs>
        <w:spacing w:after="0"/>
        <w:ind w:left="720"/>
        <w:rPr>
          <w:rStyle w:val="a"/>
          <w:bCs/>
        </w:rPr>
      </w:pPr>
      <w:r w:rsidRPr="0C59B869">
        <w:rPr>
          <w:rStyle w:val="a"/>
        </w:rPr>
        <w:t xml:space="preserve">The expiring authorization for this </w:t>
      </w:r>
      <w:r w:rsidRPr="0C59B869" w:rsidR="00CD0B64">
        <w:rPr>
          <w:rStyle w:val="a"/>
        </w:rPr>
        <w:t xml:space="preserve">information collection </w:t>
      </w:r>
      <w:r w:rsidRPr="0C59B869" w:rsidR="00A930D0">
        <w:rPr>
          <w:rStyle w:val="a"/>
        </w:rPr>
        <w:t>had a burden of 1,</w:t>
      </w:r>
      <w:r w:rsidRPr="0C59B869" w:rsidR="003173E6">
        <w:rPr>
          <w:rStyle w:val="a"/>
        </w:rPr>
        <w:t xml:space="preserve">620 hours. The new burden is </w:t>
      </w:r>
      <w:r w:rsidR="006777B8">
        <w:rPr>
          <w:rStyle w:val="a"/>
        </w:rPr>
        <w:t>1,026</w:t>
      </w:r>
      <w:r w:rsidRPr="0C59B869" w:rsidR="00044518">
        <w:rPr>
          <w:rStyle w:val="a"/>
        </w:rPr>
        <w:t xml:space="preserve"> hours.</w:t>
      </w:r>
      <w:r w:rsidRPr="0C59B869" w:rsidR="00C373D9">
        <w:rPr>
          <w:rStyle w:val="a"/>
        </w:rPr>
        <w:t xml:space="preserve"> </w:t>
      </w:r>
      <w:r w:rsidRPr="0C59B869" w:rsidR="0049367F">
        <w:rPr>
          <w:rStyle w:val="a"/>
        </w:rPr>
        <w:t>These new</w:t>
      </w:r>
      <w:r w:rsidRPr="0C59B869" w:rsidR="004D2BC8">
        <w:rPr>
          <w:rStyle w:val="a"/>
        </w:rPr>
        <w:t xml:space="preserve"> proposed</w:t>
      </w:r>
      <w:r w:rsidRPr="0C59B869" w:rsidR="00562842">
        <w:rPr>
          <w:rStyle w:val="a"/>
        </w:rPr>
        <w:t xml:space="preserve"> re</w:t>
      </w:r>
      <w:r w:rsidRPr="0C59B869" w:rsidR="00F9526D">
        <w:rPr>
          <w:rStyle w:val="a"/>
        </w:rPr>
        <w:t>visions to the State Plan Guide w</w:t>
      </w:r>
      <w:r w:rsidRPr="0C59B869" w:rsidR="00851416">
        <w:rPr>
          <w:rStyle w:val="a"/>
        </w:rPr>
        <w:t>ould</w:t>
      </w:r>
      <w:r w:rsidRPr="0C59B869" w:rsidR="00F9526D">
        <w:rPr>
          <w:rStyle w:val="a"/>
        </w:rPr>
        <w:t xml:space="preserve"> </w:t>
      </w:r>
      <w:r w:rsidR="00E23D94">
        <w:rPr>
          <w:rStyle w:val="a"/>
        </w:rPr>
        <w:t>decrease</w:t>
      </w:r>
      <w:r w:rsidRPr="0C59B869" w:rsidR="00E828FF">
        <w:rPr>
          <w:rStyle w:val="a"/>
        </w:rPr>
        <w:t xml:space="preserve"> burden </w:t>
      </w:r>
      <w:r w:rsidR="00C91BF1">
        <w:rPr>
          <w:rStyle w:val="a"/>
        </w:rPr>
        <w:t xml:space="preserve">due to a change </w:t>
      </w:r>
      <w:r w:rsidR="008C4D35">
        <w:rPr>
          <w:rStyle w:val="a"/>
        </w:rPr>
        <w:t>in the agency estimate</w:t>
      </w:r>
      <w:r w:rsidRPr="0C59B869" w:rsidR="00E828FF">
        <w:rPr>
          <w:rStyle w:val="a"/>
        </w:rPr>
        <w:t xml:space="preserve">. </w:t>
      </w:r>
      <w:r w:rsidRPr="00BD4FCD" w:rsidR="00BD4FCD">
        <w:rPr>
          <w:rStyle w:val="a"/>
        </w:rPr>
        <w:t xml:space="preserve">The Department now estimates that no new </w:t>
      </w:r>
      <w:r w:rsidRPr="00BD4FCD" w:rsidR="00BD4FCD">
        <w:rPr>
          <w:rStyle w:val="a"/>
        </w:rPr>
        <w:t>additional States will submit new State plans and that all 54 respondents will only submit revisions to their State Determined Performance Levels (SDPLs) and budgets for the forthcoming fiscal year’s State allocation in each year (i.e., 2025, 2026, and 2027).</w:t>
      </w:r>
    </w:p>
    <w:p w:rsidR="00291ECC" w:rsidP="00E279D1" w14:paraId="075FBD22" w14:textId="77777777">
      <w:pPr>
        <w:tabs>
          <w:tab w:val="left" w:pos="624"/>
          <w:tab w:val="left" w:pos="2340"/>
          <w:tab w:val="right" w:pos="9588"/>
        </w:tabs>
        <w:spacing w:after="0"/>
        <w:ind w:left="720"/>
        <w:rPr>
          <w:rStyle w:val="a"/>
          <w:bCs/>
        </w:rPr>
      </w:pPr>
    </w:p>
    <w:p w:rsidR="00AF49DD" w:rsidRPr="005123B6" w:rsidP="005C182E" w14:paraId="49972FFC" w14:textId="77777777">
      <w:pPr>
        <w:pStyle w:val="CommentText"/>
        <w:numPr>
          <w:ilvl w:val="0"/>
          <w:numId w:val="6"/>
        </w:numPr>
        <w:spacing w:after="0"/>
        <w:rPr>
          <w:rStyle w:val="a"/>
          <w:sz w:val="22"/>
          <w:szCs w:val="22"/>
        </w:rPr>
      </w:pPr>
      <w:r w:rsidRPr="005123B6">
        <w:rPr>
          <w:rStyle w:val="a"/>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123B6">
        <w:rPr>
          <w:rStyle w:val="a"/>
          <w:sz w:val="22"/>
          <w:szCs w:val="22"/>
        </w:rPr>
        <w:t>.</w:t>
      </w:r>
    </w:p>
    <w:p w:rsidR="00AF49DD" w:rsidP="00AF49DD" w14:paraId="4818C19F" w14:textId="77777777">
      <w:pPr>
        <w:pStyle w:val="ListParagraph"/>
        <w:spacing w:after="0"/>
        <w:rPr>
          <w:rStyle w:va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1"/>
        <w:gridCol w:w="6771"/>
      </w:tblGrid>
      <w:tr w14:paraId="6D4BF4B7" w14:textId="77777777" w:rsidTr="0C59B86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2520" w:type="dxa"/>
            <w:shd w:val="clear" w:color="auto" w:fill="D9D9D9" w:themeFill="background1" w:themeFillShade="D9"/>
          </w:tcPr>
          <w:p w:rsidR="00166DFB" w14:paraId="13D3C136" w14:textId="77777777">
            <w:pPr>
              <w:pStyle w:val="Header"/>
              <w:spacing w:before="120" w:after="120"/>
              <w:jc w:val="center"/>
              <w:rPr>
                <w:rFonts w:cs="Arial"/>
                <w:b/>
              </w:rPr>
            </w:pPr>
            <w:r w:rsidRPr="35DE3071">
              <w:rPr>
                <w:rFonts w:cs="Arial"/>
                <w:b/>
              </w:rPr>
              <w:t>Timeline</w:t>
            </w:r>
          </w:p>
        </w:tc>
        <w:tc>
          <w:tcPr>
            <w:tcW w:w="7020" w:type="dxa"/>
            <w:shd w:val="clear" w:color="auto" w:fill="D9D9D9" w:themeFill="background1" w:themeFillShade="D9"/>
          </w:tcPr>
          <w:p w:rsidR="00166DFB" w14:paraId="3DA7E6BF" w14:textId="77777777">
            <w:pPr>
              <w:spacing w:before="120" w:after="120"/>
              <w:jc w:val="center"/>
              <w:rPr>
                <w:rFonts w:cs="Arial"/>
                <w:b/>
              </w:rPr>
            </w:pPr>
            <w:r w:rsidRPr="35DE3071">
              <w:rPr>
                <w:rFonts w:cs="Arial"/>
                <w:b/>
              </w:rPr>
              <w:t>Actions</w:t>
            </w:r>
          </w:p>
        </w:tc>
      </w:tr>
      <w:tr w14:paraId="5C7E2D85" w14:textId="77777777" w:rsidTr="0C59B869">
        <w:tblPrEx>
          <w:tblW w:w="0" w:type="auto"/>
          <w:tblInd w:w="108" w:type="dxa"/>
          <w:tblLook w:val="0000"/>
        </w:tblPrEx>
        <w:trPr>
          <w:trHeight w:val="300"/>
        </w:trPr>
        <w:tc>
          <w:tcPr>
            <w:tcW w:w="2520" w:type="dxa"/>
          </w:tcPr>
          <w:p w:rsidR="00166DFB" w14:paraId="15F80DB0" w14:textId="77777777">
            <w:pPr>
              <w:pStyle w:val="Header"/>
              <w:spacing w:after="120"/>
              <w:rPr>
                <w:rFonts w:cs="Arial"/>
              </w:rPr>
            </w:pPr>
            <w:r w:rsidRPr="35DE3071">
              <w:rPr>
                <w:rFonts w:cs="Arial"/>
              </w:rPr>
              <w:t xml:space="preserve">January </w:t>
            </w:r>
          </w:p>
        </w:tc>
        <w:tc>
          <w:tcPr>
            <w:tcW w:w="7020" w:type="dxa"/>
          </w:tcPr>
          <w:p w:rsidR="00166DFB" w14:paraId="6831E07E" w14:textId="77777777">
            <w:pPr>
              <w:spacing w:after="120"/>
              <w:rPr>
                <w:rFonts w:cs="Arial"/>
              </w:rPr>
            </w:pPr>
            <w:r w:rsidRPr="35DE3071">
              <w:rPr>
                <w:rFonts w:cs="Arial"/>
              </w:rPr>
              <w:t>Department issues program memorandum with due dates and reminders regarding State plan submissions</w:t>
            </w:r>
          </w:p>
        </w:tc>
      </w:tr>
      <w:tr w14:paraId="5CDC4E20" w14:textId="77777777" w:rsidTr="0C59B869">
        <w:tblPrEx>
          <w:tblW w:w="0" w:type="auto"/>
          <w:tblInd w:w="108" w:type="dxa"/>
          <w:tblLook w:val="0000"/>
        </w:tblPrEx>
        <w:trPr>
          <w:trHeight w:val="300"/>
        </w:trPr>
        <w:tc>
          <w:tcPr>
            <w:tcW w:w="2520" w:type="dxa"/>
          </w:tcPr>
          <w:p w:rsidR="00166DFB" w14:paraId="6FA528CC" w14:textId="77777777">
            <w:pPr>
              <w:spacing w:after="120"/>
              <w:rPr>
                <w:rFonts w:cs="Arial"/>
              </w:rPr>
            </w:pPr>
            <w:r>
              <w:rPr>
                <w:rFonts w:cs="Arial"/>
              </w:rPr>
              <w:t>No later than March</w:t>
            </w:r>
            <w:r>
              <w:rPr>
                <w:rStyle w:val="FootnoteReference"/>
                <w:rFonts w:cs="Arial"/>
              </w:rPr>
              <w:footnoteReference w:id="12"/>
            </w:r>
            <w:r>
              <w:rPr>
                <w:rFonts w:cs="Arial"/>
              </w:rPr>
              <w:t xml:space="preserve"> </w:t>
            </w:r>
          </w:p>
        </w:tc>
        <w:tc>
          <w:tcPr>
            <w:tcW w:w="7020" w:type="dxa"/>
          </w:tcPr>
          <w:p w:rsidR="00166DFB" w14:paraId="2E1B0003" w14:textId="77777777">
            <w:pPr>
              <w:spacing w:after="120"/>
              <w:rPr>
                <w:rFonts w:cs="Arial"/>
              </w:rPr>
            </w:pPr>
            <w:r w:rsidRPr="35DE3071">
              <w:rPr>
                <w:rFonts w:cs="Arial"/>
              </w:rPr>
              <w:t>Department issues program memorandum with estimated allocations for each State for the upcoming fiscal year</w:t>
            </w:r>
          </w:p>
        </w:tc>
      </w:tr>
      <w:tr w14:paraId="0783AF7F" w14:textId="77777777" w:rsidTr="0C59B869">
        <w:tblPrEx>
          <w:tblW w:w="0" w:type="auto"/>
          <w:tblInd w:w="108" w:type="dxa"/>
          <w:tblLook w:val="0000"/>
        </w:tblPrEx>
        <w:trPr>
          <w:trHeight w:val="300"/>
        </w:trPr>
        <w:tc>
          <w:tcPr>
            <w:tcW w:w="2520" w:type="dxa"/>
          </w:tcPr>
          <w:p w:rsidR="00166DFB" w14:paraId="0AAE1611" w14:textId="5C705172">
            <w:pPr>
              <w:spacing w:after="120"/>
              <w:rPr>
                <w:rFonts w:cs="Arial"/>
              </w:rPr>
            </w:pPr>
            <w:r>
              <w:rPr>
                <w:rFonts w:cs="Arial"/>
              </w:rPr>
              <w:t xml:space="preserve">Spring </w:t>
            </w:r>
            <w:r w:rsidR="006777B8">
              <w:rPr>
                <w:rFonts w:cs="Arial"/>
              </w:rPr>
              <w:t>Date to</w:t>
            </w:r>
            <w:r>
              <w:rPr>
                <w:rFonts w:cs="Arial"/>
              </w:rPr>
              <w:t xml:space="preserve"> Be Determined</w:t>
            </w:r>
            <w:r>
              <w:rPr>
                <w:rStyle w:val="FootnoteReference"/>
                <w:rFonts w:cs="Arial"/>
              </w:rPr>
              <w:footnoteReference w:id="13"/>
            </w:r>
          </w:p>
        </w:tc>
        <w:tc>
          <w:tcPr>
            <w:tcW w:w="7020" w:type="dxa"/>
          </w:tcPr>
          <w:p w:rsidR="00166DFB" w14:paraId="539147FE" w14:textId="77777777">
            <w:pPr>
              <w:spacing w:after="120"/>
              <w:rPr>
                <w:rFonts w:cs="Arial"/>
              </w:rPr>
            </w:pPr>
            <w:r>
              <w:rPr>
                <w:rFonts w:cs="Arial"/>
              </w:rPr>
              <w:t>Eligible agencies submit State plans or annual revisions</w:t>
            </w:r>
          </w:p>
        </w:tc>
      </w:tr>
      <w:tr w14:paraId="0CC9EDF6" w14:textId="77777777" w:rsidTr="0C59B869">
        <w:tblPrEx>
          <w:tblW w:w="0" w:type="auto"/>
          <w:tblInd w:w="108" w:type="dxa"/>
          <w:tblLook w:val="0000"/>
        </w:tblPrEx>
        <w:trPr>
          <w:trHeight w:val="300"/>
        </w:trPr>
        <w:tc>
          <w:tcPr>
            <w:tcW w:w="2520" w:type="dxa"/>
          </w:tcPr>
          <w:p w:rsidR="00166DFB" w14:paraId="61F054E8" w14:textId="77777777">
            <w:pPr>
              <w:pStyle w:val="Header"/>
              <w:spacing w:after="120"/>
              <w:rPr>
                <w:rFonts w:cs="Arial"/>
              </w:rPr>
            </w:pPr>
            <w:r>
              <w:rPr>
                <w:rFonts w:cs="Arial"/>
              </w:rPr>
              <w:t xml:space="preserve">June 30 </w:t>
            </w:r>
          </w:p>
        </w:tc>
        <w:tc>
          <w:tcPr>
            <w:tcW w:w="7020" w:type="dxa"/>
          </w:tcPr>
          <w:p w:rsidR="00166DFB" w14:paraId="5BF623D8" w14:textId="77777777">
            <w:pPr>
              <w:spacing w:after="120"/>
              <w:rPr>
                <w:rFonts w:cs="Arial"/>
              </w:rPr>
            </w:pPr>
            <w:r w:rsidRPr="35DE3071">
              <w:rPr>
                <w:rFonts w:cs="Arial"/>
              </w:rPr>
              <w:t>Department approves State plans or annual revisions that meet the requirements of the statute</w:t>
            </w:r>
          </w:p>
        </w:tc>
      </w:tr>
      <w:tr w14:paraId="0FD3FC7F" w14:textId="77777777" w:rsidTr="0C59B869">
        <w:tblPrEx>
          <w:tblW w:w="0" w:type="auto"/>
          <w:tblInd w:w="108" w:type="dxa"/>
          <w:tblLook w:val="0000"/>
        </w:tblPrEx>
        <w:trPr>
          <w:trHeight w:val="300"/>
        </w:trPr>
        <w:tc>
          <w:tcPr>
            <w:tcW w:w="2520" w:type="dxa"/>
          </w:tcPr>
          <w:p w:rsidR="00166DFB" w14:paraId="39BABDB3" w14:textId="77777777">
            <w:pPr>
              <w:spacing w:after="120"/>
              <w:rPr>
                <w:rFonts w:cs="Arial"/>
              </w:rPr>
            </w:pPr>
            <w:r>
              <w:rPr>
                <w:rFonts w:cs="Arial"/>
              </w:rPr>
              <w:t>July 1</w:t>
            </w:r>
          </w:p>
        </w:tc>
        <w:tc>
          <w:tcPr>
            <w:tcW w:w="7020" w:type="dxa"/>
          </w:tcPr>
          <w:p w:rsidR="00166DFB" w14:paraId="4C0C52DE" w14:textId="77777777">
            <w:pPr>
              <w:spacing w:after="120"/>
              <w:rPr>
                <w:rFonts w:cs="Arial"/>
              </w:rPr>
            </w:pPr>
            <w:r w:rsidRPr="35DE3071">
              <w:rPr>
                <w:rFonts w:cs="Arial"/>
              </w:rPr>
              <w:t>Department issues 1st installment of State’s Perkins V grant awards for the upcoming fiscal year</w:t>
            </w:r>
          </w:p>
        </w:tc>
      </w:tr>
      <w:tr w14:paraId="1E91142F" w14:textId="77777777" w:rsidTr="0C59B869">
        <w:tblPrEx>
          <w:tblW w:w="0" w:type="auto"/>
          <w:tblInd w:w="108" w:type="dxa"/>
          <w:tblLook w:val="0000"/>
        </w:tblPrEx>
        <w:trPr>
          <w:trHeight w:val="300"/>
        </w:trPr>
        <w:tc>
          <w:tcPr>
            <w:tcW w:w="2520" w:type="dxa"/>
          </w:tcPr>
          <w:p w:rsidR="00166DFB" w14:paraId="528A528D" w14:textId="77777777">
            <w:pPr>
              <w:spacing w:after="120"/>
              <w:rPr>
                <w:rFonts w:cs="Arial"/>
              </w:rPr>
            </w:pPr>
            <w:r>
              <w:rPr>
                <w:rFonts w:cs="Arial"/>
              </w:rPr>
              <w:t>October 1</w:t>
            </w:r>
          </w:p>
        </w:tc>
        <w:tc>
          <w:tcPr>
            <w:tcW w:w="7020" w:type="dxa"/>
          </w:tcPr>
          <w:p w:rsidR="00166DFB" w14:paraId="1F8DD0D4" w14:textId="77777777">
            <w:pPr>
              <w:spacing w:after="120"/>
              <w:rPr>
                <w:rFonts w:cs="Arial"/>
              </w:rPr>
            </w:pPr>
            <w:r w:rsidRPr="35DE3071">
              <w:rPr>
                <w:rFonts w:cs="Arial"/>
              </w:rPr>
              <w:t xml:space="preserve">Department issues supplemental and final installment of State’s Perkins V grant awards for the upcoming fiscal year </w:t>
            </w:r>
          </w:p>
        </w:tc>
      </w:tr>
    </w:tbl>
    <w:p w:rsidR="00166DFB" w:rsidP="35DE3071" w14:paraId="27421B80" w14:textId="77777777">
      <w:pPr>
        <w:spacing w:after="0"/>
        <w:rPr>
          <w:rStyle w:val="a"/>
        </w:rPr>
      </w:pPr>
    </w:p>
    <w:p w:rsidR="00AF49DD" w:rsidP="00AF49DD" w14:paraId="78C8B9E3" w14:textId="77777777">
      <w:pPr>
        <w:spacing w:after="0"/>
        <w:ind w:left="720"/>
        <w:rPr>
          <w:rStyle w:val="Hyperlink"/>
        </w:rPr>
      </w:pPr>
      <w:r>
        <w:rPr>
          <w:rStyle w:val="a"/>
        </w:rPr>
        <w:t xml:space="preserve">State plans are integrated with other State information that now appears on the Department’s website at </w:t>
      </w:r>
      <w:hyperlink r:id="rId11" w:history="1">
        <w:r w:rsidRPr="00661065">
          <w:rPr>
            <w:rStyle w:val="Hyperlink"/>
          </w:rPr>
          <w:t>https://cte.ed.gov/profiles/national-summary</w:t>
        </w:r>
      </w:hyperlink>
      <w:r>
        <w:rPr>
          <w:rStyle w:val="Hyperlink"/>
        </w:rPr>
        <w:t>.</w:t>
      </w:r>
    </w:p>
    <w:p w:rsidR="00AF49DD" w:rsidP="00AF49DD" w14:paraId="47904475" w14:textId="77777777">
      <w:pPr>
        <w:spacing w:after="0"/>
        <w:ind w:left="720"/>
        <w:rPr>
          <w:rStyle w:val="a"/>
        </w:rPr>
      </w:pPr>
    </w:p>
    <w:p w:rsidR="00AF49DD" w:rsidP="35DE3071" w14:paraId="049F1440" w14:textId="77777777">
      <w:pPr>
        <w:numPr>
          <w:ilvl w:val="0"/>
          <w:numId w:val="6"/>
        </w:numPr>
        <w:spacing w:after="0" w:line="240" w:lineRule="auto"/>
        <w:contextualSpacing/>
        <w:rPr>
          <w:rStyle w:val="a"/>
        </w:rPr>
      </w:pPr>
      <w:r w:rsidRPr="002A139F">
        <w:rPr>
          <w:rStyle w:val="a"/>
          <w:b/>
        </w:rPr>
        <w:t>If seeking approval to not display the expiration date for OMB approval of the information collection, explain the reasons that display would be inappropriate</w:t>
      </w:r>
      <w:r w:rsidRPr="00322E02">
        <w:rPr>
          <w:rStyle w:val="a"/>
        </w:rPr>
        <w:t>.</w:t>
      </w:r>
    </w:p>
    <w:p w:rsidR="00AF49DD" w:rsidP="00AF49DD" w14:paraId="65D88342" w14:textId="77777777">
      <w:pPr>
        <w:pStyle w:val="ListParagraph"/>
        <w:spacing w:after="0"/>
        <w:rPr>
          <w:rStyle w:val="a"/>
        </w:rPr>
      </w:pPr>
    </w:p>
    <w:p w:rsidR="00AF49DD" w:rsidP="00AF49DD" w14:paraId="3E307B08" w14:textId="77777777">
      <w:pPr>
        <w:spacing w:after="0"/>
        <w:ind w:left="720"/>
        <w:rPr>
          <w:rStyle w:val="a"/>
        </w:rPr>
      </w:pPr>
      <w:r>
        <w:rPr>
          <w:rStyle w:val="a"/>
        </w:rPr>
        <w:t>We are not seeking this approval.</w:t>
      </w:r>
    </w:p>
    <w:p w:rsidR="00AF49DD" w:rsidP="00AF49DD" w14:paraId="64ECA5A4" w14:textId="77777777">
      <w:pPr>
        <w:spacing w:after="0"/>
        <w:ind w:left="720"/>
        <w:rPr>
          <w:rStyle w:val="a"/>
        </w:rPr>
      </w:pPr>
    </w:p>
    <w:p w:rsidR="00AF49DD" w:rsidRPr="008B6CC8" w:rsidP="35DE3071" w14:paraId="659B6635" w14:textId="77777777">
      <w:pPr>
        <w:pStyle w:val="CommentText"/>
        <w:numPr>
          <w:ilvl w:val="0"/>
          <w:numId w:val="6"/>
        </w:numPr>
        <w:spacing w:after="0"/>
        <w:rPr>
          <w:rStyle w:val="a"/>
          <w:b/>
          <w:sz w:val="22"/>
          <w:szCs w:val="22"/>
        </w:rPr>
      </w:pPr>
      <w:r w:rsidRPr="008B6CC8">
        <w:rPr>
          <w:rStyle w:val="a"/>
          <w:b/>
          <w:sz w:val="22"/>
          <w:szCs w:val="22"/>
        </w:rPr>
        <w:t>Explain each exception to the certification statement identified in the Certification of Paperwork Reduction Act.</w:t>
      </w:r>
    </w:p>
    <w:p w:rsidR="00AF49DD" w:rsidP="00AF49DD" w14:paraId="15ACF319" w14:textId="77777777">
      <w:pPr>
        <w:pStyle w:val="ListParagraph"/>
        <w:spacing w:after="0"/>
        <w:rPr>
          <w:rStyle w:val="a"/>
          <w:b/>
        </w:rPr>
      </w:pPr>
    </w:p>
    <w:p w:rsidR="00AF49DD" w:rsidP="00AF49DD" w14:paraId="26F6B284" w14:textId="77777777">
      <w:pPr>
        <w:pStyle w:val="ListParagraph"/>
        <w:spacing w:after="0"/>
        <w:rPr>
          <w:rStyle w:val="a"/>
        </w:rPr>
      </w:pPr>
      <w:r>
        <w:rPr>
          <w:rStyle w:val="a"/>
        </w:rPr>
        <w:t xml:space="preserve">There are no exceptions to the certification statement identified in the Certification of Paperwork Reduction Act. </w:t>
      </w:r>
    </w:p>
    <w:p w:rsidR="00AF49DD" w:rsidRPr="00567824" w:rsidP="00AF49DD" w14:paraId="612B40C7" w14:textId="77777777"/>
    <w:p w:rsidR="00AF49DD" w:rsidP="00AF49DD" w14:paraId="5360EF6E" w14:textId="77777777"/>
    <w:p w:rsidR="00CF5EA9" w:rsidP="00896675" w14:paraId="22DADFD9" w14:textId="77777777">
      <w:pPr>
        <w:rPr>
          <w:color w:val="000000" w:themeColor="text1"/>
          <w:kern w:val="0"/>
          <w14:ligatures w14:val="none"/>
        </w:rPr>
        <w:sectPr w:rsidSect="009E2D76">
          <w:footerReference w:type="default" r:id="rId12"/>
          <w:pgSz w:w="12240" w:h="15840"/>
          <w:pgMar w:top="1440" w:right="1440" w:bottom="1440" w:left="1440" w:header="720" w:footer="720" w:gutter="0"/>
          <w:cols w:space="720"/>
          <w:titlePg/>
          <w:docGrid w:linePitch="360"/>
        </w:sectPr>
      </w:pPr>
    </w:p>
    <w:p w:rsidR="00CF5EA9" w:rsidRPr="00CF5EA9" w:rsidP="00CF5EA9" w14:paraId="194F8F1B" w14:textId="77777777">
      <w:pPr>
        <w:rPr>
          <w:b/>
          <w:bCs/>
        </w:rPr>
      </w:pPr>
      <w:r w:rsidRPr="00CF5EA9">
        <w:rPr>
          <w:b/>
          <w:bCs/>
        </w:rPr>
        <w:t>Appendix</w:t>
      </w:r>
    </w:p>
    <w:p w:rsidR="00CF5EA9" w:rsidRPr="00CF5EA9" w:rsidP="00CF5EA9" w14:paraId="1C31BBF4" w14:textId="7D9EA8C4">
      <w:pPr>
        <w:jc w:val="center"/>
        <w:rPr>
          <w:b/>
          <w:bCs/>
        </w:rPr>
      </w:pPr>
      <w:r w:rsidRPr="00CF5EA9">
        <w:rPr>
          <w:b/>
          <w:bCs/>
        </w:rPr>
        <w:t>Summary Highlights of the Proposed Data Specifications for the Perkins V Core Indicators of Performance</w:t>
      </w:r>
    </w:p>
    <w:tbl>
      <w:tblPr>
        <w:tblStyle w:val="TableGrid1"/>
        <w:tblW w:w="13585" w:type="dxa"/>
        <w:tblLook w:val="04A0"/>
      </w:tblPr>
      <w:tblGrid>
        <w:gridCol w:w="1874"/>
        <w:gridCol w:w="2351"/>
        <w:gridCol w:w="5130"/>
        <w:gridCol w:w="4230"/>
      </w:tblGrid>
      <w:tr w14:paraId="1EEA954D" w14:textId="77777777" w:rsidTr="00D36AEA">
        <w:tblPrEx>
          <w:tblW w:w="13585" w:type="dxa"/>
          <w:tblLook w:val="04A0"/>
        </w:tblPrEx>
        <w:trPr>
          <w:tblHeader/>
        </w:trPr>
        <w:tc>
          <w:tcPr>
            <w:tcW w:w="1874" w:type="dxa"/>
          </w:tcPr>
          <w:p w:rsidR="00CF5EA9" w:rsidRPr="00CF5EA9" w:rsidP="00CF5EA9" w14:paraId="3B043B82" w14:textId="77777777">
            <w:pPr>
              <w:jc w:val="center"/>
            </w:pPr>
            <w:r w:rsidRPr="00CF5EA9">
              <w:t>Indicator</w:t>
            </w:r>
          </w:p>
        </w:tc>
        <w:tc>
          <w:tcPr>
            <w:tcW w:w="2351" w:type="dxa"/>
          </w:tcPr>
          <w:p w:rsidR="00CF5EA9" w:rsidRPr="00CF5EA9" w:rsidP="00CF5EA9" w14:paraId="2C6BC916" w14:textId="77777777">
            <w:pPr>
              <w:jc w:val="center"/>
            </w:pPr>
            <w:r w:rsidRPr="00CF5EA9">
              <w:t>Statute</w:t>
            </w:r>
          </w:p>
        </w:tc>
        <w:tc>
          <w:tcPr>
            <w:tcW w:w="5130" w:type="dxa"/>
          </w:tcPr>
          <w:p w:rsidR="00CF5EA9" w:rsidRPr="00CF5EA9" w:rsidP="00CF5EA9" w14:paraId="3E0E292F" w14:textId="291C39AF">
            <w:pPr>
              <w:jc w:val="center"/>
            </w:pPr>
            <w:r>
              <w:t xml:space="preserve">Proposed </w:t>
            </w:r>
            <w:r w:rsidRPr="00CF5EA9">
              <w:t>Data Specifications</w:t>
            </w:r>
          </w:p>
          <w:p w:rsidR="00CF5EA9" w:rsidRPr="00CF5EA9" w:rsidP="00CF5EA9" w14:paraId="404EC1E5" w14:textId="77777777">
            <w:pPr>
              <w:jc w:val="center"/>
            </w:pPr>
          </w:p>
        </w:tc>
        <w:tc>
          <w:tcPr>
            <w:tcW w:w="4230" w:type="dxa"/>
          </w:tcPr>
          <w:p w:rsidR="00CF5EA9" w:rsidRPr="00CF5EA9" w:rsidP="00CF5EA9" w14:paraId="28715585" w14:textId="77777777">
            <w:pPr>
              <w:jc w:val="center"/>
            </w:pPr>
            <w:r w:rsidRPr="00CF5EA9">
              <w:t>Notes</w:t>
            </w:r>
          </w:p>
        </w:tc>
      </w:tr>
      <w:tr w14:paraId="26E2C3A6" w14:textId="77777777" w:rsidTr="00D36AEA">
        <w:tblPrEx>
          <w:tblW w:w="13585" w:type="dxa"/>
          <w:tblLook w:val="04A0"/>
        </w:tblPrEx>
        <w:tc>
          <w:tcPr>
            <w:tcW w:w="13585" w:type="dxa"/>
            <w:gridSpan w:val="4"/>
          </w:tcPr>
          <w:p w:rsidR="00CF5EA9" w:rsidRPr="00CF5EA9" w:rsidP="00CF5EA9" w14:paraId="286E777A" w14:textId="77777777">
            <w:r w:rsidRPr="00CF5EA9">
              <w:t>Secondary Education</w:t>
            </w:r>
          </w:p>
          <w:p w:rsidR="00CF5EA9" w:rsidRPr="00CF5EA9" w:rsidP="00CF5EA9" w14:paraId="30EA4841" w14:textId="77777777"/>
        </w:tc>
      </w:tr>
      <w:tr w14:paraId="042F73AB" w14:textId="77777777" w:rsidTr="00D36AEA">
        <w:tblPrEx>
          <w:tblW w:w="13585" w:type="dxa"/>
          <w:tblLook w:val="04A0"/>
        </w:tblPrEx>
        <w:tc>
          <w:tcPr>
            <w:tcW w:w="1874" w:type="dxa"/>
          </w:tcPr>
          <w:p w:rsidR="00CF5EA9" w:rsidRPr="00CF5EA9" w:rsidP="00CF5EA9" w14:paraId="64788F91" w14:textId="77777777">
            <w:r w:rsidRPr="00CF5EA9">
              <w:t>1S1: Four-Year Graduation Rate</w:t>
            </w:r>
          </w:p>
        </w:tc>
        <w:tc>
          <w:tcPr>
            <w:tcW w:w="2351" w:type="dxa"/>
          </w:tcPr>
          <w:p w:rsidR="00CF5EA9" w:rsidRPr="00CF5EA9" w:rsidP="00CF5EA9" w14:paraId="0028ACD5" w14:textId="77777777">
            <w:r w:rsidRPr="00CF5EA9">
              <w:t xml:space="preserve">“The percentage of CTE concentrators who graduate high school, as measured by—(I) the four-year adjusted cohort graduation rate (defined in section 8101 of the Elementary and Secondary Education Act of 1965)” </w:t>
            </w:r>
          </w:p>
        </w:tc>
        <w:tc>
          <w:tcPr>
            <w:tcW w:w="5130" w:type="dxa"/>
          </w:tcPr>
          <w:p w:rsidR="003C5ECE" w:rsidP="003C5ECE" w14:paraId="3D602733" w14:textId="0577A76C">
            <w:r w:rsidRPr="00CF5EA9">
              <w:rPr>
                <w:u w:val="single"/>
              </w:rPr>
              <w:t>Numerator</w:t>
            </w:r>
            <w:r w:rsidRPr="00CF5EA9">
              <w:t xml:space="preserve">: </w:t>
            </w:r>
            <w:r>
              <w:t xml:space="preserve">The number of CTE concentrators at the secondary level who, in the reporting year, are included in the numerator for the four-year adjusted cohort graduation rate under ESEA section 8101(25)(A)(ii) (i.e., the number of CTE concentrators at the secondary level who graduated from high school with a regular high school diploma as defined in ESEA section 8101(43) at the conclusion of the fourth year of high school or the summer session immediately following the fourth year of high school; plus, if the State has adopted an alternate diploma, all CTE concentrators with the most significant cognitive disabilities who were assessed using an alternate assessment aligned with alternate academic achievement standards under </w:t>
            </w:r>
            <w:r w:rsidR="00CC5C72">
              <w:t xml:space="preserve">ESEA </w:t>
            </w:r>
            <w:r>
              <w:t>section 1111(b)(2)(D) and who graduated with a State-defined alternate diploma that is standards-based, aligned with the State requirements for the regular high school diploma, and obtained within the time period for which the State ensures the availability of a free appropriate public education under section 612(a)(1) of the Individuals with Disabilities Education Act, in the reporting year).</w:t>
            </w:r>
          </w:p>
          <w:p w:rsidR="00CF5EA9" w:rsidRPr="00CF5EA9" w:rsidP="00CF5EA9" w14:paraId="16296512" w14:textId="77777777"/>
          <w:p w:rsidR="00CF5EA9" w:rsidRPr="00CF5EA9" w:rsidP="00CF5EA9" w14:paraId="097BEA65" w14:textId="5A5E83D1">
            <w:r w:rsidRPr="00CF5EA9">
              <w:rPr>
                <w:u w:val="single"/>
              </w:rPr>
              <w:t>Denominator</w:t>
            </w:r>
            <w:r w:rsidRPr="00CF5EA9">
              <w:t xml:space="preserve">: </w:t>
            </w:r>
            <w:r w:rsidRPr="003C5ECE" w:rsidR="003C5ECE">
              <w:t xml:space="preserve">The number of CTE concentrators at the secondary level who, in the reporting year, were included in the four-year adjusted cohort (i.e., </w:t>
            </w:r>
            <w:r w:rsidRPr="003C5ECE" w:rsidR="003C5ECE">
              <w:t xml:space="preserve">denominator) used to calculate the four-year adjusted cohort graduation rate (as defined in </w:t>
            </w:r>
            <w:r w:rsidR="00CC5C72">
              <w:t xml:space="preserve">ESEA </w:t>
            </w:r>
            <w:r w:rsidRPr="003C5ECE" w:rsidR="003C5ECE">
              <w:t>section 8101(25)).</w:t>
            </w:r>
          </w:p>
        </w:tc>
        <w:tc>
          <w:tcPr>
            <w:tcW w:w="4230" w:type="dxa"/>
          </w:tcPr>
          <w:p w:rsidR="00CF5EA9" w:rsidRPr="00CF5EA9" w:rsidP="00CF5EA9" w14:paraId="71DBEC9F" w14:textId="02FCA1F1">
            <w:pPr>
              <w:numPr>
                <w:ilvl w:val="0"/>
                <w:numId w:val="9"/>
              </w:numPr>
              <w:contextualSpacing/>
            </w:pPr>
            <w:r w:rsidRPr="00CF5EA9">
              <w:t xml:space="preserve">Specifies the data sources for the numerator and denominator so that States know to use </w:t>
            </w:r>
            <w:r w:rsidR="004703AD">
              <w:t xml:space="preserve">(a) </w:t>
            </w:r>
            <w:r w:rsidRPr="00CF5EA9">
              <w:t>for the numerator</w:t>
            </w:r>
            <w:r w:rsidR="004703AD">
              <w:t>,</w:t>
            </w:r>
            <w:r w:rsidRPr="00CF5EA9">
              <w:t xml:space="preserve"> the number of CTE concentrators</w:t>
            </w:r>
            <w:r w:rsidR="003B4BD1">
              <w:t xml:space="preserve"> in</w:t>
            </w:r>
            <w:r w:rsidRPr="00CF5EA9">
              <w:t xml:space="preserve"> the State who were included in the numerator in the State’s calculation of the four-year </w:t>
            </w:r>
            <w:r w:rsidR="006024AB">
              <w:t xml:space="preserve">adjusted cohort </w:t>
            </w:r>
            <w:r w:rsidRPr="00CF5EA9">
              <w:t>graduation rate</w:t>
            </w:r>
            <w:r w:rsidR="004703AD">
              <w:t>;</w:t>
            </w:r>
            <w:r w:rsidR="00EB7E86">
              <w:t xml:space="preserve"> and</w:t>
            </w:r>
            <w:r w:rsidR="000A3521">
              <w:t xml:space="preserve"> (b) for the denominator,</w:t>
            </w:r>
            <w:r w:rsidR="00EB7E86">
              <w:t xml:space="preserve"> </w:t>
            </w:r>
            <w:r w:rsidR="008E615B">
              <w:t xml:space="preserve">the number of CTE concentrators in the State who were included in the denominator of the State’s calculation of the four-year </w:t>
            </w:r>
            <w:r w:rsidR="006024AB">
              <w:t xml:space="preserve">adjusted cohort </w:t>
            </w:r>
            <w:r w:rsidRPr="00CF5EA9">
              <w:t xml:space="preserve">graduation rate. </w:t>
            </w:r>
          </w:p>
          <w:p w:rsidR="00CF5EA9" w:rsidRPr="00CF5EA9" w:rsidP="00CF5EA9" w14:paraId="1D1177FD" w14:textId="77777777"/>
          <w:p w:rsidR="00CF5EA9" w:rsidRPr="00CF5EA9" w:rsidP="00CF5EA9" w14:paraId="4234F1DD" w14:textId="77777777">
            <w:pPr>
              <w:ind w:left="360"/>
              <w:contextualSpacing/>
            </w:pPr>
          </w:p>
        </w:tc>
      </w:tr>
      <w:tr w14:paraId="23D356A8" w14:textId="77777777" w:rsidTr="00D36AEA">
        <w:tblPrEx>
          <w:tblW w:w="13585" w:type="dxa"/>
          <w:tblLook w:val="04A0"/>
        </w:tblPrEx>
        <w:tc>
          <w:tcPr>
            <w:tcW w:w="1874" w:type="dxa"/>
          </w:tcPr>
          <w:p w:rsidR="00CF5EA9" w:rsidRPr="00CF5EA9" w:rsidP="00CF5EA9" w14:paraId="2B752C6E" w14:textId="77777777">
            <w:r w:rsidRPr="00CF5EA9">
              <w:t>1S2: Extended-Year Graduation Rate (State Option)</w:t>
            </w:r>
          </w:p>
        </w:tc>
        <w:tc>
          <w:tcPr>
            <w:tcW w:w="2351" w:type="dxa"/>
          </w:tcPr>
          <w:p w:rsidR="00CF5EA9" w:rsidRPr="00CF5EA9" w:rsidP="00CF5EA9" w14:paraId="49365279" w14:textId="77777777">
            <w:r w:rsidRPr="00CF5EA9">
              <w:t>“The percentage of CTE concentrators who graduate high school, as measured by—(II) at the State’s discretion, the extended-year adjusted cohort graduation rate defined in such section 8101.”</w:t>
            </w:r>
          </w:p>
        </w:tc>
        <w:tc>
          <w:tcPr>
            <w:tcW w:w="5130" w:type="dxa"/>
          </w:tcPr>
          <w:p w:rsidR="00CF5EA9" w:rsidRPr="00CF5EA9" w:rsidP="00CF5EA9" w14:paraId="554BD8D9" w14:textId="24A7C7EE">
            <w:r w:rsidRPr="00CF5EA9">
              <w:rPr>
                <w:u w:val="single"/>
              </w:rPr>
              <w:t>Numerator</w:t>
            </w:r>
            <w:r w:rsidRPr="00CF5EA9">
              <w:t xml:space="preserve">:  </w:t>
            </w:r>
            <w:r w:rsidRPr="00F07813" w:rsidR="00F07813">
              <w:t xml:space="preserve">The number of CTE concentrators at the secondary level who, in the reporting year, are included in the numerator for the extended-year adjusted cohort graduation rate under ESEA section 8101(23)(A)(ii) (i.e., the number of CTE concentrators at the secondary level who earned a regular high school diploma as defined in ESEA section 8101(43)  before, during, or at the conclusion of one or more additional years beyond the fourth year of high school, or a summer session immediately following the additional year of high school; and all students with the most significant cognitive disabilities in the cohort assessed using the alternate assessment aligned to alternate academic achievement standards under </w:t>
            </w:r>
            <w:r w:rsidR="00CC5C72">
              <w:t xml:space="preserve">ESEA </w:t>
            </w:r>
            <w:r w:rsidRPr="00F07813" w:rsidR="00F07813">
              <w:t>section 1111(b)(2)(D) and awarded a State-defined alternate diploma that is standards-based; aligned with the State requirements for the regular high school diploma; and obtained within the time period for which the State ensures the availability of a free appropriate public education under section 612(a)(1) of the Individuals with Disabilities Education Act (20 U.S.C. 1412(a)(1) in the reporting year).</w:t>
            </w:r>
          </w:p>
          <w:p w:rsidR="008456BA" w:rsidP="00CF5EA9" w14:paraId="2B77D1C6" w14:textId="77777777">
            <w:pPr>
              <w:rPr>
                <w:u w:val="single"/>
              </w:rPr>
            </w:pPr>
          </w:p>
          <w:p w:rsidR="00CF5EA9" w:rsidRPr="00CF5EA9" w:rsidP="00CF5EA9" w14:paraId="59CACE6D" w14:textId="7FAD03CD">
            <w:r w:rsidRPr="00CF5EA9">
              <w:rPr>
                <w:u w:val="single"/>
              </w:rPr>
              <w:t>Denominator</w:t>
            </w:r>
            <w:r w:rsidRPr="00CF5EA9">
              <w:t xml:space="preserve">: </w:t>
            </w:r>
            <w:r w:rsidRPr="00B843BD" w:rsidR="00B843BD">
              <w:t>The number of CTE concentrators at the secondary level who, in the reporting year, were included in the adjusted cohort (i.e., denominator) used to calculate the extended-year adjusted cohort graduation rate (as defined in section 8101(23) of ESEA).</w:t>
            </w:r>
          </w:p>
        </w:tc>
        <w:tc>
          <w:tcPr>
            <w:tcW w:w="4230" w:type="dxa"/>
          </w:tcPr>
          <w:p w:rsidR="00CF5EA9" w:rsidRPr="00CF5EA9" w:rsidP="00CF5EA9" w14:paraId="545E2462" w14:textId="76F3E1DB">
            <w:pPr>
              <w:numPr>
                <w:ilvl w:val="0"/>
                <w:numId w:val="10"/>
              </w:numPr>
              <w:contextualSpacing/>
            </w:pPr>
            <w:r w:rsidRPr="00CF5EA9">
              <w:t xml:space="preserve">Specifies the data sources for the numerator and denominator so that States know to use </w:t>
            </w:r>
            <w:r w:rsidR="00B428C0">
              <w:t xml:space="preserve">(a) </w:t>
            </w:r>
            <w:r w:rsidRPr="00CF5EA9">
              <w:t xml:space="preserve">for the numerator the number of CTE concentrators the State included in the numerator in its calculation of the extended-year </w:t>
            </w:r>
            <w:r w:rsidR="006024AB">
              <w:t xml:space="preserve">adjusted cohort </w:t>
            </w:r>
            <w:r w:rsidRPr="00CF5EA9">
              <w:t>graduation rate</w:t>
            </w:r>
            <w:r w:rsidR="00B428C0">
              <w:t xml:space="preserve">; and (b) for the denominator, the number of CTE concentrators in the State who were included in the denominator of the State’s calculation of the extended-year </w:t>
            </w:r>
            <w:r w:rsidR="006024AB">
              <w:t xml:space="preserve">adjusted cohort </w:t>
            </w:r>
            <w:r w:rsidRPr="00CF5EA9">
              <w:t xml:space="preserve">graduation rate. </w:t>
            </w:r>
          </w:p>
          <w:p w:rsidR="00CF5EA9" w:rsidRPr="00CF5EA9" w:rsidP="00CF5EA9" w14:paraId="3AA695F3" w14:textId="77777777"/>
        </w:tc>
      </w:tr>
      <w:tr w14:paraId="776B745F" w14:textId="77777777" w:rsidTr="00D36AEA">
        <w:tblPrEx>
          <w:tblW w:w="13585" w:type="dxa"/>
          <w:tblLook w:val="04A0"/>
        </w:tblPrEx>
        <w:tc>
          <w:tcPr>
            <w:tcW w:w="1874" w:type="dxa"/>
          </w:tcPr>
          <w:p w:rsidR="00CF5EA9" w:rsidRPr="00CF5EA9" w:rsidP="00CF5EA9" w14:paraId="7DB03A87" w14:textId="77777777">
            <w:r w:rsidRPr="00CF5EA9">
              <w:t>2S1: Academic Proficiency in Reading/Language Arts</w:t>
            </w:r>
          </w:p>
          <w:p w:rsidR="00CF5EA9" w:rsidRPr="00CF5EA9" w:rsidP="00CF5EA9" w14:paraId="6CC24287" w14:textId="77777777">
            <w:r w:rsidRPr="00CF5EA9">
              <w:t>2S2: Academic Proficiency in Mathematics</w:t>
            </w:r>
          </w:p>
          <w:p w:rsidR="00CF5EA9" w:rsidRPr="00CF5EA9" w:rsidP="00CF5EA9" w14:paraId="737F2E0D" w14:textId="77777777">
            <w:r w:rsidRPr="00CF5EA9">
              <w:t>2S3: Academic Proficiency in Science</w:t>
            </w:r>
          </w:p>
        </w:tc>
        <w:tc>
          <w:tcPr>
            <w:tcW w:w="2351" w:type="dxa"/>
          </w:tcPr>
          <w:p w:rsidR="00CF5EA9" w:rsidRPr="00CF5EA9" w:rsidP="00CF5EA9" w14:paraId="7116900C" w14:textId="77777777">
            <w:r w:rsidRPr="00CF5EA9">
              <w:t>“CTE concentrator proficiency in the challenging State academic standards adopted by the State under section 1111(b)(1) of the Elementary and Secondary Education Act of 1965, as measured by the academic assessments described in section 1111(b)(2) of such Act”</w:t>
            </w:r>
          </w:p>
        </w:tc>
        <w:tc>
          <w:tcPr>
            <w:tcW w:w="5130" w:type="dxa"/>
          </w:tcPr>
          <w:p w:rsidR="001F6852" w:rsidP="00CF5EA9" w14:paraId="5D5A30A7" w14:textId="1836B8BD">
            <w:r w:rsidRPr="00CF5EA9">
              <w:rPr>
                <w:u w:val="single"/>
              </w:rPr>
              <w:t>Numerator:</w:t>
            </w:r>
            <w:r w:rsidRPr="00CF5EA9">
              <w:t xml:space="preserve">  </w:t>
            </w:r>
            <w:r w:rsidRPr="00E312D2" w:rsidR="00E312D2">
              <w:t xml:space="preserve">The number of CTE concentrators who achieved proficiency or higher in reading/language arts in the challenging State academic standards adopted by the State under </w:t>
            </w:r>
            <w:r w:rsidR="00CC5C72">
              <w:t xml:space="preserve">ESEA </w:t>
            </w:r>
            <w:r w:rsidRPr="00E312D2" w:rsidR="00E312D2">
              <w:t xml:space="preserve">section 1111(b)(1), as measured by the academic assessments described in </w:t>
            </w:r>
            <w:r w:rsidR="00CC5C72">
              <w:t xml:space="preserve">ESEA </w:t>
            </w:r>
            <w:r w:rsidRPr="00E312D2" w:rsidR="00E312D2">
              <w:t xml:space="preserve">section 1111(b)(2), whose scores were reported by the State in accordance with </w:t>
            </w:r>
            <w:r w:rsidR="00CC5C72">
              <w:t xml:space="preserve">ESEA </w:t>
            </w:r>
            <w:r w:rsidRPr="00E312D2" w:rsidR="00E312D2">
              <w:t xml:space="preserve">section 1111(h)(1)(C)(ii)  for any year in which the student was enrolled in the school, and who, in the reporting year, exited secondary education.  </w:t>
            </w:r>
          </w:p>
          <w:p w:rsidR="008456BA" w:rsidP="00CF5EA9" w14:paraId="4E02C984" w14:textId="77777777">
            <w:pPr>
              <w:rPr>
                <w:u w:val="single"/>
              </w:rPr>
            </w:pPr>
          </w:p>
          <w:p w:rsidR="00E672FD" w:rsidP="00CF5EA9" w14:paraId="3CA379BF" w14:textId="0659FAD6">
            <w:r w:rsidRPr="00CF5EA9">
              <w:rPr>
                <w:u w:val="single"/>
              </w:rPr>
              <w:t>Denominator</w:t>
            </w:r>
            <w:r w:rsidRPr="00CF5EA9">
              <w:t xml:space="preserve">: </w:t>
            </w:r>
            <w:r w:rsidRPr="00227133" w:rsidR="00227133">
              <w:t xml:space="preserve">The number of CTE concentrators who took the ESEA assessment in reading/language arts whose scores were reported by the State in accordance with </w:t>
            </w:r>
            <w:r w:rsidR="00CC5C72">
              <w:t xml:space="preserve">ESEA </w:t>
            </w:r>
            <w:r w:rsidRPr="00227133" w:rsidR="00227133">
              <w:t>section 1111(h)(1)(C)(ii)  for any year in which the student was enrolled in school, and who, in the reporting year, exited secondary education.</w:t>
            </w:r>
          </w:p>
          <w:p w:rsidR="008456BA" w:rsidP="00CF5EA9" w14:paraId="12B75479" w14:textId="77777777">
            <w:pPr>
              <w:rPr>
                <w:u w:val="single"/>
              </w:rPr>
            </w:pPr>
          </w:p>
          <w:p w:rsidR="00CF5EA9" w:rsidP="00CF5EA9" w14:paraId="6D992615" w14:textId="557EE7F1">
            <w:r w:rsidRPr="00BD18A5">
              <w:rPr>
                <w:u w:val="single"/>
              </w:rPr>
              <w:t>Numer</w:t>
            </w:r>
            <w:r w:rsidRPr="00BD18A5" w:rsidR="00E672FD">
              <w:rPr>
                <w:u w:val="single"/>
              </w:rPr>
              <w:t>ator</w:t>
            </w:r>
            <w:r w:rsidR="00E672FD">
              <w:t xml:space="preserve">: </w:t>
            </w:r>
            <w:r w:rsidRPr="00145BB7" w:rsidR="00145BB7">
              <w:t xml:space="preserve">The number of CTE concentrators who achieved proficiency or higher in mathematics in the challenging State academic standards adopted by the State under </w:t>
            </w:r>
            <w:r w:rsidR="00CC5C72">
              <w:t xml:space="preserve">ESEA </w:t>
            </w:r>
            <w:r w:rsidRPr="00145BB7" w:rsidR="00145BB7">
              <w:t xml:space="preserve">section 1111(b)(1), as measured by the academic assessments described in </w:t>
            </w:r>
            <w:r w:rsidR="00CC5C72">
              <w:t xml:space="preserve">ESEA </w:t>
            </w:r>
            <w:r w:rsidRPr="00145BB7" w:rsidR="00145BB7">
              <w:t xml:space="preserve">section 1111(b)(2), whose scores were reported by the State in accordance with </w:t>
            </w:r>
            <w:r w:rsidR="00CC5C72">
              <w:t xml:space="preserve">ESEA </w:t>
            </w:r>
            <w:r w:rsidRPr="00145BB7" w:rsidR="00145BB7">
              <w:t xml:space="preserve">section 1111(h)(1)(C)(ii)  for any year in which the student was enrolled in the school, and who, in the reporting year, exited secondary education.  </w:t>
            </w:r>
          </w:p>
          <w:p w:rsidR="00145BB7" w:rsidP="00CF5EA9" w14:paraId="2B3FD7F9" w14:textId="77777777"/>
          <w:p w:rsidR="00145BB7" w:rsidP="00CF5EA9" w14:paraId="7E3FAB47" w14:textId="0094F49A">
            <w:r w:rsidRPr="00BD18A5">
              <w:rPr>
                <w:u w:val="single"/>
              </w:rPr>
              <w:t>Denominator</w:t>
            </w:r>
            <w:r w:rsidRPr="00DC1C4E">
              <w:t xml:space="preserve">:  The number of CTE concentrators who took the ESEA assessment in mathematics whose </w:t>
            </w:r>
            <w:r w:rsidRPr="00DC1C4E">
              <w:t xml:space="preserve">scores were reported by the State in accordance with </w:t>
            </w:r>
            <w:r w:rsidR="00CC5C72">
              <w:t xml:space="preserve">ESEA </w:t>
            </w:r>
            <w:r w:rsidRPr="00DC1C4E">
              <w:t>section 1111(h)(1)(C)(ii)  for any year in which the student was enrolled in school, and who, in the reporting year, exited secondary education.</w:t>
            </w:r>
          </w:p>
          <w:p w:rsidR="00DC1C4E" w:rsidP="00CF5EA9" w14:paraId="43AEFFA1" w14:textId="77777777"/>
          <w:p w:rsidR="00D845C8" w:rsidP="00D845C8" w14:paraId="0E2316D0" w14:textId="13CFF45E">
            <w:r w:rsidRPr="00BD18A5">
              <w:rPr>
                <w:u w:val="single"/>
              </w:rPr>
              <w:t>Numerator</w:t>
            </w:r>
            <w:r>
              <w:t xml:space="preserve">:  The number of CTE concentrators who achieved proficiency or higher in science in the challenging State academic standards adopted by the State under </w:t>
            </w:r>
            <w:r w:rsidR="00CC5C72">
              <w:t xml:space="preserve">ESEA </w:t>
            </w:r>
            <w:r>
              <w:t xml:space="preserve">section 1111(b)(1) , as measured by the academic assessments described in </w:t>
            </w:r>
            <w:r w:rsidR="00CC5C72">
              <w:t xml:space="preserve">ESEA </w:t>
            </w:r>
            <w:r>
              <w:t xml:space="preserve">section 1111(b)(2), whose scores were reported by the State in accordance with </w:t>
            </w:r>
            <w:r w:rsidR="00CC5C72">
              <w:t xml:space="preserve">ESEA </w:t>
            </w:r>
            <w:r>
              <w:t xml:space="preserve">section 1111(h)(1)(C)(ii)  for any year in which the student was enrolled in the school, and who, in the reporting year, exited secondary education.  </w:t>
            </w:r>
          </w:p>
          <w:p w:rsidR="00D845C8" w:rsidP="00D845C8" w14:paraId="732EF457" w14:textId="77777777"/>
          <w:p w:rsidR="00DC1C4E" w:rsidP="00D845C8" w14:paraId="2BE0BD45" w14:textId="2BDE7917">
            <w:r w:rsidRPr="00BD18A5">
              <w:rPr>
                <w:u w:val="single"/>
              </w:rPr>
              <w:t>Denominator</w:t>
            </w:r>
            <w:r>
              <w:t xml:space="preserve">:  The number of CTE concentrators who took the ESEA assessment in science whose scores were reported by the State in accordance with </w:t>
            </w:r>
            <w:r w:rsidR="00CC5C72">
              <w:t xml:space="preserve">ESEA </w:t>
            </w:r>
            <w:r>
              <w:t>section 1111(h)(1)(C)(ii) for any year in which the student was enrolled in school, and who, in the reporting year, exited secondary education.</w:t>
            </w:r>
          </w:p>
          <w:p w:rsidR="00D845C8" w:rsidRPr="00CF5EA9" w:rsidP="00D845C8" w14:paraId="3E3FF6AC" w14:textId="6B609215"/>
        </w:tc>
        <w:tc>
          <w:tcPr>
            <w:tcW w:w="4230" w:type="dxa"/>
          </w:tcPr>
          <w:p w:rsidR="00CF5EA9" w:rsidRPr="00CF5EA9" w:rsidP="00CF5EA9" w14:paraId="36E6FEC7" w14:textId="77777777">
            <w:pPr>
              <w:numPr>
                <w:ilvl w:val="0"/>
                <w:numId w:val="10"/>
              </w:numPr>
              <w:contextualSpacing/>
            </w:pPr>
            <w:r w:rsidRPr="00CF5EA9">
              <w:t>Specifies that the data sources for these indicators are the scores that were used by the State to calculate proficiency in reading/language arts, mathematics, and science for State and local report cards under ESEA, Title I, Part A.  These are the scores of all students who took the assessments, including the scores of students with partial attendance.</w:t>
            </w:r>
          </w:p>
          <w:p w:rsidR="00CF5EA9" w:rsidRPr="00CF5EA9" w:rsidP="00CF5EA9" w14:paraId="56C8DE0D" w14:textId="77777777"/>
          <w:p w:rsidR="00CF5EA9" w:rsidRPr="00CF5EA9" w:rsidP="00CF5EA9" w14:paraId="72FB76AE" w14:textId="77777777">
            <w:pPr>
              <w:numPr>
                <w:ilvl w:val="0"/>
                <w:numId w:val="10"/>
              </w:numPr>
              <w:contextualSpacing/>
            </w:pPr>
            <w:r w:rsidRPr="00CF5EA9">
              <w:t xml:space="preserve">Clarifies that States include all CTE concentrators in the measure and do not exclude CTE concentrators who did not graduate from high school. </w:t>
            </w:r>
          </w:p>
          <w:p w:rsidR="00CF5EA9" w:rsidRPr="00CF5EA9" w:rsidP="00CF5EA9" w14:paraId="3404E8DF" w14:textId="77777777"/>
          <w:p w:rsidR="00CF5EA9" w:rsidRPr="00CF5EA9" w:rsidP="00CF5EA9" w14:paraId="3B669000" w14:textId="3DA4E4ED">
            <w:pPr>
              <w:numPr>
                <w:ilvl w:val="0"/>
                <w:numId w:val="10"/>
              </w:numPr>
              <w:contextualSpacing/>
            </w:pPr>
            <w:r w:rsidRPr="00CF5EA9">
              <w:t xml:space="preserve">Collects data on CTE concentrator proficiency once only, in the year the CTE concentrator exits secondary education. </w:t>
            </w:r>
          </w:p>
          <w:p w:rsidR="00CF5EA9" w:rsidRPr="00CF5EA9" w:rsidP="00CF5EA9" w14:paraId="68AF136F" w14:textId="77777777"/>
          <w:p w:rsidR="00CF5EA9" w:rsidRPr="00CF5EA9" w:rsidP="00CF5EA9" w14:paraId="1F897573" w14:textId="77777777">
            <w:r w:rsidRPr="00CF5EA9">
              <w:t xml:space="preserve"> </w:t>
            </w:r>
          </w:p>
        </w:tc>
      </w:tr>
      <w:tr w14:paraId="6A209A90" w14:textId="77777777" w:rsidTr="00D36AEA">
        <w:tblPrEx>
          <w:tblW w:w="13585" w:type="dxa"/>
          <w:tblLook w:val="04A0"/>
        </w:tblPrEx>
        <w:tc>
          <w:tcPr>
            <w:tcW w:w="1874" w:type="dxa"/>
          </w:tcPr>
          <w:p w:rsidR="00CF5EA9" w:rsidRPr="00CF5EA9" w:rsidP="00CF5EA9" w14:paraId="705C582B" w14:textId="77777777">
            <w:r w:rsidRPr="00CF5EA9">
              <w:t>3S1: Post-Program Placement</w:t>
            </w:r>
          </w:p>
          <w:p w:rsidR="00CF5EA9" w:rsidRPr="00CF5EA9" w:rsidP="00CF5EA9" w14:paraId="21AF6CF9" w14:textId="77777777"/>
        </w:tc>
        <w:tc>
          <w:tcPr>
            <w:tcW w:w="2351" w:type="dxa"/>
          </w:tcPr>
          <w:p w:rsidR="00CF5EA9" w:rsidRPr="00CF5EA9" w:rsidP="00CF5EA9" w14:paraId="61F44FF7" w14:textId="77777777">
            <w:r w:rsidRPr="00CF5EA9">
              <w:t xml:space="preserve">“The percentage of CTE concentrators who, in the second quarter after exiting from secondary education, are in postsecondary education or advanced training, military service or a service </w:t>
            </w:r>
            <w:r w:rsidRPr="00CF5EA9">
              <w:t>program that receives assistance under title I of the National and Community Service Act of 1990 (42 U.S.C. 12511 et seq.), are volunteers as described in section 5(a) of the Peace Corps Act (22 U.S.C. 2504(a)) or are employed.”</w:t>
            </w:r>
          </w:p>
        </w:tc>
        <w:tc>
          <w:tcPr>
            <w:tcW w:w="5130" w:type="dxa"/>
          </w:tcPr>
          <w:p w:rsidR="00CF5EA9" w:rsidRPr="00CF5EA9" w:rsidP="00CF5EA9" w14:paraId="1EFBB721" w14:textId="5F922A29">
            <w:r w:rsidRPr="00CF5EA9">
              <w:rPr>
                <w:u w:val="single"/>
              </w:rPr>
              <w:t>Numerator</w:t>
            </w:r>
            <w:r w:rsidRPr="00CF5EA9">
              <w:t xml:space="preserve">:  </w:t>
            </w:r>
            <w:r w:rsidRPr="002F2DA6" w:rsidR="002F2DA6">
              <w:t xml:space="preserve">The number of students who were CTE concentrators and exited secondary education during the preceding reporting year, who, in the second quarter after exiting from secondary education, were enrolled in postsecondary education, advanced training, military service, or a service program that receives assistance under title I of the National and Community Service Act of 1990 (42 U.S.C 12511 et seq.), or were volunteers as described in section 5(a) </w:t>
            </w:r>
            <w:r w:rsidRPr="002F2DA6" w:rsidR="002F2DA6">
              <w:t>of Peace Corps Act (22 U.S.C. 2504(a)), or were employed.</w:t>
            </w:r>
          </w:p>
          <w:p w:rsidR="008456BA" w:rsidP="00CF5EA9" w14:paraId="42CF275F" w14:textId="77777777">
            <w:pPr>
              <w:rPr>
                <w:u w:val="single"/>
              </w:rPr>
            </w:pPr>
          </w:p>
          <w:p w:rsidR="00CF5EA9" w:rsidP="00CF5EA9" w14:paraId="6336F011" w14:textId="1E306CEB">
            <w:r w:rsidRPr="00CF5EA9">
              <w:rPr>
                <w:u w:val="single"/>
              </w:rPr>
              <w:t>Denominator</w:t>
            </w:r>
            <w:r w:rsidRPr="00CF5EA9">
              <w:t xml:space="preserve">:  </w:t>
            </w:r>
            <w:r w:rsidRPr="005C71BE" w:rsidR="005C71BE">
              <w:t>The number of CTE concentrators who exited secondary education in the preceding reporting year.</w:t>
            </w:r>
          </w:p>
          <w:p w:rsidR="005C71BE" w:rsidRPr="00CF5EA9" w:rsidP="00CF5EA9" w14:paraId="39AD3EBC" w14:textId="22D1EB17"/>
        </w:tc>
        <w:tc>
          <w:tcPr>
            <w:tcW w:w="4230" w:type="dxa"/>
          </w:tcPr>
          <w:p w:rsidR="00CF5EA9" w:rsidRPr="00CF5EA9" w:rsidP="00CF5EA9" w14:paraId="464C92A8" w14:textId="77777777">
            <w:pPr>
              <w:numPr>
                <w:ilvl w:val="0"/>
                <w:numId w:val="11"/>
              </w:numPr>
              <w:contextualSpacing/>
            </w:pPr>
            <w:r w:rsidRPr="00CF5EA9">
              <w:t>Specifies that States report on the outcomes of all CTE concentrators who exited secondary education and not only the outcomes of CTE concentrators who graduated.</w:t>
            </w:r>
          </w:p>
          <w:p w:rsidR="00CF5EA9" w:rsidRPr="00CF5EA9" w:rsidP="00CF5EA9" w14:paraId="02A30124" w14:textId="77777777"/>
          <w:p w:rsidR="00CF5EA9" w:rsidRPr="00CF5EA9" w:rsidP="00CF5EA9" w14:paraId="426F67D8" w14:textId="77777777">
            <w:pPr>
              <w:numPr>
                <w:ilvl w:val="0"/>
                <w:numId w:val="11"/>
              </w:numPr>
              <w:contextualSpacing/>
            </w:pPr>
            <w:r w:rsidRPr="00CF5EA9">
              <w:t xml:space="preserve">Gives States an additional year to collect data on the post-program outcomes of CTE concentrators so that they may use </w:t>
            </w:r>
            <w:r w:rsidRPr="00CF5EA9">
              <w:t>administrative data like unemployment insurance wage records, as States now do for the programs authorized by the Workforce Innovation and Opportunity Act.</w:t>
            </w:r>
          </w:p>
          <w:p w:rsidR="00CF5EA9" w:rsidRPr="00CF5EA9" w:rsidP="00CF5EA9" w14:paraId="46EF91ED" w14:textId="77777777">
            <w:pPr>
              <w:ind w:left="720"/>
              <w:contextualSpacing/>
            </w:pPr>
          </w:p>
          <w:p w:rsidR="00CF5EA9" w:rsidRPr="00CF5EA9" w:rsidP="00CF5EA9" w14:paraId="6FBE1460" w14:textId="77777777">
            <w:pPr>
              <w:ind w:left="360"/>
              <w:contextualSpacing/>
            </w:pPr>
          </w:p>
        </w:tc>
      </w:tr>
      <w:tr w14:paraId="229FAB0F" w14:textId="77777777" w:rsidTr="00D36AEA">
        <w:tblPrEx>
          <w:tblW w:w="13585" w:type="dxa"/>
          <w:tblLook w:val="04A0"/>
        </w:tblPrEx>
        <w:tc>
          <w:tcPr>
            <w:tcW w:w="1874" w:type="dxa"/>
          </w:tcPr>
          <w:p w:rsidR="00CF5EA9" w:rsidRPr="00CF5EA9" w:rsidP="00CF5EA9" w14:paraId="7FD67188" w14:textId="77777777">
            <w:r w:rsidRPr="00CF5EA9">
              <w:t>4S1: Non-traditional Program Concentration</w:t>
            </w:r>
          </w:p>
          <w:p w:rsidR="00CF5EA9" w:rsidRPr="00CF5EA9" w:rsidP="00CF5EA9" w14:paraId="60CE6BD6" w14:textId="77777777"/>
        </w:tc>
        <w:tc>
          <w:tcPr>
            <w:tcW w:w="2351" w:type="dxa"/>
          </w:tcPr>
          <w:p w:rsidR="00CF5EA9" w:rsidRPr="00CF5EA9" w:rsidP="00CF5EA9" w14:paraId="6A0BCD47" w14:textId="77777777">
            <w:r w:rsidRPr="00CF5EA9">
              <w:t>“The percentage of CTE concentrators in career and technical education programs and programs of study that lead to non-traditional fields.”</w:t>
            </w:r>
          </w:p>
        </w:tc>
        <w:tc>
          <w:tcPr>
            <w:tcW w:w="5130" w:type="dxa"/>
          </w:tcPr>
          <w:p w:rsidR="00CF5EA9" w:rsidRPr="00CF5EA9" w:rsidP="00CF5EA9" w14:paraId="61CF0325" w14:textId="075FE1DC">
            <w:r w:rsidRPr="00CF5EA9">
              <w:rPr>
                <w:u w:val="single"/>
              </w:rPr>
              <w:t>Numerator</w:t>
            </w:r>
            <w:r w:rsidRPr="00CF5EA9">
              <w:t xml:space="preserve">:  </w:t>
            </w:r>
            <w:r w:rsidRPr="002D32C1" w:rsidR="002D32C1">
              <w:t>The number of CTE concentrators in secondary CTE programs and programs of study that lead to non-traditional fields who are a gender that comprises less than 25 percent of the individuals employed in the occupation or field of work for which the CTE program prepares students.</w:t>
            </w:r>
          </w:p>
          <w:p w:rsidR="00CF5EA9" w:rsidRPr="00CF5EA9" w:rsidP="00CF5EA9" w14:paraId="5DB880ED" w14:textId="77777777"/>
          <w:p w:rsidR="00CF5EA9" w:rsidRPr="00CF5EA9" w:rsidP="00CF5EA9" w14:paraId="0A36DFD0" w14:textId="046860AF">
            <w:r w:rsidRPr="00CF5EA9">
              <w:rPr>
                <w:u w:val="single"/>
              </w:rPr>
              <w:t>Denominator</w:t>
            </w:r>
            <w:r w:rsidRPr="00CF5EA9">
              <w:t xml:space="preserve">:  </w:t>
            </w:r>
            <w:r w:rsidRPr="005A0788" w:rsidR="005A0788">
              <w:t>The number of CTE concentrators in secondary CTE programs and programs of study that lead to non-traditional fields.</w:t>
            </w:r>
          </w:p>
        </w:tc>
        <w:tc>
          <w:tcPr>
            <w:tcW w:w="4230" w:type="dxa"/>
          </w:tcPr>
          <w:p w:rsidR="00CF5EA9" w:rsidRPr="00CF5EA9" w:rsidP="00CF5EA9" w14:paraId="7634EEA0" w14:textId="77777777">
            <w:pPr>
              <w:numPr>
                <w:ilvl w:val="0"/>
                <w:numId w:val="13"/>
              </w:numPr>
              <w:contextualSpacing/>
            </w:pPr>
            <w:r w:rsidRPr="00CF5EA9">
              <w:t xml:space="preserve">Specifies that the data source for the denominator is the number of CTE concentrators who are concentrating their studies in a CTE program or program of study that leads to a non-traditional field, not all CTE concentrators.  </w:t>
            </w:r>
          </w:p>
          <w:p w:rsidR="00CF5EA9" w:rsidRPr="00CF5EA9" w:rsidP="00CF5EA9" w14:paraId="67B35593" w14:textId="77777777"/>
          <w:p w:rsidR="00CF5EA9" w:rsidRPr="00CF5EA9" w:rsidP="00CF5EA9" w14:paraId="65E6E681" w14:textId="77777777">
            <w:pPr>
              <w:numPr>
                <w:ilvl w:val="0"/>
                <w:numId w:val="12"/>
              </w:numPr>
              <w:contextualSpacing/>
            </w:pPr>
            <w:r w:rsidRPr="00CF5EA9">
              <w:t>Specifies that the CTE concentrators in the numerator and denominator are CTE concentrators who are concentrating their studies in a CTE program or program of study that leads to non-traditional fields, and not CTE concentrators who take a course that in a program that leads to non-traditional fields.</w:t>
            </w:r>
          </w:p>
          <w:p w:rsidR="00CF5EA9" w:rsidRPr="00CF5EA9" w:rsidP="00CF5EA9" w14:paraId="6625D799" w14:textId="77777777"/>
          <w:p w:rsidR="00CF5EA9" w:rsidRPr="00CF5EA9" w:rsidP="00CF5EA9" w14:paraId="54CD08A2" w14:textId="77777777">
            <w:pPr>
              <w:numPr>
                <w:ilvl w:val="0"/>
                <w:numId w:val="12"/>
              </w:numPr>
              <w:contextualSpacing/>
            </w:pPr>
            <w:r w:rsidRPr="00CF5EA9">
              <w:t xml:space="preserve">Specifies that the numerator is the number of CTE concentrators from the minority gender in CTE programs or </w:t>
            </w:r>
            <w:r w:rsidRPr="00CF5EA9">
              <w:t xml:space="preserve">programs of study that lead to non-traditional fields, and not all CTE concentrators in these programs. </w:t>
            </w:r>
          </w:p>
          <w:p w:rsidR="00CF5EA9" w:rsidRPr="00CF5EA9" w:rsidP="00CF5EA9" w14:paraId="58D118F3" w14:textId="77777777">
            <w:pPr>
              <w:ind w:left="720"/>
              <w:contextualSpacing/>
            </w:pPr>
          </w:p>
          <w:p w:rsidR="00CF5EA9" w:rsidRPr="00CF5EA9" w:rsidP="00CF5EA9" w14:paraId="68B703E8" w14:textId="77777777">
            <w:pPr>
              <w:numPr>
                <w:ilvl w:val="0"/>
                <w:numId w:val="12"/>
              </w:numPr>
              <w:contextualSpacing/>
            </w:pPr>
            <w:r w:rsidRPr="00CF5EA9">
              <w:t>Specifies that CTE concentrators from the minority gender in CTE programs or programs of study that lead to non-traditional fields are included in the numerator in each reporting year in which they meet these criteria, and not only upon exit from secondary education.</w:t>
            </w:r>
          </w:p>
          <w:p w:rsidR="00CF5EA9" w:rsidRPr="00CF5EA9" w:rsidP="00CF5EA9" w14:paraId="501DCF1F" w14:textId="77777777"/>
        </w:tc>
      </w:tr>
      <w:tr w14:paraId="41C0A6AF" w14:textId="77777777" w:rsidTr="00D36AEA">
        <w:tblPrEx>
          <w:tblW w:w="13585" w:type="dxa"/>
          <w:tblLook w:val="04A0"/>
        </w:tblPrEx>
        <w:tc>
          <w:tcPr>
            <w:tcW w:w="1874" w:type="dxa"/>
          </w:tcPr>
          <w:p w:rsidR="00CF5EA9" w:rsidRPr="00CF5EA9" w:rsidP="00CF5EA9" w14:paraId="62722D46" w14:textId="77777777">
            <w:r w:rsidRPr="00CF5EA9">
              <w:t>5S1: Program Quality – Attained Recognized Postsecondary Credential</w:t>
            </w:r>
          </w:p>
          <w:p w:rsidR="00CF5EA9" w:rsidRPr="00CF5EA9" w:rsidP="00CF5EA9" w14:paraId="513FB391" w14:textId="77777777"/>
        </w:tc>
        <w:tc>
          <w:tcPr>
            <w:tcW w:w="2351" w:type="dxa"/>
          </w:tcPr>
          <w:p w:rsidR="00CF5EA9" w:rsidRPr="00CF5EA9" w:rsidP="00CF5EA9" w14:paraId="13D8930D" w14:textId="77777777">
            <w:r w:rsidRPr="00CF5EA9">
              <w:t>“The percentage of CTE concentrators graduating from high school having attained a recognized postsecondary credential”</w:t>
            </w:r>
          </w:p>
        </w:tc>
        <w:tc>
          <w:tcPr>
            <w:tcW w:w="5130" w:type="dxa"/>
          </w:tcPr>
          <w:p w:rsidR="00600309" w:rsidRPr="00600309" w:rsidP="00600309" w14:paraId="6850510E" w14:textId="77777777">
            <w:r w:rsidRPr="00CF5EA9">
              <w:rPr>
                <w:u w:val="single"/>
              </w:rPr>
              <w:t>Numerator</w:t>
            </w:r>
            <w:r w:rsidRPr="00CF5EA9">
              <w:t xml:space="preserve">: </w:t>
            </w:r>
            <w:r w:rsidRPr="00600309">
              <w:t>The number of CTE concentrators who graduated from high school in the reporting year who have attained a recognized postsecondary credential.</w:t>
            </w:r>
          </w:p>
          <w:p w:rsidR="00CF5EA9" w:rsidRPr="00CF5EA9" w:rsidP="00CF5EA9" w14:paraId="441E5DDF" w14:textId="77777777"/>
          <w:p w:rsidR="00CF5EA9" w:rsidRPr="00CF5EA9" w:rsidP="00CF5EA9" w14:paraId="203E50C5" w14:textId="4469A4B2">
            <w:r w:rsidRPr="00CF5EA9">
              <w:rPr>
                <w:u w:val="single"/>
              </w:rPr>
              <w:t>Denominator</w:t>
            </w:r>
            <w:r w:rsidRPr="00CF5EA9">
              <w:t xml:space="preserve">:  </w:t>
            </w:r>
            <w:r w:rsidRPr="0050053D" w:rsidR="0050053D">
              <w:t>The number of CTE concentrators who graduated from high school in the reporting year.</w:t>
            </w:r>
          </w:p>
        </w:tc>
        <w:tc>
          <w:tcPr>
            <w:tcW w:w="4230" w:type="dxa"/>
          </w:tcPr>
          <w:p w:rsidR="00CF5EA9" w:rsidRPr="00CF5EA9" w:rsidP="00CF5EA9" w14:paraId="11AD55C8" w14:textId="23E00779">
            <w:pPr>
              <w:numPr>
                <w:ilvl w:val="0"/>
                <w:numId w:val="15"/>
              </w:numPr>
              <w:contextualSpacing/>
            </w:pPr>
            <w:r w:rsidRPr="00CF5EA9">
              <w:t xml:space="preserve">Specifies that the numerator and denominator </w:t>
            </w:r>
            <w:r w:rsidR="00E23894">
              <w:t>each only include</w:t>
            </w:r>
            <w:r w:rsidRPr="00CF5EA9" w:rsidR="00E23894">
              <w:t xml:space="preserve"> </w:t>
            </w:r>
            <w:r w:rsidRPr="00CF5EA9">
              <w:t xml:space="preserve">CTE concentrators who graduated high school in the reporting year. </w:t>
            </w:r>
          </w:p>
        </w:tc>
      </w:tr>
      <w:tr w14:paraId="6A5DA535" w14:textId="77777777" w:rsidTr="00D36AEA">
        <w:tblPrEx>
          <w:tblW w:w="13585" w:type="dxa"/>
          <w:tblLook w:val="04A0"/>
        </w:tblPrEx>
        <w:tc>
          <w:tcPr>
            <w:tcW w:w="1874" w:type="dxa"/>
          </w:tcPr>
          <w:p w:rsidR="00CF5EA9" w:rsidRPr="00CF5EA9" w:rsidP="00CF5EA9" w14:paraId="16C756ED" w14:textId="77777777">
            <w:r w:rsidRPr="00CF5EA9">
              <w:t>5S2: Program Quality – Attained Postsecondary Credits</w:t>
            </w:r>
          </w:p>
          <w:p w:rsidR="00CF5EA9" w:rsidRPr="00CF5EA9" w:rsidP="00CF5EA9" w14:paraId="785E8348" w14:textId="77777777"/>
        </w:tc>
        <w:tc>
          <w:tcPr>
            <w:tcW w:w="2351" w:type="dxa"/>
          </w:tcPr>
          <w:p w:rsidR="00CF5EA9" w:rsidRPr="00CF5EA9" w:rsidP="00CF5EA9" w14:paraId="5CDF6268" w14:textId="77777777">
            <w:r w:rsidRPr="00CF5EA9">
              <w:t xml:space="preserve">“The percentage of CTE concentrators graduating from high school having attained postsecondary credits in the relevant career and technical education program or program of study earned through a dual or concurrent enrollment program or </w:t>
            </w:r>
            <w:r w:rsidRPr="00CF5EA9">
              <w:t>another credit transfer agreement.”</w:t>
            </w:r>
          </w:p>
          <w:p w:rsidR="00CF5EA9" w:rsidRPr="00CF5EA9" w:rsidP="00CF5EA9" w14:paraId="00CF165D" w14:textId="77777777"/>
        </w:tc>
        <w:tc>
          <w:tcPr>
            <w:tcW w:w="5130" w:type="dxa"/>
          </w:tcPr>
          <w:p w:rsidR="00CF5EA9" w:rsidP="00CF5EA9" w14:paraId="23999473" w14:textId="648B7962">
            <w:r w:rsidRPr="00CF5EA9">
              <w:rPr>
                <w:u w:val="single"/>
              </w:rPr>
              <w:t>Numerator</w:t>
            </w:r>
            <w:r w:rsidRPr="00CF5EA9">
              <w:t xml:space="preserve">:  </w:t>
            </w:r>
            <w:r w:rsidRPr="000B2D44" w:rsidR="000B2D44">
              <w:t>The number of CTE concentrators who graduated from high school in the reporting year having attained through dual or concurrent enrollment or another credit transfer agreement postsecondary credits in the relevant career and technical education program or program of study in which each student concentrated their studies.</w:t>
            </w:r>
          </w:p>
          <w:p w:rsidR="000B2D44" w:rsidRPr="00CF5EA9" w:rsidP="00CF5EA9" w14:paraId="5942B05B" w14:textId="77777777"/>
          <w:p w:rsidR="00CF5EA9" w:rsidP="00CF5EA9" w14:paraId="63A1D5C1" w14:textId="55BC88EE">
            <w:r w:rsidRPr="00CF5EA9">
              <w:rPr>
                <w:u w:val="single"/>
              </w:rPr>
              <w:t>Denominator</w:t>
            </w:r>
            <w:r w:rsidRPr="00CF5EA9">
              <w:t xml:space="preserve">: </w:t>
            </w:r>
            <w:r w:rsidRPr="00400C10" w:rsidR="00400C10">
              <w:t xml:space="preserve">The number of CTE concentrators who graduated from high school in the reporting year.  </w:t>
            </w:r>
          </w:p>
          <w:p w:rsidR="000B2D44" w:rsidRPr="00CF5EA9" w:rsidP="00CF5EA9" w14:paraId="55E0CF20" w14:textId="77777777"/>
        </w:tc>
        <w:tc>
          <w:tcPr>
            <w:tcW w:w="4230" w:type="dxa"/>
          </w:tcPr>
          <w:p w:rsidR="00CF5EA9" w:rsidRPr="00CF5EA9" w:rsidP="00CF5EA9" w14:paraId="2C76F1AE" w14:textId="3CDDF49E">
            <w:pPr>
              <w:numPr>
                <w:ilvl w:val="0"/>
                <w:numId w:val="14"/>
              </w:numPr>
              <w:contextualSpacing/>
            </w:pPr>
            <w:r w:rsidRPr="00CF5EA9">
              <w:t xml:space="preserve">Specifies that the numerator and denominator </w:t>
            </w:r>
            <w:r w:rsidR="005F3F1B">
              <w:t>each only include</w:t>
            </w:r>
            <w:r w:rsidRPr="00CF5EA9" w:rsidR="005F3F1B">
              <w:t xml:space="preserve"> </w:t>
            </w:r>
            <w:r w:rsidRPr="00CF5EA9">
              <w:t xml:space="preserve">CTE concentrators who graduated high school in the reporting year. </w:t>
            </w:r>
          </w:p>
          <w:p w:rsidR="00CF5EA9" w:rsidRPr="00CF5EA9" w:rsidP="00CF5EA9" w14:paraId="6A226358" w14:textId="77777777">
            <w:pPr>
              <w:numPr>
                <w:ilvl w:val="0"/>
                <w:numId w:val="14"/>
              </w:numPr>
              <w:contextualSpacing/>
            </w:pPr>
            <w:r w:rsidRPr="00CF5EA9">
              <w:t xml:space="preserve">Specifies that the numerator includes CTE concentrators who graduated having attained through dual or concurrent enrollment or another credit transfer agreement postsecondary credits that are </w:t>
            </w:r>
            <w:r w:rsidRPr="00CF5EA9">
              <w:rPr>
                <w:i/>
                <w:iCs/>
              </w:rPr>
              <w:t>within the CTE program or program of study in which each student concentrated their studie</w:t>
            </w:r>
            <w:r w:rsidRPr="00CF5EA9">
              <w:t xml:space="preserve">s, and not all </w:t>
            </w:r>
            <w:r w:rsidRPr="00CF5EA9">
              <w:t>CTE concentrators who graduated with  postsecondary credits.</w:t>
            </w:r>
          </w:p>
          <w:p w:rsidR="00CF5EA9" w:rsidRPr="00CF5EA9" w:rsidP="00CF5EA9" w14:paraId="444A1D95" w14:textId="77777777">
            <w:pPr>
              <w:ind w:left="360"/>
              <w:contextualSpacing/>
            </w:pPr>
          </w:p>
        </w:tc>
      </w:tr>
      <w:tr w14:paraId="417D171C" w14:textId="77777777" w:rsidTr="00D36AEA">
        <w:tblPrEx>
          <w:tblW w:w="13585" w:type="dxa"/>
          <w:tblLook w:val="04A0"/>
        </w:tblPrEx>
        <w:tc>
          <w:tcPr>
            <w:tcW w:w="1874" w:type="dxa"/>
          </w:tcPr>
          <w:p w:rsidR="00CF5EA9" w:rsidRPr="00CF5EA9" w:rsidP="00CF5EA9" w14:paraId="2597D86B" w14:textId="77777777">
            <w:r w:rsidRPr="00CF5EA9">
              <w:t>5S3: Program Quality – Participated in Work-Based Learning</w:t>
            </w:r>
          </w:p>
          <w:p w:rsidR="00CF5EA9" w:rsidRPr="00CF5EA9" w:rsidP="00CF5EA9" w14:paraId="4D564581" w14:textId="77777777"/>
        </w:tc>
        <w:tc>
          <w:tcPr>
            <w:tcW w:w="2351" w:type="dxa"/>
          </w:tcPr>
          <w:p w:rsidR="00CF5EA9" w:rsidRPr="00CF5EA9" w:rsidP="00CF5EA9" w14:paraId="01B54E64" w14:textId="77777777">
            <w:r w:rsidRPr="00CF5EA9">
              <w:t>“The percentage of CTE concentrators graduating from high school having participated in work-based learning.”</w:t>
            </w:r>
          </w:p>
        </w:tc>
        <w:tc>
          <w:tcPr>
            <w:tcW w:w="5130" w:type="dxa"/>
          </w:tcPr>
          <w:p w:rsidR="00CF5EA9" w:rsidRPr="00CF5EA9" w:rsidP="00CF5EA9" w14:paraId="238D14B7" w14:textId="29FE294A">
            <w:r w:rsidRPr="00CF5EA9">
              <w:rPr>
                <w:u w:val="single"/>
              </w:rPr>
              <w:t>Numerator:</w:t>
            </w:r>
            <w:r w:rsidRPr="00CF5EA9">
              <w:t xml:space="preserve"> </w:t>
            </w:r>
            <w:r w:rsidRPr="001164F2" w:rsidR="001164F2">
              <w:t>The number of CTE concentrators graduating from high school in the reporting year having participated in work-based learning.</w:t>
            </w:r>
          </w:p>
          <w:p w:rsidR="00CF5EA9" w:rsidRPr="00CF5EA9" w:rsidP="00CF5EA9" w14:paraId="766087C5" w14:textId="77777777"/>
          <w:p w:rsidR="00CF5EA9" w:rsidRPr="00CF5EA9" w:rsidP="00CF5EA9" w14:paraId="39061959" w14:textId="3E0546E8">
            <w:r w:rsidRPr="00CF5EA9">
              <w:rPr>
                <w:u w:val="single"/>
              </w:rPr>
              <w:t>Denominator</w:t>
            </w:r>
            <w:r w:rsidRPr="00CF5EA9">
              <w:t xml:space="preserve">:  </w:t>
            </w:r>
            <w:r w:rsidRPr="00ED11C5" w:rsidR="00ED11C5">
              <w:t>The number of CTE concentrators who graduated from high school in the reporting year.</w:t>
            </w:r>
          </w:p>
        </w:tc>
        <w:tc>
          <w:tcPr>
            <w:tcW w:w="4230" w:type="dxa"/>
          </w:tcPr>
          <w:p w:rsidR="00CF5EA9" w:rsidRPr="00CF5EA9" w:rsidP="00CF5EA9" w14:paraId="3A0734B0" w14:textId="6B7DFCE8">
            <w:pPr>
              <w:numPr>
                <w:ilvl w:val="0"/>
                <w:numId w:val="16"/>
              </w:numPr>
              <w:contextualSpacing/>
            </w:pPr>
            <w:r w:rsidRPr="00CF5EA9">
              <w:t xml:space="preserve">Specifies that the numerator and denominator </w:t>
            </w:r>
            <w:r w:rsidR="009C1E2D">
              <w:t>each only include</w:t>
            </w:r>
            <w:r w:rsidRPr="00CF5EA9" w:rsidR="009C1E2D">
              <w:t xml:space="preserve"> </w:t>
            </w:r>
            <w:r w:rsidRPr="00CF5EA9">
              <w:t>CTE concentrators who graduated high school in the reporting year.</w:t>
            </w:r>
          </w:p>
        </w:tc>
      </w:tr>
      <w:tr w14:paraId="165F6672" w14:textId="77777777" w:rsidTr="00D36AEA">
        <w:tblPrEx>
          <w:tblW w:w="13585" w:type="dxa"/>
          <w:tblLook w:val="04A0"/>
        </w:tblPrEx>
        <w:tc>
          <w:tcPr>
            <w:tcW w:w="13585" w:type="dxa"/>
            <w:gridSpan w:val="4"/>
          </w:tcPr>
          <w:p w:rsidR="00CF5EA9" w:rsidRPr="00CF5EA9" w:rsidP="00CF5EA9" w14:paraId="76EC5879" w14:textId="77777777">
            <w:pPr>
              <w:jc w:val="center"/>
            </w:pPr>
            <w:r w:rsidRPr="00CF5EA9">
              <w:t>Postsecondary Level</w:t>
            </w:r>
          </w:p>
          <w:p w:rsidR="00CF5EA9" w:rsidRPr="00CF5EA9" w:rsidP="00CF5EA9" w14:paraId="640B08D9" w14:textId="77777777">
            <w:pPr>
              <w:rPr>
                <w:b/>
                <w:bCs/>
              </w:rPr>
            </w:pPr>
          </w:p>
        </w:tc>
      </w:tr>
      <w:tr w14:paraId="1FFF1044" w14:textId="77777777" w:rsidTr="00D36AEA">
        <w:tblPrEx>
          <w:tblW w:w="13585" w:type="dxa"/>
          <w:tblLook w:val="04A0"/>
        </w:tblPrEx>
        <w:tc>
          <w:tcPr>
            <w:tcW w:w="1874" w:type="dxa"/>
          </w:tcPr>
          <w:p w:rsidR="00CF5EA9" w:rsidRPr="00CF5EA9" w:rsidP="00CF5EA9" w14:paraId="64E9CF52" w14:textId="77777777">
            <w:r w:rsidRPr="00CF5EA9">
              <w:t>1P1: Postsecondary Placement</w:t>
            </w:r>
          </w:p>
        </w:tc>
        <w:tc>
          <w:tcPr>
            <w:tcW w:w="2351" w:type="dxa"/>
          </w:tcPr>
          <w:p w:rsidR="00CF5EA9" w:rsidRPr="00CF5EA9" w:rsidP="00CF5EA9" w14:paraId="78C3678F" w14:textId="77777777">
            <w:r w:rsidRPr="00CF5EA9">
              <w:t>“The percentage of CTE concentrators who, during the second quarter after program completion, remain enrolled in postsecondary education, are in advanced training, military service, or a service program that receives assistance under</w:t>
            </w:r>
            <w:r w:rsidRPr="00CF5EA9">
              <w:tab/>
              <w:t xml:space="preserve">title I of the National and Community Service Act of 1990 (42 U.S.C. 12511 et seq.), are volunteers as described in section 5(a) of the Peace Corps Act (22 U.S.C. 2504(a)), or are </w:t>
            </w:r>
            <w:r w:rsidRPr="00CF5EA9">
              <w:t>placed or retained in employment.”</w:t>
            </w:r>
          </w:p>
          <w:p w:rsidR="00CF5EA9" w:rsidRPr="00CF5EA9" w:rsidP="00CF5EA9" w14:paraId="7B68D2EE" w14:textId="77777777"/>
        </w:tc>
        <w:tc>
          <w:tcPr>
            <w:tcW w:w="5130" w:type="dxa"/>
          </w:tcPr>
          <w:p w:rsidR="00CF5EA9" w:rsidRPr="00CF5EA9" w:rsidP="00CF5EA9" w14:paraId="29BD82A6" w14:textId="2840F3A4">
            <w:r w:rsidRPr="00CF5EA9">
              <w:rPr>
                <w:u w:val="single"/>
              </w:rPr>
              <w:t>Numerator</w:t>
            </w:r>
            <w:r w:rsidRPr="00CF5EA9">
              <w:t xml:space="preserve">:  </w:t>
            </w:r>
            <w:r w:rsidRPr="00705B0B" w:rsidR="00705B0B">
              <w:t>The number of students who were CTE concentrators at the postsecondary level during the preceding reporting year who, during the second quarter after program completion, remained enrolled in postsecondary education, were in advanced training, military service, or a service program that receives assistance under title I of the National and Community Service Act of 1990 (42 U.S.C. 12511 et seq.), were volunteers as described in section 5(a) of the Peace Corps Act (22 U.S.C. 2504(a)), or were placed or retained in employment.</w:t>
            </w:r>
          </w:p>
          <w:p w:rsidR="008456BA" w:rsidP="00CF5EA9" w14:paraId="76FC277C" w14:textId="77777777">
            <w:pPr>
              <w:rPr>
                <w:u w:val="single"/>
              </w:rPr>
            </w:pPr>
          </w:p>
          <w:p w:rsidR="00CF5EA9" w:rsidRPr="00CF5EA9" w:rsidP="00CF5EA9" w14:paraId="6649D07A" w14:textId="2026439A">
            <w:r w:rsidRPr="00CF5EA9">
              <w:rPr>
                <w:u w:val="single"/>
              </w:rPr>
              <w:t>Denominator</w:t>
            </w:r>
            <w:r w:rsidRPr="00CF5EA9">
              <w:t xml:space="preserve">:  </w:t>
            </w:r>
            <w:r w:rsidRPr="00E84B12" w:rsidR="00E84B12">
              <w:t>The number of students who were CTE concentrators at the postsecondary level who completed a CTE program or program of study during the preceding reporting year.</w:t>
            </w:r>
          </w:p>
        </w:tc>
        <w:tc>
          <w:tcPr>
            <w:tcW w:w="4230" w:type="dxa"/>
          </w:tcPr>
          <w:p w:rsidR="00CF5EA9" w:rsidRPr="00CF5EA9" w:rsidP="00CF5EA9" w14:paraId="38CFBEAC" w14:textId="77777777">
            <w:pPr>
              <w:numPr>
                <w:ilvl w:val="0"/>
                <w:numId w:val="11"/>
              </w:numPr>
              <w:contextualSpacing/>
            </w:pPr>
            <w:r w:rsidRPr="00CF5EA9">
              <w:t>Gives States an additional year to collect data on the post-program outcomes of CTE concentrators so that they may use administrative data like unemployment insurance wage records, as States now do for the programs authorized by the Workforce Innovation and Opportunity Act.</w:t>
            </w:r>
          </w:p>
          <w:p w:rsidR="00CF5EA9" w:rsidRPr="00CF5EA9" w:rsidP="00CF5EA9" w14:paraId="14D2AAF9" w14:textId="77777777">
            <w:pPr>
              <w:ind w:left="720"/>
              <w:contextualSpacing/>
            </w:pPr>
          </w:p>
          <w:p w:rsidR="00CF5EA9" w:rsidRPr="00CF5EA9" w:rsidP="00CF5EA9" w14:paraId="70F5C7CE" w14:textId="77777777"/>
        </w:tc>
      </w:tr>
      <w:tr w14:paraId="479BEDD1" w14:textId="77777777" w:rsidTr="00D36AEA">
        <w:tblPrEx>
          <w:tblW w:w="13585" w:type="dxa"/>
          <w:tblLook w:val="04A0"/>
        </w:tblPrEx>
        <w:tc>
          <w:tcPr>
            <w:tcW w:w="1874" w:type="dxa"/>
          </w:tcPr>
          <w:p w:rsidR="00CF5EA9" w:rsidRPr="00CF5EA9" w:rsidP="00CF5EA9" w14:paraId="171FBFDF" w14:textId="77777777">
            <w:r w:rsidRPr="00CF5EA9">
              <w:t>2P1: Earned Recognized Postsecondary Credential</w:t>
            </w:r>
          </w:p>
        </w:tc>
        <w:tc>
          <w:tcPr>
            <w:tcW w:w="2351" w:type="dxa"/>
          </w:tcPr>
          <w:p w:rsidR="00CF5EA9" w:rsidRPr="00CF5EA9" w:rsidP="00CF5EA9" w14:paraId="38108635" w14:textId="77777777">
            <w:r w:rsidRPr="00CF5EA9">
              <w:t>“The percentage of CTE concentrators who receive a recognized postsecondary credential during participation in or within 1 year of program completion.”</w:t>
            </w:r>
          </w:p>
        </w:tc>
        <w:tc>
          <w:tcPr>
            <w:tcW w:w="5130" w:type="dxa"/>
          </w:tcPr>
          <w:p w:rsidR="00CF5EA9" w:rsidRPr="00CF5EA9" w:rsidP="00CF5EA9" w14:paraId="3AFA9021" w14:textId="6D0E8269">
            <w:r w:rsidRPr="00CF5EA9">
              <w:rPr>
                <w:u w:val="single"/>
              </w:rPr>
              <w:t>Numerator</w:t>
            </w:r>
            <w:r w:rsidRPr="00CF5EA9">
              <w:t xml:space="preserve">:  </w:t>
            </w:r>
            <w:r w:rsidRPr="008507D2" w:rsidR="008507D2">
              <w:t>The number of CTE concentrators at the postsecondary level who received a recognized postsecondary credential during participation in the reporting year or within one year of program completion.</w:t>
            </w:r>
          </w:p>
          <w:p w:rsidR="008456BA" w:rsidP="00CF5EA9" w14:paraId="521A3884" w14:textId="77777777">
            <w:pPr>
              <w:rPr>
                <w:u w:val="single"/>
              </w:rPr>
            </w:pPr>
          </w:p>
          <w:p w:rsidR="00CF5EA9" w:rsidRPr="00CF5EA9" w:rsidP="00CF5EA9" w14:paraId="519C50FF" w14:textId="4283B742">
            <w:r w:rsidRPr="00CF5EA9">
              <w:rPr>
                <w:u w:val="single"/>
              </w:rPr>
              <w:t>Denominator</w:t>
            </w:r>
            <w:r w:rsidRPr="00CF5EA9">
              <w:t xml:space="preserve">:  </w:t>
            </w:r>
            <w:r w:rsidRPr="00C57AA4" w:rsidR="00C57AA4">
              <w:t>The number of CTE concentrators at the postsecondary level enrolled in the reporting year or who completed a CTE program during the previous reporting year.</w:t>
            </w:r>
          </w:p>
        </w:tc>
        <w:tc>
          <w:tcPr>
            <w:tcW w:w="4230" w:type="dxa"/>
          </w:tcPr>
          <w:p w:rsidR="00CF5EA9" w:rsidRPr="00CF5EA9" w:rsidP="00CF5EA9" w14:paraId="74DC18D5" w14:textId="34FABBF0">
            <w:pPr>
              <w:numPr>
                <w:ilvl w:val="0"/>
                <w:numId w:val="11"/>
              </w:numPr>
              <w:contextualSpacing/>
            </w:pPr>
            <w:r w:rsidRPr="00CF5EA9">
              <w:t>Specifies that the numerator is the number of postsecondary CTE concentrators who received a recognized postsecondary credential during participation in the reporting year or within one year of program completion and that the denominator is the number of postsecondary CTE concentrators enrolled in the reporting year or who completed a CTE program during the previous reporting year.</w:t>
            </w:r>
          </w:p>
          <w:p w:rsidR="00CF5EA9" w:rsidRPr="00CF5EA9" w:rsidP="00CF5EA9" w14:paraId="3AB1872F" w14:textId="77777777">
            <w:pPr>
              <w:ind w:left="360"/>
              <w:contextualSpacing/>
            </w:pPr>
          </w:p>
        </w:tc>
      </w:tr>
      <w:tr w14:paraId="29FD7E8B" w14:textId="77777777" w:rsidTr="00D36AEA">
        <w:tblPrEx>
          <w:tblW w:w="13585" w:type="dxa"/>
          <w:tblLook w:val="04A0"/>
        </w:tblPrEx>
        <w:tc>
          <w:tcPr>
            <w:tcW w:w="1874" w:type="dxa"/>
          </w:tcPr>
          <w:p w:rsidR="00CF5EA9" w:rsidRPr="00CF5EA9" w:rsidP="00CF5EA9" w14:paraId="43FF394D" w14:textId="77777777">
            <w:r w:rsidRPr="00CF5EA9">
              <w:t>3P1: Non-traditional Program Concentration</w:t>
            </w:r>
          </w:p>
        </w:tc>
        <w:tc>
          <w:tcPr>
            <w:tcW w:w="2351" w:type="dxa"/>
          </w:tcPr>
          <w:p w:rsidR="00CF5EA9" w:rsidRPr="00CF5EA9" w:rsidP="00CF5EA9" w14:paraId="314618AA" w14:textId="77777777">
            <w:r w:rsidRPr="00CF5EA9">
              <w:t>“The percentage of CTE concentrators in career and technical education programs and programs of study that lead to non-traditional fields.”</w:t>
            </w:r>
          </w:p>
        </w:tc>
        <w:tc>
          <w:tcPr>
            <w:tcW w:w="5130" w:type="dxa"/>
          </w:tcPr>
          <w:p w:rsidR="00CF5EA9" w:rsidRPr="00CF5EA9" w:rsidP="00CF5EA9" w14:paraId="7CD2C467" w14:textId="0281301D">
            <w:r w:rsidRPr="00CF5EA9">
              <w:rPr>
                <w:u w:val="single"/>
              </w:rPr>
              <w:t>Numerator</w:t>
            </w:r>
            <w:r w:rsidRPr="00CF5EA9">
              <w:t xml:space="preserve">:  </w:t>
            </w:r>
            <w:r w:rsidRPr="0022320F" w:rsidR="0022320F">
              <w:t>The number of CTE concentrators in postsecondary CTE programs and programs of study that lead to non-traditional fields who are a gender that comprises less than 25 percent of the individuals employed in the occupation or field of work for which the CTE program prepares students.</w:t>
            </w:r>
          </w:p>
          <w:p w:rsidR="008456BA" w:rsidP="00CF5EA9" w14:paraId="6832CE68" w14:textId="77777777">
            <w:pPr>
              <w:rPr>
                <w:u w:val="single"/>
              </w:rPr>
            </w:pPr>
          </w:p>
          <w:p w:rsidR="00CF5EA9" w:rsidRPr="00CF5EA9" w:rsidP="00CF5EA9" w14:paraId="3CC59742" w14:textId="52F6FC1D">
            <w:r w:rsidRPr="00CF5EA9">
              <w:rPr>
                <w:u w:val="single"/>
              </w:rPr>
              <w:t>Denominator:</w:t>
            </w:r>
            <w:r w:rsidRPr="00CF5EA9">
              <w:t xml:space="preserve">  The number of CTE concentrators in postsecondary CTE programs and programs of study that lead to non-traditional fields.</w:t>
            </w:r>
          </w:p>
        </w:tc>
        <w:tc>
          <w:tcPr>
            <w:tcW w:w="4230" w:type="dxa"/>
          </w:tcPr>
          <w:p w:rsidR="00CF5EA9" w:rsidRPr="00CF5EA9" w:rsidP="00CF5EA9" w14:paraId="034891ED" w14:textId="77777777">
            <w:r w:rsidRPr="00CF5EA9">
              <w:t>[</w:t>
            </w:r>
            <w:r w:rsidRPr="00CF5EA9">
              <w:rPr>
                <w:i/>
                <w:iCs/>
              </w:rPr>
              <w:t>Same specifications as 4S1: Non-traditional Program Concentration, except that CTE concentrators are at the postsecondary level</w:t>
            </w:r>
            <w:r w:rsidRPr="00CF5EA9">
              <w:t>]</w:t>
            </w:r>
          </w:p>
          <w:p w:rsidR="00CF5EA9" w:rsidRPr="00CF5EA9" w:rsidP="00CF5EA9" w14:paraId="1212E780" w14:textId="77777777"/>
          <w:p w:rsidR="00CF5EA9" w:rsidRPr="00CF5EA9" w:rsidP="00CF5EA9" w14:paraId="7A47C808" w14:textId="77777777">
            <w:pPr>
              <w:numPr>
                <w:ilvl w:val="0"/>
                <w:numId w:val="13"/>
              </w:numPr>
              <w:contextualSpacing/>
            </w:pPr>
            <w:r w:rsidRPr="00CF5EA9">
              <w:t xml:space="preserve">Specifies that the data source for the denominator is the number of CTE concentrators who are concentrating their studies in a CTE program or program of study that leads to a non-traditional field, not all CTE concentrators.  </w:t>
            </w:r>
          </w:p>
          <w:p w:rsidR="00CF5EA9" w:rsidRPr="00CF5EA9" w:rsidP="00CF5EA9" w14:paraId="2ED1C408" w14:textId="77777777"/>
          <w:p w:rsidR="00CF5EA9" w:rsidRPr="00CF5EA9" w:rsidP="00CF5EA9" w14:paraId="405A3AC0" w14:textId="77777777">
            <w:pPr>
              <w:numPr>
                <w:ilvl w:val="0"/>
                <w:numId w:val="12"/>
              </w:numPr>
              <w:contextualSpacing/>
            </w:pPr>
            <w:r w:rsidRPr="00CF5EA9">
              <w:t xml:space="preserve">Specifies that the CTE concentrators in the numerator and denominator are CTE concentrators who are concentrating their studies in a CTE program or </w:t>
            </w:r>
            <w:r w:rsidRPr="00CF5EA9">
              <w:t>program of study that leads to non-traditional fields, and not CTE concentrators who take a course that in a program that leads to non-traditional fields.</w:t>
            </w:r>
          </w:p>
          <w:p w:rsidR="00CF5EA9" w:rsidRPr="00CF5EA9" w:rsidP="00CF5EA9" w14:paraId="608CBB67" w14:textId="77777777"/>
          <w:p w:rsidR="00CF5EA9" w:rsidRPr="00CF5EA9" w:rsidP="00CF5EA9" w14:paraId="11FE4E97" w14:textId="77777777">
            <w:pPr>
              <w:numPr>
                <w:ilvl w:val="0"/>
                <w:numId w:val="12"/>
              </w:numPr>
              <w:contextualSpacing/>
            </w:pPr>
            <w:r w:rsidRPr="00CF5EA9">
              <w:t xml:space="preserve">Specifies that the numerator is the number of CTE concentrators from the minority gender in CTE programs or programs of study that lead to non-traditional fields, and not all CTE concentrators in these programs. </w:t>
            </w:r>
          </w:p>
          <w:p w:rsidR="00CF5EA9" w:rsidRPr="00CF5EA9" w:rsidP="00CF5EA9" w14:paraId="6419A71B" w14:textId="77777777">
            <w:pPr>
              <w:ind w:left="720"/>
              <w:contextualSpacing/>
            </w:pPr>
          </w:p>
          <w:p w:rsidR="00CF5EA9" w:rsidRPr="00CF5EA9" w:rsidP="00CF5EA9" w14:paraId="472CB61D" w14:textId="77777777">
            <w:pPr>
              <w:numPr>
                <w:ilvl w:val="0"/>
                <w:numId w:val="12"/>
              </w:numPr>
              <w:contextualSpacing/>
            </w:pPr>
            <w:r w:rsidRPr="00CF5EA9">
              <w:t>Specifies that CTE concentrators from the minority gender in CTE programs or programs of study that lead to non-traditional fields are included in the numerator in each reporting year in which they meet these criteria, and not only upon exit from secondary education.</w:t>
            </w:r>
          </w:p>
          <w:p w:rsidR="00CF5EA9" w:rsidRPr="00CF5EA9" w:rsidP="00CF5EA9" w14:paraId="19534151" w14:textId="77777777"/>
        </w:tc>
      </w:tr>
    </w:tbl>
    <w:p w:rsidR="00CF5EA9" w:rsidRPr="00CF5EA9" w:rsidP="00CF5EA9" w14:paraId="7CEC6439" w14:textId="77777777"/>
    <w:p w:rsidR="00804A14" w:rsidRPr="00D433C0" w:rsidP="00896675" w14:paraId="51F1D47A" w14:textId="77777777">
      <w:pPr>
        <w:rPr>
          <w:color w:val="000000" w:themeColor="text1"/>
          <w:kern w:val="0"/>
          <w14:ligatures w14:val="none"/>
        </w:rPr>
      </w:pPr>
    </w:p>
    <w:sectPr w:rsidSect="00D36A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5802302"/>
      <w:docPartObj>
        <w:docPartGallery w:val="Page Numbers (Bottom of Page)"/>
        <w:docPartUnique/>
      </w:docPartObj>
    </w:sdtPr>
    <w:sdtEndPr>
      <w:rPr>
        <w:noProof/>
      </w:rPr>
    </w:sdtEndPr>
    <w:sdtContent>
      <w:p w:rsidR="004D61BD" w14:paraId="06ADC994" w14:textId="36C2B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1A90" w14:paraId="330F1C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4B7B" w:rsidP="00E000F9" w14:paraId="7A6F2EDD" w14:textId="77777777">
      <w:pPr>
        <w:spacing w:after="0" w:line="240" w:lineRule="auto"/>
      </w:pPr>
      <w:r>
        <w:separator/>
      </w:r>
    </w:p>
  </w:footnote>
  <w:footnote w:type="continuationSeparator" w:id="1">
    <w:p w:rsidR="00294B7B" w:rsidP="00E000F9" w14:paraId="5BB80F9B" w14:textId="77777777">
      <w:pPr>
        <w:spacing w:after="0" w:line="240" w:lineRule="auto"/>
      </w:pPr>
      <w:r>
        <w:continuationSeparator/>
      </w:r>
    </w:p>
  </w:footnote>
  <w:footnote w:type="continuationNotice" w:id="2">
    <w:p w:rsidR="00294B7B" w14:paraId="690D365D" w14:textId="77777777">
      <w:pPr>
        <w:spacing w:after="0" w:line="240" w:lineRule="auto"/>
      </w:pPr>
    </w:p>
  </w:footnote>
  <w:footnote w:id="3">
    <w:p w:rsidR="000065C2" w:rsidP="000065C2" w14:paraId="22264CF0" w14:textId="77777777">
      <w:pPr>
        <w:pStyle w:val="FootnoteText"/>
      </w:pPr>
      <w:r>
        <w:rPr>
          <w:rStyle w:val="FootnoteReference"/>
        </w:rPr>
        <w:footnoteRef/>
      </w:r>
      <w:r>
        <w:t xml:space="preserve"> </w:t>
      </w:r>
      <w:r w:rsidRPr="00424436">
        <w:t>ESEA, §1111(c)(4)(</w:t>
      </w:r>
      <w:r>
        <w:t>F</w:t>
      </w:r>
      <w:r w:rsidRPr="00424436">
        <w:t>)(i)(I).</w:t>
      </w:r>
    </w:p>
  </w:footnote>
  <w:footnote w:id="4">
    <w:p w:rsidR="007E7223" w:rsidP="007E7223" w14:paraId="349C5D05" w14:textId="77777777">
      <w:pPr>
        <w:pStyle w:val="FootnoteText"/>
      </w:pPr>
      <w:r>
        <w:rPr>
          <w:rStyle w:val="FootnoteReference"/>
        </w:rPr>
        <w:footnoteRef/>
      </w:r>
      <w:r>
        <w:t xml:space="preserve"> </w:t>
      </w:r>
      <w:r w:rsidRPr="00087B8E">
        <w:t>ESEA, §1111(c)(4)(F)(i)(</w:t>
      </w:r>
      <w:r>
        <w:t>I</w:t>
      </w:r>
      <w:r w:rsidRPr="00087B8E">
        <w:t>I).</w:t>
      </w:r>
    </w:p>
  </w:footnote>
  <w:footnote w:id="5">
    <w:p w:rsidR="004A21B6" w:rsidP="004A21B6" w14:paraId="201E581E" w14:textId="77777777">
      <w:pPr>
        <w:pStyle w:val="FootnoteText"/>
      </w:pPr>
      <w:r>
        <w:rPr>
          <w:rStyle w:val="FootnoteReference"/>
        </w:rPr>
        <w:footnoteRef/>
      </w:r>
      <w:r>
        <w:t xml:space="preserve"> </w:t>
      </w:r>
      <w:r w:rsidRPr="00D043DA">
        <w:t>ESEA, §1111(c)(4)(B)(i)(I).</w:t>
      </w:r>
    </w:p>
  </w:footnote>
  <w:footnote w:id="6">
    <w:p w:rsidR="000E6CA6" w14:paraId="5A5CC05D" w14:textId="3368FE86">
      <w:pPr>
        <w:pStyle w:val="FootnoteText"/>
      </w:pPr>
      <w:r>
        <w:rPr>
          <w:rStyle w:val="FootnoteReference"/>
        </w:rPr>
        <w:footnoteRef/>
      </w:r>
      <w:r>
        <w:t xml:space="preserve"> </w:t>
      </w:r>
      <w:r w:rsidRPr="000E6CA6">
        <w:t xml:space="preserve">Czajka, J.L., et al. (2018) Data on Earnings: A Review of Resources for Research, Mathematica Policy Research.  Retrieved from: </w:t>
      </w:r>
      <w:hyperlink r:id="rId1" w:history="1">
        <w:r w:rsidRPr="00B02F36">
          <w:rPr>
            <w:rStyle w:val="Hyperlink"/>
          </w:rPr>
          <w:t>https://www.dol.gov/sites/dolgov/files/OASP/legacy/files/Data-on-Earnings-Report.pdf</w:t>
        </w:r>
      </w:hyperlink>
      <w:r>
        <w:t>.</w:t>
      </w:r>
    </w:p>
  </w:footnote>
  <w:footnote w:id="7">
    <w:p w:rsidR="00AA36BB" w:rsidP="00AA36BB" w14:paraId="22BE74C8" w14:textId="1B6D555A">
      <w:pPr>
        <w:pStyle w:val="FootnoteText"/>
      </w:pPr>
      <w:r>
        <w:rPr>
          <w:rStyle w:val="FootnoteReference"/>
        </w:rPr>
        <w:footnoteRef/>
      </w:r>
      <w:r>
        <w:t xml:space="preserve"> C</w:t>
      </w:r>
      <w:r w:rsidRPr="0057449F">
        <w:t>ongdon</w:t>
      </w:r>
      <w:r>
        <w:t>, W.L.</w:t>
      </w:r>
      <w:r w:rsidRPr="0057449F">
        <w:t xml:space="preserve"> and Katz</w:t>
      </w:r>
      <w:r>
        <w:t xml:space="preserve">, B. (2023), </w:t>
      </w:r>
      <w:r w:rsidRPr="0057449F">
        <w:t>Job Quality and Wage Records The Potential Role of Administrative Wage Data for Understanding Job Quality</w:t>
      </w:r>
      <w:r>
        <w:t xml:space="preserve">, the Urban Institute. Retrieved from:  </w:t>
      </w:r>
      <w:hyperlink r:id="rId2" w:history="1">
        <w:r w:rsidRPr="00B02F36">
          <w:rPr>
            <w:rStyle w:val="Hyperlink"/>
          </w:rPr>
          <w:t>https://www.urban.org/sites/default/files/2023-05/Job%20Quality%20and%20Wage%20Records.pdf</w:t>
        </w:r>
      </w:hyperlink>
      <w:r w:rsidR="00122ABC">
        <w:t>.</w:t>
      </w:r>
      <w:r w:rsidRPr="0057449F">
        <w:t xml:space="preserve"> </w:t>
      </w:r>
    </w:p>
  </w:footnote>
  <w:footnote w:id="8">
    <w:p w:rsidR="00064A33" w14:paraId="5DDA94C2" w14:textId="6C88B2EF">
      <w:pPr>
        <w:pStyle w:val="FootnoteText"/>
      </w:pPr>
      <w:r>
        <w:rPr>
          <w:rStyle w:val="FootnoteReference"/>
        </w:rPr>
        <w:footnoteRef/>
      </w:r>
      <w:r>
        <w:t xml:space="preserve"> </w:t>
      </w:r>
      <w:r w:rsidRPr="000A03E5">
        <w:t xml:space="preserve">Office of Information and Regulatory Affairs, Office of Management and Budget. 2016. Questions and Answers When Designing Surveys for Information Collections. Retrieved from: </w:t>
      </w:r>
      <w:hyperlink r:id="rId3" w:history="1">
        <w:r w:rsidRPr="004049DF">
          <w:rPr>
            <w:rStyle w:val="Hyperlink"/>
          </w:rPr>
          <w:t>https://obamawhitehouse.archives.gov/sites/default/files/omb/inforeg/pmc_survey_guidance_2006.pdf</w:t>
        </w:r>
      </w:hyperlink>
      <w:r>
        <w:t>.</w:t>
      </w:r>
      <w:r w:rsidR="00F531E6">
        <w:t xml:space="preserve">  See also </w:t>
      </w:r>
      <w:r w:rsidRPr="00F531E6" w:rsidR="00F531E6">
        <w:t>Czajka, J.L., et al., op. cit.</w:t>
      </w:r>
    </w:p>
  </w:footnote>
  <w:footnote w:id="9">
    <w:p w:rsidR="00F531E6" w14:paraId="10DD323F" w14:textId="1C0CB696">
      <w:pPr>
        <w:pStyle w:val="FootnoteText"/>
      </w:pPr>
      <w:r>
        <w:rPr>
          <w:rStyle w:val="FootnoteReference"/>
        </w:rPr>
        <w:footnoteRef/>
      </w:r>
      <w:r>
        <w:t xml:space="preserve"> </w:t>
      </w:r>
      <w:r w:rsidRPr="00F531E6">
        <w:t>Czajka, J.L., et al., op. cit.</w:t>
      </w:r>
    </w:p>
  </w:footnote>
  <w:footnote w:id="10">
    <w:p w:rsidR="009621B5" w:rsidP="009621B5" w14:paraId="49E99D9F" w14:textId="651EA89B">
      <w:pPr>
        <w:pStyle w:val="FootnoteText"/>
      </w:pPr>
      <w:r>
        <w:rPr>
          <w:rStyle w:val="FootnoteReference"/>
        </w:rPr>
        <w:footnoteRef/>
      </w:r>
      <w:r>
        <w:t xml:space="preserve"> U.S. Department of Education, Office of Career, Technical, and Adult Education (2019), </w:t>
      </w:r>
      <w:r w:rsidRPr="00EE54EC">
        <w:rPr>
          <w:i/>
          <w:iCs/>
        </w:rPr>
        <w:t>Demonstrating Success: A Technical Assistance Guide for Collecting Postexit Indicators.</w:t>
      </w:r>
      <w:r>
        <w:t xml:space="preserve"> Retrieved from: </w:t>
      </w:r>
      <w:hyperlink r:id="rId4" w:history="1">
        <w:r w:rsidRPr="0054346E" w:rsidR="0054346E">
          <w:rPr>
            <w:rStyle w:val="Hyperlink"/>
          </w:rPr>
          <w:t>https://nrsweb</w:t>
        </w:r>
        <w:r w:rsidRPr="003C50DD" w:rsidR="0054346E">
          <w:rPr>
            <w:rStyle w:val="Hyperlink"/>
          </w:rPr>
          <w:t>.org/sites/default/files/Post-Exit-Guide-508.pdf</w:t>
        </w:r>
      </w:hyperlink>
      <w:r>
        <w:t>.</w:t>
      </w:r>
    </w:p>
  </w:footnote>
  <w:footnote w:id="11">
    <w:p w:rsidR="00C25829" w:rsidP="00C25829" w14:paraId="3087BC34" w14:textId="77777777">
      <w:pPr>
        <w:pStyle w:val="FootnoteText"/>
      </w:pPr>
      <w:r w:rsidRPr="008147C2">
        <w:rPr>
          <w:rStyle w:val="FootnoteReference"/>
          <w:rFonts w:ascii="Times New Roman" w:hAnsi="Times New Roman"/>
        </w:rPr>
        <w:footnoteRef/>
      </w:r>
      <w:r>
        <w:t xml:space="preserve"> Bureau of Labor Statistics, U.S. Department of Labor, Employer Costs for Employee Compensation Historical Listing, National Compensation Survey, retrieved from </w:t>
      </w:r>
      <w:hyperlink r:id="rId5" w:history="1">
        <w:r w:rsidRPr="00661065">
          <w:rPr>
            <w:rStyle w:val="Hyperlink"/>
          </w:rPr>
          <w:t>https://www.bls.gov/web/ecec/ecec-government-dataset.xlsx</w:t>
        </w:r>
      </w:hyperlink>
    </w:p>
    <w:p w:rsidR="00C25829" w:rsidP="00C25829" w14:paraId="624BE5DD" w14:textId="77777777">
      <w:pPr>
        <w:pStyle w:val="FootnoteText"/>
      </w:pPr>
    </w:p>
    <w:p w:rsidR="00C25829" w:rsidP="00C25829" w14:paraId="14BE3A5C" w14:textId="77777777">
      <w:pPr>
        <w:pStyle w:val="FootnoteText"/>
      </w:pPr>
    </w:p>
  </w:footnote>
  <w:footnote w:id="12">
    <w:p w:rsidR="00166DFB" w:rsidP="00166DFB" w14:paraId="3EC00745" w14:textId="77777777">
      <w:pPr>
        <w:pStyle w:val="FootnoteText"/>
        <w:ind w:left="360" w:hanging="360"/>
      </w:pPr>
      <w:r>
        <w:rPr>
          <w:rStyle w:val="FootnoteReference"/>
        </w:rPr>
        <w:footnoteRef/>
      </w:r>
      <w:r>
        <w:t xml:space="preserve"> </w:t>
      </w:r>
      <w:r>
        <w:tab/>
        <w:t>T</w:t>
      </w:r>
      <w:r w:rsidRPr="00586FA2">
        <w:t>he Department will publish estimated State allocations no later than March provided that an appropriation for the next fiscal year has been enacted into law by this time.</w:t>
      </w:r>
    </w:p>
    <w:p w:rsidR="00166DFB" w:rsidP="00166DFB" w14:paraId="67E3C4BF" w14:textId="77777777">
      <w:pPr>
        <w:pStyle w:val="FootnoteText"/>
        <w:ind w:left="360" w:hanging="360"/>
      </w:pPr>
    </w:p>
  </w:footnote>
  <w:footnote w:id="13">
    <w:p w:rsidR="00166DFB" w:rsidP="00166DFB" w14:paraId="27FFB5B2" w14:textId="77777777">
      <w:pPr>
        <w:pStyle w:val="FootnoteText"/>
        <w:ind w:left="360" w:hanging="360"/>
      </w:pPr>
      <w:r>
        <w:rPr>
          <w:rStyle w:val="FootnoteReference"/>
        </w:rPr>
        <w:footnoteRef/>
      </w:r>
      <w:r>
        <w:t xml:space="preserve"> </w:t>
      </w:r>
      <w:r>
        <w:tab/>
        <w:t xml:space="preserve">Where practicable, the Department may determine that it does not need the full 120 day period allowable under section 122(f) of Perkins V to review State plans and/or revisions and issue Perkins grant awards on schedule on July 1.  </w:t>
      </w:r>
    </w:p>
    <w:p w:rsidR="00166DFB" w:rsidP="00166DFB" w14:paraId="17EA2D22" w14:textId="77777777">
      <w:pPr>
        <w:pStyle w:val="FootnoteText"/>
        <w:ind w:left="360" w:hanging="36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007C0"/>
    <w:multiLevelType w:val="hybridMultilevel"/>
    <w:tmpl w:val="503EBB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39857EF"/>
    <w:multiLevelType w:val="hybridMultilevel"/>
    <w:tmpl w:val="825C8E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64B7D9F"/>
    <w:multiLevelType w:val="hybridMultilevel"/>
    <w:tmpl w:val="1F8C90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6792085"/>
    <w:multiLevelType w:val="hybridMultilevel"/>
    <w:tmpl w:val="06F4FB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E2F7B7F"/>
    <w:multiLevelType w:val="hybridMultilevel"/>
    <w:tmpl w:val="E98AEE9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045DC0"/>
    <w:multiLevelType w:val="hybridMultilevel"/>
    <w:tmpl w:val="F6BE5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6673C0A"/>
    <w:multiLevelType w:val="hybridMultilevel"/>
    <w:tmpl w:val="54BAE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792A05"/>
    <w:multiLevelType w:val="hybridMultilevel"/>
    <w:tmpl w:val="789EA8BA"/>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2117DD"/>
    <w:multiLevelType w:val="hybridMultilevel"/>
    <w:tmpl w:val="E64810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25A1D6F"/>
    <w:multiLevelType w:val="hybridMultilevel"/>
    <w:tmpl w:val="DDAE1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396C59"/>
    <w:multiLevelType w:val="hybridMultilevel"/>
    <w:tmpl w:val="D77402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8CA005C"/>
    <w:multiLevelType w:val="hybridMultilevel"/>
    <w:tmpl w:val="952AE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8F4157"/>
    <w:multiLevelType w:val="hybridMultilevel"/>
    <w:tmpl w:val="B43E35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7730114"/>
    <w:multiLevelType w:val="hybridMultilevel"/>
    <w:tmpl w:val="156E86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9831E96"/>
    <w:multiLevelType w:val="hybridMultilevel"/>
    <w:tmpl w:val="255A74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70842BF"/>
    <w:multiLevelType w:val="hybridMultilevel"/>
    <w:tmpl w:val="5D4E03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FB2E1A"/>
    <w:multiLevelType w:val="hybridMultilevel"/>
    <w:tmpl w:val="86DAD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2669869">
    <w:abstractNumId w:val="16"/>
  </w:num>
  <w:num w:numId="2" w16cid:durableId="701133361">
    <w:abstractNumId w:val="7"/>
  </w:num>
  <w:num w:numId="3" w16cid:durableId="1567955396">
    <w:abstractNumId w:val="3"/>
  </w:num>
  <w:num w:numId="4" w16cid:durableId="261650430">
    <w:abstractNumId w:val="6"/>
  </w:num>
  <w:num w:numId="5" w16cid:durableId="252057416">
    <w:abstractNumId w:val="15"/>
  </w:num>
  <w:num w:numId="6" w16cid:durableId="1789228928">
    <w:abstractNumId w:val="4"/>
  </w:num>
  <w:num w:numId="7" w16cid:durableId="425271259">
    <w:abstractNumId w:val="11"/>
  </w:num>
  <w:num w:numId="8" w16cid:durableId="1978535355">
    <w:abstractNumId w:val="10"/>
  </w:num>
  <w:num w:numId="9" w16cid:durableId="599678217">
    <w:abstractNumId w:val="0"/>
  </w:num>
  <w:num w:numId="10" w16cid:durableId="1517841439">
    <w:abstractNumId w:val="14"/>
  </w:num>
  <w:num w:numId="11" w16cid:durableId="591088370">
    <w:abstractNumId w:val="8"/>
  </w:num>
  <w:num w:numId="12" w16cid:durableId="1824546963">
    <w:abstractNumId w:val="5"/>
  </w:num>
  <w:num w:numId="13" w16cid:durableId="1011027433">
    <w:abstractNumId w:val="1"/>
  </w:num>
  <w:num w:numId="14" w16cid:durableId="1421871949">
    <w:abstractNumId w:val="2"/>
  </w:num>
  <w:num w:numId="15" w16cid:durableId="1190683471">
    <w:abstractNumId w:val="12"/>
  </w:num>
  <w:num w:numId="16" w16cid:durableId="537744196">
    <w:abstractNumId w:val="13"/>
  </w:num>
  <w:num w:numId="17" w16cid:durableId="927082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B3"/>
    <w:rsid w:val="00002649"/>
    <w:rsid w:val="00003CA0"/>
    <w:rsid w:val="000065C2"/>
    <w:rsid w:val="00006B8E"/>
    <w:rsid w:val="00007009"/>
    <w:rsid w:val="00007766"/>
    <w:rsid w:val="00010596"/>
    <w:rsid w:val="00011B72"/>
    <w:rsid w:val="000123AE"/>
    <w:rsid w:val="000127ED"/>
    <w:rsid w:val="00012833"/>
    <w:rsid w:val="00016A47"/>
    <w:rsid w:val="00016E83"/>
    <w:rsid w:val="000234EA"/>
    <w:rsid w:val="000256F5"/>
    <w:rsid w:val="00025D10"/>
    <w:rsid w:val="00026AD4"/>
    <w:rsid w:val="00032EC8"/>
    <w:rsid w:val="00033975"/>
    <w:rsid w:val="00033B43"/>
    <w:rsid w:val="000341DE"/>
    <w:rsid w:val="00034225"/>
    <w:rsid w:val="0003718A"/>
    <w:rsid w:val="00037816"/>
    <w:rsid w:val="000418FD"/>
    <w:rsid w:val="00042D36"/>
    <w:rsid w:val="00042FBE"/>
    <w:rsid w:val="00043129"/>
    <w:rsid w:val="0004312B"/>
    <w:rsid w:val="000431A3"/>
    <w:rsid w:val="00044518"/>
    <w:rsid w:val="00047394"/>
    <w:rsid w:val="000518F6"/>
    <w:rsid w:val="00054F39"/>
    <w:rsid w:val="000558C7"/>
    <w:rsid w:val="000559F9"/>
    <w:rsid w:val="00055BA9"/>
    <w:rsid w:val="0005684E"/>
    <w:rsid w:val="00057313"/>
    <w:rsid w:val="000575E8"/>
    <w:rsid w:val="000602AB"/>
    <w:rsid w:val="000619F9"/>
    <w:rsid w:val="00061B1E"/>
    <w:rsid w:val="00062D5F"/>
    <w:rsid w:val="00063351"/>
    <w:rsid w:val="00064A33"/>
    <w:rsid w:val="00066B08"/>
    <w:rsid w:val="00066ECB"/>
    <w:rsid w:val="00067E2C"/>
    <w:rsid w:val="00071F7A"/>
    <w:rsid w:val="0007276F"/>
    <w:rsid w:val="00073C61"/>
    <w:rsid w:val="0007522F"/>
    <w:rsid w:val="0007601A"/>
    <w:rsid w:val="0007749C"/>
    <w:rsid w:val="00077BE8"/>
    <w:rsid w:val="00081974"/>
    <w:rsid w:val="00085B0A"/>
    <w:rsid w:val="000868E8"/>
    <w:rsid w:val="000873D1"/>
    <w:rsid w:val="00087B8E"/>
    <w:rsid w:val="00087F3C"/>
    <w:rsid w:val="000900BB"/>
    <w:rsid w:val="00091844"/>
    <w:rsid w:val="00091B2B"/>
    <w:rsid w:val="00092176"/>
    <w:rsid w:val="00094AC4"/>
    <w:rsid w:val="00094BA8"/>
    <w:rsid w:val="00095E12"/>
    <w:rsid w:val="000961C2"/>
    <w:rsid w:val="00096D05"/>
    <w:rsid w:val="00097862"/>
    <w:rsid w:val="00097C73"/>
    <w:rsid w:val="000A03E5"/>
    <w:rsid w:val="000A0974"/>
    <w:rsid w:val="000A1321"/>
    <w:rsid w:val="000A1722"/>
    <w:rsid w:val="000A2F15"/>
    <w:rsid w:val="000A2FF3"/>
    <w:rsid w:val="000A3191"/>
    <w:rsid w:val="000A3521"/>
    <w:rsid w:val="000A4208"/>
    <w:rsid w:val="000A56B3"/>
    <w:rsid w:val="000A7565"/>
    <w:rsid w:val="000A7576"/>
    <w:rsid w:val="000A7DA7"/>
    <w:rsid w:val="000A7DD3"/>
    <w:rsid w:val="000B0D17"/>
    <w:rsid w:val="000B15F3"/>
    <w:rsid w:val="000B19FE"/>
    <w:rsid w:val="000B1A12"/>
    <w:rsid w:val="000B22A9"/>
    <w:rsid w:val="000B2D44"/>
    <w:rsid w:val="000B461F"/>
    <w:rsid w:val="000B4808"/>
    <w:rsid w:val="000B5109"/>
    <w:rsid w:val="000B5229"/>
    <w:rsid w:val="000B6795"/>
    <w:rsid w:val="000C0CEA"/>
    <w:rsid w:val="000C0EC5"/>
    <w:rsid w:val="000C1447"/>
    <w:rsid w:val="000C23BD"/>
    <w:rsid w:val="000C2A43"/>
    <w:rsid w:val="000C3372"/>
    <w:rsid w:val="000C3792"/>
    <w:rsid w:val="000C37AA"/>
    <w:rsid w:val="000C4B25"/>
    <w:rsid w:val="000C55A8"/>
    <w:rsid w:val="000C6062"/>
    <w:rsid w:val="000D0455"/>
    <w:rsid w:val="000D15AB"/>
    <w:rsid w:val="000D2526"/>
    <w:rsid w:val="000D254C"/>
    <w:rsid w:val="000D394A"/>
    <w:rsid w:val="000E036E"/>
    <w:rsid w:val="000E2313"/>
    <w:rsid w:val="000E2D70"/>
    <w:rsid w:val="000E3AFA"/>
    <w:rsid w:val="000E4D4A"/>
    <w:rsid w:val="000E59A5"/>
    <w:rsid w:val="000E65D7"/>
    <w:rsid w:val="000E6CA6"/>
    <w:rsid w:val="000E6DC5"/>
    <w:rsid w:val="000E7494"/>
    <w:rsid w:val="000F036E"/>
    <w:rsid w:val="000F0D50"/>
    <w:rsid w:val="000F26FD"/>
    <w:rsid w:val="000F2947"/>
    <w:rsid w:val="000F70ED"/>
    <w:rsid w:val="000F7185"/>
    <w:rsid w:val="000F78AB"/>
    <w:rsid w:val="000F7F46"/>
    <w:rsid w:val="0010141C"/>
    <w:rsid w:val="001031CB"/>
    <w:rsid w:val="0010448B"/>
    <w:rsid w:val="00110C87"/>
    <w:rsid w:val="00111DAC"/>
    <w:rsid w:val="00112B3F"/>
    <w:rsid w:val="00114484"/>
    <w:rsid w:val="001157D4"/>
    <w:rsid w:val="00115E26"/>
    <w:rsid w:val="001164F2"/>
    <w:rsid w:val="001172D0"/>
    <w:rsid w:val="0012018B"/>
    <w:rsid w:val="0012052E"/>
    <w:rsid w:val="001208F1"/>
    <w:rsid w:val="00120C6D"/>
    <w:rsid w:val="00122ABC"/>
    <w:rsid w:val="0013018F"/>
    <w:rsid w:val="00132825"/>
    <w:rsid w:val="00134306"/>
    <w:rsid w:val="00135542"/>
    <w:rsid w:val="00135A10"/>
    <w:rsid w:val="001361DA"/>
    <w:rsid w:val="00136C60"/>
    <w:rsid w:val="00141FB5"/>
    <w:rsid w:val="00142A69"/>
    <w:rsid w:val="00142FD5"/>
    <w:rsid w:val="0014335F"/>
    <w:rsid w:val="00143E6D"/>
    <w:rsid w:val="00145BB7"/>
    <w:rsid w:val="001461B3"/>
    <w:rsid w:val="0014657A"/>
    <w:rsid w:val="001476C6"/>
    <w:rsid w:val="00147CB6"/>
    <w:rsid w:val="00151BA8"/>
    <w:rsid w:val="001521CB"/>
    <w:rsid w:val="0015226C"/>
    <w:rsid w:val="00153B0D"/>
    <w:rsid w:val="0015420A"/>
    <w:rsid w:val="00155121"/>
    <w:rsid w:val="00155327"/>
    <w:rsid w:val="001559A3"/>
    <w:rsid w:val="00155E16"/>
    <w:rsid w:val="00156383"/>
    <w:rsid w:val="00156B3C"/>
    <w:rsid w:val="0015726F"/>
    <w:rsid w:val="00157467"/>
    <w:rsid w:val="001603B3"/>
    <w:rsid w:val="00160A7A"/>
    <w:rsid w:val="00163159"/>
    <w:rsid w:val="00163986"/>
    <w:rsid w:val="00164346"/>
    <w:rsid w:val="00164BD3"/>
    <w:rsid w:val="00165076"/>
    <w:rsid w:val="00165C77"/>
    <w:rsid w:val="001666C4"/>
    <w:rsid w:val="00166C58"/>
    <w:rsid w:val="00166DFB"/>
    <w:rsid w:val="00167412"/>
    <w:rsid w:val="001676D4"/>
    <w:rsid w:val="00167AB6"/>
    <w:rsid w:val="00167FD4"/>
    <w:rsid w:val="001708EB"/>
    <w:rsid w:val="00170DF4"/>
    <w:rsid w:val="0017144D"/>
    <w:rsid w:val="00172CF9"/>
    <w:rsid w:val="00172F98"/>
    <w:rsid w:val="001730D0"/>
    <w:rsid w:val="00173349"/>
    <w:rsid w:val="00180271"/>
    <w:rsid w:val="00181215"/>
    <w:rsid w:val="00182488"/>
    <w:rsid w:val="00182CD4"/>
    <w:rsid w:val="00184367"/>
    <w:rsid w:val="00185BD3"/>
    <w:rsid w:val="001860EF"/>
    <w:rsid w:val="00192409"/>
    <w:rsid w:val="001927AB"/>
    <w:rsid w:val="00192F86"/>
    <w:rsid w:val="00193DA2"/>
    <w:rsid w:val="001956B8"/>
    <w:rsid w:val="001965C6"/>
    <w:rsid w:val="00196BD7"/>
    <w:rsid w:val="00196D95"/>
    <w:rsid w:val="0019732C"/>
    <w:rsid w:val="00197D8E"/>
    <w:rsid w:val="001A12FE"/>
    <w:rsid w:val="001A1348"/>
    <w:rsid w:val="001A172D"/>
    <w:rsid w:val="001A45D4"/>
    <w:rsid w:val="001A59CA"/>
    <w:rsid w:val="001A6F47"/>
    <w:rsid w:val="001A71B4"/>
    <w:rsid w:val="001A7908"/>
    <w:rsid w:val="001B0B9A"/>
    <w:rsid w:val="001B1804"/>
    <w:rsid w:val="001B183F"/>
    <w:rsid w:val="001B2AE0"/>
    <w:rsid w:val="001B6B46"/>
    <w:rsid w:val="001C1527"/>
    <w:rsid w:val="001C1946"/>
    <w:rsid w:val="001C2B48"/>
    <w:rsid w:val="001C2F5A"/>
    <w:rsid w:val="001C3108"/>
    <w:rsid w:val="001C56B9"/>
    <w:rsid w:val="001C630C"/>
    <w:rsid w:val="001C6675"/>
    <w:rsid w:val="001C7520"/>
    <w:rsid w:val="001C78A0"/>
    <w:rsid w:val="001C7D6D"/>
    <w:rsid w:val="001D05C9"/>
    <w:rsid w:val="001D3761"/>
    <w:rsid w:val="001D38F5"/>
    <w:rsid w:val="001D3CFC"/>
    <w:rsid w:val="001D4EFE"/>
    <w:rsid w:val="001D5D2A"/>
    <w:rsid w:val="001D5E27"/>
    <w:rsid w:val="001D6C99"/>
    <w:rsid w:val="001D7128"/>
    <w:rsid w:val="001E26AB"/>
    <w:rsid w:val="001E2F74"/>
    <w:rsid w:val="001E343F"/>
    <w:rsid w:val="001E3E4C"/>
    <w:rsid w:val="001E46B1"/>
    <w:rsid w:val="001E46D5"/>
    <w:rsid w:val="001E55C7"/>
    <w:rsid w:val="001E56F8"/>
    <w:rsid w:val="001E5CB6"/>
    <w:rsid w:val="001E6075"/>
    <w:rsid w:val="001E6A73"/>
    <w:rsid w:val="001F0803"/>
    <w:rsid w:val="001F1B20"/>
    <w:rsid w:val="001F3BB0"/>
    <w:rsid w:val="001F44D2"/>
    <w:rsid w:val="001F45AB"/>
    <w:rsid w:val="001F5B8F"/>
    <w:rsid w:val="001F6852"/>
    <w:rsid w:val="002007C8"/>
    <w:rsid w:val="0020096B"/>
    <w:rsid w:val="002010E3"/>
    <w:rsid w:val="00204094"/>
    <w:rsid w:val="0020500E"/>
    <w:rsid w:val="002062BC"/>
    <w:rsid w:val="00206742"/>
    <w:rsid w:val="002076F3"/>
    <w:rsid w:val="00212F4D"/>
    <w:rsid w:val="002138F2"/>
    <w:rsid w:val="00213C1D"/>
    <w:rsid w:val="00214064"/>
    <w:rsid w:val="00214172"/>
    <w:rsid w:val="00214A6C"/>
    <w:rsid w:val="002156AC"/>
    <w:rsid w:val="00216D2C"/>
    <w:rsid w:val="002213BF"/>
    <w:rsid w:val="00221856"/>
    <w:rsid w:val="002225CB"/>
    <w:rsid w:val="0022320F"/>
    <w:rsid w:val="00223D1D"/>
    <w:rsid w:val="0022588A"/>
    <w:rsid w:val="00227133"/>
    <w:rsid w:val="0022797D"/>
    <w:rsid w:val="00230209"/>
    <w:rsid w:val="00230750"/>
    <w:rsid w:val="002311CE"/>
    <w:rsid w:val="0023210A"/>
    <w:rsid w:val="00232680"/>
    <w:rsid w:val="00233056"/>
    <w:rsid w:val="00233A05"/>
    <w:rsid w:val="00234054"/>
    <w:rsid w:val="00234B2F"/>
    <w:rsid w:val="00234DAE"/>
    <w:rsid w:val="0023533F"/>
    <w:rsid w:val="0023795D"/>
    <w:rsid w:val="00240148"/>
    <w:rsid w:val="00240ADF"/>
    <w:rsid w:val="002412D6"/>
    <w:rsid w:val="002417FF"/>
    <w:rsid w:val="0024284D"/>
    <w:rsid w:val="0024287A"/>
    <w:rsid w:val="00242AA6"/>
    <w:rsid w:val="00242E8C"/>
    <w:rsid w:val="002436E0"/>
    <w:rsid w:val="002441A9"/>
    <w:rsid w:val="00245C0C"/>
    <w:rsid w:val="0024622E"/>
    <w:rsid w:val="00247248"/>
    <w:rsid w:val="00247F50"/>
    <w:rsid w:val="00252345"/>
    <w:rsid w:val="002524D0"/>
    <w:rsid w:val="0025322C"/>
    <w:rsid w:val="002536F7"/>
    <w:rsid w:val="00253DA2"/>
    <w:rsid w:val="00254A1B"/>
    <w:rsid w:val="002559A5"/>
    <w:rsid w:val="00257F13"/>
    <w:rsid w:val="002619F2"/>
    <w:rsid w:val="002623BB"/>
    <w:rsid w:val="002649E1"/>
    <w:rsid w:val="00264D47"/>
    <w:rsid w:val="00265388"/>
    <w:rsid w:val="002666CB"/>
    <w:rsid w:val="002668EE"/>
    <w:rsid w:val="00270357"/>
    <w:rsid w:val="00271121"/>
    <w:rsid w:val="002712D7"/>
    <w:rsid w:val="002725DE"/>
    <w:rsid w:val="00272A1A"/>
    <w:rsid w:val="00273A62"/>
    <w:rsid w:val="002766F6"/>
    <w:rsid w:val="002777EE"/>
    <w:rsid w:val="00277CF4"/>
    <w:rsid w:val="00282315"/>
    <w:rsid w:val="00283B43"/>
    <w:rsid w:val="0028408A"/>
    <w:rsid w:val="00284445"/>
    <w:rsid w:val="002847EE"/>
    <w:rsid w:val="00285BCB"/>
    <w:rsid w:val="002916DE"/>
    <w:rsid w:val="00291ECC"/>
    <w:rsid w:val="00291F21"/>
    <w:rsid w:val="0029371F"/>
    <w:rsid w:val="00293C57"/>
    <w:rsid w:val="00293DB6"/>
    <w:rsid w:val="002949C1"/>
    <w:rsid w:val="00294B7B"/>
    <w:rsid w:val="0029505E"/>
    <w:rsid w:val="002952EC"/>
    <w:rsid w:val="002959F9"/>
    <w:rsid w:val="00296B07"/>
    <w:rsid w:val="00296DB5"/>
    <w:rsid w:val="00297062"/>
    <w:rsid w:val="002A139F"/>
    <w:rsid w:val="002A20B7"/>
    <w:rsid w:val="002A24E4"/>
    <w:rsid w:val="002A2B6E"/>
    <w:rsid w:val="002A5783"/>
    <w:rsid w:val="002A783C"/>
    <w:rsid w:val="002A7E68"/>
    <w:rsid w:val="002B2802"/>
    <w:rsid w:val="002B2EBF"/>
    <w:rsid w:val="002B2F6F"/>
    <w:rsid w:val="002B3844"/>
    <w:rsid w:val="002B690A"/>
    <w:rsid w:val="002C00EB"/>
    <w:rsid w:val="002C2CFF"/>
    <w:rsid w:val="002C352B"/>
    <w:rsid w:val="002C3FF9"/>
    <w:rsid w:val="002C44ED"/>
    <w:rsid w:val="002C45E0"/>
    <w:rsid w:val="002C4EF1"/>
    <w:rsid w:val="002C6421"/>
    <w:rsid w:val="002C6F86"/>
    <w:rsid w:val="002C741B"/>
    <w:rsid w:val="002C7ABC"/>
    <w:rsid w:val="002C7ABE"/>
    <w:rsid w:val="002D165F"/>
    <w:rsid w:val="002D1E01"/>
    <w:rsid w:val="002D2D8F"/>
    <w:rsid w:val="002D32C1"/>
    <w:rsid w:val="002D4459"/>
    <w:rsid w:val="002D54A7"/>
    <w:rsid w:val="002D5644"/>
    <w:rsid w:val="002D5FCC"/>
    <w:rsid w:val="002D7FB0"/>
    <w:rsid w:val="002E0836"/>
    <w:rsid w:val="002E099C"/>
    <w:rsid w:val="002E1850"/>
    <w:rsid w:val="002E33BA"/>
    <w:rsid w:val="002E5408"/>
    <w:rsid w:val="002E7B35"/>
    <w:rsid w:val="002F184C"/>
    <w:rsid w:val="002F1C2D"/>
    <w:rsid w:val="002F24C3"/>
    <w:rsid w:val="002F2DA6"/>
    <w:rsid w:val="002F5539"/>
    <w:rsid w:val="002F70F7"/>
    <w:rsid w:val="002F740C"/>
    <w:rsid w:val="002F7E26"/>
    <w:rsid w:val="00301057"/>
    <w:rsid w:val="0030141F"/>
    <w:rsid w:val="00301510"/>
    <w:rsid w:val="0030161E"/>
    <w:rsid w:val="0030190B"/>
    <w:rsid w:val="0030211F"/>
    <w:rsid w:val="00302D57"/>
    <w:rsid w:val="00303AF8"/>
    <w:rsid w:val="003052C4"/>
    <w:rsid w:val="00305A05"/>
    <w:rsid w:val="00306C91"/>
    <w:rsid w:val="00307F7A"/>
    <w:rsid w:val="00310D0B"/>
    <w:rsid w:val="003112C5"/>
    <w:rsid w:val="0031188D"/>
    <w:rsid w:val="00311F72"/>
    <w:rsid w:val="0031499F"/>
    <w:rsid w:val="00314A9E"/>
    <w:rsid w:val="00314E0A"/>
    <w:rsid w:val="00315623"/>
    <w:rsid w:val="00315B50"/>
    <w:rsid w:val="003173E6"/>
    <w:rsid w:val="0031781D"/>
    <w:rsid w:val="00317F0C"/>
    <w:rsid w:val="00317F3E"/>
    <w:rsid w:val="0032036D"/>
    <w:rsid w:val="00322E02"/>
    <w:rsid w:val="0032518A"/>
    <w:rsid w:val="00325727"/>
    <w:rsid w:val="003257AE"/>
    <w:rsid w:val="003260D2"/>
    <w:rsid w:val="00326B50"/>
    <w:rsid w:val="003327E1"/>
    <w:rsid w:val="00334FFB"/>
    <w:rsid w:val="0033543F"/>
    <w:rsid w:val="00335648"/>
    <w:rsid w:val="00336BB5"/>
    <w:rsid w:val="003402AB"/>
    <w:rsid w:val="00341BD4"/>
    <w:rsid w:val="00343386"/>
    <w:rsid w:val="003445FE"/>
    <w:rsid w:val="00346E8D"/>
    <w:rsid w:val="00350133"/>
    <w:rsid w:val="0035050F"/>
    <w:rsid w:val="00350858"/>
    <w:rsid w:val="0035295D"/>
    <w:rsid w:val="00353C03"/>
    <w:rsid w:val="00355DF3"/>
    <w:rsid w:val="00356AA4"/>
    <w:rsid w:val="00360156"/>
    <w:rsid w:val="00361182"/>
    <w:rsid w:val="003641CD"/>
    <w:rsid w:val="003648C7"/>
    <w:rsid w:val="00364D2B"/>
    <w:rsid w:val="0036502C"/>
    <w:rsid w:val="003654E6"/>
    <w:rsid w:val="00370A9C"/>
    <w:rsid w:val="00370E95"/>
    <w:rsid w:val="003710A9"/>
    <w:rsid w:val="003715BC"/>
    <w:rsid w:val="00373445"/>
    <w:rsid w:val="00373A21"/>
    <w:rsid w:val="003747CE"/>
    <w:rsid w:val="00374FB1"/>
    <w:rsid w:val="00375E25"/>
    <w:rsid w:val="003769F7"/>
    <w:rsid w:val="00381651"/>
    <w:rsid w:val="00382F7F"/>
    <w:rsid w:val="00382FAD"/>
    <w:rsid w:val="003838DD"/>
    <w:rsid w:val="00383DF7"/>
    <w:rsid w:val="003842A4"/>
    <w:rsid w:val="003842C1"/>
    <w:rsid w:val="003857FA"/>
    <w:rsid w:val="003871E5"/>
    <w:rsid w:val="00387A82"/>
    <w:rsid w:val="00387C7B"/>
    <w:rsid w:val="00387E47"/>
    <w:rsid w:val="00390DB6"/>
    <w:rsid w:val="00391383"/>
    <w:rsid w:val="00392017"/>
    <w:rsid w:val="00393296"/>
    <w:rsid w:val="00393B73"/>
    <w:rsid w:val="00393F84"/>
    <w:rsid w:val="003942DA"/>
    <w:rsid w:val="003943FB"/>
    <w:rsid w:val="003966D4"/>
    <w:rsid w:val="0039763E"/>
    <w:rsid w:val="003A0117"/>
    <w:rsid w:val="003A0804"/>
    <w:rsid w:val="003A15CF"/>
    <w:rsid w:val="003A278F"/>
    <w:rsid w:val="003A31D7"/>
    <w:rsid w:val="003A3843"/>
    <w:rsid w:val="003A389A"/>
    <w:rsid w:val="003A4FAB"/>
    <w:rsid w:val="003A57DE"/>
    <w:rsid w:val="003A66B0"/>
    <w:rsid w:val="003A78EB"/>
    <w:rsid w:val="003B0C82"/>
    <w:rsid w:val="003B1505"/>
    <w:rsid w:val="003B187F"/>
    <w:rsid w:val="003B2686"/>
    <w:rsid w:val="003B3120"/>
    <w:rsid w:val="003B4BD1"/>
    <w:rsid w:val="003B64B6"/>
    <w:rsid w:val="003B785D"/>
    <w:rsid w:val="003B7CCB"/>
    <w:rsid w:val="003C27CB"/>
    <w:rsid w:val="003C2C22"/>
    <w:rsid w:val="003C50DD"/>
    <w:rsid w:val="003C5ECE"/>
    <w:rsid w:val="003C6438"/>
    <w:rsid w:val="003C650C"/>
    <w:rsid w:val="003D0740"/>
    <w:rsid w:val="003D12AD"/>
    <w:rsid w:val="003D1368"/>
    <w:rsid w:val="003D2C45"/>
    <w:rsid w:val="003D322B"/>
    <w:rsid w:val="003D3DE5"/>
    <w:rsid w:val="003D57DC"/>
    <w:rsid w:val="003D7591"/>
    <w:rsid w:val="003D7909"/>
    <w:rsid w:val="003D79F9"/>
    <w:rsid w:val="003D7D78"/>
    <w:rsid w:val="003E00FB"/>
    <w:rsid w:val="003E2080"/>
    <w:rsid w:val="003E24C0"/>
    <w:rsid w:val="003E2555"/>
    <w:rsid w:val="003E2DFB"/>
    <w:rsid w:val="003E2F88"/>
    <w:rsid w:val="003E3766"/>
    <w:rsid w:val="003E3A7D"/>
    <w:rsid w:val="003E4B47"/>
    <w:rsid w:val="003E54F1"/>
    <w:rsid w:val="003E6E9E"/>
    <w:rsid w:val="003E7536"/>
    <w:rsid w:val="003E7A5F"/>
    <w:rsid w:val="003F0A18"/>
    <w:rsid w:val="003F0EE5"/>
    <w:rsid w:val="003F1562"/>
    <w:rsid w:val="003F1D5B"/>
    <w:rsid w:val="003F22D6"/>
    <w:rsid w:val="003F37D6"/>
    <w:rsid w:val="003F3967"/>
    <w:rsid w:val="003F4C2F"/>
    <w:rsid w:val="003F529D"/>
    <w:rsid w:val="003F6EA5"/>
    <w:rsid w:val="00400628"/>
    <w:rsid w:val="00400C10"/>
    <w:rsid w:val="00400E1B"/>
    <w:rsid w:val="00401C34"/>
    <w:rsid w:val="00401D61"/>
    <w:rsid w:val="004049DF"/>
    <w:rsid w:val="00404F01"/>
    <w:rsid w:val="00405D4A"/>
    <w:rsid w:val="004061FA"/>
    <w:rsid w:val="00410F40"/>
    <w:rsid w:val="00410FD7"/>
    <w:rsid w:val="004114AC"/>
    <w:rsid w:val="0041493E"/>
    <w:rsid w:val="00415977"/>
    <w:rsid w:val="0041604E"/>
    <w:rsid w:val="00417870"/>
    <w:rsid w:val="00417FD4"/>
    <w:rsid w:val="0042040E"/>
    <w:rsid w:val="00421814"/>
    <w:rsid w:val="00421F5B"/>
    <w:rsid w:val="00423DFD"/>
    <w:rsid w:val="00424436"/>
    <w:rsid w:val="00424448"/>
    <w:rsid w:val="00427681"/>
    <w:rsid w:val="00430075"/>
    <w:rsid w:val="00431228"/>
    <w:rsid w:val="00431BD6"/>
    <w:rsid w:val="00434152"/>
    <w:rsid w:val="004341E0"/>
    <w:rsid w:val="00434439"/>
    <w:rsid w:val="00434773"/>
    <w:rsid w:val="00435559"/>
    <w:rsid w:val="00435FEC"/>
    <w:rsid w:val="004365CB"/>
    <w:rsid w:val="00437003"/>
    <w:rsid w:val="00441403"/>
    <w:rsid w:val="00441982"/>
    <w:rsid w:val="00443169"/>
    <w:rsid w:val="00443A3D"/>
    <w:rsid w:val="00444714"/>
    <w:rsid w:val="0044625D"/>
    <w:rsid w:val="0045006D"/>
    <w:rsid w:val="0045034C"/>
    <w:rsid w:val="00450799"/>
    <w:rsid w:val="00450907"/>
    <w:rsid w:val="0045175C"/>
    <w:rsid w:val="00451B71"/>
    <w:rsid w:val="00452216"/>
    <w:rsid w:val="004528E1"/>
    <w:rsid w:val="0045297C"/>
    <w:rsid w:val="0045300E"/>
    <w:rsid w:val="004530B1"/>
    <w:rsid w:val="00453658"/>
    <w:rsid w:val="00453A0A"/>
    <w:rsid w:val="00455881"/>
    <w:rsid w:val="00455932"/>
    <w:rsid w:val="00456952"/>
    <w:rsid w:val="00461753"/>
    <w:rsid w:val="004621FE"/>
    <w:rsid w:val="004639F0"/>
    <w:rsid w:val="00463C3E"/>
    <w:rsid w:val="004652E7"/>
    <w:rsid w:val="00466090"/>
    <w:rsid w:val="004661B4"/>
    <w:rsid w:val="00466D16"/>
    <w:rsid w:val="004703AD"/>
    <w:rsid w:val="004725D0"/>
    <w:rsid w:val="004726FD"/>
    <w:rsid w:val="00472F73"/>
    <w:rsid w:val="00473101"/>
    <w:rsid w:val="004731E6"/>
    <w:rsid w:val="00473B64"/>
    <w:rsid w:val="004756C7"/>
    <w:rsid w:val="004756CA"/>
    <w:rsid w:val="00476FB2"/>
    <w:rsid w:val="00477FA1"/>
    <w:rsid w:val="00482731"/>
    <w:rsid w:val="004831A3"/>
    <w:rsid w:val="00483C1B"/>
    <w:rsid w:val="00484524"/>
    <w:rsid w:val="0048476E"/>
    <w:rsid w:val="00485BAC"/>
    <w:rsid w:val="004862E6"/>
    <w:rsid w:val="0048684C"/>
    <w:rsid w:val="00490B19"/>
    <w:rsid w:val="00491688"/>
    <w:rsid w:val="0049169C"/>
    <w:rsid w:val="00491BFB"/>
    <w:rsid w:val="0049367F"/>
    <w:rsid w:val="00495B98"/>
    <w:rsid w:val="00495C58"/>
    <w:rsid w:val="004966E9"/>
    <w:rsid w:val="004A0335"/>
    <w:rsid w:val="004A0C13"/>
    <w:rsid w:val="004A21B6"/>
    <w:rsid w:val="004A228C"/>
    <w:rsid w:val="004A2E73"/>
    <w:rsid w:val="004A3BB2"/>
    <w:rsid w:val="004A7CEE"/>
    <w:rsid w:val="004B08B2"/>
    <w:rsid w:val="004B1C42"/>
    <w:rsid w:val="004B1CFA"/>
    <w:rsid w:val="004B2FD2"/>
    <w:rsid w:val="004B31B4"/>
    <w:rsid w:val="004B48A2"/>
    <w:rsid w:val="004B4E96"/>
    <w:rsid w:val="004B5E07"/>
    <w:rsid w:val="004C055E"/>
    <w:rsid w:val="004C0709"/>
    <w:rsid w:val="004C2F53"/>
    <w:rsid w:val="004C3AEA"/>
    <w:rsid w:val="004C4EB4"/>
    <w:rsid w:val="004C6B92"/>
    <w:rsid w:val="004D14CB"/>
    <w:rsid w:val="004D28CF"/>
    <w:rsid w:val="004D2BC8"/>
    <w:rsid w:val="004D2CFA"/>
    <w:rsid w:val="004D3949"/>
    <w:rsid w:val="004D40B8"/>
    <w:rsid w:val="004D5077"/>
    <w:rsid w:val="004D61BD"/>
    <w:rsid w:val="004D7187"/>
    <w:rsid w:val="004E025C"/>
    <w:rsid w:val="004E1496"/>
    <w:rsid w:val="004E38B3"/>
    <w:rsid w:val="004E42C7"/>
    <w:rsid w:val="004E4A93"/>
    <w:rsid w:val="004F2225"/>
    <w:rsid w:val="004F2D32"/>
    <w:rsid w:val="004F4288"/>
    <w:rsid w:val="004F45B9"/>
    <w:rsid w:val="004F52B6"/>
    <w:rsid w:val="004F538C"/>
    <w:rsid w:val="004F5B0F"/>
    <w:rsid w:val="004F6CBE"/>
    <w:rsid w:val="004F6FCC"/>
    <w:rsid w:val="004F740E"/>
    <w:rsid w:val="004F7637"/>
    <w:rsid w:val="005004EB"/>
    <w:rsid w:val="0050053D"/>
    <w:rsid w:val="005008B4"/>
    <w:rsid w:val="0050285F"/>
    <w:rsid w:val="005044B9"/>
    <w:rsid w:val="005123B6"/>
    <w:rsid w:val="0051302B"/>
    <w:rsid w:val="00513F3F"/>
    <w:rsid w:val="0051434B"/>
    <w:rsid w:val="00514ADF"/>
    <w:rsid w:val="00515DF0"/>
    <w:rsid w:val="005168A5"/>
    <w:rsid w:val="00516C89"/>
    <w:rsid w:val="0051718F"/>
    <w:rsid w:val="00520DEC"/>
    <w:rsid w:val="005244D9"/>
    <w:rsid w:val="005262CA"/>
    <w:rsid w:val="005275D6"/>
    <w:rsid w:val="00527770"/>
    <w:rsid w:val="00527A0E"/>
    <w:rsid w:val="00527B85"/>
    <w:rsid w:val="0053269C"/>
    <w:rsid w:val="00533C31"/>
    <w:rsid w:val="005357BC"/>
    <w:rsid w:val="0053585F"/>
    <w:rsid w:val="005364B4"/>
    <w:rsid w:val="00536D03"/>
    <w:rsid w:val="005376F4"/>
    <w:rsid w:val="005413AA"/>
    <w:rsid w:val="00541D6F"/>
    <w:rsid w:val="0054224F"/>
    <w:rsid w:val="00542BF0"/>
    <w:rsid w:val="00543174"/>
    <w:rsid w:val="0054346E"/>
    <w:rsid w:val="00543485"/>
    <w:rsid w:val="005450F3"/>
    <w:rsid w:val="00545D4D"/>
    <w:rsid w:val="005464C3"/>
    <w:rsid w:val="0054771C"/>
    <w:rsid w:val="00550EA4"/>
    <w:rsid w:val="00550F0F"/>
    <w:rsid w:val="0055229E"/>
    <w:rsid w:val="00553778"/>
    <w:rsid w:val="00554D38"/>
    <w:rsid w:val="00555A5C"/>
    <w:rsid w:val="005562D1"/>
    <w:rsid w:val="005569C9"/>
    <w:rsid w:val="0055795B"/>
    <w:rsid w:val="00557C42"/>
    <w:rsid w:val="005600A8"/>
    <w:rsid w:val="005614EE"/>
    <w:rsid w:val="00562842"/>
    <w:rsid w:val="005637E9"/>
    <w:rsid w:val="00564907"/>
    <w:rsid w:val="005656B1"/>
    <w:rsid w:val="00566462"/>
    <w:rsid w:val="00566690"/>
    <w:rsid w:val="00566E22"/>
    <w:rsid w:val="00567824"/>
    <w:rsid w:val="00570EA5"/>
    <w:rsid w:val="005718A5"/>
    <w:rsid w:val="00571A90"/>
    <w:rsid w:val="005723D3"/>
    <w:rsid w:val="00572D97"/>
    <w:rsid w:val="00573347"/>
    <w:rsid w:val="005738E6"/>
    <w:rsid w:val="0057449F"/>
    <w:rsid w:val="00574710"/>
    <w:rsid w:val="0057533C"/>
    <w:rsid w:val="005756AC"/>
    <w:rsid w:val="005758A9"/>
    <w:rsid w:val="00576011"/>
    <w:rsid w:val="00576233"/>
    <w:rsid w:val="00576B6F"/>
    <w:rsid w:val="00577D6C"/>
    <w:rsid w:val="005807EC"/>
    <w:rsid w:val="00580BC8"/>
    <w:rsid w:val="0058133C"/>
    <w:rsid w:val="005813F0"/>
    <w:rsid w:val="00582ACF"/>
    <w:rsid w:val="00582BBA"/>
    <w:rsid w:val="005841D3"/>
    <w:rsid w:val="0058439F"/>
    <w:rsid w:val="00585F10"/>
    <w:rsid w:val="00586FA2"/>
    <w:rsid w:val="00590767"/>
    <w:rsid w:val="00591038"/>
    <w:rsid w:val="00591372"/>
    <w:rsid w:val="0059180C"/>
    <w:rsid w:val="005935A6"/>
    <w:rsid w:val="005941FD"/>
    <w:rsid w:val="0059552B"/>
    <w:rsid w:val="00596B60"/>
    <w:rsid w:val="00597057"/>
    <w:rsid w:val="00597623"/>
    <w:rsid w:val="005A02C1"/>
    <w:rsid w:val="005A039F"/>
    <w:rsid w:val="005A0788"/>
    <w:rsid w:val="005A1091"/>
    <w:rsid w:val="005A31F3"/>
    <w:rsid w:val="005A3C45"/>
    <w:rsid w:val="005A70F6"/>
    <w:rsid w:val="005A75ED"/>
    <w:rsid w:val="005A7FB3"/>
    <w:rsid w:val="005B14B6"/>
    <w:rsid w:val="005B3FDF"/>
    <w:rsid w:val="005B4D8D"/>
    <w:rsid w:val="005B7307"/>
    <w:rsid w:val="005C0154"/>
    <w:rsid w:val="005C07ED"/>
    <w:rsid w:val="005C094E"/>
    <w:rsid w:val="005C0D1A"/>
    <w:rsid w:val="005C182E"/>
    <w:rsid w:val="005C3B05"/>
    <w:rsid w:val="005C3FA2"/>
    <w:rsid w:val="005C4C8B"/>
    <w:rsid w:val="005C4E17"/>
    <w:rsid w:val="005C5B49"/>
    <w:rsid w:val="005C6B5E"/>
    <w:rsid w:val="005C71BE"/>
    <w:rsid w:val="005D068D"/>
    <w:rsid w:val="005D07E8"/>
    <w:rsid w:val="005D2AF0"/>
    <w:rsid w:val="005D2D8C"/>
    <w:rsid w:val="005D51A7"/>
    <w:rsid w:val="005D536B"/>
    <w:rsid w:val="005D538B"/>
    <w:rsid w:val="005D548B"/>
    <w:rsid w:val="005D5DB8"/>
    <w:rsid w:val="005D7435"/>
    <w:rsid w:val="005D747B"/>
    <w:rsid w:val="005D7D10"/>
    <w:rsid w:val="005E02F5"/>
    <w:rsid w:val="005E04A2"/>
    <w:rsid w:val="005E1374"/>
    <w:rsid w:val="005E15D9"/>
    <w:rsid w:val="005E184F"/>
    <w:rsid w:val="005E5205"/>
    <w:rsid w:val="005E54D9"/>
    <w:rsid w:val="005E5BBC"/>
    <w:rsid w:val="005E6ED2"/>
    <w:rsid w:val="005E744B"/>
    <w:rsid w:val="005F12FC"/>
    <w:rsid w:val="005F14EC"/>
    <w:rsid w:val="005F15FC"/>
    <w:rsid w:val="005F18CB"/>
    <w:rsid w:val="005F3F1B"/>
    <w:rsid w:val="005F4505"/>
    <w:rsid w:val="005F4DE1"/>
    <w:rsid w:val="005F508E"/>
    <w:rsid w:val="005F5B78"/>
    <w:rsid w:val="005F5C4B"/>
    <w:rsid w:val="005F5CDA"/>
    <w:rsid w:val="005F5E0C"/>
    <w:rsid w:val="005F6F0D"/>
    <w:rsid w:val="00600309"/>
    <w:rsid w:val="00601859"/>
    <w:rsid w:val="006024AB"/>
    <w:rsid w:val="0060356D"/>
    <w:rsid w:val="00603B55"/>
    <w:rsid w:val="00606049"/>
    <w:rsid w:val="00606B79"/>
    <w:rsid w:val="00606FAD"/>
    <w:rsid w:val="00607486"/>
    <w:rsid w:val="00607A20"/>
    <w:rsid w:val="00610A37"/>
    <w:rsid w:val="00610A7E"/>
    <w:rsid w:val="00611545"/>
    <w:rsid w:val="006128B5"/>
    <w:rsid w:val="00613396"/>
    <w:rsid w:val="006148A8"/>
    <w:rsid w:val="00617334"/>
    <w:rsid w:val="00620677"/>
    <w:rsid w:val="006251A7"/>
    <w:rsid w:val="0062656A"/>
    <w:rsid w:val="006303F9"/>
    <w:rsid w:val="00630EAF"/>
    <w:rsid w:val="00631C93"/>
    <w:rsid w:val="00632E79"/>
    <w:rsid w:val="006337A0"/>
    <w:rsid w:val="00634D83"/>
    <w:rsid w:val="00635DDD"/>
    <w:rsid w:val="0063671A"/>
    <w:rsid w:val="006377DE"/>
    <w:rsid w:val="00637BD5"/>
    <w:rsid w:val="00637CC1"/>
    <w:rsid w:val="00637ED1"/>
    <w:rsid w:val="00640A98"/>
    <w:rsid w:val="006426AD"/>
    <w:rsid w:val="00642787"/>
    <w:rsid w:val="0064308E"/>
    <w:rsid w:val="0064440E"/>
    <w:rsid w:val="00644415"/>
    <w:rsid w:val="0064494A"/>
    <w:rsid w:val="00644A84"/>
    <w:rsid w:val="00644D69"/>
    <w:rsid w:val="00646175"/>
    <w:rsid w:val="00647598"/>
    <w:rsid w:val="0065012F"/>
    <w:rsid w:val="0065019E"/>
    <w:rsid w:val="00650950"/>
    <w:rsid w:val="00650C22"/>
    <w:rsid w:val="0065355F"/>
    <w:rsid w:val="006544FD"/>
    <w:rsid w:val="00655E4B"/>
    <w:rsid w:val="00656331"/>
    <w:rsid w:val="006567DD"/>
    <w:rsid w:val="0065721A"/>
    <w:rsid w:val="006573D0"/>
    <w:rsid w:val="006604C1"/>
    <w:rsid w:val="006608D3"/>
    <w:rsid w:val="00661065"/>
    <w:rsid w:val="00662917"/>
    <w:rsid w:val="006633CF"/>
    <w:rsid w:val="00664539"/>
    <w:rsid w:val="00665019"/>
    <w:rsid w:val="0066574E"/>
    <w:rsid w:val="00666FB1"/>
    <w:rsid w:val="00667D0D"/>
    <w:rsid w:val="00670F13"/>
    <w:rsid w:val="00671DBA"/>
    <w:rsid w:val="006725BA"/>
    <w:rsid w:val="00673FF3"/>
    <w:rsid w:val="00674CA5"/>
    <w:rsid w:val="00676BA0"/>
    <w:rsid w:val="006776AD"/>
    <w:rsid w:val="006777B8"/>
    <w:rsid w:val="006802E8"/>
    <w:rsid w:val="0068069F"/>
    <w:rsid w:val="00680747"/>
    <w:rsid w:val="0068082D"/>
    <w:rsid w:val="00680FEA"/>
    <w:rsid w:val="00681EEA"/>
    <w:rsid w:val="00682639"/>
    <w:rsid w:val="006833C2"/>
    <w:rsid w:val="0068418D"/>
    <w:rsid w:val="00684A46"/>
    <w:rsid w:val="00684B31"/>
    <w:rsid w:val="00684B44"/>
    <w:rsid w:val="0068510E"/>
    <w:rsid w:val="006863C3"/>
    <w:rsid w:val="0068784F"/>
    <w:rsid w:val="006905E0"/>
    <w:rsid w:val="00691C6D"/>
    <w:rsid w:val="0069207E"/>
    <w:rsid w:val="0069217F"/>
    <w:rsid w:val="006927E3"/>
    <w:rsid w:val="00693554"/>
    <w:rsid w:val="00693F57"/>
    <w:rsid w:val="00694372"/>
    <w:rsid w:val="00694913"/>
    <w:rsid w:val="006949A2"/>
    <w:rsid w:val="006959A8"/>
    <w:rsid w:val="00695F6C"/>
    <w:rsid w:val="00697669"/>
    <w:rsid w:val="00697819"/>
    <w:rsid w:val="00697DED"/>
    <w:rsid w:val="006A0349"/>
    <w:rsid w:val="006A1A3D"/>
    <w:rsid w:val="006A1E67"/>
    <w:rsid w:val="006A1FC4"/>
    <w:rsid w:val="006A4162"/>
    <w:rsid w:val="006A5D66"/>
    <w:rsid w:val="006A6D4E"/>
    <w:rsid w:val="006A7D43"/>
    <w:rsid w:val="006B14DD"/>
    <w:rsid w:val="006B2CA2"/>
    <w:rsid w:val="006B2CF0"/>
    <w:rsid w:val="006B42D6"/>
    <w:rsid w:val="006B493B"/>
    <w:rsid w:val="006B6269"/>
    <w:rsid w:val="006B6506"/>
    <w:rsid w:val="006B6ED6"/>
    <w:rsid w:val="006B781B"/>
    <w:rsid w:val="006C0166"/>
    <w:rsid w:val="006C09BD"/>
    <w:rsid w:val="006C217E"/>
    <w:rsid w:val="006C222F"/>
    <w:rsid w:val="006C2BB2"/>
    <w:rsid w:val="006C3C76"/>
    <w:rsid w:val="006C4B6B"/>
    <w:rsid w:val="006C5E74"/>
    <w:rsid w:val="006C716C"/>
    <w:rsid w:val="006C7E1F"/>
    <w:rsid w:val="006D10B5"/>
    <w:rsid w:val="006D140D"/>
    <w:rsid w:val="006D19BA"/>
    <w:rsid w:val="006D1C01"/>
    <w:rsid w:val="006D272D"/>
    <w:rsid w:val="006D3197"/>
    <w:rsid w:val="006D31CC"/>
    <w:rsid w:val="006D379B"/>
    <w:rsid w:val="006D3839"/>
    <w:rsid w:val="006D3DE4"/>
    <w:rsid w:val="006D5284"/>
    <w:rsid w:val="006D6FE4"/>
    <w:rsid w:val="006D7E1E"/>
    <w:rsid w:val="006E1425"/>
    <w:rsid w:val="006E1B8F"/>
    <w:rsid w:val="006E29C0"/>
    <w:rsid w:val="006E2F46"/>
    <w:rsid w:val="006E409D"/>
    <w:rsid w:val="006E42BD"/>
    <w:rsid w:val="006E4A81"/>
    <w:rsid w:val="006E5522"/>
    <w:rsid w:val="006E65D0"/>
    <w:rsid w:val="006E778C"/>
    <w:rsid w:val="006F0110"/>
    <w:rsid w:val="006F06EE"/>
    <w:rsid w:val="006F0D2C"/>
    <w:rsid w:val="006F1BD3"/>
    <w:rsid w:val="006F2CF2"/>
    <w:rsid w:val="006F47F1"/>
    <w:rsid w:val="006F4A60"/>
    <w:rsid w:val="006F507B"/>
    <w:rsid w:val="006F5EF1"/>
    <w:rsid w:val="006F68FC"/>
    <w:rsid w:val="006F71CB"/>
    <w:rsid w:val="006F79A7"/>
    <w:rsid w:val="006F7CE5"/>
    <w:rsid w:val="006F7EBE"/>
    <w:rsid w:val="0070083C"/>
    <w:rsid w:val="00701DA0"/>
    <w:rsid w:val="00701F86"/>
    <w:rsid w:val="00703354"/>
    <w:rsid w:val="00703B4A"/>
    <w:rsid w:val="007040C5"/>
    <w:rsid w:val="00705B0B"/>
    <w:rsid w:val="00705CAD"/>
    <w:rsid w:val="00711A74"/>
    <w:rsid w:val="00713024"/>
    <w:rsid w:val="00714159"/>
    <w:rsid w:val="00714551"/>
    <w:rsid w:val="0071570A"/>
    <w:rsid w:val="00716A54"/>
    <w:rsid w:val="00716F18"/>
    <w:rsid w:val="00717C25"/>
    <w:rsid w:val="0072024E"/>
    <w:rsid w:val="00721C43"/>
    <w:rsid w:val="00725B43"/>
    <w:rsid w:val="00726F8D"/>
    <w:rsid w:val="0073073E"/>
    <w:rsid w:val="00731769"/>
    <w:rsid w:val="00731D8E"/>
    <w:rsid w:val="00731EF1"/>
    <w:rsid w:val="00732A30"/>
    <w:rsid w:val="00732F7C"/>
    <w:rsid w:val="007339FB"/>
    <w:rsid w:val="00733FAA"/>
    <w:rsid w:val="007348EB"/>
    <w:rsid w:val="007352D5"/>
    <w:rsid w:val="0073549E"/>
    <w:rsid w:val="0073559C"/>
    <w:rsid w:val="00736796"/>
    <w:rsid w:val="00736EE2"/>
    <w:rsid w:val="00737CC0"/>
    <w:rsid w:val="00741DDB"/>
    <w:rsid w:val="00742907"/>
    <w:rsid w:val="007440D1"/>
    <w:rsid w:val="00744754"/>
    <w:rsid w:val="00746A34"/>
    <w:rsid w:val="007477BE"/>
    <w:rsid w:val="00747878"/>
    <w:rsid w:val="007537FC"/>
    <w:rsid w:val="00755C49"/>
    <w:rsid w:val="00760F8D"/>
    <w:rsid w:val="00761062"/>
    <w:rsid w:val="00761B20"/>
    <w:rsid w:val="00762A47"/>
    <w:rsid w:val="00762B93"/>
    <w:rsid w:val="00763138"/>
    <w:rsid w:val="007642C7"/>
    <w:rsid w:val="00765392"/>
    <w:rsid w:val="00765714"/>
    <w:rsid w:val="00765F0F"/>
    <w:rsid w:val="00766521"/>
    <w:rsid w:val="00766AEC"/>
    <w:rsid w:val="00766B11"/>
    <w:rsid w:val="00767CAF"/>
    <w:rsid w:val="00771862"/>
    <w:rsid w:val="00771F76"/>
    <w:rsid w:val="007724E0"/>
    <w:rsid w:val="0077292A"/>
    <w:rsid w:val="00773F7D"/>
    <w:rsid w:val="00776DC9"/>
    <w:rsid w:val="007776AD"/>
    <w:rsid w:val="00777FD1"/>
    <w:rsid w:val="00780F4C"/>
    <w:rsid w:val="007810B5"/>
    <w:rsid w:val="00781F59"/>
    <w:rsid w:val="007824ED"/>
    <w:rsid w:val="00782809"/>
    <w:rsid w:val="00783C24"/>
    <w:rsid w:val="0078543F"/>
    <w:rsid w:val="00785E7A"/>
    <w:rsid w:val="00790A6A"/>
    <w:rsid w:val="0079291E"/>
    <w:rsid w:val="00796127"/>
    <w:rsid w:val="0079616E"/>
    <w:rsid w:val="00797A7E"/>
    <w:rsid w:val="007A1589"/>
    <w:rsid w:val="007A166F"/>
    <w:rsid w:val="007A196C"/>
    <w:rsid w:val="007A4203"/>
    <w:rsid w:val="007A5AA7"/>
    <w:rsid w:val="007A5D45"/>
    <w:rsid w:val="007A6627"/>
    <w:rsid w:val="007A7164"/>
    <w:rsid w:val="007A74B1"/>
    <w:rsid w:val="007A7CE1"/>
    <w:rsid w:val="007B0336"/>
    <w:rsid w:val="007B0B19"/>
    <w:rsid w:val="007B1581"/>
    <w:rsid w:val="007B1DDB"/>
    <w:rsid w:val="007B1E45"/>
    <w:rsid w:val="007B31FC"/>
    <w:rsid w:val="007B4C94"/>
    <w:rsid w:val="007B5335"/>
    <w:rsid w:val="007B5BB0"/>
    <w:rsid w:val="007B6186"/>
    <w:rsid w:val="007B6A50"/>
    <w:rsid w:val="007B6AB2"/>
    <w:rsid w:val="007B6E2F"/>
    <w:rsid w:val="007C08DC"/>
    <w:rsid w:val="007C1585"/>
    <w:rsid w:val="007C1669"/>
    <w:rsid w:val="007C220E"/>
    <w:rsid w:val="007C237E"/>
    <w:rsid w:val="007C2C00"/>
    <w:rsid w:val="007C32E3"/>
    <w:rsid w:val="007C3B5E"/>
    <w:rsid w:val="007C51D3"/>
    <w:rsid w:val="007C591E"/>
    <w:rsid w:val="007C60A4"/>
    <w:rsid w:val="007C7C9D"/>
    <w:rsid w:val="007C7F32"/>
    <w:rsid w:val="007C7F75"/>
    <w:rsid w:val="007D0462"/>
    <w:rsid w:val="007D0D0B"/>
    <w:rsid w:val="007D1DDC"/>
    <w:rsid w:val="007D45B8"/>
    <w:rsid w:val="007D685E"/>
    <w:rsid w:val="007E2166"/>
    <w:rsid w:val="007E276F"/>
    <w:rsid w:val="007E44D1"/>
    <w:rsid w:val="007E4ECC"/>
    <w:rsid w:val="007E5D30"/>
    <w:rsid w:val="007E6166"/>
    <w:rsid w:val="007E6BA7"/>
    <w:rsid w:val="007E7223"/>
    <w:rsid w:val="007E762B"/>
    <w:rsid w:val="007E78FE"/>
    <w:rsid w:val="007F107F"/>
    <w:rsid w:val="007F1E85"/>
    <w:rsid w:val="007F23A2"/>
    <w:rsid w:val="007F3244"/>
    <w:rsid w:val="007F4D67"/>
    <w:rsid w:val="007F5034"/>
    <w:rsid w:val="007F6054"/>
    <w:rsid w:val="007F62EE"/>
    <w:rsid w:val="007F70C1"/>
    <w:rsid w:val="007F7894"/>
    <w:rsid w:val="00800436"/>
    <w:rsid w:val="00800DE1"/>
    <w:rsid w:val="00804A14"/>
    <w:rsid w:val="00804ECA"/>
    <w:rsid w:val="00805E40"/>
    <w:rsid w:val="008063A0"/>
    <w:rsid w:val="0080732E"/>
    <w:rsid w:val="00807966"/>
    <w:rsid w:val="0081059C"/>
    <w:rsid w:val="00810923"/>
    <w:rsid w:val="00810A21"/>
    <w:rsid w:val="0081150E"/>
    <w:rsid w:val="00811F13"/>
    <w:rsid w:val="008124F0"/>
    <w:rsid w:val="00816A45"/>
    <w:rsid w:val="00817081"/>
    <w:rsid w:val="00820784"/>
    <w:rsid w:val="0082094C"/>
    <w:rsid w:val="00821418"/>
    <w:rsid w:val="00821899"/>
    <w:rsid w:val="008235AD"/>
    <w:rsid w:val="00824D0E"/>
    <w:rsid w:val="00825373"/>
    <w:rsid w:val="00825A44"/>
    <w:rsid w:val="008268DA"/>
    <w:rsid w:val="008269E2"/>
    <w:rsid w:val="008270A4"/>
    <w:rsid w:val="00831345"/>
    <w:rsid w:val="008320D8"/>
    <w:rsid w:val="00834761"/>
    <w:rsid w:val="00841791"/>
    <w:rsid w:val="008417F5"/>
    <w:rsid w:val="008429FE"/>
    <w:rsid w:val="00842B83"/>
    <w:rsid w:val="0084463A"/>
    <w:rsid w:val="0084529C"/>
    <w:rsid w:val="00845325"/>
    <w:rsid w:val="008456BA"/>
    <w:rsid w:val="008467CC"/>
    <w:rsid w:val="00847A43"/>
    <w:rsid w:val="00847C38"/>
    <w:rsid w:val="008507D2"/>
    <w:rsid w:val="00851416"/>
    <w:rsid w:val="00851EEA"/>
    <w:rsid w:val="008531AB"/>
    <w:rsid w:val="008540C8"/>
    <w:rsid w:val="00861D75"/>
    <w:rsid w:val="008635AB"/>
    <w:rsid w:val="008654E6"/>
    <w:rsid w:val="00865A6B"/>
    <w:rsid w:val="008665FB"/>
    <w:rsid w:val="008675FB"/>
    <w:rsid w:val="00867C6F"/>
    <w:rsid w:val="00870798"/>
    <w:rsid w:val="00870DF2"/>
    <w:rsid w:val="008737D0"/>
    <w:rsid w:val="0087384D"/>
    <w:rsid w:val="00873B20"/>
    <w:rsid w:val="00875B7F"/>
    <w:rsid w:val="00875BFB"/>
    <w:rsid w:val="0087763F"/>
    <w:rsid w:val="00877BD8"/>
    <w:rsid w:val="008810CA"/>
    <w:rsid w:val="008813B1"/>
    <w:rsid w:val="00881792"/>
    <w:rsid w:val="00883C1E"/>
    <w:rsid w:val="00887ACC"/>
    <w:rsid w:val="0089040B"/>
    <w:rsid w:val="008904D9"/>
    <w:rsid w:val="008913B0"/>
    <w:rsid w:val="00893611"/>
    <w:rsid w:val="00893AEC"/>
    <w:rsid w:val="008960D7"/>
    <w:rsid w:val="00896675"/>
    <w:rsid w:val="00896692"/>
    <w:rsid w:val="008978A5"/>
    <w:rsid w:val="00897FB9"/>
    <w:rsid w:val="008A1D6A"/>
    <w:rsid w:val="008A227A"/>
    <w:rsid w:val="008A3C19"/>
    <w:rsid w:val="008A589E"/>
    <w:rsid w:val="008A5AA0"/>
    <w:rsid w:val="008A5AAE"/>
    <w:rsid w:val="008A6BAD"/>
    <w:rsid w:val="008A6DE6"/>
    <w:rsid w:val="008A7967"/>
    <w:rsid w:val="008B27D0"/>
    <w:rsid w:val="008B2839"/>
    <w:rsid w:val="008B3D93"/>
    <w:rsid w:val="008B4415"/>
    <w:rsid w:val="008B5884"/>
    <w:rsid w:val="008B5CFB"/>
    <w:rsid w:val="008B6496"/>
    <w:rsid w:val="008B6CC8"/>
    <w:rsid w:val="008B7B6A"/>
    <w:rsid w:val="008C090E"/>
    <w:rsid w:val="008C0BA4"/>
    <w:rsid w:val="008C2C25"/>
    <w:rsid w:val="008C4D35"/>
    <w:rsid w:val="008C786D"/>
    <w:rsid w:val="008C7E92"/>
    <w:rsid w:val="008D0BFE"/>
    <w:rsid w:val="008D1905"/>
    <w:rsid w:val="008D2CE0"/>
    <w:rsid w:val="008D2D4B"/>
    <w:rsid w:val="008D4FD1"/>
    <w:rsid w:val="008D522E"/>
    <w:rsid w:val="008D566F"/>
    <w:rsid w:val="008D60B9"/>
    <w:rsid w:val="008E0832"/>
    <w:rsid w:val="008E3BD7"/>
    <w:rsid w:val="008E4DAC"/>
    <w:rsid w:val="008E615B"/>
    <w:rsid w:val="008E65DC"/>
    <w:rsid w:val="008E663C"/>
    <w:rsid w:val="008F01CD"/>
    <w:rsid w:val="008F028D"/>
    <w:rsid w:val="008F0890"/>
    <w:rsid w:val="008F1DAC"/>
    <w:rsid w:val="008F25C6"/>
    <w:rsid w:val="008F296F"/>
    <w:rsid w:val="008F7951"/>
    <w:rsid w:val="00900A42"/>
    <w:rsid w:val="00900CF1"/>
    <w:rsid w:val="00900D45"/>
    <w:rsid w:val="00902368"/>
    <w:rsid w:val="00903F3B"/>
    <w:rsid w:val="00904B0B"/>
    <w:rsid w:val="00904FCB"/>
    <w:rsid w:val="00905B10"/>
    <w:rsid w:val="00910320"/>
    <w:rsid w:val="009119D6"/>
    <w:rsid w:val="0091229F"/>
    <w:rsid w:val="0091311E"/>
    <w:rsid w:val="00913D30"/>
    <w:rsid w:val="009158FE"/>
    <w:rsid w:val="00915E81"/>
    <w:rsid w:val="009164A4"/>
    <w:rsid w:val="009219C9"/>
    <w:rsid w:val="009231EA"/>
    <w:rsid w:val="0092575C"/>
    <w:rsid w:val="00925A34"/>
    <w:rsid w:val="00925ABD"/>
    <w:rsid w:val="00925DF1"/>
    <w:rsid w:val="00925F2A"/>
    <w:rsid w:val="009310C6"/>
    <w:rsid w:val="00931C03"/>
    <w:rsid w:val="00933044"/>
    <w:rsid w:val="00933CF6"/>
    <w:rsid w:val="0094021C"/>
    <w:rsid w:val="00943CAA"/>
    <w:rsid w:val="009444EA"/>
    <w:rsid w:val="00944E9B"/>
    <w:rsid w:val="00946316"/>
    <w:rsid w:val="009465B2"/>
    <w:rsid w:val="009500D1"/>
    <w:rsid w:val="00952699"/>
    <w:rsid w:val="009538A5"/>
    <w:rsid w:val="00953B85"/>
    <w:rsid w:val="009547C9"/>
    <w:rsid w:val="009556A8"/>
    <w:rsid w:val="009562FC"/>
    <w:rsid w:val="00956A20"/>
    <w:rsid w:val="00957BD6"/>
    <w:rsid w:val="00957DF3"/>
    <w:rsid w:val="00957FFD"/>
    <w:rsid w:val="009621B5"/>
    <w:rsid w:val="00963209"/>
    <w:rsid w:val="00963BB5"/>
    <w:rsid w:val="009640B4"/>
    <w:rsid w:val="00964F6A"/>
    <w:rsid w:val="0096562E"/>
    <w:rsid w:val="00965A81"/>
    <w:rsid w:val="00967C92"/>
    <w:rsid w:val="00971A5B"/>
    <w:rsid w:val="009725A5"/>
    <w:rsid w:val="00974F57"/>
    <w:rsid w:val="00977855"/>
    <w:rsid w:val="00981BD5"/>
    <w:rsid w:val="009821E0"/>
    <w:rsid w:val="00982D3D"/>
    <w:rsid w:val="009833CA"/>
    <w:rsid w:val="0098342A"/>
    <w:rsid w:val="00984972"/>
    <w:rsid w:val="009856A8"/>
    <w:rsid w:val="00986089"/>
    <w:rsid w:val="00992B6D"/>
    <w:rsid w:val="00992D38"/>
    <w:rsid w:val="00994059"/>
    <w:rsid w:val="00994174"/>
    <w:rsid w:val="0099650B"/>
    <w:rsid w:val="0099736F"/>
    <w:rsid w:val="0099757B"/>
    <w:rsid w:val="009A026E"/>
    <w:rsid w:val="009A0503"/>
    <w:rsid w:val="009A05EF"/>
    <w:rsid w:val="009A1980"/>
    <w:rsid w:val="009A3504"/>
    <w:rsid w:val="009A5221"/>
    <w:rsid w:val="009A59C7"/>
    <w:rsid w:val="009A7B0E"/>
    <w:rsid w:val="009B1A4C"/>
    <w:rsid w:val="009B1AEF"/>
    <w:rsid w:val="009B2A76"/>
    <w:rsid w:val="009B34E7"/>
    <w:rsid w:val="009B38FE"/>
    <w:rsid w:val="009B4421"/>
    <w:rsid w:val="009B46F7"/>
    <w:rsid w:val="009B4B1E"/>
    <w:rsid w:val="009B6639"/>
    <w:rsid w:val="009C035C"/>
    <w:rsid w:val="009C0E89"/>
    <w:rsid w:val="009C18D6"/>
    <w:rsid w:val="009C1E2D"/>
    <w:rsid w:val="009C1FF6"/>
    <w:rsid w:val="009C2D51"/>
    <w:rsid w:val="009C2DCC"/>
    <w:rsid w:val="009C447D"/>
    <w:rsid w:val="009C4668"/>
    <w:rsid w:val="009C4A33"/>
    <w:rsid w:val="009C5021"/>
    <w:rsid w:val="009C50EF"/>
    <w:rsid w:val="009C696F"/>
    <w:rsid w:val="009C75A4"/>
    <w:rsid w:val="009C799E"/>
    <w:rsid w:val="009D094F"/>
    <w:rsid w:val="009D0F4E"/>
    <w:rsid w:val="009D355C"/>
    <w:rsid w:val="009D3D9D"/>
    <w:rsid w:val="009D4FAE"/>
    <w:rsid w:val="009D7065"/>
    <w:rsid w:val="009E12F6"/>
    <w:rsid w:val="009E1488"/>
    <w:rsid w:val="009E1A88"/>
    <w:rsid w:val="009E2D76"/>
    <w:rsid w:val="009E3967"/>
    <w:rsid w:val="009E4058"/>
    <w:rsid w:val="009E49CE"/>
    <w:rsid w:val="009E67B1"/>
    <w:rsid w:val="009E6A35"/>
    <w:rsid w:val="009F022A"/>
    <w:rsid w:val="009F0D9F"/>
    <w:rsid w:val="009F1761"/>
    <w:rsid w:val="009F2476"/>
    <w:rsid w:val="009F302B"/>
    <w:rsid w:val="009F4876"/>
    <w:rsid w:val="009F569D"/>
    <w:rsid w:val="009F5D3F"/>
    <w:rsid w:val="009F6527"/>
    <w:rsid w:val="00A008C8"/>
    <w:rsid w:val="00A0114B"/>
    <w:rsid w:val="00A02D4F"/>
    <w:rsid w:val="00A03270"/>
    <w:rsid w:val="00A045AD"/>
    <w:rsid w:val="00A04A0E"/>
    <w:rsid w:val="00A04FDC"/>
    <w:rsid w:val="00A05C8E"/>
    <w:rsid w:val="00A079A5"/>
    <w:rsid w:val="00A10227"/>
    <w:rsid w:val="00A107DC"/>
    <w:rsid w:val="00A11B73"/>
    <w:rsid w:val="00A11C13"/>
    <w:rsid w:val="00A1211A"/>
    <w:rsid w:val="00A125DB"/>
    <w:rsid w:val="00A13063"/>
    <w:rsid w:val="00A137BF"/>
    <w:rsid w:val="00A139DB"/>
    <w:rsid w:val="00A13C6C"/>
    <w:rsid w:val="00A15059"/>
    <w:rsid w:val="00A15229"/>
    <w:rsid w:val="00A15DC2"/>
    <w:rsid w:val="00A17368"/>
    <w:rsid w:val="00A176D5"/>
    <w:rsid w:val="00A211A6"/>
    <w:rsid w:val="00A2272B"/>
    <w:rsid w:val="00A22E3D"/>
    <w:rsid w:val="00A23032"/>
    <w:rsid w:val="00A25B02"/>
    <w:rsid w:val="00A27451"/>
    <w:rsid w:val="00A27672"/>
    <w:rsid w:val="00A311FD"/>
    <w:rsid w:val="00A31EF8"/>
    <w:rsid w:val="00A31FB2"/>
    <w:rsid w:val="00A335F3"/>
    <w:rsid w:val="00A3437A"/>
    <w:rsid w:val="00A349E2"/>
    <w:rsid w:val="00A4296A"/>
    <w:rsid w:val="00A43CED"/>
    <w:rsid w:val="00A46C5F"/>
    <w:rsid w:val="00A518A6"/>
    <w:rsid w:val="00A5196D"/>
    <w:rsid w:val="00A52736"/>
    <w:rsid w:val="00A53AA5"/>
    <w:rsid w:val="00A54CE0"/>
    <w:rsid w:val="00A54CE6"/>
    <w:rsid w:val="00A57067"/>
    <w:rsid w:val="00A63BF9"/>
    <w:rsid w:val="00A640C5"/>
    <w:rsid w:val="00A65235"/>
    <w:rsid w:val="00A6531A"/>
    <w:rsid w:val="00A655A6"/>
    <w:rsid w:val="00A66574"/>
    <w:rsid w:val="00A66A2C"/>
    <w:rsid w:val="00A704E7"/>
    <w:rsid w:val="00A71F19"/>
    <w:rsid w:val="00A720E6"/>
    <w:rsid w:val="00A7399A"/>
    <w:rsid w:val="00A73BE5"/>
    <w:rsid w:val="00A74103"/>
    <w:rsid w:val="00A760A7"/>
    <w:rsid w:val="00A76FFA"/>
    <w:rsid w:val="00A77505"/>
    <w:rsid w:val="00A808AB"/>
    <w:rsid w:val="00A80C93"/>
    <w:rsid w:val="00A811C4"/>
    <w:rsid w:val="00A82750"/>
    <w:rsid w:val="00A837CE"/>
    <w:rsid w:val="00A871AE"/>
    <w:rsid w:val="00A90DF3"/>
    <w:rsid w:val="00A92BED"/>
    <w:rsid w:val="00A92C37"/>
    <w:rsid w:val="00A930D0"/>
    <w:rsid w:val="00A93247"/>
    <w:rsid w:val="00A932BC"/>
    <w:rsid w:val="00A9482F"/>
    <w:rsid w:val="00A9488A"/>
    <w:rsid w:val="00A950F1"/>
    <w:rsid w:val="00A9544B"/>
    <w:rsid w:val="00A969D3"/>
    <w:rsid w:val="00A96C19"/>
    <w:rsid w:val="00A97373"/>
    <w:rsid w:val="00A97635"/>
    <w:rsid w:val="00A97E18"/>
    <w:rsid w:val="00AA06E9"/>
    <w:rsid w:val="00AA0A89"/>
    <w:rsid w:val="00AA3292"/>
    <w:rsid w:val="00AA36BB"/>
    <w:rsid w:val="00AA387D"/>
    <w:rsid w:val="00AA3A5A"/>
    <w:rsid w:val="00AA4EB8"/>
    <w:rsid w:val="00AA6D64"/>
    <w:rsid w:val="00AA76C1"/>
    <w:rsid w:val="00AA7A5E"/>
    <w:rsid w:val="00AB1724"/>
    <w:rsid w:val="00AB2D59"/>
    <w:rsid w:val="00AB56A7"/>
    <w:rsid w:val="00AB6C25"/>
    <w:rsid w:val="00AC2219"/>
    <w:rsid w:val="00AC2C5F"/>
    <w:rsid w:val="00AC4657"/>
    <w:rsid w:val="00AC577D"/>
    <w:rsid w:val="00AC61A7"/>
    <w:rsid w:val="00AC6BBE"/>
    <w:rsid w:val="00AC727B"/>
    <w:rsid w:val="00AD0E71"/>
    <w:rsid w:val="00AD1239"/>
    <w:rsid w:val="00AD146B"/>
    <w:rsid w:val="00AD1A5A"/>
    <w:rsid w:val="00AD1FB6"/>
    <w:rsid w:val="00AD39E9"/>
    <w:rsid w:val="00AD3FE2"/>
    <w:rsid w:val="00AD4EBB"/>
    <w:rsid w:val="00AD605E"/>
    <w:rsid w:val="00AD6071"/>
    <w:rsid w:val="00AE096C"/>
    <w:rsid w:val="00AE0AFB"/>
    <w:rsid w:val="00AE0B91"/>
    <w:rsid w:val="00AE3131"/>
    <w:rsid w:val="00AE4031"/>
    <w:rsid w:val="00AE44E4"/>
    <w:rsid w:val="00AE4F62"/>
    <w:rsid w:val="00AE5499"/>
    <w:rsid w:val="00AE5645"/>
    <w:rsid w:val="00AE5FB7"/>
    <w:rsid w:val="00AE77B0"/>
    <w:rsid w:val="00AE79B7"/>
    <w:rsid w:val="00AF1DED"/>
    <w:rsid w:val="00AF39C4"/>
    <w:rsid w:val="00AF3E7F"/>
    <w:rsid w:val="00AF49DD"/>
    <w:rsid w:val="00AF4A4C"/>
    <w:rsid w:val="00AF4E7D"/>
    <w:rsid w:val="00AF792A"/>
    <w:rsid w:val="00B01CE9"/>
    <w:rsid w:val="00B02F36"/>
    <w:rsid w:val="00B03AF1"/>
    <w:rsid w:val="00B04AC0"/>
    <w:rsid w:val="00B05625"/>
    <w:rsid w:val="00B06362"/>
    <w:rsid w:val="00B06D0F"/>
    <w:rsid w:val="00B10F1B"/>
    <w:rsid w:val="00B1206E"/>
    <w:rsid w:val="00B12BD4"/>
    <w:rsid w:val="00B14741"/>
    <w:rsid w:val="00B14A90"/>
    <w:rsid w:val="00B14DEF"/>
    <w:rsid w:val="00B159B4"/>
    <w:rsid w:val="00B16619"/>
    <w:rsid w:val="00B1661B"/>
    <w:rsid w:val="00B16ADD"/>
    <w:rsid w:val="00B21209"/>
    <w:rsid w:val="00B21387"/>
    <w:rsid w:val="00B2218B"/>
    <w:rsid w:val="00B2603B"/>
    <w:rsid w:val="00B26861"/>
    <w:rsid w:val="00B27253"/>
    <w:rsid w:val="00B310B0"/>
    <w:rsid w:val="00B314EA"/>
    <w:rsid w:val="00B31692"/>
    <w:rsid w:val="00B321F8"/>
    <w:rsid w:val="00B32485"/>
    <w:rsid w:val="00B34764"/>
    <w:rsid w:val="00B34C57"/>
    <w:rsid w:val="00B350CD"/>
    <w:rsid w:val="00B35D26"/>
    <w:rsid w:val="00B36107"/>
    <w:rsid w:val="00B363DC"/>
    <w:rsid w:val="00B364BF"/>
    <w:rsid w:val="00B4007C"/>
    <w:rsid w:val="00B40858"/>
    <w:rsid w:val="00B40F90"/>
    <w:rsid w:val="00B41016"/>
    <w:rsid w:val="00B41113"/>
    <w:rsid w:val="00B42081"/>
    <w:rsid w:val="00B428C0"/>
    <w:rsid w:val="00B43679"/>
    <w:rsid w:val="00B43D3F"/>
    <w:rsid w:val="00B44B5B"/>
    <w:rsid w:val="00B44CD3"/>
    <w:rsid w:val="00B451F9"/>
    <w:rsid w:val="00B520F7"/>
    <w:rsid w:val="00B52456"/>
    <w:rsid w:val="00B52731"/>
    <w:rsid w:val="00B54110"/>
    <w:rsid w:val="00B56214"/>
    <w:rsid w:val="00B571F5"/>
    <w:rsid w:val="00B61BA1"/>
    <w:rsid w:val="00B628A2"/>
    <w:rsid w:val="00B635A7"/>
    <w:rsid w:val="00B6428B"/>
    <w:rsid w:val="00B659C0"/>
    <w:rsid w:val="00B7088D"/>
    <w:rsid w:val="00B71296"/>
    <w:rsid w:val="00B715D0"/>
    <w:rsid w:val="00B71B36"/>
    <w:rsid w:val="00B72805"/>
    <w:rsid w:val="00B74FCF"/>
    <w:rsid w:val="00B8065F"/>
    <w:rsid w:val="00B83D49"/>
    <w:rsid w:val="00B843BD"/>
    <w:rsid w:val="00B84DE5"/>
    <w:rsid w:val="00B84E76"/>
    <w:rsid w:val="00B85731"/>
    <w:rsid w:val="00B85ADE"/>
    <w:rsid w:val="00B85C56"/>
    <w:rsid w:val="00B8695A"/>
    <w:rsid w:val="00B86ABB"/>
    <w:rsid w:val="00B87BBE"/>
    <w:rsid w:val="00B900EA"/>
    <w:rsid w:val="00B90490"/>
    <w:rsid w:val="00B91211"/>
    <w:rsid w:val="00B94D50"/>
    <w:rsid w:val="00B96466"/>
    <w:rsid w:val="00B97156"/>
    <w:rsid w:val="00B9759B"/>
    <w:rsid w:val="00BA0406"/>
    <w:rsid w:val="00BA55A7"/>
    <w:rsid w:val="00BA5FC6"/>
    <w:rsid w:val="00BB009A"/>
    <w:rsid w:val="00BB028E"/>
    <w:rsid w:val="00BB0C14"/>
    <w:rsid w:val="00BB1EEC"/>
    <w:rsid w:val="00BB4EF9"/>
    <w:rsid w:val="00BB5D05"/>
    <w:rsid w:val="00BB666F"/>
    <w:rsid w:val="00BB6A82"/>
    <w:rsid w:val="00BC0169"/>
    <w:rsid w:val="00BC01AD"/>
    <w:rsid w:val="00BC0E28"/>
    <w:rsid w:val="00BC20A1"/>
    <w:rsid w:val="00BC54DA"/>
    <w:rsid w:val="00BC5FF6"/>
    <w:rsid w:val="00BC6B62"/>
    <w:rsid w:val="00BC7C0F"/>
    <w:rsid w:val="00BD18A5"/>
    <w:rsid w:val="00BD1F88"/>
    <w:rsid w:val="00BD3037"/>
    <w:rsid w:val="00BD37C9"/>
    <w:rsid w:val="00BD447D"/>
    <w:rsid w:val="00BD4FCD"/>
    <w:rsid w:val="00BD56A8"/>
    <w:rsid w:val="00BD618B"/>
    <w:rsid w:val="00BD6E3F"/>
    <w:rsid w:val="00BD76E3"/>
    <w:rsid w:val="00BD7F28"/>
    <w:rsid w:val="00BE145E"/>
    <w:rsid w:val="00BE1AF8"/>
    <w:rsid w:val="00BE3D1A"/>
    <w:rsid w:val="00BE49E0"/>
    <w:rsid w:val="00BE6B37"/>
    <w:rsid w:val="00BF0474"/>
    <w:rsid w:val="00BF0757"/>
    <w:rsid w:val="00BF173D"/>
    <w:rsid w:val="00BF273E"/>
    <w:rsid w:val="00BF297D"/>
    <w:rsid w:val="00BF2F9D"/>
    <w:rsid w:val="00BF3F11"/>
    <w:rsid w:val="00BF5026"/>
    <w:rsid w:val="00BF54CA"/>
    <w:rsid w:val="00BF73F4"/>
    <w:rsid w:val="00BF7449"/>
    <w:rsid w:val="00C00D38"/>
    <w:rsid w:val="00C023C8"/>
    <w:rsid w:val="00C0359E"/>
    <w:rsid w:val="00C03AB8"/>
    <w:rsid w:val="00C04A1F"/>
    <w:rsid w:val="00C051EC"/>
    <w:rsid w:val="00C05FE5"/>
    <w:rsid w:val="00C1106D"/>
    <w:rsid w:val="00C1295A"/>
    <w:rsid w:val="00C1318F"/>
    <w:rsid w:val="00C134AA"/>
    <w:rsid w:val="00C14146"/>
    <w:rsid w:val="00C144C8"/>
    <w:rsid w:val="00C16228"/>
    <w:rsid w:val="00C16679"/>
    <w:rsid w:val="00C17302"/>
    <w:rsid w:val="00C22844"/>
    <w:rsid w:val="00C23DEF"/>
    <w:rsid w:val="00C241DD"/>
    <w:rsid w:val="00C25829"/>
    <w:rsid w:val="00C3075A"/>
    <w:rsid w:val="00C30AEE"/>
    <w:rsid w:val="00C30BEC"/>
    <w:rsid w:val="00C33511"/>
    <w:rsid w:val="00C344C6"/>
    <w:rsid w:val="00C36765"/>
    <w:rsid w:val="00C36E46"/>
    <w:rsid w:val="00C373D9"/>
    <w:rsid w:val="00C404F0"/>
    <w:rsid w:val="00C43506"/>
    <w:rsid w:val="00C4386D"/>
    <w:rsid w:val="00C43D82"/>
    <w:rsid w:val="00C4499B"/>
    <w:rsid w:val="00C45267"/>
    <w:rsid w:val="00C50714"/>
    <w:rsid w:val="00C5072F"/>
    <w:rsid w:val="00C50BB7"/>
    <w:rsid w:val="00C51054"/>
    <w:rsid w:val="00C51073"/>
    <w:rsid w:val="00C53027"/>
    <w:rsid w:val="00C5472E"/>
    <w:rsid w:val="00C55B17"/>
    <w:rsid w:val="00C55FF4"/>
    <w:rsid w:val="00C561B1"/>
    <w:rsid w:val="00C57AA4"/>
    <w:rsid w:val="00C60BA0"/>
    <w:rsid w:val="00C61CCB"/>
    <w:rsid w:val="00C629E4"/>
    <w:rsid w:val="00C644C2"/>
    <w:rsid w:val="00C64856"/>
    <w:rsid w:val="00C648FF"/>
    <w:rsid w:val="00C664DA"/>
    <w:rsid w:val="00C66587"/>
    <w:rsid w:val="00C678EF"/>
    <w:rsid w:val="00C70136"/>
    <w:rsid w:val="00C704B1"/>
    <w:rsid w:val="00C708AC"/>
    <w:rsid w:val="00C735E5"/>
    <w:rsid w:val="00C73E26"/>
    <w:rsid w:val="00C73EBD"/>
    <w:rsid w:val="00C741FF"/>
    <w:rsid w:val="00C7454A"/>
    <w:rsid w:val="00C7587F"/>
    <w:rsid w:val="00C75E0F"/>
    <w:rsid w:val="00C767A6"/>
    <w:rsid w:val="00C8092D"/>
    <w:rsid w:val="00C811AB"/>
    <w:rsid w:val="00C83C66"/>
    <w:rsid w:val="00C84863"/>
    <w:rsid w:val="00C848E6"/>
    <w:rsid w:val="00C84C28"/>
    <w:rsid w:val="00C85674"/>
    <w:rsid w:val="00C85CD7"/>
    <w:rsid w:val="00C8629F"/>
    <w:rsid w:val="00C9005D"/>
    <w:rsid w:val="00C902D4"/>
    <w:rsid w:val="00C9049E"/>
    <w:rsid w:val="00C919C8"/>
    <w:rsid w:val="00C91A5D"/>
    <w:rsid w:val="00C91BF1"/>
    <w:rsid w:val="00C921E5"/>
    <w:rsid w:val="00C926C9"/>
    <w:rsid w:val="00C92E60"/>
    <w:rsid w:val="00C92F17"/>
    <w:rsid w:val="00C93947"/>
    <w:rsid w:val="00C94343"/>
    <w:rsid w:val="00CA02AC"/>
    <w:rsid w:val="00CA0321"/>
    <w:rsid w:val="00CA163C"/>
    <w:rsid w:val="00CA2157"/>
    <w:rsid w:val="00CA230C"/>
    <w:rsid w:val="00CA2930"/>
    <w:rsid w:val="00CA369C"/>
    <w:rsid w:val="00CA45E3"/>
    <w:rsid w:val="00CA4C2A"/>
    <w:rsid w:val="00CA5916"/>
    <w:rsid w:val="00CA6BBB"/>
    <w:rsid w:val="00CB0012"/>
    <w:rsid w:val="00CB2A71"/>
    <w:rsid w:val="00CB31AA"/>
    <w:rsid w:val="00CB44AE"/>
    <w:rsid w:val="00CB458A"/>
    <w:rsid w:val="00CB7029"/>
    <w:rsid w:val="00CC15F3"/>
    <w:rsid w:val="00CC1785"/>
    <w:rsid w:val="00CC36D9"/>
    <w:rsid w:val="00CC4100"/>
    <w:rsid w:val="00CC5C72"/>
    <w:rsid w:val="00CC6E7F"/>
    <w:rsid w:val="00CD0B64"/>
    <w:rsid w:val="00CD4481"/>
    <w:rsid w:val="00CD4696"/>
    <w:rsid w:val="00CD5BB4"/>
    <w:rsid w:val="00CD62E6"/>
    <w:rsid w:val="00CD7689"/>
    <w:rsid w:val="00CD7CB6"/>
    <w:rsid w:val="00CE0707"/>
    <w:rsid w:val="00CE0B2B"/>
    <w:rsid w:val="00CE18AE"/>
    <w:rsid w:val="00CE1C72"/>
    <w:rsid w:val="00CE1F6F"/>
    <w:rsid w:val="00CE21A0"/>
    <w:rsid w:val="00CE35E8"/>
    <w:rsid w:val="00CE39D2"/>
    <w:rsid w:val="00CE3AF0"/>
    <w:rsid w:val="00CE48D5"/>
    <w:rsid w:val="00CE4BE4"/>
    <w:rsid w:val="00CE5CC7"/>
    <w:rsid w:val="00CE68FC"/>
    <w:rsid w:val="00CE6D3A"/>
    <w:rsid w:val="00CE730B"/>
    <w:rsid w:val="00CE765D"/>
    <w:rsid w:val="00CF017D"/>
    <w:rsid w:val="00CF07CD"/>
    <w:rsid w:val="00CF0BD7"/>
    <w:rsid w:val="00CF0FD8"/>
    <w:rsid w:val="00CF12C3"/>
    <w:rsid w:val="00CF1715"/>
    <w:rsid w:val="00CF436F"/>
    <w:rsid w:val="00CF445A"/>
    <w:rsid w:val="00CF5BDC"/>
    <w:rsid w:val="00CF5EA9"/>
    <w:rsid w:val="00CF6187"/>
    <w:rsid w:val="00CF6B70"/>
    <w:rsid w:val="00CF7627"/>
    <w:rsid w:val="00D00E1E"/>
    <w:rsid w:val="00D0185A"/>
    <w:rsid w:val="00D02923"/>
    <w:rsid w:val="00D02B50"/>
    <w:rsid w:val="00D0385B"/>
    <w:rsid w:val="00D03865"/>
    <w:rsid w:val="00D04106"/>
    <w:rsid w:val="00D043DA"/>
    <w:rsid w:val="00D04C1A"/>
    <w:rsid w:val="00D05494"/>
    <w:rsid w:val="00D106B8"/>
    <w:rsid w:val="00D10E87"/>
    <w:rsid w:val="00D14384"/>
    <w:rsid w:val="00D15295"/>
    <w:rsid w:val="00D15411"/>
    <w:rsid w:val="00D16CA1"/>
    <w:rsid w:val="00D16F9D"/>
    <w:rsid w:val="00D2041F"/>
    <w:rsid w:val="00D22BB4"/>
    <w:rsid w:val="00D2307C"/>
    <w:rsid w:val="00D2388D"/>
    <w:rsid w:val="00D2555A"/>
    <w:rsid w:val="00D26660"/>
    <w:rsid w:val="00D2692A"/>
    <w:rsid w:val="00D26FF6"/>
    <w:rsid w:val="00D352C4"/>
    <w:rsid w:val="00D35BA4"/>
    <w:rsid w:val="00D36AEA"/>
    <w:rsid w:val="00D37C0A"/>
    <w:rsid w:val="00D400A7"/>
    <w:rsid w:val="00D40B20"/>
    <w:rsid w:val="00D41878"/>
    <w:rsid w:val="00D4317C"/>
    <w:rsid w:val="00D433C0"/>
    <w:rsid w:val="00D45495"/>
    <w:rsid w:val="00D45D7B"/>
    <w:rsid w:val="00D477E3"/>
    <w:rsid w:val="00D50E51"/>
    <w:rsid w:val="00D51027"/>
    <w:rsid w:val="00D51634"/>
    <w:rsid w:val="00D52B12"/>
    <w:rsid w:val="00D53EFB"/>
    <w:rsid w:val="00D55326"/>
    <w:rsid w:val="00D56713"/>
    <w:rsid w:val="00D56991"/>
    <w:rsid w:val="00D571BA"/>
    <w:rsid w:val="00D5787E"/>
    <w:rsid w:val="00D60510"/>
    <w:rsid w:val="00D606CA"/>
    <w:rsid w:val="00D60BBE"/>
    <w:rsid w:val="00D61E67"/>
    <w:rsid w:val="00D62367"/>
    <w:rsid w:val="00D637A5"/>
    <w:rsid w:val="00D64457"/>
    <w:rsid w:val="00D66217"/>
    <w:rsid w:val="00D6657D"/>
    <w:rsid w:val="00D66D63"/>
    <w:rsid w:val="00D67DDC"/>
    <w:rsid w:val="00D70015"/>
    <w:rsid w:val="00D74AEB"/>
    <w:rsid w:val="00D77984"/>
    <w:rsid w:val="00D80F4D"/>
    <w:rsid w:val="00D81319"/>
    <w:rsid w:val="00D81378"/>
    <w:rsid w:val="00D82003"/>
    <w:rsid w:val="00D824D4"/>
    <w:rsid w:val="00D82872"/>
    <w:rsid w:val="00D82F3B"/>
    <w:rsid w:val="00D83050"/>
    <w:rsid w:val="00D83E5E"/>
    <w:rsid w:val="00D84122"/>
    <w:rsid w:val="00D845C8"/>
    <w:rsid w:val="00D85B2D"/>
    <w:rsid w:val="00D85F12"/>
    <w:rsid w:val="00D862DD"/>
    <w:rsid w:val="00D903DE"/>
    <w:rsid w:val="00D907F7"/>
    <w:rsid w:val="00D90C57"/>
    <w:rsid w:val="00D90F45"/>
    <w:rsid w:val="00D91034"/>
    <w:rsid w:val="00D92C08"/>
    <w:rsid w:val="00D93DB6"/>
    <w:rsid w:val="00D9436B"/>
    <w:rsid w:val="00D94AC6"/>
    <w:rsid w:val="00DA3213"/>
    <w:rsid w:val="00DA41C6"/>
    <w:rsid w:val="00DA4CDF"/>
    <w:rsid w:val="00DA56B6"/>
    <w:rsid w:val="00DB01F1"/>
    <w:rsid w:val="00DB079E"/>
    <w:rsid w:val="00DB09B2"/>
    <w:rsid w:val="00DB2A3D"/>
    <w:rsid w:val="00DB3494"/>
    <w:rsid w:val="00DB527D"/>
    <w:rsid w:val="00DB6AB3"/>
    <w:rsid w:val="00DB6BE7"/>
    <w:rsid w:val="00DB70DD"/>
    <w:rsid w:val="00DC0C68"/>
    <w:rsid w:val="00DC14F1"/>
    <w:rsid w:val="00DC1C4E"/>
    <w:rsid w:val="00DC2346"/>
    <w:rsid w:val="00DC25B6"/>
    <w:rsid w:val="00DC29AA"/>
    <w:rsid w:val="00DC2E2E"/>
    <w:rsid w:val="00DC3EC9"/>
    <w:rsid w:val="00DC4ACF"/>
    <w:rsid w:val="00DC6BA3"/>
    <w:rsid w:val="00DC7914"/>
    <w:rsid w:val="00DC79F1"/>
    <w:rsid w:val="00DD00F5"/>
    <w:rsid w:val="00DD0B11"/>
    <w:rsid w:val="00DD0C7E"/>
    <w:rsid w:val="00DD0D88"/>
    <w:rsid w:val="00DD0E20"/>
    <w:rsid w:val="00DD0F42"/>
    <w:rsid w:val="00DD3716"/>
    <w:rsid w:val="00DD49B6"/>
    <w:rsid w:val="00DD4D94"/>
    <w:rsid w:val="00DD655E"/>
    <w:rsid w:val="00DE04AF"/>
    <w:rsid w:val="00DE07D6"/>
    <w:rsid w:val="00DE17AD"/>
    <w:rsid w:val="00DE3038"/>
    <w:rsid w:val="00DE367F"/>
    <w:rsid w:val="00DE3E2E"/>
    <w:rsid w:val="00DE6F31"/>
    <w:rsid w:val="00DE7F21"/>
    <w:rsid w:val="00DF04F6"/>
    <w:rsid w:val="00DF10F7"/>
    <w:rsid w:val="00DF15B3"/>
    <w:rsid w:val="00DF1822"/>
    <w:rsid w:val="00DF1CB7"/>
    <w:rsid w:val="00DF30E4"/>
    <w:rsid w:val="00DF371F"/>
    <w:rsid w:val="00DF38BC"/>
    <w:rsid w:val="00DF411E"/>
    <w:rsid w:val="00DF412B"/>
    <w:rsid w:val="00E000F9"/>
    <w:rsid w:val="00E006B7"/>
    <w:rsid w:val="00E00E03"/>
    <w:rsid w:val="00E01772"/>
    <w:rsid w:val="00E01F4D"/>
    <w:rsid w:val="00E0223A"/>
    <w:rsid w:val="00E04605"/>
    <w:rsid w:val="00E0532E"/>
    <w:rsid w:val="00E07340"/>
    <w:rsid w:val="00E10ED8"/>
    <w:rsid w:val="00E11E00"/>
    <w:rsid w:val="00E12982"/>
    <w:rsid w:val="00E13943"/>
    <w:rsid w:val="00E141AA"/>
    <w:rsid w:val="00E1450C"/>
    <w:rsid w:val="00E146FB"/>
    <w:rsid w:val="00E162BF"/>
    <w:rsid w:val="00E163D3"/>
    <w:rsid w:val="00E16850"/>
    <w:rsid w:val="00E20F70"/>
    <w:rsid w:val="00E2182B"/>
    <w:rsid w:val="00E2207E"/>
    <w:rsid w:val="00E23894"/>
    <w:rsid w:val="00E23D94"/>
    <w:rsid w:val="00E24476"/>
    <w:rsid w:val="00E2688C"/>
    <w:rsid w:val="00E268D0"/>
    <w:rsid w:val="00E279D1"/>
    <w:rsid w:val="00E312D2"/>
    <w:rsid w:val="00E32A17"/>
    <w:rsid w:val="00E32A4B"/>
    <w:rsid w:val="00E33DE1"/>
    <w:rsid w:val="00E34886"/>
    <w:rsid w:val="00E34EA4"/>
    <w:rsid w:val="00E3532F"/>
    <w:rsid w:val="00E363E9"/>
    <w:rsid w:val="00E3694D"/>
    <w:rsid w:val="00E37234"/>
    <w:rsid w:val="00E37EB7"/>
    <w:rsid w:val="00E40111"/>
    <w:rsid w:val="00E4038F"/>
    <w:rsid w:val="00E43CEA"/>
    <w:rsid w:val="00E4449A"/>
    <w:rsid w:val="00E44605"/>
    <w:rsid w:val="00E50120"/>
    <w:rsid w:val="00E51340"/>
    <w:rsid w:val="00E5195F"/>
    <w:rsid w:val="00E521CB"/>
    <w:rsid w:val="00E52443"/>
    <w:rsid w:val="00E537F4"/>
    <w:rsid w:val="00E54310"/>
    <w:rsid w:val="00E547FB"/>
    <w:rsid w:val="00E55A7F"/>
    <w:rsid w:val="00E568C9"/>
    <w:rsid w:val="00E60F11"/>
    <w:rsid w:val="00E612F4"/>
    <w:rsid w:val="00E625ED"/>
    <w:rsid w:val="00E6298E"/>
    <w:rsid w:val="00E62DDA"/>
    <w:rsid w:val="00E630D4"/>
    <w:rsid w:val="00E63482"/>
    <w:rsid w:val="00E64259"/>
    <w:rsid w:val="00E64A5A"/>
    <w:rsid w:val="00E660C1"/>
    <w:rsid w:val="00E669CF"/>
    <w:rsid w:val="00E66B30"/>
    <w:rsid w:val="00E66FD4"/>
    <w:rsid w:val="00E672FD"/>
    <w:rsid w:val="00E7009D"/>
    <w:rsid w:val="00E71E3E"/>
    <w:rsid w:val="00E71FC9"/>
    <w:rsid w:val="00E73DAB"/>
    <w:rsid w:val="00E73E39"/>
    <w:rsid w:val="00E76B8B"/>
    <w:rsid w:val="00E770C5"/>
    <w:rsid w:val="00E77C12"/>
    <w:rsid w:val="00E81183"/>
    <w:rsid w:val="00E81990"/>
    <w:rsid w:val="00E828F9"/>
    <w:rsid w:val="00E828FF"/>
    <w:rsid w:val="00E83124"/>
    <w:rsid w:val="00E8469D"/>
    <w:rsid w:val="00E84B12"/>
    <w:rsid w:val="00E8615B"/>
    <w:rsid w:val="00E8631C"/>
    <w:rsid w:val="00E8793E"/>
    <w:rsid w:val="00E90479"/>
    <w:rsid w:val="00E907AC"/>
    <w:rsid w:val="00E93908"/>
    <w:rsid w:val="00E93C15"/>
    <w:rsid w:val="00E93F2E"/>
    <w:rsid w:val="00E94266"/>
    <w:rsid w:val="00E96390"/>
    <w:rsid w:val="00EA12EA"/>
    <w:rsid w:val="00EA201F"/>
    <w:rsid w:val="00EA3453"/>
    <w:rsid w:val="00EA3572"/>
    <w:rsid w:val="00EA3999"/>
    <w:rsid w:val="00EA47CE"/>
    <w:rsid w:val="00EA4C2B"/>
    <w:rsid w:val="00EA6678"/>
    <w:rsid w:val="00EA6D07"/>
    <w:rsid w:val="00EA788F"/>
    <w:rsid w:val="00EB0C4F"/>
    <w:rsid w:val="00EB0CF4"/>
    <w:rsid w:val="00EB1F17"/>
    <w:rsid w:val="00EB27EF"/>
    <w:rsid w:val="00EB2ADE"/>
    <w:rsid w:val="00EB37CB"/>
    <w:rsid w:val="00EB41C7"/>
    <w:rsid w:val="00EB5554"/>
    <w:rsid w:val="00EB5EBA"/>
    <w:rsid w:val="00EB7331"/>
    <w:rsid w:val="00EB77CC"/>
    <w:rsid w:val="00EB7964"/>
    <w:rsid w:val="00EB7C6D"/>
    <w:rsid w:val="00EB7E86"/>
    <w:rsid w:val="00EC0117"/>
    <w:rsid w:val="00EC045B"/>
    <w:rsid w:val="00EC10B9"/>
    <w:rsid w:val="00EC255D"/>
    <w:rsid w:val="00EC291A"/>
    <w:rsid w:val="00EC33E4"/>
    <w:rsid w:val="00EC4B79"/>
    <w:rsid w:val="00EC4E31"/>
    <w:rsid w:val="00EC64EE"/>
    <w:rsid w:val="00EC7D49"/>
    <w:rsid w:val="00EC7DC7"/>
    <w:rsid w:val="00ED0B61"/>
    <w:rsid w:val="00ED0DD9"/>
    <w:rsid w:val="00ED11C5"/>
    <w:rsid w:val="00ED16BF"/>
    <w:rsid w:val="00ED27CB"/>
    <w:rsid w:val="00ED75C2"/>
    <w:rsid w:val="00EE062C"/>
    <w:rsid w:val="00EE0DA2"/>
    <w:rsid w:val="00EE2864"/>
    <w:rsid w:val="00EE2BD3"/>
    <w:rsid w:val="00EE54EC"/>
    <w:rsid w:val="00EF0459"/>
    <w:rsid w:val="00EF2C42"/>
    <w:rsid w:val="00EF3C64"/>
    <w:rsid w:val="00EF4DC2"/>
    <w:rsid w:val="00EF5B37"/>
    <w:rsid w:val="00EF6FF4"/>
    <w:rsid w:val="00EF7E6A"/>
    <w:rsid w:val="00F01242"/>
    <w:rsid w:val="00F019C1"/>
    <w:rsid w:val="00F01F61"/>
    <w:rsid w:val="00F022DC"/>
    <w:rsid w:val="00F02DC5"/>
    <w:rsid w:val="00F03B80"/>
    <w:rsid w:val="00F0413B"/>
    <w:rsid w:val="00F04C20"/>
    <w:rsid w:val="00F060E8"/>
    <w:rsid w:val="00F06101"/>
    <w:rsid w:val="00F07813"/>
    <w:rsid w:val="00F10739"/>
    <w:rsid w:val="00F139FD"/>
    <w:rsid w:val="00F13CBC"/>
    <w:rsid w:val="00F150C0"/>
    <w:rsid w:val="00F16487"/>
    <w:rsid w:val="00F17B6A"/>
    <w:rsid w:val="00F21E76"/>
    <w:rsid w:val="00F22338"/>
    <w:rsid w:val="00F228A7"/>
    <w:rsid w:val="00F236A7"/>
    <w:rsid w:val="00F25A98"/>
    <w:rsid w:val="00F31F7B"/>
    <w:rsid w:val="00F322FE"/>
    <w:rsid w:val="00F32924"/>
    <w:rsid w:val="00F345C4"/>
    <w:rsid w:val="00F34CE5"/>
    <w:rsid w:val="00F35129"/>
    <w:rsid w:val="00F4032E"/>
    <w:rsid w:val="00F40F0C"/>
    <w:rsid w:val="00F4154E"/>
    <w:rsid w:val="00F4197B"/>
    <w:rsid w:val="00F422D6"/>
    <w:rsid w:val="00F42857"/>
    <w:rsid w:val="00F42866"/>
    <w:rsid w:val="00F43602"/>
    <w:rsid w:val="00F43D0C"/>
    <w:rsid w:val="00F45198"/>
    <w:rsid w:val="00F45EE9"/>
    <w:rsid w:val="00F46086"/>
    <w:rsid w:val="00F46CBB"/>
    <w:rsid w:val="00F470D1"/>
    <w:rsid w:val="00F47A16"/>
    <w:rsid w:val="00F47EB9"/>
    <w:rsid w:val="00F531E6"/>
    <w:rsid w:val="00F559E0"/>
    <w:rsid w:val="00F6192C"/>
    <w:rsid w:val="00F6212B"/>
    <w:rsid w:val="00F637F3"/>
    <w:rsid w:val="00F64CCC"/>
    <w:rsid w:val="00F65C78"/>
    <w:rsid w:val="00F667A8"/>
    <w:rsid w:val="00F676AF"/>
    <w:rsid w:val="00F676B9"/>
    <w:rsid w:val="00F70CD4"/>
    <w:rsid w:val="00F70E56"/>
    <w:rsid w:val="00F71591"/>
    <w:rsid w:val="00F7266D"/>
    <w:rsid w:val="00F72C83"/>
    <w:rsid w:val="00F75C5C"/>
    <w:rsid w:val="00F76214"/>
    <w:rsid w:val="00F76F2C"/>
    <w:rsid w:val="00F80526"/>
    <w:rsid w:val="00F84316"/>
    <w:rsid w:val="00F846CE"/>
    <w:rsid w:val="00F854DD"/>
    <w:rsid w:val="00F85903"/>
    <w:rsid w:val="00F8590B"/>
    <w:rsid w:val="00F908B2"/>
    <w:rsid w:val="00F91CD5"/>
    <w:rsid w:val="00F91CEC"/>
    <w:rsid w:val="00F92133"/>
    <w:rsid w:val="00F92EE3"/>
    <w:rsid w:val="00F92F79"/>
    <w:rsid w:val="00F93CBE"/>
    <w:rsid w:val="00F9526D"/>
    <w:rsid w:val="00F97918"/>
    <w:rsid w:val="00FA2E22"/>
    <w:rsid w:val="00FA3711"/>
    <w:rsid w:val="00FA37BF"/>
    <w:rsid w:val="00FA3F9A"/>
    <w:rsid w:val="00FA75EF"/>
    <w:rsid w:val="00FA7883"/>
    <w:rsid w:val="00FB01E4"/>
    <w:rsid w:val="00FB057D"/>
    <w:rsid w:val="00FB0662"/>
    <w:rsid w:val="00FB095A"/>
    <w:rsid w:val="00FB0A6B"/>
    <w:rsid w:val="00FB322B"/>
    <w:rsid w:val="00FB35FF"/>
    <w:rsid w:val="00FB4302"/>
    <w:rsid w:val="00FB62C6"/>
    <w:rsid w:val="00FC167D"/>
    <w:rsid w:val="00FC1B63"/>
    <w:rsid w:val="00FC2C6E"/>
    <w:rsid w:val="00FC72B3"/>
    <w:rsid w:val="00FC7D6C"/>
    <w:rsid w:val="00FD0C9F"/>
    <w:rsid w:val="00FD4298"/>
    <w:rsid w:val="00FD4B1E"/>
    <w:rsid w:val="00FD54ED"/>
    <w:rsid w:val="00FD5A7D"/>
    <w:rsid w:val="00FD6996"/>
    <w:rsid w:val="00FD6B05"/>
    <w:rsid w:val="00FE000D"/>
    <w:rsid w:val="00FE0863"/>
    <w:rsid w:val="00FE0AA8"/>
    <w:rsid w:val="00FE25C6"/>
    <w:rsid w:val="00FE6823"/>
    <w:rsid w:val="00FE798E"/>
    <w:rsid w:val="00FF0FC9"/>
    <w:rsid w:val="00FF15AB"/>
    <w:rsid w:val="00FF38AF"/>
    <w:rsid w:val="00FF4109"/>
    <w:rsid w:val="00FF4A35"/>
    <w:rsid w:val="00FF4ACF"/>
    <w:rsid w:val="00FF6A3F"/>
    <w:rsid w:val="00FF6AAC"/>
    <w:rsid w:val="0184DBB6"/>
    <w:rsid w:val="01A65BA1"/>
    <w:rsid w:val="0290A783"/>
    <w:rsid w:val="02DB2330"/>
    <w:rsid w:val="02F351B4"/>
    <w:rsid w:val="0342B0F6"/>
    <w:rsid w:val="042DBC67"/>
    <w:rsid w:val="04A38726"/>
    <w:rsid w:val="04FFCDFC"/>
    <w:rsid w:val="05346A1D"/>
    <w:rsid w:val="066C0B6B"/>
    <w:rsid w:val="06A64969"/>
    <w:rsid w:val="078CDB1D"/>
    <w:rsid w:val="07B9743F"/>
    <w:rsid w:val="07B9F8A7"/>
    <w:rsid w:val="09405F1C"/>
    <w:rsid w:val="09B7D6B5"/>
    <w:rsid w:val="0A0A7A50"/>
    <w:rsid w:val="0A9AD581"/>
    <w:rsid w:val="0BE6B14F"/>
    <w:rsid w:val="0C2DB777"/>
    <w:rsid w:val="0C59B869"/>
    <w:rsid w:val="0CF32CC8"/>
    <w:rsid w:val="0DC5C150"/>
    <w:rsid w:val="0DFB6A76"/>
    <w:rsid w:val="0FF09609"/>
    <w:rsid w:val="10B3F8AF"/>
    <w:rsid w:val="111F6AFA"/>
    <w:rsid w:val="124849C9"/>
    <w:rsid w:val="15424844"/>
    <w:rsid w:val="16BD3605"/>
    <w:rsid w:val="16CB80E6"/>
    <w:rsid w:val="17BD902F"/>
    <w:rsid w:val="1AF7BF35"/>
    <w:rsid w:val="1B8FFB77"/>
    <w:rsid w:val="1E96A118"/>
    <w:rsid w:val="20145E48"/>
    <w:rsid w:val="22D21FEE"/>
    <w:rsid w:val="235AE06C"/>
    <w:rsid w:val="23AE47F2"/>
    <w:rsid w:val="23C10247"/>
    <w:rsid w:val="25C1AAF3"/>
    <w:rsid w:val="25D75F69"/>
    <w:rsid w:val="26B1689A"/>
    <w:rsid w:val="26F22D0B"/>
    <w:rsid w:val="274D5269"/>
    <w:rsid w:val="27860DC1"/>
    <w:rsid w:val="27B19B7B"/>
    <w:rsid w:val="27F54AE1"/>
    <w:rsid w:val="28C882EE"/>
    <w:rsid w:val="291AE8F0"/>
    <w:rsid w:val="2A31807D"/>
    <w:rsid w:val="2BDF0850"/>
    <w:rsid w:val="2CC75A0E"/>
    <w:rsid w:val="2EA10968"/>
    <w:rsid w:val="2F401606"/>
    <w:rsid w:val="2FBDDB5C"/>
    <w:rsid w:val="30090F9A"/>
    <w:rsid w:val="30893B2F"/>
    <w:rsid w:val="342C818A"/>
    <w:rsid w:val="3532FEA2"/>
    <w:rsid w:val="35DE3071"/>
    <w:rsid w:val="378009ED"/>
    <w:rsid w:val="37A81FF6"/>
    <w:rsid w:val="3A20F53E"/>
    <w:rsid w:val="3B417BB9"/>
    <w:rsid w:val="3C2D23D4"/>
    <w:rsid w:val="3D10190A"/>
    <w:rsid w:val="3D2E0710"/>
    <w:rsid w:val="3F4314A8"/>
    <w:rsid w:val="406DF461"/>
    <w:rsid w:val="406F511D"/>
    <w:rsid w:val="40985324"/>
    <w:rsid w:val="410C989A"/>
    <w:rsid w:val="410D4437"/>
    <w:rsid w:val="413D9AEF"/>
    <w:rsid w:val="42763D53"/>
    <w:rsid w:val="4314211E"/>
    <w:rsid w:val="44F80819"/>
    <w:rsid w:val="46026929"/>
    <w:rsid w:val="48205842"/>
    <w:rsid w:val="49BEFD02"/>
    <w:rsid w:val="4A915E72"/>
    <w:rsid w:val="4BFD5D39"/>
    <w:rsid w:val="4C0E726D"/>
    <w:rsid w:val="4D0F0FC1"/>
    <w:rsid w:val="4D70B66B"/>
    <w:rsid w:val="4DCBF589"/>
    <w:rsid w:val="4F592BDA"/>
    <w:rsid w:val="4F8C8602"/>
    <w:rsid w:val="514F85E1"/>
    <w:rsid w:val="520DE694"/>
    <w:rsid w:val="5246E835"/>
    <w:rsid w:val="555EE463"/>
    <w:rsid w:val="561E2FC3"/>
    <w:rsid w:val="56A209E4"/>
    <w:rsid w:val="57849801"/>
    <w:rsid w:val="584B691F"/>
    <w:rsid w:val="5850E934"/>
    <w:rsid w:val="59647F86"/>
    <w:rsid w:val="5DF0F4E5"/>
    <w:rsid w:val="5FDFC417"/>
    <w:rsid w:val="63C8B53C"/>
    <w:rsid w:val="63CCE1A2"/>
    <w:rsid w:val="6552D8EE"/>
    <w:rsid w:val="66622493"/>
    <w:rsid w:val="69F86B87"/>
    <w:rsid w:val="6A01128E"/>
    <w:rsid w:val="6A8158AC"/>
    <w:rsid w:val="6AC3298F"/>
    <w:rsid w:val="6AE0A1B0"/>
    <w:rsid w:val="6BF7EC87"/>
    <w:rsid w:val="6C8D417F"/>
    <w:rsid w:val="6D122F95"/>
    <w:rsid w:val="6EB4374F"/>
    <w:rsid w:val="6EEE0C3D"/>
    <w:rsid w:val="6F08F0A3"/>
    <w:rsid w:val="6F0B5C7E"/>
    <w:rsid w:val="6F1F5650"/>
    <w:rsid w:val="6FE1E9B5"/>
    <w:rsid w:val="738D118E"/>
    <w:rsid w:val="76CD7870"/>
    <w:rsid w:val="78B9C5CF"/>
    <w:rsid w:val="78E7E698"/>
    <w:rsid w:val="7A0BD445"/>
    <w:rsid w:val="7A47CEB8"/>
    <w:rsid w:val="7A8E8CEB"/>
    <w:rsid w:val="7B889488"/>
    <w:rsid w:val="7BDA8D95"/>
    <w:rsid w:val="7C6D89CF"/>
    <w:rsid w:val="7D2F0B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3E4C53"/>
  <w15:chartTrackingRefBased/>
  <w15:docId w15:val="{7503223D-B2A7-4B60-BC4D-D388DAEF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0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0F9"/>
    <w:rPr>
      <w:sz w:val="20"/>
      <w:szCs w:val="20"/>
    </w:rPr>
  </w:style>
  <w:style w:type="character" w:styleId="FootnoteReference">
    <w:name w:val="footnote reference"/>
    <w:basedOn w:val="DefaultParagraphFont"/>
    <w:uiPriority w:val="99"/>
    <w:semiHidden/>
    <w:unhideWhenUsed/>
    <w:rsid w:val="00E000F9"/>
    <w:rPr>
      <w:vertAlign w:val="superscript"/>
    </w:rPr>
  </w:style>
  <w:style w:type="paragraph" w:styleId="ListParagraph">
    <w:name w:val="List Paragraph"/>
    <w:basedOn w:val="Normal"/>
    <w:uiPriority w:val="34"/>
    <w:qFormat/>
    <w:rsid w:val="00F72C83"/>
    <w:pPr>
      <w:ind w:left="720"/>
      <w:contextualSpacing/>
    </w:pPr>
  </w:style>
  <w:style w:type="character" w:styleId="CommentReference">
    <w:name w:val="annotation reference"/>
    <w:basedOn w:val="DefaultParagraphFont"/>
    <w:uiPriority w:val="99"/>
    <w:semiHidden/>
    <w:unhideWhenUsed/>
    <w:rsid w:val="004A21B6"/>
    <w:rPr>
      <w:sz w:val="16"/>
      <w:szCs w:val="16"/>
    </w:rPr>
  </w:style>
  <w:style w:type="paragraph" w:styleId="CommentText">
    <w:name w:val="annotation text"/>
    <w:basedOn w:val="Normal"/>
    <w:link w:val="CommentTextChar"/>
    <w:uiPriority w:val="99"/>
    <w:unhideWhenUsed/>
    <w:rsid w:val="004A21B6"/>
    <w:pPr>
      <w:spacing w:line="240" w:lineRule="auto"/>
    </w:pPr>
    <w:rPr>
      <w:sz w:val="20"/>
      <w:szCs w:val="20"/>
    </w:rPr>
  </w:style>
  <w:style w:type="character" w:customStyle="1" w:styleId="CommentTextChar">
    <w:name w:val="Comment Text Char"/>
    <w:basedOn w:val="DefaultParagraphFont"/>
    <w:link w:val="CommentText"/>
    <w:uiPriority w:val="99"/>
    <w:rsid w:val="004A21B6"/>
    <w:rPr>
      <w:sz w:val="20"/>
      <w:szCs w:val="20"/>
    </w:rPr>
  </w:style>
  <w:style w:type="paragraph" w:styleId="Header">
    <w:name w:val="header"/>
    <w:basedOn w:val="Normal"/>
    <w:link w:val="HeaderChar"/>
    <w:unhideWhenUsed/>
    <w:rsid w:val="00FF38AF"/>
    <w:pPr>
      <w:tabs>
        <w:tab w:val="center" w:pos="4680"/>
        <w:tab w:val="right" w:pos="9360"/>
      </w:tabs>
      <w:spacing w:after="0" w:line="240" w:lineRule="auto"/>
    </w:pPr>
  </w:style>
  <w:style w:type="character" w:customStyle="1" w:styleId="HeaderChar">
    <w:name w:val="Header Char"/>
    <w:basedOn w:val="DefaultParagraphFont"/>
    <w:link w:val="Header"/>
    <w:rsid w:val="00FF38AF"/>
  </w:style>
  <w:style w:type="paragraph" w:styleId="Footer">
    <w:name w:val="footer"/>
    <w:basedOn w:val="Normal"/>
    <w:link w:val="FooterChar"/>
    <w:uiPriority w:val="99"/>
    <w:unhideWhenUsed/>
    <w:rsid w:val="00FF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8AF"/>
  </w:style>
  <w:style w:type="paragraph" w:styleId="Revision">
    <w:name w:val="Revision"/>
    <w:hidden/>
    <w:uiPriority w:val="99"/>
    <w:semiHidden/>
    <w:rsid w:val="00BF3F11"/>
    <w:pPr>
      <w:spacing w:after="0" w:line="240" w:lineRule="auto"/>
    </w:pPr>
  </w:style>
  <w:style w:type="paragraph" w:styleId="CommentSubject">
    <w:name w:val="annotation subject"/>
    <w:basedOn w:val="CommentText"/>
    <w:next w:val="CommentText"/>
    <w:link w:val="CommentSubjectChar"/>
    <w:uiPriority w:val="99"/>
    <w:semiHidden/>
    <w:unhideWhenUsed/>
    <w:rsid w:val="008531AB"/>
    <w:rPr>
      <w:b/>
      <w:bCs/>
    </w:rPr>
  </w:style>
  <w:style w:type="character" w:customStyle="1" w:styleId="CommentSubjectChar">
    <w:name w:val="Comment Subject Char"/>
    <w:basedOn w:val="CommentTextChar"/>
    <w:link w:val="CommentSubject"/>
    <w:uiPriority w:val="99"/>
    <w:semiHidden/>
    <w:rsid w:val="008531AB"/>
    <w:rPr>
      <w:b/>
      <w:bCs/>
      <w:sz w:val="20"/>
      <w:szCs w:val="20"/>
    </w:rPr>
  </w:style>
  <w:style w:type="character" w:styleId="Hyperlink">
    <w:name w:val="Hyperlink"/>
    <w:basedOn w:val="DefaultParagraphFont"/>
    <w:uiPriority w:val="99"/>
    <w:unhideWhenUsed/>
    <w:rsid w:val="003D322B"/>
    <w:rPr>
      <w:color w:val="0563C1" w:themeColor="hyperlink"/>
      <w:u w:val="single"/>
    </w:rPr>
  </w:style>
  <w:style w:type="character" w:styleId="UnresolvedMention">
    <w:name w:val="Unresolved Mention"/>
    <w:basedOn w:val="DefaultParagraphFont"/>
    <w:uiPriority w:val="99"/>
    <w:semiHidden/>
    <w:unhideWhenUsed/>
    <w:rsid w:val="003D322B"/>
    <w:rPr>
      <w:color w:val="605E5C"/>
      <w:shd w:val="clear" w:color="auto" w:fill="E1DFDD"/>
    </w:rPr>
  </w:style>
  <w:style w:type="character" w:styleId="Mention">
    <w:name w:val="Mention"/>
    <w:basedOn w:val="DefaultParagraphFont"/>
    <w:uiPriority w:val="99"/>
    <w:unhideWhenUsed/>
    <w:rsid w:val="00B97156"/>
    <w:rPr>
      <w:color w:val="2B579A"/>
      <w:shd w:val="clear" w:color="auto" w:fill="E1DFDD"/>
    </w:rPr>
  </w:style>
  <w:style w:type="character" w:customStyle="1" w:styleId="a">
    <w:name w:val="À"/>
    <w:basedOn w:val="DefaultParagraphFont"/>
    <w:uiPriority w:val="99"/>
    <w:rsid w:val="00AF49DD"/>
    <w:rPr>
      <w:rFonts w:cs="Times New Roman"/>
    </w:rPr>
  </w:style>
  <w:style w:type="table" w:styleId="TableGrid">
    <w:name w:val="Table Grid"/>
    <w:basedOn w:val="TableNormal"/>
    <w:uiPriority w:val="59"/>
    <w:rsid w:val="00AF49D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0DEC"/>
    <w:rPr>
      <w:color w:val="954F72" w:themeColor="followedHyperlink"/>
      <w:u w:val="single"/>
    </w:rPr>
  </w:style>
  <w:style w:type="table" w:customStyle="1" w:styleId="TableGrid1">
    <w:name w:val="Table Grid1"/>
    <w:basedOn w:val="TableNormal"/>
    <w:next w:val="TableGrid"/>
    <w:uiPriority w:val="39"/>
    <w:rsid w:val="00CF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E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erkins.ed.gov/pims" TargetMode="External" /><Relationship Id="rId11" Type="http://schemas.openxmlformats.org/officeDocument/2006/relationships/hyperlink" Target="https://cte.ed.gov/profiles/national-summary"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COMPS-3096/pdf/COMPS-3096.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OASP/legacy/files/Data-on-Earnings-Report.pdf" TargetMode="External" /><Relationship Id="rId2" Type="http://schemas.openxmlformats.org/officeDocument/2006/relationships/hyperlink" Target="https://www.urban.org/sites/default/files/2023-05/Job%20Quality%20and%20Wage%20Records.pdf" TargetMode="External" /><Relationship Id="rId3" Type="http://schemas.openxmlformats.org/officeDocument/2006/relationships/hyperlink" Target="https://obamawhitehouse.archives.gov/sites/default/files/omb/inforeg/pmc_survey_guidance_2006.pdf" TargetMode="External" /><Relationship Id="rId4" Type="http://schemas.openxmlformats.org/officeDocument/2006/relationships/hyperlink" Target="https://nrsweb.org/sites/default/files/Post-Exit-Guide-508.pdf" TargetMode="External" /><Relationship Id="rId5" Type="http://schemas.openxmlformats.org/officeDocument/2006/relationships/hyperlink" Target="https://www.bls.gov/web/ecec/ecec-government-datase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E2707-2F49-45DD-871C-B435A4003A96}">
  <ds:schemaRefs>
    <ds:schemaRef ds:uri="http://schemas.microsoft.com/sharepoint/v3/contenttype/forms"/>
  </ds:schemaRefs>
</ds:datastoreItem>
</file>

<file path=customXml/itemProps2.xml><?xml version="1.0" encoding="utf-8"?>
<ds:datastoreItem xmlns:ds="http://schemas.openxmlformats.org/officeDocument/2006/customXml" ds:itemID="{6262533E-0DC6-41A4-B785-B884AC6D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26D5A-BD2B-440F-AD2D-5D8B5A300786}">
  <ds:schemaRefs>
    <ds:schemaRef ds:uri="http://schemas.microsoft.com/office/2006/metadata/properties"/>
    <ds:schemaRef ds:uri="http://schemas.microsoft.com/office/infopath/2007/PartnerControls"/>
    <ds:schemaRef ds:uri="39840e33-be4d-483b-b284-1b3f1bba7c73"/>
    <ds:schemaRef ds:uri="2a2db8c4-56ab-4882-a5d0-0fe8165c6658"/>
  </ds:schemaRefs>
</ds:datastoreItem>
</file>

<file path=customXml/itemProps4.xml><?xml version="1.0" encoding="utf-8"?>
<ds:datastoreItem xmlns:ds="http://schemas.openxmlformats.org/officeDocument/2006/customXml" ds:itemID="{F5CEBAEB-734C-4836-81B6-7FF7DCE2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10354</Words>
  <Characters>59023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visio</Company>
  <LinksUpToDate>false</LinksUpToDate>
  <CharactersWithSpaces>69239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Pearson, Juliana</cp:lastModifiedBy>
  <cp:revision>17</cp:revision>
  <cp:lastPrinted>2024-09-09T12:03:00Z</cp:lastPrinted>
  <dcterms:created xsi:type="dcterms:W3CDTF">2024-11-26T17:33:00Z</dcterms:created>
  <dcterms:modified xsi:type="dcterms:W3CDTF">2024-11-26T17:34:00Z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MediaServiceImageTags">
    <vt:lpwstr/>
  </property>
</Properties>
</file>