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B0ADA" w:rsidRPr="00175BE2" w:rsidP="009B0ADA" w14:paraId="7257DBF8" w14:textId="262086AD">
      <w:pPr>
        <w:jc w:val="center"/>
        <w:rPr>
          <w:b/>
          <w:bCs/>
        </w:rPr>
      </w:pPr>
      <w:r w:rsidRPr="00175BE2">
        <w:rPr>
          <w:b/>
          <w:bCs/>
        </w:rPr>
        <w:t>Carl D. Perkins Career and Technical Education Act of 2006 (Perkins V)</w:t>
      </w:r>
    </w:p>
    <w:p w:rsidR="009B0ADA" w:rsidRPr="00175BE2" w:rsidP="009B0ADA" w14:paraId="2F9EBD0B" w14:textId="77777777">
      <w:pPr>
        <w:jc w:val="center"/>
        <w:rPr>
          <w:b/>
          <w:bCs/>
        </w:rPr>
      </w:pPr>
      <w:r w:rsidRPr="00175BE2">
        <w:rPr>
          <w:b/>
          <w:bCs/>
        </w:rPr>
        <w:t>Perkins V State Plan Guide Information Collection Request</w:t>
      </w:r>
    </w:p>
    <w:p w:rsidR="009B0ADA" w:rsidRPr="00175BE2" w:rsidP="009B0ADA" w14:paraId="77C723E3" w14:textId="77777777">
      <w:pPr>
        <w:jc w:val="center"/>
        <w:rPr>
          <w:b/>
          <w:bCs/>
        </w:rPr>
      </w:pPr>
      <w:r w:rsidRPr="00175BE2">
        <w:rPr>
          <w:b/>
          <w:bCs/>
        </w:rPr>
        <w:t>(OMB Control Number 1830-0029)</w:t>
      </w:r>
    </w:p>
    <w:p w:rsidR="009B0ADA" w:rsidP="009B0ADA" w14:paraId="2DB8B3F3" w14:textId="05EC6258">
      <w:pPr>
        <w:jc w:val="center"/>
      </w:pPr>
      <w:r w:rsidRPr="00175BE2">
        <w:rPr>
          <w:b/>
          <w:bCs/>
        </w:rPr>
        <w:t>Responses to Public Comments Received During the 60-Day Notice</w:t>
      </w:r>
    </w:p>
    <w:p w:rsidR="003453E8" w:rsidP="009B0ADA" w14:paraId="50EAA628" w14:textId="77777777">
      <w:pPr>
        <w:jc w:val="center"/>
      </w:pPr>
    </w:p>
    <w:p w:rsidR="003453E8" w:rsidP="003453E8" w14:paraId="29818C37" w14:textId="66C18B6B">
      <w:r>
        <w:t>On September 11, 2024, the U.S. Department of Education (ED) published for public comment</w:t>
      </w:r>
      <w:r w:rsidR="008C6CE8">
        <w:t>,</w:t>
      </w:r>
      <w:r>
        <w:t xml:space="preserve"> for a period of 60 days</w:t>
      </w:r>
      <w:r w:rsidR="00DA6967">
        <w:t>,</w:t>
      </w:r>
      <w:r>
        <w:t xml:space="preserve"> revisions to two information collection requests associated with the Carl D. Perkins Career and Technical Education Act of 2006 (Perkins V): (1) the Perkins V State Plan Guide (1830-0029), which solicits State plans from States; and (2) the Consolidated Annual Report (CAR) (1830-0569), which collects financial and performance information from States that receive Perkins V funds. </w:t>
      </w:r>
      <w:r w:rsidR="00D67475">
        <w:t xml:space="preserve"> </w:t>
      </w:r>
      <w:r>
        <w:t xml:space="preserve">On September 23, 2024, ED corrected an error in the publication of the proposed revised instrument for the CAR and posted the correct version. </w:t>
      </w:r>
      <w:r w:rsidR="00D67475">
        <w:t xml:space="preserve"> </w:t>
      </w:r>
      <w:r>
        <w:t>Due this error, on October 15, 2024, ED extended the public comment period on the CAR for two weeks, to November 26, 2024.</w:t>
      </w:r>
    </w:p>
    <w:p w:rsidR="003453E8" w:rsidRPr="00F53D57" w:rsidP="00F53D57" w14:paraId="5B18C454" w14:textId="1B0A59B7">
      <w:r>
        <w:t xml:space="preserve">We received 53 comments on the Perkins V State Plan Guide that were submitted through Regulations.gov.  We also received comments from State agency officials during briefings about the revisions to the two ICRs and in correspondence from members of Congress.  We address all of the comments we received on the Perkins </w:t>
      </w:r>
      <w:r w:rsidR="00491210">
        <w:t xml:space="preserve">V </w:t>
      </w:r>
      <w:r>
        <w:t>State Plan Guide in this document.</w:t>
      </w:r>
    </w:p>
    <w:p w:rsidR="00146AE1" w:rsidRPr="00716A2E" w:rsidP="009B0ADA" w14:paraId="0C563624" w14:textId="4CB8C815">
      <w:pPr>
        <w:rPr>
          <w:i/>
          <w:iCs/>
        </w:rPr>
      </w:pPr>
      <w:r w:rsidRPr="00716A2E">
        <w:rPr>
          <w:i/>
          <w:iCs/>
        </w:rPr>
        <w:t>Timing</w:t>
      </w:r>
      <w:r w:rsidR="00716A2E">
        <w:rPr>
          <w:i/>
          <w:iCs/>
        </w:rPr>
        <w:t xml:space="preserve"> of the </w:t>
      </w:r>
      <w:r w:rsidR="00534C4E">
        <w:rPr>
          <w:i/>
          <w:iCs/>
        </w:rPr>
        <w:t>Proposed Changes to the ICR</w:t>
      </w:r>
    </w:p>
    <w:p w:rsidR="00146AE1" w:rsidRPr="00C513BA" w:rsidP="470F4287" w14:paraId="52855DC3" w14:textId="5C4734FE">
      <w:pPr>
        <w:pStyle w:val="ListParagraph"/>
        <w:numPr>
          <w:ilvl w:val="0"/>
          <w:numId w:val="3"/>
        </w:numPr>
        <w:rPr>
          <w:b/>
        </w:rPr>
      </w:pPr>
      <w:r w:rsidRPr="470F4287">
        <w:rPr>
          <w:b/>
        </w:rPr>
        <w:t>Several c</w:t>
      </w:r>
      <w:r w:rsidRPr="470F4287" w:rsidR="00A5739F">
        <w:rPr>
          <w:b/>
        </w:rPr>
        <w:t xml:space="preserve">ommenters objected to the timing of the proposed changes and expressed the view that </w:t>
      </w:r>
      <w:r w:rsidRPr="470F4287" w:rsidR="00DF1F9D">
        <w:rPr>
          <w:b/>
        </w:rPr>
        <w:t>they would have been more appropriately implemented shortly after Congress reauthorized Perkins V.</w:t>
      </w:r>
    </w:p>
    <w:p w:rsidR="005B0592" w:rsidRPr="00BF4617" w:rsidP="00A11FFA" w14:paraId="5F465485" w14:textId="5F7BDCBD">
      <w:bookmarkStart w:id="0" w:name="_Hlk182464324"/>
      <w:r w:rsidRPr="671E0D3F">
        <w:rPr>
          <w:u w:val="single"/>
        </w:rPr>
        <w:t>Response</w:t>
      </w:r>
      <w:r>
        <w:t>:</w:t>
      </w:r>
      <w:r w:rsidR="001749DC">
        <w:t xml:space="preserve"> </w:t>
      </w:r>
      <w:r w:rsidR="00E546C4">
        <w:t xml:space="preserve"> </w:t>
      </w:r>
      <w:r w:rsidR="384F8102">
        <w:t xml:space="preserve">The Department </w:t>
      </w:r>
      <w:r w:rsidR="00DF3AEA">
        <w:t>appreciates the commenters</w:t>
      </w:r>
      <w:r w:rsidR="00277E3E">
        <w:t>’</w:t>
      </w:r>
      <w:r w:rsidR="00DF3AEA">
        <w:t xml:space="preserve"> </w:t>
      </w:r>
      <w:r w:rsidR="004D6504">
        <w:t xml:space="preserve">views </w:t>
      </w:r>
      <w:r w:rsidR="00535BAC">
        <w:t xml:space="preserve">about </w:t>
      </w:r>
      <w:r w:rsidR="004D6504">
        <w:t>timing</w:t>
      </w:r>
      <w:r w:rsidR="00535BAC">
        <w:t>, particularly from States that recently completed the development of new, four-year State plans</w:t>
      </w:r>
      <w:r w:rsidR="00DB60EA">
        <w:t xml:space="preserve">. </w:t>
      </w:r>
      <w:r w:rsidR="00B01E60">
        <w:t xml:space="preserve"> As such</w:t>
      </w:r>
      <w:r w:rsidR="00535BAC">
        <w:t xml:space="preserve">, we are now proposing to remove all of the proposed new narrative items from the State Plan Guide and intend to propose to include them in the Consolidated Annual Report (CAR) information collection request (ICR) (1830-0569) instead. </w:t>
      </w:r>
      <w:r w:rsidR="00ED713F">
        <w:t xml:space="preserve"> </w:t>
      </w:r>
      <w:r w:rsidR="00B01E60">
        <w:t xml:space="preserve">This action is described more fully in </w:t>
      </w:r>
      <w:r w:rsidR="008C702C">
        <w:t xml:space="preserve">response to </w:t>
      </w:r>
      <w:r w:rsidR="6451AC79">
        <w:t xml:space="preserve">comment </w:t>
      </w:r>
      <w:r w:rsidR="00B01E60">
        <w:t xml:space="preserve">3.  </w:t>
      </w:r>
      <w:r w:rsidR="00A305B0">
        <w:t>Regarding</w:t>
      </w:r>
      <w:r w:rsidR="001B67DA">
        <w:t xml:space="preserve"> the proposed data specifications, the Department</w:t>
      </w:r>
      <w:r w:rsidR="00DF3AEA">
        <w:t xml:space="preserve"> </w:t>
      </w:r>
      <w:r w:rsidR="384F8102">
        <w:t xml:space="preserve">first </w:t>
      </w:r>
      <w:r w:rsidR="001A689B">
        <w:t>received</w:t>
      </w:r>
      <w:r w:rsidR="384F8102">
        <w:t xml:space="preserve"> State </w:t>
      </w:r>
      <w:r w:rsidR="30E62238">
        <w:t>performance</w:t>
      </w:r>
      <w:r w:rsidR="384F8102">
        <w:t xml:space="preserve"> data on the implementation of Perkins V in 2022</w:t>
      </w:r>
      <w:r w:rsidR="009975CD">
        <w:t xml:space="preserve"> </w:t>
      </w:r>
      <w:r w:rsidR="00C17F92">
        <w:t xml:space="preserve">which was the first time </w:t>
      </w:r>
      <w:r w:rsidR="00931446">
        <w:t>the discussed</w:t>
      </w:r>
      <w:r w:rsidR="003C34D8">
        <w:t xml:space="preserve"> </w:t>
      </w:r>
      <w:r w:rsidR="007B7214">
        <w:t>measurement</w:t>
      </w:r>
      <w:r w:rsidR="003C34D8">
        <w:t xml:space="preserve"> issues were apparent.  </w:t>
      </w:r>
      <w:r w:rsidR="003B7AB8">
        <w:t>Subsequently, a</w:t>
      </w:r>
      <w:r w:rsidR="001C2147">
        <w:t>fter</w:t>
      </w:r>
      <w:r w:rsidRPr="001C2147" w:rsidR="001C2147">
        <w:t xml:space="preserve"> reviewing </w:t>
      </w:r>
      <w:r w:rsidR="2BA77C48">
        <w:t>the</w:t>
      </w:r>
      <w:r w:rsidR="001C2147">
        <w:t xml:space="preserve"> </w:t>
      </w:r>
      <w:r w:rsidRPr="001C2147" w:rsidR="001C2147">
        <w:t xml:space="preserve">three years of </w:t>
      </w:r>
      <w:r w:rsidR="001A689B">
        <w:t>available</w:t>
      </w:r>
      <w:r w:rsidR="5967F4A2">
        <w:t xml:space="preserve"> </w:t>
      </w:r>
      <w:r w:rsidRPr="001C2147" w:rsidR="001C2147">
        <w:t>State performance data</w:t>
      </w:r>
      <w:r w:rsidR="005F63BF">
        <w:t>,</w:t>
      </w:r>
      <w:r w:rsidR="003A1AAD">
        <w:t xml:space="preserve"> </w:t>
      </w:r>
      <w:r w:rsidRPr="001C2147" w:rsidR="001C2147">
        <w:t>along with information from States about how they have been calculating performance</w:t>
      </w:r>
      <w:r w:rsidR="00633CE7">
        <w:t xml:space="preserve">, </w:t>
      </w:r>
      <w:r w:rsidR="001C2147">
        <w:t xml:space="preserve">we </w:t>
      </w:r>
      <w:r w:rsidR="00312D56">
        <w:t>determined</w:t>
      </w:r>
      <w:r w:rsidRPr="001C2147" w:rsidR="001C2147">
        <w:t xml:space="preserve"> that States need clearer speciﬁcations for the data to be used in calculating the core indicators so that </w:t>
      </w:r>
      <w:r w:rsidR="00671361">
        <w:t xml:space="preserve">the Department is able to </w:t>
      </w:r>
      <w:r w:rsidR="00F01E66">
        <w:t xml:space="preserve">ensure that </w:t>
      </w:r>
      <w:r w:rsidR="00403990">
        <w:t>States performance measurement</w:t>
      </w:r>
      <w:r w:rsidRPr="001C2147" w:rsidR="001C2147">
        <w:t xml:space="preserve"> </w:t>
      </w:r>
      <w:r w:rsidRPr="001C2147" w:rsidR="001C2147">
        <w:t>is fully aligned with the law</w:t>
      </w:r>
      <w:r w:rsidR="00FE3CD3">
        <w:t>.</w:t>
      </w:r>
      <w:r w:rsidR="00FB5D37">
        <w:t xml:space="preserve"> </w:t>
      </w:r>
      <w:r w:rsidR="003A6E49">
        <w:t xml:space="preserve"> </w:t>
      </w:r>
      <w:r w:rsidR="00C15AAE">
        <w:t>We are providing</w:t>
      </w:r>
      <w:r w:rsidR="001C6EB8">
        <w:t xml:space="preserve"> States with</w:t>
      </w:r>
      <w:r w:rsidR="00C15AAE">
        <w:t xml:space="preserve"> a transition period to</w:t>
      </w:r>
      <w:r w:rsidR="00EA5FA7">
        <w:t xml:space="preserve"> implement </w:t>
      </w:r>
      <w:r w:rsidR="002563AC">
        <w:t xml:space="preserve">the proposed </w:t>
      </w:r>
      <w:r w:rsidR="001C6EB8">
        <w:t xml:space="preserve">numerator and denominator specifications </w:t>
      </w:r>
      <w:r w:rsidR="00D871B2">
        <w:t>to help address</w:t>
      </w:r>
      <w:r w:rsidR="00D06689">
        <w:t xml:space="preserve"> concerns regarding</w:t>
      </w:r>
      <w:r w:rsidR="00190551">
        <w:t xml:space="preserve"> the timing of these changes</w:t>
      </w:r>
      <w:r w:rsidR="00D06689">
        <w:t>.</w:t>
      </w:r>
    </w:p>
    <w:p w:rsidR="005B0592" w:rsidRPr="005B0592" w:rsidP="00A11FFA" w14:paraId="1EDF9140" w14:textId="05EB6BBC">
      <w:r w:rsidRPr="005B0592">
        <w:rPr>
          <w:u w:val="single"/>
        </w:rPr>
        <w:t>Changes</w:t>
      </w:r>
      <w:r>
        <w:t>:</w:t>
      </w:r>
      <w:r w:rsidR="00CC12BB">
        <w:t xml:space="preserve"> </w:t>
      </w:r>
      <w:r w:rsidR="000636C9">
        <w:t xml:space="preserve"> W</w:t>
      </w:r>
      <w:r w:rsidR="00CC12BB">
        <w:t>e are proposing to remove all of the proposed new narrative items from the State Plan Guide and intend to propose to include them in the CAR ICR (1830-0569) instead</w:t>
      </w:r>
      <w:r w:rsidR="000636C9">
        <w:t xml:space="preserve"> which is more fully </w:t>
      </w:r>
      <w:r w:rsidRPr="001F1794" w:rsidR="000636C9">
        <w:t>described in the response to #</w:t>
      </w:r>
      <w:r w:rsidR="000636C9">
        <w:t>3</w:t>
      </w:r>
      <w:r w:rsidR="006A6164">
        <w:t xml:space="preserve">. </w:t>
      </w:r>
    </w:p>
    <w:bookmarkEnd w:id="0"/>
    <w:p w:rsidR="00A11FFA" w:rsidRPr="00C513BA" w:rsidP="470F4287" w14:paraId="1FCAE974" w14:textId="53BCB6CD">
      <w:pPr>
        <w:pStyle w:val="ListParagraph"/>
        <w:numPr>
          <w:ilvl w:val="0"/>
          <w:numId w:val="3"/>
        </w:numPr>
        <w:rPr>
          <w:b/>
        </w:rPr>
      </w:pPr>
      <w:r w:rsidRPr="470F4287">
        <w:rPr>
          <w:b/>
        </w:rPr>
        <w:t xml:space="preserve">Several commenters recommended that the Department wait until after </w:t>
      </w:r>
      <w:r w:rsidR="00D05518">
        <w:rPr>
          <w:b/>
        </w:rPr>
        <w:t xml:space="preserve">the next </w:t>
      </w:r>
      <w:r w:rsidRPr="470F4287">
        <w:rPr>
          <w:b/>
        </w:rPr>
        <w:t xml:space="preserve">reauthorization of the Carl D. Perkins Career and Technical Education Act of 2006 before requesting the additional information it is proposing to ask States to include in their State Plans.  </w:t>
      </w:r>
      <w:r w:rsidRPr="470F4287" w:rsidR="00BE0A12">
        <w:rPr>
          <w:b/>
        </w:rPr>
        <w:t>Several</w:t>
      </w:r>
      <w:r w:rsidRPr="470F4287">
        <w:rPr>
          <w:b/>
        </w:rPr>
        <w:t xml:space="preserve"> commenter</w:t>
      </w:r>
      <w:r w:rsidRPr="470F4287" w:rsidR="00BE0A12">
        <w:rPr>
          <w:b/>
        </w:rPr>
        <w:t>s</w:t>
      </w:r>
      <w:r w:rsidRPr="470F4287">
        <w:rPr>
          <w:b/>
        </w:rPr>
        <w:t xml:space="preserve"> also suggested that the Department give States until FY 2028 to respond to the proposed changes in the State Plan Guide ICR.</w:t>
      </w:r>
    </w:p>
    <w:p w:rsidR="00360B53" w14:paraId="18B4C171" w14:textId="07453A79">
      <w:r w:rsidRPr="00422608">
        <w:rPr>
          <w:u w:val="single"/>
        </w:rPr>
        <w:t>Response</w:t>
      </w:r>
      <w:r>
        <w:t xml:space="preserve">:  </w:t>
      </w:r>
      <w:r w:rsidR="0071450F">
        <w:t xml:space="preserve">The Department appreciates the commenters’ views about timing, particularly from States that recently completed the development of new, four-year State plans.  </w:t>
      </w:r>
      <w:r w:rsidR="00E53E3A">
        <w:t>W</w:t>
      </w:r>
      <w:r w:rsidR="0071450F">
        <w:t xml:space="preserve">e are now proposing to remove all of the proposed new narrative items from the State Plan Guide and intend to propose to include them in the Consolidated Annual Report (CAR) information collection request (ICR) (1830-0569) instead.  This action is described more fully in </w:t>
      </w:r>
      <w:r w:rsidR="28F64ED0">
        <w:t xml:space="preserve">response </w:t>
      </w:r>
      <w:r w:rsidR="008C702C">
        <w:t xml:space="preserve">to comment </w:t>
      </w:r>
      <w:r w:rsidR="0071450F">
        <w:t>3</w:t>
      </w:r>
      <w:r w:rsidR="00E51EBE">
        <w:t xml:space="preserve"> and will </w:t>
      </w:r>
      <w:r w:rsidR="009D095D">
        <w:t>not require States</w:t>
      </w:r>
      <w:r w:rsidR="00874DB8">
        <w:t xml:space="preserve"> to </w:t>
      </w:r>
      <w:r w:rsidR="004D5495">
        <w:t>amend their State plan</w:t>
      </w:r>
      <w:r w:rsidR="0064322C">
        <w:t>s</w:t>
      </w:r>
      <w:r w:rsidR="0071450F">
        <w:t xml:space="preserve">.  </w:t>
      </w:r>
      <w:r w:rsidR="00A305B0">
        <w:t>Regarding</w:t>
      </w:r>
      <w:r w:rsidR="00CF2081">
        <w:t xml:space="preserve"> the </w:t>
      </w:r>
      <w:r w:rsidR="00A305B0">
        <w:t xml:space="preserve">proposed </w:t>
      </w:r>
      <w:r w:rsidR="00CF2081">
        <w:t>data specification</w:t>
      </w:r>
      <w:r w:rsidR="00A305B0">
        <w:t>s</w:t>
      </w:r>
      <w:r w:rsidR="00CF2081">
        <w:t xml:space="preserve">, </w:t>
      </w:r>
      <w:r w:rsidR="00317E94">
        <w:t>a</w:t>
      </w:r>
      <w:r w:rsidRPr="002D4513" w:rsidR="00317E94">
        <w:t>fter reviewing three years of State performance data, along with information from States about how they have been calculating performance</w:t>
      </w:r>
      <w:r w:rsidR="00317E94">
        <w:t xml:space="preserve"> in </w:t>
      </w:r>
      <w:r w:rsidR="00693419">
        <w:t>2022 which was the first time the discussed measurement issues were apparent</w:t>
      </w:r>
      <w:r w:rsidRPr="002D4513" w:rsidR="00317E94">
        <w:t xml:space="preserve">, we concluded that States need clearer specifications for the data to be </w:t>
      </w:r>
      <w:r w:rsidR="00317E94">
        <w:t xml:space="preserve">usable </w:t>
      </w:r>
      <w:r w:rsidRPr="002D4513" w:rsidR="00317E94">
        <w:t>in calculating the core indicators so that their performance measurement is fully aligned with the law</w:t>
      </w:r>
      <w:r w:rsidR="00317E94">
        <w:t>.</w:t>
      </w:r>
      <w:r w:rsidRPr="002D4513" w:rsidR="00317E94">
        <w:t xml:space="preserve"> </w:t>
      </w:r>
      <w:r w:rsidR="00317E94">
        <w:t xml:space="preserve"> </w:t>
      </w:r>
      <w:r w:rsidR="007B4435">
        <w:t xml:space="preserve">We </w:t>
      </w:r>
      <w:r w:rsidR="00B66E0C">
        <w:t xml:space="preserve">recognize that States will need </w:t>
      </w:r>
      <w:r w:rsidR="00DF5EAA">
        <w:t>time for</w:t>
      </w:r>
      <w:r w:rsidR="00B66E0C">
        <w:t xml:space="preserve"> transition</w:t>
      </w:r>
      <w:r w:rsidR="002F673B">
        <w:t xml:space="preserve">, </w:t>
      </w:r>
      <w:r w:rsidR="002D5D3B">
        <w:t>and we are proposing to give States approximately 18 months</w:t>
      </w:r>
      <w:r w:rsidR="002D5D3B">
        <w:t xml:space="preserve"> </w:t>
      </w:r>
      <w:r w:rsidR="002F673B">
        <w:t>in the proposed</w:t>
      </w:r>
      <w:r w:rsidR="003934CA">
        <w:t xml:space="preserve"> </w:t>
      </w:r>
      <w:r w:rsidR="00E27620">
        <w:t>data collection</w:t>
      </w:r>
      <w:r w:rsidR="003934CA">
        <w:t>.</w:t>
      </w:r>
      <w:r w:rsidR="00C34F37">
        <w:t xml:space="preserve">  </w:t>
      </w:r>
      <w:r w:rsidRPr="002D4513" w:rsidR="00317E94">
        <w:t>To that end, in the State Plan Guide and in the CAR</w:t>
      </w:r>
      <w:r w:rsidR="00A51453">
        <w:t xml:space="preserve"> ICR</w:t>
      </w:r>
      <w:r w:rsidRPr="002D4513" w:rsidR="00317E94">
        <w:t xml:space="preserve">, we are proposing data specifications for the numerators and denominators used to measure the core indicators of performance to assure that we report </w:t>
      </w:r>
      <w:r w:rsidR="00317E94">
        <w:t xml:space="preserve">accurate </w:t>
      </w:r>
      <w:r w:rsidRPr="002D4513" w:rsidR="00317E94">
        <w:t>program data to Congress as the law requires.</w:t>
      </w:r>
    </w:p>
    <w:p w:rsidR="005B0592" w:rsidP="00A11FFA" w14:paraId="4050B587" w14:textId="73922E7F">
      <w:r w:rsidRPr="005B0592">
        <w:rPr>
          <w:u w:val="single"/>
        </w:rPr>
        <w:t>Changes</w:t>
      </w:r>
      <w:r>
        <w:t xml:space="preserve">: </w:t>
      </w:r>
      <w:r w:rsidR="00E35833">
        <w:t xml:space="preserve"> W</w:t>
      </w:r>
      <w:r w:rsidRPr="001F1794" w:rsidR="00E35833">
        <w:t>e are proposing to remove all of the proposed new narrative items from the State Plan Guide and intend to propose to include them in the CAR ICR (1830-0569) instead</w:t>
      </w:r>
      <w:r w:rsidR="00E35833">
        <w:t xml:space="preserve"> which is more fully </w:t>
      </w:r>
      <w:r w:rsidRPr="001F1794" w:rsidR="00E35833">
        <w:t>described in the response to #</w:t>
      </w:r>
      <w:r w:rsidR="00E35833">
        <w:t>3</w:t>
      </w:r>
      <w:r>
        <w:t xml:space="preserve">. </w:t>
      </w:r>
    </w:p>
    <w:p w:rsidR="006E26C7" w:rsidRPr="006E26C7" w:rsidP="009B0ADA" w14:paraId="7350E0F8" w14:textId="77777777">
      <w:pPr>
        <w:rPr>
          <w:i/>
          <w:iCs/>
        </w:rPr>
      </w:pPr>
      <w:r w:rsidRPr="006E26C7">
        <w:rPr>
          <w:i/>
          <w:iCs/>
        </w:rPr>
        <w:t>New Narrative Items in the State Plan Guide</w:t>
      </w:r>
      <w:r w:rsidR="004B5227">
        <w:rPr>
          <w:i/>
          <w:iCs/>
        </w:rPr>
        <w:t xml:space="preserve"> </w:t>
      </w:r>
    </w:p>
    <w:p w:rsidR="005A7730" w:rsidRPr="005A7730" w:rsidP="009B0ADA" w14:paraId="00D37DA3" w14:textId="77777777">
      <w:pPr>
        <w:rPr>
          <w:u w:val="single"/>
        </w:rPr>
      </w:pPr>
      <w:r w:rsidRPr="005A7730">
        <w:rPr>
          <w:u w:val="single"/>
        </w:rPr>
        <w:t xml:space="preserve">Implications for State Plan </w:t>
      </w:r>
      <w:r w:rsidRPr="005A7730">
        <w:rPr>
          <w:u w:val="single"/>
        </w:rPr>
        <w:t>Development</w:t>
      </w:r>
    </w:p>
    <w:p w:rsidR="00422608" w:rsidRPr="00422608" w:rsidP="009B0ADA" w14:paraId="19CFCD9B" w14:textId="34C634CA">
      <w:pPr>
        <w:pStyle w:val="ListParagraph"/>
        <w:numPr>
          <w:ilvl w:val="0"/>
          <w:numId w:val="3"/>
        </w:numPr>
        <w:rPr>
          <w:rStyle w:val="ui-provider"/>
          <w:b/>
        </w:rPr>
      </w:pPr>
      <w:r>
        <w:rPr>
          <w:b/>
        </w:rPr>
        <w:t xml:space="preserve">Some commenters, </w:t>
      </w:r>
      <w:r w:rsidRPr="00422608">
        <w:rPr>
          <w:rStyle w:val="ui-provider"/>
          <w:b/>
          <w:bCs/>
          <w:color w:val="000000" w:themeColor="text1"/>
        </w:rPr>
        <w:t>particularly States and representatives of States, expressed concern that responding to the proposed new narrative items in the State Plan Guide, such as the proposed request that States describe briefly their policies on the use of Perkins V funds to serve students in the middle grades, would be considered “a significant and relevant change in the information or the assurances in the plan” under 34 CFR 76.140(b) that would require a State to carry out all of the activities Perkins V requires for the development of a new State plan</w:t>
      </w:r>
      <w:r w:rsidR="00625099">
        <w:rPr>
          <w:rStyle w:val="ui-provider"/>
          <w:b/>
          <w:bCs/>
          <w:color w:val="000000" w:themeColor="text1"/>
        </w:rPr>
        <w:t xml:space="preserve"> under </w:t>
      </w:r>
      <w:r w:rsidRPr="00422608" w:rsidR="00625099">
        <w:rPr>
          <w:rStyle w:val="ui-provider"/>
          <w:b/>
          <w:bCs/>
          <w:color w:val="000000" w:themeColor="text1"/>
        </w:rPr>
        <w:t>34 CFR 76.140(</w:t>
      </w:r>
      <w:r w:rsidR="00625099">
        <w:rPr>
          <w:rStyle w:val="ui-provider"/>
          <w:b/>
          <w:bCs/>
          <w:color w:val="000000" w:themeColor="text1"/>
        </w:rPr>
        <w:t>c</w:t>
      </w:r>
      <w:r w:rsidRPr="00422608" w:rsidR="00625099">
        <w:rPr>
          <w:rStyle w:val="ui-provider"/>
          <w:b/>
          <w:bCs/>
          <w:color w:val="000000" w:themeColor="text1"/>
        </w:rPr>
        <w:t>)</w:t>
      </w:r>
      <w:r w:rsidRPr="00422608">
        <w:rPr>
          <w:rStyle w:val="ui-provider"/>
          <w:b/>
          <w:bCs/>
          <w:color w:val="000000" w:themeColor="text1"/>
        </w:rPr>
        <w:t xml:space="preserve">, including engaging and consulting with stakeholders, conducting public hearings, and soliciting public comment.  Some of these commenters were from States that developed new, four-year State plans this year.  </w:t>
      </w:r>
      <w:r w:rsidRPr="00A51453">
        <w:rPr>
          <w:b/>
          <w:bCs/>
        </w:rPr>
        <w:t xml:space="preserve">Some commenters expressed concern that responding to the ICR would require State staff who now provide technical assistance to subrecipients to pause those activities in order to write a new State plan. </w:t>
      </w:r>
      <w:r w:rsidRPr="00422608">
        <w:rPr>
          <w:rStyle w:val="ui-provider"/>
          <w:color w:val="000000" w:themeColor="text1"/>
        </w:rPr>
        <w:t xml:space="preserve"> </w:t>
      </w:r>
      <w:r w:rsidRPr="00422608">
        <w:rPr>
          <w:rStyle w:val="ui-provider"/>
          <w:b/>
          <w:bCs/>
          <w:color w:val="000000" w:themeColor="text1"/>
        </w:rPr>
        <w:t xml:space="preserve">One commenter noted that including responses to these items in the State plan would make it difficult to change or adjust them later and expressed the view that States should have the flexibility to make changes without </w:t>
      </w:r>
      <w:r w:rsidRPr="00422608" w:rsidR="008A2D5C">
        <w:rPr>
          <w:rStyle w:val="ui-provider"/>
          <w:b/>
          <w:bCs/>
          <w:color w:val="000000" w:themeColor="text1"/>
        </w:rPr>
        <w:t xml:space="preserve">“federal oversight.” </w:t>
      </w:r>
      <w:r w:rsidRPr="00422608" w:rsidR="009B5246">
        <w:rPr>
          <w:rStyle w:val="ui-provider"/>
          <w:b/>
          <w:bCs/>
          <w:color w:val="000000" w:themeColor="text1"/>
        </w:rPr>
        <w:t xml:space="preserve"> </w:t>
      </w:r>
      <w:r w:rsidRPr="1EC1DECC" w:rsidR="00826DA5">
        <w:rPr>
          <w:rStyle w:val="ui-provider"/>
          <w:b/>
          <w:bCs/>
          <w:color w:val="000000" w:themeColor="text1"/>
        </w:rPr>
        <w:t>Additionally</w:t>
      </w:r>
      <w:r w:rsidRPr="00422608" w:rsidR="002313DF">
        <w:rPr>
          <w:rStyle w:val="ui-provider"/>
          <w:b/>
          <w:bCs/>
          <w:color w:val="000000" w:themeColor="text1"/>
        </w:rPr>
        <w:t>,</w:t>
      </w:r>
      <w:r w:rsidRPr="00422608" w:rsidR="008122B4">
        <w:rPr>
          <w:rStyle w:val="ui-provider"/>
          <w:b/>
          <w:bCs/>
          <w:color w:val="000000" w:themeColor="text1"/>
        </w:rPr>
        <w:t xml:space="preserve"> one commenter </w:t>
      </w:r>
      <w:r w:rsidRPr="00422608" w:rsidR="00895564">
        <w:rPr>
          <w:rStyle w:val="ui-provider"/>
          <w:b/>
          <w:bCs/>
          <w:color w:val="000000" w:themeColor="text1"/>
        </w:rPr>
        <w:t>noted that State</w:t>
      </w:r>
      <w:r w:rsidRPr="00422608" w:rsidR="00F255E9">
        <w:rPr>
          <w:rStyle w:val="ui-provider"/>
          <w:b/>
          <w:bCs/>
          <w:color w:val="000000" w:themeColor="text1"/>
        </w:rPr>
        <w:t xml:space="preserve"> approaches to determining whether a credential is “recognized” by industry may change over time</w:t>
      </w:r>
    </w:p>
    <w:p w:rsidR="009B0ADA" w:rsidRPr="009B0ADA" w:rsidP="009B0ADA" w14:paraId="2C354ECE" w14:textId="00074170">
      <w:pPr>
        <w:rPr>
          <w:rStyle w:val="ui-provider"/>
        </w:rPr>
      </w:pPr>
      <w:r w:rsidRPr="1EC1DECC">
        <w:rPr>
          <w:rStyle w:val="ui-provider"/>
          <w:u w:val="single"/>
        </w:rPr>
        <w:t>Response</w:t>
      </w:r>
      <w:r w:rsidRPr="1EC1DECC">
        <w:rPr>
          <w:rStyle w:val="ui-provider"/>
        </w:rPr>
        <w:t>:  We understand the concern</w:t>
      </w:r>
      <w:r w:rsidRPr="1EC1DECC" w:rsidR="006E26C7">
        <w:rPr>
          <w:rStyle w:val="ui-provider"/>
        </w:rPr>
        <w:t>s</w:t>
      </w:r>
      <w:r w:rsidRPr="1EC1DECC" w:rsidR="00A97A97">
        <w:rPr>
          <w:rStyle w:val="ui-provider"/>
        </w:rPr>
        <w:t xml:space="preserve"> offered by</w:t>
      </w:r>
      <w:r w:rsidRPr="1EC1DECC" w:rsidR="00557F75">
        <w:rPr>
          <w:rStyle w:val="ui-provider"/>
        </w:rPr>
        <w:t xml:space="preserve"> the</w:t>
      </w:r>
      <w:r w:rsidRPr="1EC1DECC" w:rsidR="00A97A97">
        <w:rPr>
          <w:rStyle w:val="ui-provider"/>
        </w:rPr>
        <w:t xml:space="preserve"> several commenters</w:t>
      </w:r>
      <w:r w:rsidRPr="1EC1DECC">
        <w:rPr>
          <w:rStyle w:val="ui-provider"/>
        </w:rPr>
        <w:t xml:space="preserve">.  </w:t>
      </w:r>
    </w:p>
    <w:p w:rsidR="00EB0B79" w:rsidP="009B0ADA" w14:paraId="3B56B0A5" w14:textId="4065C3D3">
      <w:r w:rsidRPr="009B5246">
        <w:rPr>
          <w:u w:val="single"/>
        </w:rPr>
        <w:t>Changes</w:t>
      </w:r>
      <w:r>
        <w:t xml:space="preserve">:  </w:t>
      </w:r>
      <w:r w:rsidR="00795ABB">
        <w:t xml:space="preserve">The State plan process </w:t>
      </w:r>
      <w:r w:rsidR="00AC5012">
        <w:t>includes</w:t>
      </w:r>
      <w:r w:rsidR="00795ABB">
        <w:t xml:space="preserve"> important</w:t>
      </w:r>
      <w:r w:rsidR="00AC5012">
        <w:t xml:space="preserve"> and robust</w:t>
      </w:r>
      <w:r w:rsidR="00795ABB">
        <w:t xml:space="preserve"> stakeholder consultation processes. However, a</w:t>
      </w:r>
      <w:r w:rsidR="006E26C7">
        <w:t xml:space="preserve">fter considering the concerns shared by commenters about the burden associated </w:t>
      </w:r>
      <w:r>
        <w:t xml:space="preserve">with developing new State plans, particularly </w:t>
      </w:r>
      <w:r w:rsidR="009D111E">
        <w:t xml:space="preserve">given the timing of implementation of Perkins V and comments </w:t>
      </w:r>
      <w:r>
        <w:t xml:space="preserve">from States that recently completed the development of new, four-year State plans, we are now proposing to remove </w:t>
      </w:r>
      <w:r w:rsidR="00C658F3">
        <w:t xml:space="preserve">all </w:t>
      </w:r>
      <w:r>
        <w:t xml:space="preserve">of the proposed new narrative items </w:t>
      </w:r>
      <w:r w:rsidR="00C658F3">
        <w:t>from</w:t>
      </w:r>
      <w:r>
        <w:t xml:space="preserve"> the State Plan Guide and intend to propose to include them in the Consolidated Annual Report (CAR) information collection request (ICR) (1830-0569) instead.  </w:t>
      </w:r>
      <w:r w:rsidR="00310DEB">
        <w:t>M</w:t>
      </w:r>
      <w:r w:rsidR="002A2066">
        <w:t xml:space="preserve">oving these narrative items from the State Plan Guide to the CAR ICR </w:t>
      </w:r>
      <w:r w:rsidR="00FB5969">
        <w:t>addresses the concerns shared by comment</w:t>
      </w:r>
      <w:r w:rsidR="0034590E">
        <w:t>er</w:t>
      </w:r>
      <w:r w:rsidR="00FB5969">
        <w:t>s related to burden associated with developing a new State plan</w:t>
      </w:r>
      <w:r w:rsidR="00DF454E">
        <w:t xml:space="preserve"> because this action would no longer be required</w:t>
      </w:r>
      <w:r w:rsidR="007A1C7A">
        <w:t>.</w:t>
      </w:r>
      <w:r w:rsidR="1C941066">
        <w:t xml:space="preserve"> </w:t>
      </w:r>
      <w:r w:rsidR="004104B2">
        <w:t xml:space="preserve"> </w:t>
      </w:r>
      <w:r w:rsidR="00F571CB">
        <w:t>T</w:t>
      </w:r>
      <w:r w:rsidR="1C941066">
        <w:t xml:space="preserve">he </w:t>
      </w:r>
      <w:r w:rsidR="002D44C2">
        <w:t xml:space="preserve">new </w:t>
      </w:r>
      <w:r w:rsidR="00F571CB">
        <w:t>proposed</w:t>
      </w:r>
      <w:r w:rsidR="002D44C2">
        <w:t xml:space="preserve"> </w:t>
      </w:r>
      <w:r w:rsidR="1C941066">
        <w:t xml:space="preserve">narrative items provide important information around how States are </w:t>
      </w:r>
      <w:r w:rsidR="4EE992E0">
        <w:t>utilizing</w:t>
      </w:r>
      <w:r w:rsidR="1C941066">
        <w:t xml:space="preserve"> </w:t>
      </w:r>
      <w:r w:rsidR="058DE03F">
        <w:t>their federal funds</w:t>
      </w:r>
      <w:r w:rsidR="33833AD2">
        <w:t xml:space="preserve">. </w:t>
      </w:r>
      <w:r w:rsidR="002D44C2">
        <w:t xml:space="preserve"> </w:t>
      </w:r>
      <w:r w:rsidRPr="00AA4B50" w:rsidR="7905BC22">
        <w:t>Specifically</w:t>
      </w:r>
      <w:r w:rsidR="33833AD2">
        <w:t xml:space="preserve">, these items </w:t>
      </w:r>
      <w:r w:rsidR="007A4EE7">
        <w:t xml:space="preserve">help to describe </w:t>
      </w:r>
      <w:r w:rsidR="33833AD2">
        <w:t xml:space="preserve">the data </w:t>
      </w:r>
      <w:r w:rsidR="007A4EE7">
        <w:t xml:space="preserve">that </w:t>
      </w:r>
      <w:r w:rsidR="33833AD2">
        <w:t xml:space="preserve">States </w:t>
      </w:r>
      <w:r w:rsidR="007A4EE7">
        <w:t>report</w:t>
      </w:r>
      <w:r w:rsidR="33833AD2">
        <w:t xml:space="preserve"> </w:t>
      </w:r>
      <w:r w:rsidR="00E97A98">
        <w:t xml:space="preserve">and </w:t>
      </w:r>
      <w:r w:rsidR="33833AD2">
        <w:t xml:space="preserve">how </w:t>
      </w:r>
      <w:r w:rsidR="00C45B91">
        <w:t>States</w:t>
      </w:r>
      <w:r w:rsidR="33833AD2">
        <w:t xml:space="preserve"> </w:t>
      </w:r>
      <w:r w:rsidR="414E0C11">
        <w:t>operationaliz</w:t>
      </w:r>
      <w:r w:rsidR="00C45B91">
        <w:t>e</w:t>
      </w:r>
      <w:r w:rsidR="414E0C11">
        <w:t xml:space="preserve"> </w:t>
      </w:r>
      <w:r w:rsidR="414E0C11">
        <w:t xml:space="preserve">different </w:t>
      </w:r>
      <w:r w:rsidR="76DA87F4">
        <w:t xml:space="preserve">requirements of the </w:t>
      </w:r>
      <w:r w:rsidR="00AD4372">
        <w:t>l</w:t>
      </w:r>
      <w:r w:rsidR="76DA87F4">
        <w:t xml:space="preserve">aw. </w:t>
      </w:r>
      <w:r w:rsidR="007879D7">
        <w:t xml:space="preserve"> </w:t>
      </w:r>
      <w:r w:rsidR="00792969">
        <w:t>By i</w:t>
      </w:r>
      <w:r w:rsidR="76DA87F4">
        <w:t>ncluding these items in the CAR</w:t>
      </w:r>
      <w:r w:rsidR="00494978">
        <w:t xml:space="preserve"> ICR</w:t>
      </w:r>
      <w:r w:rsidR="00D117E4">
        <w:t xml:space="preserve">, this action </w:t>
      </w:r>
      <w:r w:rsidR="61554B7A">
        <w:t>allows</w:t>
      </w:r>
      <w:r w:rsidR="00AD4372">
        <w:t xml:space="preserve"> S</w:t>
      </w:r>
      <w:r w:rsidR="61554B7A">
        <w:t xml:space="preserve">tates </w:t>
      </w:r>
      <w:r w:rsidR="00792A4D">
        <w:t xml:space="preserve">to update this information </w:t>
      </w:r>
      <w:r w:rsidR="00254DED">
        <w:t>annual</w:t>
      </w:r>
      <w:r w:rsidR="00792A4D">
        <w:t>ly</w:t>
      </w:r>
      <w:r w:rsidR="00254DED">
        <w:t xml:space="preserve"> </w:t>
      </w:r>
      <w:r w:rsidR="004446B6">
        <w:t>as needed</w:t>
      </w:r>
      <w:r w:rsidR="002D2276">
        <w:t xml:space="preserve">. </w:t>
      </w:r>
      <w:r w:rsidR="00830920">
        <w:t xml:space="preserve"> </w:t>
      </w:r>
      <w:r w:rsidR="002D2276">
        <w:t xml:space="preserve">Providing this information </w:t>
      </w:r>
      <w:r w:rsidR="00A759AA">
        <w:t xml:space="preserve">in the CAR </w:t>
      </w:r>
      <w:r w:rsidR="00494978">
        <w:t xml:space="preserve">ICR </w:t>
      </w:r>
      <w:r w:rsidR="005B7EB7">
        <w:t xml:space="preserve">also </w:t>
      </w:r>
      <w:r w:rsidR="61554B7A">
        <w:t>allow</w:t>
      </w:r>
      <w:r w:rsidR="000069DB">
        <w:t>s</w:t>
      </w:r>
      <w:r w:rsidR="61554B7A">
        <w:t xml:space="preserve"> the Department to </w:t>
      </w:r>
      <w:r w:rsidR="00A759AA">
        <w:t>collect information that</w:t>
      </w:r>
      <w:r w:rsidR="00C80D6D">
        <w:t xml:space="preserve"> is necessary to</w:t>
      </w:r>
      <w:r w:rsidR="00A759AA">
        <w:t xml:space="preserve"> inform implementation</w:t>
      </w:r>
      <w:r w:rsidR="00C80D6D">
        <w:t>, better</w:t>
      </w:r>
      <w:r w:rsidR="00A759AA">
        <w:t xml:space="preserve"> </w:t>
      </w:r>
      <w:r w:rsidR="61554B7A">
        <w:t>support State</w:t>
      </w:r>
      <w:r w:rsidR="00B32133">
        <w:t>s</w:t>
      </w:r>
      <w:r w:rsidR="00C80D6D">
        <w:t>,</w:t>
      </w:r>
      <w:r w:rsidR="61554B7A">
        <w:t xml:space="preserve"> </w:t>
      </w:r>
      <w:r w:rsidR="0006195E">
        <w:t>and focus technical assistance</w:t>
      </w:r>
      <w:r w:rsidR="61554B7A">
        <w:t>.</w:t>
      </w:r>
      <w:r w:rsidR="00C03F3F">
        <w:t xml:space="preserve"> </w:t>
      </w:r>
      <w:r w:rsidR="0032418E">
        <w:t xml:space="preserve"> </w:t>
      </w:r>
      <w:r w:rsidR="007058DD">
        <w:t xml:space="preserve">As proposed, </w:t>
      </w:r>
      <w:r w:rsidR="00C03F3F">
        <w:t xml:space="preserve">States </w:t>
      </w:r>
      <w:r w:rsidR="0032418E">
        <w:t>would</w:t>
      </w:r>
      <w:r w:rsidR="00D22340">
        <w:t xml:space="preserve"> maintain flexibility to engage in stakeholder consultation as they choose</w:t>
      </w:r>
      <w:r w:rsidR="001362D2">
        <w:t xml:space="preserve">, including through </w:t>
      </w:r>
      <w:r w:rsidR="008127A5">
        <w:t xml:space="preserve">the </w:t>
      </w:r>
      <w:r w:rsidR="00AC5012">
        <w:t>robust</w:t>
      </w:r>
      <w:r w:rsidR="008127A5">
        <w:t xml:space="preserve"> levels of engagement they may </w:t>
      </w:r>
      <w:r w:rsidR="008F1035">
        <w:t xml:space="preserve">go </w:t>
      </w:r>
      <w:r w:rsidR="008127A5">
        <w:t xml:space="preserve">through </w:t>
      </w:r>
      <w:r>
        <w:t>in updating their State Plan</w:t>
      </w:r>
      <w:r w:rsidR="00494978">
        <w:t xml:space="preserve">, </w:t>
      </w:r>
      <w:r>
        <w:t>but they are no longer</w:t>
      </w:r>
      <w:r w:rsidR="00AF0870">
        <w:t xml:space="preserve"> required </w:t>
      </w:r>
      <w:r w:rsidR="00C03F3F">
        <w:t xml:space="preserve">to </w:t>
      </w:r>
      <w:r>
        <w:t>pursue</w:t>
      </w:r>
      <w:r w:rsidR="00C03F3F">
        <w:t xml:space="preserve"> </w:t>
      </w:r>
      <w:r w:rsidR="00CA0DFB">
        <w:t xml:space="preserve">that </w:t>
      </w:r>
      <w:r>
        <w:t>level of engagement</w:t>
      </w:r>
      <w:r w:rsidR="00632825">
        <w:t xml:space="preserve"> for the </w:t>
      </w:r>
      <w:r w:rsidR="00B52BE3">
        <w:t>proposed narrative items</w:t>
      </w:r>
      <w:r w:rsidR="00D22340">
        <w:t xml:space="preserve">. </w:t>
      </w:r>
    </w:p>
    <w:p w:rsidR="008A2D5C" w:rsidP="009B0ADA" w14:paraId="59507C5A" w14:textId="5775B363">
      <w:r>
        <w:t>Additionally, w</w:t>
      </w:r>
      <w:r w:rsidR="005A425D">
        <w:t xml:space="preserve">e are proposing to eliminate the </w:t>
      </w:r>
      <w:r w:rsidR="00CA0013">
        <w:t>new</w:t>
      </w:r>
      <w:r w:rsidR="00D315C8">
        <w:t xml:space="preserve"> </w:t>
      </w:r>
      <w:r w:rsidR="00AB099C">
        <w:t>proposed</w:t>
      </w:r>
      <w:r w:rsidR="00CA0013">
        <w:t xml:space="preserve"> </w:t>
      </w:r>
      <w:r w:rsidR="005A425D">
        <w:t>request for information about “meaningful progress”</w:t>
      </w:r>
      <w:r w:rsidR="00517D53">
        <w:t xml:space="preserve"> and we will retain the </w:t>
      </w:r>
      <w:r w:rsidR="009D7917">
        <w:t>original</w:t>
      </w:r>
      <w:r w:rsidR="00517D53">
        <w:t xml:space="preserve"> State </w:t>
      </w:r>
      <w:r w:rsidR="00D36FD5">
        <w:t>P</w:t>
      </w:r>
      <w:r w:rsidR="00517D53">
        <w:t xml:space="preserve">lan </w:t>
      </w:r>
      <w:r w:rsidR="00A3663B">
        <w:t xml:space="preserve">Guide question </w:t>
      </w:r>
      <w:r w:rsidR="00E30349">
        <w:t>that ask</w:t>
      </w:r>
      <w:r w:rsidR="009C54A4">
        <w:t>s</w:t>
      </w:r>
      <w:r w:rsidR="00E30349">
        <w:t xml:space="preserve"> States to describe how </w:t>
      </w:r>
      <w:r w:rsidR="00472E8A">
        <w:t>they</w:t>
      </w:r>
      <w:r w:rsidR="00E30349">
        <w:t xml:space="preserve"> </w:t>
      </w:r>
      <w:r w:rsidR="00962F02">
        <w:t>meet section 113(b)(3)(A)(i)</w:t>
      </w:r>
      <w:r w:rsidR="00B032A4">
        <w:t>(III</w:t>
      </w:r>
      <w:r w:rsidR="00962F02">
        <w:t>)</w:t>
      </w:r>
      <w:r w:rsidR="00517D53">
        <w:t>.</w:t>
      </w:r>
      <w:r w:rsidR="009B5246">
        <w:t xml:space="preserve"> </w:t>
      </w:r>
      <w:r w:rsidR="00CA591E">
        <w:t xml:space="preserve"> </w:t>
      </w:r>
    </w:p>
    <w:p w:rsidR="009B5246" w:rsidP="009B0ADA" w14:paraId="4FC5C240" w14:textId="25D63646">
      <w:r>
        <w:t xml:space="preserve">Specifically, we are proposing to remove </w:t>
      </w:r>
      <w:r w:rsidR="008A2D5C">
        <w:t xml:space="preserve">from the State Plan Guide the following </w:t>
      </w:r>
      <w:r w:rsidR="009A167B">
        <w:t>proposed</w:t>
      </w:r>
      <w:r w:rsidR="008A2D5C">
        <w:t xml:space="preserve"> items:</w:t>
      </w:r>
    </w:p>
    <w:p w:rsidR="00A35310" w:rsidP="008A2D5C" w14:paraId="16090918" w14:textId="41903A27">
      <w:pPr>
        <w:pStyle w:val="ListParagraph"/>
        <w:numPr>
          <w:ilvl w:val="0"/>
          <w:numId w:val="1"/>
        </w:numPr>
      </w:pPr>
      <w:r>
        <w:t xml:space="preserve">The proposed request </w:t>
      </w:r>
      <w:r w:rsidR="00627122">
        <w:t xml:space="preserve">for </w:t>
      </w:r>
      <w:r w:rsidR="0083269A">
        <w:t>separate</w:t>
      </w:r>
      <w:r w:rsidR="00627122">
        <w:t xml:space="preserve"> </w:t>
      </w:r>
      <w:r w:rsidR="00046CB9">
        <w:t xml:space="preserve">State-established </w:t>
      </w:r>
      <w:r w:rsidR="00627122">
        <w:t>definitions of “size,” “scope,” and “quality</w:t>
      </w:r>
      <w:r w:rsidR="003F1BDA">
        <w:t>”</w:t>
      </w:r>
      <w:r w:rsidR="00934EA5">
        <w:t xml:space="preserve"> </w:t>
      </w:r>
      <w:r w:rsidR="009A4268">
        <w:t>for secondary and postsecondary programs</w:t>
      </w:r>
      <w:r w:rsidR="00300AC3">
        <w:t xml:space="preserve"> (II</w:t>
      </w:r>
      <w:r w:rsidR="00D2208F">
        <w:t>.B.</w:t>
      </w:r>
      <w:r w:rsidR="00CB041A">
        <w:t xml:space="preserve">8.h. and </w:t>
      </w:r>
      <w:r w:rsidR="007B7088">
        <w:t>i. on page 15</w:t>
      </w:r>
      <w:r w:rsidR="00CB041A">
        <w:t>)</w:t>
      </w:r>
      <w:r w:rsidR="00D42555">
        <w:t xml:space="preserve"> (Perkins V section </w:t>
      </w:r>
      <w:r w:rsidR="004861B5">
        <w:t xml:space="preserve">122(d)(4)(B) and </w:t>
      </w:r>
      <w:r w:rsidR="00D42555">
        <w:t xml:space="preserve">134(c)(2)(B)) </w:t>
      </w:r>
      <w:r w:rsidR="003C6BF8">
        <w:t xml:space="preserve">and we will </w:t>
      </w:r>
      <w:r w:rsidR="00A87745">
        <w:t xml:space="preserve">retain the </w:t>
      </w:r>
      <w:r w:rsidR="003277DA">
        <w:t>original</w:t>
      </w:r>
      <w:r w:rsidR="00A87745">
        <w:t xml:space="preserve"> State </w:t>
      </w:r>
      <w:r w:rsidR="00BE6D58">
        <w:t>P</w:t>
      </w:r>
      <w:r w:rsidR="00A87745">
        <w:t xml:space="preserve">lan </w:t>
      </w:r>
      <w:r w:rsidR="00BE6D58">
        <w:t xml:space="preserve">Guide question that asks States to </w:t>
      </w:r>
      <w:r w:rsidR="002574EE">
        <w:t>define</w:t>
      </w:r>
      <w:r w:rsidR="00A87745">
        <w:t xml:space="preserve"> “size,” “scope,” and “quality”</w:t>
      </w:r>
      <w:r w:rsidR="005F6229">
        <w:t xml:space="preserve"> for the purpose of making funds available to eligible recipients</w:t>
      </w:r>
      <w:r w:rsidR="00CB041A">
        <w:t>;</w:t>
      </w:r>
    </w:p>
    <w:p w:rsidR="00CB041A" w:rsidP="008A2D5C" w14:paraId="5A92FE95" w14:textId="386C4B12">
      <w:pPr>
        <w:pStyle w:val="ListParagraph"/>
        <w:numPr>
          <w:ilvl w:val="0"/>
          <w:numId w:val="1"/>
        </w:numPr>
      </w:pPr>
      <w:r>
        <w:t xml:space="preserve">The proposed request for </w:t>
      </w:r>
      <w:r w:rsidR="00046CB9">
        <w:t xml:space="preserve">State-established </w:t>
      </w:r>
      <w:r w:rsidR="00742485">
        <w:t>definition</w:t>
      </w:r>
      <w:r w:rsidR="00046CB9">
        <w:t>s of “high-skill” and “high-wage” occupations and industries</w:t>
      </w:r>
      <w:r w:rsidR="00571520">
        <w:t xml:space="preserve"> (II</w:t>
      </w:r>
      <w:r w:rsidR="006F7888">
        <w:t>.B</w:t>
      </w:r>
      <w:r w:rsidR="005427D1">
        <w:t>.8.j</w:t>
      </w:r>
      <w:r w:rsidR="004F0346">
        <w:t>. on page 15)</w:t>
      </w:r>
      <w:r w:rsidR="00DA7DFD">
        <w:t xml:space="preserve"> </w:t>
      </w:r>
      <w:r w:rsidR="00152F62">
        <w:t>(Perkins V section 122(d)(9)(c))</w:t>
      </w:r>
      <w:r w:rsidR="004F0346">
        <w:t>;</w:t>
      </w:r>
    </w:p>
    <w:p w:rsidR="009B5246" w:rsidP="008A2D5C" w14:paraId="28D75925" w14:textId="61C6C042">
      <w:pPr>
        <w:pStyle w:val="ListParagraph"/>
        <w:numPr>
          <w:ilvl w:val="0"/>
          <w:numId w:val="1"/>
        </w:numPr>
      </w:pPr>
      <w:r>
        <w:t>The proposed request for a description of “how the eligible agency provides information on high-skill, high-wage, or in-demand industry sectors or occupations to eligible recipients to enable eligible recipients to meet the requirements for the contents of local applications in section 134(b) of Perkins V and comprehensive local needs assessments in section 134(c) of Perkins V” (</w:t>
      </w:r>
      <w:r w:rsidR="00E4718F">
        <w:t>II.B.</w:t>
      </w:r>
      <w:r w:rsidR="003F0F79">
        <w:t xml:space="preserve">8.k. on </w:t>
      </w:r>
      <w:r>
        <w:t xml:space="preserve">page </w:t>
      </w:r>
      <w:r w:rsidR="003F0F79">
        <w:t>15)</w:t>
      </w:r>
      <w:r w:rsidR="00404A48">
        <w:t xml:space="preserve"> (Perkins V section 122(d)(5)(C))</w:t>
      </w:r>
      <w:r w:rsidR="003F0F79">
        <w:t>;</w:t>
      </w:r>
    </w:p>
    <w:p w:rsidR="009B5246" w:rsidP="008A2D5C" w14:paraId="6883A54C" w14:textId="04309EC0">
      <w:pPr>
        <w:pStyle w:val="ListParagraph"/>
        <w:numPr>
          <w:ilvl w:val="0"/>
          <w:numId w:val="1"/>
        </w:numPr>
      </w:pPr>
      <w:r w:rsidRPr="009B5246">
        <w:t xml:space="preserve">The proposed request for a description of </w:t>
      </w:r>
      <w:r>
        <w:t>the eligible agency’s policies on the use of Perkins V funds to serve students in the middle grades, including the grade levels for which funds may be used in the State</w:t>
      </w:r>
      <w:r w:rsidR="008A2D5C">
        <w:t xml:space="preserve"> (</w:t>
      </w:r>
      <w:r w:rsidR="00E4718F">
        <w:t>II.B.</w:t>
      </w:r>
      <w:r w:rsidR="00514E1B">
        <w:t xml:space="preserve">8.l. </w:t>
      </w:r>
      <w:r w:rsidR="00825DE2">
        <w:t xml:space="preserve">on </w:t>
      </w:r>
      <w:r w:rsidR="008A2D5C">
        <w:t xml:space="preserve">page </w:t>
      </w:r>
      <w:r w:rsidR="00825DE2">
        <w:t>15</w:t>
      </w:r>
      <w:r w:rsidR="008A2D5C">
        <w:t>)</w:t>
      </w:r>
      <w:r w:rsidR="00801DF9">
        <w:t xml:space="preserve"> (Perkins V section 122(d)(</w:t>
      </w:r>
      <w:r w:rsidR="00C47C63">
        <w:t>8)(A))</w:t>
      </w:r>
      <w:r w:rsidR="00825DE2">
        <w:t>;</w:t>
      </w:r>
    </w:p>
    <w:p w:rsidR="009B5246" w:rsidP="008A2D5C" w14:paraId="1D69520B" w14:textId="7F58905B">
      <w:pPr>
        <w:pStyle w:val="ListParagraph"/>
        <w:numPr>
          <w:ilvl w:val="0"/>
          <w:numId w:val="1"/>
        </w:numPr>
      </w:pPr>
      <w:r>
        <w:t>The proposed request that, if</w:t>
      </w:r>
      <w:r>
        <w:t xml:space="preserve"> the eligible agency counts CTE concentrators who received “industry-recognized certificates and certifications” in the numerator</w:t>
      </w:r>
      <w:r>
        <w:t xml:space="preserve">s of 5S1 and 2P1, a </w:t>
      </w:r>
      <w:r>
        <w:t>descri</w:t>
      </w:r>
      <w:r>
        <w:t xml:space="preserve">ption of </w:t>
      </w:r>
      <w:r>
        <w:t>how the eligible agency determines that these credentials are recognized by industry, and what methods, if any, are used to disseminate this information to eligible recipients</w:t>
      </w:r>
      <w:r>
        <w:t xml:space="preserve"> (</w:t>
      </w:r>
      <w:r w:rsidR="00E94482">
        <w:t>II.</w:t>
      </w:r>
      <w:r w:rsidR="00A90545">
        <w:t xml:space="preserve">D.2 and 3, </w:t>
      </w:r>
      <w:r>
        <w:t xml:space="preserve">page </w:t>
      </w:r>
      <w:r w:rsidR="00A90545">
        <w:t>21)</w:t>
      </w:r>
      <w:r w:rsidRPr="00ED7ED2" w:rsidR="00ED7ED2">
        <w:t xml:space="preserve"> </w:t>
      </w:r>
      <w:r w:rsidR="00ED7ED2">
        <w:t>(Perkins V section 122(d)(10)(</w:t>
      </w:r>
      <w:r w:rsidR="00F1156F">
        <w:t>B</w:t>
      </w:r>
      <w:r w:rsidR="00ED7ED2">
        <w:t>)</w:t>
      </w:r>
      <w:r w:rsidR="00C13445">
        <w:t>)</w:t>
      </w:r>
      <w:r w:rsidR="00A90545">
        <w:t>;</w:t>
      </w:r>
    </w:p>
    <w:p w:rsidR="009B5246" w:rsidP="008A2D5C" w14:paraId="60E6CC29" w14:textId="4DA8868B">
      <w:pPr>
        <w:pStyle w:val="ListParagraph"/>
        <w:numPr>
          <w:ilvl w:val="0"/>
          <w:numId w:val="1"/>
        </w:numPr>
      </w:pPr>
      <w:r>
        <w:t>The proposed request for the n</w:t>
      </w:r>
      <w:r>
        <w:t>umber of postsecondary credits that a student must complete in order to be counted in the numerator for 5S2</w:t>
      </w:r>
      <w:r w:rsidR="00E94482">
        <w:t xml:space="preserve"> (II.D.</w:t>
      </w:r>
      <w:r w:rsidR="0024605A">
        <w:t>4 on page 21)</w:t>
      </w:r>
      <w:r w:rsidRPr="00C13445" w:rsidR="00C13445">
        <w:t xml:space="preserve"> </w:t>
      </w:r>
      <w:r w:rsidR="00C13445">
        <w:t>(Perkins V section 122(d)(10)(B))</w:t>
      </w:r>
      <w:r w:rsidR="00C13445">
        <w:t>;</w:t>
      </w:r>
      <w:r w:rsidR="00F23A0D">
        <w:t xml:space="preserve"> and</w:t>
      </w:r>
    </w:p>
    <w:p w:rsidR="009B5246" w:rsidP="008A2D5C" w14:paraId="26600FD5" w14:textId="4E7BA06F">
      <w:pPr>
        <w:pStyle w:val="ListParagraph"/>
        <w:numPr>
          <w:ilvl w:val="0"/>
          <w:numId w:val="1"/>
        </w:numPr>
      </w:pPr>
      <w:r>
        <w:t xml:space="preserve">The proposed request for </w:t>
      </w:r>
      <w:r>
        <w:t>the number of work-based learning hours (or other unit of measurement used by the State) that a student must complete in order to be counted in the numerator for 5S3</w:t>
      </w:r>
      <w:r w:rsidR="0024605A">
        <w:t xml:space="preserve"> (II.D.</w:t>
      </w:r>
      <w:r w:rsidR="00F30CDF">
        <w:t>5 on page 21)</w:t>
      </w:r>
      <w:r w:rsidRPr="00ED7ED2" w:rsidR="00C13445">
        <w:t xml:space="preserve"> </w:t>
      </w:r>
      <w:r w:rsidR="00C13445">
        <w:t>(Perkins V section 122(d)(10)(B))</w:t>
      </w:r>
      <w:r w:rsidR="00F23A0D">
        <w:t>.</w:t>
      </w:r>
    </w:p>
    <w:p w:rsidR="008A2D5C" w:rsidP="008A2D5C" w14:paraId="15821668" w14:textId="6A43D634">
      <w:r>
        <w:t xml:space="preserve">We intend to propose that these </w:t>
      </w:r>
      <w:r w:rsidR="00CE48E5">
        <w:t xml:space="preserve">narrative </w:t>
      </w:r>
      <w:r>
        <w:t>items instead be included in the CAR ICR</w:t>
      </w:r>
      <w:r w:rsidR="00D315C8">
        <w:t xml:space="preserve"> for the reasons explained above</w:t>
      </w:r>
      <w:r>
        <w:t>.</w:t>
      </w:r>
    </w:p>
    <w:p w:rsidR="00C6783E" w:rsidRPr="00A87310" w:rsidP="7183E8FA" w14:paraId="544A5365" w14:textId="10EB9F92">
      <w:r>
        <w:t xml:space="preserve">We are proposing to retain in the State Plan Guide the proposed </w:t>
      </w:r>
      <w:r w:rsidR="004F0346">
        <w:t>data specifications for the core indicators of performance</w:t>
      </w:r>
      <w:r w:rsidR="00030E6B">
        <w:t xml:space="preserve">, which do not </w:t>
      </w:r>
      <w:r w:rsidR="00975F9A">
        <w:t xml:space="preserve">trigger </w:t>
      </w:r>
      <w:r w:rsidR="00C47AEE">
        <w:t>States to</w:t>
      </w:r>
      <w:r w:rsidR="00030E6B">
        <w:t xml:space="preserve"> </w:t>
      </w:r>
      <w:r w:rsidR="00B6029D">
        <w:t>amend</w:t>
      </w:r>
      <w:r w:rsidR="00C47AEE">
        <w:t xml:space="preserve"> their</w:t>
      </w:r>
      <w:r w:rsidR="00B6029D">
        <w:t xml:space="preserve"> </w:t>
      </w:r>
      <w:r w:rsidR="004A4B32">
        <w:t xml:space="preserve">State </w:t>
      </w:r>
      <w:r w:rsidR="00C92545">
        <w:t>p</w:t>
      </w:r>
      <w:r w:rsidR="004A4B32">
        <w:t>lan</w:t>
      </w:r>
      <w:r w:rsidR="004F0346">
        <w:t>.</w:t>
      </w:r>
      <w:r w:rsidR="42448DFC">
        <w:t xml:space="preserve">  In implementing the proposed data specifications, States </w:t>
      </w:r>
      <w:r w:rsidR="6B81CFC4">
        <w:t>may choose</w:t>
      </w:r>
      <w:r w:rsidR="42448DFC">
        <w:t xml:space="preserve"> to revise their SDPLs</w:t>
      </w:r>
      <w:r w:rsidR="00057833">
        <w:t>,</w:t>
      </w:r>
      <w:r w:rsidR="42448DFC">
        <w:t xml:space="preserve"> and</w:t>
      </w:r>
      <w:r w:rsidR="7FF1FA00">
        <w:t xml:space="preserve"> in doing so </w:t>
      </w:r>
      <w:r w:rsidR="42448DFC">
        <w:t xml:space="preserve">must </w:t>
      </w:r>
      <w:r w:rsidR="5EF4861B">
        <w:t>follow the requirements outlined in section 113(b)(3)(A)(i)(III) of Perkins V.</w:t>
      </w:r>
    </w:p>
    <w:p w:rsidR="00C6783E" w:rsidRPr="00C513BA" w:rsidP="00E33144" w14:paraId="68635C61" w14:textId="0DBE1E8D">
      <w:pPr>
        <w:pStyle w:val="ListParagraph"/>
        <w:numPr>
          <w:ilvl w:val="0"/>
          <w:numId w:val="3"/>
        </w:numPr>
        <w:rPr>
          <w:b/>
        </w:rPr>
      </w:pPr>
      <w:r w:rsidRPr="470F4287">
        <w:rPr>
          <w:b/>
        </w:rPr>
        <w:t xml:space="preserve">Several commenters </w:t>
      </w:r>
      <w:r w:rsidRPr="470F4287" w:rsidR="00EA0EF9">
        <w:rPr>
          <w:b/>
        </w:rPr>
        <w:t xml:space="preserve">reported that they would need more time to prepare and submit a new State plan </w:t>
      </w:r>
      <w:r w:rsidRPr="470F4287" w:rsidR="00A87310">
        <w:rPr>
          <w:b/>
        </w:rPr>
        <w:t>than the proposed ICR would provide States.</w:t>
      </w:r>
    </w:p>
    <w:p w:rsidR="005B0592" w:rsidRPr="0059626D" w:rsidP="005B0592" w14:paraId="523B00C3" w14:textId="35D5C2E7">
      <w:r>
        <w:rPr>
          <w:u w:val="single"/>
        </w:rPr>
        <w:t>Response</w:t>
      </w:r>
      <w:r>
        <w:t>:</w:t>
      </w:r>
      <w:r w:rsidR="0059626D">
        <w:t xml:space="preserve">  </w:t>
      </w:r>
      <w:r w:rsidR="00BC63EE">
        <w:t xml:space="preserve">Our relocation of the narrative items from the State Plan Guide to the CAR ICR </w:t>
      </w:r>
      <w:r w:rsidR="006F7A60">
        <w:t xml:space="preserve">eliminates the need for </w:t>
      </w:r>
      <w:r w:rsidR="003E7BBF">
        <w:t xml:space="preserve">States to </w:t>
      </w:r>
      <w:r w:rsidR="00151D4E">
        <w:t>submit new State Plans</w:t>
      </w:r>
      <w:r w:rsidR="005F7822">
        <w:t xml:space="preserve"> to address these items.  </w:t>
      </w:r>
      <w:r w:rsidR="00B375B0">
        <w:t>However, t</w:t>
      </w:r>
      <w:r w:rsidR="00151D4E">
        <w:t xml:space="preserve">he Department encourages States that have not </w:t>
      </w:r>
      <w:r w:rsidR="000C63E0">
        <w:t xml:space="preserve">submitted new State plans </w:t>
      </w:r>
      <w:r w:rsidR="005F7822">
        <w:t>since 2019 to consider doing so</w:t>
      </w:r>
      <w:r w:rsidR="00DA09E6">
        <w:t xml:space="preserve">, given </w:t>
      </w:r>
      <w:r w:rsidR="0024277D">
        <w:t xml:space="preserve">significant changes from </w:t>
      </w:r>
      <w:r w:rsidR="000E2B2F">
        <w:t>before the</w:t>
      </w:r>
      <w:r w:rsidR="00766215">
        <w:t xml:space="preserve"> </w:t>
      </w:r>
      <w:r w:rsidR="00163A6A">
        <w:t xml:space="preserve">Covid-19 </w:t>
      </w:r>
      <w:r w:rsidR="0024277D">
        <w:t>pandemic</w:t>
      </w:r>
      <w:r w:rsidR="000E2B2F">
        <w:t>,</w:t>
      </w:r>
      <w:r w:rsidR="00DA09E6">
        <w:t xml:space="preserve"> </w:t>
      </w:r>
      <w:r w:rsidR="1E2581B3">
        <w:t xml:space="preserve">including changes in local, </w:t>
      </w:r>
      <w:r w:rsidR="006A0734">
        <w:t>S</w:t>
      </w:r>
      <w:r w:rsidR="1E2581B3">
        <w:t>tate</w:t>
      </w:r>
      <w:r w:rsidR="00E831EA">
        <w:t>,</w:t>
      </w:r>
      <w:r w:rsidR="1E2581B3">
        <w:t xml:space="preserve"> and national labor markets</w:t>
      </w:r>
      <w:r w:rsidR="00880AFD">
        <w:t>,</w:t>
      </w:r>
      <w:r w:rsidR="007C1195">
        <w:t xml:space="preserve"> and the needs of students</w:t>
      </w:r>
      <w:r w:rsidR="005F7822">
        <w:t>.</w:t>
      </w:r>
    </w:p>
    <w:p w:rsidR="0002677A" w:rsidRPr="00C513BA" w:rsidP="46C9B900" w14:paraId="4C4CBD2D" w14:textId="606D5FC3">
      <w:pPr>
        <w:rPr>
          <w:b/>
          <w:bCs/>
        </w:rPr>
      </w:pPr>
      <w:r w:rsidRPr="005B0592">
        <w:rPr>
          <w:u w:val="single"/>
        </w:rPr>
        <w:t>Changes</w:t>
      </w:r>
      <w:r>
        <w:t xml:space="preserve">: </w:t>
      </w:r>
      <w:r w:rsidR="00880AFD">
        <w:t xml:space="preserve"> </w:t>
      </w:r>
      <w:r w:rsidR="000045C1">
        <w:t xml:space="preserve">As described in </w:t>
      </w:r>
      <w:r w:rsidR="00474F36">
        <w:t xml:space="preserve">the response to </w:t>
      </w:r>
      <w:r w:rsidR="000045C1">
        <w:t xml:space="preserve">#3, </w:t>
      </w:r>
      <w:r w:rsidRPr="000045C1" w:rsidR="000045C1">
        <w:t xml:space="preserve">we are proposing to remove all of the proposed new narrative items from the State Plan Guide and intend to propose to include them in the </w:t>
      </w:r>
      <w:r w:rsidR="00474F36">
        <w:t xml:space="preserve">CAR </w:t>
      </w:r>
      <w:r w:rsidRPr="000045C1" w:rsidR="000045C1">
        <w:t xml:space="preserve">ICR (1830-0569) instead.  </w:t>
      </w:r>
    </w:p>
    <w:p w:rsidR="0002677A" w:rsidRPr="00C513BA" w:rsidP="46C9B900" w14:paraId="25F8B7CE" w14:textId="7F872E44">
      <w:pPr>
        <w:pStyle w:val="ListParagraph"/>
        <w:numPr>
          <w:ilvl w:val="0"/>
          <w:numId w:val="3"/>
        </w:numPr>
        <w:rPr>
          <w:b/>
        </w:rPr>
      </w:pPr>
      <w:r w:rsidRPr="7102F32D">
        <w:rPr>
          <w:b/>
        </w:rPr>
        <w:t xml:space="preserve">Two commenters </w:t>
      </w:r>
      <w:r w:rsidRPr="7102F32D">
        <w:rPr>
          <w:b/>
        </w:rPr>
        <w:t>questioned why the Department was proposing to ask States to address</w:t>
      </w:r>
      <w:r w:rsidRPr="7102F32D" w:rsidR="005F17B5">
        <w:rPr>
          <w:b/>
        </w:rPr>
        <w:t xml:space="preserve"> </w:t>
      </w:r>
      <w:r w:rsidRPr="7102F32D">
        <w:rPr>
          <w:b/>
        </w:rPr>
        <w:t>narrative items in their State plans that were not specifically mentioned in section 122(d) of Perkins V.</w:t>
      </w:r>
      <w:r w:rsidRPr="7102F32D" w:rsidR="00432FC6">
        <w:rPr>
          <w:b/>
        </w:rPr>
        <w:t xml:space="preserve">  The commenters’ view is that </w:t>
      </w:r>
      <w:r w:rsidRPr="7102F32D" w:rsidR="00F87D02">
        <w:rPr>
          <w:b/>
        </w:rPr>
        <w:t xml:space="preserve">the contents of </w:t>
      </w:r>
      <w:r w:rsidRPr="7102F32D" w:rsidR="00432FC6">
        <w:rPr>
          <w:b/>
        </w:rPr>
        <w:t>State plans should be limited</w:t>
      </w:r>
      <w:r w:rsidRPr="7102F32D" w:rsidR="000A5FA7">
        <w:rPr>
          <w:b/>
        </w:rPr>
        <w:t xml:space="preserve"> </w:t>
      </w:r>
      <w:r w:rsidRPr="7102F32D" w:rsidR="00432FC6">
        <w:rPr>
          <w:b/>
        </w:rPr>
        <w:t xml:space="preserve">to the </w:t>
      </w:r>
      <w:r w:rsidRPr="7102F32D" w:rsidR="003B6818">
        <w:rPr>
          <w:b/>
        </w:rPr>
        <w:t xml:space="preserve">items </w:t>
      </w:r>
      <w:r w:rsidRPr="7102F32D" w:rsidR="00BA5624">
        <w:rPr>
          <w:b/>
        </w:rPr>
        <w:t xml:space="preserve">described in section 122(d) of Perkins </w:t>
      </w:r>
      <w:r w:rsidRPr="7102F32D" w:rsidR="000A5FA7">
        <w:rPr>
          <w:b/>
        </w:rPr>
        <w:t xml:space="preserve">V only. </w:t>
      </w:r>
    </w:p>
    <w:p w:rsidR="0002677A" w:rsidRPr="00231943" w:rsidP="0002677A" w14:paraId="3138E0D6" w14:textId="043AF27A">
      <w:r>
        <w:rPr>
          <w:u w:val="single"/>
        </w:rPr>
        <w:t>Response</w:t>
      </w:r>
      <w:r>
        <w:t>:</w:t>
      </w:r>
      <w:r w:rsidR="00231943">
        <w:t xml:space="preserve">  </w:t>
      </w:r>
      <w:r w:rsidR="00FD0E24">
        <w:t>S</w:t>
      </w:r>
      <w:r w:rsidRPr="00873D17" w:rsidR="00FD0E24">
        <w:t>ection 122(d) of Perkins V</w:t>
      </w:r>
      <w:r w:rsidR="00FD0E24">
        <w:t xml:space="preserve"> asks States to describe their process or criteria to be used for approving local programs and how such programs address State workforce needs.  </w:t>
      </w:r>
      <w:r w:rsidR="00114702">
        <w:t>All of the items</w:t>
      </w:r>
      <w:r w:rsidR="00EA4952">
        <w:t xml:space="preserve"> </w:t>
      </w:r>
      <w:r w:rsidR="00A23D25">
        <w:t>which</w:t>
      </w:r>
      <w:r w:rsidR="00EA4952">
        <w:t xml:space="preserve"> we proposed to collect narrative responses in the State Plan are implicated in Section 122(d)</w:t>
      </w:r>
      <w:r w:rsidR="00FA2588">
        <w:t>, which we identify in</w:t>
      </w:r>
      <w:r w:rsidR="00F90C2A">
        <w:t xml:space="preserve"> </w:t>
      </w:r>
      <w:r w:rsidR="00EA4952">
        <w:t>the citations in the bulleted list of the narrative items in</w:t>
      </w:r>
      <w:r w:rsidR="00AB0724">
        <w:t xml:space="preserve"> response to </w:t>
      </w:r>
      <w:r w:rsidR="00880AFD">
        <w:t>comment</w:t>
      </w:r>
      <w:r w:rsidR="00EA4952">
        <w:t xml:space="preserve"> #3 above.</w:t>
      </w:r>
      <w:r w:rsidR="00114702">
        <w:t xml:space="preserve"> </w:t>
      </w:r>
      <w:r w:rsidR="00F61CD0">
        <w:t xml:space="preserve"> </w:t>
      </w:r>
      <w:r w:rsidR="00826BC6">
        <w:t>Th</w:t>
      </w:r>
      <w:r w:rsidR="00D74655">
        <w:t>e collection of this</w:t>
      </w:r>
      <w:r w:rsidR="00826BC6">
        <w:t xml:space="preserve"> information is important</w:t>
      </w:r>
      <w:r w:rsidR="00D74655">
        <w:t xml:space="preserve"> </w:t>
      </w:r>
      <w:r w:rsidR="00143C2A">
        <w:t xml:space="preserve">to ensure that eligible recipients are aware of State requirements.  </w:t>
      </w:r>
      <w:r w:rsidR="00122B45">
        <w:t xml:space="preserve">We </w:t>
      </w:r>
      <w:r w:rsidR="000E6459">
        <w:t xml:space="preserve">recognize, however, that </w:t>
      </w:r>
      <w:r w:rsidR="00DE6BC0">
        <w:t xml:space="preserve">requesting this information </w:t>
      </w:r>
      <w:r w:rsidR="00612C86">
        <w:t>through the CAR</w:t>
      </w:r>
      <w:r w:rsidR="009771B2">
        <w:t xml:space="preserve"> ICR</w:t>
      </w:r>
      <w:r w:rsidR="00612C86">
        <w:t>, rather than the State plan, would</w:t>
      </w:r>
      <w:r w:rsidR="007C06E0">
        <w:t>, giv</w:t>
      </w:r>
      <w:r w:rsidR="00EC6EAC">
        <w:t>en</w:t>
      </w:r>
      <w:r w:rsidR="007C06E0">
        <w:t xml:space="preserve"> the timing of implementation of Perkins V,</w:t>
      </w:r>
      <w:r w:rsidR="00612C86">
        <w:t xml:space="preserve"> reduce administrative burden for States.</w:t>
      </w:r>
      <w:r w:rsidR="00054E0C">
        <w:t xml:space="preserve"> </w:t>
      </w:r>
      <w:r w:rsidR="00B978D0">
        <w:t xml:space="preserve"> </w:t>
      </w:r>
      <w:r w:rsidR="00227CB4">
        <w:t xml:space="preserve">In addition, </w:t>
      </w:r>
      <w:r w:rsidR="00E162EE">
        <w:t>t</w:t>
      </w:r>
      <w:r w:rsidRPr="006D5681" w:rsidR="006D5681">
        <w:t xml:space="preserve">he Secretary has the statutory authority to collect </w:t>
      </w:r>
      <w:r w:rsidR="00E162EE">
        <w:t xml:space="preserve">this </w:t>
      </w:r>
      <w:r w:rsidRPr="006D5681" w:rsidR="006D5681">
        <w:t>data</w:t>
      </w:r>
      <w:r w:rsidR="00E162EE">
        <w:t xml:space="preserve"> to effectively </w:t>
      </w:r>
      <w:r w:rsidRPr="006D5681" w:rsidR="006D5681">
        <w:t>report on “the condition of career and technical education and on the effectiveness of State and local programs, services, and activities carried out under” Title I of Perkins V (section 114(a(1)) and to “carry out research” concerning CTE programs under Perkins V (section 114(c)(1)); and to “collect data and information on applicable programs for the purpose of obtaining objective measurements of the effectiveness of such programs in achieving the intended purposes of such programs</w:t>
      </w:r>
      <w:r w:rsidR="006D5681">
        <w:t>”</w:t>
      </w:r>
      <w:r w:rsidRPr="006D5681" w:rsidR="006D5681">
        <w:t xml:space="preserve"> General Educations Provisions Act section 431, 20 U.S.C. 1231a.</w:t>
      </w:r>
    </w:p>
    <w:p w:rsidR="00DF5E1E" w:rsidRPr="0089287D" w:rsidP="129E814B" w14:paraId="090E5E31" w14:textId="2AF8C43E">
      <w:pPr>
        <w:rPr>
          <w:b/>
          <w:bCs/>
        </w:rPr>
      </w:pPr>
      <w:r w:rsidRPr="005B0592">
        <w:rPr>
          <w:u w:val="single"/>
        </w:rPr>
        <w:t>Changes</w:t>
      </w:r>
      <w:r>
        <w:t xml:space="preserve">: </w:t>
      </w:r>
      <w:r w:rsidR="00F27E61">
        <w:t xml:space="preserve"> </w:t>
      </w:r>
      <w:r w:rsidRPr="0089287D" w:rsidR="0089287D">
        <w:t xml:space="preserve">As described in the response to #3, we are proposing to remove all of the proposed new narrative items from the State Plan Guide and </w:t>
      </w:r>
      <w:r w:rsidR="008944D2">
        <w:t>are</w:t>
      </w:r>
      <w:r w:rsidR="0089287D">
        <w:t xml:space="preserve"> propos</w:t>
      </w:r>
      <w:r w:rsidR="008944D2">
        <w:t>ing</w:t>
      </w:r>
      <w:r w:rsidRPr="0089287D" w:rsidR="0089287D">
        <w:t xml:space="preserve"> to include them in the CAR ICR (1830-0569) instead.</w:t>
      </w:r>
    </w:p>
    <w:p w:rsidR="00DF5E1E" w:rsidRPr="00C422D7" w:rsidP="533FC517" w14:paraId="66C79736" w14:textId="22E91D1E">
      <w:pPr>
        <w:pStyle w:val="ListParagraph"/>
        <w:numPr>
          <w:ilvl w:val="0"/>
          <w:numId w:val="3"/>
        </w:numPr>
        <w:rPr>
          <w:b/>
        </w:rPr>
      </w:pPr>
      <w:r w:rsidRPr="00C422D7">
        <w:rPr>
          <w:b/>
        </w:rPr>
        <w:t>Several commenter</w:t>
      </w:r>
      <w:r w:rsidRPr="00C422D7" w:rsidR="00062FCE">
        <w:rPr>
          <w:b/>
        </w:rPr>
        <w:t>s</w:t>
      </w:r>
      <w:r w:rsidRPr="00C422D7">
        <w:rPr>
          <w:b/>
        </w:rPr>
        <w:t xml:space="preserve"> expressed concern that directing States to amend their existing Perkins State Plans or to submit new State Plans in FY 2026 would put Perkins V and </w:t>
      </w:r>
      <w:r w:rsidR="00975548">
        <w:rPr>
          <w:b/>
        </w:rPr>
        <w:t>the Workforce</w:t>
      </w:r>
      <w:r w:rsidR="00D36DCA">
        <w:rPr>
          <w:b/>
        </w:rPr>
        <w:t xml:space="preserve"> Innovation and Opportunity Act (</w:t>
      </w:r>
      <w:r w:rsidRPr="00C422D7">
        <w:rPr>
          <w:b/>
        </w:rPr>
        <w:t>WIOA</w:t>
      </w:r>
      <w:r w:rsidR="00D36DCA">
        <w:rPr>
          <w:b/>
        </w:rPr>
        <w:t>)</w:t>
      </w:r>
      <w:r w:rsidRPr="00C422D7">
        <w:rPr>
          <w:b/>
        </w:rPr>
        <w:t xml:space="preserve"> Unified or Consolidated State Plans on different timelines. </w:t>
      </w:r>
      <w:r w:rsidR="00535933">
        <w:rPr>
          <w:b/>
        </w:rPr>
        <w:t xml:space="preserve"> </w:t>
      </w:r>
      <w:r w:rsidRPr="00C422D7" w:rsidR="00E87791">
        <w:rPr>
          <w:b/>
        </w:rPr>
        <w:t>One</w:t>
      </w:r>
      <w:r w:rsidRPr="00C422D7">
        <w:rPr>
          <w:b/>
        </w:rPr>
        <w:t xml:space="preserve"> </w:t>
      </w:r>
      <w:r w:rsidRPr="00C422D7" w:rsidR="00E87791">
        <w:rPr>
          <w:b/>
        </w:rPr>
        <w:t xml:space="preserve">of these </w:t>
      </w:r>
      <w:r w:rsidRPr="00C422D7">
        <w:rPr>
          <w:b/>
        </w:rPr>
        <w:t>commenter</w:t>
      </w:r>
      <w:r w:rsidRPr="00C422D7" w:rsidR="00E87791">
        <w:rPr>
          <w:b/>
        </w:rPr>
        <w:t>s</w:t>
      </w:r>
      <w:r w:rsidRPr="00C422D7">
        <w:rPr>
          <w:b/>
        </w:rPr>
        <w:t xml:space="preserve"> noted that “2024 was the first time that </w:t>
      </w:r>
      <w:r w:rsidRPr="542CCD6D" w:rsidR="002375C8">
        <w:rPr>
          <w:b/>
          <w:bCs/>
        </w:rPr>
        <w:t>S</w:t>
      </w:r>
      <w:r w:rsidRPr="542CCD6D">
        <w:rPr>
          <w:b/>
          <w:bCs/>
        </w:rPr>
        <w:t>tates</w:t>
      </w:r>
      <w:r w:rsidRPr="00C422D7">
        <w:rPr>
          <w:b/>
        </w:rPr>
        <w:t xml:space="preserve"> could submit consolidated plans on the same timeline for those two laws.”</w:t>
      </w:r>
    </w:p>
    <w:p w:rsidR="00DF5E1E" w:rsidP="00DF5E1E" w14:paraId="1200F36C" w14:textId="01303C91">
      <w:r w:rsidRPr="005B0592">
        <w:rPr>
          <w:u w:val="single"/>
        </w:rPr>
        <w:t>Response</w:t>
      </w:r>
      <w:r>
        <w:t xml:space="preserve">:  </w:t>
      </w:r>
      <w:r>
        <w:t>We appreciate the commenters</w:t>
      </w:r>
      <w:r w:rsidR="00E87791">
        <w:t>’</w:t>
      </w:r>
      <w:r>
        <w:t xml:space="preserve"> concern</w:t>
      </w:r>
      <w:r w:rsidR="00E87791">
        <w:t>s</w:t>
      </w:r>
      <w:r>
        <w:t xml:space="preserve"> about aligning the submission timelines of Perkins V and WIOA Unified or Consolidated State Plans.  As </w:t>
      </w:r>
      <w:r w:rsidR="00E87791">
        <w:t xml:space="preserve">one of </w:t>
      </w:r>
      <w:r>
        <w:t>the commenter</w:t>
      </w:r>
      <w:r w:rsidR="00E87791">
        <w:t>s</w:t>
      </w:r>
      <w:r>
        <w:t xml:space="preserve"> noted, 2024 was the first time that States could submit new State plans under the two laws</w:t>
      </w:r>
      <w:r w:rsidR="73209D07">
        <w:t xml:space="preserve"> which could be </w:t>
      </w:r>
      <w:r w:rsidR="009C39A5">
        <w:t xml:space="preserve">Combined State </w:t>
      </w:r>
      <w:r w:rsidR="73209D07">
        <w:t>plans</w:t>
      </w:r>
      <w:r>
        <w:t>.  The Department strongly encouraged all States to submit new Perkins V State Plans in 2024,</w:t>
      </w:r>
      <w:r>
        <w:rPr>
          <w:rStyle w:val="FootnoteReference"/>
        </w:rPr>
        <w:footnoteReference w:id="3"/>
      </w:r>
      <w:r>
        <w:t xml:space="preserve"> but only 17 </w:t>
      </w:r>
      <w:r w:rsidR="00566E45">
        <w:t>States</w:t>
      </w:r>
      <w:r>
        <w:t xml:space="preserve"> chose to do so.  The next opportunity for improving the alignment of State Perkins V and WIOA Unified or Co</w:t>
      </w:r>
      <w:r w:rsidR="00B1728E">
        <w:t>mbined</w:t>
      </w:r>
      <w:r>
        <w:t xml:space="preserve"> State Plans is in FY 2026, when all States must submit modifications to their WIOA Unified or Co</w:t>
      </w:r>
      <w:r w:rsidR="001B7D31">
        <w:t>mbined</w:t>
      </w:r>
      <w:r>
        <w:t xml:space="preserve"> State Plans</w:t>
      </w:r>
      <w:r w:rsidR="00F10B4B">
        <w:t xml:space="preserve">.  We hope that the remaining States </w:t>
      </w:r>
      <w:r w:rsidR="00931971">
        <w:t xml:space="preserve">will </w:t>
      </w:r>
      <w:r w:rsidR="00B232A0">
        <w:t>choose</w:t>
      </w:r>
      <w:r>
        <w:t xml:space="preserve"> </w:t>
      </w:r>
      <w:r>
        <w:t xml:space="preserve">to </w:t>
      </w:r>
      <w:r w:rsidRPr="00A07795">
        <w:t xml:space="preserve">amend </w:t>
      </w:r>
      <w:r>
        <w:t xml:space="preserve">their </w:t>
      </w:r>
      <w:r w:rsidRPr="00A07795">
        <w:t>existing</w:t>
      </w:r>
      <w:r w:rsidR="00245EE6">
        <w:t>,</w:t>
      </w:r>
      <w:r w:rsidRPr="00A07795">
        <w:t xml:space="preserve"> or submit new</w:t>
      </w:r>
      <w:r w:rsidR="00245EE6">
        <w:t>,</w:t>
      </w:r>
      <w:r w:rsidRPr="00A07795">
        <w:t xml:space="preserve"> </w:t>
      </w:r>
      <w:r>
        <w:t xml:space="preserve">Perkins V </w:t>
      </w:r>
      <w:r w:rsidRPr="00A07795">
        <w:t>State Plans</w:t>
      </w:r>
      <w:r w:rsidR="00931971">
        <w:t xml:space="preserve"> alone or </w:t>
      </w:r>
      <w:r w:rsidR="00D94F99">
        <w:t xml:space="preserve">as a component of </w:t>
      </w:r>
      <w:r w:rsidR="001B7D31">
        <w:t xml:space="preserve">a WIOA Unified or Combined State plan </w:t>
      </w:r>
      <w:r w:rsidR="00B026F1">
        <w:t>by or before 2026</w:t>
      </w:r>
      <w:r>
        <w:t>.</w:t>
      </w:r>
      <w:r w:rsidR="00B026F1">
        <w:t xml:space="preserve">  </w:t>
      </w:r>
      <w:r w:rsidR="00920C58">
        <w:t>T</w:t>
      </w:r>
      <w:r w:rsidR="00B026F1">
        <w:t>he Department is no</w:t>
      </w:r>
      <w:r w:rsidR="006B01BA">
        <w:t xml:space="preserve"> longer proposing to </w:t>
      </w:r>
      <w:r w:rsidR="00B026F1">
        <w:t>direct</w:t>
      </w:r>
      <w:r w:rsidR="006B01BA">
        <w:t xml:space="preserve"> </w:t>
      </w:r>
      <w:r w:rsidR="00B026F1">
        <w:t xml:space="preserve">States </w:t>
      </w:r>
      <w:r w:rsidR="006B01BA">
        <w:t xml:space="preserve">to </w:t>
      </w:r>
      <w:r w:rsidR="004C312B">
        <w:t>update their</w:t>
      </w:r>
      <w:r w:rsidR="00110036">
        <w:t xml:space="preserve"> State </w:t>
      </w:r>
      <w:r w:rsidR="004C312B">
        <w:t>plans</w:t>
      </w:r>
      <w:r w:rsidR="006E16F8">
        <w:t xml:space="preserve"> based on responses to </w:t>
      </w:r>
      <w:r w:rsidR="00454259">
        <w:t xml:space="preserve">the proposed </w:t>
      </w:r>
      <w:r w:rsidR="006E16F8">
        <w:t>new narrative items</w:t>
      </w:r>
      <w:r w:rsidR="00DD251D">
        <w:t xml:space="preserve"> </w:t>
      </w:r>
      <w:r w:rsidR="00920C58">
        <w:t>but</w:t>
      </w:r>
      <w:r w:rsidR="007B3108">
        <w:t xml:space="preserve"> encourages States to</w:t>
      </w:r>
      <w:r w:rsidR="00DD251D">
        <w:t xml:space="preserve"> continue to work to </w:t>
      </w:r>
      <w:r w:rsidR="002B0A21">
        <w:t>align</w:t>
      </w:r>
      <w:r w:rsidR="00CD5686">
        <w:t xml:space="preserve"> </w:t>
      </w:r>
      <w:r w:rsidR="00892794">
        <w:t xml:space="preserve">the implementation of </w:t>
      </w:r>
      <w:r w:rsidR="00DD251D">
        <w:t xml:space="preserve">these two </w:t>
      </w:r>
      <w:r w:rsidR="006E16F8">
        <w:t>laws</w:t>
      </w:r>
      <w:r w:rsidR="006B01BA">
        <w:t xml:space="preserve">.  </w:t>
      </w:r>
    </w:p>
    <w:p w:rsidR="006B01BA" w:rsidP="00F255E9" w14:paraId="569EAFD9" w14:textId="25218E0C">
      <w:r w:rsidRPr="005B0592">
        <w:rPr>
          <w:u w:val="single"/>
        </w:rPr>
        <w:t>Changes</w:t>
      </w:r>
      <w:r>
        <w:t xml:space="preserve">: </w:t>
      </w:r>
      <w:r w:rsidR="00281C61">
        <w:t xml:space="preserve"> </w:t>
      </w:r>
      <w:r w:rsidRPr="0089287D" w:rsidR="0089287D">
        <w:t>As described in the response to #3, we are proposing to remove all of the proposed new narrative items from the State Plan Guide and intend to propose to</w:t>
      </w:r>
      <w:r w:rsidR="0089287D">
        <w:t xml:space="preserve"> </w:t>
      </w:r>
      <w:r w:rsidRPr="0089287D" w:rsidR="0089287D">
        <w:t>include them in the CAR ICR (1830-0569) instead.</w:t>
      </w:r>
    </w:p>
    <w:p w:rsidR="00F255E9" w:rsidRPr="00C513BA" w:rsidP="039E996D" w14:paraId="683F97D3" w14:textId="2CB3916B">
      <w:pPr>
        <w:pStyle w:val="ListParagraph"/>
        <w:numPr>
          <w:ilvl w:val="0"/>
          <w:numId w:val="3"/>
        </w:numPr>
        <w:rPr>
          <w:rStyle w:val="ui-provider"/>
          <w:b/>
          <w:bCs/>
          <w:color w:val="000000" w:themeColor="text1"/>
        </w:rPr>
      </w:pPr>
      <w:r w:rsidRPr="00C513BA">
        <w:rPr>
          <w:rStyle w:val="ui-provider"/>
          <w:b/>
          <w:bCs/>
          <w:color w:val="000000" w:themeColor="text1"/>
        </w:rPr>
        <w:t>Two commenters expressed concern that requiring States to prepare and submit new State plans would have “unintended negative consequences for equity provisions included in existing State plans” in “</w:t>
      </w:r>
      <w:r w:rsidRPr="5EC1E759" w:rsidR="008E1542">
        <w:rPr>
          <w:rStyle w:val="ui-provider"/>
          <w:b/>
          <w:bCs/>
          <w:color w:val="000000" w:themeColor="text1"/>
        </w:rPr>
        <w:t>S</w:t>
      </w:r>
      <w:r w:rsidRPr="5EC1E759">
        <w:rPr>
          <w:rStyle w:val="ui-provider"/>
          <w:b/>
          <w:bCs/>
          <w:color w:val="000000" w:themeColor="text1"/>
        </w:rPr>
        <w:t>tates</w:t>
      </w:r>
      <w:r w:rsidRPr="00C513BA">
        <w:rPr>
          <w:rStyle w:val="ui-provider"/>
          <w:b/>
          <w:bCs/>
          <w:color w:val="000000" w:themeColor="text1"/>
        </w:rPr>
        <w:t xml:space="preserve"> where the political climate can vary considerably.” </w:t>
      </w:r>
    </w:p>
    <w:p w:rsidR="005B0592" w:rsidP="005B0592" w14:paraId="38F952D2" w14:textId="78179ADA">
      <w:r>
        <w:rPr>
          <w:u w:val="single"/>
        </w:rPr>
        <w:t>Response</w:t>
      </w:r>
      <w:r>
        <w:t>:</w:t>
      </w:r>
      <w:r w:rsidR="002F37C5">
        <w:t xml:space="preserve"> </w:t>
      </w:r>
      <w:r w:rsidR="0090301D">
        <w:t xml:space="preserve"> </w:t>
      </w:r>
      <w:r w:rsidR="00C75D95">
        <w:t>The</w:t>
      </w:r>
      <w:r w:rsidR="003F7443">
        <w:t xml:space="preserve"> Department is </w:t>
      </w:r>
      <w:r w:rsidR="005E6D5D">
        <w:t xml:space="preserve">now </w:t>
      </w:r>
      <w:r w:rsidR="003F7443">
        <w:t xml:space="preserve">proposing to </w:t>
      </w:r>
      <w:r w:rsidR="005E6D5D">
        <w:t xml:space="preserve">remove all </w:t>
      </w:r>
      <w:r w:rsidR="003F7443">
        <w:t xml:space="preserve">proposed </w:t>
      </w:r>
      <w:r w:rsidR="005E6D5D">
        <w:t xml:space="preserve">new narrative items from the </w:t>
      </w:r>
      <w:r w:rsidR="003F7443">
        <w:t xml:space="preserve">State </w:t>
      </w:r>
      <w:r w:rsidR="005E6D5D">
        <w:t>Plan Guide</w:t>
      </w:r>
      <w:r w:rsidR="00D62E6C">
        <w:t xml:space="preserve"> and </w:t>
      </w:r>
      <w:r w:rsidR="005E6D5D">
        <w:t>intend</w:t>
      </w:r>
      <w:r w:rsidR="00CA1A9E">
        <w:t>s</w:t>
      </w:r>
      <w:r w:rsidR="005E6D5D">
        <w:t xml:space="preserve"> to propose</w:t>
      </w:r>
      <w:r w:rsidR="00D62E6C">
        <w:t xml:space="preserve"> to </w:t>
      </w:r>
      <w:r w:rsidR="005E6D5D">
        <w:t xml:space="preserve">include them in the </w:t>
      </w:r>
      <w:r w:rsidR="00D62E6C">
        <w:t>CAR</w:t>
      </w:r>
      <w:r w:rsidR="005E6D5D">
        <w:t xml:space="preserve"> </w:t>
      </w:r>
      <w:r w:rsidR="00D62E6C">
        <w:t>ICR</w:t>
      </w:r>
      <w:r w:rsidR="005E6D5D">
        <w:t xml:space="preserve"> (1830-0569) instead.  </w:t>
      </w:r>
    </w:p>
    <w:p w:rsidR="006E391F" w:rsidP="006E391F" w14:paraId="349AEA4C" w14:textId="1891F444">
      <w:r w:rsidRPr="005B0592">
        <w:rPr>
          <w:u w:val="single"/>
        </w:rPr>
        <w:t>Changes</w:t>
      </w:r>
      <w:r>
        <w:t>:</w:t>
      </w:r>
      <w:r w:rsidR="0090301D">
        <w:t xml:space="preserve"> </w:t>
      </w:r>
      <w:r>
        <w:t xml:space="preserve"> </w:t>
      </w:r>
      <w:r w:rsidRPr="0089287D" w:rsidR="0089287D">
        <w:t>As described in the response to #3, we are proposing to remove all of the proposed new narrative items from the State Plan Guide and intend to propose to include them in the CAR ICR (1830-0569) instead.</w:t>
      </w:r>
    </w:p>
    <w:p w:rsidR="008D419C" w:rsidRPr="00C513BA" w:rsidP="039E996D" w14:paraId="7E5BC963" w14:textId="6D01A27A">
      <w:pPr>
        <w:pStyle w:val="ListParagraph"/>
        <w:numPr>
          <w:ilvl w:val="0"/>
          <w:numId w:val="3"/>
        </w:numPr>
        <w:rPr>
          <w:b/>
        </w:rPr>
      </w:pPr>
      <w:r w:rsidRPr="580E39E8">
        <w:rPr>
          <w:b/>
          <w:bCs/>
        </w:rPr>
        <w:t>One</w:t>
      </w:r>
      <w:r w:rsidRPr="0248B454">
        <w:rPr>
          <w:b/>
        </w:rPr>
        <w:t xml:space="preserve"> commenter suggested that the Department publish a voluntary request for information to collect the additional information that it is proposing to require States to provide in their State plans.</w:t>
      </w:r>
    </w:p>
    <w:p w:rsidR="00455217" w:rsidP="00455217" w14:paraId="4B95ECDF" w14:textId="0D1F5B9D">
      <w:r w:rsidRPr="005B0592">
        <w:rPr>
          <w:u w:val="single"/>
        </w:rPr>
        <w:t>Response</w:t>
      </w:r>
      <w:r w:rsidRPr="00ED0C20">
        <w:t>:</w:t>
      </w:r>
      <w:r>
        <w:t xml:space="preserve">  </w:t>
      </w:r>
      <w:r w:rsidR="00E56D55">
        <w:t>I</w:t>
      </w:r>
      <w:r w:rsidR="00DB30DA">
        <w:t>n response to comments, t</w:t>
      </w:r>
      <w:r w:rsidR="008D419C">
        <w:t xml:space="preserve">he Department is proposing to </w:t>
      </w:r>
      <w:r w:rsidR="004012A3">
        <w:t xml:space="preserve">remove the </w:t>
      </w:r>
      <w:r w:rsidR="00791733">
        <w:t xml:space="preserve">proposed </w:t>
      </w:r>
      <w:r w:rsidR="004012A3">
        <w:t xml:space="preserve">narrative items highlighted by the commenter from the State Plan Guide and include them instead in the CAR ICR </w:t>
      </w:r>
      <w:r w:rsidR="003F719A">
        <w:t xml:space="preserve">to reduce burden on States.  </w:t>
      </w:r>
      <w:r w:rsidR="00965545">
        <w:t>However, w</w:t>
      </w:r>
      <w:r w:rsidR="003F719A">
        <w:t xml:space="preserve">e </w:t>
      </w:r>
      <w:r w:rsidR="00603DE6">
        <w:t xml:space="preserve">continue to believe </w:t>
      </w:r>
      <w:r w:rsidR="00890426">
        <w:t>that</w:t>
      </w:r>
      <w:r w:rsidR="00747FD9">
        <w:t xml:space="preserve"> it is critical to collect</w:t>
      </w:r>
      <w:r w:rsidR="00890426">
        <w:t xml:space="preserve"> this information about State implementation of Perkins V.</w:t>
      </w:r>
      <w:r w:rsidR="0086040F">
        <w:t xml:space="preserve"> </w:t>
      </w:r>
      <w:r w:rsidR="00890426">
        <w:t xml:space="preserve"> </w:t>
      </w:r>
      <w:r w:rsidR="004842CD">
        <w:t xml:space="preserve">For example, </w:t>
      </w:r>
      <w:r w:rsidR="00E66EAE">
        <w:t xml:space="preserve">section 135(b) of Perkins V limits the use of </w:t>
      </w:r>
      <w:r w:rsidR="00E66EAE">
        <w:t xml:space="preserve">subgrant funds by subrecipients to </w:t>
      </w:r>
      <w:r w:rsidRPr="00A070D8" w:rsidR="00E66EAE">
        <w:t>support</w:t>
      </w:r>
      <w:r w:rsidR="00E66EAE">
        <w:t>ing “</w:t>
      </w:r>
      <w:r w:rsidRPr="00A070D8" w:rsidR="00E66EAE">
        <w:t>career and technical education programs that are of sufficient size, scope, and quality to be effective</w:t>
      </w:r>
      <w:r w:rsidR="004440DD">
        <w:t>.</w:t>
      </w:r>
      <w:r w:rsidR="00E66EAE">
        <w:t>”</w:t>
      </w:r>
      <w:r w:rsidR="003B7A79">
        <w:t xml:space="preserve"> </w:t>
      </w:r>
      <w:r w:rsidR="004440DD">
        <w:t xml:space="preserve"> </w:t>
      </w:r>
      <w:r w:rsidR="005437AC">
        <w:t xml:space="preserve">The Department </w:t>
      </w:r>
      <w:r w:rsidR="007C398C">
        <w:t xml:space="preserve">is responsible for ensuring </w:t>
      </w:r>
      <w:r w:rsidR="00C37410">
        <w:t xml:space="preserve">that </w:t>
      </w:r>
      <w:r w:rsidR="00E71EA2">
        <w:t xml:space="preserve">each State </w:t>
      </w:r>
      <w:r w:rsidR="00A11D93">
        <w:t>is implementing</w:t>
      </w:r>
      <w:r w:rsidR="00E71EA2">
        <w:t xml:space="preserve"> these </w:t>
      </w:r>
      <w:r w:rsidR="00377021">
        <w:t>statutory</w:t>
      </w:r>
      <w:r w:rsidR="00E71EA2">
        <w:t xml:space="preserve"> terms that are applicable both to secondary and postsecondary CTE programs and programs of study. </w:t>
      </w:r>
      <w:r>
        <w:t xml:space="preserve"> A voluntary request for information would not achieve this result. </w:t>
      </w:r>
    </w:p>
    <w:p w:rsidR="004012A3" w:rsidRPr="00231943" w:rsidP="004012A3" w14:paraId="4230D139" w14:textId="7450FD31">
      <w:r w:rsidRPr="005B0592">
        <w:rPr>
          <w:u w:val="single"/>
        </w:rPr>
        <w:t>Changes</w:t>
      </w:r>
      <w:r>
        <w:t xml:space="preserve">: </w:t>
      </w:r>
      <w:r w:rsidR="002A6397">
        <w:t xml:space="preserve"> </w:t>
      </w:r>
      <w:r w:rsidRPr="003B1244" w:rsidR="003B1244">
        <w:t>As described in the response to #3, we are proposing to remove all of the proposed new narrative items from the State Plan Guide and intend to propose to include them in the CAR ICR (1830-0569) instead.</w:t>
      </w:r>
    </w:p>
    <w:p w:rsidR="008D419C" w:rsidRPr="006F3717" w:rsidP="000D1CB5" w14:paraId="6F201F8D" w14:textId="339378BC">
      <w:pPr>
        <w:rPr>
          <w:u w:val="single"/>
        </w:rPr>
      </w:pPr>
      <w:r w:rsidRPr="006F3717">
        <w:rPr>
          <w:u w:val="single"/>
        </w:rPr>
        <w:t>Institute of Education Sciences State Survey</w:t>
      </w:r>
    </w:p>
    <w:p w:rsidR="000D1CB5" w:rsidRPr="00C513BA" w:rsidP="17824E09" w14:paraId="367F5044" w14:textId="2975099A">
      <w:pPr>
        <w:pStyle w:val="ListParagraph"/>
        <w:numPr>
          <w:ilvl w:val="0"/>
          <w:numId w:val="3"/>
        </w:numPr>
        <w:rPr>
          <w:b/>
        </w:rPr>
      </w:pPr>
      <w:r w:rsidRPr="5402B086">
        <w:rPr>
          <w:b/>
        </w:rPr>
        <w:t xml:space="preserve">Several commenters stated that it was unnecessary for States to include in their State plans definitions for “high-skill” and “high-wage” occupations or industries because States previously provided this information to the Department when they responded to a survey from the American Institutes of Research that was commissioned by the Institute of Education Sciences (IES) for the National Evaluation of Career and Technical Education Programs under Perkins V.  </w:t>
      </w:r>
      <w:r w:rsidRPr="5402B086" w:rsidR="00A071DE">
        <w:rPr>
          <w:b/>
        </w:rPr>
        <w:t xml:space="preserve">Two commenters </w:t>
      </w:r>
      <w:r w:rsidRPr="5402B086" w:rsidR="00F1241B">
        <w:rPr>
          <w:b/>
        </w:rPr>
        <w:t xml:space="preserve">also </w:t>
      </w:r>
      <w:r w:rsidRPr="5402B086" w:rsidR="00CB6C3B">
        <w:rPr>
          <w:b/>
        </w:rPr>
        <w:t xml:space="preserve">objected to </w:t>
      </w:r>
      <w:r w:rsidRPr="5402B086" w:rsidR="007305DD">
        <w:rPr>
          <w:b/>
        </w:rPr>
        <w:t xml:space="preserve">the proposed request on serving students in the middle grades because the IES </w:t>
      </w:r>
      <w:r w:rsidRPr="5402B086" w:rsidR="00CB6C3B">
        <w:rPr>
          <w:b/>
        </w:rPr>
        <w:t xml:space="preserve">survey asked questions </w:t>
      </w:r>
      <w:r w:rsidRPr="5402B086" w:rsidR="007305DD">
        <w:rPr>
          <w:b/>
        </w:rPr>
        <w:t xml:space="preserve">about </w:t>
      </w:r>
      <w:r w:rsidRPr="5402B086" w:rsidR="00F1241B">
        <w:rPr>
          <w:b/>
        </w:rPr>
        <w:t>s</w:t>
      </w:r>
      <w:r w:rsidRPr="5402B086" w:rsidR="00CB6C3B">
        <w:rPr>
          <w:b/>
        </w:rPr>
        <w:t>ervices for students in the middle grades</w:t>
      </w:r>
      <w:r w:rsidRPr="5402B086" w:rsidR="00F1241B">
        <w:rPr>
          <w:b/>
        </w:rPr>
        <w:t xml:space="preserve">. </w:t>
      </w:r>
      <w:r w:rsidRPr="5402B086" w:rsidR="00CB6C3B">
        <w:rPr>
          <w:b/>
        </w:rPr>
        <w:t xml:space="preserve"> </w:t>
      </w:r>
    </w:p>
    <w:p w:rsidR="1F9122C6" w:rsidP="1F9122C6" w14:paraId="20DDDFEE" w14:textId="4F5D00F3">
      <w:r w:rsidRPr="251A7841">
        <w:rPr>
          <w:u w:val="single"/>
        </w:rPr>
        <w:t>Response</w:t>
      </w:r>
      <w:r>
        <w:t xml:space="preserve">:  As noted on the IES survey instrument that States completed, the information States provided in their survey responses is confidential and cannot be shared by IES with the Office of Career, Technical, and Adult Education </w:t>
      </w:r>
      <w:r w:rsidR="005C67F6">
        <w:t xml:space="preserve">(OCTAE) </w:t>
      </w:r>
      <w:r>
        <w:t>except in aggregate form</w:t>
      </w:r>
      <w:r w:rsidR="00640A53">
        <w:t xml:space="preserve"> and</w:t>
      </w:r>
      <w:r>
        <w:t xml:space="preserve"> without attribution to specific States.  </w:t>
      </w:r>
      <w:r w:rsidR="00B84AAB">
        <w:t>As a result</w:t>
      </w:r>
      <w:r w:rsidR="002D5B81">
        <w:t xml:space="preserve">, </w:t>
      </w:r>
      <w:r w:rsidR="00F6015A">
        <w:t xml:space="preserve">it is necessary to collect this information through </w:t>
      </w:r>
      <w:r w:rsidR="00B000E8">
        <w:t xml:space="preserve">the proposed information collection, </w:t>
      </w:r>
      <w:r w:rsidR="0093652A">
        <w:t xml:space="preserve">which will provide </w:t>
      </w:r>
      <w:r w:rsidR="00B000E8">
        <w:t>necessary information to OCTAE and interested members of the public</w:t>
      </w:r>
      <w:r w:rsidR="00421BDB">
        <w:t xml:space="preserve">.  </w:t>
      </w:r>
      <w:r w:rsidR="23C27745">
        <w:t>In addition, the Secretary has the statutory authority to collect this data to effectively report on “the condition of career and technical education and on the effectiveness of State and local programs, services, and activities carried out under” Title I of Perkins V (section 114(a(1)) and to “carry out research” concerning CTE programs under Perkins V (section 114(c)(1)); and to “collect data and information on applicable programs for the purpose of obtaining objective measurements of the effectiveness of such programs in achieving the intended purposes of such programs” General Educations Provisions Act section 431, 20 U.S.C. 1231a.</w:t>
      </w:r>
    </w:p>
    <w:p w:rsidR="00025048" w:rsidP="00360443" w14:paraId="6EA706FB" w14:textId="77777777">
      <w:r w:rsidRPr="003768B2">
        <w:rPr>
          <w:u w:val="single"/>
        </w:rPr>
        <w:t>Changes</w:t>
      </w:r>
      <w:r>
        <w:t xml:space="preserve">:  </w:t>
      </w:r>
      <w:r w:rsidRPr="003B1244" w:rsidR="003B1244">
        <w:t>As described in the response to #3, we are proposing to remove all of the proposed new narrative items from the State Plan Guide and intend to propose to include them in the CAR ICR (1830-0569) instead.</w:t>
      </w:r>
      <w:r w:rsidRPr="003B1244" w:rsidR="45225D0E">
        <w:t xml:space="preserve"> </w:t>
      </w:r>
    </w:p>
    <w:p w:rsidR="00360443" w:rsidRPr="0059022D" w:rsidP="00360443" w14:paraId="637BB1E2" w14:textId="1E308DB8">
      <w:pPr>
        <w:rPr>
          <w:rFonts w:ascii="Calibri" w:eastAsia="Calibri" w:hAnsi="Calibri" w:cs="Calibri"/>
          <w:kern w:val="0"/>
          <w:u w:val="single"/>
          <w14:ligatures w14:val="none"/>
        </w:rPr>
      </w:pPr>
      <w:r w:rsidRPr="0059022D">
        <w:rPr>
          <w:rFonts w:ascii="Calibri" w:eastAsia="Calibri" w:hAnsi="Calibri" w:cs="Calibri"/>
          <w:kern w:val="0"/>
          <w:u w:val="single"/>
          <w14:ligatures w14:val="none"/>
        </w:rPr>
        <w:t>Definitions of “Size,” Scope,” and Quality”</w:t>
      </w:r>
      <w:r w:rsidR="002A3419">
        <w:rPr>
          <w:rFonts w:ascii="Calibri" w:eastAsia="Calibri" w:hAnsi="Calibri" w:cs="Calibri"/>
          <w:kern w:val="0"/>
          <w:u w:val="single"/>
          <w14:ligatures w14:val="none"/>
        </w:rPr>
        <w:t xml:space="preserve"> (</w:t>
      </w:r>
      <w:r w:rsidR="00D526CC">
        <w:rPr>
          <w:rFonts w:ascii="Calibri" w:eastAsia="Calibri" w:hAnsi="Calibri" w:cs="Calibri"/>
          <w:kern w:val="0"/>
          <w:u w:val="single"/>
          <w14:ligatures w14:val="none"/>
        </w:rPr>
        <w:t xml:space="preserve">Items </w:t>
      </w:r>
      <w:r w:rsidR="004B5227">
        <w:rPr>
          <w:rFonts w:ascii="Calibri" w:eastAsia="Calibri" w:hAnsi="Calibri" w:cs="Calibri"/>
          <w:kern w:val="0"/>
          <w:u w:val="single"/>
          <w14:ligatures w14:val="none"/>
        </w:rPr>
        <w:t>B.</w:t>
      </w:r>
      <w:r w:rsidR="00D526CC">
        <w:rPr>
          <w:rFonts w:ascii="Calibri" w:eastAsia="Calibri" w:hAnsi="Calibri" w:cs="Calibri"/>
          <w:kern w:val="0"/>
          <w:u w:val="single"/>
          <w14:ligatures w14:val="none"/>
        </w:rPr>
        <w:t>8(h) and (i) on page 15)</w:t>
      </w:r>
    </w:p>
    <w:p w:rsidR="00360443" w:rsidRPr="00C513BA" w:rsidP="17824E09" w14:paraId="2B4FE5CF" w14:textId="08AB3472">
      <w:pPr>
        <w:pStyle w:val="ListParagraph"/>
        <w:numPr>
          <w:ilvl w:val="0"/>
          <w:numId w:val="3"/>
        </w:numPr>
        <w:rPr>
          <w:rFonts w:ascii="Calibri" w:eastAsia="Calibri" w:hAnsi="Calibri" w:cs="Calibri"/>
          <w:b/>
          <w:kern w:val="0"/>
          <w14:ligatures w14:val="none"/>
        </w:rPr>
      </w:pPr>
      <w:r w:rsidRPr="00C513BA">
        <w:rPr>
          <w:rFonts w:ascii="Calibri" w:eastAsia="Calibri" w:hAnsi="Calibri" w:cs="Calibri"/>
          <w:b/>
          <w:kern w:val="0"/>
          <w14:ligatures w14:val="none"/>
        </w:rPr>
        <w:t xml:space="preserve">Two commenters objected to the proposed requests that States provide definitions of “size,” scope,” and “quality” for both secondary and postsecondary programs and maintained that these requests “effectively amount to regulation.” </w:t>
      </w:r>
      <w:r w:rsidR="00323D93">
        <w:rPr>
          <w:rFonts w:ascii="Calibri" w:eastAsia="Calibri" w:hAnsi="Calibri" w:cs="Calibri"/>
          <w:b/>
          <w:kern w:val="0"/>
          <w14:ligatures w14:val="none"/>
        </w:rPr>
        <w:t xml:space="preserve"> </w:t>
      </w:r>
      <w:r w:rsidRPr="00C513BA">
        <w:rPr>
          <w:rFonts w:ascii="Calibri" w:eastAsia="Calibri" w:hAnsi="Calibri" w:cs="Calibri"/>
          <w:b/>
          <w:kern w:val="0"/>
          <w14:ligatures w14:val="none"/>
        </w:rPr>
        <w:t xml:space="preserve">These commenters expressed the view that Perkins V does not require States to define these terms or to establish separate definitions for secondary and postsecondary programs. </w:t>
      </w:r>
    </w:p>
    <w:p w:rsidR="00392BE6" w:rsidP="005B0592" w14:paraId="07DA0736" w14:textId="504626DE">
      <w:r>
        <w:rPr>
          <w:u w:val="single"/>
        </w:rPr>
        <w:t>Response</w:t>
      </w:r>
      <w:r>
        <w:t>:</w:t>
      </w:r>
      <w:r w:rsidR="009D1FED">
        <w:t xml:space="preserve">  </w:t>
      </w:r>
      <w:r w:rsidR="00374FA7">
        <w:t xml:space="preserve">Section 135(b) </w:t>
      </w:r>
      <w:r w:rsidR="002047BD">
        <w:t xml:space="preserve">of Perkins V limits the use of subgrant funds by subrecipients to </w:t>
      </w:r>
      <w:r w:rsidRPr="00A070D8" w:rsidR="00A070D8">
        <w:t>support</w:t>
      </w:r>
      <w:r w:rsidR="00807D99">
        <w:t>ing “</w:t>
      </w:r>
      <w:r w:rsidRPr="00A070D8" w:rsidR="00A070D8">
        <w:t>career and technical education programs that are of sufficient size, scope, and quality to be effective</w:t>
      </w:r>
      <w:r w:rsidR="00807D99">
        <w:t>.”</w:t>
      </w:r>
      <w:r w:rsidR="00CB072C">
        <w:t xml:space="preserve"> </w:t>
      </w:r>
      <w:r>
        <w:t xml:space="preserve">34 CFR 76.770 requires each </w:t>
      </w:r>
      <w:r w:rsidRPr="00C67605">
        <w:t xml:space="preserve">State </w:t>
      </w:r>
      <w:r>
        <w:t>to “h</w:t>
      </w:r>
      <w:r w:rsidRPr="00C67605">
        <w:t xml:space="preserve">ave procedures for reviewing and approving applications for </w:t>
      </w:r>
      <w:r w:rsidRPr="00C67605">
        <w:t>subgrants and amendments to those applications, for providing technical assistance, for evaluating projects, and for performing other administrative responsibilities the State has determined are necessary to ensure compliance with applicable statutes and regulations.</w:t>
      </w:r>
      <w:r>
        <w:t xml:space="preserve">” </w:t>
      </w:r>
      <w:r w:rsidR="0006332B">
        <w:t xml:space="preserve"> </w:t>
      </w:r>
      <w:r w:rsidRPr="00295E84" w:rsidR="00295E84">
        <w:t>2 CFR 200.332</w:t>
      </w:r>
      <w:r w:rsidR="00FF23EC">
        <w:t>(</w:t>
      </w:r>
      <w:r w:rsidR="00C4330F">
        <w:t>e) requires each State to “m</w:t>
      </w:r>
      <w:r w:rsidRPr="00C4330F" w:rsidR="00C4330F">
        <w:t>onitor the activities of a subrecipient as necessary to ensure that the subrecipient complies with Federal statutes, regulations, and the terms and conditions of the subaward.</w:t>
      </w:r>
      <w:r w:rsidR="00C4330F">
        <w:t>”</w:t>
      </w:r>
      <w:r w:rsidR="00323D93">
        <w:t xml:space="preserve"> </w:t>
      </w:r>
      <w:r w:rsidR="00C4330F">
        <w:t xml:space="preserve"> </w:t>
      </w:r>
      <w:r w:rsidR="0062784A">
        <w:t xml:space="preserve">In addition, </w:t>
      </w:r>
      <w:r w:rsidR="00A047E9">
        <w:t>S</w:t>
      </w:r>
      <w:r w:rsidRPr="0062784A" w:rsidR="0062784A">
        <w:t>ection 13</w:t>
      </w:r>
      <w:r w:rsidR="00B87532">
        <w:t>4(c)</w:t>
      </w:r>
      <w:r w:rsidRPr="0062784A" w:rsidR="0062784A">
        <w:t>(2)(B)</w:t>
      </w:r>
      <w:r w:rsidR="0005124A">
        <w:t xml:space="preserve"> requires </w:t>
      </w:r>
      <w:r w:rsidR="00281A4F">
        <w:t xml:space="preserve">local needs assessments to provide </w:t>
      </w:r>
      <w:r w:rsidRPr="0062784A" w:rsidR="0062784A">
        <w:t>“</w:t>
      </w:r>
      <w:r w:rsidR="00281A4F">
        <w:t>[a]</w:t>
      </w:r>
      <w:r w:rsidRPr="0062784A" w:rsidR="0062784A">
        <w:t xml:space="preserve"> description of how career and technical education programs offered by the eligible recipient are— (i) sufficient in size, scope, and quality to meet the needs of all students served by the eligible recipient</w:t>
      </w:r>
      <w:r w:rsidR="00F07324">
        <w:t>.</w:t>
      </w:r>
      <w:r w:rsidR="00280E8D">
        <w:t>”</w:t>
      </w:r>
      <w:r w:rsidR="00BD1B86">
        <w:t xml:space="preserve"> </w:t>
      </w:r>
      <w:r w:rsidR="00F07324">
        <w:t xml:space="preserve"> </w:t>
      </w:r>
      <w:r w:rsidR="00BD1B86">
        <w:t>State</w:t>
      </w:r>
      <w:r w:rsidR="00023019">
        <w:t>s</w:t>
      </w:r>
      <w:r w:rsidR="00BD1B86">
        <w:t xml:space="preserve"> </w:t>
      </w:r>
      <w:r w:rsidR="00C25AED">
        <w:t xml:space="preserve">must </w:t>
      </w:r>
      <w:r w:rsidR="00F47390">
        <w:t>provide appropriate oversight</w:t>
      </w:r>
      <w:r w:rsidR="00CA1FEA">
        <w:t xml:space="preserve"> to ensure</w:t>
      </w:r>
      <w:r w:rsidR="004F3FB2">
        <w:t xml:space="preserve"> </w:t>
      </w:r>
      <w:r w:rsidR="007C4FD1">
        <w:t xml:space="preserve">that </w:t>
      </w:r>
      <w:r w:rsidR="008B21B4">
        <w:t>subrecipient</w:t>
      </w:r>
      <w:r w:rsidR="007C4FD1">
        <w:t>s</w:t>
      </w:r>
      <w:r w:rsidR="008B21B4">
        <w:t xml:space="preserve"> compl</w:t>
      </w:r>
      <w:r w:rsidR="00F32BD6">
        <w:t>y</w:t>
      </w:r>
      <w:r w:rsidR="008B21B4">
        <w:t xml:space="preserve"> with the statut</w:t>
      </w:r>
      <w:r w:rsidR="00F32BD6">
        <w:t>ory limitation on the uses of funds</w:t>
      </w:r>
      <w:r w:rsidR="00B87532">
        <w:t xml:space="preserve"> and address </w:t>
      </w:r>
      <w:r w:rsidR="00515D87">
        <w:t>the associated statutory requirements, like the local needs assessment</w:t>
      </w:r>
      <w:r w:rsidR="008B21B4">
        <w:t>.  These</w:t>
      </w:r>
      <w:r w:rsidR="009F58E6">
        <w:t xml:space="preserve"> </w:t>
      </w:r>
      <w:r w:rsidR="00F22BF2">
        <w:t>statutory</w:t>
      </w:r>
      <w:r w:rsidR="002C3478">
        <w:t xml:space="preserve"> </w:t>
      </w:r>
      <w:r w:rsidR="00CB6570">
        <w:t xml:space="preserve">requirements apply </w:t>
      </w:r>
      <w:r w:rsidR="009F58E6">
        <w:t xml:space="preserve">to both secondary programs that are supported with funds under section 131 and postsecondary programs </w:t>
      </w:r>
      <w:r w:rsidR="00FE0DB4">
        <w:t xml:space="preserve">that are supported with funds </w:t>
      </w:r>
      <w:r w:rsidR="009F58E6">
        <w:t>under section 132</w:t>
      </w:r>
      <w:r w:rsidR="000A57C7">
        <w:t>,</w:t>
      </w:r>
      <w:r w:rsidR="00CF2996">
        <w:t xml:space="preserve"> so it is appropriate for the Department to ask about implementation </w:t>
      </w:r>
      <w:r w:rsidR="00060293">
        <w:t xml:space="preserve">of these terms </w:t>
      </w:r>
      <w:r w:rsidR="002C621C">
        <w:t>in both types of programs</w:t>
      </w:r>
      <w:r w:rsidR="009F58E6">
        <w:t>.</w:t>
      </w:r>
      <w:r w:rsidR="001D2821">
        <w:t xml:space="preserve">  </w:t>
      </w:r>
      <w:r w:rsidR="004124EE">
        <w:t xml:space="preserve">However, </w:t>
      </w:r>
      <w:r w:rsidR="007C1E76">
        <w:t>in response to</w:t>
      </w:r>
      <w:r w:rsidR="004124EE">
        <w:t xml:space="preserve"> </w:t>
      </w:r>
      <w:r w:rsidR="00614C01">
        <w:t>comments</w:t>
      </w:r>
      <w:r w:rsidR="00745159">
        <w:t xml:space="preserve"> </w:t>
      </w:r>
      <w:r w:rsidR="001E2B68">
        <w:t>we received</w:t>
      </w:r>
      <w:r w:rsidR="004124EE">
        <w:t xml:space="preserve">, </w:t>
      </w:r>
      <w:r w:rsidR="00C86334">
        <w:t xml:space="preserve">we </w:t>
      </w:r>
      <w:r w:rsidR="005A4D9A">
        <w:t xml:space="preserve">are </w:t>
      </w:r>
      <w:r w:rsidR="00BC6427">
        <w:t xml:space="preserve">proposing to </w:t>
      </w:r>
      <w:r w:rsidR="00232964">
        <w:t>mov</w:t>
      </w:r>
      <w:r w:rsidR="00BC6427">
        <w:t>e</w:t>
      </w:r>
      <w:r w:rsidR="00232964">
        <w:t xml:space="preserve"> these items</w:t>
      </w:r>
      <w:r w:rsidR="00AF1056">
        <w:t xml:space="preserve"> </w:t>
      </w:r>
      <w:r w:rsidR="005E013D">
        <w:t xml:space="preserve">to the </w:t>
      </w:r>
      <w:r w:rsidR="000A57C7">
        <w:t xml:space="preserve">CAR </w:t>
      </w:r>
      <w:r w:rsidR="005E013D">
        <w:t>ICR in order to reduce administrative burden</w:t>
      </w:r>
      <w:r w:rsidR="005C15D6">
        <w:t xml:space="preserve"> on States</w:t>
      </w:r>
      <w:r w:rsidR="00B173BD">
        <w:t xml:space="preserve"> </w:t>
      </w:r>
      <w:r w:rsidR="00C70C7A">
        <w:t>given where we are in implementation of Perkins V</w:t>
      </w:r>
      <w:r w:rsidR="005C15D6">
        <w:t>.</w:t>
      </w:r>
    </w:p>
    <w:p w:rsidR="005B0592" w:rsidRPr="00C513BA" w:rsidP="005B0592" w14:paraId="7ED31004" w14:textId="648265CC">
      <w:pPr>
        <w:rPr>
          <w:rFonts w:ascii="Calibri" w:eastAsia="Calibri" w:hAnsi="Calibri" w:cs="Calibri"/>
          <w:b/>
          <w:kern w:val="0"/>
          <w14:ligatures w14:val="none"/>
        </w:rPr>
      </w:pPr>
      <w:r w:rsidRPr="005B0592">
        <w:rPr>
          <w:u w:val="single"/>
        </w:rPr>
        <w:t>Changes</w:t>
      </w:r>
      <w:r>
        <w:t xml:space="preserve">: </w:t>
      </w:r>
      <w:r w:rsidR="00EB269B">
        <w:t xml:space="preserve"> </w:t>
      </w:r>
      <w:r w:rsidRPr="00077814" w:rsidR="00077814">
        <w:t>As described in the response to #3, we are proposing to remove all of the proposed new narrative items from the State Plan Guide and intend to propose to include them in the CAR ICR (1830-0569) instead</w:t>
      </w:r>
      <w:r w:rsidR="004D7604">
        <w:t xml:space="preserve"> and will retain the </w:t>
      </w:r>
      <w:r w:rsidR="00A670BE">
        <w:t>original</w:t>
      </w:r>
      <w:r w:rsidR="004D7604">
        <w:t xml:space="preserve"> State Plan Guide question that asks States to describe how they meet section 113(b)(3)(A)(i)(III). </w:t>
      </w:r>
      <w:r w:rsidRPr="007B0792" w:rsidR="007B0792">
        <w:t xml:space="preserve"> </w:t>
      </w:r>
      <w:r w:rsidR="007B0792">
        <w:t>We are clarifying that States may provide their definitions of “size,” “scope,” and “quality” or a description of their implementation of these terms related to programs funded under sections 131 and 132</w:t>
      </w:r>
      <w:r w:rsidR="000C2E41">
        <w:t xml:space="preserve"> in response to these proposed questions in the CAR</w:t>
      </w:r>
      <w:r w:rsidR="007162F8">
        <w:t xml:space="preserve"> ICR</w:t>
      </w:r>
      <w:r w:rsidR="007B0792">
        <w:t xml:space="preserve">. </w:t>
      </w:r>
    </w:p>
    <w:p w:rsidR="00360443" w:rsidRPr="00C513BA" w:rsidP="6E145D61" w14:paraId="33300E04" w14:textId="5B0FE2C0">
      <w:pPr>
        <w:pStyle w:val="ListParagraph"/>
        <w:numPr>
          <w:ilvl w:val="0"/>
          <w:numId w:val="3"/>
        </w:numPr>
        <w:rPr>
          <w:rFonts w:ascii="Calibri" w:eastAsia="Calibri" w:hAnsi="Calibri" w:cs="Calibri"/>
          <w:b/>
          <w:kern w:val="0"/>
          <w14:ligatures w14:val="none"/>
        </w:rPr>
      </w:pPr>
      <w:r w:rsidRPr="00C513BA">
        <w:rPr>
          <w:rFonts w:ascii="Calibri" w:eastAsia="Calibri" w:hAnsi="Calibri" w:cs="Calibri"/>
          <w:b/>
          <w:kern w:val="0"/>
          <w14:ligatures w14:val="none"/>
        </w:rPr>
        <w:t>One commenter, a State Department of Education, objected to the proposed request that States provide definitions of “size,” scope,” and “quality” for both secondary and postsecondary programs because the State uses one set of definitions applicable to all programs.  The commenter stated that it would be burdensome and time</w:t>
      </w:r>
      <w:r w:rsidR="00461355">
        <w:rPr>
          <w:rFonts w:ascii="Calibri" w:eastAsia="Calibri" w:hAnsi="Calibri" w:cs="Calibri"/>
          <w:b/>
          <w:kern w:val="0"/>
          <w14:ligatures w14:val="none"/>
        </w:rPr>
        <w:t xml:space="preserve"> </w:t>
      </w:r>
      <w:r w:rsidRPr="00C513BA">
        <w:rPr>
          <w:rFonts w:ascii="Calibri" w:eastAsia="Calibri" w:hAnsi="Calibri" w:cs="Calibri"/>
          <w:b/>
          <w:kern w:val="0"/>
          <w14:ligatures w14:val="none"/>
        </w:rPr>
        <w:t>consuming for the State to develop separate definitions for secondary and postsecondary programs.</w:t>
      </w:r>
    </w:p>
    <w:p w:rsidR="005B0592" w:rsidRPr="00F32BD6" w:rsidP="005B0592" w14:paraId="6BC8ED5A" w14:textId="245BEFFB">
      <w:pPr>
        <w:rPr>
          <w:rFonts w:ascii="Calibri" w:eastAsia="Calibri" w:hAnsi="Calibri" w:cs="Calibri"/>
        </w:rPr>
      </w:pPr>
      <w:r>
        <w:rPr>
          <w:u w:val="single"/>
        </w:rPr>
        <w:t>Response</w:t>
      </w:r>
      <w:r>
        <w:t>:</w:t>
      </w:r>
      <w:r w:rsidR="00F32BD6">
        <w:t xml:space="preserve">  </w:t>
      </w:r>
      <w:r w:rsidR="00BC4D88">
        <w:t>There is no requirement that a State must have</w:t>
      </w:r>
      <w:r w:rsidR="00F32BD6">
        <w:t xml:space="preserve"> </w:t>
      </w:r>
      <w:r w:rsidR="005D1193">
        <w:t xml:space="preserve">separate definitions of </w:t>
      </w:r>
      <w:r w:rsidRPr="005D1193" w:rsidR="005D1193">
        <w:t>“</w:t>
      </w:r>
      <w:r w:rsidRPr="00DF66F8" w:rsidR="005D1193">
        <w:rPr>
          <w:rFonts w:ascii="Calibri" w:eastAsia="Calibri" w:hAnsi="Calibri" w:cs="Calibri"/>
        </w:rPr>
        <w:t>size,” scope,” and “quality”</w:t>
      </w:r>
      <w:r w:rsidRPr="0F3CD1D4" w:rsidR="005D1193">
        <w:rPr>
          <w:rFonts w:ascii="Calibri" w:eastAsia="Calibri" w:hAnsi="Calibri" w:cs="Calibri"/>
        </w:rPr>
        <w:t xml:space="preserve"> for secondary and postsecondary programs</w:t>
      </w:r>
      <w:r w:rsidR="00E7715D">
        <w:rPr>
          <w:rFonts w:ascii="Calibri" w:eastAsia="Calibri" w:hAnsi="Calibri" w:cs="Calibri"/>
        </w:rPr>
        <w:t>,</w:t>
      </w:r>
      <w:r w:rsidRPr="0F3CD1D4" w:rsidR="005D1193">
        <w:rPr>
          <w:rFonts w:ascii="Calibri" w:eastAsia="Calibri" w:hAnsi="Calibri" w:cs="Calibri"/>
        </w:rPr>
        <w:t xml:space="preserve"> provided that </w:t>
      </w:r>
      <w:r w:rsidRPr="1C3C0220" w:rsidR="00A11DB9">
        <w:rPr>
          <w:rFonts w:ascii="Calibri" w:eastAsia="Calibri" w:hAnsi="Calibri" w:cs="Calibri"/>
        </w:rPr>
        <w:t>it</w:t>
      </w:r>
      <w:r w:rsidR="00A11DB9">
        <w:rPr>
          <w:rFonts w:ascii="Calibri" w:eastAsia="Calibri" w:hAnsi="Calibri" w:cs="Calibri"/>
        </w:rPr>
        <w:t xml:space="preserve"> is supporting eligible recipients in implementing these terms in</w:t>
      </w:r>
      <w:r w:rsidRPr="0F3CD1D4" w:rsidR="005D1193">
        <w:rPr>
          <w:rFonts w:ascii="Calibri" w:eastAsia="Calibri" w:hAnsi="Calibri" w:cs="Calibri"/>
        </w:rPr>
        <w:t xml:space="preserve"> programs </w:t>
      </w:r>
      <w:r w:rsidR="00097DFB">
        <w:t>funded under section 131 and under section 132</w:t>
      </w:r>
      <w:r w:rsidRPr="0F3CD1D4" w:rsidR="005D1193">
        <w:rPr>
          <w:rFonts w:ascii="Calibri" w:eastAsia="Calibri" w:hAnsi="Calibri" w:cs="Calibri"/>
        </w:rPr>
        <w:t xml:space="preserve">. </w:t>
      </w:r>
      <w:r w:rsidR="00024856">
        <w:rPr>
          <w:rFonts w:ascii="Calibri" w:eastAsia="Calibri" w:hAnsi="Calibri" w:cs="Calibri"/>
        </w:rPr>
        <w:t xml:space="preserve"> States</w:t>
      </w:r>
      <w:r w:rsidR="00F91C71">
        <w:rPr>
          <w:rFonts w:ascii="Calibri" w:eastAsia="Calibri" w:hAnsi="Calibri" w:cs="Calibri"/>
        </w:rPr>
        <w:t>,</w:t>
      </w:r>
      <w:r w:rsidR="00024856">
        <w:rPr>
          <w:rFonts w:ascii="Calibri" w:eastAsia="Calibri" w:hAnsi="Calibri" w:cs="Calibri"/>
        </w:rPr>
        <w:t xml:space="preserve"> in fulfilling their</w:t>
      </w:r>
      <w:r w:rsidR="00EB6EAC">
        <w:rPr>
          <w:rFonts w:ascii="Calibri" w:eastAsia="Calibri" w:hAnsi="Calibri" w:cs="Calibri"/>
        </w:rPr>
        <w:t xml:space="preserve"> </w:t>
      </w:r>
      <w:r w:rsidR="00825B75">
        <w:rPr>
          <w:rFonts w:ascii="Calibri" w:eastAsia="Calibri" w:hAnsi="Calibri" w:cs="Calibri"/>
        </w:rPr>
        <w:t>statutory obligations</w:t>
      </w:r>
      <w:r w:rsidR="00F91C71">
        <w:rPr>
          <w:rFonts w:ascii="Calibri" w:eastAsia="Calibri" w:hAnsi="Calibri" w:cs="Calibri"/>
        </w:rPr>
        <w:t>,</w:t>
      </w:r>
      <w:r w:rsidR="00825B75">
        <w:rPr>
          <w:rFonts w:ascii="Calibri" w:eastAsia="Calibri" w:hAnsi="Calibri" w:cs="Calibri"/>
        </w:rPr>
        <w:t xml:space="preserve"> must provide oversight of eligible recipient implementation </w:t>
      </w:r>
      <w:r w:rsidR="00D75119">
        <w:rPr>
          <w:rFonts w:ascii="Calibri" w:eastAsia="Calibri" w:hAnsi="Calibri" w:cs="Calibri"/>
        </w:rPr>
        <w:t>of these terms</w:t>
      </w:r>
      <w:r w:rsidR="00010485">
        <w:rPr>
          <w:rFonts w:ascii="Calibri" w:eastAsia="Calibri" w:hAnsi="Calibri" w:cs="Calibri"/>
        </w:rPr>
        <w:t>, as described</w:t>
      </w:r>
      <w:r w:rsidR="00DF74A1">
        <w:rPr>
          <w:rFonts w:ascii="Calibri" w:eastAsia="Calibri" w:hAnsi="Calibri" w:cs="Calibri"/>
        </w:rPr>
        <w:t xml:space="preserve"> further</w:t>
      </w:r>
      <w:r w:rsidR="00010485">
        <w:rPr>
          <w:rFonts w:ascii="Calibri" w:eastAsia="Calibri" w:hAnsi="Calibri" w:cs="Calibri"/>
        </w:rPr>
        <w:t xml:space="preserve"> </w:t>
      </w:r>
      <w:r w:rsidR="00DF74A1">
        <w:rPr>
          <w:rFonts w:ascii="Calibri" w:eastAsia="Calibri" w:hAnsi="Calibri" w:cs="Calibri"/>
        </w:rPr>
        <w:t xml:space="preserve">in response to </w:t>
      </w:r>
      <w:r w:rsidR="003F04A1">
        <w:rPr>
          <w:rFonts w:ascii="Calibri" w:eastAsia="Calibri" w:hAnsi="Calibri" w:cs="Calibri"/>
        </w:rPr>
        <w:t>#</w:t>
      </w:r>
      <w:r w:rsidR="00DF74A1">
        <w:rPr>
          <w:rFonts w:ascii="Calibri" w:eastAsia="Calibri" w:hAnsi="Calibri" w:cs="Calibri"/>
        </w:rPr>
        <w:t xml:space="preserve">10 </w:t>
      </w:r>
      <w:r w:rsidR="00010485">
        <w:rPr>
          <w:rFonts w:ascii="Calibri" w:eastAsia="Calibri" w:hAnsi="Calibri" w:cs="Calibri"/>
        </w:rPr>
        <w:t xml:space="preserve">above. </w:t>
      </w:r>
    </w:p>
    <w:p w:rsidR="00D526CC" w:rsidRPr="00C513BA" w:rsidP="5402B086" w14:paraId="14F59997" w14:textId="6A62342B">
      <w:pPr>
        <w:rPr>
          <w:rFonts w:ascii="Calibri" w:eastAsia="Calibri" w:hAnsi="Calibri" w:cs="Calibri"/>
          <w:b/>
          <w:bCs/>
        </w:rPr>
      </w:pPr>
      <w:r w:rsidRPr="5402B086">
        <w:rPr>
          <w:u w:val="single"/>
        </w:rPr>
        <w:t>Changes</w:t>
      </w:r>
      <w:r>
        <w:t xml:space="preserve">: </w:t>
      </w:r>
      <w:r w:rsidR="00077814">
        <w:t>As described in the response to #3, we are proposing to remove all of the proposed new narrative items from the State Plan Guide and intend to propose to include them in the CAR ICR (1830-0569) instead</w:t>
      </w:r>
      <w:r w:rsidR="004D093B">
        <w:t xml:space="preserve"> and will retain the </w:t>
      </w:r>
      <w:r w:rsidR="00A670BE">
        <w:t>original</w:t>
      </w:r>
      <w:r w:rsidR="004D093B">
        <w:t xml:space="preserve"> State Plan Guide question that asks States to describe how they meet section 113(b)(3)(A)(i)(III).</w:t>
      </w:r>
      <w:r w:rsidR="00DF74A1">
        <w:t xml:space="preserve">  We are clarifying that States may provide their definitions of “si</w:t>
      </w:r>
      <w:r w:rsidR="00AA7E9F">
        <w:t>z</w:t>
      </w:r>
      <w:r w:rsidR="00DF74A1">
        <w:t xml:space="preserve">e,” “scope,” and “quality” or a description of their implementation of these terms related to </w:t>
      </w:r>
      <w:r w:rsidR="00AA7E9F">
        <w:t>programs funded under sections 131 and 132</w:t>
      </w:r>
      <w:r w:rsidR="000C2E41">
        <w:t xml:space="preserve"> in response to these proposed questions in the CAR</w:t>
      </w:r>
      <w:r w:rsidR="007162F8">
        <w:t xml:space="preserve"> ICR</w:t>
      </w:r>
      <w:r w:rsidR="00AA7E9F">
        <w:t xml:space="preserve">. </w:t>
      </w:r>
    </w:p>
    <w:p w:rsidR="00D526CC" w:rsidRPr="00C513BA" w:rsidP="2AF934BF" w14:paraId="30A3AB85" w14:textId="517E9D6E">
      <w:pPr>
        <w:pStyle w:val="ListParagraph"/>
        <w:numPr>
          <w:ilvl w:val="0"/>
          <w:numId w:val="3"/>
        </w:numPr>
        <w:rPr>
          <w:rFonts w:ascii="Calibri" w:eastAsia="Calibri" w:hAnsi="Calibri" w:cs="Calibri"/>
          <w:b/>
          <w:kern w:val="0"/>
          <w14:ligatures w14:val="none"/>
        </w:rPr>
      </w:pPr>
      <w:r w:rsidRPr="00C513BA">
        <w:rPr>
          <w:rFonts w:ascii="Calibri" w:eastAsia="Calibri" w:hAnsi="Calibri" w:cs="Calibri"/>
          <w:b/>
          <w:kern w:val="0"/>
          <w14:ligatures w14:val="none"/>
        </w:rPr>
        <w:t>One commenter expressed the view that State definitions of “size,” scope,” and “quality” “should flexibly accommodate local labor market variations.”</w:t>
      </w:r>
    </w:p>
    <w:p w:rsidR="005B0592" w:rsidRPr="005D1193" w:rsidP="005B0592" w14:paraId="4834E8B1" w14:textId="5CE939C0">
      <w:r>
        <w:rPr>
          <w:u w:val="single"/>
        </w:rPr>
        <w:t>Response</w:t>
      </w:r>
      <w:r>
        <w:t>:</w:t>
      </w:r>
      <w:r w:rsidR="005D1193">
        <w:t xml:space="preserve"> </w:t>
      </w:r>
      <w:r w:rsidR="00427FD3">
        <w:t xml:space="preserve"> </w:t>
      </w:r>
      <w:r w:rsidR="005D1193">
        <w:t xml:space="preserve">States have the discretion to accommodate local labor market variations in their </w:t>
      </w:r>
      <w:r w:rsidR="00350AA0">
        <w:t>approaches to program</w:t>
      </w:r>
      <w:r w:rsidR="005D1193">
        <w:t xml:space="preserve"> </w:t>
      </w:r>
      <w:r w:rsidRPr="005D1193" w:rsidR="005D1193">
        <w:t>“size,” scope,” and “quality</w:t>
      </w:r>
      <w:r w:rsidR="005D1193">
        <w:t>.</w:t>
      </w:r>
      <w:r w:rsidRPr="005D1193" w:rsidR="005D1193">
        <w:t>”</w:t>
      </w:r>
      <w:r w:rsidR="005D1193">
        <w:t xml:space="preserve">  The Department is not proposing to establish </w:t>
      </w:r>
      <w:r w:rsidR="00787EE8">
        <w:t>definition of these terms</w:t>
      </w:r>
      <w:r w:rsidR="00FB72B6">
        <w:t xml:space="preserve">.  </w:t>
      </w:r>
    </w:p>
    <w:p w:rsidR="005B0592" w:rsidRPr="005B0592" w:rsidP="005B0592" w14:paraId="30CFACD3" w14:textId="15666831">
      <w:r w:rsidRPr="005B0592">
        <w:rPr>
          <w:u w:val="single"/>
        </w:rPr>
        <w:t>Changes</w:t>
      </w:r>
      <w:r>
        <w:t xml:space="preserve">: </w:t>
      </w:r>
      <w:r w:rsidR="00D01BD7">
        <w:t xml:space="preserve"> </w:t>
      </w:r>
      <w:r w:rsidRPr="00077814" w:rsidR="00077814">
        <w:t>As described in the response to #3, we are proposing to remove all of the proposed new narrative items from the State Plan Guide and intend to propose to include them in the CAR ICR (1830-0569) instead.</w:t>
      </w:r>
      <w:r w:rsidRPr="008F5BB5" w:rsidR="008F5BB5">
        <w:t xml:space="preserve"> </w:t>
      </w:r>
      <w:r w:rsidR="00805F3A">
        <w:t xml:space="preserve"> </w:t>
      </w:r>
      <w:r w:rsidR="008F5BB5">
        <w:t>We are clarifying that States may provide their definitions of “size,” “scope,” and “quality” or a description of their implementation of these terms related to programs funded under sections 131 and 132 in response to these proposed questions in the CAR</w:t>
      </w:r>
      <w:r w:rsidR="00A912D9">
        <w:t xml:space="preserve"> ICR</w:t>
      </w:r>
      <w:r w:rsidR="008F5BB5">
        <w:t xml:space="preserve">. </w:t>
      </w:r>
    </w:p>
    <w:p w:rsidR="00231B4C" w:rsidRPr="00E3446C" w:rsidP="00231B4C" w14:paraId="5EA6E611" w14:textId="2E2EBFD0">
      <w:pPr>
        <w:rPr>
          <w:u w:val="single"/>
        </w:rPr>
      </w:pPr>
      <w:r>
        <w:rPr>
          <w:u w:val="single"/>
        </w:rPr>
        <w:t xml:space="preserve">Definitions for </w:t>
      </w:r>
      <w:r w:rsidRPr="00E3446C">
        <w:rPr>
          <w:u w:val="single"/>
        </w:rPr>
        <w:t>“High Skill” and “High-Wage” Occupations</w:t>
      </w:r>
      <w:r>
        <w:rPr>
          <w:u w:val="single"/>
        </w:rPr>
        <w:t xml:space="preserve"> (Item</w:t>
      </w:r>
      <w:r w:rsidR="00724BF0">
        <w:rPr>
          <w:u w:val="single"/>
        </w:rPr>
        <w:t>s</w:t>
      </w:r>
      <w:r>
        <w:rPr>
          <w:u w:val="single"/>
        </w:rPr>
        <w:t xml:space="preserve"> </w:t>
      </w:r>
      <w:r w:rsidR="004B5227">
        <w:rPr>
          <w:u w:val="single"/>
        </w:rPr>
        <w:t xml:space="preserve">B. </w:t>
      </w:r>
      <w:r>
        <w:rPr>
          <w:u w:val="single"/>
        </w:rPr>
        <w:t xml:space="preserve">8(j) </w:t>
      </w:r>
      <w:r w:rsidR="00724BF0">
        <w:rPr>
          <w:u w:val="single"/>
        </w:rPr>
        <w:t xml:space="preserve">and (k) </w:t>
      </w:r>
      <w:r>
        <w:rPr>
          <w:u w:val="single"/>
        </w:rPr>
        <w:t>on page 15)</w:t>
      </w:r>
    </w:p>
    <w:p w:rsidR="00231B4C" w:rsidRPr="00C513BA" w:rsidP="6E145D61" w14:paraId="559684CC" w14:textId="77777777">
      <w:pPr>
        <w:pStyle w:val="ListParagraph"/>
        <w:numPr>
          <w:ilvl w:val="0"/>
          <w:numId w:val="3"/>
        </w:numPr>
        <w:rPr>
          <w:b/>
        </w:rPr>
      </w:pPr>
      <w:r w:rsidRPr="2EE102F5">
        <w:rPr>
          <w:b/>
        </w:rPr>
        <w:t xml:space="preserve">One commenter supported the proposed request for State definitions of “high skill” and “high-wage” occupations and industries.  The commenter noted that, because the terms are “prevalent” in Perkins V, “states should define what these terms mean to allow for better understanding at the national level of what programs and industries meet these qualifications,” as well as to promote a better understanding of the terms among subrecipients for consistency in implementation. </w:t>
      </w:r>
    </w:p>
    <w:p w:rsidR="005B0592" w:rsidRPr="00805A0D" w:rsidP="005B0592" w14:paraId="26AAE231" w14:textId="64F1DF92">
      <w:r>
        <w:rPr>
          <w:u w:val="single"/>
        </w:rPr>
        <w:t>Response</w:t>
      </w:r>
      <w:r>
        <w:t>:</w:t>
      </w:r>
      <w:r w:rsidR="00805A0D">
        <w:t xml:space="preserve">  We appreciate the commenter’s support for the </w:t>
      </w:r>
      <w:r w:rsidRPr="00E53150" w:rsidR="00E53150">
        <w:t xml:space="preserve">proposed request for State definitions of “high skill” and “high-wage” occupations and industries.  </w:t>
      </w:r>
    </w:p>
    <w:p w:rsidR="00231B4C" w:rsidRPr="00C513BA" w:rsidP="2EE102F5" w14:paraId="1A90B95D" w14:textId="59D728C6">
      <w:pPr>
        <w:rPr>
          <w:b/>
          <w:bCs/>
        </w:rPr>
      </w:pPr>
      <w:r w:rsidRPr="2EE102F5">
        <w:rPr>
          <w:u w:val="single"/>
        </w:rPr>
        <w:t>Changes</w:t>
      </w:r>
      <w:r>
        <w:t xml:space="preserve">: </w:t>
      </w:r>
      <w:r w:rsidR="00AC20D2">
        <w:t xml:space="preserve"> </w:t>
      </w:r>
      <w:r w:rsidR="007B5B43">
        <w:t>As described in the response to #3, we are proposing to remove all of the proposed new narrative items from the State Plan Guide, including State definitions for “high-skill” and “high-wage” occupations and industries, and intend to propose to include them in the CAR ICR (1830-0569) instead.</w:t>
      </w:r>
    </w:p>
    <w:p w:rsidR="00231B4C" w:rsidRPr="00C513BA" w:rsidP="0479B197" w14:paraId="0A715BAE" w14:textId="2B9E1E4E">
      <w:pPr>
        <w:pStyle w:val="ListParagraph"/>
        <w:numPr>
          <w:ilvl w:val="0"/>
          <w:numId w:val="3"/>
        </w:numPr>
        <w:rPr>
          <w:b/>
        </w:rPr>
      </w:pPr>
      <w:r w:rsidRPr="0479B197">
        <w:rPr>
          <w:b/>
        </w:rPr>
        <w:t xml:space="preserve">One commenter expressed concern that requesting that States provide definitions of “high-skill” and “high-wage” occupations and industries “does not fully acknowledge the role of local and regional variations in high-skill and high-wage designations.” </w:t>
      </w:r>
    </w:p>
    <w:p w:rsidR="00AA5948" w:rsidP="005B0592" w14:paraId="7897BAB7" w14:textId="0CB73CCE">
      <w:r>
        <w:rPr>
          <w:u w:val="single"/>
        </w:rPr>
        <w:t>Response</w:t>
      </w:r>
      <w:r>
        <w:t>:</w:t>
      </w:r>
      <w:r w:rsidR="00F83D8D">
        <w:t xml:space="preserve"> </w:t>
      </w:r>
      <w:r w:rsidR="00BC64B6">
        <w:t xml:space="preserve"> In </w:t>
      </w:r>
      <w:r w:rsidR="00831664">
        <w:t>operationalizing</w:t>
      </w:r>
      <w:r w:rsidR="00BC64B6">
        <w:t xml:space="preserve"> </w:t>
      </w:r>
      <w:r w:rsidRPr="00BC64B6" w:rsidR="00BC64B6">
        <w:t>“high-skill” and “high-wage” occupations and industries</w:t>
      </w:r>
      <w:r w:rsidR="00BC64B6">
        <w:t xml:space="preserve">, States have the flexibility to take into account </w:t>
      </w:r>
      <w:r w:rsidR="00C732CC">
        <w:t xml:space="preserve">local and regional variations </w:t>
      </w:r>
      <w:r w:rsidR="008A4F2D">
        <w:t xml:space="preserve">in </w:t>
      </w:r>
      <w:r w:rsidR="009173EC">
        <w:t xml:space="preserve">skill and </w:t>
      </w:r>
      <w:r w:rsidR="008A4F2D">
        <w:t>wages</w:t>
      </w:r>
      <w:r w:rsidR="00693019">
        <w:t>.</w:t>
      </w:r>
    </w:p>
    <w:p w:rsidR="005B0592" w:rsidRPr="005B0592" w:rsidP="005B0592" w14:paraId="1C94CEEB" w14:textId="50804315">
      <w:r w:rsidRPr="005B0592">
        <w:rPr>
          <w:u w:val="single"/>
        </w:rPr>
        <w:t>Changes</w:t>
      </w:r>
      <w:r>
        <w:t xml:space="preserve">: </w:t>
      </w:r>
      <w:r w:rsidR="00F83D8D">
        <w:t xml:space="preserve"> </w:t>
      </w:r>
      <w:r w:rsidRPr="007B5B43" w:rsidR="007B5B43">
        <w:t>As described in the response to #3, we are proposing to remove all of the proposed new narrative items from the State Plan Guide, including State definitions for “high-skill” and “high-wage” occupations and industries, and intend to propose to include them in the CAR ICR (1830-0569) instead.</w:t>
      </w:r>
      <w:r w:rsidRPr="00B40AD7" w:rsidR="00B40AD7">
        <w:t xml:space="preserve"> </w:t>
      </w:r>
      <w:r w:rsidR="0078591A">
        <w:t xml:space="preserve"> </w:t>
      </w:r>
      <w:r w:rsidR="00B40AD7">
        <w:t>States may provide their definitions of “high-skill” and “high-wage” occupations and industries or a description of their implementation of these terms in response to these proposed questions in the CAR</w:t>
      </w:r>
      <w:r w:rsidR="009D7442">
        <w:t xml:space="preserve"> ICR</w:t>
      </w:r>
      <w:r w:rsidR="00B40AD7">
        <w:t xml:space="preserve">. </w:t>
      </w:r>
    </w:p>
    <w:p w:rsidR="00DC3B1D" w:rsidRPr="00C513BA" w:rsidP="6E145D61" w14:paraId="7433869F" w14:textId="719645C8">
      <w:pPr>
        <w:pStyle w:val="ListParagraph"/>
        <w:numPr>
          <w:ilvl w:val="0"/>
          <w:numId w:val="3"/>
        </w:numPr>
        <w:rPr>
          <w:b/>
        </w:rPr>
      </w:pPr>
      <w:r w:rsidRPr="0479B197">
        <w:rPr>
          <w:b/>
        </w:rPr>
        <w:t>One commenter expressed concern that the Department did not provide guidance on how definitions of “high-skill” and “high-wage” relate to those from other federal policy proposals</w:t>
      </w:r>
      <w:r w:rsidRPr="1495847E">
        <w:rPr>
          <w:b/>
          <w:bCs/>
        </w:rPr>
        <w:t>.</w:t>
      </w:r>
    </w:p>
    <w:p w:rsidR="005B0592" w:rsidRPr="00446EA7" w:rsidP="005B0592" w14:paraId="5E78B7BA" w14:textId="337FB796">
      <w:r>
        <w:rPr>
          <w:u w:val="single"/>
        </w:rPr>
        <w:t>Response</w:t>
      </w:r>
      <w:r>
        <w:t>:</w:t>
      </w:r>
      <w:r w:rsidR="00446EA7">
        <w:t xml:space="preserve">  </w:t>
      </w:r>
      <w:r w:rsidR="00577181">
        <w:t xml:space="preserve">We agree </w:t>
      </w:r>
      <w:r w:rsidR="0075431D">
        <w:t>that</w:t>
      </w:r>
      <w:r w:rsidR="009A72FD">
        <w:t xml:space="preserve"> guidance on the definitions of “high-skill” and “high-wage” occupations </w:t>
      </w:r>
      <w:r w:rsidR="00806062">
        <w:t>and industries could be helpful to States and subrecipients</w:t>
      </w:r>
      <w:r w:rsidR="00D60A44">
        <w:t xml:space="preserve">. </w:t>
      </w:r>
      <w:r w:rsidR="00FD1CC4">
        <w:t xml:space="preserve"> </w:t>
      </w:r>
      <w:r w:rsidR="00D60A44">
        <w:t>However</w:t>
      </w:r>
      <w:r w:rsidR="00623BC3">
        <w:t xml:space="preserve">, the </w:t>
      </w:r>
      <w:r w:rsidR="002E41F1">
        <w:t xml:space="preserve">State Plan Guide and CAR </w:t>
      </w:r>
      <w:r w:rsidR="00D60A44">
        <w:t xml:space="preserve">ICRs </w:t>
      </w:r>
      <w:r w:rsidR="002E41F1">
        <w:t>are data collection instruments</w:t>
      </w:r>
      <w:r w:rsidR="00960B97">
        <w:t>.</w:t>
      </w:r>
    </w:p>
    <w:p w:rsidR="005B0592" w:rsidRPr="005B0592" w:rsidP="005B0592" w14:paraId="582D486A" w14:textId="185D0C13">
      <w:r w:rsidRPr="005B0592">
        <w:rPr>
          <w:u w:val="single"/>
        </w:rPr>
        <w:t>Changes</w:t>
      </w:r>
      <w:r>
        <w:t xml:space="preserve">: </w:t>
      </w:r>
      <w:r w:rsidR="002C57EC">
        <w:t xml:space="preserve"> </w:t>
      </w:r>
      <w:r w:rsidRPr="007B5B43" w:rsidR="007B5B43">
        <w:t xml:space="preserve">As described in the response to #3, we are proposing to remove all of the proposed new narrative items from the State Plan Guide, including State definitions for “high-skill” and “high-wage” </w:t>
      </w:r>
      <w:r w:rsidRPr="007B5B43" w:rsidR="007B5B43">
        <w:t xml:space="preserve">occupations and industries, and intend to propose to </w:t>
      </w:r>
      <w:r w:rsidR="00F87A40">
        <w:t>request that States describe how they implem</w:t>
      </w:r>
      <w:r w:rsidR="00A423FF">
        <w:t>ent these concepts</w:t>
      </w:r>
      <w:r w:rsidRPr="007B5B43" w:rsidR="00F87A40">
        <w:t xml:space="preserve"> </w:t>
      </w:r>
      <w:r w:rsidRPr="007B5B43" w:rsidR="007B5B43">
        <w:t>in the CAR ICR (1830-0569) instead.</w:t>
      </w:r>
    </w:p>
    <w:p w:rsidR="00231B4C" w:rsidRPr="00C513BA" w:rsidP="6E145D61" w14:paraId="39D6E652" w14:textId="259DFFA2">
      <w:pPr>
        <w:pStyle w:val="ListParagraph"/>
        <w:numPr>
          <w:ilvl w:val="0"/>
          <w:numId w:val="3"/>
        </w:numPr>
        <w:rPr>
          <w:b/>
        </w:rPr>
      </w:pPr>
      <w:r w:rsidRPr="14A0B681">
        <w:rPr>
          <w:b/>
        </w:rPr>
        <w:t xml:space="preserve">One commenter objected to requesting that States provide definitions of “high-skill” and “high-wage” because they are “not required by statute.” </w:t>
      </w:r>
      <w:r w:rsidR="00275C5A">
        <w:rPr>
          <w:b/>
        </w:rPr>
        <w:t xml:space="preserve"> </w:t>
      </w:r>
      <w:r w:rsidRPr="14A0B681">
        <w:rPr>
          <w:b/>
        </w:rPr>
        <w:t>The commenter also reported that it was confusing that the ICR did not also request a definition of “in-demand” occupations and industries.</w:t>
      </w:r>
    </w:p>
    <w:p w:rsidR="005B0592" w:rsidRPr="00907E01" w:rsidP="005B0592" w14:paraId="758C893C" w14:textId="50658C3D">
      <w:r>
        <w:rPr>
          <w:u w:val="single"/>
        </w:rPr>
        <w:t>Response</w:t>
      </w:r>
      <w:r>
        <w:t>:</w:t>
      </w:r>
      <w:r w:rsidR="00907E01">
        <w:t xml:space="preserve">  </w:t>
      </w:r>
      <w:r w:rsidR="00087E3F">
        <w:t xml:space="preserve">The commenter is correct that </w:t>
      </w:r>
      <w:r w:rsidR="00E66F96">
        <w:t>the statute does not define “high-skill” and “high-wage</w:t>
      </w:r>
      <w:r w:rsidR="00EF081E">
        <w:t>.</w:t>
      </w:r>
      <w:r w:rsidR="00E66F96">
        <w:t xml:space="preserve">”  </w:t>
      </w:r>
      <w:r w:rsidR="00E55C99">
        <w:t>However</w:t>
      </w:r>
      <w:r w:rsidR="003374C8">
        <w:t xml:space="preserve">, section </w:t>
      </w:r>
      <w:r w:rsidR="00FB3412">
        <w:t>122(</w:t>
      </w:r>
      <w:r w:rsidR="00F831AC">
        <w:t xml:space="preserve">d)(9)(C) requires States to </w:t>
      </w:r>
      <w:r w:rsidR="00AC4E06">
        <w:t xml:space="preserve">include in their State plan </w:t>
      </w:r>
      <w:r w:rsidR="00B43FDC">
        <w:t xml:space="preserve">a </w:t>
      </w:r>
      <w:r w:rsidR="00F831AC">
        <w:t>descri</w:t>
      </w:r>
      <w:r w:rsidR="00AC4E06">
        <w:t xml:space="preserve">ption of their program strategies </w:t>
      </w:r>
      <w:r w:rsidR="00B346FE">
        <w:t>which</w:t>
      </w:r>
      <w:r w:rsidRPr="00AC4E06" w:rsidR="00AC4E06">
        <w:t xml:space="preserve"> </w:t>
      </w:r>
      <w:r w:rsidR="00B346FE">
        <w:t>“</w:t>
      </w:r>
      <w:r w:rsidRPr="00AC4E06" w:rsidR="00AC4E06">
        <w:t>enable individuals who are members of special populations to meet or exceed State determined levels of performance described in section 113, and prepare special populations for further learning and for high-skill, high-wage, or in-demand industry sectors or occupations</w:t>
      </w:r>
      <w:r w:rsidR="006069F0">
        <w:t xml:space="preserve">.” </w:t>
      </w:r>
      <w:r w:rsidR="00517534">
        <w:t xml:space="preserve"> </w:t>
      </w:r>
      <w:r w:rsidR="00C11AC6">
        <w:t>In addition, under section 124</w:t>
      </w:r>
      <w:r w:rsidR="00594622">
        <w:t xml:space="preserve">(a)(1)(A), States are required to spend leadership funds to support </w:t>
      </w:r>
      <w:r w:rsidR="002740C2">
        <w:t>“</w:t>
      </w:r>
      <w:r w:rsidRPr="002740C2" w:rsidR="002740C2">
        <w:t>preparation for non-traditional fields in current and emerging professions, programs for special populations, and other activities that expose students, including special populations, to high-skill, high-wage, and in-demand occupations</w:t>
      </w:r>
      <w:r w:rsidR="002740C2">
        <w:t xml:space="preserve">.” </w:t>
      </w:r>
      <w:r w:rsidR="00517534">
        <w:t xml:space="preserve"> </w:t>
      </w:r>
      <w:r w:rsidR="001E0168">
        <w:t xml:space="preserve">The Department is collecting information on </w:t>
      </w:r>
      <w:r w:rsidR="00CF283A">
        <w:t xml:space="preserve">how </w:t>
      </w:r>
      <w:r w:rsidR="00D03700">
        <w:t>State</w:t>
      </w:r>
      <w:r w:rsidR="00CF283A">
        <w:t>s operationalize</w:t>
      </w:r>
      <w:r w:rsidR="00D03700">
        <w:t xml:space="preserve"> “high-skill” and “high-wage”</w:t>
      </w:r>
      <w:r w:rsidR="006849C3">
        <w:t xml:space="preserve"> </w:t>
      </w:r>
      <w:r w:rsidR="006849C3">
        <w:t xml:space="preserve">descriptions </w:t>
      </w:r>
      <w:r w:rsidR="00EF67D1">
        <w:t>and</w:t>
      </w:r>
      <w:r w:rsidR="006849C3">
        <w:t xml:space="preserve"> the </w:t>
      </w:r>
      <w:r w:rsidR="001E0168">
        <w:t>implementation</w:t>
      </w:r>
      <w:r w:rsidR="00D03700">
        <w:t xml:space="preserve"> of </w:t>
      </w:r>
      <w:r w:rsidR="006849C3">
        <w:t>these terms,</w:t>
      </w:r>
      <w:r w:rsidR="00D03700">
        <w:t xml:space="preserve"> </w:t>
      </w:r>
      <w:r w:rsidR="00BF3260">
        <w:t xml:space="preserve">so that </w:t>
      </w:r>
      <w:r w:rsidR="00EB2AA6">
        <w:t xml:space="preserve">we </w:t>
      </w:r>
      <w:r w:rsidR="001C5DAC">
        <w:t xml:space="preserve">can fully understand </w:t>
      </w:r>
      <w:r w:rsidR="00B90D6E">
        <w:t>how</w:t>
      </w:r>
      <w:r w:rsidR="00D03700">
        <w:t xml:space="preserve"> </w:t>
      </w:r>
      <w:r w:rsidR="0033529C">
        <w:t>they</w:t>
      </w:r>
      <w:r w:rsidR="00610CD5">
        <w:t xml:space="preserve"> will prepare individuals who are members of special populations for “high-skill” and “high-wage” industries and occupations</w:t>
      </w:r>
      <w:r w:rsidR="007B6343">
        <w:t xml:space="preserve"> as well as use </w:t>
      </w:r>
      <w:r w:rsidR="00D614BC">
        <w:t>S</w:t>
      </w:r>
      <w:r w:rsidR="007B6343">
        <w:t>tate leadership funds to support these efforts</w:t>
      </w:r>
      <w:r w:rsidR="00610CD5">
        <w:t xml:space="preserve">.  </w:t>
      </w:r>
      <w:r w:rsidR="00187414">
        <w:t>The Department is not requesting that States provide a definition of “in-demand</w:t>
      </w:r>
      <w:r w:rsidR="004D1284">
        <w:t xml:space="preserve"> </w:t>
      </w:r>
      <w:r w:rsidR="00D31A02">
        <w:t>industry sector or occupation” becaus</w:t>
      </w:r>
      <w:r w:rsidR="00A72DC1">
        <w:t xml:space="preserve">e this term is defined in the </w:t>
      </w:r>
      <w:r w:rsidR="00D94E34">
        <w:t xml:space="preserve">Perkins V </w:t>
      </w:r>
      <w:r w:rsidR="00A72DC1">
        <w:t xml:space="preserve">statute.  Section </w:t>
      </w:r>
      <w:r w:rsidR="00860487">
        <w:t xml:space="preserve">3(26) of Perkins V </w:t>
      </w:r>
      <w:r w:rsidR="00F94F90">
        <w:t xml:space="preserve">defines </w:t>
      </w:r>
      <w:r w:rsidRPr="00F94F90" w:rsidR="00F94F90">
        <w:t>“in-demand industry sector or occupation”</w:t>
      </w:r>
      <w:r w:rsidR="00F94F90">
        <w:t xml:space="preserve"> by </w:t>
      </w:r>
      <w:r w:rsidR="00E03D43">
        <w:t xml:space="preserve">cross-referencing the definition of this term </w:t>
      </w:r>
      <w:r w:rsidR="0016612F">
        <w:t xml:space="preserve">in </w:t>
      </w:r>
      <w:r w:rsidR="00A72DC1">
        <w:t xml:space="preserve">section 3(23) of WIOA. </w:t>
      </w:r>
    </w:p>
    <w:p w:rsidR="005B0592" w14:paraId="751C0D45" w14:textId="123741DF">
      <w:r w:rsidRPr="7C737009">
        <w:rPr>
          <w:u w:val="single"/>
        </w:rPr>
        <w:t>Changes</w:t>
      </w:r>
      <w:r>
        <w:t xml:space="preserve">: </w:t>
      </w:r>
      <w:r w:rsidR="00275C5A">
        <w:t xml:space="preserve"> </w:t>
      </w:r>
      <w:r w:rsidR="007B5B43">
        <w:t xml:space="preserve">As described in the response to #3, we are proposing to remove all of the proposed new narrative items from the State Plan Guide, including State definitions for “high-skill” and “high-wage” occupations and industries, and propose to </w:t>
      </w:r>
      <w:r w:rsidR="00C148A7">
        <w:t>request that States describe how they implement these concepts</w:t>
      </w:r>
      <w:r w:rsidRPr="007B5B43" w:rsidR="00C148A7">
        <w:t xml:space="preserve"> </w:t>
      </w:r>
      <w:r w:rsidR="007B5B43">
        <w:t>in the CAR ICR (1830-0569) instead.</w:t>
      </w:r>
      <w:r w:rsidRPr="00B67615" w:rsidR="00B67615">
        <w:t xml:space="preserve"> </w:t>
      </w:r>
      <w:r w:rsidR="00D34780">
        <w:t xml:space="preserve"> </w:t>
      </w:r>
      <w:r w:rsidR="00B67615">
        <w:t>States may provide their definitions of “high-skill” and “high-wage” occupations and industries or a description of their implementation of these terms in response to these proposed questions in the CAR</w:t>
      </w:r>
      <w:r w:rsidR="00FB1FDB">
        <w:t xml:space="preserve"> ICR</w:t>
      </w:r>
      <w:r w:rsidR="00B67615">
        <w:t xml:space="preserve">. </w:t>
      </w:r>
    </w:p>
    <w:p w:rsidR="00E41DBD" w:rsidRPr="00E3446C" w:rsidP="00E41DBD" w14:paraId="12856577" w14:textId="5B2AEAD4">
      <w:pPr>
        <w:rPr>
          <w:rFonts w:ascii="Calibri" w:eastAsia="Calibri" w:hAnsi="Calibri" w:cs="Calibri"/>
          <w:kern w:val="0"/>
          <w:u w:val="single"/>
          <w14:ligatures w14:val="none"/>
        </w:rPr>
      </w:pPr>
      <w:r w:rsidRPr="00E3446C">
        <w:rPr>
          <w:rFonts w:ascii="Calibri" w:eastAsia="Calibri" w:hAnsi="Calibri" w:cs="Calibri"/>
          <w:kern w:val="0"/>
          <w:u w:val="single"/>
          <w14:ligatures w14:val="none"/>
        </w:rPr>
        <w:t>Serving Students in the Middle Grades</w:t>
      </w:r>
      <w:r w:rsidR="00724BF0">
        <w:rPr>
          <w:rFonts w:ascii="Calibri" w:eastAsia="Calibri" w:hAnsi="Calibri" w:cs="Calibri"/>
          <w:kern w:val="0"/>
          <w:u w:val="single"/>
          <w14:ligatures w14:val="none"/>
        </w:rPr>
        <w:t xml:space="preserve"> (Item </w:t>
      </w:r>
      <w:r w:rsidR="00345B3E">
        <w:rPr>
          <w:rFonts w:ascii="Calibri" w:eastAsia="Calibri" w:hAnsi="Calibri" w:cs="Calibri"/>
          <w:kern w:val="0"/>
          <w:u w:val="single"/>
          <w14:ligatures w14:val="none"/>
        </w:rPr>
        <w:t>B.</w:t>
      </w:r>
      <w:r w:rsidR="00724BF0">
        <w:rPr>
          <w:rFonts w:ascii="Calibri" w:eastAsia="Calibri" w:hAnsi="Calibri" w:cs="Calibri"/>
          <w:kern w:val="0"/>
          <w:u w:val="single"/>
          <w14:ligatures w14:val="none"/>
        </w:rPr>
        <w:t>8(l) on page 15)</w:t>
      </w:r>
    </w:p>
    <w:p w:rsidR="00E85CB3" w:rsidRPr="00C513BA" w:rsidP="7C737009" w14:paraId="03D392AB" w14:textId="0A5BDCF8">
      <w:pPr>
        <w:pStyle w:val="ListParagraph"/>
        <w:numPr>
          <w:ilvl w:val="0"/>
          <w:numId w:val="3"/>
        </w:numPr>
        <w:rPr>
          <w:rFonts w:ascii="Calibri" w:eastAsia="Calibri" w:hAnsi="Calibri" w:cs="Calibri"/>
          <w:b/>
          <w:kern w:val="0"/>
          <w14:ligatures w14:val="none"/>
        </w:rPr>
      </w:pPr>
      <w:r w:rsidRPr="00C513BA">
        <w:rPr>
          <w:rFonts w:ascii="Calibri" w:eastAsia="Calibri" w:hAnsi="Calibri" w:cs="Calibri"/>
          <w:b/>
          <w:kern w:val="0"/>
          <w14:ligatures w14:val="none"/>
        </w:rPr>
        <w:t xml:space="preserve">Two commenters expressed support for </w:t>
      </w:r>
      <w:r w:rsidRPr="00C513BA" w:rsidR="00725628">
        <w:rPr>
          <w:rFonts w:ascii="Calibri" w:eastAsia="Calibri" w:hAnsi="Calibri" w:cs="Calibri"/>
          <w:b/>
          <w:kern w:val="0"/>
          <w14:ligatures w14:val="none"/>
        </w:rPr>
        <w:t xml:space="preserve">the proposed request that States describe their policies for the use of Perkins V funds to serve students in the “middle grades.” </w:t>
      </w:r>
    </w:p>
    <w:p w:rsidR="005B0592" w:rsidRPr="00783A50" w:rsidP="005B0592" w14:paraId="552D178B" w14:textId="5CF1C14E">
      <w:r>
        <w:rPr>
          <w:u w:val="single"/>
        </w:rPr>
        <w:t>Response</w:t>
      </w:r>
      <w:r w:rsidRPr="00FB1FDB">
        <w:t>:</w:t>
      </w:r>
      <w:r w:rsidR="00783A50">
        <w:t xml:space="preserve">  We appreciate the commenters’ support for the proposed request.  </w:t>
      </w:r>
    </w:p>
    <w:p w:rsidR="005B0592" w:rsidRPr="005B0592" w:rsidP="005B0592" w14:paraId="3DED2043" w14:textId="71E85D25">
      <w:r w:rsidRPr="005B0592">
        <w:rPr>
          <w:u w:val="single"/>
        </w:rPr>
        <w:t>Changes</w:t>
      </w:r>
      <w:r>
        <w:t xml:space="preserve">: </w:t>
      </w:r>
      <w:r w:rsidR="00736C49">
        <w:t xml:space="preserve"> </w:t>
      </w:r>
      <w:r w:rsidRPr="00423416" w:rsidR="00423416">
        <w:t>As described in the response to #3, we are proposing to remove all of the proposed new narrative items from the State Plan Guide, including the proposed request that States describe their policies for the use of Perkins V funds to serve students in the “middle grades,” and intend to propose to include them in the CAR ICR (1830-0569) instead.</w:t>
      </w:r>
      <w:r w:rsidR="00E8493A">
        <w:t xml:space="preserve"> </w:t>
      </w:r>
    </w:p>
    <w:p w:rsidR="000F6D80" w:rsidRPr="00C513BA" w:rsidP="15A796A0" w14:paraId="03C4E39E" w14:textId="25EF5F48">
      <w:pPr>
        <w:pStyle w:val="ListParagraph"/>
        <w:numPr>
          <w:ilvl w:val="0"/>
          <w:numId w:val="3"/>
        </w:numPr>
        <w:rPr>
          <w:rFonts w:ascii="Calibri" w:eastAsia="Calibri" w:hAnsi="Calibri" w:cs="Calibri"/>
          <w:b/>
          <w:kern w:val="0"/>
          <w14:ligatures w14:val="none"/>
        </w:rPr>
      </w:pPr>
      <w:r w:rsidRPr="00C513BA">
        <w:rPr>
          <w:rFonts w:ascii="Calibri" w:eastAsia="Calibri" w:hAnsi="Calibri" w:cs="Calibri"/>
          <w:b/>
          <w:kern w:val="0"/>
          <w14:ligatures w14:val="none"/>
        </w:rPr>
        <w:t xml:space="preserve">One commenter </w:t>
      </w:r>
      <w:r w:rsidRPr="00C513BA" w:rsidR="003B78E7">
        <w:rPr>
          <w:rFonts w:ascii="Calibri" w:eastAsia="Calibri" w:hAnsi="Calibri" w:cs="Calibri"/>
          <w:b/>
          <w:kern w:val="0"/>
          <w14:ligatures w14:val="none"/>
        </w:rPr>
        <w:t>recommended that</w:t>
      </w:r>
      <w:r w:rsidRPr="00C513BA" w:rsidR="00AD192A">
        <w:rPr>
          <w:rFonts w:ascii="Calibri" w:eastAsia="Calibri" w:hAnsi="Calibri" w:cs="Calibri"/>
          <w:b/>
          <w:kern w:val="0"/>
          <w14:ligatures w14:val="none"/>
        </w:rPr>
        <w:t xml:space="preserve"> the Department collect additional data about State policies </w:t>
      </w:r>
      <w:r w:rsidRPr="00C513BA" w:rsidR="004B447C">
        <w:rPr>
          <w:rFonts w:ascii="Calibri" w:eastAsia="Calibri" w:hAnsi="Calibri" w:cs="Calibri"/>
          <w:b/>
          <w:kern w:val="0"/>
          <w14:ligatures w14:val="none"/>
        </w:rPr>
        <w:t xml:space="preserve">on middle school career exploration </w:t>
      </w:r>
      <w:r w:rsidRPr="00C513BA" w:rsidR="00DD11D2">
        <w:rPr>
          <w:rFonts w:ascii="Calibri" w:eastAsia="Calibri" w:hAnsi="Calibri" w:cs="Calibri"/>
          <w:b/>
          <w:kern w:val="0"/>
          <w14:ligatures w14:val="none"/>
        </w:rPr>
        <w:t>courses or activities, how</w:t>
      </w:r>
      <w:r w:rsidRPr="00C513BA" w:rsidR="00C6227F">
        <w:rPr>
          <w:rFonts w:ascii="Calibri" w:eastAsia="Calibri" w:hAnsi="Calibri" w:cs="Calibri"/>
          <w:b/>
          <w:kern w:val="0"/>
          <w14:ligatures w14:val="none"/>
        </w:rPr>
        <w:t xml:space="preserve"> States integrate career exploration outcomes into their accountability system</w:t>
      </w:r>
      <w:r w:rsidRPr="00C513BA" w:rsidR="00A010B5">
        <w:rPr>
          <w:rFonts w:ascii="Calibri" w:eastAsia="Calibri" w:hAnsi="Calibri" w:cs="Calibri"/>
          <w:b/>
          <w:kern w:val="0"/>
          <w14:ligatures w14:val="none"/>
        </w:rPr>
        <w:t>s</w:t>
      </w:r>
      <w:r w:rsidRPr="00C513BA" w:rsidR="0013721F">
        <w:rPr>
          <w:rFonts w:ascii="Calibri" w:eastAsia="Calibri" w:hAnsi="Calibri" w:cs="Calibri"/>
          <w:b/>
          <w:kern w:val="0"/>
          <w14:ligatures w14:val="none"/>
        </w:rPr>
        <w:t xml:space="preserve"> and how the data are used to improve outcomes</w:t>
      </w:r>
      <w:r w:rsidRPr="00C513BA" w:rsidR="00A010B5">
        <w:rPr>
          <w:rFonts w:ascii="Calibri" w:eastAsia="Calibri" w:hAnsi="Calibri" w:cs="Calibri"/>
          <w:b/>
          <w:kern w:val="0"/>
          <w14:ligatures w14:val="none"/>
        </w:rPr>
        <w:t xml:space="preserve">, how States incentivize career exploration in middle schools, </w:t>
      </w:r>
      <w:r w:rsidRPr="00C513BA" w:rsidR="0013721F">
        <w:rPr>
          <w:rFonts w:ascii="Calibri" w:eastAsia="Calibri" w:hAnsi="Calibri" w:cs="Calibri"/>
          <w:b/>
          <w:kern w:val="0"/>
          <w14:ligatures w14:val="none"/>
        </w:rPr>
        <w:t xml:space="preserve">and whether </w:t>
      </w:r>
      <w:r w:rsidRPr="00C513BA" w:rsidR="004A355A">
        <w:rPr>
          <w:rFonts w:ascii="Calibri" w:eastAsia="Calibri" w:hAnsi="Calibri" w:cs="Calibri"/>
          <w:b/>
          <w:kern w:val="0"/>
          <w14:ligatures w14:val="none"/>
        </w:rPr>
        <w:t xml:space="preserve">States </w:t>
      </w:r>
      <w:r w:rsidRPr="00C513BA" w:rsidR="004A355A">
        <w:rPr>
          <w:rFonts w:ascii="Calibri" w:eastAsia="Calibri" w:hAnsi="Calibri" w:cs="Calibri"/>
          <w:b/>
          <w:kern w:val="0"/>
          <w14:ligatures w14:val="none"/>
        </w:rPr>
        <w:t>use Perkins V funds for middle school educators</w:t>
      </w:r>
      <w:r w:rsidRPr="00C513BA">
        <w:rPr>
          <w:rFonts w:ascii="Calibri" w:eastAsia="Calibri" w:hAnsi="Calibri" w:cs="Calibri"/>
          <w:b/>
          <w:kern w:val="0"/>
          <w14:ligatures w14:val="none"/>
        </w:rPr>
        <w:t xml:space="preserve"> or to provide “material supports” to these educators.</w:t>
      </w:r>
    </w:p>
    <w:p w:rsidR="00781128" w:rsidRPr="00E8493A" w:rsidP="005B0592" w14:paraId="01DF69DC" w14:textId="147B1E7C">
      <w:bookmarkStart w:id="1" w:name="_Hlk182464529"/>
      <w:r>
        <w:rPr>
          <w:u w:val="single"/>
        </w:rPr>
        <w:t>Response</w:t>
      </w:r>
      <w:r>
        <w:t>:</w:t>
      </w:r>
      <w:r w:rsidR="00E8493A">
        <w:t xml:space="preserve">  We appreciate the commenter’s recommendation and agree that </w:t>
      </w:r>
      <w:r w:rsidR="00DA0636">
        <w:t xml:space="preserve">there is a need for more comprehensive and detailed information about State policies and practices in serving students in the “middle grades.” </w:t>
      </w:r>
      <w:r w:rsidR="00A7525E">
        <w:t xml:space="preserve"> </w:t>
      </w:r>
      <w:r w:rsidRPr="00423416">
        <w:t>As described in the response to #3, we are proposing to remove all of the proposed new narrative items from the State Plan Guide, including the proposed request that States describe their policies for the use of Perkins V funds to serve students in the “middle grades,” and intend to propose to include them in the CAR ICR (1830-0569) instead.</w:t>
      </w:r>
      <w:r>
        <w:t xml:space="preserve">  We</w:t>
      </w:r>
      <w:r w:rsidR="00077AC1">
        <w:t xml:space="preserve"> </w:t>
      </w:r>
      <w:r w:rsidR="00E16E79">
        <w:t xml:space="preserve">believe that this will provide an opportunity for States to respond to the </w:t>
      </w:r>
      <w:r w:rsidR="00D77360">
        <w:t>commenter’s</w:t>
      </w:r>
      <w:r w:rsidR="00E16E79">
        <w:t xml:space="preserve"> suggestions</w:t>
      </w:r>
      <w:r w:rsidR="001206FF">
        <w:t xml:space="preserve"> </w:t>
      </w:r>
      <w:r w:rsidR="001A6FBA">
        <w:t xml:space="preserve">as well as </w:t>
      </w:r>
      <w:r w:rsidR="001206FF">
        <w:t>an opportunity for States to update their approaches</w:t>
      </w:r>
      <w:r w:rsidR="00871819">
        <w:t>,</w:t>
      </w:r>
      <w:r w:rsidR="001206FF">
        <w:t xml:space="preserve"> over time</w:t>
      </w:r>
      <w:r w:rsidR="00871819">
        <w:t>,</w:t>
      </w:r>
      <w:r w:rsidR="001206FF">
        <w:t xml:space="preserve"> based on their needs</w:t>
      </w:r>
      <w:r w:rsidR="00A51C0C">
        <w:t>.</w:t>
      </w:r>
    </w:p>
    <w:p w:rsidR="005B0592" w:rsidRPr="005B0592" w:rsidP="005B0592" w14:paraId="47F1FFDE" w14:textId="7117282C">
      <w:r w:rsidRPr="005B0592">
        <w:rPr>
          <w:u w:val="single"/>
        </w:rPr>
        <w:t>Changes</w:t>
      </w:r>
      <w:r>
        <w:t xml:space="preserve">: </w:t>
      </w:r>
      <w:r w:rsidR="00E50066">
        <w:t xml:space="preserve"> </w:t>
      </w:r>
      <w:r w:rsidRPr="00423416" w:rsidR="00423416">
        <w:t>As described in the response to #3, we are proposing to remove all of the proposed new narrative items from the State Plan Guide, including the proposed request that States describe their policies for the use of Perkins V funds to serve students in the “middle grades,” and intend to propose to include them in the CAR ICR (1830-0569) instead.</w:t>
      </w:r>
      <w:r w:rsidR="00577945">
        <w:t xml:space="preserve"> </w:t>
      </w:r>
    </w:p>
    <w:bookmarkEnd w:id="1"/>
    <w:p w:rsidR="00BD190C" w:rsidRPr="00C513BA" w:rsidP="41D157DC" w14:paraId="18BC1FFA" w14:textId="116183EF">
      <w:pPr>
        <w:pStyle w:val="ListParagraph"/>
        <w:numPr>
          <w:ilvl w:val="0"/>
          <w:numId w:val="3"/>
        </w:numPr>
        <w:rPr>
          <w:rFonts w:ascii="Calibri" w:eastAsia="Calibri" w:hAnsi="Calibri" w:cs="Calibri"/>
          <w:b/>
          <w:kern w:val="0"/>
          <w14:ligatures w14:val="none"/>
        </w:rPr>
      </w:pPr>
      <w:r w:rsidRPr="00C513BA">
        <w:rPr>
          <w:rFonts w:ascii="Calibri" w:eastAsia="Calibri" w:hAnsi="Calibri" w:cs="Calibri"/>
          <w:b/>
          <w:kern w:val="0"/>
          <w14:ligatures w14:val="none"/>
        </w:rPr>
        <w:t>One commenter reco</w:t>
      </w:r>
      <w:r w:rsidRPr="00C513BA" w:rsidR="00C41866">
        <w:rPr>
          <w:rFonts w:ascii="Calibri" w:eastAsia="Calibri" w:hAnsi="Calibri" w:cs="Calibri"/>
          <w:b/>
          <w:kern w:val="0"/>
          <w14:ligatures w14:val="none"/>
        </w:rPr>
        <w:t>mmended that</w:t>
      </w:r>
      <w:r w:rsidRPr="00C513BA" w:rsidR="00ED7097">
        <w:rPr>
          <w:rFonts w:ascii="Calibri" w:eastAsia="Calibri" w:hAnsi="Calibri" w:cs="Calibri"/>
          <w:b/>
          <w:kern w:val="0"/>
          <w14:ligatures w14:val="none"/>
        </w:rPr>
        <w:t xml:space="preserve">, in lieu of the proposed request that States describe their policies on the use of funds to serve students in the middle grades, </w:t>
      </w:r>
      <w:r w:rsidRPr="00C513BA" w:rsidR="00C41866">
        <w:rPr>
          <w:rFonts w:ascii="Calibri" w:eastAsia="Calibri" w:hAnsi="Calibri" w:cs="Calibri"/>
          <w:b/>
          <w:kern w:val="0"/>
          <w14:ligatures w14:val="none"/>
        </w:rPr>
        <w:t xml:space="preserve">the Department </w:t>
      </w:r>
      <w:r w:rsidRPr="00C513BA" w:rsidR="00ED7097">
        <w:rPr>
          <w:rFonts w:ascii="Calibri" w:eastAsia="Calibri" w:hAnsi="Calibri" w:cs="Calibri"/>
          <w:b/>
          <w:kern w:val="0"/>
          <w14:ligatures w14:val="none"/>
        </w:rPr>
        <w:t xml:space="preserve">should </w:t>
      </w:r>
      <w:r w:rsidRPr="00C513BA" w:rsidR="00FC4072">
        <w:rPr>
          <w:rFonts w:ascii="Calibri" w:eastAsia="Calibri" w:hAnsi="Calibri" w:cs="Calibri"/>
          <w:b/>
          <w:kern w:val="0"/>
          <w14:ligatures w14:val="none"/>
        </w:rPr>
        <w:t xml:space="preserve">provide guidance clarifying </w:t>
      </w:r>
      <w:r w:rsidR="00832983">
        <w:rPr>
          <w:rFonts w:ascii="Calibri" w:eastAsia="Calibri" w:hAnsi="Calibri" w:cs="Calibri"/>
          <w:b/>
          <w:kern w:val="0"/>
          <w14:ligatures w14:val="none"/>
        </w:rPr>
        <w:t>in</w:t>
      </w:r>
      <w:r w:rsidRPr="00C513BA" w:rsidR="00FC4072">
        <w:rPr>
          <w:rFonts w:ascii="Calibri" w:eastAsia="Calibri" w:hAnsi="Calibri" w:cs="Calibri"/>
          <w:b/>
          <w:kern w:val="0"/>
          <w14:ligatures w14:val="none"/>
        </w:rPr>
        <w:t xml:space="preserve"> “what instances a State would need to describe state-level middle school programs </w:t>
      </w:r>
      <w:r w:rsidRPr="00C513BA" w:rsidR="00E348DE">
        <w:rPr>
          <w:rFonts w:ascii="Calibri" w:eastAsia="Calibri" w:hAnsi="Calibri" w:cs="Calibri"/>
          <w:b/>
          <w:kern w:val="0"/>
          <w14:ligatures w14:val="none"/>
        </w:rPr>
        <w:t xml:space="preserve">the state will support, develop, or improve as well as the state agency’s policies on the use of Perkins funds for middle school </w:t>
      </w:r>
      <w:r w:rsidRPr="00C513BA" w:rsidR="00ED7097">
        <w:rPr>
          <w:rFonts w:ascii="Calibri" w:eastAsia="Calibri" w:hAnsi="Calibri" w:cs="Calibri"/>
          <w:b/>
          <w:kern w:val="0"/>
          <w14:ligatures w14:val="none"/>
        </w:rPr>
        <w:t>programs</w:t>
      </w:r>
      <w:r w:rsidRPr="00C513BA" w:rsidR="00FD6482">
        <w:rPr>
          <w:rFonts w:ascii="Calibri" w:eastAsia="Calibri" w:hAnsi="Calibri" w:cs="Calibri"/>
          <w:b/>
          <w:kern w:val="0"/>
          <w14:ligatures w14:val="none"/>
        </w:rPr>
        <w:t>.</w:t>
      </w:r>
      <w:r w:rsidRPr="00C513BA" w:rsidR="00ED7097">
        <w:rPr>
          <w:rFonts w:ascii="Calibri" w:eastAsia="Calibri" w:hAnsi="Calibri" w:cs="Calibri"/>
          <w:b/>
          <w:kern w:val="0"/>
          <w14:ligatures w14:val="none"/>
        </w:rPr>
        <w:t xml:space="preserve">” </w:t>
      </w:r>
    </w:p>
    <w:p w:rsidR="005B0592" w:rsidRPr="003164AD" w:rsidP="005B0592" w14:paraId="0393F6E6" w14:textId="12452383">
      <w:r>
        <w:rPr>
          <w:u w:val="single"/>
        </w:rPr>
        <w:t>Response</w:t>
      </w:r>
      <w:r>
        <w:t>:</w:t>
      </w:r>
      <w:r w:rsidR="003164AD">
        <w:t xml:space="preserve">  </w:t>
      </w:r>
      <w:r w:rsidR="00137771">
        <w:t xml:space="preserve">We </w:t>
      </w:r>
      <w:r w:rsidR="00AF0D78">
        <w:t xml:space="preserve">agree that guidance on </w:t>
      </w:r>
      <w:r w:rsidR="006D11AB">
        <w:t>serving students in the “middle grades” with Perkins V funds</w:t>
      </w:r>
      <w:r w:rsidRPr="0013127D" w:rsidR="006D11AB">
        <w:t xml:space="preserve"> </w:t>
      </w:r>
      <w:r w:rsidR="00660337">
        <w:t>could</w:t>
      </w:r>
      <w:r w:rsidR="006D11AB">
        <w:t xml:space="preserve"> </w:t>
      </w:r>
      <w:r w:rsidR="00AF0D78">
        <w:t xml:space="preserve">be helpful to States and subrecipients.  </w:t>
      </w:r>
      <w:r w:rsidR="0013127D">
        <w:t>However, the State Plan Guide and CAR ICRs are data collection instruments.</w:t>
      </w:r>
    </w:p>
    <w:p w:rsidR="005B0592" w:rsidRPr="005B0592" w:rsidP="005B0592" w14:paraId="5E73886E" w14:textId="6D54FF62">
      <w:r w:rsidRPr="005B0592">
        <w:rPr>
          <w:u w:val="single"/>
        </w:rPr>
        <w:t>Changes</w:t>
      </w:r>
      <w:r>
        <w:t xml:space="preserve">: </w:t>
      </w:r>
      <w:r w:rsidR="00511699">
        <w:t xml:space="preserve"> </w:t>
      </w:r>
      <w:r w:rsidRPr="00423416" w:rsidR="00423416">
        <w:t>As described in the response to #3, we are proposing to remove all of the proposed new narrative items from the State Plan Guide, including the proposed request that States describe their policies for the use of Perkins V funds to serve students in the “middle grades,” and intend to propose to include them in the CAR ICR (1830-0569) instead.</w:t>
      </w:r>
    </w:p>
    <w:p w:rsidR="00DB7ADC" w:rsidRPr="000E7122" w:rsidP="00DB7ADC" w14:paraId="557BDD35" w14:textId="257E65CC">
      <w:pPr>
        <w:rPr>
          <w:rFonts w:ascii="Calibri" w:eastAsia="Calibri" w:hAnsi="Calibri" w:cs="Calibri"/>
          <w:kern w:val="0"/>
          <w:u w:val="single"/>
          <w14:ligatures w14:val="none"/>
        </w:rPr>
      </w:pPr>
      <w:r w:rsidRPr="000E7122">
        <w:rPr>
          <w:rFonts w:ascii="Calibri" w:eastAsia="Calibri" w:hAnsi="Calibri" w:cs="Calibri"/>
          <w:kern w:val="0"/>
          <w:u w:val="single"/>
          <w14:ligatures w14:val="none"/>
        </w:rPr>
        <w:t>Industry-Recognized Certificates and Certifications</w:t>
      </w:r>
      <w:r w:rsidR="002E1BB1">
        <w:rPr>
          <w:rFonts w:ascii="Calibri" w:eastAsia="Calibri" w:hAnsi="Calibri" w:cs="Calibri"/>
          <w:kern w:val="0"/>
          <w:u w:val="single"/>
          <w14:ligatures w14:val="none"/>
        </w:rPr>
        <w:t xml:space="preserve"> (Items </w:t>
      </w:r>
      <w:r w:rsidR="006E4337">
        <w:rPr>
          <w:rFonts w:ascii="Calibri" w:eastAsia="Calibri" w:hAnsi="Calibri" w:cs="Calibri"/>
          <w:kern w:val="0"/>
          <w:u w:val="single"/>
          <w14:ligatures w14:val="none"/>
        </w:rPr>
        <w:t>D.2 and D.3 on page 21)</w:t>
      </w:r>
    </w:p>
    <w:p w:rsidR="00DB7ADC" w:rsidRPr="00C513BA" w:rsidP="41D157DC" w14:paraId="0BE21991" w14:textId="61D475AB">
      <w:pPr>
        <w:pStyle w:val="ListParagraph"/>
        <w:numPr>
          <w:ilvl w:val="0"/>
          <w:numId w:val="3"/>
        </w:numPr>
        <w:rPr>
          <w:rFonts w:ascii="Calibri" w:eastAsia="Calibri" w:hAnsi="Calibri" w:cs="Calibri"/>
          <w:b/>
          <w:kern w:val="0"/>
          <w14:ligatures w14:val="none"/>
        </w:rPr>
      </w:pPr>
      <w:r w:rsidRPr="00C513BA">
        <w:rPr>
          <w:rFonts w:ascii="Calibri" w:eastAsia="Calibri" w:hAnsi="Calibri" w:cs="Calibri"/>
          <w:b/>
          <w:kern w:val="0"/>
          <w14:ligatures w14:val="none"/>
        </w:rPr>
        <w:t xml:space="preserve">One commenter expressed concern about the Department’s proposal that States include in their State plans a description of how they determine that “industry-recognized certificates and certifications” counted in the numerators of the secondary program quality indicator that measures the attainment of a recognized postsecondary credential (5S1) and the postsecondary performance indicator that measures the attainment of a recognized postsecondary credential (2P1) are “recognized by industry.” </w:t>
      </w:r>
      <w:r w:rsidR="001C12CD">
        <w:rPr>
          <w:rFonts w:ascii="Calibri" w:eastAsia="Calibri" w:hAnsi="Calibri" w:cs="Calibri"/>
          <w:b/>
          <w:kern w:val="0"/>
          <w14:ligatures w14:val="none"/>
        </w:rPr>
        <w:t xml:space="preserve"> </w:t>
      </w:r>
      <w:r w:rsidRPr="00C513BA">
        <w:rPr>
          <w:rFonts w:ascii="Calibri" w:eastAsia="Calibri" w:hAnsi="Calibri" w:cs="Calibri"/>
          <w:b/>
          <w:kern w:val="0"/>
          <w14:ligatures w14:val="none"/>
        </w:rPr>
        <w:t xml:space="preserve">The commenter contended that “the ICR is likely to create confusion about what credentials ‘count’ for other federal investments, like WIOA and </w:t>
      </w:r>
      <w:r w:rsidR="007B076A">
        <w:rPr>
          <w:rFonts w:ascii="Calibri" w:eastAsia="Calibri" w:hAnsi="Calibri" w:cs="Calibri"/>
          <w:b/>
          <w:kern w:val="0"/>
          <w14:ligatures w14:val="none"/>
        </w:rPr>
        <w:t>[</w:t>
      </w:r>
      <w:r w:rsidR="000F729B">
        <w:rPr>
          <w:rFonts w:ascii="Calibri" w:eastAsia="Calibri" w:hAnsi="Calibri" w:cs="Calibri"/>
          <w:b/>
          <w:kern w:val="0"/>
          <w14:ligatures w14:val="none"/>
        </w:rPr>
        <w:t xml:space="preserve">the </w:t>
      </w:r>
      <w:r w:rsidR="007B076A">
        <w:rPr>
          <w:rFonts w:ascii="Calibri" w:eastAsia="Calibri" w:hAnsi="Calibri" w:cs="Calibri"/>
          <w:b/>
          <w:kern w:val="0"/>
          <w14:ligatures w14:val="none"/>
        </w:rPr>
        <w:t>E</w:t>
      </w:r>
      <w:r w:rsidR="000F729B">
        <w:rPr>
          <w:rFonts w:ascii="Calibri" w:eastAsia="Calibri" w:hAnsi="Calibri" w:cs="Calibri"/>
          <w:b/>
          <w:kern w:val="0"/>
          <w14:ligatures w14:val="none"/>
        </w:rPr>
        <w:t xml:space="preserve">lementary and </w:t>
      </w:r>
      <w:r w:rsidR="007B076A">
        <w:rPr>
          <w:rFonts w:ascii="Calibri" w:eastAsia="Calibri" w:hAnsi="Calibri" w:cs="Calibri"/>
          <w:b/>
          <w:kern w:val="0"/>
          <w14:ligatures w14:val="none"/>
        </w:rPr>
        <w:t>S</w:t>
      </w:r>
      <w:r w:rsidR="000F729B">
        <w:rPr>
          <w:rFonts w:ascii="Calibri" w:eastAsia="Calibri" w:hAnsi="Calibri" w:cs="Calibri"/>
          <w:b/>
          <w:kern w:val="0"/>
          <w14:ligatures w14:val="none"/>
        </w:rPr>
        <w:t xml:space="preserve">econdary </w:t>
      </w:r>
      <w:r w:rsidR="007B076A">
        <w:rPr>
          <w:rFonts w:ascii="Calibri" w:eastAsia="Calibri" w:hAnsi="Calibri" w:cs="Calibri"/>
          <w:b/>
          <w:kern w:val="0"/>
          <w14:ligatures w14:val="none"/>
        </w:rPr>
        <w:t>E</w:t>
      </w:r>
      <w:r w:rsidR="000F729B">
        <w:rPr>
          <w:rFonts w:ascii="Calibri" w:eastAsia="Calibri" w:hAnsi="Calibri" w:cs="Calibri"/>
          <w:b/>
          <w:kern w:val="0"/>
          <w14:ligatures w14:val="none"/>
        </w:rPr>
        <w:t xml:space="preserve">ducation </w:t>
      </w:r>
      <w:r w:rsidR="007B076A">
        <w:rPr>
          <w:rFonts w:ascii="Calibri" w:eastAsia="Calibri" w:hAnsi="Calibri" w:cs="Calibri"/>
          <w:b/>
          <w:kern w:val="0"/>
          <w14:ligatures w14:val="none"/>
        </w:rPr>
        <w:t>A</w:t>
      </w:r>
      <w:r w:rsidR="000F729B">
        <w:rPr>
          <w:rFonts w:ascii="Calibri" w:eastAsia="Calibri" w:hAnsi="Calibri" w:cs="Calibri"/>
          <w:b/>
          <w:kern w:val="0"/>
          <w14:ligatures w14:val="none"/>
        </w:rPr>
        <w:t>ct of 1965, as amended</w:t>
      </w:r>
      <w:r w:rsidR="003566DD">
        <w:rPr>
          <w:rFonts w:ascii="Calibri" w:eastAsia="Calibri" w:hAnsi="Calibri" w:cs="Calibri"/>
          <w:b/>
          <w:kern w:val="0"/>
          <w14:ligatures w14:val="none"/>
        </w:rPr>
        <w:t xml:space="preserve"> (ESEA)</w:t>
      </w:r>
      <w:r w:rsidR="007B076A">
        <w:rPr>
          <w:rFonts w:ascii="Calibri" w:eastAsia="Calibri" w:hAnsi="Calibri" w:cs="Calibri"/>
          <w:b/>
          <w:kern w:val="0"/>
          <w14:ligatures w14:val="none"/>
        </w:rPr>
        <w:t>]</w:t>
      </w:r>
      <w:r w:rsidRPr="00C513BA">
        <w:rPr>
          <w:rFonts w:ascii="Calibri" w:eastAsia="Calibri" w:hAnsi="Calibri" w:cs="Calibri"/>
          <w:b/>
          <w:kern w:val="0"/>
          <w14:ligatures w14:val="none"/>
        </w:rPr>
        <w:t xml:space="preserve">, given both of those statutes use the </w:t>
      </w:r>
      <w:r w:rsidR="008512DA">
        <w:rPr>
          <w:rFonts w:ascii="Calibri" w:eastAsia="Calibri" w:hAnsi="Calibri" w:cs="Calibri"/>
          <w:b/>
          <w:kern w:val="0"/>
          <w14:ligatures w14:val="none"/>
        </w:rPr>
        <w:t>[</w:t>
      </w:r>
      <w:r w:rsidR="000C4851">
        <w:rPr>
          <w:rFonts w:ascii="Calibri" w:eastAsia="Calibri" w:hAnsi="Calibri" w:cs="Calibri"/>
          <w:b/>
          <w:kern w:val="0"/>
          <w14:ligatures w14:val="none"/>
        </w:rPr>
        <w:t>Recognized Postsecondary Credential</w:t>
      </w:r>
      <w:r w:rsidRPr="1B4D806E" w:rsidR="008512DA">
        <w:rPr>
          <w:rFonts w:ascii="Calibri" w:eastAsia="Calibri" w:hAnsi="Calibri" w:cs="Calibri"/>
          <w:b/>
          <w:bCs/>
          <w:kern w:val="0"/>
          <w14:ligatures w14:val="none"/>
        </w:rPr>
        <w:t>]</w:t>
      </w:r>
      <w:r w:rsidRPr="1B4D806E" w:rsidR="000C4851">
        <w:rPr>
          <w:rFonts w:ascii="Calibri" w:eastAsia="Calibri" w:hAnsi="Calibri" w:cs="Calibri"/>
          <w:b/>
          <w:bCs/>
          <w:kern w:val="0"/>
          <w14:ligatures w14:val="none"/>
        </w:rPr>
        <w:t>(</w:t>
      </w:r>
      <w:r w:rsidRPr="00C513BA">
        <w:rPr>
          <w:rFonts w:ascii="Calibri" w:eastAsia="Calibri" w:hAnsi="Calibri" w:cs="Calibri"/>
          <w:b/>
          <w:kern w:val="0"/>
          <w14:ligatures w14:val="none"/>
        </w:rPr>
        <w:t>RPC</w:t>
      </w:r>
      <w:r w:rsidR="000C4851">
        <w:rPr>
          <w:rFonts w:ascii="Calibri" w:eastAsia="Calibri" w:hAnsi="Calibri" w:cs="Calibri"/>
          <w:b/>
          <w:kern w:val="0"/>
          <w14:ligatures w14:val="none"/>
        </w:rPr>
        <w:t>)</w:t>
      </w:r>
      <w:r w:rsidRPr="00C513BA">
        <w:rPr>
          <w:rFonts w:ascii="Calibri" w:eastAsia="Calibri" w:hAnsi="Calibri" w:cs="Calibri"/>
          <w:b/>
          <w:kern w:val="0"/>
          <w14:ligatures w14:val="none"/>
        </w:rPr>
        <w:t xml:space="preserve"> definition and are intended to align with Perkins V’s accountability framework” and argued that “given the potential wide-ranging implications of adopting such a definition for multiple statutory schemes,</w:t>
      </w:r>
      <w:r w:rsidRPr="00C513BA" w:rsidR="00211B84">
        <w:rPr>
          <w:rFonts w:ascii="Calibri" w:eastAsia="Calibri" w:hAnsi="Calibri" w:cs="Calibri"/>
          <w:b/>
          <w:kern w:val="0"/>
          <w14:ligatures w14:val="none"/>
        </w:rPr>
        <w:t xml:space="preserve">” the </w:t>
      </w:r>
      <w:r w:rsidRPr="00C513BA" w:rsidR="00D20463">
        <w:rPr>
          <w:rFonts w:ascii="Calibri" w:eastAsia="Calibri" w:hAnsi="Calibri" w:cs="Calibri"/>
          <w:b/>
          <w:kern w:val="0"/>
          <w14:ligatures w14:val="none"/>
        </w:rPr>
        <w:t>commenter stat</w:t>
      </w:r>
      <w:r w:rsidRPr="00C513BA" w:rsidR="0033757D">
        <w:rPr>
          <w:rFonts w:ascii="Calibri" w:eastAsia="Calibri" w:hAnsi="Calibri" w:cs="Calibri"/>
          <w:b/>
          <w:kern w:val="0"/>
          <w14:ligatures w14:val="none"/>
        </w:rPr>
        <w:t>ed that it “</w:t>
      </w:r>
      <w:r w:rsidRPr="00C513BA">
        <w:rPr>
          <w:rFonts w:ascii="Calibri" w:eastAsia="Calibri" w:hAnsi="Calibri" w:cs="Calibri"/>
          <w:b/>
          <w:kern w:val="0"/>
          <w14:ligatures w14:val="none"/>
        </w:rPr>
        <w:t>believes it should be done in statute rather than through a sub-regulatory ICR process.”</w:t>
      </w:r>
    </w:p>
    <w:p w:rsidR="00DB7ADC" w:rsidP="00DB7ADC" w14:paraId="7BFB84F2" w14:textId="4CF9D972">
      <w:pPr>
        <w:rPr>
          <w:rFonts w:ascii="Calibri" w:eastAsia="Calibri" w:hAnsi="Calibri" w:cs="Calibri"/>
          <w:kern w:val="0"/>
          <w14:ligatures w14:val="none"/>
        </w:rPr>
      </w:pPr>
      <w:r w:rsidRPr="005B0592">
        <w:rPr>
          <w:rFonts w:ascii="Calibri" w:eastAsia="Calibri" w:hAnsi="Calibri" w:cs="Calibri"/>
          <w:kern w:val="0"/>
          <w:u w:val="single"/>
          <w14:ligatures w14:val="none"/>
        </w:rPr>
        <w:t>Response</w:t>
      </w:r>
      <w:r>
        <w:rPr>
          <w:rFonts w:ascii="Calibri" w:eastAsia="Calibri" w:hAnsi="Calibri" w:cs="Calibri"/>
          <w:kern w:val="0"/>
          <w14:ligatures w14:val="none"/>
        </w:rPr>
        <w:t xml:space="preserve">:  </w:t>
      </w:r>
      <w:r w:rsidR="00A33180">
        <w:rPr>
          <w:rFonts w:ascii="Calibri" w:eastAsia="Calibri" w:hAnsi="Calibri" w:cs="Calibri"/>
          <w:kern w:val="0"/>
          <w14:ligatures w14:val="none"/>
        </w:rPr>
        <w:t>T</w:t>
      </w:r>
      <w:r>
        <w:rPr>
          <w:rFonts w:ascii="Calibri" w:eastAsia="Calibri" w:hAnsi="Calibri" w:cs="Calibri"/>
          <w:kern w:val="0"/>
          <w14:ligatures w14:val="none"/>
        </w:rPr>
        <w:t>he Departments of Education and Labor issued joint non-regulatory guidance in 2017 that specifies basic criteria that industry-recognized credentials must meet to be counted in the WIOA credential attainment indicator of performance established by section 116(b)(2)(A)(i)(IV) of WIOA.  For example, the guidance excludes “c</w:t>
      </w:r>
      <w:r w:rsidRPr="003E21EA">
        <w:rPr>
          <w:rFonts w:ascii="Calibri" w:eastAsia="Calibri" w:hAnsi="Calibri" w:cs="Calibri"/>
          <w:kern w:val="0"/>
          <w14:ligatures w14:val="none"/>
        </w:rPr>
        <w:t>ertificates awarded by workforce development boards (WDBs) and work readiness certificates</w:t>
      </w:r>
      <w:r>
        <w:rPr>
          <w:rFonts w:ascii="Calibri" w:eastAsia="Calibri" w:hAnsi="Calibri" w:cs="Calibri"/>
          <w:kern w:val="0"/>
          <w14:ligatures w14:val="none"/>
        </w:rPr>
        <w:t>” and credentials for the attainment of “</w:t>
      </w:r>
      <w:r w:rsidRPr="007A09F3">
        <w:rPr>
          <w:rFonts w:ascii="Calibri" w:eastAsia="Calibri" w:hAnsi="Calibri" w:cs="Calibri"/>
          <w:kern w:val="0"/>
          <w14:ligatures w14:val="none"/>
        </w:rPr>
        <w:t>general skills related to safety, hygiene, etc., even if such general skills certificates are broadly required to qualify</w:t>
      </w:r>
      <w:r>
        <w:rPr>
          <w:rFonts w:ascii="Calibri" w:eastAsia="Calibri" w:hAnsi="Calibri" w:cs="Calibri"/>
          <w:kern w:val="0"/>
          <w14:ligatures w14:val="none"/>
        </w:rPr>
        <w:t xml:space="preserve"> </w:t>
      </w:r>
      <w:r w:rsidRPr="00EA1447">
        <w:rPr>
          <w:rFonts w:ascii="Calibri" w:eastAsia="Calibri" w:hAnsi="Calibri" w:cs="Calibri"/>
          <w:kern w:val="0"/>
          <w14:ligatures w14:val="none"/>
        </w:rPr>
        <w:t>for entry-level employment or advancement in employment.</w:t>
      </w:r>
      <w:r>
        <w:rPr>
          <w:rFonts w:ascii="Calibri" w:eastAsia="Calibri" w:hAnsi="Calibri" w:cs="Calibri"/>
          <w:kern w:val="0"/>
          <w14:ligatures w14:val="none"/>
        </w:rPr>
        <w:t>”</w:t>
      </w:r>
      <w:r>
        <w:rPr>
          <w:rStyle w:val="FootnoteReference"/>
          <w:rFonts w:ascii="Calibri" w:eastAsia="Calibri" w:hAnsi="Calibri" w:cs="Calibri"/>
          <w:kern w:val="0"/>
          <w14:ligatures w14:val="none"/>
        </w:rPr>
        <w:footnoteReference w:id="4"/>
      </w:r>
      <w:r>
        <w:rPr>
          <w:rFonts w:ascii="Calibri" w:eastAsia="Calibri" w:hAnsi="Calibri" w:cs="Calibri"/>
          <w:kern w:val="0"/>
          <w14:ligatures w14:val="none"/>
        </w:rPr>
        <w:t xml:space="preserve"> </w:t>
      </w:r>
    </w:p>
    <w:p w:rsidR="005B0592" w:rsidP="00DB7ADC" w14:paraId="0626B055" w14:textId="150693DC">
      <w:pPr>
        <w:rPr>
          <w:rFonts w:ascii="Calibri" w:eastAsia="Calibri" w:hAnsi="Calibri" w:cs="Calibri"/>
          <w:kern w:val="0"/>
          <w14:ligatures w14:val="none"/>
        </w:rPr>
      </w:pPr>
      <w:r>
        <w:rPr>
          <w:rFonts w:ascii="Calibri" w:eastAsia="Calibri" w:hAnsi="Calibri" w:cs="Calibri"/>
          <w:kern w:val="0"/>
          <w14:ligatures w14:val="none"/>
        </w:rPr>
        <w:t xml:space="preserve">As such, the Department is not proposing to issue comparable or similar guidance for the </w:t>
      </w:r>
      <w:r w:rsidRPr="00292374">
        <w:rPr>
          <w:rFonts w:ascii="Calibri" w:eastAsia="Calibri" w:hAnsi="Calibri" w:cs="Calibri"/>
          <w:kern w:val="0"/>
          <w14:ligatures w14:val="none"/>
        </w:rPr>
        <w:t>“industry-recognized certificates and certifications”</w:t>
      </w:r>
      <w:r>
        <w:rPr>
          <w:rFonts w:ascii="Calibri" w:eastAsia="Calibri" w:hAnsi="Calibri" w:cs="Calibri"/>
          <w:kern w:val="0"/>
          <w14:ligatures w14:val="none"/>
        </w:rPr>
        <w:t xml:space="preserve"> that are counted by States in 5S1 and 2P1.  </w:t>
      </w:r>
      <w:r w:rsidR="00A67535">
        <w:rPr>
          <w:rFonts w:ascii="Calibri" w:eastAsia="Calibri" w:hAnsi="Calibri" w:cs="Calibri"/>
          <w:kern w:val="0"/>
          <w14:ligatures w14:val="none"/>
        </w:rPr>
        <w:t xml:space="preserve">Nor is the </w:t>
      </w:r>
      <w:r w:rsidR="000C4851">
        <w:rPr>
          <w:rFonts w:ascii="Calibri" w:eastAsia="Calibri" w:hAnsi="Calibri" w:cs="Calibri"/>
          <w:kern w:val="0"/>
          <w14:ligatures w14:val="none"/>
        </w:rPr>
        <w:t>intention</w:t>
      </w:r>
      <w:r w:rsidR="00A67535">
        <w:rPr>
          <w:rFonts w:ascii="Calibri" w:eastAsia="Calibri" w:hAnsi="Calibri" w:cs="Calibri"/>
          <w:kern w:val="0"/>
          <w14:ligatures w14:val="none"/>
        </w:rPr>
        <w:t xml:space="preserve"> of this information request to create an independent </w:t>
      </w:r>
      <w:r w:rsidR="005406EE">
        <w:rPr>
          <w:rFonts w:ascii="Calibri" w:eastAsia="Calibri" w:hAnsi="Calibri" w:cs="Calibri"/>
          <w:kern w:val="0"/>
          <w14:ligatures w14:val="none"/>
        </w:rPr>
        <w:t>requirement for coordination</w:t>
      </w:r>
      <w:r w:rsidR="000C4851">
        <w:rPr>
          <w:rFonts w:ascii="Calibri" w:eastAsia="Calibri" w:hAnsi="Calibri" w:cs="Calibri"/>
          <w:kern w:val="0"/>
          <w14:ligatures w14:val="none"/>
        </w:rPr>
        <w:t>.</w:t>
      </w:r>
      <w:r w:rsidR="005406EE">
        <w:rPr>
          <w:rFonts w:ascii="Calibri" w:eastAsia="Calibri" w:hAnsi="Calibri" w:cs="Calibri"/>
          <w:kern w:val="0"/>
          <w14:ligatures w14:val="none"/>
        </w:rPr>
        <w:t xml:space="preserve"> </w:t>
      </w:r>
      <w:r w:rsidR="00E7700A">
        <w:rPr>
          <w:rFonts w:ascii="Calibri" w:eastAsia="Calibri" w:hAnsi="Calibri" w:cs="Calibri"/>
          <w:kern w:val="0"/>
          <w14:ligatures w14:val="none"/>
        </w:rPr>
        <w:t xml:space="preserve"> </w:t>
      </w:r>
      <w:r>
        <w:rPr>
          <w:rFonts w:ascii="Calibri" w:eastAsia="Calibri" w:hAnsi="Calibri" w:cs="Calibri"/>
          <w:kern w:val="0"/>
          <w14:ligatures w14:val="none"/>
        </w:rPr>
        <w:t xml:space="preserve">It is instead proposing that States that do count these credentials in their measurement of 5S1 and 2P1 identify in </w:t>
      </w:r>
      <w:r w:rsidR="00B1785E">
        <w:rPr>
          <w:rFonts w:ascii="Calibri" w:eastAsia="Calibri" w:hAnsi="Calibri" w:cs="Calibri"/>
          <w:kern w:val="0"/>
          <w14:ligatures w14:val="none"/>
        </w:rPr>
        <w:t>their annual CAR submission</w:t>
      </w:r>
      <w:r>
        <w:rPr>
          <w:rFonts w:ascii="Calibri" w:eastAsia="Calibri" w:hAnsi="Calibri" w:cs="Calibri"/>
          <w:kern w:val="0"/>
          <w14:ligatures w14:val="none"/>
        </w:rPr>
        <w:t xml:space="preserve"> how they determine these credentials are “recognized” by industry</w:t>
      </w:r>
      <w:r w:rsidRPr="1B4D806E" w:rsidR="007B213C">
        <w:rPr>
          <w:rFonts w:ascii="Calibri" w:eastAsia="Calibri" w:hAnsi="Calibri" w:cs="Calibri"/>
        </w:rPr>
        <w:t>, i.e.</w:t>
      </w:r>
      <w:r w:rsidR="007B213C">
        <w:rPr>
          <w:rFonts w:ascii="Calibri" w:eastAsia="Calibri" w:hAnsi="Calibri" w:cs="Calibri"/>
          <w:kern w:val="0"/>
          <w14:ligatures w14:val="none"/>
        </w:rPr>
        <w:t xml:space="preserve"> how </w:t>
      </w:r>
      <w:r w:rsidRPr="1B4D806E" w:rsidR="00F279ED">
        <w:rPr>
          <w:rFonts w:ascii="Calibri" w:eastAsia="Calibri" w:hAnsi="Calibri" w:cs="Calibri"/>
        </w:rPr>
        <w:t>States determine</w:t>
      </w:r>
      <w:r w:rsidR="00F279ED">
        <w:rPr>
          <w:rFonts w:ascii="Calibri" w:eastAsia="Calibri" w:hAnsi="Calibri" w:cs="Calibri"/>
          <w:kern w:val="0"/>
          <w14:ligatures w14:val="none"/>
        </w:rPr>
        <w:t xml:space="preserve"> what gets counted </w:t>
      </w:r>
      <w:r w:rsidR="00C62F0F">
        <w:rPr>
          <w:rFonts w:ascii="Calibri" w:eastAsia="Calibri" w:hAnsi="Calibri" w:cs="Calibri"/>
          <w:kern w:val="0"/>
          <w14:ligatures w14:val="none"/>
        </w:rPr>
        <w:t>under these measures</w:t>
      </w:r>
      <w:r>
        <w:rPr>
          <w:rFonts w:ascii="Calibri" w:eastAsia="Calibri" w:hAnsi="Calibri" w:cs="Calibri"/>
          <w:kern w:val="0"/>
          <w14:ligatures w14:val="none"/>
        </w:rPr>
        <w:t xml:space="preserve">.  </w:t>
      </w:r>
    </w:p>
    <w:p w:rsidR="00DB7ADC" w:rsidP="00DB7ADC" w14:paraId="7B283DBC" w14:textId="7CBC1D5D">
      <w:pPr>
        <w:rPr>
          <w:rFonts w:ascii="Calibri" w:eastAsia="Calibri" w:hAnsi="Calibri" w:cs="Calibri"/>
          <w:kern w:val="0"/>
          <w14:ligatures w14:val="none"/>
        </w:rPr>
      </w:pPr>
      <w:r w:rsidRPr="005B0592">
        <w:rPr>
          <w:rFonts w:ascii="Calibri" w:eastAsia="Calibri" w:hAnsi="Calibri" w:cs="Calibri"/>
          <w:kern w:val="0"/>
          <w:u w:val="single"/>
          <w14:ligatures w14:val="none"/>
        </w:rPr>
        <w:t>Changes</w:t>
      </w:r>
      <w:r>
        <w:rPr>
          <w:rFonts w:ascii="Calibri" w:eastAsia="Calibri" w:hAnsi="Calibri" w:cs="Calibri"/>
          <w:kern w:val="0"/>
          <w14:ligatures w14:val="none"/>
        </w:rPr>
        <w:t xml:space="preserve">: </w:t>
      </w:r>
      <w:r w:rsidR="001C12CD">
        <w:rPr>
          <w:rFonts w:ascii="Calibri" w:eastAsia="Calibri" w:hAnsi="Calibri" w:cs="Calibri"/>
          <w:kern w:val="0"/>
          <w14:ligatures w14:val="none"/>
        </w:rPr>
        <w:t xml:space="preserve"> </w:t>
      </w:r>
      <w:r w:rsidRPr="199131CE" w:rsidR="00002B24">
        <w:rPr>
          <w:rFonts w:ascii="Calibri" w:eastAsia="Calibri" w:hAnsi="Calibri" w:cs="Calibri"/>
        </w:rPr>
        <w:t>As described in the response to #3, we are proposing to remove all of</w:t>
      </w:r>
      <w:r w:rsidRPr="00002B24" w:rsidR="00002B24">
        <w:rPr>
          <w:rFonts w:ascii="Calibri" w:eastAsia="Calibri" w:hAnsi="Calibri" w:cs="Calibri"/>
          <w:kern w:val="0"/>
          <w14:ligatures w14:val="none"/>
        </w:rPr>
        <w:t xml:space="preserve"> the proposed new narrative items from the State Plan Guide, including the proposed request</w:t>
      </w:r>
      <w:r w:rsidR="007A74DB">
        <w:rPr>
          <w:rFonts w:ascii="Calibri" w:eastAsia="Calibri" w:hAnsi="Calibri" w:cs="Calibri"/>
          <w:kern w:val="0"/>
          <w14:ligatures w14:val="none"/>
        </w:rPr>
        <w:t>s</w:t>
      </w:r>
      <w:r w:rsidRPr="00002B24" w:rsidR="00002B24">
        <w:rPr>
          <w:rFonts w:ascii="Calibri" w:eastAsia="Calibri" w:hAnsi="Calibri" w:cs="Calibri"/>
          <w:kern w:val="0"/>
          <w14:ligatures w14:val="none"/>
        </w:rPr>
        <w:t xml:space="preserve"> about industry recognition, and intend to propose to include them in the CAR ICR (1830-0569) instead.</w:t>
      </w:r>
    </w:p>
    <w:p w:rsidR="00324DDD" w:rsidRPr="00C513BA" w:rsidP="6648EFA5" w14:paraId="044EB5E7" w14:textId="0FBE5F02">
      <w:pPr>
        <w:pStyle w:val="ListParagraph"/>
        <w:numPr>
          <w:ilvl w:val="0"/>
          <w:numId w:val="3"/>
        </w:numPr>
        <w:rPr>
          <w:rFonts w:ascii="Calibri" w:eastAsia="Calibri" w:hAnsi="Calibri" w:cs="Calibri"/>
          <w:b/>
          <w:kern w:val="0"/>
          <w14:ligatures w14:val="none"/>
        </w:rPr>
      </w:pPr>
      <w:r w:rsidRPr="00C513BA">
        <w:rPr>
          <w:rFonts w:ascii="Calibri" w:eastAsia="Calibri" w:hAnsi="Calibri" w:cs="Calibri"/>
          <w:b/>
          <w:kern w:val="0"/>
          <w14:ligatures w14:val="none"/>
        </w:rPr>
        <w:t>Two commenters expressed concern that requesting that States describe how they determine credentials are recognized by industry would result in a State definition that was inconsistent with how other federal programs make this determination and “create significant confusion in the field and dramatically weaken the ability to align CTE with other education and workforce development efforts.”</w:t>
      </w:r>
      <w:r w:rsidR="00B36BAF">
        <w:rPr>
          <w:rFonts w:ascii="Calibri" w:eastAsia="Calibri" w:hAnsi="Calibri" w:cs="Calibri"/>
          <w:b/>
          <w:kern w:val="0"/>
          <w14:ligatures w14:val="none"/>
        </w:rPr>
        <w:t xml:space="preserve"> </w:t>
      </w:r>
      <w:r w:rsidRPr="00C513BA">
        <w:rPr>
          <w:rFonts w:ascii="Calibri" w:eastAsia="Calibri" w:hAnsi="Calibri" w:cs="Calibri"/>
          <w:b/>
          <w:kern w:val="0"/>
          <w14:ligatures w14:val="none"/>
        </w:rPr>
        <w:t xml:space="preserve"> Several other commenters expressed concern that the proposal would require the State to have a different definition of “industry-recognized certificates and certifications” than what it uses in other Federal programs.</w:t>
      </w:r>
    </w:p>
    <w:p w:rsidR="00324DDD" w:rsidRPr="00324DDD" w:rsidP="00324DDD" w14:paraId="08EB38B9" w14:textId="11592429">
      <w:r>
        <w:rPr>
          <w:u w:val="single"/>
        </w:rPr>
        <w:t>Response</w:t>
      </w:r>
      <w:r>
        <w:t xml:space="preserve">: </w:t>
      </w:r>
      <w:r w:rsidR="00B36BAF">
        <w:t xml:space="preserve"> </w:t>
      </w:r>
      <w:r w:rsidR="000C117F">
        <w:t xml:space="preserve">The Department is not proposing to establish a </w:t>
      </w:r>
      <w:r w:rsidR="005B63F6">
        <w:t>specific definition</w:t>
      </w:r>
      <w:r w:rsidR="00DD7534">
        <w:t xml:space="preserve"> or process</w:t>
      </w:r>
      <w:r w:rsidR="005B63F6">
        <w:t xml:space="preserve">. </w:t>
      </w:r>
      <w:r>
        <w:t xml:space="preserve"> </w:t>
      </w:r>
      <w:r w:rsidR="00212360">
        <w:t>States will determine the extent to which their industry recognition determinations for Perkins V align</w:t>
      </w:r>
      <w:r w:rsidR="004E3399">
        <w:t>s</w:t>
      </w:r>
      <w:r w:rsidR="00212360">
        <w:t xml:space="preserve"> with how </w:t>
      </w:r>
      <w:r w:rsidR="0072697A">
        <w:t xml:space="preserve">such </w:t>
      </w:r>
      <w:r w:rsidR="00212360">
        <w:t xml:space="preserve">determinations are made by the State for other federal programs. </w:t>
      </w:r>
      <w:r w:rsidR="00EF5721">
        <w:t xml:space="preserve"> </w:t>
      </w:r>
      <w:r w:rsidR="00127D20">
        <w:t>States have</w:t>
      </w:r>
      <w:r w:rsidR="00EF5721">
        <w:t xml:space="preserve"> </w:t>
      </w:r>
      <w:r w:rsidR="00127D20">
        <w:t>flexibility to establish how they make these determination</w:t>
      </w:r>
      <w:r w:rsidR="0055420B">
        <w:t>s</w:t>
      </w:r>
      <w:r w:rsidR="00EF5721">
        <w:t xml:space="preserve"> for Perkins V</w:t>
      </w:r>
      <w:r w:rsidR="008225AE">
        <w:t xml:space="preserve">. </w:t>
      </w:r>
      <w:r w:rsidR="00EF5721">
        <w:t xml:space="preserve"> </w:t>
      </w:r>
      <w:r w:rsidR="00953F23">
        <w:t xml:space="preserve">We hope </w:t>
      </w:r>
      <w:r w:rsidR="00E02FD0">
        <w:t xml:space="preserve">that our proposed </w:t>
      </w:r>
      <w:r w:rsidR="00F60989">
        <w:t xml:space="preserve">data collection </w:t>
      </w:r>
      <w:r w:rsidR="00E02FD0">
        <w:t xml:space="preserve">will promote greater consultation among State </w:t>
      </w:r>
      <w:r w:rsidR="00577CFC">
        <w:t xml:space="preserve">education and workforce development </w:t>
      </w:r>
      <w:r w:rsidR="00E02FD0">
        <w:t xml:space="preserve">agencies about industry recognition and </w:t>
      </w:r>
      <w:r w:rsidR="00163331">
        <w:t xml:space="preserve">closer alignment </w:t>
      </w:r>
      <w:r w:rsidR="00577CFC">
        <w:t xml:space="preserve">in how a State makes these determinations across multiple federal programs. </w:t>
      </w:r>
    </w:p>
    <w:p w:rsidR="00B1785E" w:rsidP="00B1785E" w14:paraId="16F3DFDE" w14:textId="0B676F4F">
      <w:pPr>
        <w:rPr>
          <w:rFonts w:ascii="Calibri" w:eastAsia="Calibri" w:hAnsi="Calibri" w:cs="Calibri"/>
          <w:kern w:val="0"/>
          <w14:ligatures w14:val="none"/>
        </w:rPr>
      </w:pPr>
      <w:r w:rsidRPr="005B0592">
        <w:rPr>
          <w:u w:val="single"/>
        </w:rPr>
        <w:t>Changes</w:t>
      </w:r>
      <w:r>
        <w:t xml:space="preserve">: </w:t>
      </w:r>
      <w:r w:rsidR="00B36BAF">
        <w:t xml:space="preserve"> </w:t>
      </w:r>
      <w:r w:rsidRPr="199131CE" w:rsidR="00002B24">
        <w:rPr>
          <w:rFonts w:ascii="Calibri" w:eastAsia="Calibri" w:hAnsi="Calibri" w:cs="Calibri"/>
        </w:rPr>
        <w:t>As described in the response to #3, we are proposing to remove all of</w:t>
      </w:r>
      <w:r w:rsidRPr="00002B24" w:rsidR="00002B24">
        <w:rPr>
          <w:rFonts w:ascii="Calibri" w:eastAsia="Calibri" w:hAnsi="Calibri" w:cs="Calibri"/>
          <w:kern w:val="0"/>
          <w14:ligatures w14:val="none"/>
        </w:rPr>
        <w:t xml:space="preserve"> the proposed new narrative items from the State Plan Guide, including the proposed request</w:t>
      </w:r>
      <w:r w:rsidR="007A74DB">
        <w:rPr>
          <w:rFonts w:ascii="Calibri" w:eastAsia="Calibri" w:hAnsi="Calibri" w:cs="Calibri"/>
          <w:kern w:val="0"/>
          <w14:ligatures w14:val="none"/>
        </w:rPr>
        <w:t>s</w:t>
      </w:r>
      <w:r w:rsidRPr="00002B24" w:rsidR="00002B24">
        <w:rPr>
          <w:rFonts w:ascii="Calibri" w:eastAsia="Calibri" w:hAnsi="Calibri" w:cs="Calibri"/>
          <w:kern w:val="0"/>
          <w14:ligatures w14:val="none"/>
        </w:rPr>
        <w:t xml:space="preserve"> about industry recognition, and intend to propose to include them in the CAR ICR (1830-0569) instead.</w:t>
      </w:r>
      <w:r>
        <w:rPr>
          <w:rFonts w:ascii="Calibri" w:eastAsia="Calibri" w:hAnsi="Calibri" w:cs="Calibri"/>
          <w:kern w:val="0"/>
          <w14:ligatures w14:val="none"/>
        </w:rPr>
        <w:t xml:space="preserve"> </w:t>
      </w:r>
    </w:p>
    <w:p w:rsidR="00DB7ADC" w:rsidRPr="00C513BA" w:rsidP="41D157DC" w14:paraId="51D53F05" w14:textId="5CC65BC2">
      <w:pPr>
        <w:pStyle w:val="ListParagraph"/>
        <w:numPr>
          <w:ilvl w:val="0"/>
          <w:numId w:val="3"/>
        </w:numPr>
        <w:rPr>
          <w:rFonts w:ascii="Calibri" w:eastAsia="Calibri" w:hAnsi="Calibri" w:cs="Calibri"/>
          <w:b/>
          <w:kern w:val="0"/>
          <w14:ligatures w14:val="none"/>
        </w:rPr>
      </w:pPr>
      <w:r w:rsidRPr="00C513BA">
        <w:rPr>
          <w:rFonts w:ascii="Calibri" w:eastAsia="Calibri" w:hAnsi="Calibri" w:cs="Calibri"/>
          <w:b/>
          <w:kern w:val="0"/>
          <w14:ligatures w14:val="none"/>
        </w:rPr>
        <w:t xml:space="preserve">Several commenters objected to the proposed request that States that count “industry-recognized certificates and certifications” in measuring 5S1 and 2P1 describe how they determine these credentials are recognized by industry because Perkins V does not mandate a “specific process for industry validation of credentials.”  </w:t>
      </w:r>
    </w:p>
    <w:p w:rsidR="005B0592" w:rsidRPr="000D2010" w:rsidP="005B0592" w14:paraId="30B0546E" w14:textId="446F9FD0">
      <w:r>
        <w:rPr>
          <w:u w:val="single"/>
        </w:rPr>
        <w:t>Response</w:t>
      </w:r>
      <w:r>
        <w:t>:</w:t>
      </w:r>
      <w:r w:rsidRPr="00B36BAF" w:rsidR="000D2010">
        <w:t xml:space="preserve"> </w:t>
      </w:r>
      <w:r w:rsidR="000D2010">
        <w:t xml:space="preserve"> </w:t>
      </w:r>
      <w:r w:rsidR="00495B48">
        <w:t>The</w:t>
      </w:r>
      <w:r w:rsidR="009C22A5">
        <w:t xml:space="preserve"> Department is not directing States to implement a specific process</w:t>
      </w:r>
      <w:r w:rsidR="00D24E9A">
        <w:t xml:space="preserve"> for industry validation of credentials</w:t>
      </w:r>
      <w:r w:rsidR="009C22A5">
        <w:t xml:space="preserve">. </w:t>
      </w:r>
      <w:r w:rsidR="000D2010">
        <w:t xml:space="preserve">  </w:t>
      </w:r>
      <w:r w:rsidR="00264C73">
        <w:t>We are</w:t>
      </w:r>
      <w:r w:rsidR="009C22A5">
        <w:t xml:space="preserve"> proposin</w:t>
      </w:r>
      <w:r w:rsidR="00CA6F70">
        <w:t>g</w:t>
      </w:r>
      <w:r w:rsidR="006A399C">
        <w:t xml:space="preserve"> </w:t>
      </w:r>
      <w:r w:rsidR="009C22A5">
        <w:t xml:space="preserve">to request that </w:t>
      </w:r>
      <w:r w:rsidR="000D2010">
        <w:t xml:space="preserve">States </w:t>
      </w:r>
      <w:r w:rsidR="009C22A5">
        <w:t xml:space="preserve">describe </w:t>
      </w:r>
      <w:r w:rsidR="00B1785E">
        <w:t xml:space="preserve">in their annual CAR submission </w:t>
      </w:r>
      <w:r w:rsidR="00CA6F70">
        <w:t xml:space="preserve">how </w:t>
      </w:r>
      <w:r w:rsidR="00301D26">
        <w:t xml:space="preserve">for the most recent </w:t>
      </w:r>
      <w:r w:rsidR="00CE706A">
        <w:t xml:space="preserve">reporting </w:t>
      </w:r>
      <w:r w:rsidR="00301D26">
        <w:t>year</w:t>
      </w:r>
      <w:r w:rsidR="00CA6F70">
        <w:t xml:space="preserve"> the </w:t>
      </w:r>
      <w:r w:rsidR="00941663">
        <w:t>State</w:t>
      </w:r>
      <w:r w:rsidR="00CA6F70">
        <w:t xml:space="preserve"> </w:t>
      </w:r>
      <w:r w:rsidR="009C22A5">
        <w:t>determine</w:t>
      </w:r>
      <w:r w:rsidR="00301D26">
        <w:t>d</w:t>
      </w:r>
      <w:r w:rsidR="009C22A5">
        <w:t xml:space="preserve"> whether a credential is “recognized” by industry</w:t>
      </w:r>
      <w:r w:rsidR="00F5606D">
        <w:t>, i.e.</w:t>
      </w:r>
      <w:r w:rsidR="00DE573B">
        <w:t>,</w:t>
      </w:r>
      <w:r w:rsidR="00F5606D">
        <w:t xml:space="preserve"> how </w:t>
      </w:r>
      <w:r w:rsidR="00B06E79">
        <w:t xml:space="preserve">States determine what </w:t>
      </w:r>
      <w:r w:rsidR="002D6E92">
        <w:t xml:space="preserve">gets counted </w:t>
      </w:r>
      <w:r w:rsidR="009F0EA4">
        <w:t>under 5S1 and 2P1</w:t>
      </w:r>
      <w:r w:rsidR="009C22A5">
        <w:t xml:space="preserve">. </w:t>
      </w:r>
      <w:r w:rsidR="00541153">
        <w:t xml:space="preserve"> </w:t>
      </w:r>
      <w:r w:rsidR="006A399C">
        <w:t xml:space="preserve">States have flexibility to </w:t>
      </w:r>
      <w:r w:rsidR="0008434A">
        <w:t xml:space="preserve">devise </w:t>
      </w:r>
      <w:r w:rsidR="00D93996">
        <w:t xml:space="preserve">and describe </w:t>
      </w:r>
      <w:r w:rsidR="00686243">
        <w:t xml:space="preserve">how </w:t>
      </w:r>
      <w:r w:rsidR="005C666C">
        <w:t xml:space="preserve">they make </w:t>
      </w:r>
      <w:r w:rsidR="00673E6C">
        <w:t>these d</w:t>
      </w:r>
      <w:r w:rsidR="002D203D">
        <w:t xml:space="preserve">eterminations. </w:t>
      </w:r>
    </w:p>
    <w:p w:rsidR="00B1785E" w:rsidP="00B1785E" w14:paraId="5111273D" w14:textId="07F20A27">
      <w:pPr>
        <w:rPr>
          <w:rFonts w:ascii="Calibri" w:eastAsia="Calibri" w:hAnsi="Calibri" w:cs="Calibri"/>
          <w:kern w:val="0"/>
          <w14:ligatures w14:val="none"/>
        </w:rPr>
      </w:pPr>
      <w:r w:rsidRPr="005B0592">
        <w:rPr>
          <w:u w:val="single"/>
        </w:rPr>
        <w:t>Changes</w:t>
      </w:r>
      <w:r>
        <w:t xml:space="preserve">: </w:t>
      </w:r>
      <w:r w:rsidR="00B36BAF">
        <w:t xml:space="preserve"> </w:t>
      </w:r>
      <w:r w:rsidRPr="199131CE" w:rsidR="00002B24">
        <w:rPr>
          <w:rFonts w:ascii="Calibri" w:eastAsia="Calibri" w:hAnsi="Calibri" w:cs="Calibri"/>
        </w:rPr>
        <w:t>As described in the response to #3, we are proposing to remove all of</w:t>
      </w:r>
      <w:r w:rsidRPr="00002B24" w:rsidR="00002B24">
        <w:rPr>
          <w:rFonts w:ascii="Calibri" w:eastAsia="Calibri" w:hAnsi="Calibri" w:cs="Calibri"/>
          <w:kern w:val="0"/>
          <w14:ligatures w14:val="none"/>
        </w:rPr>
        <w:t xml:space="preserve"> the proposed new narrative items from the State Plan Guide, including the proposed request</w:t>
      </w:r>
      <w:r w:rsidR="007A74DB">
        <w:rPr>
          <w:rFonts w:ascii="Calibri" w:eastAsia="Calibri" w:hAnsi="Calibri" w:cs="Calibri"/>
          <w:kern w:val="0"/>
          <w14:ligatures w14:val="none"/>
        </w:rPr>
        <w:t>s</w:t>
      </w:r>
      <w:r w:rsidRPr="00002B24" w:rsidR="00002B24">
        <w:rPr>
          <w:rFonts w:ascii="Calibri" w:eastAsia="Calibri" w:hAnsi="Calibri" w:cs="Calibri"/>
          <w:kern w:val="0"/>
          <w14:ligatures w14:val="none"/>
        </w:rPr>
        <w:t xml:space="preserve"> about industry recognition, and intend to propose to include them in the CAR ICR (1830-0569) instead.</w:t>
      </w:r>
      <w:r>
        <w:rPr>
          <w:rFonts w:ascii="Calibri" w:eastAsia="Calibri" w:hAnsi="Calibri" w:cs="Calibri"/>
          <w:kern w:val="0"/>
          <w14:ligatures w14:val="none"/>
        </w:rPr>
        <w:t xml:space="preserve"> </w:t>
      </w:r>
    </w:p>
    <w:p w:rsidR="00DB7ADC" w:rsidRPr="00C513BA" w:rsidP="337B5048" w14:paraId="2672F70C" w14:textId="0A27ED64">
      <w:pPr>
        <w:pStyle w:val="ListParagraph"/>
        <w:numPr>
          <w:ilvl w:val="0"/>
          <w:numId w:val="3"/>
        </w:numPr>
        <w:rPr>
          <w:rFonts w:ascii="Calibri" w:eastAsia="Calibri" w:hAnsi="Calibri" w:cs="Calibri"/>
          <w:b/>
          <w:kern w:val="0"/>
          <w14:ligatures w14:val="none"/>
        </w:rPr>
      </w:pPr>
      <w:r w:rsidRPr="00C513BA">
        <w:rPr>
          <w:rFonts w:ascii="Calibri" w:eastAsia="Calibri" w:hAnsi="Calibri" w:cs="Calibri"/>
          <w:b/>
          <w:kern w:val="0"/>
          <w14:ligatures w14:val="none"/>
        </w:rPr>
        <w:t xml:space="preserve">One commenter expressed concern that </w:t>
      </w:r>
      <w:r w:rsidRPr="00C513BA" w:rsidR="00350E4D">
        <w:rPr>
          <w:rFonts w:ascii="Calibri" w:eastAsia="Calibri" w:hAnsi="Calibri" w:cs="Calibri"/>
          <w:b/>
          <w:kern w:val="0"/>
          <w14:ligatures w14:val="none"/>
        </w:rPr>
        <w:t xml:space="preserve">the </w:t>
      </w:r>
      <w:r w:rsidRPr="00C513BA">
        <w:rPr>
          <w:rFonts w:ascii="Calibri" w:eastAsia="Calibri" w:hAnsi="Calibri" w:cs="Calibri"/>
          <w:b/>
          <w:kern w:val="0"/>
          <w14:ligatures w14:val="none"/>
        </w:rPr>
        <w:t xml:space="preserve">Department was requesting “detailed information on </w:t>
      </w:r>
      <w:r w:rsidR="00147CAB">
        <w:rPr>
          <w:rFonts w:ascii="Calibri" w:eastAsia="Calibri" w:hAnsi="Calibri" w:cs="Calibri"/>
          <w:b/>
          <w:kern w:val="0"/>
          <w14:ligatures w14:val="none"/>
        </w:rPr>
        <w:t>S</w:t>
      </w:r>
      <w:r w:rsidRPr="00C513BA">
        <w:rPr>
          <w:rFonts w:ascii="Calibri" w:eastAsia="Calibri" w:hAnsi="Calibri" w:cs="Calibri"/>
          <w:b/>
          <w:kern w:val="0"/>
          <w14:ligatures w14:val="none"/>
        </w:rPr>
        <w:t xml:space="preserve">tate processes for determining industry recognition.” </w:t>
      </w:r>
    </w:p>
    <w:p w:rsidR="005B0592" w:rsidRPr="008A0E67" w:rsidP="005B0592" w14:paraId="6EB1C920" w14:textId="358A58FA">
      <w:r>
        <w:rPr>
          <w:u w:val="single"/>
        </w:rPr>
        <w:t>Response</w:t>
      </w:r>
      <w:r>
        <w:t>:</w:t>
      </w:r>
      <w:r w:rsidRPr="00CE706A" w:rsidR="00E746F9">
        <w:t xml:space="preserve"> </w:t>
      </w:r>
      <w:r w:rsidR="00E746F9">
        <w:t xml:space="preserve"> </w:t>
      </w:r>
      <w:r w:rsidR="00B4533B">
        <w:t>The proposed request</w:t>
      </w:r>
      <w:r w:rsidR="00B1785E">
        <w:t>, which we are now proposing to relocate from the State Plan Guide to the CAR</w:t>
      </w:r>
      <w:r w:rsidR="00D7423B">
        <w:t xml:space="preserve"> ICR</w:t>
      </w:r>
      <w:r w:rsidR="00B1785E">
        <w:t xml:space="preserve">, </w:t>
      </w:r>
      <w:r w:rsidR="00B4533B">
        <w:t>asks States to describe how they determine that certificates and certifications are “recognized” by industry</w:t>
      </w:r>
      <w:r w:rsidR="007C7108">
        <w:t>, i.e., how States determine what gets counted under 5S1 and 2P1</w:t>
      </w:r>
      <w:r w:rsidR="00B4533B">
        <w:t xml:space="preserve">.  It does </w:t>
      </w:r>
      <w:r w:rsidR="00F77D57">
        <w:t xml:space="preserve">not </w:t>
      </w:r>
      <w:r w:rsidR="00B4533B">
        <w:t xml:space="preserve">prescribe </w:t>
      </w:r>
      <w:r w:rsidR="006402E9">
        <w:t xml:space="preserve">the </w:t>
      </w:r>
      <w:r w:rsidR="0034042F">
        <w:t>specific level of detail that a State must provide in response to the proposed request.</w:t>
      </w:r>
    </w:p>
    <w:p w:rsidR="00DB7ADC" w:rsidRPr="00F5598F" w:rsidP="41D157DC" w14:paraId="2AAD7C9E" w14:textId="2DF0A5E1">
      <w:pPr>
        <w:rPr>
          <w:rFonts w:ascii="Calibri" w:eastAsia="Calibri" w:hAnsi="Calibri" w:cs="Calibri"/>
          <w:b/>
          <w:bCs/>
        </w:rPr>
      </w:pPr>
      <w:r w:rsidRPr="005B0592">
        <w:rPr>
          <w:u w:val="single"/>
        </w:rPr>
        <w:t>Changes</w:t>
      </w:r>
      <w:r>
        <w:t xml:space="preserve">: </w:t>
      </w:r>
      <w:r w:rsidR="00CE706A">
        <w:t xml:space="preserve"> </w:t>
      </w:r>
      <w:r w:rsidRPr="00002B24" w:rsidR="00002B24">
        <w:t>As described in the response to #3, we are proposing to remove all of the proposed new narrative items from the State Plan Guide, including the proposed request</w:t>
      </w:r>
      <w:r w:rsidR="007A74DB">
        <w:t>s</w:t>
      </w:r>
      <w:r w:rsidRPr="00002B24" w:rsidR="00002B24">
        <w:t xml:space="preserve"> about industry recognition, and intend to propose to include them in the CAR ICR (1830-0569) instead.</w:t>
      </w:r>
    </w:p>
    <w:p w:rsidR="00DB7ADC" w:rsidRPr="00F5598F" w:rsidP="1D9BA761" w14:paraId="5AA517CA" w14:textId="3A1E0C1D">
      <w:pPr>
        <w:pStyle w:val="ListParagraph"/>
        <w:numPr>
          <w:ilvl w:val="0"/>
          <w:numId w:val="3"/>
        </w:numPr>
        <w:rPr>
          <w:rFonts w:ascii="Calibri" w:eastAsia="Calibri" w:hAnsi="Calibri" w:cs="Calibri"/>
          <w:b/>
          <w:kern w:val="0"/>
          <w14:ligatures w14:val="none"/>
        </w:rPr>
      </w:pPr>
      <w:r w:rsidRPr="00F5598F">
        <w:rPr>
          <w:rFonts w:ascii="Calibri" w:eastAsia="Calibri" w:hAnsi="Calibri" w:cs="Calibri"/>
          <w:b/>
          <w:kern w:val="0"/>
          <w14:ligatures w14:val="none"/>
        </w:rPr>
        <w:t xml:space="preserve">One commenter, a State Department of Education, objected to “the request to determine procedures for determining industry recognized credentials” because the “verification or validation of credentials is overseen by multiple agencies,” as well as by “regional industry sector councils.” </w:t>
      </w:r>
      <w:r w:rsidR="003B400B">
        <w:rPr>
          <w:rFonts w:ascii="Calibri" w:eastAsia="Calibri" w:hAnsi="Calibri" w:cs="Calibri"/>
          <w:b/>
          <w:kern w:val="0"/>
          <w14:ligatures w14:val="none"/>
        </w:rPr>
        <w:t xml:space="preserve"> </w:t>
      </w:r>
      <w:r w:rsidRPr="00F5598F">
        <w:rPr>
          <w:rFonts w:ascii="Calibri" w:eastAsia="Calibri" w:hAnsi="Calibri" w:cs="Calibri"/>
          <w:b/>
          <w:kern w:val="0"/>
          <w14:ligatures w14:val="none"/>
        </w:rPr>
        <w:t>The commenter stated neither it nor subrecipients have “direct influence” over those processes, which could make it difficult to identify appropriate credentials.  The commenter went on to indicate that it may decide to discontinue using the recognized postsecondary credential indicator as a result.</w:t>
      </w:r>
    </w:p>
    <w:p w:rsidR="005B0592" w:rsidRPr="00B71459" w:rsidP="005B0592" w14:paraId="40005FCF" w14:textId="734F98F9">
      <w:r>
        <w:rPr>
          <w:u w:val="single"/>
        </w:rPr>
        <w:t>Response</w:t>
      </w:r>
      <w:r w:rsidRPr="001C1293">
        <w:t>:</w:t>
      </w:r>
      <w:r w:rsidR="00B71459">
        <w:t xml:space="preserve">  We appreciate the commenter’s concerns</w:t>
      </w:r>
      <w:r w:rsidR="00E86615">
        <w:t xml:space="preserve"> and recognize that an eligible agency </w:t>
      </w:r>
      <w:r w:rsidR="00F96389">
        <w:t xml:space="preserve">does not </w:t>
      </w:r>
      <w:r w:rsidR="00797193">
        <w:t xml:space="preserve">necessarily </w:t>
      </w:r>
      <w:r w:rsidR="00F96389">
        <w:t xml:space="preserve">have direct </w:t>
      </w:r>
      <w:r w:rsidR="006A3773">
        <w:t xml:space="preserve">influence </w:t>
      </w:r>
      <w:r w:rsidR="00455A31">
        <w:t xml:space="preserve">over </w:t>
      </w:r>
      <w:r w:rsidR="00FF54BF">
        <w:t>the extent to which</w:t>
      </w:r>
      <w:r w:rsidR="005849F4">
        <w:t xml:space="preserve"> there is industry recognition of a certificate or certification. </w:t>
      </w:r>
      <w:r w:rsidR="000E20EB">
        <w:t xml:space="preserve"> </w:t>
      </w:r>
      <w:r w:rsidR="00E7312B">
        <w:t>We are not proposing to request that States create new processes to make independent determinations of industry recognition</w:t>
      </w:r>
      <w:r w:rsidR="00797193">
        <w:t>; rather the intention is to gather information</w:t>
      </w:r>
      <w:r w:rsidR="00705A7D">
        <w:t xml:space="preserve"> on what is currently occurring in the States</w:t>
      </w:r>
      <w:r w:rsidR="00E7312B">
        <w:t xml:space="preserve">.  </w:t>
      </w:r>
      <w:r w:rsidR="00076BBA">
        <w:t xml:space="preserve">In the situation described by the commenter, the commenter could indicate in its response that </w:t>
      </w:r>
      <w:r w:rsidR="00076E2D">
        <w:t>its industry recognition determination</w:t>
      </w:r>
      <w:r w:rsidR="00A22BFF">
        <w:t xml:space="preserve"> is based on </w:t>
      </w:r>
      <w:r w:rsidR="00953F23">
        <w:t xml:space="preserve">the </w:t>
      </w:r>
      <w:r w:rsidR="00A22BFF">
        <w:t xml:space="preserve">determinations made by </w:t>
      </w:r>
      <w:r w:rsidR="00833929">
        <w:t xml:space="preserve">multiple </w:t>
      </w:r>
      <w:r w:rsidR="00A22BFF">
        <w:t xml:space="preserve">agencies </w:t>
      </w:r>
      <w:r w:rsidR="00E803D7">
        <w:t>and regional industry sector council</w:t>
      </w:r>
      <w:r w:rsidR="00541311">
        <w:t>s</w:t>
      </w:r>
      <w:r w:rsidR="00E803D7">
        <w:t xml:space="preserve">.  </w:t>
      </w:r>
    </w:p>
    <w:p w:rsidR="00B1785E" w:rsidRPr="005B0592" w:rsidP="00B1785E" w14:paraId="6C6B874D" w14:textId="40734B68">
      <w:r w:rsidRPr="005B0592">
        <w:rPr>
          <w:u w:val="single"/>
        </w:rPr>
        <w:t>Changes</w:t>
      </w:r>
      <w:r>
        <w:t xml:space="preserve">: </w:t>
      </w:r>
      <w:r w:rsidR="0043198C">
        <w:t xml:space="preserve"> </w:t>
      </w:r>
      <w:r w:rsidRPr="00002B24" w:rsidR="00002B24">
        <w:t>As described in the response to #3, we are proposing to remove all of the proposed new narrative items from the State Plan Guide, including the proposed request</w:t>
      </w:r>
      <w:r w:rsidR="007A74DB">
        <w:t>s</w:t>
      </w:r>
      <w:r w:rsidRPr="00002B24" w:rsidR="00002B24">
        <w:t xml:space="preserve"> about industry recognition, and intend to propose to include them in the CAR ICR (1830-0569) instead.</w:t>
      </w:r>
      <w:r>
        <w:t xml:space="preserve"> </w:t>
      </w:r>
    </w:p>
    <w:p w:rsidR="00DB7ADC" w:rsidRPr="00F5598F" w:rsidP="337B5048" w14:paraId="0A8E750E" w14:textId="1DB1B2EC">
      <w:pPr>
        <w:pStyle w:val="ListParagraph"/>
        <w:numPr>
          <w:ilvl w:val="0"/>
          <w:numId w:val="3"/>
        </w:numPr>
        <w:rPr>
          <w:rFonts w:ascii="Calibri" w:eastAsia="Calibri" w:hAnsi="Calibri" w:cs="Calibri"/>
          <w:b/>
          <w:kern w:val="0"/>
          <w14:ligatures w14:val="none"/>
        </w:rPr>
      </w:pPr>
      <w:r w:rsidRPr="00F5598F">
        <w:rPr>
          <w:rFonts w:ascii="Calibri" w:eastAsia="Calibri" w:hAnsi="Calibri" w:cs="Calibri"/>
          <w:b/>
          <w:kern w:val="0"/>
          <w14:ligatures w14:val="none"/>
        </w:rPr>
        <w:t xml:space="preserve">One commenter expressed support for the Department’s proposal that States include in their State plans a description of how they determine that “industry-recognized certificates and certifications” counted in the numerators of the secondary program quality indicator that measures the attainment of a recognized postsecondary credential (5S1) and the postsecondary performance indicator that measures the attainment of a recognized postsecondary credential (2P1) are “recognized by industry.” </w:t>
      </w:r>
      <w:r w:rsidR="00857D93">
        <w:rPr>
          <w:rFonts w:ascii="Calibri" w:eastAsia="Calibri" w:hAnsi="Calibri" w:cs="Calibri"/>
          <w:b/>
          <w:kern w:val="0"/>
          <w14:ligatures w14:val="none"/>
        </w:rPr>
        <w:t xml:space="preserve"> </w:t>
      </w:r>
      <w:r w:rsidRPr="00F5598F">
        <w:rPr>
          <w:rFonts w:ascii="Calibri" w:eastAsia="Calibri" w:hAnsi="Calibri" w:cs="Calibri"/>
          <w:b/>
          <w:kern w:val="0"/>
          <w14:ligatures w14:val="none"/>
        </w:rPr>
        <w:t xml:space="preserve">The commenter noted that if a </w:t>
      </w:r>
      <w:r w:rsidRPr="00F5598F">
        <w:rPr>
          <w:rFonts w:ascii="Calibri" w:eastAsia="Calibri" w:hAnsi="Calibri" w:cs="Calibri"/>
          <w:b/>
          <w:kern w:val="0"/>
          <w14:ligatures w14:val="none"/>
        </w:rPr>
        <w:t xml:space="preserve">State does not already define these terms, the State plan process “will enable key stakeholders within a state to strategize on this area more broadly.” </w:t>
      </w:r>
    </w:p>
    <w:p w:rsidR="005B0592" w:rsidRPr="001A436D" w:rsidP="005B0592" w14:paraId="76B8F68E" w14:textId="475C6E04">
      <w:r>
        <w:rPr>
          <w:u w:val="single"/>
        </w:rPr>
        <w:t>Response</w:t>
      </w:r>
      <w:r>
        <w:t>:</w:t>
      </w:r>
      <w:r w:rsidR="001A436D">
        <w:t xml:space="preserve">  We appreciate the commenter’s support </w:t>
      </w:r>
      <w:r w:rsidR="00CF35F4">
        <w:t xml:space="preserve">and </w:t>
      </w:r>
      <w:r w:rsidR="00976C91">
        <w:t xml:space="preserve">agree that States should consult with key stakeholders in </w:t>
      </w:r>
      <w:r w:rsidR="008717AA">
        <w:t xml:space="preserve">making decisions about </w:t>
      </w:r>
      <w:r w:rsidR="00C641E8">
        <w:t xml:space="preserve">how they </w:t>
      </w:r>
      <w:r w:rsidR="008717AA">
        <w:t xml:space="preserve">make industry recognition </w:t>
      </w:r>
      <w:r w:rsidR="005B5BC3">
        <w:t>determinations.</w:t>
      </w:r>
      <w:r w:rsidR="00930837">
        <w:t xml:space="preserve">  As noted earlier, we hope that our proposed data collection will promote greater consultation among State education and workforce development agencies about industry recognition and closer alignment in how a State makes these determinations across multiple federal programs.</w:t>
      </w:r>
    </w:p>
    <w:p w:rsidR="005B0592" w:rsidRPr="005B0592" w:rsidP="005B0592" w14:paraId="30D7978E" w14:textId="59360608">
      <w:r w:rsidRPr="005B0592">
        <w:rPr>
          <w:u w:val="single"/>
        </w:rPr>
        <w:t>Changes</w:t>
      </w:r>
      <w:r>
        <w:t xml:space="preserve">: </w:t>
      </w:r>
      <w:r w:rsidR="00857D93">
        <w:t xml:space="preserve"> </w:t>
      </w:r>
      <w:r w:rsidRPr="00002B24" w:rsidR="00002B24">
        <w:t>As described in the response to #3, we are proposing to remove all of the proposed new narrative items from the State Plan Guide, including the proposed request</w:t>
      </w:r>
      <w:r w:rsidR="007A74DB">
        <w:t>s</w:t>
      </w:r>
      <w:r w:rsidRPr="00002B24" w:rsidR="00002B24">
        <w:t xml:space="preserve"> about industry recognition, and intend to propose to include them in the CAR ICR (1830-0569) instead.</w:t>
      </w:r>
      <w:r w:rsidR="00B1785E">
        <w:t xml:space="preserve"> </w:t>
      </w:r>
      <w:r w:rsidR="005B5BC3">
        <w:t xml:space="preserve"> </w:t>
      </w:r>
      <w:r w:rsidR="004652CC">
        <w:t xml:space="preserve">As previously described, </w:t>
      </w:r>
      <w:r w:rsidR="00352F79">
        <w:t xml:space="preserve">moving these items to the CAR </w:t>
      </w:r>
      <w:r w:rsidR="00960E53">
        <w:t xml:space="preserve">ICR </w:t>
      </w:r>
      <w:r w:rsidR="009E3882">
        <w:t xml:space="preserve">allows the Department to collect this information around </w:t>
      </w:r>
      <w:r w:rsidR="00006A39">
        <w:t>S</w:t>
      </w:r>
      <w:r w:rsidR="009E3882">
        <w:t>tates</w:t>
      </w:r>
      <w:r w:rsidR="00F57F66">
        <w:t>’</w:t>
      </w:r>
      <w:r w:rsidR="009E3882">
        <w:t xml:space="preserve"> practice</w:t>
      </w:r>
      <w:r w:rsidR="00F57F66">
        <w:t>s</w:t>
      </w:r>
      <w:r w:rsidR="009E3882">
        <w:t xml:space="preserve"> but does not require State</w:t>
      </w:r>
      <w:r w:rsidR="00F371C6">
        <w:t>s to</w:t>
      </w:r>
      <w:r w:rsidR="009E3882">
        <w:t xml:space="preserve"> </w:t>
      </w:r>
      <w:r w:rsidR="007A03DD">
        <w:t>amend</w:t>
      </w:r>
      <w:r w:rsidR="00593CF2">
        <w:t xml:space="preserve"> their State </w:t>
      </w:r>
      <w:r w:rsidR="007A03DD">
        <w:t>Plan</w:t>
      </w:r>
      <w:r w:rsidR="00EB5267">
        <w:t>s</w:t>
      </w:r>
      <w:r w:rsidR="003C1331">
        <w:t>.</w:t>
      </w:r>
      <w:r w:rsidR="00F371C6">
        <w:t xml:space="preserve"> </w:t>
      </w:r>
    </w:p>
    <w:p w:rsidR="006E4337" w:rsidP="006E4337" w14:paraId="060F84DC" w14:textId="0C8CF08D">
      <w:pPr>
        <w:rPr>
          <w:u w:val="single"/>
        </w:rPr>
      </w:pPr>
      <w:r>
        <w:rPr>
          <w:u w:val="single"/>
        </w:rPr>
        <w:t xml:space="preserve">Postsecondary Credits Secondary Program Quality Indicator (Item </w:t>
      </w:r>
      <w:r w:rsidR="00564A5A">
        <w:rPr>
          <w:u w:val="single"/>
        </w:rPr>
        <w:t>D.4 on page 21)</w:t>
      </w:r>
    </w:p>
    <w:p w:rsidR="006E4337" w:rsidRPr="00F5598F" w:rsidP="771E1B01" w14:paraId="1C68A086" w14:textId="0FDFCAB7">
      <w:pPr>
        <w:pStyle w:val="ListParagraph"/>
        <w:numPr>
          <w:ilvl w:val="0"/>
          <w:numId w:val="3"/>
        </w:numPr>
        <w:rPr>
          <w:rFonts w:ascii="Calibri" w:eastAsia="Calibri" w:hAnsi="Calibri" w:cs="Calibri"/>
          <w:b/>
          <w:kern w:val="0"/>
          <w14:ligatures w14:val="none"/>
        </w:rPr>
      </w:pPr>
      <w:r w:rsidRPr="00F5598F">
        <w:rPr>
          <w:rFonts w:ascii="Calibri" w:eastAsia="Calibri" w:hAnsi="Calibri" w:cs="Calibri"/>
          <w:b/>
          <w:kern w:val="0"/>
          <w14:ligatures w14:val="none"/>
        </w:rPr>
        <w:t>One commenter objected to the proposed request that States specify the number of postsecondary credits a graduating CTE concentrator must attain to be included in the numerator of postsecondary credits secondary program quality indicator</w:t>
      </w:r>
      <w:r w:rsidRPr="00F5598F" w:rsidR="00564A5A">
        <w:rPr>
          <w:rFonts w:ascii="Calibri" w:eastAsia="Calibri" w:hAnsi="Calibri" w:cs="Calibri"/>
          <w:b/>
          <w:kern w:val="0"/>
          <w14:ligatures w14:val="none"/>
        </w:rPr>
        <w:t xml:space="preserve"> (5S</w:t>
      </w:r>
      <w:r w:rsidRPr="00F5598F" w:rsidR="00F14D0B">
        <w:rPr>
          <w:rFonts w:ascii="Calibri" w:eastAsia="Calibri" w:hAnsi="Calibri" w:cs="Calibri"/>
          <w:b/>
          <w:kern w:val="0"/>
          <w14:ligatures w14:val="none"/>
        </w:rPr>
        <w:t>2)</w:t>
      </w:r>
      <w:r w:rsidRPr="00F5598F">
        <w:rPr>
          <w:rFonts w:ascii="Calibri" w:eastAsia="Calibri" w:hAnsi="Calibri" w:cs="Calibri"/>
          <w:b/>
          <w:kern w:val="0"/>
          <w14:ligatures w14:val="none"/>
        </w:rPr>
        <w:t>.  The commenter stated that this request would “impose additional administrative burdens on states and local education agencies, potentially diverting resources away from direct support for students and programs.</w:t>
      </w:r>
    </w:p>
    <w:p w:rsidR="005B0592" w:rsidRPr="006D4A67" w:rsidP="005B0592" w14:paraId="03284322" w14:textId="3C677967">
      <w:r>
        <w:rPr>
          <w:u w:val="single"/>
        </w:rPr>
        <w:t>Response</w:t>
      </w:r>
      <w:r w:rsidRPr="00896240">
        <w:t>:</w:t>
      </w:r>
      <w:r w:rsidR="006D4A67">
        <w:t xml:space="preserve">  The Department </w:t>
      </w:r>
      <w:r w:rsidR="004C3B60">
        <w:t>is proposing to ask States to identi</w:t>
      </w:r>
      <w:r w:rsidR="00C641E8">
        <w:t xml:space="preserve">fy the number of </w:t>
      </w:r>
      <w:r w:rsidR="00AA2FC1">
        <w:t xml:space="preserve">postsecondary credits </w:t>
      </w:r>
      <w:r w:rsidR="000F7DE6">
        <w:t xml:space="preserve">that they have opted to require CTE concentrators to attain to be included in the numerator of the indicator.  </w:t>
      </w:r>
      <w:r w:rsidR="002D0670">
        <w:t xml:space="preserve">We do not specify a </w:t>
      </w:r>
      <w:r w:rsidR="00C923BE">
        <w:t xml:space="preserve">number that States must use.  </w:t>
      </w:r>
      <w:r w:rsidR="000F7DE6">
        <w:t xml:space="preserve">We do not </w:t>
      </w:r>
      <w:r w:rsidR="002B4784">
        <w:t>agree</w:t>
      </w:r>
      <w:r w:rsidR="000F7DE6">
        <w:t xml:space="preserve"> that </w:t>
      </w:r>
      <w:r w:rsidR="002B4784">
        <w:t>providing a number is administratively burdensome to States</w:t>
      </w:r>
      <w:r w:rsidR="006A439F">
        <w:t>,</w:t>
      </w:r>
      <w:r w:rsidR="008622BC">
        <w:t xml:space="preserve"> as</w:t>
      </w:r>
      <w:r w:rsidR="006A439F">
        <w:t xml:space="preserve"> </w:t>
      </w:r>
      <w:r w:rsidR="00851B6B">
        <w:t xml:space="preserve">we </w:t>
      </w:r>
      <w:r w:rsidR="00E648C4">
        <w:t xml:space="preserve">believe </w:t>
      </w:r>
      <w:r w:rsidR="00851B6B">
        <w:t xml:space="preserve">that </w:t>
      </w:r>
      <w:r w:rsidR="003123FF">
        <w:t>the</w:t>
      </w:r>
      <w:r w:rsidR="00E648C4">
        <w:t xml:space="preserve"> majority of </w:t>
      </w:r>
      <w:r w:rsidR="00F206DA">
        <w:t xml:space="preserve">States </w:t>
      </w:r>
      <w:r w:rsidR="004B05AF">
        <w:t xml:space="preserve">have </w:t>
      </w:r>
      <w:r w:rsidR="00851B6B">
        <w:t xml:space="preserve">already defined </w:t>
      </w:r>
      <w:r w:rsidR="004B05AF">
        <w:t xml:space="preserve">this </w:t>
      </w:r>
      <w:r w:rsidR="00934B84">
        <w:t>information</w:t>
      </w:r>
      <w:r w:rsidR="00851B6B">
        <w:t xml:space="preserve"> in data manuals or other </w:t>
      </w:r>
      <w:r w:rsidR="008E331B">
        <w:t xml:space="preserve">administrative </w:t>
      </w:r>
      <w:r w:rsidR="00851B6B">
        <w:t>procedures which are necessary to implement th</w:t>
      </w:r>
      <w:r w:rsidR="00AF2F3F">
        <w:t>is core indicator</w:t>
      </w:r>
      <w:r w:rsidR="00600D80">
        <w:t>.  We believe that this</w:t>
      </w:r>
      <w:r w:rsidR="00B948FC">
        <w:t xml:space="preserve"> information </w:t>
      </w:r>
      <w:r w:rsidR="00600D80">
        <w:t xml:space="preserve">is necessary </w:t>
      </w:r>
      <w:r w:rsidR="00306F0A">
        <w:t xml:space="preserve">to understand how </w:t>
      </w:r>
      <w:r w:rsidRPr="00F83554" w:rsidR="00306F0A">
        <w:t>States are measuring this indicator</w:t>
      </w:r>
      <w:r w:rsidR="002B4784">
        <w:t>.</w:t>
      </w:r>
    </w:p>
    <w:p w:rsidR="005B0592" w:rsidRPr="005B0592" w:rsidP="005B0592" w14:paraId="3AA42FF1" w14:textId="51AD4DBF">
      <w:r w:rsidRPr="005B0592">
        <w:rPr>
          <w:u w:val="single"/>
        </w:rPr>
        <w:t>Changes</w:t>
      </w:r>
      <w:r>
        <w:t xml:space="preserve">: </w:t>
      </w:r>
      <w:r w:rsidR="001E4C2B">
        <w:t xml:space="preserve"> </w:t>
      </w:r>
      <w:r w:rsidRPr="00002B24" w:rsidR="001E4C2B">
        <w:t>As described in the response to #3, we are proposing to remove all of the proposed new narrative items from the State Plan Guide, including the proposed request</w:t>
      </w:r>
      <w:r w:rsidR="001E4C2B">
        <w:t>s</w:t>
      </w:r>
      <w:r w:rsidRPr="00002B24" w:rsidR="001E4C2B">
        <w:t xml:space="preserve"> about </w:t>
      </w:r>
      <w:r w:rsidR="00C96AC0">
        <w:t>postsecondary credits</w:t>
      </w:r>
      <w:r w:rsidRPr="00002B24" w:rsidR="001E4C2B">
        <w:t>, and intend to propose to include them in the CAR ICR (1830-0569) instead.</w:t>
      </w:r>
      <w:r w:rsidR="001E4C2B">
        <w:t xml:space="preserve">  </w:t>
      </w:r>
      <w:r w:rsidR="0003355E">
        <w:t xml:space="preserve">As previously described, moving these items to the CAR ICR allows the Department to collect this information around States’ practices but does not require States to amend their State Plans. </w:t>
      </w:r>
    </w:p>
    <w:p w:rsidR="00E41DBD" w:rsidRPr="008A1709" w:rsidP="00357105" w14:paraId="242EFD79" w14:textId="6F597A33">
      <w:pPr>
        <w:rPr>
          <w:u w:val="single"/>
        </w:rPr>
      </w:pPr>
      <w:r>
        <w:rPr>
          <w:u w:val="single"/>
        </w:rPr>
        <w:t>Work-Based Learning Quality Indicator</w:t>
      </w:r>
      <w:r w:rsidR="00F14D0B">
        <w:rPr>
          <w:u w:val="single"/>
        </w:rPr>
        <w:t xml:space="preserve"> (Item D.5 on page 21)</w:t>
      </w:r>
    </w:p>
    <w:p w:rsidR="00E41DBD" w:rsidRPr="00F5598F" w:rsidP="771E1B01" w14:paraId="6A9300D5" w14:textId="64C8A920">
      <w:pPr>
        <w:pStyle w:val="ListParagraph"/>
        <w:numPr>
          <w:ilvl w:val="0"/>
          <w:numId w:val="3"/>
        </w:numPr>
        <w:rPr>
          <w:b/>
        </w:rPr>
      </w:pPr>
      <w:r w:rsidRPr="771E1B01">
        <w:rPr>
          <w:b/>
        </w:rPr>
        <w:t xml:space="preserve">One commenter expressed support for the proposed request that States specify in their State plans the number of hours or credits </w:t>
      </w:r>
      <w:r w:rsidRPr="771E1B01" w:rsidR="00A94685">
        <w:rPr>
          <w:b/>
        </w:rPr>
        <w:t xml:space="preserve">(or other unit of measurement) </w:t>
      </w:r>
      <w:r w:rsidRPr="771E1B01" w:rsidR="00DF2680">
        <w:rPr>
          <w:b/>
        </w:rPr>
        <w:t xml:space="preserve">of work-based learning </w:t>
      </w:r>
      <w:r w:rsidRPr="771E1B01" w:rsidR="00A94685">
        <w:rPr>
          <w:b/>
        </w:rPr>
        <w:t>that a graduating CTE concentrator</w:t>
      </w:r>
      <w:r w:rsidRPr="771E1B01" w:rsidR="00DF2680">
        <w:rPr>
          <w:b/>
        </w:rPr>
        <w:t xml:space="preserve"> must complete to be included in the numerator of the work-based learning secondary program quality indicator.</w:t>
      </w:r>
      <w:r w:rsidRPr="771E1B01" w:rsidR="00AB295F">
        <w:rPr>
          <w:b/>
        </w:rPr>
        <w:t xml:space="preserve">  The commenter noted that the collection of these data will “allow for more clear and accurate </w:t>
      </w:r>
      <w:r w:rsidRPr="771E1B01" w:rsidR="00D84204">
        <w:rPr>
          <w:b/>
        </w:rPr>
        <w:t xml:space="preserve">state-by-state </w:t>
      </w:r>
      <w:r w:rsidRPr="771E1B01" w:rsidR="00AB295F">
        <w:rPr>
          <w:b/>
        </w:rPr>
        <w:t>comparisons</w:t>
      </w:r>
      <w:r w:rsidRPr="771E1B01" w:rsidR="00D84204">
        <w:rPr>
          <w:b/>
        </w:rPr>
        <w:t xml:space="preserve"> of thresholds being used to measure work-based learning program quality.”</w:t>
      </w:r>
    </w:p>
    <w:p w:rsidR="005B0592" w:rsidP="005B0592" w14:paraId="1110E478" w14:textId="36E85B77">
      <w:r>
        <w:rPr>
          <w:u w:val="single"/>
        </w:rPr>
        <w:t>Response</w:t>
      </w:r>
      <w:r>
        <w:t>:</w:t>
      </w:r>
      <w:r w:rsidRPr="001C6C1D" w:rsidR="002B4784">
        <w:t xml:space="preserve"> </w:t>
      </w:r>
      <w:r w:rsidR="00AF090D">
        <w:t xml:space="preserve"> </w:t>
      </w:r>
      <w:r w:rsidRPr="001C6C1D" w:rsidR="002B4784">
        <w:t>We appreciate the commenter’s support</w:t>
      </w:r>
      <w:r w:rsidRPr="001C6C1D" w:rsidR="00E64C8E">
        <w:t xml:space="preserve"> and agree that this information is critical </w:t>
      </w:r>
      <w:r w:rsidRPr="001C6C1D" w:rsidR="002652A7">
        <w:t>to understanding how States are measuring this indicator</w:t>
      </w:r>
      <w:r w:rsidRPr="001C6C1D" w:rsidR="002B4784">
        <w:t xml:space="preserve">.  </w:t>
      </w:r>
    </w:p>
    <w:p w:rsidR="00D84204" w:rsidRPr="00F5598F" w:rsidP="3A9B7BEF" w14:paraId="580F29F7" w14:textId="451A5884">
      <w:r w:rsidRPr="3A9B7BEF">
        <w:rPr>
          <w:u w:val="single"/>
        </w:rPr>
        <w:t>Changes</w:t>
      </w:r>
      <w:r>
        <w:t xml:space="preserve">: </w:t>
      </w:r>
      <w:r w:rsidR="00AF090D">
        <w:t xml:space="preserve"> </w:t>
      </w:r>
      <w:r w:rsidRPr="00002B24" w:rsidR="00BA5039">
        <w:t>As described in the response to #3, we are proposing to remove all of the proposed new narrative items from the State Plan Guide, including the proposed request</w:t>
      </w:r>
      <w:r w:rsidR="00BA5039">
        <w:t>s</w:t>
      </w:r>
      <w:r w:rsidRPr="00002B24" w:rsidR="00BA5039">
        <w:t xml:space="preserve"> about </w:t>
      </w:r>
      <w:r w:rsidR="005A7722">
        <w:t>work-based learning</w:t>
      </w:r>
      <w:r w:rsidRPr="00002B24" w:rsidR="00BA5039">
        <w:t>, and intend to propose to include them in the CAR ICR (1830-0569) instead.</w:t>
      </w:r>
      <w:r w:rsidR="00BA5039">
        <w:t xml:space="preserve">  </w:t>
      </w:r>
      <w:r w:rsidRPr="0003355E" w:rsidR="00BA5039">
        <w:t xml:space="preserve"> </w:t>
      </w:r>
    </w:p>
    <w:p w:rsidR="00D84204" w:rsidRPr="00F5598F" w:rsidP="2B7A25C9" w14:paraId="520EAC46" w14:textId="0382FCDA">
      <w:pPr>
        <w:pStyle w:val="ListParagraph"/>
        <w:numPr>
          <w:ilvl w:val="0"/>
          <w:numId w:val="3"/>
        </w:numPr>
        <w:rPr>
          <w:b/>
        </w:rPr>
      </w:pPr>
      <w:r w:rsidRPr="05A3406A">
        <w:rPr>
          <w:b/>
        </w:rPr>
        <w:t>One commenter recommended that the Department provide guidance</w:t>
      </w:r>
      <w:r w:rsidRPr="05A3406A" w:rsidR="00BF1977">
        <w:rPr>
          <w:b/>
        </w:rPr>
        <w:t xml:space="preserve"> that outlines the </w:t>
      </w:r>
      <w:r w:rsidRPr="05A3406A" w:rsidR="00603D4A">
        <w:rPr>
          <w:b/>
        </w:rPr>
        <w:t xml:space="preserve">components of quality work-based learning experiences because </w:t>
      </w:r>
      <w:r w:rsidRPr="05A3406A" w:rsidR="00CE2E1B">
        <w:rPr>
          <w:b/>
        </w:rPr>
        <w:t xml:space="preserve">the commenter’s view is that “many states </w:t>
      </w:r>
      <w:r w:rsidRPr="05A3406A" w:rsidR="00055CC2">
        <w:rPr>
          <w:b/>
        </w:rPr>
        <w:t>do not have a framework in place that defines quality expectations for work-based learning</w:t>
      </w:r>
      <w:r w:rsidRPr="05A3406A" w:rsidR="00BC631A">
        <w:rPr>
          <w:b/>
        </w:rPr>
        <w:t>” for which schools and districts are held accountable.</w:t>
      </w:r>
    </w:p>
    <w:p w:rsidR="00EF6A9D" w:rsidP="005B0592" w14:paraId="40FD1918" w14:textId="019DDFE8">
      <w:r>
        <w:rPr>
          <w:u w:val="single"/>
        </w:rPr>
        <w:t>Response</w:t>
      </w:r>
      <w:r>
        <w:t>:</w:t>
      </w:r>
      <w:r w:rsidR="00443A0B">
        <w:t xml:space="preserve"> </w:t>
      </w:r>
      <w:r w:rsidR="00CD6AB4">
        <w:t xml:space="preserve"> </w:t>
      </w:r>
      <w:r w:rsidR="00376E7C">
        <w:t xml:space="preserve">We agree that guidance on the </w:t>
      </w:r>
      <w:r w:rsidRPr="00F83554" w:rsidR="00376E7C">
        <w:t>components of quality work-based learning experiences</w:t>
      </w:r>
      <w:r w:rsidR="00376E7C">
        <w:t xml:space="preserve"> could be helpful to States and subrecipients. </w:t>
      </w:r>
      <w:r w:rsidR="00A04738">
        <w:t xml:space="preserve"> </w:t>
      </w:r>
      <w:r w:rsidR="00376E7C">
        <w:t xml:space="preserve">However, the State Plan Guide and CAR ICRs are data collection instruments.  </w:t>
      </w:r>
      <w:r w:rsidRPr="00443A0B" w:rsidR="00D53353">
        <w:t>W</w:t>
      </w:r>
      <w:r w:rsidRPr="00873D17" w:rsidR="00D53353">
        <w:t xml:space="preserve">e </w:t>
      </w:r>
      <w:r w:rsidR="00D53353">
        <w:t>hope</w:t>
      </w:r>
      <w:r w:rsidRPr="00873D17" w:rsidR="00504503">
        <w:t xml:space="preserve"> that </w:t>
      </w:r>
      <w:r w:rsidR="00185FCA">
        <w:t>when</w:t>
      </w:r>
      <w:r w:rsidR="00D53353">
        <w:t xml:space="preserve"> </w:t>
      </w:r>
      <w:r>
        <w:t xml:space="preserve">States </w:t>
      </w:r>
      <w:r w:rsidR="00185FCA">
        <w:t xml:space="preserve">provide </w:t>
      </w:r>
      <w:r w:rsidR="005557D7">
        <w:t>information about the number of hours or credits (or other unit of measurement) of work-based learning</w:t>
      </w:r>
      <w:r w:rsidR="008063E8">
        <w:t xml:space="preserve"> that a graduating CTE concentrator must complete to be included in the numerator of the work-based learning secondary program quality indictor, which is now</w:t>
      </w:r>
      <w:r w:rsidRPr="00873D17" w:rsidR="00657344">
        <w:t xml:space="preserve"> </w:t>
      </w:r>
      <w:r w:rsidR="000418BF">
        <w:t xml:space="preserve">a </w:t>
      </w:r>
      <w:r w:rsidR="00657344">
        <w:t xml:space="preserve">proposed </w:t>
      </w:r>
      <w:r w:rsidRPr="00873D17" w:rsidR="00657344">
        <w:t>CAR</w:t>
      </w:r>
      <w:r w:rsidR="00657344">
        <w:t xml:space="preserve"> ICR </w:t>
      </w:r>
      <w:r w:rsidRPr="00873D17" w:rsidR="00657344">
        <w:t>question</w:t>
      </w:r>
      <w:r w:rsidR="008063E8">
        <w:t xml:space="preserve"> and </w:t>
      </w:r>
      <w:r w:rsidR="00657344">
        <w:t>was previously proposed in the State Plan Guide,</w:t>
      </w:r>
      <w:r w:rsidRPr="00873D17" w:rsidR="00657344">
        <w:t xml:space="preserve"> </w:t>
      </w:r>
      <w:r w:rsidR="00CF7DE6">
        <w:t xml:space="preserve">doing so will </w:t>
      </w:r>
      <w:r w:rsidR="00657344">
        <w:t xml:space="preserve">provide additional clarity to schools and districts on how States </w:t>
      </w:r>
      <w:r w:rsidRPr="00F83554" w:rsidR="00657344">
        <w:t>define</w:t>
      </w:r>
      <w:r w:rsidR="00657344">
        <w:t xml:space="preserve"> </w:t>
      </w:r>
      <w:r w:rsidRPr="00F83554" w:rsidR="00657344">
        <w:t>quality expectations for work-based learning</w:t>
      </w:r>
      <w:r w:rsidRPr="00873D17" w:rsidR="00657344">
        <w:t>.</w:t>
      </w:r>
    </w:p>
    <w:p w:rsidR="005B0592" w:rsidRPr="005B0592" w:rsidP="005B0592" w14:paraId="65145038" w14:textId="058574E5">
      <w:r w:rsidRPr="005B0592">
        <w:rPr>
          <w:u w:val="single"/>
        </w:rPr>
        <w:t>Changes</w:t>
      </w:r>
      <w:r>
        <w:t>:</w:t>
      </w:r>
      <w:r w:rsidR="00CD6AB4">
        <w:t xml:space="preserve"> </w:t>
      </w:r>
      <w:r>
        <w:t xml:space="preserve"> </w:t>
      </w:r>
      <w:r w:rsidR="00B95B14">
        <w:t>No</w:t>
      </w:r>
      <w:r w:rsidR="008F6167">
        <w:t>ne</w:t>
      </w:r>
      <w:r w:rsidR="00B95B14">
        <w:t>.</w:t>
      </w:r>
    </w:p>
    <w:p w:rsidR="004F6D78" w:rsidRPr="00F5598F" w:rsidP="05A3406A" w14:paraId="24804911" w14:textId="237C162C">
      <w:pPr>
        <w:pStyle w:val="ListParagraph"/>
        <w:numPr>
          <w:ilvl w:val="0"/>
          <w:numId w:val="3"/>
        </w:numPr>
        <w:rPr>
          <w:b/>
        </w:rPr>
      </w:pPr>
      <w:r w:rsidRPr="05A3406A">
        <w:rPr>
          <w:b/>
        </w:rPr>
        <w:t>One commenter, a State Department of Education, objected to the</w:t>
      </w:r>
      <w:r w:rsidRPr="05A3406A" w:rsidR="008036AC">
        <w:rPr>
          <w:b/>
        </w:rPr>
        <w:t xml:space="preserve"> proposed request that States specify in their State plans the number of hours or credits (or other unit of measurement) of work-based learning that a graduating CTE concentrator must complete to be included in the numerator of the work-based learning secondary program quality indicator because </w:t>
      </w:r>
      <w:r w:rsidRPr="05A3406A" w:rsidR="00C52D1E">
        <w:rPr>
          <w:b/>
        </w:rPr>
        <w:t xml:space="preserve">the </w:t>
      </w:r>
      <w:r w:rsidRPr="05A3406A" w:rsidR="00FD325E">
        <w:rPr>
          <w:b/>
        </w:rPr>
        <w:t>State’s</w:t>
      </w:r>
      <w:r w:rsidRPr="05A3406A" w:rsidR="00C52D1E">
        <w:rPr>
          <w:b/>
        </w:rPr>
        <w:t xml:space="preserve"> administrative code authorize</w:t>
      </w:r>
      <w:r w:rsidRPr="05A3406A" w:rsidR="005F2FB6">
        <w:rPr>
          <w:b/>
        </w:rPr>
        <w:t>s</w:t>
      </w:r>
      <w:r w:rsidRPr="05A3406A" w:rsidR="00C52D1E">
        <w:rPr>
          <w:b/>
        </w:rPr>
        <w:t xml:space="preserve"> </w:t>
      </w:r>
      <w:r w:rsidRPr="05A3406A" w:rsidR="00B4215F">
        <w:rPr>
          <w:b/>
        </w:rPr>
        <w:t xml:space="preserve">local </w:t>
      </w:r>
      <w:r w:rsidRPr="05A3406A" w:rsidR="00E65991">
        <w:rPr>
          <w:b/>
        </w:rPr>
        <w:t xml:space="preserve">school districts </w:t>
      </w:r>
      <w:r w:rsidRPr="05A3406A" w:rsidR="00C52D1E">
        <w:rPr>
          <w:b/>
        </w:rPr>
        <w:t xml:space="preserve">to </w:t>
      </w:r>
      <w:r w:rsidRPr="05A3406A" w:rsidR="00E65991">
        <w:rPr>
          <w:b/>
        </w:rPr>
        <w:t xml:space="preserve">set a higher </w:t>
      </w:r>
      <w:r w:rsidRPr="05A3406A" w:rsidR="00FD325E">
        <w:rPr>
          <w:b/>
        </w:rPr>
        <w:t xml:space="preserve">or lower </w:t>
      </w:r>
      <w:r w:rsidRPr="05A3406A" w:rsidR="00A07680">
        <w:rPr>
          <w:b/>
        </w:rPr>
        <w:t>threshold</w:t>
      </w:r>
      <w:r w:rsidRPr="05A3406A" w:rsidR="00FD325E">
        <w:rPr>
          <w:b/>
        </w:rPr>
        <w:t xml:space="preserve"> than </w:t>
      </w:r>
      <w:r w:rsidRPr="05A3406A" w:rsidR="00E956CE">
        <w:rPr>
          <w:b/>
        </w:rPr>
        <w:t xml:space="preserve">the one </w:t>
      </w:r>
      <w:r w:rsidRPr="05A3406A" w:rsidR="00FD325E">
        <w:rPr>
          <w:b/>
        </w:rPr>
        <w:t>established by the State</w:t>
      </w:r>
      <w:r w:rsidRPr="05A3406A" w:rsidR="00D01692">
        <w:rPr>
          <w:b/>
        </w:rPr>
        <w:t xml:space="preserve">. </w:t>
      </w:r>
      <w:r w:rsidRPr="05A3406A" w:rsidR="00085096">
        <w:rPr>
          <w:b/>
        </w:rPr>
        <w:t xml:space="preserve"> The commenter was concerned that a</w:t>
      </w:r>
      <w:r w:rsidRPr="05A3406A" w:rsidR="000D1F9C">
        <w:rPr>
          <w:b/>
        </w:rPr>
        <w:t xml:space="preserve"> State-defined threshold could “inadvertently exclude” CTE concentrators </w:t>
      </w:r>
      <w:r w:rsidRPr="05A3406A" w:rsidR="00EA31F9">
        <w:rPr>
          <w:b/>
        </w:rPr>
        <w:t xml:space="preserve">who participated in work-based learning </w:t>
      </w:r>
      <w:r w:rsidRPr="05A3406A" w:rsidR="00182094">
        <w:rPr>
          <w:b/>
        </w:rPr>
        <w:t>“</w:t>
      </w:r>
      <w:r w:rsidRPr="05A3406A" w:rsidR="00EA31F9">
        <w:rPr>
          <w:b/>
        </w:rPr>
        <w:t xml:space="preserve">because their district has a higher or lower </w:t>
      </w:r>
      <w:r w:rsidRPr="05A3406A" w:rsidR="00182094">
        <w:rPr>
          <w:b/>
        </w:rPr>
        <w:t xml:space="preserve">number of required hours.” </w:t>
      </w:r>
    </w:p>
    <w:p w:rsidR="005B0592" w:rsidP="005B0592" w14:paraId="1B2D8AD8" w14:textId="560A6C76">
      <w:r>
        <w:rPr>
          <w:u w:val="single"/>
        </w:rPr>
        <w:t>Response</w:t>
      </w:r>
      <w:r>
        <w:t>:</w:t>
      </w:r>
      <w:r w:rsidR="002652A7">
        <w:t xml:space="preserve"> </w:t>
      </w:r>
      <w:r w:rsidR="00903D5E">
        <w:t xml:space="preserve"> </w:t>
      </w:r>
      <w:r w:rsidRPr="00987EC1" w:rsidR="00226F20">
        <w:t xml:space="preserve">We </w:t>
      </w:r>
      <w:r w:rsidRPr="00987EC1" w:rsidR="57F894C6">
        <w:t>understand</w:t>
      </w:r>
      <w:r w:rsidRPr="00987EC1" w:rsidR="00226F20">
        <w:t xml:space="preserve"> the commenter’s </w:t>
      </w:r>
      <w:r w:rsidRPr="00987EC1" w:rsidR="57F894C6">
        <w:t>desire to include all students who participate in work-based learning in the numerator.  A State has discretion to set the threshold at whatever level it deems appropriate.  We are proposing to request that the State identify this threshold in its CAR submission</w:t>
      </w:r>
      <w:r w:rsidR="008712FE">
        <w:t xml:space="preserve">, which we </w:t>
      </w:r>
      <w:r w:rsidR="00040E8D">
        <w:t xml:space="preserve">previously </w:t>
      </w:r>
      <w:r w:rsidR="008712FE">
        <w:t xml:space="preserve">proposed as part of </w:t>
      </w:r>
      <w:r w:rsidR="00040E8D">
        <w:t>its State Plan Guide</w:t>
      </w:r>
      <w:r w:rsidR="57F894C6">
        <w:t>.</w:t>
      </w:r>
      <w:r w:rsidRPr="56DE4324" w:rsidR="57F894C6">
        <w:rPr>
          <w:rFonts w:ascii="Segoe UI" w:eastAsia="Segoe UI" w:hAnsi="Segoe UI" w:cs="Segoe UI"/>
          <w:color w:val="333333"/>
          <w:sz w:val="18"/>
          <w:szCs w:val="18"/>
        </w:rPr>
        <w:t xml:space="preserve"> </w:t>
      </w:r>
      <w:r w:rsidR="002652A7">
        <w:t xml:space="preserve"> </w:t>
      </w:r>
    </w:p>
    <w:p w:rsidR="005B0592" w:rsidRPr="005B0592" w:rsidP="005B0592" w14:paraId="3D343F56" w14:textId="58008B9C">
      <w:r w:rsidRPr="005B0592">
        <w:rPr>
          <w:u w:val="single"/>
        </w:rPr>
        <w:t>Changes</w:t>
      </w:r>
      <w:r>
        <w:t xml:space="preserve">: </w:t>
      </w:r>
      <w:r w:rsidR="00903D5E">
        <w:t xml:space="preserve"> </w:t>
      </w:r>
      <w:r w:rsidRPr="007202D3" w:rsidR="007202D3">
        <w:t>As described in the response to #3, we are proposing to remove all of the proposed new narrative items from the State Plan Guide, including the proposed request that States specify in their State plans the number of hours or credits (or other unit of measurement) of work-based learning that a graduating CTE concentrator must complete to be included in the numerator of the work-based learning secondary program quality indicator, and intend to propose to include them in the CAR ICR (1830-0569) instead</w:t>
      </w:r>
      <w:r w:rsidR="007202D3">
        <w:t>.</w:t>
      </w:r>
    </w:p>
    <w:p w:rsidR="00BC631A" w:rsidRPr="00713243" w:rsidP="00357105" w14:paraId="5FB331DB" w14:textId="3C36F0D8">
      <w:pPr>
        <w:rPr>
          <w:u w:val="single"/>
        </w:rPr>
      </w:pPr>
      <w:r>
        <w:rPr>
          <w:u w:val="single"/>
        </w:rPr>
        <w:t xml:space="preserve">Definition of </w:t>
      </w:r>
      <w:r w:rsidRPr="00713243" w:rsidR="00713243">
        <w:rPr>
          <w:u w:val="single"/>
        </w:rPr>
        <w:t xml:space="preserve">“Meaningful </w:t>
      </w:r>
      <w:r>
        <w:rPr>
          <w:u w:val="single"/>
        </w:rPr>
        <w:t>P</w:t>
      </w:r>
      <w:r w:rsidRPr="00713243" w:rsidR="00713243">
        <w:rPr>
          <w:u w:val="single"/>
        </w:rPr>
        <w:t>rogress”</w:t>
      </w:r>
      <w:r w:rsidR="00CE6B70">
        <w:rPr>
          <w:u w:val="single"/>
        </w:rPr>
        <w:t xml:space="preserve"> (Item D.8.ii on page 22)</w:t>
      </w:r>
    </w:p>
    <w:p w:rsidR="00A001A5" w:rsidRPr="00F5598F" w:rsidP="5BB4385C" w14:paraId="49488634" w14:textId="1DE5A6F8">
      <w:pPr>
        <w:pStyle w:val="ListParagraph"/>
        <w:numPr>
          <w:ilvl w:val="0"/>
          <w:numId w:val="3"/>
        </w:numPr>
        <w:rPr>
          <w:b/>
        </w:rPr>
      </w:pPr>
      <w:r w:rsidRPr="5BB4385C">
        <w:rPr>
          <w:b/>
        </w:rPr>
        <w:t xml:space="preserve">Several commenters </w:t>
      </w:r>
      <w:r w:rsidRPr="5BB4385C" w:rsidR="00E369C5">
        <w:rPr>
          <w:b/>
        </w:rPr>
        <w:t xml:space="preserve">expressed opposition to the proposed request that States provide their definitions of “meaningful progress” and how each of the State-determined performance </w:t>
      </w:r>
      <w:r w:rsidRPr="5BB4385C" w:rsidR="00E369C5">
        <w:rPr>
          <w:b/>
        </w:rPr>
        <w:t xml:space="preserve">levels satisfy that definition. </w:t>
      </w:r>
      <w:r w:rsidRPr="5BB4385C" w:rsidR="007F73C7">
        <w:rPr>
          <w:b/>
        </w:rPr>
        <w:t xml:space="preserve"> One commenter described it as an “overly prescriptive mandate.”</w:t>
      </w:r>
      <w:r w:rsidRPr="5BB4385C" w:rsidR="00606AAF">
        <w:rPr>
          <w:b/>
        </w:rPr>
        <w:t xml:space="preserve"> Another noted that the proposed request was “problematic” because </w:t>
      </w:r>
      <w:r w:rsidRPr="5BB4385C" w:rsidR="002A312F">
        <w:rPr>
          <w:b/>
        </w:rPr>
        <w:t xml:space="preserve">its State determined performance levels “have a variety of growth targets based on existing </w:t>
      </w:r>
      <w:r w:rsidRPr="11511B67" w:rsidR="00B8359E">
        <w:rPr>
          <w:b/>
        </w:rPr>
        <w:t>performance and potential for growth</w:t>
      </w:r>
      <w:r w:rsidRPr="11511B67" w:rsidR="00542EA1">
        <w:rPr>
          <w:b/>
        </w:rPr>
        <w:t>.</w:t>
      </w:r>
      <w:r w:rsidRPr="11511B67" w:rsidR="00B8359E">
        <w:rPr>
          <w:b/>
        </w:rPr>
        <w:t>”</w:t>
      </w:r>
      <w:r w:rsidRPr="11511B67" w:rsidR="00542EA1">
        <w:rPr>
          <w:b/>
        </w:rPr>
        <w:t xml:space="preserve"> </w:t>
      </w:r>
      <w:r w:rsidR="00123C4D">
        <w:rPr>
          <w:b/>
        </w:rPr>
        <w:t xml:space="preserve"> </w:t>
      </w:r>
      <w:r w:rsidRPr="11511B67" w:rsidR="00542EA1">
        <w:rPr>
          <w:b/>
        </w:rPr>
        <w:t xml:space="preserve">It noted that </w:t>
      </w:r>
      <w:r w:rsidRPr="11511B67" w:rsidR="00AD68CC">
        <w:rPr>
          <w:b/>
        </w:rPr>
        <w:t>“there is not as much room for improvement in graduation rates as there is in work-based learning</w:t>
      </w:r>
      <w:r w:rsidRPr="11511B67">
        <w:rPr>
          <w:b/>
        </w:rPr>
        <w:t xml:space="preserve"> participation.”</w:t>
      </w:r>
      <w:r w:rsidRPr="11511B67" w:rsidR="00AD4E10">
        <w:rPr>
          <w:b/>
        </w:rPr>
        <w:t xml:space="preserve"> </w:t>
      </w:r>
      <w:r w:rsidR="00123C4D">
        <w:rPr>
          <w:b/>
        </w:rPr>
        <w:t xml:space="preserve"> </w:t>
      </w:r>
      <w:r w:rsidRPr="11511B67" w:rsidR="00AD4E10">
        <w:rPr>
          <w:b/>
        </w:rPr>
        <w:t xml:space="preserve">Two other commenters </w:t>
      </w:r>
      <w:r w:rsidRPr="11511B67" w:rsidR="008E6AB4">
        <w:rPr>
          <w:b/>
        </w:rPr>
        <w:t xml:space="preserve">expressed concern that </w:t>
      </w:r>
      <w:r w:rsidRPr="11511B67" w:rsidR="004F7A0E">
        <w:rPr>
          <w:b/>
        </w:rPr>
        <w:t>asking States to provide this information impinged on a State’s exclusive authority to determine its performance levels.</w:t>
      </w:r>
      <w:r w:rsidRPr="11511B67" w:rsidR="00292A55">
        <w:rPr>
          <w:b/>
        </w:rPr>
        <w:t xml:space="preserve"> </w:t>
      </w:r>
    </w:p>
    <w:p w:rsidR="00B27910" w:rsidRPr="005B0592" w:rsidP="001566B2" w14:paraId="3170F688" w14:textId="16154E7C">
      <w:pPr>
        <w:tabs>
          <w:tab w:val="left" w:pos="5500"/>
        </w:tabs>
      </w:pPr>
      <w:r>
        <w:rPr>
          <w:u w:val="single"/>
        </w:rPr>
        <w:t>Response</w:t>
      </w:r>
      <w:r>
        <w:t>:</w:t>
      </w:r>
      <w:r w:rsidR="004F7A0E">
        <w:t xml:space="preserve"> </w:t>
      </w:r>
      <w:r w:rsidR="00123C4D">
        <w:t xml:space="preserve"> </w:t>
      </w:r>
      <w:r w:rsidR="004F7A0E">
        <w:t xml:space="preserve">We </w:t>
      </w:r>
      <w:r w:rsidR="00246E12">
        <w:t>understand the concerns</w:t>
      </w:r>
      <w:r w:rsidR="00D41E41">
        <w:t xml:space="preserve"> </w:t>
      </w:r>
      <w:r>
        <w:t xml:space="preserve">about </w:t>
      </w:r>
      <w:r w:rsidR="00DA7C1A">
        <w:t xml:space="preserve">explaining </w:t>
      </w:r>
      <w:r w:rsidR="00950C83">
        <w:t xml:space="preserve">how each State-determined performance level </w:t>
      </w:r>
      <w:r w:rsidR="00A8581E">
        <w:t>“</w:t>
      </w:r>
      <w:r w:rsidRPr="00225CAC" w:rsidR="00225CAC">
        <w:t>require</w:t>
      </w:r>
      <w:r w:rsidR="00147D92">
        <w:t>[s]</w:t>
      </w:r>
      <w:r w:rsidRPr="00225CAC" w:rsidR="00225CAC">
        <w:t xml:space="preserve"> the State to continually make </w:t>
      </w:r>
      <w:r w:rsidR="00A8581E">
        <w:t>meaningful progress</w:t>
      </w:r>
      <w:r w:rsidRPr="00225CAC" w:rsidR="00225CAC">
        <w:t xml:space="preserve"> toward improving the performance of all career and technical education students</w:t>
      </w:r>
      <w:r w:rsidR="00B94080">
        <w:t>”</w:t>
      </w:r>
      <w:r w:rsidRPr="00B94080" w:rsidR="00B94080">
        <w:t xml:space="preserve"> </w:t>
      </w:r>
      <w:r w:rsidR="00B94080">
        <w:t xml:space="preserve">Section 113(b)(3)(A)(i)(III)(bb) of Perkins V. </w:t>
      </w:r>
      <w:r w:rsidR="00123C4D">
        <w:t xml:space="preserve"> </w:t>
      </w:r>
      <w:r>
        <w:t>Perkins V holds all States accountable for 10 core indicators of performance</w:t>
      </w:r>
      <w:r w:rsidR="00E042CE">
        <w:t>,</w:t>
      </w:r>
      <w:r>
        <w:t xml:space="preserve"> and States have the option to include</w:t>
      </w:r>
      <w:r w:rsidR="00152AD2">
        <w:t>,</w:t>
      </w:r>
      <w:r>
        <w:t xml:space="preserve"> in their State Plans</w:t>
      </w:r>
      <w:r w:rsidR="00152AD2">
        <w:t>,</w:t>
      </w:r>
      <w:r>
        <w:t xml:space="preserve"> </w:t>
      </w:r>
      <w:r w:rsidR="00E8659D">
        <w:t xml:space="preserve">State-determined performance levels for the extended-year adjusted cohort </w:t>
      </w:r>
      <w:r w:rsidR="00121C96">
        <w:t>graduation rate (1S2)</w:t>
      </w:r>
      <w:r w:rsidR="00E8659D">
        <w:t xml:space="preserve"> </w:t>
      </w:r>
      <w:r>
        <w:t>an</w:t>
      </w:r>
      <w:r w:rsidR="00EB36A4">
        <w:t xml:space="preserve">d as many secondary program quality </w:t>
      </w:r>
      <w:r>
        <w:t xml:space="preserve">performance indicators </w:t>
      </w:r>
      <w:r w:rsidR="00EB36A4">
        <w:t xml:space="preserve">as </w:t>
      </w:r>
      <w:r w:rsidR="002342F3">
        <w:t>they</w:t>
      </w:r>
      <w:r w:rsidR="00EB36A4">
        <w:t xml:space="preserve"> </w:t>
      </w:r>
      <w:r w:rsidR="006F2239">
        <w:t>choose</w:t>
      </w:r>
      <w:r w:rsidR="000572A0">
        <w:t xml:space="preserve">. </w:t>
      </w:r>
      <w:r w:rsidR="00123C4D">
        <w:t xml:space="preserve"> </w:t>
      </w:r>
      <w:r>
        <w:t xml:space="preserve">State performance on each of these indicators varies considerably.  </w:t>
      </w:r>
      <w:r w:rsidR="00834E2A">
        <w:t xml:space="preserve">Section 113(b)(3)(A)(i)(III)(bb) also requires States to address and factor into their considerations of </w:t>
      </w:r>
      <w:r w:rsidR="000926D9">
        <w:t>“</w:t>
      </w:r>
      <w:r w:rsidR="00834E2A">
        <w:t>meaningful progress</w:t>
      </w:r>
      <w:r w:rsidR="000926D9">
        <w:t>”</w:t>
      </w:r>
      <w:r w:rsidR="00834E2A">
        <w:t xml:space="preserve"> the performance of the subgroups </w:t>
      </w:r>
      <w:r w:rsidRPr="004164DA" w:rsidR="00834E2A">
        <w:t xml:space="preserve">described in section 1111(h)(1)(C)(ii) of </w:t>
      </w:r>
      <w:r w:rsidR="00834E2A">
        <w:t xml:space="preserve">ESEA and the nine subgroups of </w:t>
      </w:r>
      <w:r w:rsidR="000926D9">
        <w:t>“</w:t>
      </w:r>
      <w:r w:rsidRPr="004164DA" w:rsidR="00834E2A">
        <w:t>special populations</w:t>
      </w:r>
      <w:r w:rsidR="000926D9">
        <w:t>”</w:t>
      </w:r>
      <w:r w:rsidR="00834E2A">
        <w:t xml:space="preserve"> identified in </w:t>
      </w:r>
      <w:r w:rsidRPr="004164DA" w:rsidR="00834E2A">
        <w:t>section 3(48)</w:t>
      </w:r>
      <w:r w:rsidR="00834E2A">
        <w:t xml:space="preserve"> of Perkins V.</w:t>
      </w:r>
      <w:r w:rsidR="001566B2">
        <w:t xml:space="preserve"> </w:t>
      </w:r>
      <w:r w:rsidR="00123C4D">
        <w:t xml:space="preserve"> </w:t>
      </w:r>
      <w:r w:rsidR="00DB40CC">
        <w:t xml:space="preserve">After considering these comments, we </w:t>
      </w:r>
      <w:r w:rsidR="00123C4D">
        <w:t>believe</w:t>
      </w:r>
      <w:r w:rsidR="00DB40CC">
        <w:t xml:space="preserve"> that </w:t>
      </w:r>
      <w:r w:rsidR="00020411">
        <w:t>requiring States to provide</w:t>
      </w:r>
      <w:r w:rsidR="00875C38">
        <w:t xml:space="preserve"> a</w:t>
      </w:r>
      <w:r>
        <w:t xml:space="preserve"> definition of “meaningful progress” and explain</w:t>
      </w:r>
      <w:r w:rsidR="00E1585A">
        <w:t xml:space="preserve"> </w:t>
      </w:r>
      <w:r>
        <w:t xml:space="preserve">how each </w:t>
      </w:r>
      <w:r w:rsidR="00875C38">
        <w:t xml:space="preserve">of </w:t>
      </w:r>
      <w:r w:rsidR="00D50390">
        <w:t xml:space="preserve">the </w:t>
      </w:r>
      <w:r>
        <w:t xml:space="preserve">State-determined performance </w:t>
      </w:r>
      <w:r w:rsidR="004D1685">
        <w:t xml:space="preserve">levels </w:t>
      </w:r>
      <w:r>
        <w:t xml:space="preserve">satisfies </w:t>
      </w:r>
      <w:r w:rsidR="00875C38">
        <w:t xml:space="preserve">this definition </w:t>
      </w:r>
      <w:r w:rsidR="00C433D2">
        <w:t xml:space="preserve">and </w:t>
      </w:r>
      <w:r w:rsidR="00B05123">
        <w:t xml:space="preserve">how the State took </w:t>
      </w:r>
      <w:r w:rsidR="000926D9">
        <w:t xml:space="preserve">into consideration the performance of student subgroups </w:t>
      </w:r>
      <w:r w:rsidR="00A0152B">
        <w:t>could be more burdensome for States than necessary at this time</w:t>
      </w:r>
      <w:r w:rsidR="008C2937">
        <w:t>.</w:t>
      </w:r>
      <w:r w:rsidR="00064B5F">
        <w:t xml:space="preserve"> </w:t>
      </w:r>
      <w:r w:rsidR="00027BE7">
        <w:t xml:space="preserve"> </w:t>
      </w:r>
      <w:r w:rsidR="00027BE7">
        <w:t xml:space="preserve">We will continue to ask </w:t>
      </w:r>
      <w:r w:rsidR="006E4310">
        <w:t>States about how they are meeting the statutory requirements in</w:t>
      </w:r>
      <w:r w:rsidR="006C4ABB">
        <w:t xml:space="preserve"> section</w:t>
      </w:r>
      <w:r w:rsidR="006E4310">
        <w:t xml:space="preserve"> 113(b)(3)(A)(i)(III)</w:t>
      </w:r>
      <w:r w:rsidR="0083438D">
        <w:t xml:space="preserve"> </w:t>
      </w:r>
      <w:r w:rsidR="00841ED9">
        <w:t xml:space="preserve">consistent with </w:t>
      </w:r>
      <w:r w:rsidR="0093660D">
        <w:t>the original</w:t>
      </w:r>
      <w:r w:rsidR="00841ED9">
        <w:t xml:space="preserve"> State </w:t>
      </w:r>
      <w:r w:rsidR="00F81009">
        <w:t>P</w:t>
      </w:r>
      <w:r w:rsidR="00841ED9">
        <w:t xml:space="preserve">lan </w:t>
      </w:r>
      <w:r w:rsidR="001B55C5">
        <w:t>G</w:t>
      </w:r>
      <w:r w:rsidR="00841ED9">
        <w:t>uide</w:t>
      </w:r>
      <w:r w:rsidR="009F2C91">
        <w:t xml:space="preserve"> </w:t>
      </w:r>
      <w:r w:rsidR="0083438D">
        <w:t xml:space="preserve">and </w:t>
      </w:r>
      <w:r w:rsidR="001B55C5">
        <w:t xml:space="preserve">will </w:t>
      </w:r>
      <w:r w:rsidR="00843CEF">
        <w:t xml:space="preserve">continue to </w:t>
      </w:r>
      <w:r w:rsidR="001B55C5">
        <w:t xml:space="preserve">work with States </w:t>
      </w:r>
      <w:r w:rsidR="00020411">
        <w:t>on “meaningful progress”</w:t>
      </w:r>
      <w:r w:rsidR="0083438D">
        <w:t xml:space="preserve"> through our program monitoring activities. </w:t>
      </w:r>
    </w:p>
    <w:p w:rsidR="005B0592" w:rsidRPr="005B0592" w:rsidP="005B0592" w14:paraId="5734D4D3" w14:textId="78D34D1A">
      <w:r w:rsidRPr="005B0592">
        <w:rPr>
          <w:u w:val="single"/>
        </w:rPr>
        <w:t>Changes</w:t>
      </w:r>
      <w:r>
        <w:t xml:space="preserve">: </w:t>
      </w:r>
      <w:r w:rsidR="00123C4D">
        <w:t xml:space="preserve"> </w:t>
      </w:r>
      <w:r w:rsidRPr="007202D3" w:rsidR="004A7525">
        <w:t xml:space="preserve">As described in the response to #3, </w:t>
      </w:r>
      <w:r w:rsidR="004A7525">
        <w:t>w</w:t>
      </w:r>
      <w:r w:rsidR="00D41E41">
        <w:t xml:space="preserve">e </w:t>
      </w:r>
      <w:r w:rsidR="004A7525">
        <w:t>propose to</w:t>
      </w:r>
      <w:r w:rsidR="00D41E41">
        <w:t xml:space="preserve"> remove the </w:t>
      </w:r>
      <w:r w:rsidR="00F134EE">
        <w:t>proposed additional</w:t>
      </w:r>
      <w:r w:rsidR="00B21D78">
        <w:t xml:space="preserve"> </w:t>
      </w:r>
      <w:r w:rsidR="00D41E41">
        <w:t xml:space="preserve">request for information about </w:t>
      </w:r>
      <w:r w:rsidR="00AC70EB">
        <w:t xml:space="preserve">the definition of </w:t>
      </w:r>
      <w:r w:rsidR="00D41E41">
        <w:t xml:space="preserve">“meaningful progress” </w:t>
      </w:r>
      <w:r w:rsidR="00B21D78">
        <w:t xml:space="preserve">and </w:t>
      </w:r>
      <w:r w:rsidR="00805F3A">
        <w:t xml:space="preserve">will retain the </w:t>
      </w:r>
      <w:r w:rsidR="002B32A1">
        <w:t>original</w:t>
      </w:r>
      <w:r w:rsidR="00805F3A">
        <w:t xml:space="preserve"> State Plan Guide question that asks States to describe how they meet section 113(b)(3)(A)(i)(III).  </w:t>
      </w:r>
    </w:p>
    <w:p w:rsidR="00357105" w:rsidP="00357105" w14:paraId="52DF7E46" w14:textId="28EDDFF3">
      <w:r w:rsidRPr="006344E1">
        <w:rPr>
          <w:i/>
          <w:iCs/>
        </w:rPr>
        <w:t>Data Specifications</w:t>
      </w:r>
      <w:r w:rsidR="00C76A68">
        <w:rPr>
          <w:i/>
          <w:iCs/>
        </w:rPr>
        <w:t xml:space="preserve"> for </w:t>
      </w:r>
      <w:r w:rsidR="00BD04CD">
        <w:rPr>
          <w:i/>
          <w:iCs/>
        </w:rPr>
        <w:t>Core Indicators of Performance</w:t>
      </w:r>
      <w:r w:rsidR="00A571A1">
        <w:rPr>
          <w:i/>
          <w:iCs/>
        </w:rPr>
        <w:t xml:space="preserve"> (Table </w:t>
      </w:r>
      <w:r w:rsidRPr="56C46550" w:rsidR="00E573C7">
        <w:rPr>
          <w:i/>
          <w:iCs/>
        </w:rPr>
        <w:t>2</w:t>
      </w:r>
      <w:r w:rsidR="00A571A1">
        <w:rPr>
          <w:i/>
          <w:iCs/>
        </w:rPr>
        <w:t>, pages 31 to 38)</w:t>
      </w:r>
    </w:p>
    <w:p w:rsidR="00357105" w:rsidRPr="00C847B6" w:rsidP="00357105" w14:paraId="62FC3312" w14:textId="4AEA9F81">
      <w:pPr>
        <w:rPr>
          <w:u w:val="single"/>
        </w:rPr>
      </w:pPr>
      <w:r>
        <w:rPr>
          <w:u w:val="single"/>
        </w:rPr>
        <w:t xml:space="preserve">Assuring </w:t>
      </w:r>
      <w:r w:rsidRPr="00C847B6">
        <w:rPr>
          <w:u w:val="single"/>
        </w:rPr>
        <w:t xml:space="preserve">Compliance with Statutory Provisions </w:t>
      </w:r>
    </w:p>
    <w:p w:rsidR="00357105" w:rsidRPr="00F5598F" w:rsidP="3A43F98B" w14:paraId="00402C1C" w14:textId="6520FCEE">
      <w:pPr>
        <w:pStyle w:val="ListParagraph"/>
        <w:numPr>
          <w:ilvl w:val="0"/>
          <w:numId w:val="3"/>
        </w:numPr>
        <w:rPr>
          <w:b/>
        </w:rPr>
      </w:pPr>
      <w:r w:rsidRPr="5BB4385C">
        <w:rPr>
          <w:b/>
        </w:rPr>
        <w:t xml:space="preserve">Several commenters urged the Department to address instances in which States were not measuring the core indicators of performance individually with </w:t>
      </w:r>
      <w:r w:rsidR="00965734">
        <w:rPr>
          <w:b/>
        </w:rPr>
        <w:t xml:space="preserve">those </w:t>
      </w:r>
      <w:r w:rsidRPr="5BB4385C">
        <w:rPr>
          <w:b/>
        </w:rPr>
        <w:t xml:space="preserve">States </w:t>
      </w:r>
      <w:r w:rsidRPr="5BB4385C" w:rsidR="001913A0">
        <w:rPr>
          <w:b/>
        </w:rPr>
        <w:t>through technical assistance</w:t>
      </w:r>
      <w:r w:rsidR="00965734">
        <w:rPr>
          <w:b/>
        </w:rPr>
        <w:t>,</w:t>
      </w:r>
      <w:r w:rsidRPr="5BB4385C" w:rsidR="001913A0">
        <w:rPr>
          <w:b/>
        </w:rPr>
        <w:t xml:space="preserve"> </w:t>
      </w:r>
      <w:r w:rsidRPr="5BB4385C">
        <w:rPr>
          <w:b/>
        </w:rPr>
        <w:t xml:space="preserve">instead of providing data specifications for the numerators and denominators that would be used by all States.  </w:t>
      </w:r>
      <w:r w:rsidRPr="5BB4385C" w:rsidR="00A75B68">
        <w:rPr>
          <w:b/>
        </w:rPr>
        <w:t xml:space="preserve"> </w:t>
      </w:r>
    </w:p>
    <w:p w:rsidR="00357105" w:rsidP="00357105" w14:paraId="38E8D73C" w14:textId="46962480">
      <w:r w:rsidRPr="000B564F">
        <w:rPr>
          <w:u w:val="single"/>
        </w:rPr>
        <w:t>Response</w:t>
      </w:r>
      <w:r>
        <w:t xml:space="preserve">:  The Department’s </w:t>
      </w:r>
      <w:r w:rsidRPr="002D4513">
        <w:t xml:space="preserve">goal is to provide better support to </w:t>
      </w:r>
      <w:r>
        <w:t xml:space="preserve">all </w:t>
      </w:r>
      <w:r w:rsidRPr="002D4513">
        <w:t xml:space="preserve">States in measuring the core indicators of performance according to what the law requires. </w:t>
      </w:r>
      <w:r w:rsidR="00AD2EDD">
        <w:t xml:space="preserve"> </w:t>
      </w:r>
      <w:r w:rsidRPr="002D4513">
        <w:t xml:space="preserve">When the Department first solicited State plans in 2019, it provided States with only the text of the law. </w:t>
      </w:r>
      <w:r w:rsidR="002C0EC6">
        <w:t xml:space="preserve"> </w:t>
      </w:r>
      <w:r w:rsidRPr="002D4513">
        <w:t>After reviewing three years of State performance data, along with information from States about how they have been calculating performance</w:t>
      </w:r>
      <w:r w:rsidR="006B57D5">
        <w:t xml:space="preserve"> in 2022</w:t>
      </w:r>
      <w:r w:rsidRPr="002D4513">
        <w:t xml:space="preserve">, we concluded that States need clearer specifications for the data to be </w:t>
      </w:r>
      <w:r w:rsidR="0026780B">
        <w:t xml:space="preserve">usable </w:t>
      </w:r>
      <w:r w:rsidRPr="002D4513">
        <w:t>in calculating the core indicators so that their performance measurement is fully aligned with the law</w:t>
      </w:r>
      <w:r>
        <w:t>.</w:t>
      </w:r>
      <w:r w:rsidRPr="002D4513">
        <w:t xml:space="preserve"> </w:t>
      </w:r>
      <w:r w:rsidR="002C0EC6">
        <w:t xml:space="preserve"> </w:t>
      </w:r>
      <w:r w:rsidRPr="002D4513">
        <w:t>To that end, in the State Plan Guide and in the CAR</w:t>
      </w:r>
      <w:r w:rsidR="00B44E2A">
        <w:t xml:space="preserve"> ICR</w:t>
      </w:r>
      <w:r w:rsidRPr="002D4513">
        <w:t xml:space="preserve">, we are proposing data specifications for the numerators and denominators used to measure the core indicators of performance to assure that we report </w:t>
      </w:r>
      <w:r w:rsidR="007C1EEF">
        <w:t xml:space="preserve">accurate </w:t>
      </w:r>
      <w:r w:rsidRPr="002D4513">
        <w:t>program data to Congress as the law requires.</w:t>
      </w:r>
    </w:p>
    <w:p w:rsidR="00357105" w:rsidP="00357105" w14:paraId="5795E0F4" w14:textId="09A6161D">
      <w:r>
        <w:t>The Department has and will continue to t</w:t>
      </w:r>
      <w:r w:rsidR="00EA449E">
        <w:t>ailor techni</w:t>
      </w:r>
      <w:r w:rsidR="00F0622D">
        <w:t>cal assistance</w:t>
      </w:r>
      <w:r>
        <w:t xml:space="preserve"> to </w:t>
      </w:r>
      <w:r w:rsidR="00F0622D">
        <w:t>individual State needs</w:t>
      </w:r>
      <w:r w:rsidR="00A85382">
        <w:t>.</w:t>
      </w:r>
      <w:r>
        <w:t xml:space="preserve">  However, </w:t>
      </w:r>
      <w:r w:rsidR="0014227B">
        <w:t>a sampling of</w:t>
      </w:r>
      <w:r>
        <w:t xml:space="preserve"> how States are measuring several of the indicators </w:t>
      </w:r>
      <w:r w:rsidR="00774F7D">
        <w:t xml:space="preserve">in their CAR submissions </w:t>
      </w:r>
      <w:r w:rsidR="00207397">
        <w:t xml:space="preserve">has demonstrated that </w:t>
      </w:r>
      <w:r w:rsidR="008B207C">
        <w:t xml:space="preserve">more clarity is necessary in order to comply with </w:t>
      </w:r>
      <w:r w:rsidR="00297117">
        <w:t>section 113(b)</w:t>
      </w:r>
      <w:r w:rsidR="00991E39">
        <w:t>(2)(A)</w:t>
      </w:r>
      <w:r w:rsidR="008B207C">
        <w:t>.</w:t>
      </w:r>
      <w:r>
        <w:t xml:space="preserve"> </w:t>
      </w:r>
      <w:r w:rsidR="007B00C6">
        <w:t xml:space="preserve"> </w:t>
      </w:r>
      <w:r>
        <w:t xml:space="preserve">For example, for the 2022-23 reporting year, it appears that seven States are reporting on the academic proficiency (2S1, 2S2, 2S3) of CTE concentrators who graduated from high school only, excluding from their calculation those CTE concentrators who exited secondary school without graduating, and at least seven are excluding from their measurement of the indicator the scores of CTE concentrators who did not attend the same school within a local educational agency (LEA) for at least half of a school year.  Similarly, at least 18 States appear to have reported only on the post-program outcomes of CTE concentrators (3S1) who graduated from high school, excluding CTE concentrators who exited from secondary education without graduating.  </w:t>
      </w:r>
      <w:r w:rsidR="00CB75B4">
        <w:t>Clearly specifying the data to be used by States to calculate performance is a reasonable response to this lack of clarity in order to ensure compliance with</w:t>
      </w:r>
      <w:r w:rsidR="0049428F">
        <w:t xml:space="preserve"> </w:t>
      </w:r>
      <w:r w:rsidR="1D373320">
        <w:t>sections 113(b)(2)(A-B) of Perkins V</w:t>
      </w:r>
      <w:r w:rsidR="00CB75B4">
        <w:t>.</w:t>
      </w:r>
    </w:p>
    <w:p w:rsidR="005B0592" w:rsidP="005B0592" w14:paraId="2BFDD221" w14:textId="3524AB47">
      <w:r w:rsidRPr="000B564F">
        <w:rPr>
          <w:u w:val="single"/>
        </w:rPr>
        <w:t>Changes</w:t>
      </w:r>
      <w:r>
        <w:t xml:space="preserve">: </w:t>
      </w:r>
      <w:r w:rsidR="009039B6">
        <w:t xml:space="preserve"> </w:t>
      </w:r>
      <w:r>
        <w:t xml:space="preserve">None. </w:t>
      </w:r>
    </w:p>
    <w:p w:rsidR="00CF2350" w:rsidRPr="007C7F46" w:rsidP="3A43F98B" w14:paraId="227CD7EE" w14:textId="6D0D556B">
      <w:pPr>
        <w:pStyle w:val="ListParagraph"/>
        <w:numPr>
          <w:ilvl w:val="0"/>
          <w:numId w:val="3"/>
        </w:numPr>
        <w:rPr>
          <w:b/>
        </w:rPr>
      </w:pPr>
      <w:r w:rsidRPr="5BB4385C">
        <w:rPr>
          <w:b/>
        </w:rPr>
        <w:t xml:space="preserve">Two commenters </w:t>
      </w:r>
      <w:r w:rsidRPr="5BB4385C" w:rsidR="00777870">
        <w:rPr>
          <w:b/>
        </w:rPr>
        <w:t xml:space="preserve">expressed concern </w:t>
      </w:r>
      <w:r w:rsidRPr="5BB4385C" w:rsidR="004077A5">
        <w:rPr>
          <w:b/>
        </w:rPr>
        <w:t xml:space="preserve">that the Department </w:t>
      </w:r>
      <w:r w:rsidRPr="5BB4385C" w:rsidR="00C01ABD">
        <w:rPr>
          <w:b/>
        </w:rPr>
        <w:t xml:space="preserve">reports </w:t>
      </w:r>
      <w:r w:rsidRPr="5BB4385C" w:rsidR="004077A5">
        <w:rPr>
          <w:b/>
        </w:rPr>
        <w:t xml:space="preserve">in the supporting statement in several instances that </w:t>
      </w:r>
      <w:r w:rsidRPr="5BB4385C" w:rsidR="00C01ABD">
        <w:rPr>
          <w:b/>
        </w:rPr>
        <w:t>“it appears” that “</w:t>
      </w:r>
      <w:r w:rsidRPr="5BB4385C" w:rsidR="004077A5">
        <w:rPr>
          <w:b/>
        </w:rPr>
        <w:t xml:space="preserve">some </w:t>
      </w:r>
      <w:r w:rsidRPr="5BB4385C" w:rsidR="00C01ABD">
        <w:rPr>
          <w:b/>
        </w:rPr>
        <w:t>States” are not measuring a core indicator in a manner consistent with the statute.</w:t>
      </w:r>
      <w:r w:rsidRPr="5BB4385C" w:rsidR="00F73EAB">
        <w:rPr>
          <w:b/>
        </w:rPr>
        <w:t xml:space="preserve">  The commenters questioned </w:t>
      </w:r>
      <w:r w:rsidRPr="5BB4385C" w:rsidR="00BA1647">
        <w:rPr>
          <w:b/>
        </w:rPr>
        <w:t xml:space="preserve">why the Department was justified in proposing the data specifications </w:t>
      </w:r>
      <w:r w:rsidRPr="5BB4385C" w:rsidR="00520D68">
        <w:rPr>
          <w:b/>
        </w:rPr>
        <w:t>“if the underlying issues and challenges these changes are seeking to address are only allegedly</w:t>
      </w:r>
      <w:r w:rsidRPr="5BB4385C" w:rsidR="00484CB7">
        <w:rPr>
          <w:b/>
        </w:rPr>
        <w:t xml:space="preserve"> present in a small handful of states (if any).”</w:t>
      </w:r>
    </w:p>
    <w:p w:rsidR="00D41E41" w:rsidRPr="00E21A86" w:rsidP="00357105" w14:paraId="2E2DA3D1" w14:textId="6CA56FDA">
      <w:r w:rsidRPr="53A9A1BE">
        <w:rPr>
          <w:u w:val="single"/>
        </w:rPr>
        <w:t>Response</w:t>
      </w:r>
      <w:r>
        <w:t>:  The Department determined that it was necessary to pro</w:t>
      </w:r>
      <w:r w:rsidR="005A72D8">
        <w:t>pose d</w:t>
      </w:r>
      <w:r w:rsidR="00C22784">
        <w:t xml:space="preserve">ata specifications </w:t>
      </w:r>
      <w:r w:rsidR="00450C4A">
        <w:t xml:space="preserve">for the core indicators </w:t>
      </w:r>
      <w:r w:rsidR="00A902F6">
        <w:t xml:space="preserve">of performance </w:t>
      </w:r>
      <w:r w:rsidR="00D067A0">
        <w:t xml:space="preserve">based on the information that States </w:t>
      </w:r>
      <w:r w:rsidR="003067A1">
        <w:t xml:space="preserve">have </w:t>
      </w:r>
      <w:r w:rsidR="00D067A0">
        <w:t xml:space="preserve">provided in three years of annual </w:t>
      </w:r>
      <w:r w:rsidR="00450C4A">
        <w:t xml:space="preserve">CAR submissions </w:t>
      </w:r>
      <w:r w:rsidR="005A72D8">
        <w:t xml:space="preserve">about </w:t>
      </w:r>
      <w:r w:rsidR="00450C4A">
        <w:t xml:space="preserve">how they were measuring the core indicators. </w:t>
      </w:r>
      <w:r w:rsidR="00B213AC">
        <w:t xml:space="preserve"> </w:t>
      </w:r>
      <w:r w:rsidR="005A72D8">
        <w:t>While s</w:t>
      </w:r>
      <w:r w:rsidR="00B502D1">
        <w:t xml:space="preserve">ome of the State descriptions were </w:t>
      </w:r>
      <w:r w:rsidR="005A72D8">
        <w:t>clear and straightforward, others were not</w:t>
      </w:r>
      <w:r w:rsidR="00707D8B">
        <w:t>, making it</w:t>
      </w:r>
      <w:r w:rsidR="005A72D8">
        <w:t xml:space="preserve"> difficult to </w:t>
      </w:r>
      <w:r w:rsidR="00F9539E">
        <w:t>understand</w:t>
      </w:r>
      <w:r w:rsidR="00D75C12">
        <w:t xml:space="preserve"> </w:t>
      </w:r>
      <w:r w:rsidR="005A72D8">
        <w:t xml:space="preserve">how a State was calculating its performance on an indicator. </w:t>
      </w:r>
      <w:r w:rsidR="00D75C12">
        <w:t xml:space="preserve"> </w:t>
      </w:r>
      <w:r w:rsidR="00EE0FA7">
        <w:t xml:space="preserve">Hence, we sometimes used the phrase “it appears” in the supporting statement.  </w:t>
      </w:r>
      <w:r w:rsidR="00F04CED">
        <w:t xml:space="preserve"> </w:t>
      </w:r>
    </w:p>
    <w:p w:rsidR="00D41E41" w:rsidP="00357105" w14:paraId="4B52E45B" w14:textId="4BDE250F">
      <w:pPr>
        <w:rPr>
          <w:u w:val="single"/>
        </w:rPr>
      </w:pPr>
      <w:r>
        <w:rPr>
          <w:u w:val="single"/>
        </w:rPr>
        <w:t>Changes</w:t>
      </w:r>
      <w:r>
        <w:t>:</w:t>
      </w:r>
      <w:r w:rsidRPr="00E21A86">
        <w:t xml:space="preserve"> </w:t>
      </w:r>
      <w:r w:rsidR="00D9221D">
        <w:t xml:space="preserve"> </w:t>
      </w:r>
      <w:r w:rsidRPr="00E21A86">
        <w:t>None.</w:t>
      </w:r>
      <w:r>
        <w:rPr>
          <w:u w:val="single"/>
        </w:rPr>
        <w:t xml:space="preserve"> </w:t>
      </w:r>
    </w:p>
    <w:p w:rsidR="00357105" w:rsidRPr="000B564F" w:rsidP="00357105" w14:paraId="5E8DAED3" w14:textId="77777777">
      <w:pPr>
        <w:rPr>
          <w:u w:val="single"/>
        </w:rPr>
      </w:pPr>
      <w:r w:rsidRPr="000B564F">
        <w:rPr>
          <w:u w:val="single"/>
        </w:rPr>
        <w:t>Loss of Trend Data</w:t>
      </w:r>
    </w:p>
    <w:p w:rsidR="00357105" w:rsidRPr="007C7F46" w:rsidP="3A43F98B" w14:paraId="7C78CBEF" w14:textId="6ED17AE5">
      <w:pPr>
        <w:pStyle w:val="ListParagraph"/>
        <w:numPr>
          <w:ilvl w:val="0"/>
          <w:numId w:val="3"/>
        </w:numPr>
        <w:rPr>
          <w:b/>
        </w:rPr>
      </w:pPr>
      <w:r w:rsidRPr="5BB4385C">
        <w:rPr>
          <w:b/>
        </w:rPr>
        <w:t>Several commenters objected to the proposed data specifications because they would require significant changes in how some States collect and report data for some of the core indicators of performance.  These commenters expressed concern that some States would have to discard years of trend data that they have been using to monitor and hold subgrantees accountable for performance improvement and gap-closing.  They argued that this was a more compelling need than promoting greater consistency in how States measure the core indicators of performance.</w:t>
      </w:r>
      <w:r w:rsidRPr="5BB4385C" w:rsidR="00011B1C">
        <w:rPr>
          <w:b/>
        </w:rPr>
        <w:t xml:space="preserve">  Other commenters expressed concern that the loss of trend data </w:t>
      </w:r>
      <w:r w:rsidRPr="5BB4385C" w:rsidR="00122446">
        <w:rPr>
          <w:b/>
        </w:rPr>
        <w:t>would make it difficult to advocate effectively for funding for CTE.</w:t>
      </w:r>
    </w:p>
    <w:p w:rsidR="00357105" w:rsidRPr="00AE46FF" w:rsidP="00357105" w14:paraId="4134969F" w14:textId="51E798F6">
      <w:r w:rsidRPr="251A7841">
        <w:rPr>
          <w:u w:val="single"/>
        </w:rPr>
        <w:t>Response</w:t>
      </w:r>
      <w:r>
        <w:t xml:space="preserve">: </w:t>
      </w:r>
      <w:r w:rsidR="0049436F">
        <w:t xml:space="preserve"> </w:t>
      </w:r>
      <w:r>
        <w:t xml:space="preserve">We appreciate the interest in tracking improvements in performance over </w:t>
      </w:r>
      <w:r w:rsidR="00DA0CD5">
        <w:t>time but</w:t>
      </w:r>
      <w:r>
        <w:t xml:space="preserve"> believe the more compelling need is to </w:t>
      </w:r>
      <w:r w:rsidR="00947399">
        <w:t xml:space="preserve">ensure that the methods States use to </w:t>
      </w:r>
      <w:r w:rsidR="005B5954">
        <w:t xml:space="preserve">measure core indicators of performance </w:t>
      </w:r>
      <w:r w:rsidR="00C273EA">
        <w:t>comply with the statute.</w:t>
      </w:r>
      <w:r>
        <w:t xml:space="preserve"> </w:t>
      </w:r>
      <w:r>
        <w:t xml:space="preserve"> Additionally, </w:t>
      </w:r>
      <w:r w:rsidR="005A1FBF">
        <w:t xml:space="preserve">we believe that </w:t>
      </w:r>
      <w:r>
        <w:t xml:space="preserve">there is limited value in tracking trends if the underlying data are duplicative, as can be the case when an active cohort is used to measure academic proficiency (2S1, 2S2, 2S3), or the data are incomplete or inaccurate, as can be the </w:t>
      </w:r>
      <w:r>
        <w:t>case with the post-program placement indicators (3S1, 1P1) due to the inadequate amount of time States now have to collect these data</w:t>
      </w:r>
      <w:r w:rsidR="00B5363A">
        <w:t xml:space="preserve"> and, at the secondary level, the exclusion of CTE concentrators who did not graduate high school</w:t>
      </w:r>
      <w:r>
        <w:t>.</w:t>
      </w:r>
    </w:p>
    <w:p w:rsidR="00357105" w:rsidP="00357105" w14:paraId="198322E9" w14:textId="11807258">
      <w:r>
        <w:rPr>
          <w:u w:val="single"/>
        </w:rPr>
        <w:t>Changes</w:t>
      </w:r>
      <w:r>
        <w:t xml:space="preserve">: </w:t>
      </w:r>
      <w:r w:rsidR="00974D56">
        <w:t xml:space="preserve"> </w:t>
      </w:r>
      <w:r>
        <w:t xml:space="preserve">None. </w:t>
      </w:r>
    </w:p>
    <w:p w:rsidR="00764F55" w:rsidRPr="00764F55" w:rsidP="00764F55" w14:paraId="74FF2E00" w14:textId="77777777">
      <w:pPr>
        <w:rPr>
          <w:u w:val="single"/>
        </w:rPr>
      </w:pPr>
      <w:r w:rsidRPr="00764F55">
        <w:rPr>
          <w:u w:val="single"/>
        </w:rPr>
        <w:t>Time Required to Implement the Data Specifications</w:t>
      </w:r>
    </w:p>
    <w:p w:rsidR="00764F55" w:rsidRPr="007C7F46" w:rsidP="3A43F98B" w14:paraId="7C94B91F" w14:textId="6D3B48F9">
      <w:pPr>
        <w:pStyle w:val="ListParagraph"/>
        <w:numPr>
          <w:ilvl w:val="0"/>
          <w:numId w:val="3"/>
        </w:numPr>
        <w:rPr>
          <w:b/>
        </w:rPr>
      </w:pPr>
      <w:r w:rsidRPr="5BB4385C">
        <w:rPr>
          <w:b/>
        </w:rPr>
        <w:t xml:space="preserve">Several commenters </w:t>
      </w:r>
      <w:r w:rsidRPr="5BB4385C" w:rsidR="00416FA8">
        <w:rPr>
          <w:b/>
        </w:rPr>
        <w:t xml:space="preserve">reported that they would be unable to use the proposed data specifications for the core indicators in Program Year 2026 </w:t>
      </w:r>
      <w:r w:rsidRPr="5BB4385C" w:rsidR="005B0592">
        <w:rPr>
          <w:b/>
        </w:rPr>
        <w:t xml:space="preserve">(beginning July 1, 2026) </w:t>
      </w:r>
      <w:r w:rsidRPr="5BB4385C" w:rsidR="00CE7051">
        <w:rPr>
          <w:b/>
        </w:rPr>
        <w:t>and would need additional time to implement them.</w:t>
      </w:r>
    </w:p>
    <w:p w:rsidR="00FB312F" w:rsidP="00796153" w14:paraId="1CED583C" w14:textId="5CF037AB">
      <w:r>
        <w:rPr>
          <w:u w:val="single"/>
        </w:rPr>
        <w:t>Response</w:t>
      </w:r>
      <w:r>
        <w:t>:</w:t>
      </w:r>
      <w:r w:rsidRPr="00355499">
        <w:t xml:space="preserve"> </w:t>
      </w:r>
      <w:r w:rsidR="002565A6">
        <w:t xml:space="preserve"> </w:t>
      </w:r>
      <w:r w:rsidR="00A951C2">
        <w:t>We recognize and agree that States need time to transition to use the proposed data specifications where they may differ from what States have been reporting.  We are proposing to give States a</w:t>
      </w:r>
      <w:r w:rsidR="003D1EDF">
        <w:t>pproximately</w:t>
      </w:r>
      <w:r w:rsidR="00A951C2">
        <w:t xml:space="preserve"> 18 months</w:t>
      </w:r>
      <w:r w:rsidR="00B30784">
        <w:t>,</w:t>
      </w:r>
      <w:r w:rsidR="00A951C2">
        <w:t xml:space="preserve"> </w:t>
      </w:r>
      <w:r w:rsidR="00134FFF">
        <w:t>or prior to the start of the 2026-27 program year,</w:t>
      </w:r>
      <w:r w:rsidR="00A951C2">
        <w:t xml:space="preserve"> before they must begin using the </w:t>
      </w:r>
      <w:r w:rsidR="00B30784">
        <w:t xml:space="preserve">proposed </w:t>
      </w:r>
      <w:r w:rsidR="00A951C2">
        <w:t>data specifications</w:t>
      </w:r>
      <w:r w:rsidR="00603F34">
        <w:t xml:space="preserve">. </w:t>
      </w:r>
      <w:r w:rsidR="000A7400">
        <w:t xml:space="preserve"> </w:t>
      </w:r>
      <w:r w:rsidR="00603F34">
        <w:t>State</w:t>
      </w:r>
      <w:r w:rsidR="0072076C">
        <w:t>s</w:t>
      </w:r>
      <w:r w:rsidR="00603F34">
        <w:t xml:space="preserve"> would then have</w:t>
      </w:r>
      <w:r w:rsidR="00A951C2">
        <w:t xml:space="preserve"> one additional program year before </w:t>
      </w:r>
      <w:r w:rsidR="00603F34">
        <w:t>reporting</w:t>
      </w:r>
      <w:r w:rsidR="00A951C2">
        <w:t xml:space="preserve"> student outcomes</w:t>
      </w:r>
      <w:r w:rsidR="008C297F">
        <w:t>,</w:t>
      </w:r>
      <w:r w:rsidR="00B30784">
        <w:t xml:space="preserve"> which would occur in January 2028</w:t>
      </w:r>
      <w:r w:rsidR="00A951C2">
        <w:t xml:space="preserve">.  </w:t>
      </w:r>
      <w:r w:rsidR="00EA4481">
        <w:t xml:space="preserve">We </w:t>
      </w:r>
      <w:r w:rsidR="00275572">
        <w:t>believe</w:t>
      </w:r>
      <w:r w:rsidR="000A130A">
        <w:t xml:space="preserve"> that</w:t>
      </w:r>
      <w:r w:rsidR="00275572">
        <w:t xml:space="preserve"> this is enough time for States to evaluate their curren</w:t>
      </w:r>
      <w:r w:rsidR="00600CD9">
        <w:t>t measurement approach</w:t>
      </w:r>
      <w:r w:rsidR="005E5C7E">
        <w:t>e</w:t>
      </w:r>
      <w:r w:rsidR="00600CD9">
        <w:t xml:space="preserve">s and </w:t>
      </w:r>
      <w:r w:rsidR="00AB74CB">
        <w:t>take steps to implement</w:t>
      </w:r>
      <w:r w:rsidR="00600CD9">
        <w:t xml:space="preserve"> the proposed </w:t>
      </w:r>
      <w:r w:rsidR="0080624A">
        <w:t>data specifications</w:t>
      </w:r>
      <w:r w:rsidR="00592D25">
        <w:t xml:space="preserve"> where they may differ</w:t>
      </w:r>
      <w:r w:rsidR="00AB74CB">
        <w:t xml:space="preserve">.  We also believe that </w:t>
      </w:r>
      <w:r w:rsidR="005D3BD4">
        <w:t xml:space="preserve">this </w:t>
      </w:r>
      <w:r w:rsidR="00843107">
        <w:t xml:space="preserve">amount of time </w:t>
      </w:r>
      <w:r w:rsidR="00AB74CB">
        <w:t>allow</w:t>
      </w:r>
      <w:r w:rsidR="00843107">
        <w:t>s</w:t>
      </w:r>
      <w:r w:rsidR="00AB74CB">
        <w:t xml:space="preserve"> States to </w:t>
      </w:r>
      <w:r w:rsidR="0033257B">
        <w:t>create</w:t>
      </w:r>
      <w:r w:rsidR="00505C77">
        <w:t xml:space="preserve"> the appropriate data </w:t>
      </w:r>
      <w:r w:rsidR="00587F5A">
        <w:t xml:space="preserve">infrastructure to </w:t>
      </w:r>
      <w:r w:rsidR="00AB74CB">
        <w:t xml:space="preserve">ensure that </w:t>
      </w:r>
      <w:r w:rsidR="0033257B">
        <w:t>those</w:t>
      </w:r>
      <w:r w:rsidR="00587F5A">
        <w:t xml:space="preserve"> student outcome data</w:t>
      </w:r>
      <w:r w:rsidR="0033257B">
        <w:t>,</w:t>
      </w:r>
      <w:r w:rsidR="00587F5A">
        <w:t xml:space="preserve"> </w:t>
      </w:r>
      <w:r w:rsidR="0033257B">
        <w:t>are accurate</w:t>
      </w:r>
      <w:r w:rsidR="00DA230C">
        <w:t>.</w:t>
      </w:r>
      <w:r w:rsidR="00CA18F0">
        <w:t xml:space="preserve"> </w:t>
      </w:r>
      <w:r w:rsidR="0080624A">
        <w:t xml:space="preserve"> </w:t>
      </w:r>
      <w:r w:rsidR="00C47B3C">
        <w:t>The Department anticipates providing technical assistance to States</w:t>
      </w:r>
      <w:r w:rsidR="00F01176">
        <w:t xml:space="preserve">, especially those </w:t>
      </w:r>
      <w:r w:rsidR="007D57D4">
        <w:t>S</w:t>
      </w:r>
      <w:r w:rsidR="00F01176">
        <w:t xml:space="preserve">tates that </w:t>
      </w:r>
      <w:r w:rsidR="00970797">
        <w:t xml:space="preserve">anticipate </w:t>
      </w:r>
      <w:r w:rsidR="007D57D4">
        <w:t>they may face challenges meeting this timeline</w:t>
      </w:r>
      <w:r w:rsidR="00C47B3C">
        <w:t>.</w:t>
      </w:r>
    </w:p>
    <w:p w:rsidR="00796153" w:rsidP="00796153" w14:paraId="64341377" w14:textId="695CEECA">
      <w:pPr>
        <w:rPr>
          <w:u w:val="single"/>
        </w:rPr>
      </w:pPr>
      <w:r w:rsidRPr="000B564F">
        <w:rPr>
          <w:u w:val="single"/>
        </w:rPr>
        <w:t>Changes</w:t>
      </w:r>
      <w:r>
        <w:t xml:space="preserve">: </w:t>
      </w:r>
      <w:r w:rsidR="004312DD">
        <w:t xml:space="preserve"> </w:t>
      </w:r>
      <w:r>
        <w:t xml:space="preserve">None. </w:t>
      </w:r>
    </w:p>
    <w:p w:rsidR="00764F55" w:rsidRPr="00764F55" w:rsidP="00764F55" w14:paraId="708ED5AA" w14:textId="37D0733A">
      <w:pPr>
        <w:rPr>
          <w:u w:val="single"/>
        </w:rPr>
      </w:pPr>
      <w:r w:rsidRPr="001F6647">
        <w:rPr>
          <w:u w:val="single"/>
        </w:rPr>
        <w:t>Implications for Local Performance Targets</w:t>
      </w:r>
    </w:p>
    <w:p w:rsidR="00764F55" w:rsidRPr="007C7F46" w:rsidP="17E2EA0C" w14:paraId="2604213C" w14:textId="6E148DFC">
      <w:pPr>
        <w:pStyle w:val="ListParagraph"/>
        <w:numPr>
          <w:ilvl w:val="0"/>
          <w:numId w:val="3"/>
        </w:numPr>
        <w:rPr>
          <w:b/>
        </w:rPr>
      </w:pPr>
      <w:r w:rsidRPr="5BB4385C">
        <w:rPr>
          <w:b/>
        </w:rPr>
        <w:t>Sever</w:t>
      </w:r>
      <w:r w:rsidRPr="5BB4385C" w:rsidR="00C83B42">
        <w:rPr>
          <w:b/>
        </w:rPr>
        <w:t xml:space="preserve">al commenters expressed concern that the proposed data specifications </w:t>
      </w:r>
      <w:r w:rsidRPr="5BB4385C" w:rsidR="00BF70A8">
        <w:rPr>
          <w:b/>
        </w:rPr>
        <w:t>may require States to renegotiate local performance targets.</w:t>
      </w:r>
    </w:p>
    <w:p w:rsidR="00A009AC" w:rsidRPr="009B4F43" w:rsidP="009B4F43" w14:paraId="511EB7CF" w14:textId="2B337CB9">
      <w:r w:rsidRPr="0D223356">
        <w:rPr>
          <w:u w:val="single"/>
        </w:rPr>
        <w:t>Response</w:t>
      </w:r>
      <w:r>
        <w:t>:</w:t>
      </w:r>
      <w:r w:rsidR="00E1476C">
        <w:t xml:space="preserve"> </w:t>
      </w:r>
      <w:r w:rsidR="009B4F43">
        <w:t xml:space="preserve"> </w:t>
      </w:r>
      <w:r w:rsidR="00315FB8">
        <w:t>As stated earlier, in implementing the proposed data specifications, States may choose to revise their SDPLs</w:t>
      </w:r>
      <w:r w:rsidR="009B4F43">
        <w:t xml:space="preserve"> which</w:t>
      </w:r>
      <w:r w:rsidR="00E1476C">
        <w:t xml:space="preserve"> </w:t>
      </w:r>
      <w:r w:rsidR="00E1476C">
        <w:t>may impact local performance targets</w:t>
      </w:r>
      <w:r w:rsidR="00D77707">
        <w:t xml:space="preserve">.  We believe that the proposed timeline </w:t>
      </w:r>
      <w:r w:rsidR="00F661BC">
        <w:t>provide</w:t>
      </w:r>
      <w:r w:rsidR="00D77707">
        <w:t xml:space="preserve">s States with enough time to </w:t>
      </w:r>
      <w:r w:rsidR="00F661BC">
        <w:t>evaluate</w:t>
      </w:r>
      <w:r>
        <w:t xml:space="preserve"> </w:t>
      </w:r>
      <w:r w:rsidR="00640501">
        <w:t xml:space="preserve">their processes </w:t>
      </w:r>
      <w:r w:rsidRPr="00EB1BE5" w:rsidR="00F661BC">
        <w:t>and to make any adjustments that may be necessary.</w:t>
      </w:r>
      <w:r w:rsidR="002631F1">
        <w:t xml:space="preserve"> </w:t>
      </w:r>
      <w:r w:rsidR="00D05012">
        <w:t xml:space="preserve"> </w:t>
      </w:r>
      <w:r w:rsidR="002631F1">
        <w:t xml:space="preserve">We will </w:t>
      </w:r>
      <w:r w:rsidR="00D05012">
        <w:t xml:space="preserve">also </w:t>
      </w:r>
      <w:r w:rsidR="002631F1">
        <w:t xml:space="preserve">work with individual States </w:t>
      </w:r>
      <w:r w:rsidR="00002042">
        <w:t xml:space="preserve">based on </w:t>
      </w:r>
      <w:r w:rsidR="00892366">
        <w:t>the</w:t>
      </w:r>
      <w:r w:rsidR="005918A2">
        <w:t>ir</w:t>
      </w:r>
      <w:r w:rsidR="002631F1">
        <w:t xml:space="preserve"> </w:t>
      </w:r>
      <w:r w:rsidR="005A6204">
        <w:t>need</w:t>
      </w:r>
      <w:r w:rsidR="00892366">
        <w:t xml:space="preserve"> for</w:t>
      </w:r>
      <w:r w:rsidR="005A6204">
        <w:t xml:space="preserve"> additional support. </w:t>
      </w:r>
    </w:p>
    <w:p w:rsidR="005B0592" w:rsidP="005B0592" w14:paraId="40284772" w14:textId="3C1F6D1D">
      <w:r w:rsidRPr="000B564F">
        <w:rPr>
          <w:u w:val="single"/>
        </w:rPr>
        <w:t>Changes</w:t>
      </w:r>
      <w:r>
        <w:t xml:space="preserve">: </w:t>
      </w:r>
      <w:r w:rsidR="00237B34">
        <w:t xml:space="preserve"> </w:t>
      </w:r>
      <w:r>
        <w:t xml:space="preserve">None. </w:t>
      </w:r>
    </w:p>
    <w:p w:rsidR="00A75B68" w:rsidP="00357105" w14:paraId="3E7677AF" w14:textId="7E49D63E">
      <w:pPr>
        <w:rPr>
          <w:u w:val="single"/>
        </w:rPr>
      </w:pPr>
      <w:r>
        <w:rPr>
          <w:u w:val="single"/>
        </w:rPr>
        <w:t xml:space="preserve">Four-Year and Extended-Year </w:t>
      </w:r>
      <w:r w:rsidR="00B160A3">
        <w:rPr>
          <w:u w:val="single"/>
        </w:rPr>
        <w:t xml:space="preserve">Adjusted Cohort </w:t>
      </w:r>
      <w:r w:rsidR="00466CE8">
        <w:rPr>
          <w:u w:val="single"/>
        </w:rPr>
        <w:t>Graduation Rate</w:t>
      </w:r>
      <w:r w:rsidR="00B160A3">
        <w:rPr>
          <w:u w:val="single"/>
        </w:rPr>
        <w:t>s</w:t>
      </w:r>
      <w:r w:rsidR="00466CE8">
        <w:rPr>
          <w:u w:val="single"/>
        </w:rPr>
        <w:t xml:space="preserve"> </w:t>
      </w:r>
      <w:r w:rsidR="00E32D67">
        <w:rPr>
          <w:u w:val="single"/>
        </w:rPr>
        <w:t>(1S1</w:t>
      </w:r>
      <w:r>
        <w:rPr>
          <w:u w:val="single"/>
        </w:rPr>
        <w:t xml:space="preserve"> and 1S2)</w:t>
      </w:r>
      <w:r w:rsidR="00E32D67">
        <w:rPr>
          <w:u w:val="single"/>
        </w:rPr>
        <w:t xml:space="preserve"> (page 31)</w:t>
      </w:r>
    </w:p>
    <w:p w:rsidR="006960B1" w:rsidRPr="007C7F46" w:rsidP="17E2EA0C" w14:paraId="1F2BBADC" w14:textId="5D0960B0">
      <w:pPr>
        <w:pStyle w:val="ListParagraph"/>
        <w:numPr>
          <w:ilvl w:val="0"/>
          <w:numId w:val="3"/>
        </w:numPr>
        <w:rPr>
          <w:b/>
        </w:rPr>
      </w:pPr>
      <w:r w:rsidRPr="5BB4385C">
        <w:rPr>
          <w:b/>
        </w:rPr>
        <w:t>Two commenters objected to the proposed data specifications for graduation rate</w:t>
      </w:r>
      <w:r w:rsidRPr="5BB4385C" w:rsidR="0041352E">
        <w:rPr>
          <w:b/>
        </w:rPr>
        <w:t>s</w:t>
      </w:r>
      <w:r w:rsidRPr="5BB4385C" w:rsidR="00561588">
        <w:rPr>
          <w:b/>
        </w:rPr>
        <w:t xml:space="preserve">, describing them as “changes to the law’s </w:t>
      </w:r>
      <w:r w:rsidRPr="5BB4385C" w:rsidR="00AB16FC">
        <w:rPr>
          <w:b/>
        </w:rPr>
        <w:t xml:space="preserve">calculation of </w:t>
      </w:r>
      <w:r w:rsidRPr="5BB4385C" w:rsidR="00561588">
        <w:rPr>
          <w:b/>
        </w:rPr>
        <w:t>gradua</w:t>
      </w:r>
      <w:r w:rsidRPr="5BB4385C" w:rsidR="00AB16FC">
        <w:rPr>
          <w:b/>
        </w:rPr>
        <w:t xml:space="preserve">tion rates” </w:t>
      </w:r>
      <w:r w:rsidRPr="5BB4385C" w:rsidR="00C10516">
        <w:rPr>
          <w:b/>
        </w:rPr>
        <w:t xml:space="preserve">that the Department was proposing </w:t>
      </w:r>
      <w:r w:rsidRPr="5BB4385C">
        <w:rPr>
          <w:b/>
        </w:rPr>
        <w:t>“based on issues found in merely ‘one state.</w:t>
      </w:r>
      <w:r w:rsidRPr="5BB4385C" w:rsidR="0087468B">
        <w:rPr>
          <w:b/>
        </w:rPr>
        <w:t>’</w:t>
      </w:r>
      <w:r w:rsidRPr="5BB4385C">
        <w:rPr>
          <w:b/>
        </w:rPr>
        <w:t xml:space="preserve">” </w:t>
      </w:r>
    </w:p>
    <w:p w:rsidR="005B0592" w:rsidP="005B0592" w14:paraId="3554315E" w14:textId="2DD6482C">
      <w:pPr>
        <w:rPr>
          <w:u w:val="single"/>
        </w:rPr>
      </w:pPr>
      <w:bookmarkStart w:id="2" w:name="_Hlk182464938"/>
      <w:r>
        <w:rPr>
          <w:u w:val="single"/>
        </w:rPr>
        <w:t>Response</w:t>
      </w:r>
      <w:r>
        <w:t>:</w:t>
      </w:r>
      <w:r w:rsidRPr="00FD6570">
        <w:t xml:space="preserve"> </w:t>
      </w:r>
      <w:r w:rsidRPr="000E6437" w:rsidR="00285814">
        <w:t xml:space="preserve"> We are proposing </w:t>
      </w:r>
      <w:r w:rsidRPr="000E6437" w:rsidR="00FB55D8">
        <w:t>data specifications for all of the core indicators of performance</w:t>
      </w:r>
      <w:r w:rsidRPr="000E6437" w:rsidR="005974C7">
        <w:t xml:space="preserve"> to </w:t>
      </w:r>
      <w:r w:rsidRPr="000E6437" w:rsidR="001539A2">
        <w:t xml:space="preserve">provide </w:t>
      </w:r>
      <w:r w:rsidRPr="000E6437" w:rsidR="005974C7">
        <w:t xml:space="preserve">States </w:t>
      </w:r>
      <w:r w:rsidR="00EF6E53">
        <w:t xml:space="preserve">with </w:t>
      </w:r>
      <w:r w:rsidRPr="000E6437" w:rsidR="00E64F67">
        <w:t xml:space="preserve">clear and precise </w:t>
      </w:r>
      <w:r w:rsidRPr="000E6437" w:rsidR="002D6B8E">
        <w:t xml:space="preserve">information about </w:t>
      </w:r>
      <w:r w:rsidRPr="000E6437" w:rsidR="00414CD7">
        <w:t xml:space="preserve">the measurement of the core indicators.  Based on the information available to the Department </w:t>
      </w:r>
      <w:r w:rsidR="00371AB5">
        <w:t xml:space="preserve">through </w:t>
      </w:r>
      <w:r w:rsidRPr="000E6437" w:rsidR="00414CD7">
        <w:t>State CAR submissions</w:t>
      </w:r>
      <w:r w:rsidR="00414CD7">
        <w:t>,</w:t>
      </w:r>
      <w:r w:rsidRPr="000E6437" w:rsidR="00414CD7">
        <w:t xml:space="preserve"> it a</w:t>
      </w:r>
      <w:r w:rsidRPr="000E6437" w:rsidR="00BD5C6D">
        <w:t>ppears that one State</w:t>
      </w:r>
      <w:r w:rsidRPr="000E6437" w:rsidR="009D4E85">
        <w:t xml:space="preserve"> is not calculating the graduation rate </w:t>
      </w:r>
      <w:r w:rsidRPr="000E6437" w:rsidR="00BD210D">
        <w:t xml:space="preserve">indicators consistent with </w:t>
      </w:r>
      <w:r w:rsidR="005036CB">
        <w:t>the way</w:t>
      </w:r>
      <w:r w:rsidRPr="000E6437" w:rsidR="005036CB">
        <w:t xml:space="preserve"> </w:t>
      </w:r>
      <w:r w:rsidRPr="000E6437" w:rsidR="00BD210D">
        <w:t>they are de</w:t>
      </w:r>
      <w:r w:rsidRPr="000E6437" w:rsidR="00EB7E18">
        <w:t>fined</w:t>
      </w:r>
      <w:r w:rsidRPr="000E6437" w:rsidR="00BD210D">
        <w:t xml:space="preserve"> in the statute, but </w:t>
      </w:r>
      <w:r w:rsidRPr="000E6437" w:rsidR="007D3C7A">
        <w:t xml:space="preserve">not all States provided clear </w:t>
      </w:r>
      <w:r w:rsidRPr="000E6437" w:rsidR="00EB7E18">
        <w:t>descriptions of the numerators and denominators they used to make their calculations</w:t>
      </w:r>
      <w:r w:rsidR="002C5025">
        <w:t xml:space="preserve">, </w:t>
      </w:r>
      <w:r w:rsidR="008F623C">
        <w:t>so it is unclear whether they are complying with the statute</w:t>
      </w:r>
      <w:r w:rsidRPr="000E6437" w:rsidR="00EB7E18">
        <w:t xml:space="preserve">. </w:t>
      </w:r>
      <w:r w:rsidRPr="000E6437" w:rsidR="000D7272">
        <w:t xml:space="preserve"> </w:t>
      </w:r>
      <w:r w:rsidR="001332D4">
        <w:t>Some</w:t>
      </w:r>
      <w:r w:rsidRPr="000E6437" w:rsidR="00C95ADC">
        <w:t xml:space="preserve"> </w:t>
      </w:r>
      <w:r w:rsidRPr="000E6437" w:rsidR="0093038C">
        <w:t>State</w:t>
      </w:r>
      <w:r w:rsidRPr="000E6437" w:rsidR="00C95ADC">
        <w:t>s</w:t>
      </w:r>
      <w:r w:rsidRPr="000E6437" w:rsidR="00FF6263">
        <w:t xml:space="preserve"> </w:t>
      </w:r>
      <w:r w:rsidRPr="000E6437" w:rsidR="00C95ADC">
        <w:t>are</w:t>
      </w:r>
      <w:r w:rsidRPr="000E6437" w:rsidR="00FF6263">
        <w:t xml:space="preserve"> al</w:t>
      </w:r>
      <w:r w:rsidRPr="000E6437" w:rsidR="00D939CA">
        <w:t xml:space="preserve">ready </w:t>
      </w:r>
      <w:r w:rsidRPr="000E6437" w:rsidR="00D939CA">
        <w:t>measuring</w:t>
      </w:r>
      <w:r w:rsidRPr="000E6437" w:rsidR="00FF6263">
        <w:t xml:space="preserve"> the indicators as </w:t>
      </w:r>
      <w:r w:rsidRPr="000E6437" w:rsidR="006D69CE">
        <w:t xml:space="preserve">we have </w:t>
      </w:r>
      <w:r w:rsidRPr="000E6437" w:rsidR="00FF6263">
        <w:t>outlined</w:t>
      </w:r>
      <w:r w:rsidRPr="000E6437" w:rsidR="00C95ADC">
        <w:t xml:space="preserve"> in the proposed </w:t>
      </w:r>
      <w:r w:rsidRPr="000E6437" w:rsidR="003604C2">
        <w:t>data specifications</w:t>
      </w:r>
      <w:r w:rsidRPr="000E6437" w:rsidR="00542322">
        <w:t xml:space="preserve"> </w:t>
      </w:r>
      <w:r w:rsidR="001332D4">
        <w:t xml:space="preserve">and </w:t>
      </w:r>
      <w:r w:rsidR="00542322">
        <w:t>w</w:t>
      </w:r>
      <w:r w:rsidR="00B61421">
        <w:t>ould</w:t>
      </w:r>
      <w:r w:rsidRPr="000E6437" w:rsidR="00542322">
        <w:t xml:space="preserve"> not have </w:t>
      </w:r>
      <w:r w:rsidRPr="000E6437" w:rsidR="008E3D93">
        <w:t>to make any changes in their data collection practices</w:t>
      </w:r>
      <w:r w:rsidRPr="000E6437" w:rsidR="006D69CE">
        <w:t>.</w:t>
      </w:r>
      <w:r w:rsidRPr="000E6437" w:rsidR="006D69CE">
        <w:t xml:space="preserve"> </w:t>
      </w:r>
      <w:r w:rsidRPr="000E6437" w:rsidR="004B2320">
        <w:t xml:space="preserve"> </w:t>
      </w:r>
    </w:p>
    <w:p w:rsidR="005B0592" w:rsidP="005B0592" w14:paraId="79F6BFD5" w14:textId="5708D60C">
      <w:r w:rsidRPr="000B564F">
        <w:rPr>
          <w:u w:val="single"/>
        </w:rPr>
        <w:t>Changes</w:t>
      </w:r>
      <w:r>
        <w:t xml:space="preserve">: </w:t>
      </w:r>
      <w:bookmarkEnd w:id="2"/>
      <w:r w:rsidR="00FD6570">
        <w:t xml:space="preserve"> </w:t>
      </w:r>
      <w:r>
        <w:t xml:space="preserve">None. </w:t>
      </w:r>
    </w:p>
    <w:p w:rsidR="00466CE8" w:rsidRPr="007C7F46" w:rsidP="17E2EA0C" w14:paraId="090AE393" w14:textId="25C42968">
      <w:pPr>
        <w:pStyle w:val="ListParagraph"/>
        <w:numPr>
          <w:ilvl w:val="0"/>
          <w:numId w:val="3"/>
        </w:numPr>
        <w:rPr>
          <w:b/>
        </w:rPr>
      </w:pPr>
      <w:r w:rsidRPr="17E2EA0C">
        <w:rPr>
          <w:b/>
        </w:rPr>
        <w:t xml:space="preserve">Two commenters </w:t>
      </w:r>
      <w:r w:rsidRPr="17E2EA0C" w:rsidR="00C20645">
        <w:rPr>
          <w:b/>
        </w:rPr>
        <w:t xml:space="preserve">noted </w:t>
      </w:r>
      <w:r w:rsidRPr="17E2EA0C">
        <w:rPr>
          <w:b/>
        </w:rPr>
        <w:t xml:space="preserve">that the </w:t>
      </w:r>
      <w:r w:rsidRPr="17E2EA0C" w:rsidR="00C20645">
        <w:rPr>
          <w:b/>
        </w:rPr>
        <w:t xml:space="preserve">data specifications for the graduation rate indicators </w:t>
      </w:r>
      <w:r w:rsidRPr="17E2EA0C" w:rsidR="008C0480">
        <w:rPr>
          <w:b/>
        </w:rPr>
        <w:t>were not identi</w:t>
      </w:r>
      <w:r w:rsidRPr="17E2EA0C" w:rsidR="00E569D2">
        <w:rPr>
          <w:b/>
        </w:rPr>
        <w:t>cal to the statutory description of the graduation rate indicator</w:t>
      </w:r>
      <w:r w:rsidRPr="17E2EA0C" w:rsidR="004F44AF">
        <w:rPr>
          <w:b/>
        </w:rPr>
        <w:t>s</w:t>
      </w:r>
      <w:r w:rsidRPr="17E2EA0C" w:rsidR="00E569D2">
        <w:rPr>
          <w:b/>
        </w:rPr>
        <w:t xml:space="preserve"> in ESEA </w:t>
      </w:r>
      <w:r w:rsidRPr="17E2EA0C" w:rsidR="00940561">
        <w:rPr>
          <w:b/>
        </w:rPr>
        <w:t xml:space="preserve">because they did not note that the statute </w:t>
      </w:r>
      <w:r w:rsidRPr="17E2EA0C" w:rsidR="007865E3">
        <w:rPr>
          <w:b/>
        </w:rPr>
        <w:t xml:space="preserve">specifies that the regular high school diploma could be earned </w:t>
      </w:r>
      <w:r w:rsidRPr="17E2EA0C" w:rsidR="00B92636">
        <w:rPr>
          <w:b/>
        </w:rPr>
        <w:t xml:space="preserve">“before and during the fourth year of high school,” and not only at the conclusion of </w:t>
      </w:r>
      <w:r w:rsidRPr="17E2EA0C" w:rsidR="00764076">
        <w:rPr>
          <w:b/>
        </w:rPr>
        <w:t xml:space="preserve">the fourth year of high school. </w:t>
      </w:r>
      <w:r w:rsidRPr="17E2EA0C" w:rsidR="005C2EA8">
        <w:rPr>
          <w:b/>
        </w:rPr>
        <w:t xml:space="preserve"> Similarly, the commenters note that the data specifications </w:t>
      </w:r>
      <w:r w:rsidRPr="17E2EA0C" w:rsidR="00626CF4">
        <w:rPr>
          <w:b/>
        </w:rPr>
        <w:t xml:space="preserve">do not include </w:t>
      </w:r>
      <w:r w:rsidRPr="17E2EA0C" w:rsidR="006A0D02">
        <w:rPr>
          <w:b/>
        </w:rPr>
        <w:t>c</w:t>
      </w:r>
      <w:r w:rsidRPr="17E2EA0C" w:rsidR="00230D38">
        <w:rPr>
          <w:b/>
        </w:rPr>
        <w:t xml:space="preserve">lause </w:t>
      </w:r>
      <w:r w:rsidRPr="17E2EA0C" w:rsidR="006B50BA">
        <w:rPr>
          <w:b/>
        </w:rPr>
        <w:t xml:space="preserve">(II) in the statutory definitions of “four-year adjusted </w:t>
      </w:r>
      <w:r w:rsidRPr="17E2EA0C" w:rsidR="00B42328">
        <w:rPr>
          <w:b/>
        </w:rPr>
        <w:t xml:space="preserve">cohort graduation rate” </w:t>
      </w:r>
      <w:r w:rsidRPr="17E2EA0C" w:rsidR="00D14E10">
        <w:rPr>
          <w:b/>
        </w:rPr>
        <w:t>(ESEA section 8101 (25)(A)(ii)</w:t>
      </w:r>
      <w:r w:rsidRPr="17E2EA0C" w:rsidR="00CA21B4">
        <w:rPr>
          <w:b/>
        </w:rPr>
        <w:t xml:space="preserve">(II)) </w:t>
      </w:r>
      <w:r w:rsidRPr="17E2EA0C" w:rsidR="00B42328">
        <w:rPr>
          <w:b/>
        </w:rPr>
        <w:t xml:space="preserve">and “extended-year adjusted </w:t>
      </w:r>
      <w:r w:rsidRPr="17E2EA0C" w:rsidR="00D14E10">
        <w:rPr>
          <w:b/>
        </w:rPr>
        <w:t>cohort rate</w:t>
      </w:r>
      <w:r w:rsidRPr="17E2EA0C" w:rsidR="00CA21B4">
        <w:rPr>
          <w:b/>
        </w:rPr>
        <w:t>”</w:t>
      </w:r>
      <w:r w:rsidRPr="17E2EA0C" w:rsidR="00D14E10">
        <w:rPr>
          <w:b/>
        </w:rPr>
        <w:t xml:space="preserve"> (ESEA section 8101 (23)(A)(ii)(II)) </w:t>
      </w:r>
      <w:r w:rsidRPr="17E2EA0C" w:rsidR="001B3930">
        <w:rPr>
          <w:b/>
        </w:rPr>
        <w:t xml:space="preserve">that excludes </w:t>
      </w:r>
      <w:r w:rsidRPr="17E2EA0C" w:rsidR="000765B2">
        <w:rPr>
          <w:b/>
        </w:rPr>
        <w:t xml:space="preserve">a </w:t>
      </w:r>
      <w:r w:rsidRPr="17E2EA0C" w:rsidR="00282251">
        <w:rPr>
          <w:b/>
        </w:rPr>
        <w:t>general equivalency diploma, certificate of completion, certificate of attendance or “similar lesser</w:t>
      </w:r>
      <w:r w:rsidRPr="17E2EA0C" w:rsidR="000765B2">
        <w:rPr>
          <w:b/>
        </w:rPr>
        <w:t xml:space="preserve"> credential.”</w:t>
      </w:r>
      <w:r w:rsidRPr="083E5E49" w:rsidR="000765B2">
        <w:rPr>
          <w:b/>
        </w:rPr>
        <w:t xml:space="preserve"> </w:t>
      </w:r>
    </w:p>
    <w:p w:rsidR="005B0592" w:rsidRPr="00E06877" w:rsidP="005B0592" w14:paraId="4569F86C" w14:textId="7559B375">
      <w:r>
        <w:rPr>
          <w:u w:val="single"/>
        </w:rPr>
        <w:t>Response</w:t>
      </w:r>
      <w:r>
        <w:t xml:space="preserve">: </w:t>
      </w:r>
      <w:r w:rsidR="00245444">
        <w:t xml:space="preserve"> </w:t>
      </w:r>
      <w:r w:rsidRPr="00245444" w:rsidR="000B5BBF">
        <w:t>W</w:t>
      </w:r>
      <w:r w:rsidR="000B5BBF">
        <w:t>e appreciate the comment</w:t>
      </w:r>
      <w:r w:rsidR="005C37DC">
        <w:t xml:space="preserve">s.  We have revised </w:t>
      </w:r>
      <w:r w:rsidR="00AE6827">
        <w:t xml:space="preserve">the data specifications to include all of the relevant statutory text related to the measurement </w:t>
      </w:r>
      <w:r w:rsidR="004F44AF">
        <w:t>of the graduation rate indicators.</w:t>
      </w:r>
    </w:p>
    <w:p w:rsidR="005B0592" w:rsidRPr="005B0592" w:rsidP="005B0592" w14:paraId="7B122BD6" w14:textId="7A1E0300">
      <w:r w:rsidRPr="000B564F">
        <w:rPr>
          <w:u w:val="single"/>
        </w:rPr>
        <w:t>Changes</w:t>
      </w:r>
      <w:r>
        <w:t>:</w:t>
      </w:r>
      <w:r w:rsidR="004F44AF">
        <w:t xml:space="preserve">  We have modified the proposed </w:t>
      </w:r>
      <w:r w:rsidR="00171C04">
        <w:t xml:space="preserve">data specifications to indicate, consistent with </w:t>
      </w:r>
      <w:r w:rsidR="00D532F3">
        <w:t>ESEA</w:t>
      </w:r>
      <w:r w:rsidR="00171C04">
        <w:t xml:space="preserve">, </w:t>
      </w:r>
      <w:r w:rsidRPr="00171C04" w:rsidR="00171C04">
        <w:t xml:space="preserve">that </w:t>
      </w:r>
      <w:r w:rsidR="00385A1D">
        <w:t>a</w:t>
      </w:r>
      <w:r w:rsidRPr="00171C04" w:rsidR="00171C04">
        <w:t xml:space="preserve"> regular high school diploma </w:t>
      </w:r>
      <w:r w:rsidR="00CE4699">
        <w:t>may</w:t>
      </w:r>
      <w:r w:rsidRPr="00171C04" w:rsidR="00CE4699">
        <w:t xml:space="preserve"> </w:t>
      </w:r>
      <w:r w:rsidRPr="00171C04" w:rsidR="00171C04">
        <w:t>be earned “before</w:t>
      </w:r>
      <w:r w:rsidR="00050114">
        <w:t>,</w:t>
      </w:r>
      <w:r w:rsidRPr="00171C04" w:rsidR="00171C04">
        <w:t xml:space="preserve"> during</w:t>
      </w:r>
      <w:r w:rsidR="00050114">
        <w:t xml:space="preserve">, </w:t>
      </w:r>
      <w:r w:rsidR="00F122C5">
        <w:t xml:space="preserve">or </w:t>
      </w:r>
      <w:r w:rsidR="00C8726A">
        <w:t>at the conclusion of</w:t>
      </w:r>
      <w:r w:rsidRPr="00171C04" w:rsidR="00171C04">
        <w:t xml:space="preserve"> the fourth year of high school,” and not only at the conclusion of the fourth year of high school.  </w:t>
      </w:r>
      <w:r w:rsidR="00385A1D">
        <w:t xml:space="preserve">We also have </w:t>
      </w:r>
      <w:r w:rsidR="00987A3F">
        <w:t>added</w:t>
      </w:r>
      <w:r w:rsidRPr="00171C04" w:rsidR="00171C04">
        <w:t xml:space="preserve"> clause (II) in the statutory definitions of “four-year adjusted cohort graduation rate” (ESEA section 8101 (25)(A)(ii)(II)) and “extended-year adjusted cohort rate” (ESEA section 8101 (23)(A)(ii)(II)) that excludes a general equivalency diploma, certificate of completion, certificate of attendance or “similar lesser credential.”</w:t>
      </w:r>
    </w:p>
    <w:p w:rsidR="000765B2" w:rsidRPr="007C7F46" w:rsidP="5B71C50E" w14:paraId="1FE79B5B" w14:textId="4C96D9C3">
      <w:pPr>
        <w:pStyle w:val="ListParagraph"/>
        <w:numPr>
          <w:ilvl w:val="0"/>
          <w:numId w:val="3"/>
        </w:numPr>
        <w:rPr>
          <w:b/>
        </w:rPr>
      </w:pPr>
      <w:r w:rsidRPr="083E5E49">
        <w:rPr>
          <w:b/>
        </w:rPr>
        <w:t>The two commenters who expressed concern that the proposed data specifications for graduation rates did not include all of the text in the statutory description of the indicators</w:t>
      </w:r>
      <w:r w:rsidRPr="083E5E49" w:rsidR="00832E0D">
        <w:rPr>
          <w:b/>
        </w:rPr>
        <w:t xml:space="preserve"> also expressed concern that the specifications </w:t>
      </w:r>
      <w:r w:rsidRPr="083E5E49" w:rsidR="000464F9">
        <w:rPr>
          <w:b/>
        </w:rPr>
        <w:t>were “extremely complex, making it difficult to interpret for purposes of program improvement</w:t>
      </w:r>
      <w:r w:rsidRPr="083E5E49" w:rsidR="00AA0690">
        <w:rPr>
          <w:b/>
        </w:rPr>
        <w:t xml:space="preserve"> and transparency and for </w:t>
      </w:r>
      <w:r w:rsidR="004820D2">
        <w:rPr>
          <w:b/>
        </w:rPr>
        <w:t>S</w:t>
      </w:r>
      <w:r w:rsidRPr="083E5E49" w:rsidR="00AA0690">
        <w:rPr>
          <w:b/>
        </w:rPr>
        <w:t xml:space="preserve">tates to implement in alignment with their </w:t>
      </w:r>
      <w:r w:rsidR="003566DD">
        <w:rPr>
          <w:b/>
        </w:rPr>
        <w:t>[ESEA]</w:t>
      </w:r>
      <w:r w:rsidRPr="083E5E49" w:rsidR="003566DD">
        <w:rPr>
          <w:b/>
        </w:rPr>
        <w:t xml:space="preserve"> </w:t>
      </w:r>
      <w:r w:rsidRPr="083E5E49" w:rsidR="00AA0690">
        <w:rPr>
          <w:b/>
        </w:rPr>
        <w:t>cohort rate.”</w:t>
      </w:r>
    </w:p>
    <w:p w:rsidR="005B0592" w:rsidRPr="002B6F63" w:rsidP="005B0592" w14:paraId="04B75898" w14:textId="4664BDCD">
      <w:r>
        <w:rPr>
          <w:u w:val="single"/>
        </w:rPr>
        <w:t>Response</w:t>
      </w:r>
      <w:r>
        <w:t>:</w:t>
      </w:r>
      <w:r w:rsidRPr="00E1652E" w:rsidR="001A4D13">
        <w:t xml:space="preserve"> </w:t>
      </w:r>
      <w:r w:rsidR="001A0B9A">
        <w:t xml:space="preserve"> </w:t>
      </w:r>
      <w:r w:rsidR="00515DB2">
        <w:t xml:space="preserve">We think the four-year adjusted cohort </w:t>
      </w:r>
      <w:r w:rsidR="00F8783A">
        <w:t xml:space="preserve">graduation rate </w:t>
      </w:r>
      <w:r w:rsidR="00515DB2">
        <w:t xml:space="preserve">and </w:t>
      </w:r>
      <w:r w:rsidR="00F8783A">
        <w:t xml:space="preserve">the </w:t>
      </w:r>
      <w:r w:rsidR="00515DB2">
        <w:t xml:space="preserve">extended-year cohort </w:t>
      </w:r>
      <w:r w:rsidR="00F8783A">
        <w:t xml:space="preserve">graduation rate established by Congress in ESEA </w:t>
      </w:r>
      <w:r w:rsidR="00AC2238">
        <w:t xml:space="preserve">and </w:t>
      </w:r>
      <w:r w:rsidR="00A506D1">
        <w:t xml:space="preserve">incorporated by Congress </w:t>
      </w:r>
      <w:r w:rsidR="009D1D67">
        <w:t xml:space="preserve">in Perkins V </w:t>
      </w:r>
      <w:r w:rsidR="00C7684E">
        <w:t xml:space="preserve">are </w:t>
      </w:r>
      <w:r w:rsidR="005A435F">
        <w:t>commonly used</w:t>
      </w:r>
      <w:r w:rsidR="00131976">
        <w:t xml:space="preserve"> by those in the field</w:t>
      </w:r>
      <w:r w:rsidR="00143946">
        <w:t xml:space="preserve"> and can be ea</w:t>
      </w:r>
      <w:r w:rsidR="00C24D58">
        <w:t xml:space="preserve">sily </w:t>
      </w:r>
      <w:r w:rsidR="00857065">
        <w:t xml:space="preserve">used </w:t>
      </w:r>
      <w:r w:rsidR="00C24D58">
        <w:t>for program improvement purposes</w:t>
      </w:r>
      <w:r w:rsidR="00A506D1">
        <w:t xml:space="preserve">. </w:t>
      </w:r>
      <w:r w:rsidR="00631ACC">
        <w:t xml:space="preserve"> </w:t>
      </w:r>
      <w:r w:rsidR="00C24D58">
        <w:t xml:space="preserve">The proposed </w:t>
      </w:r>
      <w:r w:rsidR="00AB1014">
        <w:t>data specifications</w:t>
      </w:r>
      <w:r w:rsidR="003A12F5">
        <w:t>, which at the commenters</w:t>
      </w:r>
      <w:r w:rsidR="00E1628E">
        <w:t>’ recommendation, now include all of the statutory text</w:t>
      </w:r>
      <w:r w:rsidR="0000472A">
        <w:t xml:space="preserve"> from ESEA,</w:t>
      </w:r>
      <w:r w:rsidR="00854357">
        <w:t xml:space="preserve"> are </w:t>
      </w:r>
      <w:r w:rsidR="00B966A5">
        <w:t xml:space="preserve">intended for </w:t>
      </w:r>
      <w:r w:rsidR="00AD32E3">
        <w:t xml:space="preserve">use by eligible agencies </w:t>
      </w:r>
      <w:r w:rsidR="00755D08">
        <w:t xml:space="preserve">to assure that their measurement of these indicators </w:t>
      </w:r>
      <w:r w:rsidR="00DA4E3D">
        <w:t xml:space="preserve">is in complete “alignment with their </w:t>
      </w:r>
      <w:r w:rsidR="007744C5">
        <w:t xml:space="preserve">[ESEA] </w:t>
      </w:r>
      <w:r w:rsidR="00DA4E3D">
        <w:t>cohort rate</w:t>
      </w:r>
      <w:r w:rsidR="000B2F9A">
        <w:t xml:space="preserve">.”  </w:t>
      </w:r>
    </w:p>
    <w:p w:rsidR="005B0592" w:rsidRPr="005B0592" w:rsidP="005B0592" w14:paraId="44AE58EC" w14:textId="75988C91">
      <w:pPr>
        <w:rPr>
          <w:rStyle w:val="ui-provider"/>
        </w:rPr>
      </w:pPr>
      <w:r w:rsidRPr="000B564F">
        <w:rPr>
          <w:u w:val="single"/>
        </w:rPr>
        <w:t>Changes</w:t>
      </w:r>
      <w:r>
        <w:t>:</w:t>
      </w:r>
      <w:r w:rsidR="00ED72C4">
        <w:t xml:space="preserve"> </w:t>
      </w:r>
      <w:r w:rsidR="001A0B9A">
        <w:t xml:space="preserve"> </w:t>
      </w:r>
      <w:r w:rsidR="00ED72C4">
        <w:t>None.</w:t>
      </w:r>
    </w:p>
    <w:p w:rsidR="00357105" w:rsidRPr="002B19E8" w:rsidP="00357105" w14:paraId="65247715" w14:textId="03DC1F44">
      <w:pPr>
        <w:rPr>
          <w:rStyle w:val="ui-provider"/>
          <w:u w:val="single"/>
        </w:rPr>
      </w:pPr>
      <w:r>
        <w:rPr>
          <w:rStyle w:val="ui-provider"/>
          <w:u w:val="single"/>
        </w:rPr>
        <w:t xml:space="preserve">CTE Concentrator </w:t>
      </w:r>
      <w:r w:rsidRPr="002B19E8">
        <w:rPr>
          <w:rStyle w:val="ui-provider"/>
          <w:u w:val="single"/>
        </w:rPr>
        <w:t>Academic Proficiency</w:t>
      </w:r>
      <w:r>
        <w:rPr>
          <w:rStyle w:val="ui-provider"/>
          <w:u w:val="single"/>
        </w:rPr>
        <w:t xml:space="preserve"> (2S1, 2S2, 2S3) (page</w:t>
      </w:r>
      <w:r w:rsidR="00031D3F">
        <w:rPr>
          <w:rStyle w:val="ui-provider"/>
          <w:u w:val="single"/>
        </w:rPr>
        <w:t>s 32 to 34)</w:t>
      </w:r>
    </w:p>
    <w:p w:rsidR="00357105" w:rsidRPr="007C7F46" w:rsidP="5B71C50E" w14:paraId="42F93E24" w14:textId="47D049CE">
      <w:pPr>
        <w:pStyle w:val="ListParagraph"/>
        <w:numPr>
          <w:ilvl w:val="0"/>
          <w:numId w:val="3"/>
        </w:numPr>
        <w:rPr>
          <w:rStyle w:val="ui-provider"/>
          <w:b/>
          <w:bCs/>
        </w:rPr>
      </w:pPr>
      <w:r w:rsidRPr="007C7F46">
        <w:rPr>
          <w:rStyle w:val="ui-provider"/>
          <w:b/>
          <w:bCs/>
        </w:rPr>
        <w:t xml:space="preserve">A commenter expressed concern that the Department’s proposal to collect data on CTE concentrators’ academic proficiency (2S1, 2S2, and 2S3) upon their exit from secondary education would expand the pool of CTE concentrators about whom States report to include students who became CTE concentrators after taking the State academic assessments.  The commenter </w:t>
      </w:r>
      <w:r w:rsidR="004A7E0D">
        <w:rPr>
          <w:rStyle w:val="ui-provider"/>
          <w:b/>
          <w:bCs/>
        </w:rPr>
        <w:t>raised the example of</w:t>
      </w:r>
      <w:r w:rsidRPr="007C7F46">
        <w:rPr>
          <w:rStyle w:val="ui-provider"/>
          <w:b/>
          <w:bCs/>
        </w:rPr>
        <w:t xml:space="preserve"> a State that currently reports only on CTE concentrators </w:t>
      </w:r>
      <w:r w:rsidRPr="007C7F46">
        <w:rPr>
          <w:rStyle w:val="ui-provider"/>
          <w:b/>
          <w:bCs/>
        </w:rPr>
        <w:t>who took the 11th grade assessments</w:t>
      </w:r>
      <w:r w:rsidR="009F1526">
        <w:rPr>
          <w:rStyle w:val="ui-provider"/>
          <w:b/>
          <w:bCs/>
        </w:rPr>
        <w:t xml:space="preserve"> and</w:t>
      </w:r>
      <w:r w:rsidRPr="007C7F46">
        <w:rPr>
          <w:rStyle w:val="ui-provider"/>
          <w:b/>
          <w:bCs/>
        </w:rPr>
        <w:t xml:space="preserve"> does not report on students who became CTE concentrators in their senior year.</w:t>
      </w:r>
    </w:p>
    <w:p w:rsidR="00357105" w:rsidP="00357105" w14:paraId="6ED1B8ED" w14:textId="7FD9B479">
      <w:r w:rsidRPr="251A7841">
        <w:rPr>
          <w:u w:val="single"/>
        </w:rPr>
        <w:t>Response</w:t>
      </w:r>
      <w:r>
        <w:t xml:space="preserve">: </w:t>
      </w:r>
      <w:r w:rsidR="00E83556">
        <w:t xml:space="preserve"> </w:t>
      </w:r>
      <w:r>
        <w:t xml:space="preserve">Collecting data on CTE concentrators’ academic proficiency upon their exit from secondary education includes students who became CTE concentrators after taking the State academic assessments which, depending on the State, may be administered in different academic years. </w:t>
      </w:r>
      <w:r w:rsidR="00980832">
        <w:t xml:space="preserve"> </w:t>
      </w:r>
      <w:r>
        <w:t xml:space="preserve">The statutory definition of “CTE concentrator” at the secondary level in section 3(12) of Perkins V is a student “who has completed at least 2 courses in a single career and technical education program or program of study.”  This includes students who complete the two-course threshold in any year of high school, not just those students who concentrate prior to or in the year the State academic assessments are administered.  </w:t>
      </w:r>
    </w:p>
    <w:p w:rsidR="009B0E8F" w:rsidP="00357105" w14:paraId="069B7303" w14:textId="220D558C">
      <w:r w:rsidRPr="009B0E8F">
        <w:rPr>
          <w:u w:val="single"/>
        </w:rPr>
        <w:t>Changes</w:t>
      </w:r>
      <w:r>
        <w:t xml:space="preserve">: </w:t>
      </w:r>
      <w:r w:rsidR="00E83556">
        <w:t xml:space="preserve"> </w:t>
      </w:r>
      <w:r>
        <w:t xml:space="preserve">None. </w:t>
      </w:r>
    </w:p>
    <w:p w:rsidR="007E3C36" w:rsidRPr="007C7F46" w:rsidP="29E4B9DF" w14:paraId="41CD603B" w14:textId="42EA9842">
      <w:pPr>
        <w:pStyle w:val="ListParagraph"/>
        <w:numPr>
          <w:ilvl w:val="0"/>
          <w:numId w:val="3"/>
        </w:numPr>
        <w:rPr>
          <w:b/>
        </w:rPr>
      </w:pPr>
      <w:r w:rsidRPr="29E4B9DF">
        <w:rPr>
          <w:b/>
        </w:rPr>
        <w:t xml:space="preserve">One commenter contended that the proposed data specifications for the core indicators of performance “appear to mandate reporting approaches that are inconsistent with how these measures are being implemented in </w:t>
      </w:r>
      <w:r w:rsidR="00834343">
        <w:rPr>
          <w:b/>
        </w:rPr>
        <w:t>[ESEA]</w:t>
      </w:r>
      <w:r w:rsidRPr="29E4B9DF">
        <w:rPr>
          <w:b/>
        </w:rPr>
        <w:t>, potentially re-siloing CTE and K– 12 education reporting.”  The commenter went on to express concern that “this approach may undermine ongoing state efforts to develop statewide data dashboards that serve as critical access points to this integrated information for students, teachers,</w:t>
      </w:r>
      <w:r w:rsidRPr="00EB64E0">
        <w:t xml:space="preserve"> </w:t>
      </w:r>
      <w:r w:rsidRPr="29E4B9DF">
        <w:rPr>
          <w:b/>
        </w:rPr>
        <w:t>school leaders, local workforce boards, and other state and local data users.”</w:t>
      </w:r>
      <w:r w:rsidRPr="29E4B9DF" w:rsidR="00BE147D">
        <w:rPr>
          <w:b/>
        </w:rPr>
        <w:t xml:space="preserve"> </w:t>
      </w:r>
      <w:r w:rsidR="002513CE">
        <w:rPr>
          <w:b/>
        </w:rPr>
        <w:t xml:space="preserve"> </w:t>
      </w:r>
      <w:r w:rsidRPr="29E4B9DF" w:rsidR="00BE147D">
        <w:rPr>
          <w:b/>
        </w:rPr>
        <w:t xml:space="preserve">Two commenters </w:t>
      </w:r>
      <w:r w:rsidRPr="29E4B9DF" w:rsidR="00D75843">
        <w:rPr>
          <w:b/>
        </w:rPr>
        <w:t xml:space="preserve">had similar concerns, </w:t>
      </w:r>
      <w:r w:rsidRPr="29E4B9DF" w:rsidR="00600796">
        <w:rPr>
          <w:b/>
        </w:rPr>
        <w:t>maintain</w:t>
      </w:r>
      <w:r w:rsidRPr="29E4B9DF" w:rsidR="00D75843">
        <w:rPr>
          <w:b/>
        </w:rPr>
        <w:t xml:space="preserve">ing </w:t>
      </w:r>
      <w:r w:rsidRPr="29E4B9DF" w:rsidR="00600796">
        <w:rPr>
          <w:b/>
        </w:rPr>
        <w:t>that the academic profic</w:t>
      </w:r>
      <w:r w:rsidRPr="29E4B9DF" w:rsidR="00D75843">
        <w:rPr>
          <w:b/>
        </w:rPr>
        <w:t>iency data spec</w:t>
      </w:r>
      <w:r w:rsidRPr="29E4B9DF" w:rsidR="00816242">
        <w:rPr>
          <w:b/>
        </w:rPr>
        <w:t xml:space="preserve">ifications would reduce alignment between Perkins V and ESEA reporting. </w:t>
      </w:r>
    </w:p>
    <w:p w:rsidR="007E3C36" w:rsidP="007E3C36" w14:paraId="7EF1A07B" w14:textId="13798D49">
      <w:r w:rsidRPr="009B0E8F">
        <w:rPr>
          <w:u w:val="single"/>
        </w:rPr>
        <w:t>Response</w:t>
      </w:r>
      <w:r>
        <w:t xml:space="preserve">:  </w:t>
      </w:r>
      <w:r>
        <w:t xml:space="preserve">The </w:t>
      </w:r>
      <w:r w:rsidR="009935B1">
        <w:t xml:space="preserve">proposed data </w:t>
      </w:r>
      <w:r>
        <w:t xml:space="preserve">specifications for the three Perkins V academic proficiency indicators </w:t>
      </w:r>
      <w:r w:rsidR="009935B1">
        <w:t xml:space="preserve">described by section 113(b)(2)(A)(ii) of Perkins V (2S1, 2S2, and 2S3) </w:t>
      </w:r>
      <w:r>
        <w:t xml:space="preserve">are fully aligned with the requirements for reporting on student achievement on the State academic assessments in the State report card under paragraph (h) of section 1111 of </w:t>
      </w:r>
      <w:r w:rsidR="0085599A">
        <w:t xml:space="preserve">Title I, Part A of </w:t>
      </w:r>
      <w:r w:rsidRPr="0085599A" w:rsidR="0085599A">
        <w:t>the ESEA</w:t>
      </w:r>
      <w:r w:rsidR="0085599A">
        <w:t xml:space="preserve"> </w:t>
      </w:r>
      <w:r>
        <w:t xml:space="preserve"> (ESEA, §1111(h)(1)(</w:t>
      </w:r>
      <w:r w:rsidR="5605B52F">
        <w:t>C</w:t>
      </w:r>
      <w:r>
        <w:t xml:space="preserve">)(ii)).  </w:t>
      </w:r>
    </w:p>
    <w:p w:rsidR="007E3C36" w:rsidP="007E3C36" w14:paraId="16A681DA" w14:textId="52ED1168">
      <w:r>
        <w:t xml:space="preserve">Data on student </w:t>
      </w:r>
      <w:r w:rsidRPr="009D5999">
        <w:t xml:space="preserve">performance on </w:t>
      </w:r>
      <w:r>
        <w:t xml:space="preserve">the </w:t>
      </w:r>
      <w:r w:rsidRPr="009D5999">
        <w:t xml:space="preserve">State assessments in reading/language arts and mathematics (but not science) </w:t>
      </w:r>
      <w:r>
        <w:t>are also used for</w:t>
      </w:r>
      <w:r w:rsidRPr="009D5999">
        <w:t xml:space="preserve"> the academic achievement indicator in the State’s </w:t>
      </w:r>
      <w:r>
        <w:t xml:space="preserve">ESEA Title I, Part A </w:t>
      </w:r>
      <w:r w:rsidRPr="009D5999">
        <w:t>system of annual meaningful differentiation</w:t>
      </w:r>
      <w:r>
        <w:t xml:space="preserve">, which is </w:t>
      </w:r>
      <w:r w:rsidRPr="009D5999">
        <w:t>used to identify schools for support and improvement</w:t>
      </w:r>
      <w:r>
        <w:t xml:space="preserve">.  The </w:t>
      </w:r>
      <w:r w:rsidR="008D33C0">
        <w:t>ESEA</w:t>
      </w:r>
      <w:r>
        <w:t xml:space="preserve"> academic achievement indicator in the State’s system of annual meaningful differentiation is not consistent with the requirements of s</w:t>
      </w:r>
      <w:r w:rsidRPr="00277171">
        <w:t xml:space="preserve">ection 113(b)(2)(A)(ii) of </w:t>
      </w:r>
      <w:r>
        <w:t>Perkins V for two reasons.  First, f</w:t>
      </w:r>
      <w:r w:rsidRPr="009D5999">
        <w:t xml:space="preserve">or high schools only, </w:t>
      </w:r>
      <w:r w:rsidR="00EA405F">
        <w:t xml:space="preserve">a </w:t>
      </w:r>
      <w:r>
        <w:t>State</w:t>
      </w:r>
      <w:r w:rsidRPr="009D5999">
        <w:t xml:space="preserve"> may choose to include in th</w:t>
      </w:r>
      <w:r>
        <w:t>e</w:t>
      </w:r>
      <w:r w:rsidR="008D33C0">
        <w:t xml:space="preserve"> ESEA</w:t>
      </w:r>
      <w:r w:rsidRPr="009D5999">
        <w:t xml:space="preserve"> academic achievement indicator students who demonstrate growth in their performance on the</w:t>
      </w:r>
      <w:r>
        <w:t xml:space="preserve"> ESEA</w:t>
      </w:r>
      <w:r w:rsidRPr="009D5999">
        <w:t xml:space="preserve"> </w:t>
      </w:r>
      <w:r>
        <w:t xml:space="preserve">academic </w:t>
      </w:r>
      <w:r w:rsidRPr="009D5999">
        <w:t>assessments</w:t>
      </w:r>
      <w:r>
        <w:t>, as well as students who demonstrate proficiency.  S</w:t>
      </w:r>
      <w:r w:rsidRPr="002E4A93">
        <w:t>ection 113(b)(2)(A)(ii) of Perkins V</w:t>
      </w:r>
      <w:r>
        <w:t>, however,</w:t>
      </w:r>
      <w:r w:rsidRPr="002E4A93">
        <w:t xml:space="preserve"> refers only to “CTE concentrator proficiency” as measured by the academic assessments described in ESEA section 1111(b)(2); it does not include CTE concentrators who make progress toward proficiency.</w:t>
      </w:r>
      <w:r>
        <w:t xml:space="preserve"> </w:t>
      </w:r>
      <w:r w:rsidR="00A06B94">
        <w:t xml:space="preserve"> </w:t>
      </w:r>
      <w:r>
        <w:t>The academic achievement indicator in the State s</w:t>
      </w:r>
      <w:r w:rsidRPr="00F131A6">
        <w:t xml:space="preserve">ystem of annual meaningful differentiation </w:t>
      </w:r>
      <w:r>
        <w:t xml:space="preserve">under ESEA also </w:t>
      </w:r>
      <w:r w:rsidRPr="00017DE6">
        <w:t>exclude</w:t>
      </w:r>
      <w:r>
        <w:t>s</w:t>
      </w:r>
      <w:r w:rsidRPr="00017DE6">
        <w:t xml:space="preserve"> the </w:t>
      </w:r>
      <w:r>
        <w:t xml:space="preserve">assessment </w:t>
      </w:r>
      <w:r w:rsidRPr="00017DE6">
        <w:t xml:space="preserve">performance of any student who </w:t>
      </w:r>
      <w:r>
        <w:t xml:space="preserve">did </w:t>
      </w:r>
      <w:r w:rsidRPr="00017DE6">
        <w:t>not attend</w:t>
      </w:r>
      <w:r>
        <w:t xml:space="preserve"> </w:t>
      </w:r>
      <w:r w:rsidRPr="00017DE6">
        <w:t>the same school within a local educational agency for at least half of a school year</w:t>
      </w:r>
      <w:r>
        <w:t>.  The statutory description of the academic proficiency indicators in</w:t>
      </w:r>
      <w:r w:rsidR="007F5BBF">
        <w:t xml:space="preserve"> section </w:t>
      </w:r>
      <w:r w:rsidRPr="00277171" w:rsidR="00C911D4">
        <w:t xml:space="preserve">113(b)(2)(A)(ii) </w:t>
      </w:r>
      <w:r w:rsidR="00766E42">
        <w:t>of</w:t>
      </w:r>
      <w:r>
        <w:t xml:space="preserve"> Perkins V, on the other hand, does not exclude the performance of CTE concentrators with partial attendance.</w:t>
      </w:r>
    </w:p>
    <w:p w:rsidR="007E3C36" w:rsidP="007E3C36" w14:paraId="0CD042B8" w14:textId="77777777">
      <w:r>
        <w:t xml:space="preserve">With respect to the concern about undermining State “data dashboards,” we point out again that the proposed data specifications for the Perkins V academic proficiency indicators would require States to </w:t>
      </w:r>
      <w:r>
        <w:t xml:space="preserve">align their reporting on CTE concentrator proficiency with how States are reporting on student academic proficiency on the ESEA State report card, bringing these two systems more closely into alignment.  </w:t>
      </w:r>
    </w:p>
    <w:p w:rsidR="009B0E8F" w:rsidP="007E3C36" w14:paraId="5D357336" w14:textId="6255B085">
      <w:r w:rsidRPr="009B0E8F">
        <w:rPr>
          <w:u w:val="single"/>
        </w:rPr>
        <w:t>Changes</w:t>
      </w:r>
      <w:r>
        <w:t xml:space="preserve">: </w:t>
      </w:r>
      <w:r w:rsidR="00983595">
        <w:t xml:space="preserve"> </w:t>
      </w:r>
      <w:r>
        <w:t xml:space="preserve">None. </w:t>
      </w:r>
    </w:p>
    <w:p w:rsidR="007E3C36" w:rsidRPr="007C7F46" w:rsidP="02068573" w14:paraId="2C9C3B00" w14:textId="37B1CE49">
      <w:pPr>
        <w:pStyle w:val="ListParagraph"/>
        <w:numPr>
          <w:ilvl w:val="0"/>
          <w:numId w:val="3"/>
        </w:numPr>
        <w:rPr>
          <w:b/>
        </w:rPr>
      </w:pPr>
      <w:r w:rsidRPr="29E4B9DF">
        <w:rPr>
          <w:b/>
        </w:rPr>
        <w:t xml:space="preserve">One commenter maintained that the use of an “exit” cohort for </w:t>
      </w:r>
      <w:r w:rsidRPr="29E4B9DF" w:rsidR="00244825">
        <w:rPr>
          <w:b/>
        </w:rPr>
        <w:t xml:space="preserve">reporting on </w:t>
      </w:r>
      <w:r w:rsidRPr="29E4B9DF">
        <w:rPr>
          <w:b/>
        </w:rPr>
        <w:t xml:space="preserve">CTE concentrator </w:t>
      </w:r>
      <w:r w:rsidRPr="29E4B9DF" w:rsidR="00156FC2">
        <w:rPr>
          <w:b/>
        </w:rPr>
        <w:t xml:space="preserve">academic </w:t>
      </w:r>
      <w:r w:rsidRPr="29E4B9DF">
        <w:rPr>
          <w:b/>
        </w:rPr>
        <w:t>proficiency is inconsistent with how States report on academic proficiency under ESEA Title I, Part A.</w:t>
      </w:r>
    </w:p>
    <w:p w:rsidR="007E3C36" w:rsidP="007E3C36" w14:paraId="009044A6" w14:textId="1B2F38EF">
      <w:r w:rsidRPr="009B0E8F">
        <w:rPr>
          <w:u w:val="single"/>
        </w:rPr>
        <w:t>Response</w:t>
      </w:r>
      <w:r>
        <w:t xml:space="preserve">:  </w:t>
      </w:r>
      <w:r>
        <w:t>It is the use of an “active” cohort to report CTE concentrator proficiency that is inconsistent with State reporting on student academic performance under ESEA, Title I, Part A</w:t>
      </w:r>
      <w:r w:rsidR="00AA04D1">
        <w:t>,</w:t>
      </w:r>
      <w:r w:rsidR="00A63763">
        <w:t xml:space="preserve"> </w:t>
      </w:r>
      <w:r>
        <w:t>not the use of an “exit” cohort</w:t>
      </w:r>
      <w:r w:rsidR="00B74056">
        <w:t xml:space="preserve">, i.e. </w:t>
      </w:r>
      <w:r w:rsidR="002254C7">
        <w:t xml:space="preserve">under Title I, a student’s performance on the assessments is </w:t>
      </w:r>
      <w:r w:rsidR="00B74056">
        <w:t xml:space="preserve">counted </w:t>
      </w:r>
      <w:r w:rsidR="002254C7">
        <w:t>only one time in high school</w:t>
      </w:r>
      <w:r w:rsidR="00EF19CE">
        <w:t xml:space="preserve"> and a</w:t>
      </w:r>
      <w:r w:rsidR="002254C7">
        <w:t xml:space="preserve"> </w:t>
      </w:r>
      <w:r w:rsidR="00BF56B7">
        <w:t>S</w:t>
      </w:r>
      <w:r w:rsidR="002254C7">
        <w:t xml:space="preserve">tate may not include the same result in the accountability system more than </w:t>
      </w:r>
      <w:r w:rsidR="007C1059">
        <w:t>once</w:t>
      </w:r>
      <w:r>
        <w:t xml:space="preserve">.  Under ESEA Title I, Part A, States </w:t>
      </w:r>
      <w:r w:rsidR="00EB48E9">
        <w:t xml:space="preserve">must assess </w:t>
      </w:r>
      <w:r w:rsidR="008511F8">
        <w:t xml:space="preserve">every student at </w:t>
      </w:r>
      <w:r w:rsidRPr="00BF56B7" w:rsidR="008511F8">
        <w:t xml:space="preserve">least </w:t>
      </w:r>
      <w:r w:rsidRPr="00BF56B7">
        <w:t>once</w:t>
      </w:r>
      <w:r>
        <w:t xml:space="preserve"> on </w:t>
      </w:r>
      <w:r w:rsidR="007B334E">
        <w:t>the</w:t>
      </w:r>
      <w:r>
        <w:t xml:space="preserve"> student’s proficiency </w:t>
      </w:r>
      <w:r w:rsidR="007B334E">
        <w:t>on the State assessments</w:t>
      </w:r>
      <w:r w:rsidR="002C6F2A">
        <w:t xml:space="preserve">; some States </w:t>
      </w:r>
      <w:r w:rsidR="00877619">
        <w:t>report on the current year’s participants</w:t>
      </w:r>
      <w:r w:rsidR="007922A3">
        <w:t xml:space="preserve"> and others report based on a cohort model. </w:t>
      </w:r>
      <w:r w:rsidR="00741763">
        <w:t xml:space="preserve"> </w:t>
      </w:r>
      <w:r w:rsidR="00923EBF">
        <w:t xml:space="preserve">States have discretion on the content and </w:t>
      </w:r>
      <w:r w:rsidR="0059131F">
        <w:t xml:space="preserve">grade in which the assessments are administered, </w:t>
      </w:r>
      <w:r w:rsidR="00C53AC8">
        <w:t xml:space="preserve">so </w:t>
      </w:r>
      <w:r w:rsidR="0059131F">
        <w:t xml:space="preserve">the only way to capture </w:t>
      </w:r>
      <w:r w:rsidR="00627B39">
        <w:t xml:space="preserve">the overall performance of CTE concentrators </w:t>
      </w:r>
      <w:r w:rsidR="007869EB">
        <w:t xml:space="preserve">is through an </w:t>
      </w:r>
      <w:r w:rsidR="00996E6E">
        <w:t>exit</w:t>
      </w:r>
      <w:r w:rsidR="007869EB">
        <w:t xml:space="preserve"> cohort, where </w:t>
      </w:r>
      <w:r w:rsidR="00CD0D7D">
        <w:t>the</w:t>
      </w:r>
      <w:r w:rsidR="00DA451E">
        <w:t xml:space="preserve"> student</w:t>
      </w:r>
      <w:r w:rsidR="00DC0228">
        <w:t>’s assessment performance</w:t>
      </w:r>
      <w:r w:rsidR="00DA451E">
        <w:t xml:space="preserve"> </w:t>
      </w:r>
      <w:r w:rsidR="00CD0D7D">
        <w:t>is included only one time</w:t>
      </w:r>
      <w:r w:rsidR="00DA451E">
        <w:t xml:space="preserve"> </w:t>
      </w:r>
      <w:r w:rsidR="00DC0228">
        <w:t>in high school</w:t>
      </w:r>
      <w:r w:rsidR="00E62FE8">
        <w:t xml:space="preserve">. </w:t>
      </w:r>
      <w:r w:rsidR="00741763">
        <w:t xml:space="preserve"> </w:t>
      </w:r>
      <w:r w:rsidR="00E62FE8">
        <w:t>This</w:t>
      </w:r>
      <w:r w:rsidR="00145CB2">
        <w:t xml:space="preserve"> bring</w:t>
      </w:r>
      <w:r w:rsidR="00E62FE8">
        <w:t>s</w:t>
      </w:r>
      <w:r w:rsidR="00145CB2">
        <w:t xml:space="preserve"> Perkins into alignment with ESEA </w:t>
      </w:r>
      <w:r w:rsidR="00EA52C4">
        <w:t>measurement and reporting</w:t>
      </w:r>
      <w:r w:rsidR="00E62FE8">
        <w:t xml:space="preserve"> regarding the requirement to include a student’s </w:t>
      </w:r>
      <w:r w:rsidR="003A36D6">
        <w:t>performance only one time</w:t>
      </w:r>
      <w:r w:rsidR="00297E2A">
        <w:t xml:space="preserve">, </w:t>
      </w:r>
      <w:r w:rsidR="00583702">
        <w:t xml:space="preserve">which the Department believes is the most important </w:t>
      </w:r>
      <w:r w:rsidR="00F70D6C">
        <w:t xml:space="preserve">aspect of the requirement, </w:t>
      </w:r>
      <w:r w:rsidR="00297E2A">
        <w:t>even though it may result in the student’s performance being reported in different years</w:t>
      </w:r>
      <w:r w:rsidR="00082EC0">
        <w:t xml:space="preserve"> for Perkins V and Title I, Part A reporting</w:t>
      </w:r>
      <w:r>
        <w:t>.</w:t>
      </w:r>
    </w:p>
    <w:p w:rsidR="009B0E8F" w:rsidP="007E3C36" w14:paraId="1145F79B" w14:textId="4B0A33B1">
      <w:r w:rsidRPr="009B0E8F">
        <w:rPr>
          <w:u w:val="single"/>
        </w:rPr>
        <w:t>Changes</w:t>
      </w:r>
      <w:r>
        <w:t xml:space="preserve">: </w:t>
      </w:r>
      <w:r w:rsidR="006B2BC2">
        <w:t xml:space="preserve"> </w:t>
      </w:r>
      <w:r>
        <w:t xml:space="preserve">None. </w:t>
      </w:r>
    </w:p>
    <w:p w:rsidR="00357105" w:rsidRPr="007C7F46" w:rsidP="02068573" w14:paraId="7EB051BB" w14:textId="53F8C703">
      <w:pPr>
        <w:pStyle w:val="ListParagraph"/>
        <w:numPr>
          <w:ilvl w:val="0"/>
          <w:numId w:val="3"/>
        </w:numPr>
        <w:rPr>
          <w:b/>
        </w:rPr>
      </w:pPr>
      <w:r w:rsidRPr="02068573">
        <w:rPr>
          <w:b/>
        </w:rPr>
        <w:t xml:space="preserve">Two commenters objected to the use of an “exit” cohort for </w:t>
      </w:r>
      <w:r w:rsidRPr="02068573" w:rsidR="00244825">
        <w:rPr>
          <w:b/>
        </w:rPr>
        <w:t xml:space="preserve">reporting on </w:t>
      </w:r>
      <w:r w:rsidRPr="02068573">
        <w:rPr>
          <w:b/>
        </w:rPr>
        <w:t xml:space="preserve">CTE concentrator academic proficiency </w:t>
      </w:r>
      <w:r w:rsidRPr="02068573" w:rsidR="00130C2C">
        <w:rPr>
          <w:b/>
        </w:rPr>
        <w:t xml:space="preserve">because </w:t>
      </w:r>
      <w:r w:rsidRPr="02068573" w:rsidR="001728A5">
        <w:rPr>
          <w:b/>
        </w:rPr>
        <w:t xml:space="preserve">waiting until a concentrator exits secondary school </w:t>
      </w:r>
      <w:r w:rsidRPr="02068573" w:rsidR="00130C2C">
        <w:rPr>
          <w:b/>
        </w:rPr>
        <w:t xml:space="preserve">would </w:t>
      </w:r>
      <w:r w:rsidRPr="02068573" w:rsidR="00DD078A">
        <w:rPr>
          <w:b/>
        </w:rPr>
        <w:t xml:space="preserve">prevent States from using academic assessment </w:t>
      </w:r>
      <w:r w:rsidRPr="02068573" w:rsidR="00244825">
        <w:rPr>
          <w:b/>
        </w:rPr>
        <w:t xml:space="preserve">for performance improvement </w:t>
      </w:r>
      <w:r w:rsidRPr="02068573" w:rsidR="001728A5">
        <w:rPr>
          <w:b/>
        </w:rPr>
        <w:t>purposes while the student is still enrolled in school.</w:t>
      </w:r>
    </w:p>
    <w:p w:rsidR="005B0592" w:rsidP="005B0592" w14:paraId="368FA3A3" w14:textId="088AE3BD">
      <w:pPr>
        <w:rPr>
          <w:u w:val="single"/>
        </w:rPr>
      </w:pPr>
      <w:r>
        <w:rPr>
          <w:u w:val="single"/>
        </w:rPr>
        <w:t>Response</w:t>
      </w:r>
      <w:r>
        <w:t>:</w:t>
      </w:r>
      <w:r w:rsidR="004D364A">
        <w:t xml:space="preserve"> </w:t>
      </w:r>
      <w:r w:rsidR="006B2BC2">
        <w:t xml:space="preserve"> </w:t>
      </w:r>
      <w:r w:rsidR="004D364A">
        <w:t xml:space="preserve">The Department </w:t>
      </w:r>
      <w:r w:rsidR="00CA6C3F">
        <w:t>has proposed</w:t>
      </w:r>
      <w:r w:rsidR="004D364A">
        <w:t xml:space="preserve"> specifications for the three Perkins V academic proficiency indicators </w:t>
      </w:r>
      <w:r w:rsidR="00CA6C3F">
        <w:t>to</w:t>
      </w:r>
      <w:r w:rsidR="004D364A">
        <w:t xml:space="preserve"> fully align with the requirements for reporting on student achievement on the ESEA State academic assessments in the State report card under paragraph (h) of section 1111 of ESEA, Title I, Part A (ESEA, §1111(h)(1)(c)(ii))</w:t>
      </w:r>
      <w:r w:rsidR="00CA6C3F">
        <w:t xml:space="preserve">, consistent with the </w:t>
      </w:r>
      <w:r w:rsidR="003113C8">
        <w:t xml:space="preserve">Perkins V </w:t>
      </w:r>
      <w:r w:rsidR="00CA6C3F">
        <w:t>statute</w:t>
      </w:r>
      <w:r w:rsidR="004D364A">
        <w:t xml:space="preserve">.  </w:t>
      </w:r>
      <w:r w:rsidRPr="00DD1EA4" w:rsidR="00DD1EA4">
        <w:t>The proposed data specifications</w:t>
      </w:r>
      <w:r w:rsidR="00492B0E">
        <w:t xml:space="preserve"> only</w:t>
      </w:r>
      <w:r w:rsidRPr="00DD1EA4" w:rsidR="00DD1EA4">
        <w:t xml:space="preserve"> indicate when a State reports on academic proficiency </w:t>
      </w:r>
      <w:r w:rsidRPr="004F40FE" w:rsidR="00DD1EA4">
        <w:t>to the Department</w:t>
      </w:r>
      <w:r w:rsidRPr="00DD1EA4" w:rsidR="00DD1EA4">
        <w:t xml:space="preserve">.  </w:t>
      </w:r>
      <w:r w:rsidRPr="004F40FE" w:rsidR="00DD1EA4">
        <w:t>They</w:t>
      </w:r>
      <w:r w:rsidRPr="00DD1EA4" w:rsidR="00DD1EA4">
        <w:t xml:space="preserve"> do not prevent States from using academic assessment data for performance and program improvement purposes</w:t>
      </w:r>
      <w:r w:rsidR="00DD1EA4">
        <w:t xml:space="preserve"> </w:t>
      </w:r>
      <w:r w:rsidRPr="00DD1EA4" w:rsidR="00DD1EA4">
        <w:t>as soon as the</w:t>
      </w:r>
      <w:r w:rsidR="00DD1EA4">
        <w:t xml:space="preserve">se data </w:t>
      </w:r>
      <w:r w:rsidRPr="00DD1EA4" w:rsidR="00DD1EA4">
        <w:t>become available.</w:t>
      </w:r>
      <w:r w:rsidR="00444FF6">
        <w:t xml:space="preserve">  </w:t>
      </w:r>
    </w:p>
    <w:p w:rsidR="005B0592" w:rsidRPr="005B0592" w:rsidP="005B0592" w14:paraId="4217FCB3" w14:textId="6BD8D89B">
      <w:r w:rsidRPr="000B564F">
        <w:rPr>
          <w:u w:val="single"/>
        </w:rPr>
        <w:t>Changes</w:t>
      </w:r>
      <w:r>
        <w:t>:</w:t>
      </w:r>
      <w:r w:rsidR="00A7371D">
        <w:t xml:space="preserve"> </w:t>
      </w:r>
      <w:r w:rsidR="006B2BC2">
        <w:t xml:space="preserve"> </w:t>
      </w:r>
      <w:r w:rsidR="00A7371D">
        <w:t>None.</w:t>
      </w:r>
    </w:p>
    <w:p w:rsidR="0088354D" w:rsidRPr="007C7F46" w:rsidP="1893C39D" w14:paraId="21E931A9" w14:textId="7A4CC46F">
      <w:pPr>
        <w:pStyle w:val="ListParagraph"/>
        <w:numPr>
          <w:ilvl w:val="0"/>
          <w:numId w:val="3"/>
        </w:numPr>
        <w:rPr>
          <w:b/>
        </w:rPr>
      </w:pPr>
      <w:r w:rsidRPr="02068573">
        <w:rPr>
          <w:b/>
        </w:rPr>
        <w:t xml:space="preserve">One commenter objected to the proposed data specifications for reporting on CTE concentrator academic proficiency </w:t>
      </w:r>
      <w:r w:rsidRPr="02068573" w:rsidR="00EF74E1">
        <w:rPr>
          <w:b/>
        </w:rPr>
        <w:t xml:space="preserve">because they </w:t>
      </w:r>
      <w:r w:rsidRPr="02068573" w:rsidR="00746B00">
        <w:rPr>
          <w:b/>
        </w:rPr>
        <w:t xml:space="preserve">interpreted them as </w:t>
      </w:r>
      <w:r w:rsidRPr="02068573" w:rsidR="00EF74E1">
        <w:rPr>
          <w:b/>
        </w:rPr>
        <w:t>requir</w:t>
      </w:r>
      <w:r w:rsidRPr="02068573" w:rsidR="00746B00">
        <w:rPr>
          <w:b/>
        </w:rPr>
        <w:t>ing</w:t>
      </w:r>
      <w:r w:rsidRPr="02068573" w:rsidR="00EF74E1">
        <w:rPr>
          <w:b/>
        </w:rPr>
        <w:t xml:space="preserve"> </w:t>
      </w:r>
      <w:r w:rsidRPr="02068573" w:rsidR="005D4843">
        <w:rPr>
          <w:b/>
        </w:rPr>
        <w:t xml:space="preserve">the State to report </w:t>
      </w:r>
      <w:r w:rsidRPr="02068573" w:rsidR="003E2123">
        <w:rPr>
          <w:b/>
        </w:rPr>
        <w:t xml:space="preserve">on CTE concentrator proficiency in each of grades 8 through 12. </w:t>
      </w:r>
      <w:r w:rsidRPr="02068573" w:rsidR="006723EC">
        <w:rPr>
          <w:b/>
        </w:rPr>
        <w:t xml:space="preserve"> The State currently </w:t>
      </w:r>
      <w:r w:rsidRPr="02068573" w:rsidR="00A01700">
        <w:rPr>
          <w:b/>
        </w:rPr>
        <w:t xml:space="preserve">reports </w:t>
      </w:r>
      <w:r w:rsidRPr="02068573" w:rsidR="005561F4">
        <w:rPr>
          <w:b/>
        </w:rPr>
        <w:t>on academic proficiency using the CTE concentrator</w:t>
      </w:r>
      <w:r w:rsidRPr="02068573" w:rsidR="008C6CE9">
        <w:rPr>
          <w:b/>
        </w:rPr>
        <w:t xml:space="preserve">’s best score on the </w:t>
      </w:r>
      <w:r w:rsidRPr="02068573" w:rsidR="00D659D2">
        <w:rPr>
          <w:b/>
        </w:rPr>
        <w:t>S</w:t>
      </w:r>
      <w:r w:rsidRPr="02068573" w:rsidR="008C6CE9">
        <w:rPr>
          <w:b/>
        </w:rPr>
        <w:t>tate assessment through the end of the 11</w:t>
      </w:r>
      <w:r w:rsidRPr="02068573" w:rsidR="008C6CE9">
        <w:rPr>
          <w:b/>
          <w:vertAlign w:val="superscript"/>
        </w:rPr>
        <w:t>th</w:t>
      </w:r>
      <w:r w:rsidRPr="02068573" w:rsidR="008C6CE9">
        <w:rPr>
          <w:b/>
        </w:rPr>
        <w:t xml:space="preserve"> grade year.   </w:t>
      </w:r>
    </w:p>
    <w:p w:rsidR="005B0592" w:rsidP="005B0592" w14:paraId="5E7AB7CB" w14:textId="3EA26170">
      <w:pPr>
        <w:rPr>
          <w:u w:val="single"/>
        </w:rPr>
      </w:pPr>
      <w:r>
        <w:rPr>
          <w:u w:val="single"/>
        </w:rPr>
        <w:t>Response</w:t>
      </w:r>
      <w:r>
        <w:t>:</w:t>
      </w:r>
      <w:r w:rsidRPr="00B7737C">
        <w:t xml:space="preserve"> </w:t>
      </w:r>
      <w:r w:rsidRPr="00B7737C" w:rsidR="00772641">
        <w:t xml:space="preserve"> The proposed data specifications do not request that States report on </w:t>
      </w:r>
      <w:r w:rsidRPr="00B7737C" w:rsidR="002E5478">
        <w:t xml:space="preserve">CTE concentrators’ </w:t>
      </w:r>
      <w:r w:rsidRPr="00B7737C" w:rsidR="00772641">
        <w:t>academic</w:t>
      </w:r>
      <w:r w:rsidRPr="00B7737C" w:rsidR="002E5478">
        <w:t xml:space="preserve"> proficiency in each of grades </w:t>
      </w:r>
      <w:r w:rsidRPr="00B7737C" w:rsidR="001635BE">
        <w:t xml:space="preserve">8 through 12.  They request that States report </w:t>
      </w:r>
      <w:r w:rsidRPr="00B462BB" w:rsidR="00F113D9">
        <w:t>once</w:t>
      </w:r>
      <w:r w:rsidRPr="00B7737C" w:rsidR="00F113D9">
        <w:t xml:space="preserve"> on academic </w:t>
      </w:r>
      <w:r w:rsidRPr="00B7737C" w:rsidR="00F113D9">
        <w:t>proficiency when the CTE concentrator exits secondary education</w:t>
      </w:r>
      <w:r w:rsidRPr="00B7737C" w:rsidR="00D27624">
        <w:t xml:space="preserve">.  </w:t>
      </w:r>
      <w:r w:rsidR="004F24F5">
        <w:t>In the case of t</w:t>
      </w:r>
      <w:r w:rsidR="00A73C53">
        <w:t>he</w:t>
      </w:r>
      <w:r w:rsidRPr="00B7737C" w:rsidR="00A73C53">
        <w:t xml:space="preserve"> State </w:t>
      </w:r>
      <w:r w:rsidR="009F259E">
        <w:t>example raised by the commenter</w:t>
      </w:r>
      <w:r w:rsidR="004F24F5">
        <w:t>, the</w:t>
      </w:r>
      <w:r w:rsidRPr="00B7737C" w:rsidR="00A73C53">
        <w:t xml:space="preserve"> State would continue to </w:t>
      </w:r>
      <w:r w:rsidRPr="00B7737C" w:rsidR="0045611E">
        <w:t xml:space="preserve">report </w:t>
      </w:r>
      <w:r w:rsidRPr="00B7737C" w:rsidR="00D659D2">
        <w:t xml:space="preserve">on academic proficiency using the CTE concentrator’s best score on the State assessment through the end of the 11th grade </w:t>
      </w:r>
      <w:r w:rsidRPr="00DC1A19" w:rsidR="00DC1A19">
        <w:t>year</w:t>
      </w:r>
      <w:r w:rsidR="00267ED6">
        <w:t>,</w:t>
      </w:r>
      <w:r w:rsidRPr="00DC1A19" w:rsidR="00DC1A19">
        <w:t xml:space="preserve"> but</w:t>
      </w:r>
      <w:r w:rsidRPr="007E445A" w:rsidR="003D685B">
        <w:t xml:space="preserve"> would do so </w:t>
      </w:r>
      <w:r w:rsidR="00875636">
        <w:t xml:space="preserve">once </w:t>
      </w:r>
      <w:r w:rsidRPr="007E445A" w:rsidR="003D685B">
        <w:t xml:space="preserve">when the </w:t>
      </w:r>
      <w:r w:rsidR="00875636">
        <w:t>CTE</w:t>
      </w:r>
      <w:r w:rsidRPr="007E445A" w:rsidR="003D685B">
        <w:t xml:space="preserve"> concentrator exits secondary education</w:t>
      </w:r>
      <w:r w:rsidRPr="007E445A" w:rsidR="00D659D2">
        <w:t>.</w:t>
      </w:r>
    </w:p>
    <w:p w:rsidR="005B0592" w:rsidRPr="005B0592" w:rsidP="005B0592" w14:paraId="01BD83EC" w14:textId="5583E2AF">
      <w:r w:rsidRPr="000B564F">
        <w:rPr>
          <w:u w:val="single"/>
        </w:rPr>
        <w:t>Changes</w:t>
      </w:r>
      <w:r>
        <w:t>:</w:t>
      </w:r>
      <w:r w:rsidR="003D685B">
        <w:t xml:space="preserve">  None. </w:t>
      </w:r>
    </w:p>
    <w:p w:rsidR="007F3F65" w:rsidRPr="00781005" w:rsidP="007F3F65" w14:paraId="4CE7B097" w14:textId="2F264F4A">
      <w:pPr>
        <w:rPr>
          <w:u w:val="single"/>
        </w:rPr>
      </w:pPr>
      <w:r w:rsidRPr="00781005">
        <w:rPr>
          <w:u w:val="single"/>
        </w:rPr>
        <w:t>Secondary Post-Program Placement</w:t>
      </w:r>
      <w:r>
        <w:rPr>
          <w:u w:val="single"/>
        </w:rPr>
        <w:t xml:space="preserve"> (</w:t>
      </w:r>
      <w:r w:rsidR="009F1708">
        <w:rPr>
          <w:u w:val="single"/>
        </w:rPr>
        <w:t>3S1) (page 34)</w:t>
      </w:r>
    </w:p>
    <w:p w:rsidR="007F3F65" w:rsidRPr="007C7F46" w:rsidP="1893C39D" w14:paraId="6F6E6B97" w14:textId="572AA142">
      <w:pPr>
        <w:pStyle w:val="ListParagraph"/>
        <w:numPr>
          <w:ilvl w:val="0"/>
          <w:numId w:val="3"/>
        </w:numPr>
        <w:rPr>
          <w:rStyle w:val="ui-provider"/>
          <w:b/>
          <w:bCs/>
        </w:rPr>
      </w:pPr>
      <w:r w:rsidRPr="007C7F46">
        <w:rPr>
          <w:rStyle w:val="ui-provider"/>
          <w:b/>
          <w:bCs/>
        </w:rPr>
        <w:t>Several commenters objected to the inclusion of all CTE concentrators who exited secondary education in the data specification for the secondary post-program placement indicator (3S1) because it will be difficult for schools to locate and follow up on CTE concentrators who did not graduate from high school.</w:t>
      </w:r>
    </w:p>
    <w:p w:rsidR="007F3F65" w:rsidP="007F3F65" w14:paraId="7A227EC8" w14:textId="59377346">
      <w:pPr>
        <w:rPr>
          <w:rStyle w:val="ui-provider"/>
        </w:rPr>
      </w:pPr>
      <w:r w:rsidRPr="002B19E8">
        <w:rPr>
          <w:rStyle w:val="ui-provider"/>
          <w:u w:val="single"/>
        </w:rPr>
        <w:t>Response</w:t>
      </w:r>
      <w:r>
        <w:rPr>
          <w:rStyle w:val="ui-provider"/>
        </w:rPr>
        <w:t xml:space="preserve">:  The statute requires the inclusion of all CTE concentrators who exited, and not only those who graduated.  </w:t>
      </w:r>
      <w:r w:rsidRPr="005C3006">
        <w:rPr>
          <w:rStyle w:val="ui-provider"/>
        </w:rPr>
        <w:t>Section 113(b)(2)(A)(iii)</w:t>
      </w:r>
      <w:r>
        <w:rPr>
          <w:rStyle w:val="ui-provider"/>
        </w:rPr>
        <w:t xml:space="preserve"> of Perkins V </w:t>
      </w:r>
      <w:r w:rsidRPr="005C3006">
        <w:rPr>
          <w:rStyle w:val="ui-provider"/>
        </w:rPr>
        <w:t>requires States to report on the outcomes of CTE concentrators in the second quarter after they exited from secondary education.</w:t>
      </w:r>
      <w:r>
        <w:rPr>
          <w:rStyle w:val="ui-provider"/>
        </w:rPr>
        <w:t xml:space="preserve">  However, w</w:t>
      </w:r>
      <w:r w:rsidRPr="005C3006">
        <w:rPr>
          <w:rStyle w:val="ui-provider"/>
        </w:rPr>
        <w:t xml:space="preserve">e recognize the difficulties with measuring the post-program placement indicator (3S1) by relying on student surveys, including locating students after they have exited or graduated from secondary school. </w:t>
      </w:r>
      <w:r>
        <w:rPr>
          <w:rStyle w:val="ui-provider"/>
        </w:rPr>
        <w:t xml:space="preserve"> </w:t>
      </w:r>
      <w:r w:rsidRPr="005C3006">
        <w:rPr>
          <w:rStyle w:val="ui-provider"/>
        </w:rPr>
        <w:t xml:space="preserve">For that reason, the numerator and denominator specifications we are proposing for 3S1 and 1P1 would make the reporting period the preceding reporting year so that States have additional time to use administrative records like unemployment insurance wage records, State public postsecondary enrollment data, or other administrative sources of data </w:t>
      </w:r>
      <w:r w:rsidR="00043F36">
        <w:rPr>
          <w:rStyle w:val="ui-provider"/>
        </w:rPr>
        <w:t>to help report</w:t>
      </w:r>
      <w:r w:rsidRPr="005C3006">
        <w:rPr>
          <w:rStyle w:val="ui-provider"/>
        </w:rPr>
        <w:t xml:space="preserve"> on the outcomes of </w:t>
      </w:r>
      <w:r w:rsidR="00C16FFB">
        <w:rPr>
          <w:rStyle w:val="ui-provider"/>
        </w:rPr>
        <w:t xml:space="preserve">those who </w:t>
      </w:r>
      <w:r w:rsidR="005729E8">
        <w:rPr>
          <w:rStyle w:val="ui-provider"/>
        </w:rPr>
        <w:t xml:space="preserve">exited from secondary </w:t>
      </w:r>
      <w:r w:rsidRPr="7D829FDF" w:rsidR="005729E8">
        <w:rPr>
          <w:rStyle w:val="ui-provider"/>
        </w:rPr>
        <w:t>school</w:t>
      </w:r>
      <w:r w:rsidRPr="7D829FDF">
        <w:rPr>
          <w:rStyle w:val="ui-provider"/>
        </w:rPr>
        <w:t>.</w:t>
      </w:r>
    </w:p>
    <w:p w:rsidR="007F3F65" w:rsidP="007F3F65" w14:paraId="1866B379" w14:textId="2DC9C48A">
      <w:pPr>
        <w:rPr>
          <w:rStyle w:val="ui-provider"/>
        </w:rPr>
      </w:pPr>
      <w:r w:rsidRPr="002B19E8">
        <w:rPr>
          <w:rStyle w:val="ui-provider"/>
          <w:u w:val="single"/>
        </w:rPr>
        <w:t>Changes</w:t>
      </w:r>
      <w:r>
        <w:rPr>
          <w:rStyle w:val="ui-provider"/>
        </w:rPr>
        <w:t xml:space="preserve">: </w:t>
      </w:r>
      <w:r w:rsidR="00347A57">
        <w:rPr>
          <w:rStyle w:val="ui-provider"/>
        </w:rPr>
        <w:t xml:space="preserve"> </w:t>
      </w:r>
      <w:r>
        <w:rPr>
          <w:rStyle w:val="ui-provider"/>
        </w:rPr>
        <w:t xml:space="preserve">None. </w:t>
      </w:r>
    </w:p>
    <w:p w:rsidR="007F3F65" w:rsidRPr="007C7F46" w:rsidP="1893C39D" w14:paraId="36FFE354" w14:textId="266491E9">
      <w:pPr>
        <w:pStyle w:val="ListParagraph"/>
        <w:numPr>
          <w:ilvl w:val="0"/>
          <w:numId w:val="3"/>
        </w:numPr>
        <w:rPr>
          <w:b/>
        </w:rPr>
      </w:pPr>
      <w:r w:rsidRPr="007C7F46">
        <w:rPr>
          <w:rStyle w:val="ui-provider"/>
          <w:b/>
          <w:bCs/>
        </w:rPr>
        <w:t xml:space="preserve">Several commenters objected to the inclusion of all CTE concentrators who exited secondary education in the data specification for the secondary post-program placement indicator (3S1).  One of these commenters explained that </w:t>
      </w:r>
      <w:r w:rsidRPr="6DBE451F" w:rsidR="00596ADD">
        <w:rPr>
          <w:rStyle w:val="ui-provider"/>
          <w:b/>
          <w:bCs/>
        </w:rPr>
        <w:t>they</w:t>
      </w:r>
      <w:r w:rsidR="00596ADD">
        <w:rPr>
          <w:rStyle w:val="ui-provider"/>
          <w:b/>
          <w:bCs/>
        </w:rPr>
        <w:t xml:space="preserve"> were</w:t>
      </w:r>
      <w:r w:rsidRPr="007C7F46">
        <w:rPr>
          <w:rStyle w:val="ui-provider"/>
          <w:b/>
          <w:bCs/>
        </w:rPr>
        <w:t xml:space="preserve"> opposed to this because it would not provide “actionable information since non-completers are not qualified for the corresponding careers. </w:t>
      </w:r>
      <w:r w:rsidRPr="007C7F46" w:rsidR="00E0517A">
        <w:rPr>
          <w:rStyle w:val="ui-provider"/>
          <w:b/>
          <w:bCs/>
        </w:rPr>
        <w:t xml:space="preserve"> </w:t>
      </w:r>
      <w:r w:rsidRPr="007C7F46">
        <w:rPr>
          <w:rStyle w:val="ui-provider"/>
          <w:b/>
          <w:bCs/>
        </w:rPr>
        <w:t xml:space="preserve">Doing so would take away our focus on improving instruction, completion, and placement for our current students.” </w:t>
      </w:r>
    </w:p>
    <w:p w:rsidR="005B0592" w:rsidRPr="000C0603" w:rsidP="005B0592" w14:paraId="6E45BC00" w14:textId="2910FD41">
      <w:r>
        <w:rPr>
          <w:u w:val="single"/>
        </w:rPr>
        <w:t>Response</w:t>
      </w:r>
      <w:r>
        <w:t xml:space="preserve">: </w:t>
      </w:r>
      <w:r w:rsidR="003D685B">
        <w:t xml:space="preserve"> </w:t>
      </w:r>
      <w:r w:rsidR="006B505C">
        <w:t>T</w:t>
      </w:r>
      <w:r w:rsidR="003D685B">
        <w:t>he stat</w:t>
      </w:r>
      <w:r w:rsidR="00C70A40">
        <w:t>ut</w:t>
      </w:r>
      <w:r w:rsidR="005D0BC6">
        <w:t>ory description of the post-placement indicator does not exclude CTE concentrators who did not graduate</w:t>
      </w:r>
      <w:r w:rsidR="003D4CB1">
        <w:t xml:space="preserve"> high school</w:t>
      </w:r>
      <w:r w:rsidR="006B505C">
        <w:t xml:space="preserve">. </w:t>
      </w:r>
      <w:r w:rsidR="00D27911">
        <w:t xml:space="preserve"> </w:t>
      </w:r>
      <w:r w:rsidR="003C52DD">
        <w:t>The</w:t>
      </w:r>
      <w:r w:rsidR="00D27911">
        <w:t xml:space="preserve"> information about the education and employment statu</w:t>
      </w:r>
      <w:r w:rsidR="00774226">
        <w:t>s of all CTE concentrators is actionable and useful</w:t>
      </w:r>
      <w:r w:rsidR="00A81CE3">
        <w:t xml:space="preserve"> because this information c</w:t>
      </w:r>
      <w:r w:rsidR="00C61040">
        <w:t>an</w:t>
      </w:r>
      <w:r w:rsidR="00A81CE3">
        <w:t xml:space="preserve"> be used by States to improve</w:t>
      </w:r>
      <w:r w:rsidR="00954271">
        <w:t xml:space="preserve"> student graduation rates and other related outcome measure</w:t>
      </w:r>
      <w:r w:rsidR="00ED4E7B">
        <w:t>s</w:t>
      </w:r>
      <w:r w:rsidR="00AD1B93">
        <w:t xml:space="preserve"> </w:t>
      </w:r>
      <w:r w:rsidR="00ED4E7B">
        <w:t>required by</w:t>
      </w:r>
      <w:r w:rsidR="00AD1B93">
        <w:t xml:space="preserve"> the statute</w:t>
      </w:r>
      <w:r w:rsidR="00734E21">
        <w:t>.</w:t>
      </w:r>
      <w:r w:rsidR="00AD1B93">
        <w:t xml:space="preserve">  </w:t>
      </w:r>
    </w:p>
    <w:p w:rsidR="005B0592" w:rsidP="005B0592" w14:paraId="5FF25720" w14:textId="666D146B">
      <w:pPr>
        <w:rPr>
          <w:b/>
          <w:bCs/>
        </w:rPr>
      </w:pPr>
      <w:r w:rsidRPr="000B564F">
        <w:rPr>
          <w:u w:val="single"/>
        </w:rPr>
        <w:t>Changes</w:t>
      </w:r>
      <w:r>
        <w:t>:</w:t>
      </w:r>
      <w:r w:rsidR="00B83F1A">
        <w:t xml:space="preserve"> </w:t>
      </w:r>
      <w:r w:rsidR="00C54F46">
        <w:t xml:space="preserve"> </w:t>
      </w:r>
      <w:r w:rsidR="00B83F1A">
        <w:t xml:space="preserve">None. </w:t>
      </w:r>
    </w:p>
    <w:p w:rsidR="004204C1" w:rsidRPr="007C7F46" w:rsidP="00DE373A" w14:paraId="162D574E" w14:textId="596F58B3">
      <w:pPr>
        <w:pStyle w:val="ListParagraph"/>
        <w:numPr>
          <w:ilvl w:val="0"/>
          <w:numId w:val="3"/>
        </w:numPr>
        <w:rPr>
          <w:b/>
        </w:rPr>
      </w:pPr>
      <w:r w:rsidRPr="1893C39D">
        <w:rPr>
          <w:b/>
        </w:rPr>
        <w:t>One commenter expressed concern that providing an additional year for States to report on post-program outcomes</w:t>
      </w:r>
      <w:r w:rsidR="00454C7D">
        <w:rPr>
          <w:b/>
        </w:rPr>
        <w:t>,</w:t>
      </w:r>
      <w:r w:rsidRPr="1893C39D">
        <w:rPr>
          <w:b/>
        </w:rPr>
        <w:t xml:space="preserve"> like postsecondary enrollment and employment</w:t>
      </w:r>
      <w:r w:rsidR="00454C7D">
        <w:rPr>
          <w:b/>
        </w:rPr>
        <w:t>,</w:t>
      </w:r>
      <w:r w:rsidRPr="1893C39D">
        <w:rPr>
          <w:b/>
        </w:rPr>
        <w:t xml:space="preserve"> “may actually reduce the utility of the data garnered from this performance measure as it will be even less timely than currently structured, making data less useful for real-time program or policy refinement.” </w:t>
      </w:r>
      <w:r w:rsidR="009D2617">
        <w:rPr>
          <w:b/>
        </w:rPr>
        <w:t xml:space="preserve"> </w:t>
      </w:r>
      <w:r w:rsidRPr="1893C39D">
        <w:rPr>
          <w:b/>
        </w:rPr>
        <w:t xml:space="preserve">Two commenters shared similar concerns and stated that “requiring a lag for every state is detrimental to the goal of using data for program improvement.” </w:t>
      </w:r>
    </w:p>
    <w:p w:rsidR="004204C1" w:rsidP="004204C1" w14:paraId="69465A0F" w14:textId="45582EB6">
      <w:pPr>
        <w:rPr>
          <w:rFonts w:ascii="Calibri" w:eastAsia="Calibri" w:hAnsi="Calibri" w:cs="Calibri"/>
          <w:kern w:val="0"/>
          <w14:ligatures w14:val="none"/>
        </w:rPr>
      </w:pPr>
      <w:r w:rsidRPr="005B0592">
        <w:rPr>
          <w:u w:val="single"/>
        </w:rPr>
        <w:t>Response</w:t>
      </w:r>
      <w:r>
        <w:t xml:space="preserve">:  </w:t>
      </w:r>
      <w:r>
        <w:t>The Department has noted that the reason it is proposing to add a “lag” year to State reporting on post-program outcomes for 3S1 and 1P1</w:t>
      </w:r>
      <w:r w:rsidR="000734EE">
        <w:t>,</w:t>
      </w:r>
      <w:r>
        <w:rPr>
          <w:rStyle w:val="FootnoteReference"/>
        </w:rPr>
        <w:footnoteReference w:id="5"/>
      </w:r>
      <w:r>
        <w:t xml:space="preserve"> as the Departments of Education and Labor now do with reporting on post-program outcomes for the core programs under the Workforce Innovation and Opportunity Act (WIOA), is to give States sufficient time to access administrative data like quarterly unemployment insurance (UI) wage records, which may be more accurate than relying on student surveys</w:t>
      </w:r>
      <w:r w:rsidR="00DA2E00">
        <w:t xml:space="preserve">, which often have </w:t>
      </w:r>
      <w:r>
        <w:t>low response rates.</w:t>
      </w:r>
      <w:r>
        <w:rPr>
          <w:rStyle w:val="FootnoteReference"/>
        </w:rPr>
        <w:footnoteReference w:id="6"/>
      </w:r>
      <w:r>
        <w:t xml:space="preserve">  </w:t>
      </w:r>
      <w:r w:rsidRPr="00A33731">
        <w:rPr>
          <w:rFonts w:ascii="Calibri" w:eastAsia="Calibri" w:hAnsi="Calibri" w:cs="Calibri"/>
          <w:kern w:val="0"/>
          <w14:ligatures w14:val="none"/>
        </w:rPr>
        <w:t>These two indicators measure the employment</w:t>
      </w:r>
      <w:r w:rsidRPr="00A33731">
        <w:rPr>
          <w:rFonts w:ascii="Calibri" w:eastAsia="Calibri" w:hAnsi="Calibri" w:cs="Calibri"/>
          <w:spacing w:val="-5"/>
          <w:kern w:val="0"/>
          <w14:ligatures w14:val="none"/>
        </w:rPr>
        <w:t xml:space="preserve"> </w:t>
      </w:r>
      <w:r w:rsidRPr="00A33731">
        <w:rPr>
          <w:rFonts w:ascii="Calibri" w:eastAsia="Calibri" w:hAnsi="Calibri" w:cs="Calibri"/>
          <w:kern w:val="0"/>
          <w14:ligatures w14:val="none"/>
        </w:rPr>
        <w:t>and</w:t>
      </w:r>
      <w:r w:rsidRPr="00A33731">
        <w:rPr>
          <w:rFonts w:ascii="Calibri" w:eastAsia="Calibri" w:hAnsi="Calibri" w:cs="Calibri"/>
          <w:spacing w:val="-7"/>
          <w:kern w:val="0"/>
          <w14:ligatures w14:val="none"/>
        </w:rPr>
        <w:t xml:space="preserve"> </w:t>
      </w:r>
      <w:r w:rsidRPr="00A33731">
        <w:rPr>
          <w:rFonts w:ascii="Calibri" w:eastAsia="Calibri" w:hAnsi="Calibri" w:cs="Calibri"/>
          <w:kern w:val="0"/>
          <w14:ligatures w14:val="none"/>
        </w:rPr>
        <w:t>education</w:t>
      </w:r>
      <w:r w:rsidRPr="00A33731">
        <w:rPr>
          <w:rFonts w:ascii="Calibri" w:eastAsia="Calibri" w:hAnsi="Calibri" w:cs="Calibri"/>
          <w:spacing w:val="-7"/>
          <w:kern w:val="0"/>
          <w14:ligatures w14:val="none"/>
        </w:rPr>
        <w:t xml:space="preserve"> </w:t>
      </w:r>
      <w:r w:rsidRPr="00A33731">
        <w:rPr>
          <w:rFonts w:ascii="Calibri" w:eastAsia="Calibri" w:hAnsi="Calibri" w:cs="Calibri"/>
          <w:kern w:val="0"/>
          <w14:ligatures w14:val="none"/>
        </w:rPr>
        <w:t>outcomes</w:t>
      </w:r>
      <w:r w:rsidRPr="00A33731">
        <w:rPr>
          <w:rFonts w:ascii="Calibri" w:eastAsia="Calibri" w:hAnsi="Calibri" w:cs="Calibri"/>
          <w:spacing w:val="-7"/>
          <w:kern w:val="0"/>
          <w14:ligatures w14:val="none"/>
        </w:rPr>
        <w:t xml:space="preserve"> </w:t>
      </w:r>
      <w:r w:rsidRPr="00A33731">
        <w:rPr>
          <w:rFonts w:ascii="Calibri" w:eastAsia="Calibri" w:hAnsi="Calibri" w:cs="Calibri"/>
          <w:kern w:val="0"/>
          <w14:ligatures w14:val="none"/>
        </w:rPr>
        <w:t>of</w:t>
      </w:r>
      <w:r w:rsidRPr="00A33731">
        <w:rPr>
          <w:rFonts w:ascii="Calibri" w:eastAsia="Calibri" w:hAnsi="Calibri" w:cs="Calibri"/>
          <w:spacing w:val="-7"/>
          <w:kern w:val="0"/>
          <w14:ligatures w14:val="none"/>
        </w:rPr>
        <w:t xml:space="preserve"> </w:t>
      </w:r>
      <w:r w:rsidRPr="00A33731">
        <w:rPr>
          <w:rFonts w:ascii="Calibri" w:eastAsia="Calibri" w:hAnsi="Calibri" w:cs="Calibri"/>
          <w:kern w:val="0"/>
          <w14:ligatures w14:val="none"/>
        </w:rPr>
        <w:t>CTE</w:t>
      </w:r>
      <w:r w:rsidRPr="00A33731">
        <w:rPr>
          <w:rFonts w:ascii="Calibri" w:eastAsia="Calibri" w:hAnsi="Calibri" w:cs="Calibri"/>
          <w:spacing w:val="-7"/>
          <w:kern w:val="0"/>
          <w14:ligatures w14:val="none"/>
        </w:rPr>
        <w:t xml:space="preserve"> </w:t>
      </w:r>
      <w:r w:rsidRPr="00A33731">
        <w:rPr>
          <w:rFonts w:ascii="Calibri" w:eastAsia="Calibri" w:hAnsi="Calibri" w:cs="Calibri"/>
          <w:kern w:val="0"/>
          <w14:ligatures w14:val="none"/>
        </w:rPr>
        <w:t>concentrators</w:t>
      </w:r>
      <w:r w:rsidRPr="00A33731">
        <w:rPr>
          <w:rFonts w:ascii="Calibri" w:eastAsia="Calibri" w:hAnsi="Calibri" w:cs="Calibri"/>
          <w:spacing w:val="-7"/>
          <w:kern w:val="0"/>
          <w14:ligatures w14:val="none"/>
        </w:rPr>
        <w:t xml:space="preserve"> </w:t>
      </w:r>
      <w:r w:rsidRPr="00A33731">
        <w:rPr>
          <w:rFonts w:ascii="Calibri" w:eastAsia="Calibri" w:hAnsi="Calibri" w:cs="Calibri"/>
          <w:kern w:val="0"/>
          <w14:ligatures w14:val="none"/>
        </w:rPr>
        <w:t>in</w:t>
      </w:r>
      <w:r w:rsidRPr="00A33731">
        <w:rPr>
          <w:rFonts w:ascii="Calibri" w:eastAsia="Calibri" w:hAnsi="Calibri" w:cs="Calibri"/>
          <w:spacing w:val="-7"/>
          <w:kern w:val="0"/>
          <w14:ligatures w14:val="none"/>
        </w:rPr>
        <w:t xml:space="preserve"> </w:t>
      </w:r>
      <w:r w:rsidRPr="00A33731">
        <w:rPr>
          <w:rFonts w:ascii="Calibri" w:eastAsia="Calibri" w:hAnsi="Calibri" w:cs="Calibri"/>
          <w:kern w:val="0"/>
          <w14:ligatures w14:val="none"/>
        </w:rPr>
        <w:t>the</w:t>
      </w:r>
      <w:r w:rsidRPr="00A33731">
        <w:rPr>
          <w:rFonts w:ascii="Calibri" w:eastAsia="Calibri" w:hAnsi="Calibri" w:cs="Calibri"/>
          <w:spacing w:val="-7"/>
          <w:kern w:val="0"/>
          <w14:ligatures w14:val="none"/>
        </w:rPr>
        <w:t xml:space="preserve"> </w:t>
      </w:r>
      <w:r w:rsidRPr="00A33731">
        <w:rPr>
          <w:rFonts w:ascii="Calibri" w:eastAsia="Calibri" w:hAnsi="Calibri" w:cs="Calibri"/>
          <w:kern w:val="0"/>
          <w14:ligatures w14:val="none"/>
        </w:rPr>
        <w:t>second</w:t>
      </w:r>
      <w:r w:rsidRPr="00A33731">
        <w:rPr>
          <w:rFonts w:ascii="Calibri" w:eastAsia="Calibri" w:hAnsi="Calibri" w:cs="Calibri"/>
          <w:spacing w:val="-7"/>
          <w:kern w:val="0"/>
          <w14:ligatures w14:val="none"/>
        </w:rPr>
        <w:t xml:space="preserve"> </w:t>
      </w:r>
      <w:r w:rsidRPr="00A33731">
        <w:rPr>
          <w:rFonts w:ascii="Calibri" w:eastAsia="Calibri" w:hAnsi="Calibri" w:cs="Calibri"/>
          <w:kern w:val="0"/>
          <w14:ligatures w14:val="none"/>
        </w:rPr>
        <w:t>quarter</w:t>
      </w:r>
      <w:r w:rsidRPr="00A33731">
        <w:rPr>
          <w:rFonts w:ascii="Calibri" w:eastAsia="Calibri" w:hAnsi="Calibri" w:cs="Calibri"/>
          <w:spacing w:val="-6"/>
          <w:kern w:val="0"/>
          <w14:ligatures w14:val="none"/>
        </w:rPr>
        <w:t xml:space="preserve"> </w:t>
      </w:r>
      <w:r w:rsidRPr="00A33731">
        <w:rPr>
          <w:rFonts w:ascii="Calibri" w:eastAsia="Calibri" w:hAnsi="Calibri" w:cs="Calibri"/>
          <w:kern w:val="0"/>
          <w14:ligatures w14:val="none"/>
        </w:rPr>
        <w:t>after</w:t>
      </w:r>
      <w:r w:rsidRPr="00A33731">
        <w:rPr>
          <w:rFonts w:ascii="Calibri" w:eastAsia="Calibri" w:hAnsi="Calibri" w:cs="Calibri"/>
          <w:spacing w:val="-6"/>
          <w:kern w:val="0"/>
          <w14:ligatures w14:val="none"/>
        </w:rPr>
        <w:t xml:space="preserve"> </w:t>
      </w:r>
      <w:r w:rsidRPr="00A33731">
        <w:rPr>
          <w:rFonts w:ascii="Calibri" w:eastAsia="Calibri" w:hAnsi="Calibri" w:cs="Calibri"/>
          <w:kern w:val="0"/>
          <w14:ligatures w14:val="none"/>
        </w:rPr>
        <w:t>exiting</w:t>
      </w:r>
      <w:r w:rsidRPr="00A33731">
        <w:rPr>
          <w:rFonts w:ascii="Calibri" w:eastAsia="Calibri" w:hAnsi="Calibri" w:cs="Calibri"/>
          <w:spacing w:val="-7"/>
          <w:kern w:val="0"/>
          <w14:ligatures w14:val="none"/>
        </w:rPr>
        <w:t xml:space="preserve"> </w:t>
      </w:r>
      <w:r w:rsidRPr="00A33731">
        <w:rPr>
          <w:rFonts w:ascii="Calibri" w:eastAsia="Calibri" w:hAnsi="Calibri" w:cs="Calibri"/>
          <w:kern w:val="0"/>
          <w14:ligatures w14:val="none"/>
        </w:rPr>
        <w:t>secondary education or, in the case of postsecondary CTE concentrators, in the second quarter after program completion.</w:t>
      </w:r>
      <w:r>
        <w:rPr>
          <w:rFonts w:ascii="Calibri" w:eastAsia="Calibri" w:hAnsi="Calibri" w:cs="Calibri"/>
          <w:kern w:val="0"/>
          <w14:ligatures w14:val="none"/>
        </w:rPr>
        <w:t xml:space="preserve"> </w:t>
      </w:r>
      <w:r w:rsidRPr="00A33731">
        <w:rPr>
          <w:rFonts w:ascii="Calibri" w:eastAsia="Calibri" w:hAnsi="Calibri" w:cs="Calibri"/>
          <w:spacing w:val="-3"/>
          <w:kern w:val="0"/>
          <w14:ligatures w14:val="none"/>
        </w:rPr>
        <w:t xml:space="preserve"> </w:t>
      </w:r>
      <w:r w:rsidRPr="00A33731">
        <w:rPr>
          <w:rFonts w:ascii="Calibri" w:eastAsia="Calibri" w:hAnsi="Calibri" w:cs="Calibri"/>
          <w:kern w:val="0"/>
          <w14:ligatures w14:val="none"/>
        </w:rPr>
        <w:t>For</w:t>
      </w:r>
      <w:r w:rsidRPr="00A33731">
        <w:rPr>
          <w:rFonts w:ascii="Calibri" w:eastAsia="Calibri" w:hAnsi="Calibri" w:cs="Calibri"/>
          <w:spacing w:val="-4"/>
          <w:kern w:val="0"/>
          <w14:ligatures w14:val="none"/>
        </w:rPr>
        <w:t xml:space="preserve"> </w:t>
      </w:r>
      <w:r w:rsidRPr="00A33731">
        <w:rPr>
          <w:rFonts w:ascii="Calibri" w:eastAsia="Calibri" w:hAnsi="Calibri" w:cs="Calibri"/>
          <w:kern w:val="0"/>
          <w14:ligatures w14:val="none"/>
        </w:rPr>
        <w:t>CTE</w:t>
      </w:r>
      <w:r w:rsidRPr="00A33731">
        <w:rPr>
          <w:rFonts w:ascii="Calibri" w:eastAsia="Calibri" w:hAnsi="Calibri" w:cs="Calibri"/>
          <w:spacing w:val="-3"/>
          <w:kern w:val="0"/>
          <w14:ligatures w14:val="none"/>
        </w:rPr>
        <w:t xml:space="preserve"> </w:t>
      </w:r>
      <w:r w:rsidRPr="00A33731">
        <w:rPr>
          <w:rFonts w:ascii="Calibri" w:eastAsia="Calibri" w:hAnsi="Calibri" w:cs="Calibri"/>
          <w:kern w:val="0"/>
          <w14:ligatures w14:val="none"/>
        </w:rPr>
        <w:t>concentrators</w:t>
      </w:r>
      <w:r w:rsidRPr="00A33731">
        <w:rPr>
          <w:rFonts w:ascii="Calibri" w:eastAsia="Calibri" w:hAnsi="Calibri" w:cs="Calibri"/>
          <w:spacing w:val="-4"/>
          <w:kern w:val="0"/>
          <w14:ligatures w14:val="none"/>
        </w:rPr>
        <w:t xml:space="preserve"> </w:t>
      </w:r>
      <w:r w:rsidRPr="00A33731">
        <w:rPr>
          <w:rFonts w:ascii="Calibri" w:eastAsia="Calibri" w:hAnsi="Calibri" w:cs="Calibri"/>
          <w:kern w:val="0"/>
          <w14:ligatures w14:val="none"/>
        </w:rPr>
        <w:t>who</w:t>
      </w:r>
      <w:r w:rsidRPr="00A33731">
        <w:rPr>
          <w:rFonts w:ascii="Calibri" w:eastAsia="Calibri" w:hAnsi="Calibri" w:cs="Calibri"/>
          <w:spacing w:val="-2"/>
          <w:kern w:val="0"/>
          <w14:ligatures w14:val="none"/>
        </w:rPr>
        <w:t xml:space="preserve"> </w:t>
      </w:r>
      <w:r w:rsidRPr="00A33731">
        <w:rPr>
          <w:rFonts w:ascii="Calibri" w:eastAsia="Calibri" w:hAnsi="Calibri" w:cs="Calibri"/>
          <w:kern w:val="0"/>
          <w14:ligatures w14:val="none"/>
        </w:rPr>
        <w:t>exit</w:t>
      </w:r>
      <w:r w:rsidRPr="00A33731">
        <w:rPr>
          <w:rFonts w:ascii="Calibri" w:eastAsia="Calibri" w:hAnsi="Calibri" w:cs="Calibri"/>
          <w:spacing w:val="-4"/>
          <w:kern w:val="0"/>
          <w14:ligatures w14:val="none"/>
        </w:rPr>
        <w:t xml:space="preserve"> </w:t>
      </w:r>
      <w:r w:rsidRPr="00A33731">
        <w:rPr>
          <w:rFonts w:ascii="Calibri" w:eastAsia="Calibri" w:hAnsi="Calibri" w:cs="Calibri"/>
          <w:kern w:val="0"/>
          <w14:ligatures w14:val="none"/>
        </w:rPr>
        <w:t>high</w:t>
      </w:r>
      <w:r w:rsidRPr="00A33731">
        <w:rPr>
          <w:rFonts w:ascii="Calibri" w:eastAsia="Calibri" w:hAnsi="Calibri" w:cs="Calibri"/>
          <w:spacing w:val="-4"/>
          <w:kern w:val="0"/>
          <w14:ligatures w14:val="none"/>
        </w:rPr>
        <w:t xml:space="preserve"> </w:t>
      </w:r>
      <w:r w:rsidRPr="00A33731">
        <w:rPr>
          <w:rFonts w:ascii="Calibri" w:eastAsia="Calibri" w:hAnsi="Calibri" w:cs="Calibri"/>
          <w:kern w:val="0"/>
          <w14:ligatures w14:val="none"/>
        </w:rPr>
        <w:t>school</w:t>
      </w:r>
      <w:r w:rsidRPr="00A33731">
        <w:rPr>
          <w:rFonts w:ascii="Calibri" w:eastAsia="Calibri" w:hAnsi="Calibri" w:cs="Calibri"/>
          <w:spacing w:val="-5"/>
          <w:kern w:val="0"/>
          <w14:ligatures w14:val="none"/>
        </w:rPr>
        <w:t xml:space="preserve"> </w:t>
      </w:r>
      <w:r w:rsidRPr="00A33731">
        <w:rPr>
          <w:rFonts w:ascii="Calibri" w:eastAsia="Calibri" w:hAnsi="Calibri" w:cs="Calibri"/>
          <w:kern w:val="0"/>
          <w14:ligatures w14:val="none"/>
        </w:rPr>
        <w:t>or</w:t>
      </w:r>
      <w:r w:rsidRPr="00A33731">
        <w:rPr>
          <w:rFonts w:ascii="Calibri" w:eastAsia="Calibri" w:hAnsi="Calibri" w:cs="Calibri"/>
          <w:spacing w:val="-3"/>
          <w:kern w:val="0"/>
          <w14:ligatures w14:val="none"/>
        </w:rPr>
        <w:t xml:space="preserve"> </w:t>
      </w:r>
      <w:r w:rsidRPr="00A33731">
        <w:rPr>
          <w:rFonts w:ascii="Calibri" w:eastAsia="Calibri" w:hAnsi="Calibri" w:cs="Calibri"/>
          <w:kern w:val="0"/>
          <w14:ligatures w14:val="none"/>
        </w:rPr>
        <w:t>complete</w:t>
      </w:r>
      <w:r w:rsidRPr="00A33731">
        <w:rPr>
          <w:rFonts w:ascii="Calibri" w:eastAsia="Calibri" w:hAnsi="Calibri" w:cs="Calibri"/>
          <w:spacing w:val="-2"/>
          <w:kern w:val="0"/>
          <w14:ligatures w14:val="none"/>
        </w:rPr>
        <w:t xml:space="preserve"> </w:t>
      </w:r>
      <w:r w:rsidRPr="00A33731">
        <w:rPr>
          <w:rFonts w:ascii="Calibri" w:eastAsia="Calibri" w:hAnsi="Calibri" w:cs="Calibri"/>
          <w:kern w:val="0"/>
          <w14:ligatures w14:val="none"/>
        </w:rPr>
        <w:t>a</w:t>
      </w:r>
      <w:r w:rsidRPr="00A33731">
        <w:rPr>
          <w:rFonts w:ascii="Calibri" w:eastAsia="Calibri" w:hAnsi="Calibri" w:cs="Calibri"/>
          <w:spacing w:val="-3"/>
          <w:kern w:val="0"/>
          <w14:ligatures w14:val="none"/>
        </w:rPr>
        <w:t xml:space="preserve"> </w:t>
      </w:r>
      <w:r w:rsidRPr="00A33731">
        <w:rPr>
          <w:rFonts w:ascii="Calibri" w:eastAsia="Calibri" w:hAnsi="Calibri" w:cs="Calibri"/>
          <w:kern w:val="0"/>
          <w14:ligatures w14:val="none"/>
        </w:rPr>
        <w:t>postsecondary</w:t>
      </w:r>
      <w:r w:rsidRPr="00A33731">
        <w:rPr>
          <w:rFonts w:ascii="Calibri" w:eastAsia="Calibri" w:hAnsi="Calibri" w:cs="Calibri"/>
          <w:spacing w:val="-2"/>
          <w:kern w:val="0"/>
          <w14:ligatures w14:val="none"/>
        </w:rPr>
        <w:t xml:space="preserve"> </w:t>
      </w:r>
      <w:r w:rsidRPr="00A33731">
        <w:rPr>
          <w:rFonts w:ascii="Calibri" w:eastAsia="Calibri" w:hAnsi="Calibri" w:cs="Calibri"/>
          <w:kern w:val="0"/>
          <w14:ligatures w14:val="none"/>
        </w:rPr>
        <w:t>program</w:t>
      </w:r>
      <w:r w:rsidRPr="00A33731">
        <w:rPr>
          <w:rFonts w:ascii="Calibri" w:eastAsia="Calibri" w:hAnsi="Calibri" w:cs="Calibri"/>
          <w:spacing w:val="-4"/>
          <w:kern w:val="0"/>
          <w14:ligatures w14:val="none"/>
        </w:rPr>
        <w:t xml:space="preserve"> </w:t>
      </w:r>
      <w:r w:rsidRPr="00A33731">
        <w:rPr>
          <w:rFonts w:ascii="Calibri" w:eastAsia="Calibri" w:hAnsi="Calibri" w:cs="Calibri"/>
          <w:kern w:val="0"/>
          <w14:ligatures w14:val="none"/>
        </w:rPr>
        <w:t>in</w:t>
      </w:r>
      <w:r w:rsidRPr="00A33731">
        <w:rPr>
          <w:rFonts w:ascii="Calibri" w:eastAsia="Calibri" w:hAnsi="Calibri" w:cs="Calibri"/>
          <w:spacing w:val="-4"/>
          <w:kern w:val="0"/>
          <w14:ligatures w14:val="none"/>
        </w:rPr>
        <w:t xml:space="preserve"> </w:t>
      </w:r>
      <w:r w:rsidRPr="00A33731">
        <w:rPr>
          <w:rFonts w:ascii="Calibri" w:eastAsia="Calibri" w:hAnsi="Calibri" w:cs="Calibri"/>
          <w:kern w:val="0"/>
          <w14:ligatures w14:val="none"/>
        </w:rPr>
        <w:t>June</w:t>
      </w:r>
      <w:r w:rsidRPr="00A33731">
        <w:rPr>
          <w:rFonts w:ascii="Calibri" w:eastAsia="Calibri" w:hAnsi="Calibri" w:cs="Calibri"/>
          <w:spacing w:val="-4"/>
          <w:kern w:val="0"/>
          <w14:ligatures w14:val="none"/>
        </w:rPr>
        <w:t xml:space="preserve"> </w:t>
      </w:r>
      <w:r w:rsidRPr="00A33731">
        <w:rPr>
          <w:rFonts w:ascii="Calibri" w:eastAsia="Calibri" w:hAnsi="Calibri" w:cs="Calibri"/>
          <w:kern w:val="0"/>
          <w14:ligatures w14:val="none"/>
        </w:rPr>
        <w:t>of the reporting year, December 31 represents the end</w:t>
      </w:r>
      <w:r w:rsidRPr="00A33731">
        <w:rPr>
          <w:rFonts w:ascii="Calibri" w:eastAsia="Calibri" w:hAnsi="Calibri" w:cs="Calibri"/>
          <w:spacing w:val="-1"/>
          <w:kern w:val="0"/>
          <w14:ligatures w14:val="none"/>
        </w:rPr>
        <w:t xml:space="preserve"> </w:t>
      </w:r>
      <w:r w:rsidRPr="00A33731">
        <w:rPr>
          <w:rFonts w:ascii="Calibri" w:eastAsia="Calibri" w:hAnsi="Calibri" w:cs="Calibri"/>
          <w:kern w:val="0"/>
          <w14:ligatures w14:val="none"/>
        </w:rPr>
        <w:t>of the second quarter after exit or completion.</w:t>
      </w:r>
      <w:r w:rsidRPr="00A33731">
        <w:rPr>
          <w:rFonts w:ascii="Calibri" w:eastAsia="Calibri" w:hAnsi="Calibri" w:cs="Calibri"/>
          <w:spacing w:val="-1"/>
          <w:kern w:val="0"/>
          <w14:ligatures w14:val="none"/>
        </w:rPr>
        <w:t xml:space="preserve"> </w:t>
      </w:r>
      <w:r w:rsidR="00A73CA5">
        <w:rPr>
          <w:rFonts w:ascii="Calibri" w:eastAsia="Calibri" w:hAnsi="Calibri" w:cs="Calibri"/>
          <w:spacing w:val="-1"/>
          <w:kern w:val="0"/>
          <w14:ligatures w14:val="none"/>
        </w:rPr>
        <w:t xml:space="preserve"> </w:t>
      </w:r>
      <w:r w:rsidRPr="00A33731">
        <w:rPr>
          <w:rFonts w:ascii="Calibri" w:eastAsia="Calibri" w:hAnsi="Calibri" w:cs="Calibri"/>
          <w:kern w:val="0"/>
          <w14:ligatures w14:val="none"/>
        </w:rPr>
        <w:t xml:space="preserve">The deadline for States to report data to the Department is January 31 of the following year under </w:t>
      </w:r>
      <w:r w:rsidRPr="3BF76CE1" w:rsidR="000778B2">
        <w:rPr>
          <w:rFonts w:ascii="Calibri" w:eastAsia="Calibri" w:hAnsi="Calibri" w:cs="Calibri"/>
        </w:rPr>
        <w:t xml:space="preserve">our current information </w:t>
      </w:r>
      <w:r w:rsidRPr="3BF76CE1" w:rsidR="00EF557A">
        <w:rPr>
          <w:rFonts w:ascii="Calibri" w:eastAsia="Calibri" w:hAnsi="Calibri" w:cs="Calibri"/>
        </w:rPr>
        <w:t>collections</w:t>
      </w:r>
      <w:r w:rsidRPr="00A33731" w:rsidR="00EF557A">
        <w:rPr>
          <w:rFonts w:ascii="Calibri" w:eastAsia="Calibri" w:hAnsi="Calibri" w:cs="Calibri"/>
          <w:kern w:val="0"/>
          <w14:ligatures w14:val="none"/>
        </w:rPr>
        <w:t>.</w:t>
      </w:r>
      <w:r w:rsidRPr="0CD1844C" w:rsidR="00EF557A">
        <w:rPr>
          <w:rFonts w:ascii="Calibri" w:eastAsia="Calibri" w:hAnsi="Calibri" w:cs="Calibri"/>
        </w:rPr>
        <w:t xml:space="preserve"> </w:t>
      </w:r>
      <w:r w:rsidR="00EF557A">
        <w:rPr>
          <w:rFonts w:ascii="Calibri" w:eastAsia="Calibri" w:hAnsi="Calibri" w:cs="Calibri"/>
        </w:rPr>
        <w:t xml:space="preserve"> </w:t>
      </w:r>
      <w:r w:rsidRPr="0CD1844C" w:rsidR="00EF557A">
        <w:rPr>
          <w:rFonts w:ascii="Calibri" w:eastAsia="Calibri" w:hAnsi="Calibri" w:cs="Calibri"/>
        </w:rPr>
        <w:t>However</w:t>
      </w:r>
      <w:r w:rsidRPr="0CD1844C">
        <w:rPr>
          <w:rFonts w:ascii="Calibri" w:eastAsia="Calibri" w:hAnsi="Calibri" w:cs="Calibri"/>
        </w:rPr>
        <w:t>, UI wage records “</w:t>
      </w:r>
      <w:r w:rsidRPr="00CE2CB3">
        <w:rPr>
          <w:rFonts w:ascii="Calibri" w:eastAsia="Calibri" w:hAnsi="Calibri" w:cs="Calibri"/>
          <w:kern w:val="0"/>
          <w14:ligatures w14:val="none"/>
        </w:rPr>
        <w:t>for a given calendar quarter are generally not available for about six months (two quarters) after submission</w:t>
      </w:r>
      <w:r>
        <w:rPr>
          <w:rFonts w:ascii="Calibri" w:eastAsia="Calibri" w:hAnsi="Calibri" w:cs="Calibri"/>
          <w:kern w:val="0"/>
          <w14:ligatures w14:val="none"/>
        </w:rPr>
        <w:t>” by an employer to the State</w:t>
      </w:r>
      <w:r w:rsidRPr="00CE2CB3">
        <w:rPr>
          <w:rFonts w:ascii="Calibri" w:eastAsia="Calibri" w:hAnsi="Calibri" w:cs="Calibri"/>
          <w:kern w:val="0"/>
          <w14:ligatures w14:val="none"/>
        </w:rPr>
        <w:t>.</w:t>
      </w:r>
      <w:r>
        <w:rPr>
          <w:rStyle w:val="FootnoteReference"/>
          <w:rFonts w:ascii="Calibri" w:eastAsia="Calibri" w:hAnsi="Calibri" w:cs="Calibri"/>
          <w:kern w:val="0"/>
          <w14:ligatures w14:val="none"/>
        </w:rPr>
        <w:footnoteReference w:id="7"/>
      </w:r>
      <w:r w:rsidRPr="482600F5">
        <w:rPr>
          <w:rFonts w:ascii="Calibri" w:eastAsia="Calibri" w:hAnsi="Calibri" w:cs="Calibri"/>
        </w:rPr>
        <w:t xml:space="preserve">  Our hope is that giving States a year to report on 3S1 and 1P1 will result in higher-quality, accurate, and complete data on the outcomes of CTE concentrators. </w:t>
      </w:r>
    </w:p>
    <w:p w:rsidR="004204C1" w:rsidP="004204C1" w14:paraId="4AF9EDE8" w14:textId="77777777">
      <w:pPr>
        <w:rPr>
          <w:rFonts w:ascii="Calibri" w:eastAsia="Calibri" w:hAnsi="Calibri" w:cs="Calibri"/>
          <w:kern w:val="0"/>
          <w14:ligatures w14:val="none"/>
        </w:rPr>
      </w:pPr>
      <w:r>
        <w:rPr>
          <w:rFonts w:ascii="Calibri" w:eastAsia="Calibri" w:hAnsi="Calibri" w:cs="Calibri"/>
          <w:kern w:val="0"/>
          <w14:ligatures w14:val="none"/>
        </w:rPr>
        <w:t>As to the first commenter’s concern about the lag year in reporting “</w:t>
      </w:r>
      <w:r w:rsidRPr="005E3DE3">
        <w:rPr>
          <w:rFonts w:ascii="Calibri" w:eastAsia="Calibri" w:hAnsi="Calibri" w:cs="Calibri"/>
          <w:kern w:val="0"/>
          <w14:ligatures w14:val="none"/>
        </w:rPr>
        <w:t>making data less useful for real-time program or policy refinement</w:t>
      </w:r>
      <w:r>
        <w:rPr>
          <w:rFonts w:ascii="Calibri" w:eastAsia="Calibri" w:hAnsi="Calibri" w:cs="Calibri"/>
          <w:kern w:val="0"/>
          <w14:ligatures w14:val="none"/>
        </w:rPr>
        <w:t xml:space="preserve">” and the other commenters’ concern about using the data for “program improvement,” we note that we are proposing to add a year to when States must report the data </w:t>
      </w:r>
      <w:r w:rsidRPr="000F7BB8">
        <w:rPr>
          <w:rFonts w:ascii="Calibri" w:eastAsia="Calibri" w:hAnsi="Calibri" w:cs="Calibri"/>
          <w:kern w:val="0"/>
          <w14:ligatures w14:val="none"/>
        </w:rPr>
        <w:t>to the Department</w:t>
      </w:r>
      <w:r>
        <w:rPr>
          <w:rFonts w:ascii="Calibri" w:eastAsia="Calibri" w:hAnsi="Calibri" w:cs="Calibri"/>
          <w:kern w:val="0"/>
          <w14:ligatures w14:val="none"/>
        </w:rPr>
        <w:t>.  States may begin using the data “</w:t>
      </w:r>
      <w:r w:rsidRPr="00F95E46">
        <w:rPr>
          <w:rFonts w:ascii="Calibri" w:eastAsia="Calibri" w:hAnsi="Calibri" w:cs="Calibri"/>
          <w:kern w:val="0"/>
          <w14:ligatures w14:val="none"/>
        </w:rPr>
        <w:t>for real-time program or policy refinement”</w:t>
      </w:r>
      <w:r>
        <w:rPr>
          <w:rFonts w:ascii="Calibri" w:eastAsia="Calibri" w:hAnsi="Calibri" w:cs="Calibri"/>
          <w:kern w:val="0"/>
          <w14:ligatures w14:val="none"/>
        </w:rPr>
        <w:t xml:space="preserve"> and “program improvement” as soon as they obtain them.  We also note that States may feel more confident in making program or policy refinements in response to post-program outcome data if they have greater confidence in the completeness and accuracy of these data. </w:t>
      </w:r>
    </w:p>
    <w:p w:rsidR="005B0592" w:rsidRPr="005B0592" w:rsidP="004204C1" w14:paraId="752F5114" w14:textId="4480F940">
      <w:r w:rsidRPr="005B0592">
        <w:rPr>
          <w:u w:val="single"/>
        </w:rPr>
        <w:t>Changes</w:t>
      </w:r>
      <w:r w:rsidRPr="005B0592">
        <w:t>:  None.</w:t>
      </w:r>
    </w:p>
    <w:p w:rsidR="004204C1" w:rsidRPr="00DE373A" w:rsidP="00DE373A" w14:paraId="7128ABCE" w14:textId="45584060">
      <w:pPr>
        <w:pStyle w:val="ListParagraph"/>
        <w:numPr>
          <w:ilvl w:val="0"/>
          <w:numId w:val="3"/>
        </w:numPr>
        <w:rPr>
          <w:b/>
          <w:bCs/>
        </w:rPr>
      </w:pPr>
      <w:r w:rsidRPr="00DE373A">
        <w:rPr>
          <w:b/>
          <w:bCs/>
        </w:rPr>
        <w:t xml:space="preserve">Several commenters expressed concern that the proposed data specifications would require “tracking the placement of all concentrators and completers, regardless of whether we have successfully contacted them.” </w:t>
      </w:r>
      <w:r w:rsidRPr="00DE373A" w:rsidR="009D7DFE">
        <w:rPr>
          <w:b/>
          <w:bCs/>
        </w:rPr>
        <w:t xml:space="preserve"> </w:t>
      </w:r>
      <w:r w:rsidRPr="00DE373A">
        <w:rPr>
          <w:b/>
          <w:bCs/>
        </w:rPr>
        <w:t>The commenter expressed concern that this would “significantly distort the perception of the effectiveness of CTE programs.”</w:t>
      </w:r>
    </w:p>
    <w:p w:rsidR="005B0592" w:rsidP="005B0592" w14:paraId="1287CD2E" w14:textId="4B68D06C">
      <w:pPr>
        <w:rPr>
          <w:u w:val="single"/>
        </w:rPr>
      </w:pPr>
      <w:r>
        <w:rPr>
          <w:u w:val="single"/>
        </w:rPr>
        <w:t>Response</w:t>
      </w:r>
      <w:r>
        <w:t>:</w:t>
      </w:r>
      <w:r w:rsidR="00826D81">
        <w:t xml:space="preserve"> </w:t>
      </w:r>
      <w:r w:rsidRPr="00FD32CF">
        <w:t xml:space="preserve"> </w:t>
      </w:r>
      <w:r w:rsidR="00CB2196">
        <w:t>To address</w:t>
      </w:r>
      <w:r w:rsidRPr="00FD32CF" w:rsidR="005948A9">
        <w:t xml:space="preserve"> concerns about the difficulties of locating former students</w:t>
      </w:r>
      <w:r w:rsidR="00FB4DA7">
        <w:t>,</w:t>
      </w:r>
      <w:r w:rsidRPr="00FD32CF" w:rsidR="005948A9">
        <w:t xml:space="preserve"> </w:t>
      </w:r>
      <w:r w:rsidR="00FB4DA7">
        <w:t>w</w:t>
      </w:r>
      <w:r w:rsidRPr="00FD32CF" w:rsidR="005948A9">
        <w:t xml:space="preserve">e are proposing to provide an additional year for States to obtain information </w:t>
      </w:r>
      <w:r w:rsidRPr="00FD32CF" w:rsidR="00120B85">
        <w:t xml:space="preserve">about the education and employment status </w:t>
      </w:r>
      <w:r w:rsidRPr="00FD32CF" w:rsidR="00565FEC">
        <w:t xml:space="preserve">of CTE concentrators so that States need not rely entirely on student surveys </w:t>
      </w:r>
      <w:r w:rsidRPr="00FD32CF" w:rsidR="00723D02">
        <w:t xml:space="preserve">and can instead access administrative records like unemployment insurance wage records.  The Department intends to provide technical assistance to States </w:t>
      </w:r>
      <w:r w:rsidR="00123748">
        <w:t xml:space="preserve">on ways to </w:t>
      </w:r>
      <w:r w:rsidR="001871E8">
        <w:t>utilize</w:t>
      </w:r>
      <w:r w:rsidRPr="00FD32CF" w:rsidR="00723D02">
        <w:t xml:space="preserve"> administrative data for reporting on the post-placement indicators</w:t>
      </w:r>
      <w:r w:rsidR="00421061">
        <w:t xml:space="preserve"> so that State reporting </w:t>
      </w:r>
      <w:r w:rsidR="00631942">
        <w:t>on education and employment outcomes can be as complete as possible</w:t>
      </w:r>
      <w:r w:rsidR="007B0234">
        <w:t>, such as potentially using the State Wage Interchange System</w:t>
      </w:r>
      <w:r w:rsidRPr="00FD32CF" w:rsidR="00723D02">
        <w:t xml:space="preserve">. </w:t>
      </w:r>
    </w:p>
    <w:p w:rsidR="005B0592" w:rsidRPr="005B0592" w:rsidP="005B0592" w14:paraId="1C0E8176" w14:textId="0F1090D6">
      <w:r w:rsidRPr="000B564F">
        <w:rPr>
          <w:u w:val="single"/>
        </w:rPr>
        <w:t>Changes</w:t>
      </w:r>
      <w:r>
        <w:t>:</w:t>
      </w:r>
      <w:r w:rsidR="00723D02">
        <w:t xml:space="preserve"> </w:t>
      </w:r>
      <w:r w:rsidR="00826D81">
        <w:t xml:space="preserve"> </w:t>
      </w:r>
      <w:r w:rsidR="00723D02">
        <w:t xml:space="preserve">None. </w:t>
      </w:r>
    </w:p>
    <w:p w:rsidR="004204C1" w:rsidRPr="007C7F46" w:rsidP="1893C39D" w14:paraId="4053E576" w14:textId="37133D37">
      <w:pPr>
        <w:pStyle w:val="ListParagraph"/>
        <w:numPr>
          <w:ilvl w:val="0"/>
          <w:numId w:val="3"/>
        </w:numPr>
        <w:rPr>
          <w:b/>
        </w:rPr>
      </w:pPr>
      <w:r w:rsidRPr="1893C39D">
        <w:rPr>
          <w:b/>
        </w:rPr>
        <w:t xml:space="preserve">One commenter objected to the proposed data specifications </w:t>
      </w:r>
      <w:r w:rsidR="00EE72BA">
        <w:rPr>
          <w:b/>
        </w:rPr>
        <w:t xml:space="preserve">for the post-placement indicators </w:t>
      </w:r>
      <w:r w:rsidR="00946888">
        <w:rPr>
          <w:b/>
        </w:rPr>
        <w:t xml:space="preserve">(3S1 and 1P1) </w:t>
      </w:r>
      <w:r w:rsidRPr="1893C39D">
        <w:rPr>
          <w:b/>
        </w:rPr>
        <w:t xml:space="preserve">because “some of the proposed Core Performance Indicator timeframes are not feasible </w:t>
      </w:r>
      <w:r w:rsidRPr="7A0986EF" w:rsidR="00726EC1">
        <w:rPr>
          <w:b/>
          <w:bCs/>
        </w:rPr>
        <w:t>.</w:t>
      </w:r>
      <w:r w:rsidR="00726EC1">
        <w:rPr>
          <w:b/>
        </w:rPr>
        <w:t xml:space="preserve"> . </w:t>
      </w:r>
      <w:r w:rsidRPr="09A76FD8" w:rsidR="00726EC1">
        <w:rPr>
          <w:b/>
          <w:bCs/>
        </w:rPr>
        <w:t>.</w:t>
      </w:r>
      <w:r w:rsidRPr="1893C39D">
        <w:rPr>
          <w:b/>
        </w:rPr>
        <w:t xml:space="preserve"> due to the complexity of interagen</w:t>
      </w:r>
      <w:r w:rsidRPr="2F11A608">
        <w:rPr>
          <w:b/>
        </w:rPr>
        <w:t>cy data sharing and need for data validation.”</w:t>
      </w:r>
    </w:p>
    <w:p w:rsidR="005B0592" w:rsidP="005B0592" w14:paraId="11E7FE7A" w14:textId="6B3ED07A">
      <w:pPr>
        <w:rPr>
          <w:u w:val="single"/>
        </w:rPr>
      </w:pPr>
      <w:r>
        <w:rPr>
          <w:u w:val="single"/>
        </w:rPr>
        <w:t>Response</w:t>
      </w:r>
      <w:r>
        <w:t>:</w:t>
      </w:r>
      <w:r w:rsidRPr="00FB4DA7">
        <w:t xml:space="preserve"> </w:t>
      </w:r>
      <w:r w:rsidRPr="00FB4DA7" w:rsidR="00723D02">
        <w:t xml:space="preserve"> We understand the commenter’s concerns about the difficulties in accessing administrative records in </w:t>
      </w:r>
      <w:r w:rsidR="00B52D27">
        <w:t>some States</w:t>
      </w:r>
      <w:r w:rsidR="00723D02">
        <w:t>.</w:t>
      </w:r>
      <w:r w:rsidRPr="00FB4DA7" w:rsidR="00723D02">
        <w:t xml:space="preserve">  </w:t>
      </w:r>
      <w:r w:rsidR="002B1058">
        <w:t xml:space="preserve">We intend for the </w:t>
      </w:r>
      <w:r w:rsidRPr="00FB4DA7" w:rsidR="00ED7F88">
        <w:t>additional “lag” year</w:t>
      </w:r>
      <w:r w:rsidR="00AC4FC2">
        <w:t xml:space="preserve">, as we propose, </w:t>
      </w:r>
      <w:r w:rsidRPr="00FB4DA7" w:rsidR="00A243AC">
        <w:t>for reporting</w:t>
      </w:r>
      <w:r w:rsidR="0040122D">
        <w:t xml:space="preserve">, </w:t>
      </w:r>
      <w:r w:rsidR="00AC4FC2">
        <w:t xml:space="preserve">as well as the </w:t>
      </w:r>
      <w:r w:rsidRPr="00FB4DA7" w:rsidR="00ED7F88">
        <w:t xml:space="preserve">technical assistance we intend to provide </w:t>
      </w:r>
      <w:r w:rsidRPr="00FB4DA7" w:rsidR="00A243AC">
        <w:t>States</w:t>
      </w:r>
      <w:r w:rsidR="004F65E1">
        <w:t>,</w:t>
      </w:r>
      <w:r w:rsidRPr="00FB4DA7" w:rsidR="00A243AC">
        <w:t xml:space="preserve"> </w:t>
      </w:r>
      <w:r w:rsidR="002B1058">
        <w:t xml:space="preserve">to make it easier for </w:t>
      </w:r>
      <w:r w:rsidRPr="00FB4DA7" w:rsidR="00DB1361">
        <w:t xml:space="preserve">States to access administrative records. </w:t>
      </w:r>
      <w:r w:rsidRPr="00FB4DA7" w:rsidR="00ED7F88">
        <w:t xml:space="preserve"> </w:t>
      </w:r>
    </w:p>
    <w:p w:rsidR="005B0592" w:rsidP="005B0592" w14:paraId="6B4BAEE6" w14:textId="1D5E3D90">
      <w:pPr>
        <w:rPr>
          <w:u w:val="single"/>
        </w:rPr>
      </w:pPr>
      <w:r w:rsidRPr="000B564F">
        <w:rPr>
          <w:u w:val="single"/>
        </w:rPr>
        <w:t>Changes</w:t>
      </w:r>
      <w:r>
        <w:t>:</w:t>
      </w:r>
      <w:r w:rsidR="001616CA">
        <w:t xml:space="preserve"> </w:t>
      </w:r>
      <w:r w:rsidR="00AB608C">
        <w:t xml:space="preserve"> </w:t>
      </w:r>
      <w:r w:rsidR="001616CA">
        <w:t>None.</w:t>
      </w:r>
    </w:p>
    <w:p w:rsidR="007F3F65" w:rsidP="007F3F65" w14:paraId="66C2AE8D" w14:textId="5EEF8708">
      <w:r>
        <w:rPr>
          <w:u w:val="single"/>
        </w:rPr>
        <w:t>Non-Traditional Program Concentration (4S1 and 3P1)</w:t>
      </w:r>
      <w:r w:rsidR="00EE0E0F">
        <w:rPr>
          <w:u w:val="single"/>
        </w:rPr>
        <w:t xml:space="preserve"> </w:t>
      </w:r>
      <w:r>
        <w:rPr>
          <w:u w:val="single"/>
        </w:rPr>
        <w:t>(pages 35 and 38)</w:t>
      </w:r>
    </w:p>
    <w:p w:rsidR="007F3F65" w:rsidRPr="00DE373A" w:rsidP="00DE373A" w14:paraId="55AF55ED" w14:textId="433F6287">
      <w:pPr>
        <w:pStyle w:val="ListParagraph"/>
        <w:numPr>
          <w:ilvl w:val="0"/>
          <w:numId w:val="3"/>
        </w:numPr>
        <w:rPr>
          <w:b/>
        </w:rPr>
      </w:pPr>
      <w:r w:rsidRPr="00DE373A">
        <w:rPr>
          <w:b/>
        </w:rPr>
        <w:t xml:space="preserve">Two commenters objected to the proposed data specifications for student concentration in CTE programs that are nontraditional for their gender at the secondary and postsecondary levels, stating that they attempt “to impose an interpretation beyond what is evident in the statutory language approved by Congress, without going through proper regulatory channels.” </w:t>
      </w:r>
      <w:r w:rsidRPr="00DE373A" w:rsidR="00AE0108">
        <w:rPr>
          <w:b/>
        </w:rPr>
        <w:t xml:space="preserve">Two additional </w:t>
      </w:r>
      <w:r w:rsidRPr="00DE373A" w:rsidR="00A317B0">
        <w:rPr>
          <w:b/>
        </w:rPr>
        <w:t>commenter</w:t>
      </w:r>
      <w:r w:rsidRPr="00DE373A" w:rsidR="00AE0108">
        <w:rPr>
          <w:b/>
        </w:rPr>
        <w:t>s</w:t>
      </w:r>
      <w:r w:rsidRPr="00DE373A" w:rsidR="00A317B0">
        <w:rPr>
          <w:b/>
        </w:rPr>
        <w:t xml:space="preserve"> </w:t>
      </w:r>
      <w:r w:rsidRPr="00DE373A" w:rsidR="00AE0108">
        <w:rPr>
          <w:b/>
        </w:rPr>
        <w:t>stated that the p</w:t>
      </w:r>
      <w:r w:rsidRPr="00DE373A" w:rsidR="00DF0FE1">
        <w:rPr>
          <w:b/>
        </w:rPr>
        <w:t xml:space="preserve">roposed data specifications </w:t>
      </w:r>
      <w:r w:rsidRPr="00DE373A" w:rsidR="00AE0108">
        <w:rPr>
          <w:b/>
        </w:rPr>
        <w:t xml:space="preserve">were </w:t>
      </w:r>
      <w:r w:rsidRPr="00DE373A" w:rsidR="004F760B">
        <w:rPr>
          <w:b/>
        </w:rPr>
        <w:t xml:space="preserve">in </w:t>
      </w:r>
      <w:r w:rsidRPr="00DE373A" w:rsidR="00D21B67">
        <w:rPr>
          <w:b/>
        </w:rPr>
        <w:t>conflict</w:t>
      </w:r>
      <w:r w:rsidRPr="00DE373A" w:rsidR="00087A14">
        <w:rPr>
          <w:b/>
        </w:rPr>
        <w:t xml:space="preserve"> with the inten</w:t>
      </w:r>
      <w:r w:rsidRPr="00DE373A" w:rsidR="00AE0108">
        <w:rPr>
          <w:b/>
        </w:rPr>
        <w:t xml:space="preserve">t of Congress </w:t>
      </w:r>
      <w:r w:rsidR="00046BC1">
        <w:rPr>
          <w:b/>
        </w:rPr>
        <w:t xml:space="preserve">and </w:t>
      </w:r>
      <w:r w:rsidRPr="00DE373A" w:rsidR="00AE0108">
        <w:rPr>
          <w:b/>
        </w:rPr>
        <w:t xml:space="preserve">a “plain reading </w:t>
      </w:r>
      <w:r w:rsidRPr="00DE373A" w:rsidR="000518F7">
        <w:rPr>
          <w:b/>
        </w:rPr>
        <w:t xml:space="preserve">of </w:t>
      </w:r>
      <w:r w:rsidRPr="00DE373A" w:rsidR="004F760B">
        <w:rPr>
          <w:b/>
        </w:rPr>
        <w:t>the statute.”</w:t>
      </w:r>
    </w:p>
    <w:p w:rsidR="005B0592" w:rsidP="005B0592" w14:paraId="51DC51EF" w14:textId="2E0E3B69">
      <w:pPr>
        <w:rPr>
          <w:u w:val="single"/>
        </w:rPr>
      </w:pPr>
      <w:r>
        <w:rPr>
          <w:u w:val="single"/>
        </w:rPr>
        <w:t>Response</w:t>
      </w:r>
      <w:r w:rsidR="005A6991">
        <w:t>:</w:t>
      </w:r>
      <w:r w:rsidRPr="00683255" w:rsidR="005A6991">
        <w:t xml:space="preserve"> </w:t>
      </w:r>
      <w:r w:rsidR="002563AF">
        <w:t xml:space="preserve"> </w:t>
      </w:r>
      <w:r w:rsidR="00683255">
        <w:t>The Department believes</w:t>
      </w:r>
      <w:r w:rsidRPr="00683255" w:rsidR="005A6991">
        <w:t xml:space="preserve"> that the proposed data specifications </w:t>
      </w:r>
      <w:r w:rsidRPr="00683255" w:rsidR="00926A6C">
        <w:t xml:space="preserve">for student concentration in CTE programs that are nontraditional for </w:t>
      </w:r>
      <w:r w:rsidRPr="00683255" w:rsidR="007A795F">
        <w:t>a student’s</w:t>
      </w:r>
      <w:r w:rsidRPr="00683255" w:rsidR="00926A6C">
        <w:t xml:space="preserve"> gender at the secondary and postsecondary levels</w:t>
      </w:r>
      <w:r w:rsidRPr="00683255">
        <w:t xml:space="preserve"> </w:t>
      </w:r>
      <w:r w:rsidRPr="00683255" w:rsidR="00926A6C">
        <w:t>(</w:t>
      </w:r>
      <w:r w:rsidRPr="00683255" w:rsidR="00C15823">
        <w:t>4S1 and 3P1</w:t>
      </w:r>
      <w:r w:rsidRPr="00683255" w:rsidR="00246A70">
        <w:t>, respectively</w:t>
      </w:r>
      <w:r w:rsidRPr="00683255" w:rsidR="00C15823">
        <w:t>)</w:t>
      </w:r>
      <w:r w:rsidRPr="00683255" w:rsidR="00E33D0B">
        <w:t xml:space="preserve"> reflect</w:t>
      </w:r>
      <w:r w:rsidRPr="00683255" w:rsidR="00246A70">
        <w:t xml:space="preserve"> </w:t>
      </w:r>
      <w:r w:rsidR="00337E9F">
        <w:t>a plain reading of</w:t>
      </w:r>
      <w:r w:rsidRPr="00683255" w:rsidR="00BF109F">
        <w:t xml:space="preserve"> the statute</w:t>
      </w:r>
      <w:r w:rsidR="00416C98">
        <w:t xml:space="preserve">, giving meaning to both the statutory </w:t>
      </w:r>
      <w:r w:rsidR="00342F58">
        <w:t xml:space="preserve">text </w:t>
      </w:r>
      <w:r w:rsidR="00B36D82">
        <w:t>in</w:t>
      </w:r>
      <w:r w:rsidRPr="00342F58" w:rsidR="00342F58">
        <w:t xml:space="preserve"> Sections 113(b)(2)(A)(v) and 113(b)(2)(B)(iii) of Perkins V</w:t>
      </w:r>
      <w:r w:rsidR="00D12D91">
        <w:t xml:space="preserve"> o</w:t>
      </w:r>
      <w:r w:rsidR="00587CA2">
        <w:t>f</w:t>
      </w:r>
      <w:r w:rsidRPr="00342F58" w:rsidR="00342F58">
        <w:t xml:space="preserve"> </w:t>
      </w:r>
      <w:r w:rsidR="00B04232">
        <w:t>the</w:t>
      </w:r>
      <w:r w:rsidRPr="00342F58" w:rsidR="00342F58">
        <w:t xml:space="preserve"> core indicators of performance </w:t>
      </w:r>
      <w:r w:rsidR="00B04232">
        <w:t xml:space="preserve">for </w:t>
      </w:r>
      <w:r w:rsidRPr="00342F58" w:rsidR="00342F58">
        <w:t>the percentage of secondary and postsecondary CTE concentrator in CTE programs and programs of study that lead to non-traditional fields</w:t>
      </w:r>
      <w:r w:rsidR="00D12D91">
        <w:t>,</w:t>
      </w:r>
      <w:r w:rsidR="00342F58">
        <w:t xml:space="preserve"> and the </w:t>
      </w:r>
      <w:r w:rsidR="008C4E35">
        <w:t xml:space="preserve">definition of “non-traditional field” </w:t>
      </w:r>
      <w:r w:rsidR="00BD6F1E">
        <w:t>in s</w:t>
      </w:r>
      <w:r w:rsidRPr="00342F58" w:rsidR="00342F58">
        <w:t>ection 3(33) of Perkins V</w:t>
      </w:r>
      <w:r w:rsidR="00E50A8D">
        <w:t xml:space="preserve">. </w:t>
      </w:r>
      <w:r w:rsidR="00D12D91">
        <w:t xml:space="preserve"> </w:t>
      </w:r>
      <w:r w:rsidR="0082415D">
        <w:t>In addition, b</w:t>
      </w:r>
      <w:r w:rsidR="00C06F78">
        <w:t>ased</w:t>
      </w:r>
      <w:r w:rsidRPr="00683255" w:rsidR="00C06F78">
        <w:t xml:space="preserve"> on the Department’s review of State CAR submissions</w:t>
      </w:r>
      <w:r w:rsidR="37EBD59D">
        <w:t xml:space="preserve"> </w:t>
      </w:r>
      <w:r w:rsidR="22736C15">
        <w:t xml:space="preserve">from </w:t>
      </w:r>
      <w:r w:rsidR="37EBD59D">
        <w:t>program years 2021-2022 and 2022-2023</w:t>
      </w:r>
      <w:r w:rsidRPr="00683255" w:rsidR="00C06F78">
        <w:t>,</w:t>
      </w:r>
      <w:r w:rsidRPr="00683255" w:rsidR="00BF109F">
        <w:t xml:space="preserve"> </w:t>
      </w:r>
      <w:r w:rsidR="002B5969">
        <w:t xml:space="preserve">our </w:t>
      </w:r>
      <w:r w:rsidR="004B645B">
        <w:t>proposed data speci</w:t>
      </w:r>
      <w:r w:rsidR="00051A68">
        <w:t>fications</w:t>
      </w:r>
      <w:r w:rsidRPr="00683255" w:rsidR="004B645B">
        <w:t xml:space="preserve"> </w:t>
      </w:r>
      <w:r w:rsidRPr="00683255" w:rsidR="00797F86">
        <w:t xml:space="preserve">are consistent with how </w:t>
      </w:r>
      <w:r w:rsidRPr="00683255" w:rsidR="00F56ED6">
        <w:t xml:space="preserve">42 States </w:t>
      </w:r>
      <w:r w:rsidR="00F56ED6">
        <w:t>measur</w:t>
      </w:r>
      <w:r w:rsidR="009B5D41">
        <w:t>e</w:t>
      </w:r>
      <w:r w:rsidRPr="00683255" w:rsidR="00F56ED6">
        <w:t xml:space="preserve"> </w:t>
      </w:r>
      <w:r w:rsidRPr="00683255" w:rsidR="000E7E5F">
        <w:t xml:space="preserve">4S1 and </w:t>
      </w:r>
      <w:r w:rsidRPr="00683255" w:rsidR="00B85E8E">
        <w:t xml:space="preserve">how 45 </w:t>
      </w:r>
      <w:r w:rsidR="00B85E8E">
        <w:t>States</w:t>
      </w:r>
      <w:r w:rsidR="724E2280">
        <w:t xml:space="preserve"> </w:t>
      </w:r>
      <w:r w:rsidR="00B85E8E">
        <w:t>measur</w:t>
      </w:r>
      <w:r w:rsidR="009B5D41">
        <w:t>e</w:t>
      </w:r>
      <w:r w:rsidRPr="00683255" w:rsidR="00B85E8E">
        <w:t xml:space="preserve"> </w:t>
      </w:r>
      <w:r w:rsidRPr="00683255" w:rsidR="00246A70">
        <w:t>3P1.</w:t>
      </w:r>
      <w:r w:rsidRPr="00683255" w:rsidR="00E57915">
        <w:t xml:space="preserve"> </w:t>
      </w:r>
      <w:r w:rsidRPr="00683255" w:rsidR="00C06F78">
        <w:t xml:space="preserve"> </w:t>
      </w:r>
      <w:r w:rsidR="00682B04">
        <w:t>Therefore,</w:t>
      </w:r>
      <w:r w:rsidRPr="00683255" w:rsidR="00C06F78">
        <w:t xml:space="preserve"> </w:t>
      </w:r>
      <w:r w:rsidRPr="00683255" w:rsidR="00C06F78">
        <w:t>most States reviewed the statutory descriptions of the</w:t>
      </w:r>
      <w:r w:rsidR="009C5F99">
        <w:t>se</w:t>
      </w:r>
      <w:r w:rsidRPr="00683255" w:rsidR="00C06F78">
        <w:t xml:space="preserve"> indicators and concluded that they should be measured </w:t>
      </w:r>
      <w:r w:rsidR="00051A68">
        <w:t xml:space="preserve">in the manner </w:t>
      </w:r>
      <w:r w:rsidRPr="00683255" w:rsidR="00C06F78">
        <w:t>outlined in the pr</w:t>
      </w:r>
      <w:r w:rsidRPr="00683255" w:rsidR="00742123">
        <w:t>oposed data specifications for 4S1 and 3P1.</w:t>
      </w:r>
      <w:r w:rsidRPr="00683255" w:rsidR="0005003E">
        <w:t xml:space="preserve"> </w:t>
      </w:r>
    </w:p>
    <w:p w:rsidR="005B0592" w:rsidRPr="005B0592" w:rsidP="005B0592" w14:paraId="7DA22E6F" w14:textId="42A4D950">
      <w:pPr>
        <w:rPr>
          <w:color w:val="FF0000"/>
        </w:rPr>
      </w:pPr>
      <w:r w:rsidRPr="000B564F">
        <w:rPr>
          <w:u w:val="single"/>
        </w:rPr>
        <w:t>Changes</w:t>
      </w:r>
      <w:r>
        <w:t>:</w:t>
      </w:r>
      <w:r w:rsidR="000B403E">
        <w:t xml:space="preserve"> </w:t>
      </w:r>
      <w:r w:rsidR="002563AF">
        <w:t xml:space="preserve"> </w:t>
      </w:r>
      <w:r w:rsidR="000B403E">
        <w:t xml:space="preserve">None. </w:t>
      </w:r>
    </w:p>
    <w:p w:rsidR="007F3F65" w:rsidRPr="00DE373A" w:rsidP="00DE373A" w14:paraId="428044DB" w14:textId="14D40BFC">
      <w:pPr>
        <w:pStyle w:val="ListParagraph"/>
        <w:numPr>
          <w:ilvl w:val="0"/>
          <w:numId w:val="3"/>
        </w:numPr>
        <w:rPr>
          <w:b/>
          <w:bCs/>
        </w:rPr>
      </w:pPr>
      <w:r w:rsidRPr="00DE373A">
        <w:rPr>
          <w:b/>
          <w:bCs/>
        </w:rPr>
        <w:t xml:space="preserve">One commenter stated that 3P1 was “difficult to meet due to current parameters within its definition.” </w:t>
      </w:r>
    </w:p>
    <w:p w:rsidR="005B0592" w:rsidRPr="00532505" w:rsidP="005B0592" w14:paraId="3DAC92BE" w14:textId="561AA90B">
      <w:r>
        <w:rPr>
          <w:u w:val="single"/>
        </w:rPr>
        <w:t>Response</w:t>
      </w:r>
      <w:r>
        <w:t>:</w:t>
      </w:r>
      <w:r w:rsidR="00296546">
        <w:t xml:space="preserve"> </w:t>
      </w:r>
      <w:r w:rsidR="00A820A6">
        <w:t xml:space="preserve"> </w:t>
      </w:r>
      <w:r w:rsidR="00296546">
        <w:t xml:space="preserve">The Department </w:t>
      </w:r>
      <w:r w:rsidR="00273284">
        <w:t xml:space="preserve">notes that </w:t>
      </w:r>
      <w:r w:rsidRPr="00873D17" w:rsidR="00273284">
        <w:t>42 States are already measuring 4S1 and 45 States are already measuring 3P1</w:t>
      </w:r>
      <w:r w:rsidR="00273284">
        <w:t xml:space="preserve"> </w:t>
      </w:r>
      <w:r w:rsidRPr="00873D17" w:rsidR="00273284">
        <w:t xml:space="preserve">as we have outlined in the proposed data specifications for 4S1 and 3P1. </w:t>
      </w:r>
      <w:r w:rsidR="00273284">
        <w:t xml:space="preserve"> </w:t>
      </w:r>
      <w:r w:rsidR="008B2917">
        <w:t xml:space="preserve">The Department intends to provide technical assistance for </w:t>
      </w:r>
      <w:r w:rsidR="006878FD">
        <w:t>State</w:t>
      </w:r>
      <w:r w:rsidR="008B2917">
        <w:t>s that</w:t>
      </w:r>
      <w:r w:rsidR="006878FD">
        <w:t xml:space="preserve"> ha</w:t>
      </w:r>
      <w:r w:rsidR="008B2917">
        <w:t>ve</w:t>
      </w:r>
      <w:r w:rsidR="006878FD">
        <w:t xml:space="preserve"> difficulty implementing the proposed numerator and denominator for this indicator</w:t>
      </w:r>
      <w:r w:rsidR="008B2917">
        <w:t xml:space="preserve"> and any other indicators. </w:t>
      </w:r>
    </w:p>
    <w:p w:rsidR="005B0592" w:rsidRPr="005B0592" w:rsidP="005B0592" w14:paraId="2BF44649" w14:textId="7BDA6158">
      <w:r w:rsidRPr="000B564F">
        <w:rPr>
          <w:u w:val="single"/>
        </w:rPr>
        <w:t>Changes</w:t>
      </w:r>
      <w:r>
        <w:t>:</w:t>
      </w:r>
      <w:r w:rsidR="00034B1B">
        <w:t xml:space="preserve"> </w:t>
      </w:r>
      <w:r w:rsidR="00A820A6">
        <w:t xml:space="preserve"> </w:t>
      </w:r>
      <w:r w:rsidR="00034B1B">
        <w:t>None.</w:t>
      </w:r>
    </w:p>
    <w:p w:rsidR="007F3F65" w:rsidRPr="00DE373A" w:rsidP="00DE373A" w14:paraId="0EFDA481" w14:textId="25E60A66">
      <w:pPr>
        <w:pStyle w:val="ListParagraph"/>
        <w:numPr>
          <w:ilvl w:val="0"/>
          <w:numId w:val="3"/>
        </w:numPr>
        <w:rPr>
          <w:b/>
        </w:rPr>
      </w:pPr>
      <w:r w:rsidRPr="00DE373A">
        <w:rPr>
          <w:b/>
        </w:rPr>
        <w:t xml:space="preserve">One commenter recommended limiting the denominators in the proposed data specifications for student concentration in CTE programs that are nontraditional for their gender at the secondary and postsecondary levels (3P1 and 4S1) to male and female CTE concentrators, excluding concentrators whose gender is unknown, unreported, or “categorized as a gender outside of male and female.” </w:t>
      </w:r>
      <w:r w:rsidR="008E1357">
        <w:rPr>
          <w:b/>
        </w:rPr>
        <w:t xml:space="preserve"> </w:t>
      </w:r>
      <w:r w:rsidRPr="00DE373A">
        <w:rPr>
          <w:b/>
        </w:rPr>
        <w:t xml:space="preserve">The commenter noted that students whose gender is unknown or neither male or female could not be included in the numerator because they are not a “gender that comprises less than 25 percent of the individuals employed in the occupation or field of work for which the CTE program prepares students.” </w:t>
      </w:r>
      <w:r w:rsidR="008E1357">
        <w:rPr>
          <w:b/>
        </w:rPr>
        <w:t xml:space="preserve"> </w:t>
      </w:r>
      <w:r w:rsidRPr="00DE373A">
        <w:rPr>
          <w:b/>
        </w:rPr>
        <w:t xml:space="preserve">Alternatively, the commenter suggested that the Department provide guidance on how students whose gender is not known or neither female or male can be included in the numerator.  </w:t>
      </w:r>
    </w:p>
    <w:p w:rsidR="003D46E5" w:rsidRPr="006F647B" w:rsidP="005B0592" w14:paraId="11121AD5" w14:textId="5E02B3EC">
      <w:r>
        <w:rPr>
          <w:u w:val="single"/>
        </w:rPr>
        <w:t>Response</w:t>
      </w:r>
      <w:r>
        <w:t>:</w:t>
      </w:r>
      <w:r w:rsidRPr="005B1CB4">
        <w:t xml:space="preserve"> </w:t>
      </w:r>
      <w:r w:rsidR="008E1357">
        <w:t xml:space="preserve"> </w:t>
      </w:r>
      <w:r w:rsidRPr="008655DC" w:rsidR="008655DC">
        <w:t xml:space="preserve">While a few States have informed the Department that their collection of data on the gender of CTE concentrators is not binary and </w:t>
      </w:r>
      <w:r w:rsidR="007B3C3A">
        <w:t xml:space="preserve">that </w:t>
      </w:r>
      <w:r w:rsidRPr="008655DC" w:rsidR="008655DC">
        <w:t>they have added one or more gender categories for individuals who do not identify as male or female, the Department</w:t>
      </w:r>
      <w:r w:rsidR="00440359">
        <w:t xml:space="preserve">’s </w:t>
      </w:r>
      <w:r w:rsidR="00B317BD">
        <w:t xml:space="preserve">past </w:t>
      </w:r>
      <w:r w:rsidR="00440359">
        <w:t>information collections</w:t>
      </w:r>
      <w:r w:rsidR="008E1357">
        <w:t>,</w:t>
      </w:r>
      <w:r w:rsidR="00440359">
        <w:t xml:space="preserve"> </w:t>
      </w:r>
      <w:r w:rsidR="008E1357">
        <w:t xml:space="preserve">e.g., </w:t>
      </w:r>
      <w:r w:rsidR="00440359">
        <w:t xml:space="preserve">State Plan </w:t>
      </w:r>
      <w:r w:rsidR="008E1357">
        <w:t xml:space="preserve">Guide </w:t>
      </w:r>
      <w:r w:rsidR="00440359">
        <w:t>and CAR</w:t>
      </w:r>
      <w:r w:rsidR="008E1357">
        <w:t xml:space="preserve"> ICR,</w:t>
      </w:r>
      <w:r w:rsidR="008655DC">
        <w:t xml:space="preserve"> only</w:t>
      </w:r>
      <w:r w:rsidRPr="008655DC" w:rsidR="008655DC">
        <w:t xml:space="preserve"> </w:t>
      </w:r>
      <w:r w:rsidR="00440359">
        <w:t>request</w:t>
      </w:r>
      <w:r w:rsidRPr="008655DC" w:rsidR="00440359">
        <w:t xml:space="preserve"> </w:t>
      </w:r>
      <w:r w:rsidRPr="008655DC" w:rsidR="008655DC">
        <w:t>data on CTE concentrators who identify as male and female</w:t>
      </w:r>
      <w:r w:rsidR="00285CD2">
        <w:t>, and</w:t>
      </w:r>
      <w:r w:rsidR="00440359">
        <w:t xml:space="preserve"> the Department has</w:t>
      </w:r>
      <w:r w:rsidR="005859D7">
        <w:t xml:space="preserve"> not </w:t>
      </w:r>
      <w:r w:rsidR="00440359">
        <w:t>proposed changing this portion of the collections</w:t>
      </w:r>
      <w:r w:rsidRPr="008655DC" w:rsidR="008655DC">
        <w:t>.</w:t>
      </w:r>
      <w:r w:rsidR="00440359">
        <w:t xml:space="preserve"> </w:t>
      </w:r>
      <w:r w:rsidR="008E1357">
        <w:t xml:space="preserve"> </w:t>
      </w:r>
      <w:r w:rsidR="00440359">
        <w:t>However, States may always provide additional information at their discretion</w:t>
      </w:r>
      <w:r w:rsidRPr="008655DC" w:rsidR="008655DC">
        <w:t xml:space="preserve">. </w:t>
      </w:r>
    </w:p>
    <w:p w:rsidR="005B0592" w:rsidRPr="005B0592" w:rsidP="005B0592" w14:paraId="246E219D" w14:textId="4EBBE773">
      <w:pPr>
        <w:rPr>
          <w:highlight w:val="yellow"/>
        </w:rPr>
      </w:pPr>
      <w:r w:rsidRPr="000B564F">
        <w:rPr>
          <w:u w:val="single"/>
        </w:rPr>
        <w:t>Changes</w:t>
      </w:r>
      <w:r>
        <w:t>:</w:t>
      </w:r>
      <w:r w:rsidR="00513778">
        <w:t xml:space="preserve"> </w:t>
      </w:r>
      <w:r w:rsidR="008E1357">
        <w:t xml:space="preserve"> </w:t>
      </w:r>
      <w:r w:rsidR="00513778">
        <w:t>None.</w:t>
      </w:r>
    </w:p>
    <w:p w:rsidR="009F1708" w:rsidRPr="007C7F46" w:rsidP="2F11A608" w14:paraId="76061A4F" w14:textId="64A1DD11">
      <w:pPr>
        <w:pStyle w:val="ListParagraph"/>
        <w:numPr>
          <w:ilvl w:val="0"/>
          <w:numId w:val="3"/>
        </w:numPr>
        <w:rPr>
          <w:b/>
        </w:rPr>
      </w:pPr>
      <w:r w:rsidRPr="2F11A608">
        <w:rPr>
          <w:b/>
        </w:rPr>
        <w:t>Two</w:t>
      </w:r>
      <w:r w:rsidRPr="2F11A608" w:rsidR="002244F5">
        <w:rPr>
          <w:b/>
        </w:rPr>
        <w:t xml:space="preserve"> </w:t>
      </w:r>
      <w:r w:rsidRPr="2F11A608">
        <w:rPr>
          <w:b/>
        </w:rPr>
        <w:t>commente</w:t>
      </w:r>
      <w:r w:rsidRPr="2F11A608" w:rsidR="00117F9B">
        <w:rPr>
          <w:b/>
        </w:rPr>
        <w:t>r</w:t>
      </w:r>
      <w:r w:rsidRPr="2F11A608">
        <w:rPr>
          <w:b/>
        </w:rPr>
        <w:t>s</w:t>
      </w:r>
      <w:r w:rsidRPr="2F11A608">
        <w:rPr>
          <w:b/>
        </w:rPr>
        <w:t xml:space="preserve"> questioned why the Department’s proposed data specifications for the two performance indicators on non-traditional education and employment (4S1 and 3P1) use an active cohort when the Department’s proposed data specifications for the other secondary performance indicators use an exit cohort.  The commenter wondered why the Department’s concern that an active cohort could result in a duplicative data did not apply to the non-traditional performance indicators.</w:t>
      </w:r>
    </w:p>
    <w:p w:rsidR="009F1708" w:rsidRPr="004679A7" w:rsidP="009F1708" w14:paraId="632C3126" w14:textId="1C573E35">
      <w:r w:rsidRPr="006F647B">
        <w:rPr>
          <w:u w:val="single"/>
        </w:rPr>
        <w:t>Response</w:t>
      </w:r>
      <w:r>
        <w:t>:</w:t>
      </w:r>
      <w:r w:rsidRPr="006F647B">
        <w:t xml:space="preserve"> </w:t>
      </w:r>
      <w:r w:rsidR="00631C0F">
        <w:t xml:space="preserve"> </w:t>
      </w:r>
      <w:r w:rsidRPr="006F647B">
        <w:t>The two core indicators of performance on non-traditional education and employment (4S1 and 3P1) are the only indicators that do not measure CTE concentrator outcomes, measuring instead CTE concentrator participation in certain CTE programs and programs of study.  The proposed data specifications for 4S1 and 3P1 are consistent with how the Department has historically collected data on participation and concentration in CTE programs and programs of study, which has been to request that States annually provide an unduplicated count of students who participated in and concentrated their studies in CTE during the prior program year.  Unlike the academic proficiency indicators, which are intended to measure CTE concentrator proficiency on one-time assessments, the non-traditional education and employment indicators capture students’ annual status as a concentrator studying in a non-traditional field</w:t>
      </w:r>
      <w:r w:rsidR="00B86538">
        <w:t>,</w:t>
      </w:r>
      <w:r>
        <w:t xml:space="preserve"> </w:t>
      </w:r>
      <w:r w:rsidR="00765107">
        <w:t xml:space="preserve">noting that </w:t>
      </w:r>
      <w:r w:rsidRPr="001B53CF">
        <w:t>a student’s status may change in different years in which they are a CTE concentrator.</w:t>
      </w:r>
    </w:p>
    <w:p w:rsidR="005B0592" w:rsidRPr="005B0592" w:rsidP="003146B8" w14:paraId="2DAED1F6" w14:textId="0274E010">
      <w:r>
        <w:rPr>
          <w:u w:val="single"/>
        </w:rPr>
        <w:t>Changes</w:t>
      </w:r>
      <w:r>
        <w:t>:</w:t>
      </w:r>
      <w:r w:rsidR="00D41CE0">
        <w:t xml:space="preserve"> </w:t>
      </w:r>
      <w:r w:rsidR="00631C0F">
        <w:t xml:space="preserve"> </w:t>
      </w:r>
      <w:r w:rsidR="00D41CE0">
        <w:t xml:space="preserve">None. </w:t>
      </w:r>
    </w:p>
    <w:p w:rsidR="007670BD" w:rsidP="003146B8" w14:paraId="2C919A60" w14:textId="52B22C3A">
      <w:pPr>
        <w:rPr>
          <w:u w:val="single"/>
        </w:rPr>
      </w:pPr>
      <w:r>
        <w:rPr>
          <w:u w:val="single"/>
        </w:rPr>
        <w:t xml:space="preserve">Secondary </w:t>
      </w:r>
      <w:r w:rsidR="00481384">
        <w:rPr>
          <w:u w:val="single"/>
        </w:rPr>
        <w:t xml:space="preserve">Program </w:t>
      </w:r>
      <w:r w:rsidR="006E0EA7">
        <w:rPr>
          <w:u w:val="single"/>
        </w:rPr>
        <w:t>Quality Indicators</w:t>
      </w:r>
      <w:r w:rsidR="009F1708">
        <w:rPr>
          <w:u w:val="single"/>
        </w:rPr>
        <w:t xml:space="preserve"> </w:t>
      </w:r>
      <w:r w:rsidR="004D1378">
        <w:rPr>
          <w:u w:val="single"/>
        </w:rPr>
        <w:t>(5S1, 5S2, and 5S3)</w:t>
      </w:r>
      <w:r w:rsidR="00175CD3">
        <w:rPr>
          <w:u w:val="single"/>
        </w:rPr>
        <w:t xml:space="preserve"> (pages 35 and 36)</w:t>
      </w:r>
    </w:p>
    <w:p w:rsidR="007764C5" w:rsidRPr="007764C5" w:rsidP="45D69787" w14:paraId="0E1DF441" w14:textId="34294CB9">
      <w:pPr>
        <w:pStyle w:val="ListParagraph"/>
        <w:numPr>
          <w:ilvl w:val="0"/>
          <w:numId w:val="3"/>
        </w:numPr>
        <w:rPr>
          <w:b/>
        </w:rPr>
      </w:pPr>
      <w:r w:rsidRPr="45D69787">
        <w:rPr>
          <w:b/>
        </w:rPr>
        <w:t xml:space="preserve">One commenter objected to the Department’s requirement that each State adopt at least one secondary program quality indicator and expressed concern that it would discourage States from adopting multiple ones. </w:t>
      </w:r>
    </w:p>
    <w:p w:rsidR="007764C5" w:rsidP="007764C5" w14:paraId="2E302820" w14:textId="6C91C8BC">
      <w:r w:rsidRPr="007764C5">
        <w:rPr>
          <w:u w:val="single"/>
        </w:rPr>
        <w:t>Response</w:t>
      </w:r>
      <w:r>
        <w:t xml:space="preserve">:  Section 113(b)(2)(A)(iv)(I) of Perkins V requires each State to select at least one secondary program quality indicator for which it will be accountable.  </w:t>
      </w:r>
    </w:p>
    <w:p w:rsidR="007764C5" w:rsidRPr="006E0EA7" w:rsidP="003146B8" w14:paraId="76B0A5DA" w14:textId="74C00F26">
      <w:r w:rsidRPr="45D69787">
        <w:rPr>
          <w:u w:val="single"/>
        </w:rPr>
        <w:t>Changes</w:t>
      </w:r>
      <w:r>
        <w:t xml:space="preserve">: </w:t>
      </w:r>
      <w:r w:rsidR="003B2BBC">
        <w:t xml:space="preserve"> </w:t>
      </w:r>
      <w:r>
        <w:t xml:space="preserve">None. </w:t>
      </w:r>
    </w:p>
    <w:p w:rsidR="007670BD" w:rsidRPr="007C7F46" w:rsidP="3E5FDC2E" w14:paraId="5EBFF944" w14:textId="3A32F3B5">
      <w:pPr>
        <w:pStyle w:val="ListParagraph"/>
        <w:numPr>
          <w:ilvl w:val="0"/>
          <w:numId w:val="3"/>
        </w:numPr>
        <w:rPr>
          <w:b/>
        </w:rPr>
      </w:pPr>
      <w:r w:rsidRPr="2F11A608">
        <w:rPr>
          <w:b/>
        </w:rPr>
        <w:t xml:space="preserve">Two commenters stated that the </w:t>
      </w:r>
      <w:r w:rsidRPr="2F11A608" w:rsidR="00270661">
        <w:rPr>
          <w:b/>
        </w:rPr>
        <w:t xml:space="preserve">proposed </w:t>
      </w:r>
      <w:r w:rsidRPr="2F11A608">
        <w:rPr>
          <w:b/>
        </w:rPr>
        <w:t xml:space="preserve">data specifications for the secondary quality indicators </w:t>
      </w:r>
      <w:r w:rsidRPr="2F11A608" w:rsidR="000D2F15">
        <w:rPr>
          <w:b/>
        </w:rPr>
        <w:t>would “create new disincentives for states to be innovative in their approach</w:t>
      </w:r>
      <w:r w:rsidRPr="2F11A608" w:rsidR="00C77571">
        <w:rPr>
          <w:b/>
        </w:rPr>
        <w:t xml:space="preserve"> to leveraging the law’s program quality indicators” </w:t>
      </w:r>
      <w:r w:rsidRPr="2F11A608" w:rsidR="00A53164">
        <w:rPr>
          <w:b/>
        </w:rPr>
        <w:t>and reduce the number of quality indicators that they report on.</w:t>
      </w:r>
    </w:p>
    <w:p w:rsidR="005B0592" w:rsidP="005B0592" w14:paraId="33203242" w14:textId="3177A685">
      <w:pPr>
        <w:rPr>
          <w:u w:val="single"/>
        </w:rPr>
      </w:pPr>
      <w:r>
        <w:rPr>
          <w:u w:val="single"/>
        </w:rPr>
        <w:t>Response</w:t>
      </w:r>
      <w:r>
        <w:t>:</w:t>
      </w:r>
      <w:r w:rsidR="00127999">
        <w:t xml:space="preserve"> </w:t>
      </w:r>
      <w:r w:rsidR="00631C0F">
        <w:t xml:space="preserve"> </w:t>
      </w:r>
      <w:r w:rsidR="00127999">
        <w:t xml:space="preserve">The </w:t>
      </w:r>
      <w:r w:rsidR="00B0664C">
        <w:t xml:space="preserve">proposed </w:t>
      </w:r>
      <w:r w:rsidR="00127999">
        <w:t xml:space="preserve">data specifications for the secondary program quality indicators </w:t>
      </w:r>
      <w:r w:rsidR="00AF779E">
        <w:t xml:space="preserve">are </w:t>
      </w:r>
      <w:r w:rsidR="00AD5F84">
        <w:t>directly</w:t>
      </w:r>
      <w:r w:rsidR="002C742D">
        <w:t xml:space="preserve"> </w:t>
      </w:r>
      <w:r w:rsidR="00AF779E">
        <w:t xml:space="preserve">from </w:t>
      </w:r>
      <w:r w:rsidR="00D640E9">
        <w:t>sectio</w:t>
      </w:r>
      <w:r w:rsidR="00C70C2D">
        <w:t xml:space="preserve">n </w:t>
      </w:r>
      <w:r w:rsidR="00B60364">
        <w:t>113(</w:t>
      </w:r>
      <w:r w:rsidR="007D39CA">
        <w:t>b)(2)(</w:t>
      </w:r>
      <w:r w:rsidR="002C742D">
        <w:t>A)</w:t>
      </w:r>
      <w:r w:rsidR="00B60364">
        <w:t>(iv)</w:t>
      </w:r>
      <w:r w:rsidR="00AF779E">
        <w:t xml:space="preserve"> </w:t>
      </w:r>
      <w:r w:rsidR="002C742D">
        <w:t>of Perkins V</w:t>
      </w:r>
      <w:r w:rsidR="00AF779E">
        <w:t xml:space="preserve">.  For example, the statutory description </w:t>
      </w:r>
      <w:r w:rsidR="00EA5F9F">
        <w:t xml:space="preserve">of the work-based </w:t>
      </w:r>
      <w:r w:rsidR="00BA7768">
        <w:t>learning indicator is “the percentage of CTE concentrators</w:t>
      </w:r>
      <w:r w:rsidR="00B0664C">
        <w:t xml:space="preserve"> graduating from hi</w:t>
      </w:r>
      <w:r w:rsidRPr="001B53CF" w:rsidR="00B0664C">
        <w:t xml:space="preserve">gh school </w:t>
      </w:r>
      <w:r w:rsidRPr="001B53CF" w:rsidR="00795C69">
        <w:t>having participated in work-based learning</w:t>
      </w:r>
      <w:r w:rsidRPr="001B53CF" w:rsidR="00984AD4">
        <w:t xml:space="preserve">.” </w:t>
      </w:r>
      <w:r w:rsidR="00631C0F">
        <w:t xml:space="preserve"> </w:t>
      </w:r>
      <w:r w:rsidRPr="001B53CF" w:rsidR="00984AD4">
        <w:t xml:space="preserve">The proposed data specification for the numerator is “the number of CTE concentrators graduating </w:t>
      </w:r>
      <w:r w:rsidRPr="001B53CF" w:rsidR="001B2753">
        <w:t xml:space="preserve">from high school </w:t>
      </w:r>
      <w:r w:rsidRPr="001B53CF" w:rsidR="00622013">
        <w:t>in the reporting year having participated in work-based learning</w:t>
      </w:r>
      <w:r w:rsidRPr="001B53CF" w:rsidR="00E7021A">
        <w:t xml:space="preserve">.” </w:t>
      </w:r>
      <w:r w:rsidR="00631C0F">
        <w:t xml:space="preserve"> </w:t>
      </w:r>
      <w:r w:rsidRPr="001B53CF" w:rsidR="00E7021A">
        <w:t xml:space="preserve">The proposed data specification for the </w:t>
      </w:r>
      <w:r w:rsidRPr="001B53CF" w:rsidR="00BB2754">
        <w:t>denominator</w:t>
      </w:r>
      <w:r w:rsidRPr="001B53CF" w:rsidR="00E7021A">
        <w:t xml:space="preserve"> </w:t>
      </w:r>
      <w:r w:rsidRPr="001B53CF" w:rsidR="008C1466">
        <w:t xml:space="preserve">is “the </w:t>
      </w:r>
      <w:r w:rsidRPr="001B53CF" w:rsidR="00EA19CA">
        <w:t xml:space="preserve">number of CTE concentrators who graduated from high school in the reporting year.” </w:t>
      </w:r>
      <w:r w:rsidRPr="001B53CF" w:rsidR="00B82FCD">
        <w:t xml:space="preserve"> </w:t>
      </w:r>
      <w:r w:rsidRPr="001B53CF" w:rsidR="00795128">
        <w:t xml:space="preserve">The proposed specifications’ reliance on the text of the law still </w:t>
      </w:r>
      <w:r w:rsidRPr="001B53CF" w:rsidR="0040777C">
        <w:t>p</w:t>
      </w:r>
      <w:r w:rsidRPr="001B53CF" w:rsidR="00A34567">
        <w:t xml:space="preserve">reserves for States considerable </w:t>
      </w:r>
      <w:r w:rsidRPr="001B53CF" w:rsidR="00B61EF7">
        <w:t>flexibility for innovation</w:t>
      </w:r>
      <w:r w:rsidRPr="001B53CF" w:rsidR="00461EC7">
        <w:t xml:space="preserve">.  For example, </w:t>
      </w:r>
      <w:r w:rsidRPr="001B53CF" w:rsidR="00391F80">
        <w:t xml:space="preserve">States </w:t>
      </w:r>
      <w:r w:rsidRPr="001B53CF" w:rsidR="00461EC7">
        <w:t>may</w:t>
      </w:r>
      <w:r w:rsidRPr="001B53CF" w:rsidR="00391F80">
        <w:t xml:space="preserve"> determine</w:t>
      </w:r>
      <w:r w:rsidRPr="001B53CF" w:rsidR="000F3925">
        <w:t xml:space="preserve"> </w:t>
      </w:r>
      <w:r w:rsidRPr="001B53CF" w:rsidR="00900A5D">
        <w:t>the kinds of work-bas</w:t>
      </w:r>
      <w:r w:rsidRPr="001B53CF" w:rsidR="00461EC7">
        <w:t>ed</w:t>
      </w:r>
      <w:r w:rsidRPr="001B53CF" w:rsidR="00900A5D">
        <w:t xml:space="preserve"> learning that are </w:t>
      </w:r>
      <w:r w:rsidRPr="001B53CF" w:rsidR="0048704E">
        <w:t xml:space="preserve">counted by the State </w:t>
      </w:r>
      <w:r w:rsidRPr="001B53CF" w:rsidR="00900A5D">
        <w:t xml:space="preserve">and any quality criteria </w:t>
      </w:r>
      <w:r w:rsidRPr="001B53CF" w:rsidR="0048704E">
        <w:t xml:space="preserve">that a work-based </w:t>
      </w:r>
      <w:r w:rsidRPr="001B53CF" w:rsidR="00461EC7">
        <w:t>learning opportunity must meet</w:t>
      </w:r>
      <w:r w:rsidRPr="001B53CF" w:rsidR="00036A70">
        <w:t xml:space="preserve"> to be counted, as well as </w:t>
      </w:r>
      <w:r w:rsidRPr="001B53CF" w:rsidR="00C81AD2">
        <w:t xml:space="preserve">the </w:t>
      </w:r>
      <w:r w:rsidRPr="001B53CF" w:rsidR="00391F80">
        <w:t>number of hours of work-based learning</w:t>
      </w:r>
      <w:r w:rsidRPr="001B53CF" w:rsidR="000A5676">
        <w:t xml:space="preserve"> a CTE concentrator must complete</w:t>
      </w:r>
      <w:r w:rsidRPr="001B53CF" w:rsidR="00C81AD2">
        <w:t xml:space="preserve"> to be</w:t>
      </w:r>
      <w:r w:rsidRPr="001B53CF" w:rsidR="00036A70">
        <w:t xml:space="preserve"> included in the numerator. </w:t>
      </w:r>
      <w:r w:rsidRPr="001B53CF" w:rsidR="00185064">
        <w:t xml:space="preserve"> Section 113(b)(2)(A)(iv)(I) of Perkins V also gives States the opportunity to develop their own </w:t>
      </w:r>
      <w:r w:rsidRPr="001B53CF" w:rsidR="0060273E">
        <w:t>innovative</w:t>
      </w:r>
      <w:r w:rsidR="009C0D25">
        <w:t>,</w:t>
      </w:r>
      <w:r w:rsidRPr="001B53CF" w:rsidR="0060273E">
        <w:t xml:space="preserve"> </w:t>
      </w:r>
      <w:r w:rsidRPr="001B53CF" w:rsidR="00185064">
        <w:t xml:space="preserve">additional </w:t>
      </w:r>
      <w:r w:rsidRPr="001B53CF" w:rsidR="001D651F">
        <w:t xml:space="preserve">secondary program quality </w:t>
      </w:r>
      <w:r w:rsidRPr="001B53CF" w:rsidR="00185064">
        <w:t>indicator</w:t>
      </w:r>
      <w:r w:rsidRPr="001B53CF" w:rsidR="0060273E">
        <w:t>s of student success in CTE provided they are “statewide</w:t>
      </w:r>
      <w:r w:rsidRPr="001B53CF" w:rsidR="001D651F">
        <w:t>, valid, and reliable, and comparable across the State.</w:t>
      </w:r>
      <w:r w:rsidRPr="001B53CF" w:rsidR="0060273E">
        <w:t>”</w:t>
      </w:r>
    </w:p>
    <w:p w:rsidR="005B0592" w:rsidP="005B0592" w14:paraId="7B429017" w14:textId="0DF4F64C">
      <w:pPr>
        <w:rPr>
          <w:u w:val="single"/>
        </w:rPr>
      </w:pPr>
      <w:r w:rsidRPr="000B564F">
        <w:rPr>
          <w:u w:val="single"/>
        </w:rPr>
        <w:t>Changes</w:t>
      </w:r>
      <w:r>
        <w:t>:</w:t>
      </w:r>
      <w:r w:rsidR="00631C0F">
        <w:t xml:space="preserve"> </w:t>
      </w:r>
      <w:r w:rsidR="00EE44C8">
        <w:t xml:space="preserve"> None. </w:t>
      </w:r>
    </w:p>
    <w:p w:rsidR="003146B8" w:rsidRPr="00AE46FF" w:rsidP="003146B8" w14:paraId="7C4BA37E" w14:textId="0D8E87EB">
      <w:pPr>
        <w:rPr>
          <w:u w:val="single"/>
        </w:rPr>
      </w:pPr>
      <w:r w:rsidRPr="00AE46FF">
        <w:rPr>
          <w:u w:val="single"/>
        </w:rPr>
        <w:t>Participation in Work-Based Learning (5S3)</w:t>
      </w:r>
      <w:r w:rsidR="004B62E7">
        <w:rPr>
          <w:u w:val="single"/>
        </w:rPr>
        <w:t xml:space="preserve"> (page</w:t>
      </w:r>
      <w:r w:rsidR="00422766">
        <w:rPr>
          <w:u w:val="single"/>
        </w:rPr>
        <w:t xml:space="preserve"> 36)</w:t>
      </w:r>
    </w:p>
    <w:p w:rsidR="003146B8" w:rsidRPr="007C7F46" w:rsidP="00DE373A" w14:paraId="7CCC05B7" w14:textId="7307A5B1">
      <w:pPr>
        <w:pStyle w:val="ListParagraph"/>
        <w:numPr>
          <w:ilvl w:val="0"/>
          <w:numId w:val="3"/>
        </w:numPr>
        <w:rPr>
          <w:b/>
        </w:rPr>
      </w:pPr>
      <w:r w:rsidRPr="74430857">
        <w:rPr>
          <w:b/>
        </w:rPr>
        <w:t>A commenter expressed concern that the data specification</w:t>
      </w:r>
      <w:r w:rsidRPr="74430857" w:rsidR="00422766">
        <w:rPr>
          <w:b/>
        </w:rPr>
        <w:t>s</w:t>
      </w:r>
      <w:r w:rsidRPr="74430857">
        <w:rPr>
          <w:b/>
        </w:rPr>
        <w:t xml:space="preserve"> for the numerator of the secondary program quality indicator on work-based learning (5S3) measures the participation in work-based learning of CTE concentrators “graduating from high school in the reporting year,” while the data specifications for the numerator of the post-program placement (3S1) measures the outcomes of CTE concentrators who “exited” secondary education.  The commenter did not understand why they used different terms.</w:t>
      </w:r>
    </w:p>
    <w:p w:rsidR="003146B8" w:rsidP="003146B8" w14:paraId="3A0441E1" w14:textId="77777777">
      <w:r w:rsidRPr="002B19E8">
        <w:rPr>
          <w:u w:val="single"/>
        </w:rPr>
        <w:t>Response</w:t>
      </w:r>
      <w:r>
        <w:t>:  The source of the difference is statutory.  S</w:t>
      </w:r>
      <w:r w:rsidRPr="00BB6C69">
        <w:t xml:space="preserve">ection 113(b)(2)(A)(iv)(I)(cc) </w:t>
      </w:r>
      <w:r>
        <w:t xml:space="preserve">of Perkins V </w:t>
      </w:r>
      <w:r w:rsidRPr="00BB6C69">
        <w:t>requires that States selecting 5S3 as their program quality indicator report on “the percentage of CTE concentrators graduating from high school having participated in work-based learning</w:t>
      </w:r>
      <w:r>
        <w:t>.</w:t>
      </w:r>
      <w:r w:rsidRPr="00BB6C69">
        <w:t xml:space="preserve">” </w:t>
      </w:r>
      <w:r>
        <w:t xml:space="preserve"> Section 113(b)(2)(A)(iii), on the other hand, requires States to report on the outcomes of CTE concentrators </w:t>
      </w:r>
      <w:r w:rsidRPr="00764215">
        <w:t xml:space="preserve">in the second quarter after </w:t>
      </w:r>
      <w:r>
        <w:t xml:space="preserve">they </w:t>
      </w:r>
      <w:r w:rsidRPr="00764215">
        <w:t>exit</w:t>
      </w:r>
      <w:r>
        <w:t xml:space="preserve">ed from </w:t>
      </w:r>
      <w:r w:rsidRPr="00764215">
        <w:t>secondary education</w:t>
      </w:r>
      <w:r>
        <w:t>.</w:t>
      </w:r>
    </w:p>
    <w:p w:rsidR="003146B8" w:rsidP="003146B8" w14:paraId="50602D14" w14:textId="29DC05CB">
      <w:r w:rsidRPr="002B19E8">
        <w:rPr>
          <w:u w:val="single"/>
        </w:rPr>
        <w:t>Changes</w:t>
      </w:r>
      <w:r>
        <w:t xml:space="preserve">: </w:t>
      </w:r>
      <w:r w:rsidR="0057251B">
        <w:t xml:space="preserve"> </w:t>
      </w:r>
      <w:r>
        <w:t xml:space="preserve">None. </w:t>
      </w:r>
    </w:p>
    <w:p w:rsidR="003146B8" w:rsidRPr="007C7F46" w:rsidP="00DE373A" w14:paraId="5FDB88B9" w14:textId="49B5E95D">
      <w:pPr>
        <w:pStyle w:val="ListParagraph"/>
        <w:numPr>
          <w:ilvl w:val="0"/>
          <w:numId w:val="3"/>
        </w:numPr>
        <w:rPr>
          <w:b/>
        </w:rPr>
      </w:pPr>
      <w:r w:rsidRPr="74430857">
        <w:rPr>
          <w:b/>
        </w:rPr>
        <w:t xml:space="preserve">A commenter questioned whether the proposed data specification for 5S3 counts the participation of CTE concentrators in work-based learning throughout their tenure in high school or participation only during their senior year.  </w:t>
      </w:r>
    </w:p>
    <w:p w:rsidR="003146B8" w:rsidP="003146B8" w14:paraId="7AA81D43" w14:textId="7A79020E">
      <w:pPr>
        <w:rPr>
          <w:u w:val="single"/>
        </w:rPr>
      </w:pPr>
      <w:r w:rsidRPr="251A7841">
        <w:rPr>
          <w:u w:val="single"/>
        </w:rPr>
        <w:t>Response</w:t>
      </w:r>
      <w:r>
        <w:t xml:space="preserve">:  </w:t>
      </w:r>
      <w:r w:rsidR="316585D9">
        <w:t>Section 113(b)(2)(A)(iv)(I)(cc) requires States that selec</w:t>
      </w:r>
      <w:r w:rsidR="69C6F9D1">
        <w:t xml:space="preserve">t participation in work-based learning as a secondary program quality indicator </w:t>
      </w:r>
      <w:r w:rsidR="00734495">
        <w:t xml:space="preserve">to </w:t>
      </w:r>
      <w:r w:rsidR="69C6F9D1">
        <w:t>report the percentage of CTE concentrators graduating from high school having participated in work-based learning.  Therefore, States must report any graduating CTE concentrator that</w:t>
      </w:r>
      <w:r w:rsidR="541B4CB4">
        <w:t xml:space="preserve"> participated in work-based learning at any time throughout their tenure in high school.</w:t>
      </w:r>
      <w:r w:rsidR="00864BF8">
        <w:t xml:space="preserve">  </w:t>
      </w:r>
      <w:r w:rsidR="00302AE4">
        <w:t xml:space="preserve">However, </w:t>
      </w:r>
      <w:r w:rsidRPr="001B53CF" w:rsidR="00864BF8">
        <w:t xml:space="preserve">States may determine the kinds of work-based learning that are counted by the State and any quality criteria that a work-based learning opportunity must meet to be counted, as well as the number of hours of work-based learning a CTE concentrator must complete to be included in the numerator.  </w:t>
      </w:r>
    </w:p>
    <w:p w:rsidR="003146B8" w:rsidP="003146B8" w14:paraId="1E778070" w14:textId="0DA74023">
      <w:r w:rsidRPr="002B19E8">
        <w:rPr>
          <w:u w:val="single"/>
        </w:rPr>
        <w:t>Changes</w:t>
      </w:r>
      <w:r>
        <w:t xml:space="preserve">: </w:t>
      </w:r>
      <w:r w:rsidR="00C96BAE">
        <w:t xml:space="preserve"> </w:t>
      </w:r>
      <w:r>
        <w:t xml:space="preserve">None. </w:t>
      </w:r>
    </w:p>
    <w:p w:rsidR="000D1CB5" w:rsidP="008A2D5C" w14:paraId="3D4A1B17" w14:textId="4BE8408D">
      <w:pPr>
        <w:rPr>
          <w:u w:val="single"/>
        </w:rPr>
      </w:pPr>
      <w:r w:rsidRPr="009D6BD9">
        <w:rPr>
          <w:u w:val="single"/>
        </w:rPr>
        <w:t>Post-Program Placement</w:t>
      </w:r>
      <w:r w:rsidRPr="009D6BD9" w:rsidR="009D6BD9">
        <w:rPr>
          <w:u w:val="single"/>
        </w:rPr>
        <w:t xml:space="preserve"> at the Postsecondary Level</w:t>
      </w:r>
      <w:r w:rsidR="009D6BD9">
        <w:rPr>
          <w:u w:val="single"/>
        </w:rPr>
        <w:t xml:space="preserve"> (1P1)</w:t>
      </w:r>
      <w:r w:rsidR="00425028">
        <w:rPr>
          <w:u w:val="single"/>
        </w:rPr>
        <w:t xml:space="preserve"> (page 37)</w:t>
      </w:r>
    </w:p>
    <w:p w:rsidR="00551400" w:rsidRPr="007C7F46" w:rsidP="00DE373A" w14:paraId="6E48CC79" w14:textId="5FC8A6E8">
      <w:pPr>
        <w:pStyle w:val="ListParagraph"/>
        <w:numPr>
          <w:ilvl w:val="0"/>
          <w:numId w:val="3"/>
        </w:numPr>
        <w:rPr>
          <w:b/>
        </w:rPr>
      </w:pPr>
      <w:r w:rsidRPr="74430857">
        <w:rPr>
          <w:b/>
        </w:rPr>
        <w:t xml:space="preserve">Several </w:t>
      </w:r>
      <w:r w:rsidRPr="74430857" w:rsidR="009D1B22">
        <w:rPr>
          <w:b/>
        </w:rPr>
        <w:t xml:space="preserve">commenters </w:t>
      </w:r>
      <w:r w:rsidRPr="74430857" w:rsidR="001A058E">
        <w:rPr>
          <w:b/>
        </w:rPr>
        <w:t xml:space="preserve">expressed concern that the proposed data specifications for the </w:t>
      </w:r>
      <w:r w:rsidRPr="74430857" w:rsidR="00521612">
        <w:rPr>
          <w:b/>
        </w:rPr>
        <w:t xml:space="preserve">numerator for the </w:t>
      </w:r>
      <w:r w:rsidRPr="74430857" w:rsidR="001A058E">
        <w:rPr>
          <w:b/>
        </w:rPr>
        <w:t xml:space="preserve">postsecondary post-program placement indicator (1P1) do not </w:t>
      </w:r>
      <w:r w:rsidRPr="74430857" w:rsidR="00DB4E3C">
        <w:rPr>
          <w:b/>
        </w:rPr>
        <w:t xml:space="preserve">clearly </w:t>
      </w:r>
      <w:r w:rsidRPr="74430857" w:rsidR="00521612">
        <w:rPr>
          <w:b/>
        </w:rPr>
        <w:t xml:space="preserve">specify </w:t>
      </w:r>
      <w:r w:rsidRPr="74430857" w:rsidR="00F241BE">
        <w:rPr>
          <w:b/>
        </w:rPr>
        <w:t xml:space="preserve">that </w:t>
      </w:r>
      <w:r w:rsidRPr="74430857" w:rsidR="006E35F1">
        <w:rPr>
          <w:b/>
        </w:rPr>
        <w:t>a</w:t>
      </w:r>
      <w:r w:rsidRPr="74430857" w:rsidR="003D4B62">
        <w:rPr>
          <w:b/>
        </w:rPr>
        <w:t xml:space="preserve"> concentrator </w:t>
      </w:r>
      <w:r w:rsidRPr="74430857" w:rsidR="00DB4E3C">
        <w:rPr>
          <w:b/>
        </w:rPr>
        <w:t xml:space="preserve">must have </w:t>
      </w:r>
      <w:r w:rsidRPr="74430857" w:rsidR="003D4B62">
        <w:rPr>
          <w:b/>
        </w:rPr>
        <w:t>completed the program</w:t>
      </w:r>
      <w:r w:rsidRPr="74430857" w:rsidR="00DB4E3C">
        <w:rPr>
          <w:b/>
        </w:rPr>
        <w:t xml:space="preserve"> during the preceding </w:t>
      </w:r>
      <w:r w:rsidRPr="74430857" w:rsidR="006E35F1">
        <w:rPr>
          <w:b/>
        </w:rPr>
        <w:t xml:space="preserve">reporting </w:t>
      </w:r>
      <w:r w:rsidRPr="74430857" w:rsidR="00DB4E3C">
        <w:rPr>
          <w:b/>
        </w:rPr>
        <w:t xml:space="preserve">year </w:t>
      </w:r>
      <w:r w:rsidRPr="74430857" w:rsidR="006E35F1">
        <w:rPr>
          <w:b/>
        </w:rPr>
        <w:t>to be included</w:t>
      </w:r>
      <w:r w:rsidRPr="74430857" w:rsidR="00AC0D3D">
        <w:rPr>
          <w:b/>
        </w:rPr>
        <w:t xml:space="preserve"> and may not be consistently implemented by States.</w:t>
      </w:r>
      <w:r w:rsidRPr="74430857" w:rsidR="00DB4E3C">
        <w:rPr>
          <w:b/>
        </w:rPr>
        <w:t xml:space="preserve"> </w:t>
      </w:r>
      <w:r w:rsidRPr="74430857" w:rsidR="000104C3">
        <w:rPr>
          <w:b/>
        </w:rPr>
        <w:t xml:space="preserve"> They recommended modifying the proposed specifications to indicate </w:t>
      </w:r>
      <w:r w:rsidRPr="74430857">
        <w:rPr>
          <w:b/>
        </w:rPr>
        <w:t>that a concentrator must have completed the program during the preceding reporting year to be included in the numerator.</w:t>
      </w:r>
      <w:r w:rsidR="00437310">
        <w:rPr>
          <w:b/>
        </w:rPr>
        <w:t xml:space="preserve"> </w:t>
      </w:r>
      <w:r w:rsidR="002552F5">
        <w:rPr>
          <w:b/>
        </w:rPr>
        <w:t xml:space="preserve"> </w:t>
      </w:r>
      <w:r w:rsidR="00437310">
        <w:rPr>
          <w:b/>
        </w:rPr>
        <w:t>This would make the numerator consistent with the denominator.</w:t>
      </w:r>
    </w:p>
    <w:p w:rsidR="005B0592" w:rsidP="005B0592" w14:paraId="4877C4CD" w14:textId="47005A88">
      <w:pPr>
        <w:rPr>
          <w:u w:val="single"/>
        </w:rPr>
      </w:pPr>
      <w:r>
        <w:rPr>
          <w:u w:val="single"/>
        </w:rPr>
        <w:t>Response</w:t>
      </w:r>
      <w:r>
        <w:t>:</w:t>
      </w:r>
      <w:r w:rsidRPr="00A03BCD" w:rsidR="00D41CE0">
        <w:t xml:space="preserve"> </w:t>
      </w:r>
      <w:r w:rsidR="00C9428B">
        <w:t xml:space="preserve"> </w:t>
      </w:r>
      <w:r w:rsidRPr="00A03BCD" w:rsidR="00D41CE0">
        <w:t xml:space="preserve">We agree that the proposed data specifications </w:t>
      </w:r>
      <w:r w:rsidRPr="00A03BCD" w:rsidR="00072CCF">
        <w:t xml:space="preserve">for the numerator </w:t>
      </w:r>
      <w:r w:rsidRPr="00A03BCD" w:rsidR="008A3A6C">
        <w:t xml:space="preserve">should specify that </w:t>
      </w:r>
      <w:r w:rsidRPr="00A03BCD" w:rsidR="00BE3094">
        <w:t>a</w:t>
      </w:r>
      <w:r w:rsidRPr="00A03BCD" w:rsidR="008A3A6C">
        <w:t xml:space="preserve"> concen</w:t>
      </w:r>
      <w:r w:rsidRPr="00A03BCD" w:rsidR="00DB1926">
        <w:t xml:space="preserve">trator </w:t>
      </w:r>
      <w:r w:rsidRPr="00A03BCD" w:rsidR="00B6080D">
        <w:t xml:space="preserve">must have completed the program during the preceding reporting year to be included.  </w:t>
      </w:r>
    </w:p>
    <w:p w:rsidR="005B0592" w:rsidP="005B0592" w14:paraId="280B648F" w14:textId="3C7ED59B">
      <w:pPr>
        <w:rPr>
          <w:u w:val="single"/>
        </w:rPr>
      </w:pPr>
      <w:r w:rsidRPr="000B564F">
        <w:rPr>
          <w:u w:val="single"/>
        </w:rPr>
        <w:t>Changes</w:t>
      </w:r>
      <w:r>
        <w:t>:</w:t>
      </w:r>
      <w:r w:rsidR="00B6080D">
        <w:t xml:space="preserve"> </w:t>
      </w:r>
      <w:r w:rsidR="00B16FDA">
        <w:t xml:space="preserve"> </w:t>
      </w:r>
      <w:r w:rsidR="00B6080D">
        <w:t xml:space="preserve">We have revised the </w:t>
      </w:r>
      <w:r w:rsidR="00AE7306">
        <w:t>p</w:t>
      </w:r>
      <w:r w:rsidRPr="00B6080D" w:rsidR="00B6080D">
        <w:t xml:space="preserve">roposed data specifications for the numerator </w:t>
      </w:r>
      <w:r w:rsidR="00AE7306">
        <w:t xml:space="preserve">to </w:t>
      </w:r>
      <w:r w:rsidRPr="00B6080D" w:rsidR="00B6080D">
        <w:t xml:space="preserve">specify that a concentrator must have completed the program during the preceding reporting year to be included.  </w:t>
      </w:r>
      <w:r w:rsidRPr="00BA13F1" w:rsidR="00BA13F1">
        <w:t xml:space="preserve"> </w:t>
      </w:r>
      <w:r w:rsidR="00BA13F1">
        <w:t>There is no additional burden, beyond what was previously calculated, with this update.</w:t>
      </w:r>
    </w:p>
    <w:p w:rsidR="00521612" w:rsidRPr="006B2DED" w:rsidP="008A2D5C" w14:paraId="026BB52A" w14:textId="1B62944E">
      <w:pPr>
        <w:rPr>
          <w:u w:val="single"/>
        </w:rPr>
      </w:pPr>
      <w:r w:rsidRPr="006B2DED">
        <w:rPr>
          <w:u w:val="single"/>
        </w:rPr>
        <w:t>Earned Recognized Postsecondary Credential (2P1)</w:t>
      </w:r>
      <w:r w:rsidR="00425028">
        <w:rPr>
          <w:u w:val="single"/>
        </w:rPr>
        <w:t xml:space="preserve"> (page 38)</w:t>
      </w:r>
    </w:p>
    <w:p w:rsidR="008A0D18" w:rsidRPr="007C7F46" w:rsidP="00DE373A" w14:paraId="04DF793D" w14:textId="24DAA563">
      <w:pPr>
        <w:pStyle w:val="ListParagraph"/>
        <w:numPr>
          <w:ilvl w:val="0"/>
          <w:numId w:val="3"/>
        </w:numPr>
        <w:rPr>
          <w:b/>
        </w:rPr>
      </w:pPr>
      <w:r w:rsidRPr="74430857">
        <w:rPr>
          <w:b/>
        </w:rPr>
        <w:t xml:space="preserve">One commenter </w:t>
      </w:r>
      <w:r w:rsidRPr="74430857" w:rsidR="00BD2015">
        <w:rPr>
          <w:b/>
        </w:rPr>
        <w:t>was concerned</w:t>
      </w:r>
      <w:r w:rsidRPr="74430857" w:rsidR="00EA53D2">
        <w:rPr>
          <w:b/>
        </w:rPr>
        <w:t xml:space="preserve"> </w:t>
      </w:r>
      <w:r w:rsidRPr="74430857" w:rsidR="00807FCD">
        <w:rPr>
          <w:b/>
        </w:rPr>
        <w:t xml:space="preserve">the </w:t>
      </w:r>
      <w:r w:rsidRPr="74430857" w:rsidR="00237858">
        <w:rPr>
          <w:b/>
        </w:rPr>
        <w:t xml:space="preserve">proposed data specifications for </w:t>
      </w:r>
      <w:r w:rsidRPr="74430857" w:rsidR="00CC7662">
        <w:rPr>
          <w:b/>
        </w:rPr>
        <w:t xml:space="preserve">2P1 did not </w:t>
      </w:r>
      <w:r w:rsidRPr="74430857" w:rsidR="00647086">
        <w:rPr>
          <w:b/>
        </w:rPr>
        <w:t xml:space="preserve">clearly </w:t>
      </w:r>
      <w:r w:rsidRPr="74430857" w:rsidR="00491C21">
        <w:rPr>
          <w:b/>
        </w:rPr>
        <w:t>specify</w:t>
      </w:r>
      <w:r w:rsidRPr="74430857" w:rsidR="00647086">
        <w:rPr>
          <w:b/>
        </w:rPr>
        <w:t xml:space="preserve"> </w:t>
      </w:r>
      <w:r w:rsidRPr="74430857" w:rsidR="00D069A8">
        <w:rPr>
          <w:b/>
        </w:rPr>
        <w:t xml:space="preserve">how </w:t>
      </w:r>
      <w:r w:rsidRPr="74430857" w:rsidR="00D61FEC">
        <w:rPr>
          <w:b/>
        </w:rPr>
        <w:t xml:space="preserve">a CTE concentrator “completes a program.” </w:t>
      </w:r>
      <w:r w:rsidR="004F7F33">
        <w:rPr>
          <w:b/>
        </w:rPr>
        <w:t xml:space="preserve"> </w:t>
      </w:r>
      <w:r w:rsidRPr="74430857" w:rsidR="00D61FEC">
        <w:rPr>
          <w:b/>
        </w:rPr>
        <w:t>The commenter reco</w:t>
      </w:r>
      <w:r w:rsidRPr="74430857" w:rsidR="00BB4285">
        <w:rPr>
          <w:b/>
        </w:rPr>
        <w:t xml:space="preserve">mmended that we </w:t>
      </w:r>
      <w:r w:rsidRPr="74430857" w:rsidR="00491C21">
        <w:rPr>
          <w:b/>
        </w:rPr>
        <w:t xml:space="preserve">specify that </w:t>
      </w:r>
      <w:r w:rsidRPr="74430857" w:rsidR="00C87FEC">
        <w:rPr>
          <w:b/>
        </w:rPr>
        <w:t xml:space="preserve">program completion </w:t>
      </w:r>
      <w:r w:rsidRPr="74430857" w:rsidR="00491C21">
        <w:rPr>
          <w:b/>
        </w:rPr>
        <w:t xml:space="preserve">is </w:t>
      </w:r>
      <w:r w:rsidRPr="74430857" w:rsidR="00B152F9">
        <w:rPr>
          <w:b/>
        </w:rPr>
        <w:t xml:space="preserve">earning a recognized </w:t>
      </w:r>
      <w:r w:rsidRPr="74430857" w:rsidR="00335614">
        <w:rPr>
          <w:b/>
        </w:rPr>
        <w:t xml:space="preserve">postsecondary </w:t>
      </w:r>
      <w:r w:rsidRPr="74430857" w:rsidR="004274FE">
        <w:rPr>
          <w:b/>
        </w:rPr>
        <w:t xml:space="preserve">credential. </w:t>
      </w:r>
      <w:r w:rsidRPr="74430857" w:rsidR="00EA53D2">
        <w:rPr>
          <w:b/>
        </w:rPr>
        <w:t xml:space="preserve"> </w:t>
      </w:r>
      <w:r w:rsidRPr="74430857" w:rsidR="004274FE">
        <w:rPr>
          <w:b/>
        </w:rPr>
        <w:t>The commenter recommend</w:t>
      </w:r>
      <w:r w:rsidRPr="74430857" w:rsidR="004B2E90">
        <w:rPr>
          <w:b/>
        </w:rPr>
        <w:t>ed</w:t>
      </w:r>
      <w:r w:rsidRPr="74430857" w:rsidR="004274FE">
        <w:rPr>
          <w:b/>
        </w:rPr>
        <w:t xml:space="preserve"> that </w:t>
      </w:r>
      <w:r w:rsidRPr="74430857" w:rsidR="00237858">
        <w:rPr>
          <w:b/>
        </w:rPr>
        <w:t xml:space="preserve">the </w:t>
      </w:r>
      <w:r w:rsidRPr="74430857" w:rsidR="00807FCD">
        <w:rPr>
          <w:b/>
        </w:rPr>
        <w:t xml:space="preserve">denominator </w:t>
      </w:r>
      <w:r w:rsidRPr="74430857" w:rsidR="00217128">
        <w:rPr>
          <w:b/>
        </w:rPr>
        <w:t xml:space="preserve">of 2P1 </w:t>
      </w:r>
      <w:r w:rsidRPr="74430857" w:rsidR="004274FE">
        <w:rPr>
          <w:b/>
        </w:rPr>
        <w:t xml:space="preserve">be revised </w:t>
      </w:r>
      <w:r w:rsidRPr="74430857" w:rsidR="00BC4A1D">
        <w:rPr>
          <w:b/>
        </w:rPr>
        <w:t xml:space="preserve">to </w:t>
      </w:r>
      <w:r w:rsidRPr="74430857" w:rsidR="000903F0">
        <w:rPr>
          <w:b/>
        </w:rPr>
        <w:t>include CTE concentrators</w:t>
      </w:r>
      <w:r w:rsidRPr="74430857" w:rsidR="00911FA1">
        <w:rPr>
          <w:b/>
        </w:rPr>
        <w:t xml:space="preserve"> w</w:t>
      </w:r>
      <w:r w:rsidRPr="74430857" w:rsidR="00237858">
        <w:rPr>
          <w:b/>
        </w:rPr>
        <w:t xml:space="preserve">ho are enrolled in the reporting year </w:t>
      </w:r>
      <w:r w:rsidRPr="74430857" w:rsidR="00CE029B">
        <w:rPr>
          <w:b/>
        </w:rPr>
        <w:t>and those who were enrolled in the previous reporting year who earned a credential in the reporting yea</w:t>
      </w:r>
      <w:r w:rsidRPr="74430857" w:rsidR="00050AED">
        <w:rPr>
          <w:b/>
        </w:rPr>
        <w:t xml:space="preserve">r.  The </w:t>
      </w:r>
      <w:r w:rsidRPr="74430857" w:rsidR="0007786A">
        <w:rPr>
          <w:b/>
        </w:rPr>
        <w:t xml:space="preserve">commenter suggested making the </w:t>
      </w:r>
      <w:r w:rsidRPr="74430857" w:rsidR="00050AED">
        <w:rPr>
          <w:b/>
        </w:rPr>
        <w:t xml:space="preserve">numerator </w:t>
      </w:r>
      <w:r w:rsidRPr="74430857" w:rsidR="002321FC">
        <w:rPr>
          <w:b/>
        </w:rPr>
        <w:t xml:space="preserve">CTE concentrators who either received a credential during the </w:t>
      </w:r>
      <w:r w:rsidRPr="74430857" w:rsidR="00A55210">
        <w:rPr>
          <w:b/>
        </w:rPr>
        <w:t xml:space="preserve">current </w:t>
      </w:r>
      <w:r w:rsidRPr="74430857" w:rsidR="002321FC">
        <w:rPr>
          <w:b/>
        </w:rPr>
        <w:t>reporting year</w:t>
      </w:r>
      <w:r w:rsidRPr="74430857" w:rsidR="00A55210">
        <w:rPr>
          <w:b/>
        </w:rPr>
        <w:t xml:space="preserve"> or who were enrolled in the previous reporting </w:t>
      </w:r>
      <w:r w:rsidRPr="74430857" w:rsidR="00E22989">
        <w:rPr>
          <w:b/>
        </w:rPr>
        <w:t>y</w:t>
      </w:r>
      <w:r w:rsidRPr="74430857" w:rsidR="00A55210">
        <w:rPr>
          <w:b/>
        </w:rPr>
        <w:t xml:space="preserve">ear and earned a </w:t>
      </w:r>
      <w:r w:rsidRPr="74430857" w:rsidR="0007786A">
        <w:rPr>
          <w:b/>
        </w:rPr>
        <w:t>credential in the current reporting year.</w:t>
      </w:r>
    </w:p>
    <w:p w:rsidR="005B0592" w:rsidP="005B0592" w14:paraId="1402231E" w14:textId="7816C077">
      <w:pPr>
        <w:rPr>
          <w:u w:val="single"/>
        </w:rPr>
      </w:pPr>
      <w:r>
        <w:rPr>
          <w:u w:val="single"/>
        </w:rPr>
        <w:t>Response</w:t>
      </w:r>
      <w:r w:rsidR="00217128">
        <w:t xml:space="preserve">: </w:t>
      </w:r>
      <w:r w:rsidR="007F2E91">
        <w:t xml:space="preserve"> </w:t>
      </w:r>
      <w:r w:rsidR="00217128">
        <w:t xml:space="preserve">We agree </w:t>
      </w:r>
      <w:r w:rsidR="00696397">
        <w:t>that the changes proposed by the commente</w:t>
      </w:r>
      <w:r w:rsidR="00BE5B85">
        <w:t>r</w:t>
      </w:r>
      <w:r w:rsidR="00DE4AE4">
        <w:t xml:space="preserve"> </w:t>
      </w:r>
      <w:r w:rsidR="00E40882">
        <w:t>are appropriate</w:t>
      </w:r>
      <w:r w:rsidR="00300CB2">
        <w:t xml:space="preserve"> and consistent with the </w:t>
      </w:r>
      <w:r w:rsidR="001D1E24">
        <w:t xml:space="preserve">plain meaning of the </w:t>
      </w:r>
      <w:r w:rsidR="00300CB2">
        <w:t xml:space="preserve">statutory description of </w:t>
      </w:r>
      <w:r w:rsidR="00EE616E">
        <w:t>the indicator in section</w:t>
      </w:r>
      <w:r w:rsidRPr="00EE616E" w:rsidR="00EE616E">
        <w:t xml:space="preserve"> 113(b)(2)(B)(ii)</w:t>
      </w:r>
      <w:r w:rsidR="00FA535A">
        <w:t xml:space="preserve">. </w:t>
      </w:r>
      <w:r w:rsidR="00E65704">
        <w:t xml:space="preserve"> </w:t>
      </w:r>
      <w:r w:rsidRPr="006537DD" w:rsidR="00373205">
        <w:t xml:space="preserve">A CTE concentrator </w:t>
      </w:r>
      <w:r w:rsidRPr="006537DD" w:rsidR="00E86E7E">
        <w:t xml:space="preserve">completes a program when </w:t>
      </w:r>
      <w:r w:rsidRPr="006537DD" w:rsidR="00EE3A7C">
        <w:t>they have earned a recognized postsecondary credential.</w:t>
      </w:r>
      <w:r w:rsidR="00EE3A7C">
        <w:rPr>
          <w:u w:val="single"/>
        </w:rPr>
        <w:t xml:space="preserve"> </w:t>
      </w:r>
    </w:p>
    <w:p w:rsidR="005B0592" w:rsidRPr="005B0592" w:rsidP="005B0592" w14:paraId="7D99E564" w14:textId="6088742D">
      <w:r w:rsidRPr="000B564F">
        <w:rPr>
          <w:u w:val="single"/>
        </w:rPr>
        <w:t>Changes</w:t>
      </w:r>
      <w:r>
        <w:t>:</w:t>
      </w:r>
      <w:r w:rsidR="00E40882">
        <w:t xml:space="preserve"> </w:t>
      </w:r>
      <w:r w:rsidR="007F2E91">
        <w:t xml:space="preserve"> </w:t>
      </w:r>
      <w:r w:rsidR="00E40882">
        <w:t xml:space="preserve">We have revised the denominator </w:t>
      </w:r>
      <w:r w:rsidRPr="00E40882" w:rsidR="00E40882">
        <w:t xml:space="preserve">of 2P1 to include CTE concentrators who are enrolled in the reporting year and those who were enrolled in the previous reporting year who earned a credential in the reporting year.  </w:t>
      </w:r>
      <w:r w:rsidR="00E40882">
        <w:t>We have revised</w:t>
      </w:r>
      <w:r w:rsidRPr="00E40882" w:rsidR="00E40882">
        <w:t xml:space="preserve"> the numerator </w:t>
      </w:r>
      <w:r w:rsidR="00E40882">
        <w:t xml:space="preserve">of 2P1 to include </w:t>
      </w:r>
      <w:r w:rsidRPr="00E40882" w:rsidR="00E40882">
        <w:t xml:space="preserve">CTE concentrators who either received a credential during the current reporting year or who were enrolled in the previous reporting </w:t>
      </w:r>
      <w:r w:rsidR="0095402E">
        <w:t>y</w:t>
      </w:r>
      <w:r w:rsidRPr="00E40882" w:rsidR="00E40882">
        <w:t>ear and earned a credential in the current reporting year.</w:t>
      </w:r>
      <w:r w:rsidR="00BF6739">
        <w:t xml:space="preserve">  </w:t>
      </w:r>
      <w:r w:rsidR="00BA13F1">
        <w:t>T</w:t>
      </w:r>
      <w:r w:rsidR="00BF6739">
        <w:t>here is</w:t>
      </w:r>
      <w:r w:rsidR="00BA13F1">
        <w:t xml:space="preserve"> no</w:t>
      </w:r>
      <w:r w:rsidR="00BF6739">
        <w:t xml:space="preserve"> additional burde</w:t>
      </w:r>
      <w:r w:rsidR="00180225">
        <w:t xml:space="preserve">n, beyond what was previously calculated, with this </w:t>
      </w:r>
      <w:r w:rsidR="00444F4C">
        <w:t>update</w:t>
      </w:r>
      <w:r w:rsidR="00180225">
        <w:t>.</w:t>
      </w:r>
    </w:p>
    <w:p w:rsidR="000B18A1" w:rsidRPr="007C7F46" w:rsidP="00DE373A" w14:paraId="0418F9C7" w14:textId="77777777">
      <w:pPr>
        <w:pStyle w:val="ListParagraph"/>
        <w:numPr>
          <w:ilvl w:val="0"/>
          <w:numId w:val="3"/>
        </w:numPr>
        <w:rPr>
          <w:b/>
        </w:rPr>
      </w:pPr>
      <w:r w:rsidRPr="74430857">
        <w:rPr>
          <w:b/>
        </w:rPr>
        <w:t xml:space="preserve">Two commenters expressed concern about the inclusion of CTE concentrators enrolled in the reporting year in the denominator of 2P1 and recommended that the Department model the proposed data specifications on those used to calculate the credential attainment indicator in WIOA, which they described as the “inspiration” for 2P1.   </w:t>
      </w:r>
    </w:p>
    <w:p w:rsidR="000B18A1" w:rsidP="000B18A1" w14:paraId="29F74113" w14:textId="1E031746">
      <w:pPr>
        <w:rPr>
          <w:u w:val="single"/>
        </w:rPr>
      </w:pPr>
      <w:r>
        <w:rPr>
          <w:u w:val="single"/>
        </w:rPr>
        <w:t>Response</w:t>
      </w:r>
      <w:r>
        <w:t xml:space="preserve">: </w:t>
      </w:r>
      <w:r w:rsidR="00FF6561">
        <w:t xml:space="preserve"> </w:t>
      </w:r>
      <w:r w:rsidR="00A65C2C">
        <w:t>T</w:t>
      </w:r>
      <w:r>
        <w:t>he modifications to the proposed data specifications for 2P1 described above address the commenters’ concerns.  We note that the statutory descriptions of the WIOA credential attainment indicator and 2P1 differ in that the WIOA indicator measures attainment during participation and after a participant exits</w:t>
      </w:r>
      <w:r w:rsidRPr="00FF6561">
        <w:rPr>
          <w:iCs/>
        </w:rPr>
        <w:t xml:space="preserve"> a</w:t>
      </w:r>
      <w:r>
        <w:t xml:space="preserve"> program, while 2P1 measures attainment during participation and after a CTE concentrator completes</w:t>
      </w:r>
      <w:r w:rsidRPr="00FF6561">
        <w:rPr>
          <w:iCs/>
        </w:rPr>
        <w:t xml:space="preserve"> a</w:t>
      </w:r>
      <w:r>
        <w:t xml:space="preserve"> program.  </w:t>
      </w:r>
    </w:p>
    <w:p w:rsidR="000B18A1" w:rsidRPr="005B0592" w:rsidP="000B18A1" w14:paraId="0D88409C" w14:textId="4C9595C4">
      <w:r w:rsidRPr="000B564F">
        <w:rPr>
          <w:u w:val="single"/>
        </w:rPr>
        <w:t>Changes</w:t>
      </w:r>
      <w:r>
        <w:t xml:space="preserve">: </w:t>
      </w:r>
      <w:r w:rsidR="004623FD">
        <w:t xml:space="preserve"> </w:t>
      </w:r>
      <w:r w:rsidR="005E7882">
        <w:t xml:space="preserve">As discussed above, </w:t>
      </w:r>
      <w:r w:rsidR="005C3C8F">
        <w:t>w</w:t>
      </w:r>
      <w:r>
        <w:t xml:space="preserve">e </w:t>
      </w:r>
      <w:r w:rsidR="004623FD">
        <w:t xml:space="preserve">have revised the denominator </w:t>
      </w:r>
      <w:r w:rsidRPr="00E40882" w:rsidR="004623FD">
        <w:t xml:space="preserve">of 2P1 to include CTE concentrators who are enrolled in the reporting year and those who were enrolled in the previous reporting year who earned a credential in the reporting year.  </w:t>
      </w:r>
      <w:r w:rsidR="004623FD">
        <w:t>We have revised</w:t>
      </w:r>
      <w:r w:rsidRPr="00E40882" w:rsidR="004623FD">
        <w:t xml:space="preserve"> the numerator </w:t>
      </w:r>
      <w:r w:rsidR="004623FD">
        <w:t xml:space="preserve">of 2P1 to include </w:t>
      </w:r>
      <w:r w:rsidRPr="00E40882" w:rsidR="004623FD">
        <w:t xml:space="preserve">CTE concentrators who either received a credential during the current reporting year or who were enrolled in the previous reporting </w:t>
      </w:r>
      <w:r w:rsidR="004623FD">
        <w:t>y</w:t>
      </w:r>
      <w:r w:rsidRPr="00E40882" w:rsidR="004623FD">
        <w:t>ear and earned a credential in the current reporting year.</w:t>
      </w:r>
      <w:r w:rsidR="004623FD">
        <w:t xml:space="preserve">  </w:t>
      </w:r>
    </w:p>
    <w:p w:rsidR="00C74D3F" w:rsidRPr="007C7F46" w:rsidP="00DE373A" w14:paraId="4D32EF3B" w14:textId="5110CEE8">
      <w:pPr>
        <w:pStyle w:val="ListParagraph"/>
        <w:numPr>
          <w:ilvl w:val="0"/>
          <w:numId w:val="3"/>
        </w:numPr>
        <w:rPr>
          <w:b/>
        </w:rPr>
      </w:pPr>
      <w:r w:rsidRPr="74430857">
        <w:rPr>
          <w:b/>
        </w:rPr>
        <w:t xml:space="preserve">One commenter objected to the data specifications for the postsecondary indicators because </w:t>
      </w:r>
      <w:r w:rsidR="002077E0">
        <w:rPr>
          <w:b/>
        </w:rPr>
        <w:t>the commenter</w:t>
      </w:r>
      <w:r w:rsidRPr="74430857" w:rsidR="002077E0">
        <w:rPr>
          <w:b/>
        </w:rPr>
        <w:t xml:space="preserve"> </w:t>
      </w:r>
      <w:r w:rsidRPr="74430857">
        <w:rPr>
          <w:b/>
        </w:rPr>
        <w:t xml:space="preserve">believed they would prevent a State from collecting data on these indicators for a cohort of students, requiring instead a “one-year snapshot.” </w:t>
      </w:r>
    </w:p>
    <w:p w:rsidR="00C74D3F" w:rsidP="00C74D3F" w14:paraId="6A3142EB" w14:textId="6F569286">
      <w:pPr>
        <w:rPr>
          <w:u w:val="single"/>
        </w:rPr>
      </w:pPr>
      <w:r>
        <w:rPr>
          <w:u w:val="single"/>
        </w:rPr>
        <w:t>Response</w:t>
      </w:r>
      <w:r>
        <w:t>:</w:t>
      </w:r>
      <w:r w:rsidRPr="003D7D71">
        <w:t xml:space="preserve">  </w:t>
      </w:r>
      <w:r w:rsidR="003D7D71">
        <w:t>The</w:t>
      </w:r>
      <w:r w:rsidR="0075571D">
        <w:t xml:space="preserve"> modifications to the proposed data specifications for 2P1 described above address the commenters’ concerns.</w:t>
      </w:r>
      <w:r>
        <w:t xml:space="preserve">  </w:t>
      </w:r>
      <w:r w:rsidRPr="003D7D71">
        <w:t xml:space="preserve">We are not aware of anything in the data specifications for the postsecondary indicators of performance that we are proposing, with the modifications to </w:t>
      </w:r>
      <w:r w:rsidRPr="003D7D71" w:rsidR="00366DB4">
        <w:t xml:space="preserve">1P1 and </w:t>
      </w:r>
      <w:r w:rsidRPr="003D7D71">
        <w:t xml:space="preserve">2P1 described above, that would prevent longitudinal data collection for a cohort of students.  </w:t>
      </w:r>
    </w:p>
    <w:p w:rsidR="00C74D3F" w:rsidP="00C74D3F" w14:paraId="7EE11552" w14:textId="3066DF19">
      <w:pPr>
        <w:rPr>
          <w:u w:val="single"/>
        </w:rPr>
      </w:pPr>
      <w:r w:rsidRPr="000B564F">
        <w:rPr>
          <w:u w:val="single"/>
        </w:rPr>
        <w:t>Changes</w:t>
      </w:r>
      <w:r>
        <w:t xml:space="preserve">: </w:t>
      </w:r>
      <w:r w:rsidR="004623FD">
        <w:t xml:space="preserve"> </w:t>
      </w:r>
      <w:r>
        <w:t xml:space="preserve">None. </w:t>
      </w:r>
    </w:p>
    <w:p w:rsidR="007C2290" w:rsidRPr="0064011A" w:rsidP="007C2290" w14:paraId="37AA6B4F" w14:textId="0229EEE4">
      <w:pPr>
        <w:rPr>
          <w:i/>
          <w:iCs/>
        </w:rPr>
      </w:pPr>
      <w:r w:rsidRPr="0064011A">
        <w:rPr>
          <w:i/>
          <w:iCs/>
        </w:rPr>
        <w:t>Burden Estimate</w:t>
      </w:r>
    </w:p>
    <w:p w:rsidR="007C2290" w:rsidRPr="007C7F46" w:rsidP="00DE373A" w14:paraId="287C9943" w14:textId="6C0E9451">
      <w:pPr>
        <w:pStyle w:val="ListParagraph"/>
        <w:numPr>
          <w:ilvl w:val="0"/>
          <w:numId w:val="3"/>
        </w:numPr>
        <w:rPr>
          <w:b/>
        </w:rPr>
      </w:pPr>
      <w:r w:rsidRPr="74430857">
        <w:rPr>
          <w:b/>
        </w:rPr>
        <w:t>Many commenters maintained that the Department’s estimates of the burden associated with the changes that would be made in the State Plan Guide (SPG) ICR were too low and should be increased significantly.  Some commenters expressed the view that the burden estimate should include the time used by subrecipients to provide States with information they use to respond to the ICR.</w:t>
      </w:r>
    </w:p>
    <w:p w:rsidR="006976B2" w:rsidP="006B2DED" w14:paraId="101C7C86" w14:textId="0FCEE979">
      <w:r w:rsidRPr="251A7841">
        <w:rPr>
          <w:u w:val="single"/>
        </w:rPr>
        <w:t>Response</w:t>
      </w:r>
      <w:r>
        <w:t>:  The Department appreciates the commenters’ estimates of the associated burden.  The Department’s burden estimate for this ICR includes</w:t>
      </w:r>
      <w:r w:rsidRPr="00C944E1">
        <w:t xml:space="preserve"> time for </w:t>
      </w:r>
      <w:r>
        <w:t>respondents</w:t>
      </w:r>
      <w:r w:rsidR="00D51B93">
        <w:t>,</w:t>
      </w:r>
      <w:r>
        <w:t xml:space="preserve"> i.e., States</w:t>
      </w:r>
      <w:r w:rsidR="00D51B93">
        <w:t>,</w:t>
      </w:r>
      <w:r>
        <w:t xml:space="preserve"> to </w:t>
      </w:r>
      <w:r w:rsidRPr="00C944E1">
        <w:t>review instructions, search existing data sources, gather and maintain the data needed, and complet</w:t>
      </w:r>
      <w:r>
        <w:t>e</w:t>
      </w:r>
      <w:r w:rsidRPr="00C944E1">
        <w:t xml:space="preserve"> and review the collection of </w:t>
      </w:r>
      <w:r w:rsidRPr="00D51B93">
        <w:t xml:space="preserve">information. </w:t>
      </w:r>
      <w:r w:rsidR="00D51B93">
        <w:t xml:space="preserve"> </w:t>
      </w:r>
      <w:r w:rsidRPr="00D51B93" w:rsidR="26273B39">
        <w:t xml:space="preserve">We recognize that there are additional </w:t>
      </w:r>
      <w:r w:rsidRPr="00D51B93" w:rsidR="0EEA43DE">
        <w:t>activities</w:t>
      </w:r>
      <w:r w:rsidRPr="00D51B93" w:rsidR="26273B39">
        <w:t xml:space="preserve"> associated with updating a </w:t>
      </w:r>
      <w:r w:rsidR="00470240">
        <w:t>S</w:t>
      </w:r>
      <w:r w:rsidR="26273B39">
        <w:t>tate</w:t>
      </w:r>
      <w:r w:rsidRPr="00D51B93" w:rsidR="26273B39">
        <w:t xml:space="preserve"> plan, however, </w:t>
      </w:r>
      <w:r>
        <w:t>our</w:t>
      </w:r>
      <w:r w:rsidRPr="00D51B93" w:rsidR="6360D0DD">
        <w:t xml:space="preserve"> burden estimates do not include local activities</w:t>
      </w:r>
      <w:r w:rsidR="00EB5BFF">
        <w:t xml:space="preserve"> because the State </w:t>
      </w:r>
      <w:r w:rsidR="00EB5BFF">
        <w:t xml:space="preserve">Plan Guide is the instrument for collecting data from States not </w:t>
      </w:r>
      <w:r w:rsidR="00982F5B">
        <w:t>subrecipients</w:t>
      </w:r>
      <w:r w:rsidR="6360D0DD">
        <w:t xml:space="preserve">.  </w:t>
      </w:r>
      <w:r w:rsidRPr="00D51B93" w:rsidR="669AE68A">
        <w:t>The</w:t>
      </w:r>
      <w:r w:rsidR="669AE68A">
        <w:t xml:space="preserve"> </w:t>
      </w:r>
      <w:r w:rsidR="5B233432">
        <w:t>movement of proposed narrative items from the State Plan Guide to the CAR</w:t>
      </w:r>
      <w:r>
        <w:t xml:space="preserve"> </w:t>
      </w:r>
      <w:r>
        <w:t xml:space="preserve">ICR </w:t>
      </w:r>
      <w:r w:rsidR="20BFF9B7">
        <w:t xml:space="preserve">resulted in a reduction in the Department’s burden estimate as States will no longer be required to </w:t>
      </w:r>
      <w:r w:rsidR="00E70392">
        <w:t>complete steps necessary for amending a State plan</w:t>
      </w:r>
      <w:r w:rsidR="09645EED">
        <w:t>.</w:t>
      </w:r>
      <w:r>
        <w:t xml:space="preserve"> </w:t>
      </w:r>
    </w:p>
    <w:p w:rsidR="005B0592" w:rsidP="006B2DED" w14:paraId="7E9F7361" w14:textId="2547DFB0">
      <w:pPr>
        <w:rPr>
          <w:u w:val="single"/>
        </w:rPr>
      </w:pPr>
      <w:r w:rsidRPr="0D5D127D">
        <w:rPr>
          <w:u w:val="single"/>
        </w:rPr>
        <w:t>Changes</w:t>
      </w:r>
      <w:r>
        <w:t>:</w:t>
      </w:r>
      <w:r w:rsidR="157A97F1">
        <w:t xml:space="preserve"> </w:t>
      </w:r>
      <w:r w:rsidR="00686220">
        <w:t xml:space="preserve"> </w:t>
      </w:r>
      <w:r w:rsidR="001C26A4">
        <w:t xml:space="preserve">The Department </w:t>
      </w:r>
      <w:r w:rsidR="34904FEC">
        <w:t xml:space="preserve">reduced the burden estimate </w:t>
      </w:r>
      <w:r w:rsidR="001C26A4">
        <w:t xml:space="preserve">included in the proposed </w:t>
      </w:r>
      <w:r w:rsidR="34904FEC">
        <w:t xml:space="preserve">State </w:t>
      </w:r>
      <w:r w:rsidR="00686220">
        <w:t>P</w:t>
      </w:r>
      <w:r w:rsidR="34904FEC">
        <w:t xml:space="preserve">lan </w:t>
      </w:r>
      <w:r w:rsidR="00686220">
        <w:t xml:space="preserve">Guide </w:t>
      </w:r>
      <w:r w:rsidR="00642487">
        <w:t xml:space="preserve">as a result of our proposal to </w:t>
      </w:r>
      <w:r w:rsidR="34904FEC">
        <w:t>mov</w:t>
      </w:r>
      <w:r w:rsidR="00642487">
        <w:t>e proposed narrative items</w:t>
      </w:r>
      <w:r w:rsidR="34904FEC">
        <w:t xml:space="preserve"> from the State </w:t>
      </w:r>
      <w:r w:rsidR="00884B94">
        <w:t>P</w:t>
      </w:r>
      <w:r w:rsidR="34904FEC">
        <w:t xml:space="preserve">lan </w:t>
      </w:r>
      <w:r w:rsidR="00884B94">
        <w:t>G</w:t>
      </w:r>
      <w:r w:rsidR="34904FEC">
        <w:t>uide to the CAR</w:t>
      </w:r>
      <w:r w:rsidR="00884B94">
        <w:t xml:space="preserve"> ICR</w:t>
      </w:r>
      <w:r w:rsidR="34904FEC">
        <w:t>.</w:t>
      </w:r>
      <w:r w:rsidR="00573B32">
        <w:t xml:space="preserve">  As noted previously, </w:t>
      </w:r>
      <w:r w:rsidR="003E4EEE">
        <w:t xml:space="preserve">the proposed movement of proposed narrative items to the CAR ICR </w:t>
      </w:r>
      <w:r w:rsidR="001C26A4">
        <w:t xml:space="preserve">will </w:t>
      </w:r>
      <w:r w:rsidR="003E4EEE">
        <w:t>not require States to amend their currently approved State plans.</w:t>
      </w:r>
      <w:r w:rsidR="34904FEC">
        <w:t xml:space="preserve"> </w:t>
      </w:r>
      <w:r w:rsidR="00573B32">
        <w:t xml:space="preserve"> </w:t>
      </w:r>
      <w:r w:rsidR="003E4EEE">
        <w:t>Additionally, t</w:t>
      </w:r>
      <w:r w:rsidR="34904FEC">
        <w:t xml:space="preserve">he Department </w:t>
      </w:r>
      <w:r w:rsidR="003E4EEE">
        <w:t xml:space="preserve">anticipates </w:t>
      </w:r>
      <w:r w:rsidR="34904FEC">
        <w:t>increas</w:t>
      </w:r>
      <w:r w:rsidR="00AE7F8B">
        <w:t>ing</w:t>
      </w:r>
      <w:r w:rsidR="34904FEC">
        <w:t xml:space="preserve"> the estimated </w:t>
      </w:r>
      <w:r w:rsidR="04E6566C">
        <w:t xml:space="preserve">burden </w:t>
      </w:r>
      <w:r w:rsidR="00AE7F8B">
        <w:t xml:space="preserve">associated </w:t>
      </w:r>
      <w:r w:rsidR="04E6566C">
        <w:t>with the CAR</w:t>
      </w:r>
      <w:r w:rsidR="00AE7F8B">
        <w:t xml:space="preserve"> ICR</w:t>
      </w:r>
      <w:r w:rsidR="04E6566C">
        <w:t xml:space="preserve"> to reflect the new </w:t>
      </w:r>
      <w:r w:rsidR="00AE7F8B">
        <w:t xml:space="preserve">proposed narrative </w:t>
      </w:r>
      <w:r w:rsidR="04E6566C">
        <w:t xml:space="preserve">items </w:t>
      </w:r>
      <w:r w:rsidR="00AE7F8B">
        <w:t xml:space="preserve">that it intends to </w:t>
      </w:r>
      <w:r w:rsidR="04E6566C">
        <w:t xml:space="preserve">add to that </w:t>
      </w:r>
      <w:r w:rsidR="00AE7F8B">
        <w:t xml:space="preserve">data </w:t>
      </w:r>
      <w:r w:rsidR="04E6566C">
        <w:t>collection.</w:t>
      </w:r>
      <w:r>
        <w:br/>
      </w:r>
    </w:p>
    <w:p w:rsidR="008A0D18" w:rsidRPr="008A0D18" w:rsidP="006B2DED" w14:paraId="158DB73B" w14:textId="11967F80">
      <w:pPr>
        <w:rPr>
          <w:u w:val="single"/>
        </w:rPr>
      </w:pPr>
      <w:r w:rsidRPr="008A0D18">
        <w:rPr>
          <w:u w:val="single"/>
        </w:rPr>
        <w:t>Other Issues</w:t>
      </w:r>
    </w:p>
    <w:p w:rsidR="00582830" w:rsidRPr="007C7F46" w:rsidP="74430857" w14:paraId="4F9D94EF" w14:textId="1D820EDF">
      <w:pPr>
        <w:pStyle w:val="ListParagraph"/>
        <w:numPr>
          <w:ilvl w:val="0"/>
          <w:numId w:val="3"/>
        </w:numPr>
        <w:rPr>
          <w:b/>
        </w:rPr>
      </w:pPr>
      <w:r w:rsidRPr="74430857">
        <w:rPr>
          <w:b/>
        </w:rPr>
        <w:t>One commenter pointed out that few States have taken the opportunity to submit their Perkins V State Plan as a component of a WIOA Unified or Combined State Plan (four States submitted such plans in 2024).  While the commenter noted that the Department published a Dear Colleague letter that encouraged all States to pursue this opportunity, the commenter encouraged the Department to consult with State leaders to learn more about any potential challenges or capacity constraints that may affect the ability of</w:t>
      </w:r>
      <w:r>
        <w:t xml:space="preserve"> </w:t>
      </w:r>
      <w:r w:rsidRPr="74430857">
        <w:rPr>
          <w:b/>
        </w:rPr>
        <w:t xml:space="preserve">States to take advantage of this opportunity and to work with the U.S. Department of Labor </w:t>
      </w:r>
      <w:r w:rsidR="00AD2466">
        <w:rPr>
          <w:b/>
        </w:rPr>
        <w:t xml:space="preserve">to </w:t>
      </w:r>
      <w:r w:rsidRPr="74430857">
        <w:rPr>
          <w:b/>
        </w:rPr>
        <w:t>develop supportive resources to mitigate them.</w:t>
      </w:r>
    </w:p>
    <w:p w:rsidR="00582830" w:rsidP="00582830" w14:paraId="63E4F734" w14:textId="192C4C3B">
      <w:r w:rsidRPr="00AC5012">
        <w:rPr>
          <w:u w:val="single"/>
        </w:rPr>
        <w:t>Response</w:t>
      </w:r>
      <w:r>
        <w:t>:</w:t>
      </w:r>
      <w:r w:rsidR="00CF1F3F">
        <w:t xml:space="preserve">  We agree with the commenter that </w:t>
      </w:r>
      <w:r w:rsidR="00BE72D0">
        <w:t xml:space="preserve">WIOA Unified and Combined State </w:t>
      </w:r>
      <w:r w:rsidR="000C4431">
        <w:t xml:space="preserve">Plans </w:t>
      </w:r>
      <w:r w:rsidR="00BE72D0">
        <w:t xml:space="preserve">offer an important </w:t>
      </w:r>
      <w:r w:rsidR="00A0680F">
        <w:t xml:space="preserve">and valuable opportunity </w:t>
      </w:r>
      <w:r w:rsidR="00692FA9">
        <w:t xml:space="preserve">for a State </w:t>
      </w:r>
      <w:r w:rsidR="00A0680F">
        <w:t xml:space="preserve">to coordinate </w:t>
      </w:r>
      <w:r w:rsidR="00692FA9">
        <w:t>its</w:t>
      </w:r>
      <w:r w:rsidR="00A601DE">
        <w:t xml:space="preserve"> </w:t>
      </w:r>
      <w:r w:rsidR="00022E11">
        <w:t xml:space="preserve">implementation of Perkins V with </w:t>
      </w:r>
      <w:r w:rsidR="000C4431">
        <w:t xml:space="preserve">its implementation of the </w:t>
      </w:r>
      <w:r w:rsidR="006E360F">
        <w:t>core programs authorized by WIOA</w:t>
      </w:r>
      <w:r w:rsidR="006918A3">
        <w:t>, as well as ot</w:t>
      </w:r>
      <w:r w:rsidR="006E360F">
        <w:t>her federal education and workforce develop</w:t>
      </w:r>
      <w:r w:rsidR="00A601DE">
        <w:t>ment programs</w:t>
      </w:r>
      <w:r w:rsidR="006918A3">
        <w:t xml:space="preserve">, like </w:t>
      </w:r>
      <w:r w:rsidR="00692FA9">
        <w:t xml:space="preserve">the </w:t>
      </w:r>
      <w:r w:rsidRPr="00692FA9" w:rsidR="00692FA9">
        <w:t>Supplemental Nutrition Assistance Program</w:t>
      </w:r>
      <w:r w:rsidR="00692FA9">
        <w:t xml:space="preserve"> Employment and Training program</w:t>
      </w:r>
      <w:r w:rsidR="00A601DE">
        <w:t xml:space="preserve">. </w:t>
      </w:r>
      <w:r w:rsidR="00692FA9">
        <w:t xml:space="preserve"> We </w:t>
      </w:r>
      <w:r w:rsidR="000D5820">
        <w:t xml:space="preserve">will </w:t>
      </w:r>
      <w:r w:rsidR="009B60AA">
        <w:t xml:space="preserve">consult with States to learn more about the challenges that may be preventing them from taking advantage </w:t>
      </w:r>
      <w:r w:rsidR="006A19CB">
        <w:t xml:space="preserve">of this opportunity and how the Departments of Education and Labor might be helpful in mitigating these challenges. </w:t>
      </w:r>
    </w:p>
    <w:p w:rsidR="00052745" w:rsidRPr="008A0D18" w:rsidP="006B2DED" w14:paraId="53726222" w14:textId="30BACAAB">
      <w:r w:rsidRPr="00AC5012">
        <w:rPr>
          <w:u w:val="single"/>
        </w:rPr>
        <w:t>Changes</w:t>
      </w:r>
      <w:r>
        <w:t>:</w:t>
      </w:r>
      <w:r w:rsidR="001C26A4">
        <w:t xml:space="preserve"> </w:t>
      </w:r>
      <w:r>
        <w:t xml:space="preserve"> None. </w:t>
      </w:r>
    </w:p>
    <w:sectPr w:rsidSect="001066AA">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53118074"/>
      <w:docPartObj>
        <w:docPartGallery w:val="Page Numbers (Bottom of Page)"/>
        <w:docPartUnique/>
      </w:docPartObj>
    </w:sdtPr>
    <w:sdtEndPr>
      <w:rPr>
        <w:noProof/>
      </w:rPr>
    </w:sdtEndPr>
    <w:sdtContent>
      <w:p w:rsidR="001066AA" w14:paraId="61383C28" w14:textId="27D6768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1066AA" w14:paraId="0616ADC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1346F6AB" w14:textId="77777777" w:rsidTr="00C17A63">
      <w:tblPrEx>
        <w:tblW w:w="0" w:type="auto"/>
        <w:tblLayout w:type="fixed"/>
        <w:tblLook w:val="06A0"/>
      </w:tblPrEx>
      <w:trPr>
        <w:trHeight w:val="300"/>
      </w:trPr>
      <w:tc>
        <w:tcPr>
          <w:tcW w:w="3120" w:type="dxa"/>
        </w:tcPr>
        <w:p w:rsidR="57D5E4EB" w:rsidP="00C17A63" w14:paraId="1924597E" w14:textId="38AB4F66">
          <w:pPr>
            <w:pStyle w:val="Header"/>
            <w:ind w:left="-115"/>
          </w:pPr>
        </w:p>
      </w:tc>
      <w:tc>
        <w:tcPr>
          <w:tcW w:w="3120" w:type="dxa"/>
        </w:tcPr>
        <w:p w:rsidR="57D5E4EB" w:rsidP="00C17A63" w14:paraId="1B22F0F9" w14:textId="221804CE">
          <w:pPr>
            <w:pStyle w:val="Header"/>
            <w:jc w:val="center"/>
          </w:pPr>
        </w:p>
      </w:tc>
      <w:tc>
        <w:tcPr>
          <w:tcW w:w="3120" w:type="dxa"/>
        </w:tcPr>
        <w:p w:rsidR="57D5E4EB" w:rsidP="00C17A63" w14:paraId="77CBF0B8" w14:textId="1B81D2CB">
          <w:pPr>
            <w:pStyle w:val="Header"/>
            <w:ind w:right="-115"/>
            <w:jc w:val="right"/>
          </w:pPr>
        </w:p>
      </w:tc>
    </w:tr>
  </w:tbl>
  <w:p w:rsidR="0008706F" w14:paraId="4C7656B8" w14:textId="32AC0C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B0D0D" w:rsidP="00DF5E1E" w14:paraId="037CCCB4" w14:textId="77777777">
      <w:pPr>
        <w:spacing w:after="0" w:line="240" w:lineRule="auto"/>
      </w:pPr>
      <w:r>
        <w:separator/>
      </w:r>
    </w:p>
  </w:footnote>
  <w:footnote w:type="continuationSeparator" w:id="1">
    <w:p w:rsidR="00CB0D0D" w:rsidP="00DF5E1E" w14:paraId="704497FB" w14:textId="77777777">
      <w:pPr>
        <w:spacing w:after="0" w:line="240" w:lineRule="auto"/>
      </w:pPr>
      <w:r>
        <w:continuationSeparator/>
      </w:r>
    </w:p>
  </w:footnote>
  <w:footnote w:type="continuationNotice" w:id="2">
    <w:p w:rsidR="00CB0D0D" w14:paraId="708CF205" w14:textId="77777777">
      <w:pPr>
        <w:spacing w:after="0" w:line="240" w:lineRule="auto"/>
      </w:pPr>
    </w:p>
  </w:footnote>
  <w:footnote w:id="3">
    <w:p w:rsidR="00DF5E1E" w:rsidP="00DF5E1E" w14:paraId="498732ED" w14:textId="77777777">
      <w:pPr>
        <w:pStyle w:val="FootnoteText"/>
      </w:pPr>
      <w:r>
        <w:rPr>
          <w:rStyle w:val="FootnoteReference"/>
        </w:rPr>
        <w:footnoteRef/>
      </w:r>
      <w:r>
        <w:t xml:space="preserve"> Office of Career, Technical, and Adult Education, Program Memorandum 24-1, October 26, 2023.  Retrieved from: </w:t>
      </w:r>
      <w:hyperlink r:id="rId1" w:history="1">
        <w:r w:rsidRPr="00594636">
          <w:rPr>
            <w:rStyle w:val="Hyperlink"/>
          </w:rPr>
          <w:t>https://s3.amazonaws.com/PCRN/docs/OCTAE_Program_Memo_24-1_Perkins_State_Plan_Guidance.pdf</w:t>
        </w:r>
      </w:hyperlink>
    </w:p>
  </w:footnote>
  <w:footnote w:id="4">
    <w:p w:rsidR="00DB7ADC" w:rsidP="00DB7ADC" w14:paraId="72FD5FB8" w14:textId="77777777">
      <w:pPr>
        <w:pStyle w:val="FootnoteText"/>
      </w:pPr>
      <w:r>
        <w:rPr>
          <w:rStyle w:val="FootnoteReference"/>
        </w:rPr>
        <w:footnoteRef/>
      </w:r>
      <w:r>
        <w:t xml:space="preserve"> Office of Career, Technical, and Adult Education, </w:t>
      </w:r>
      <w:r w:rsidRPr="00580421">
        <w:t>Performance Accountability Guidance for Workforce Innovation and Opportunity Act (WIOA) Core Programs</w:t>
      </w:r>
      <w:r>
        <w:t xml:space="preserve"> (Program Memorandum 17-2), June 11, 2024. Retrieved from: </w:t>
      </w:r>
      <w:hyperlink r:id="rId2" w:history="1">
        <w:r w:rsidRPr="00594636">
          <w:rPr>
            <w:rStyle w:val="Hyperlink"/>
          </w:rPr>
          <w:t>https://www.ed.gov/sites/ed/files/about/offices/list/ovae/pi/AdultEd/octae-program-memo-17-2.pdf</w:t>
        </w:r>
      </w:hyperlink>
      <w:r>
        <w:t>.</w:t>
      </w:r>
    </w:p>
  </w:footnote>
  <w:footnote w:id="5">
    <w:p w:rsidR="004204C1" w:rsidRPr="00CB6256" w:rsidP="00AB356F" w14:paraId="6D96C1CC" w14:textId="1C1F6856">
      <w:pPr>
        <w:spacing w:after="0"/>
        <w:rPr>
          <w:sz w:val="20"/>
          <w:szCs w:val="20"/>
        </w:rPr>
      </w:pPr>
      <w:r>
        <w:rPr>
          <w:rStyle w:val="FootnoteReference"/>
        </w:rPr>
        <w:footnoteRef/>
      </w:r>
      <w:r w:rsidRPr="00CB6256">
        <w:rPr>
          <w:sz w:val="20"/>
          <w:szCs w:val="20"/>
        </w:rPr>
        <w:t xml:space="preserve"> Section 113(b)(2)(A)(iii) of Perkins V establishes</w:t>
      </w:r>
      <w:r w:rsidR="00835A64">
        <w:rPr>
          <w:sz w:val="20"/>
          <w:szCs w:val="20"/>
        </w:rPr>
        <w:t>,</w:t>
      </w:r>
      <w:r w:rsidRPr="00CB6256">
        <w:rPr>
          <w:sz w:val="20"/>
          <w:szCs w:val="20"/>
        </w:rPr>
        <w:t xml:space="preserve"> as a core indicator of performance for secondary programs</w:t>
      </w:r>
      <w:r w:rsidR="00835A64">
        <w:rPr>
          <w:sz w:val="20"/>
          <w:szCs w:val="20"/>
        </w:rPr>
        <w:t>,</w:t>
      </w:r>
      <w:r w:rsidRPr="00CB6256">
        <w:rPr>
          <w:sz w:val="20"/>
          <w:szCs w:val="20"/>
        </w:rPr>
        <w:t xml:space="preserve"> “the percentage of CTE concentrators who, in the second quarter after exiting from secondary education, are in postsecondary education or advanced training, military service or a service program that receives assistance under title I of the National and Community Service Act of 1990 (42 U.S.C. 12511 et seq.), are volunteers as described in section 5(a) of the Peace Corps Act (22 U.S.C. 2504(a)), or are employed.” Section 113(b)(2)(B)(i) of Perkins V establishes as a core indicator of performance for postsecondary programs “the percentage of CTE concentrators who, during the second quarter after program completion, remain enrolled in postsecondary education, are in advanced training, military service, or a service program that receives assistance under title I of the National and Community Service Act of 1990 (42 U.S.C. 12511 et seq.), are volunteers as described in section 5(a) of the Peace Corps Act (22 U.S.C. 2504(a)), or are placed or retained in employment.”</w:t>
      </w:r>
    </w:p>
  </w:footnote>
  <w:footnote w:id="6">
    <w:p w:rsidR="004204C1" w:rsidP="00AB356F" w14:paraId="4B959875" w14:textId="77777777">
      <w:pPr>
        <w:pStyle w:val="FootnoteText"/>
      </w:pPr>
      <w:r>
        <w:rPr>
          <w:rStyle w:val="FootnoteReference"/>
        </w:rPr>
        <w:footnoteRef/>
      </w:r>
      <w:r>
        <w:t xml:space="preserve"> </w:t>
      </w:r>
      <w:r w:rsidRPr="005125AA">
        <w:t xml:space="preserve">Office of Information and Regulatory Affairs, Office of Management and Budget. 2016. Questions and Answers When Designing Surveys for Information Collections. Retrieved from: </w:t>
      </w:r>
      <w:hyperlink r:id="rId3" w:history="1">
        <w:r w:rsidRPr="00594636">
          <w:rPr>
            <w:rStyle w:val="Hyperlink"/>
          </w:rPr>
          <w:t>https://obamawhitehouse.archives.gov/sites/default/files/omb/inforeg/pmc_survey_guidance_2006.pdf</w:t>
        </w:r>
      </w:hyperlink>
      <w:r>
        <w:t>.</w:t>
      </w:r>
    </w:p>
  </w:footnote>
  <w:footnote w:id="7">
    <w:p w:rsidR="002149C7" w:rsidP="00AB356F" w14:paraId="606C5EA3" w14:textId="77777777">
      <w:pPr>
        <w:pStyle w:val="FootnoteText"/>
      </w:pPr>
      <w:r>
        <w:rPr>
          <w:rStyle w:val="FootnoteReference"/>
        </w:rPr>
        <w:footnoteRef/>
      </w:r>
      <w:r>
        <w:t xml:space="preserve"> </w:t>
      </w:r>
      <w:r w:rsidRPr="00CB6256">
        <w:rPr>
          <w:rFonts w:ascii="Calibri" w:eastAsia="Calibri" w:hAnsi="Calibri" w:cs="Calibri"/>
          <w:kern w:val="0"/>
          <w:szCs w:val="22"/>
          <w14:ligatures w14:val="none"/>
        </w:rPr>
        <w:t>Czajka,</w:t>
      </w:r>
      <w:r w:rsidRPr="00CB6256">
        <w:rPr>
          <w:rFonts w:ascii="Calibri" w:eastAsia="Calibri" w:hAnsi="Calibri" w:cs="Calibri"/>
          <w:spacing w:val="-2"/>
          <w:kern w:val="0"/>
          <w:szCs w:val="22"/>
          <w14:ligatures w14:val="none"/>
        </w:rPr>
        <w:t xml:space="preserve"> </w:t>
      </w:r>
      <w:r w:rsidRPr="00CB6256">
        <w:rPr>
          <w:rFonts w:ascii="Calibri" w:eastAsia="Calibri" w:hAnsi="Calibri" w:cs="Calibri"/>
          <w:kern w:val="0"/>
          <w:szCs w:val="22"/>
          <w14:ligatures w14:val="none"/>
        </w:rPr>
        <w:t>J.L.,</w:t>
      </w:r>
      <w:r w:rsidRPr="00CB6256">
        <w:rPr>
          <w:rFonts w:ascii="Calibri" w:eastAsia="Calibri" w:hAnsi="Calibri" w:cs="Calibri"/>
          <w:spacing w:val="-2"/>
          <w:kern w:val="0"/>
          <w:szCs w:val="22"/>
          <w14:ligatures w14:val="none"/>
        </w:rPr>
        <w:t xml:space="preserve"> </w:t>
      </w:r>
      <w:r w:rsidRPr="00CB6256">
        <w:rPr>
          <w:rFonts w:ascii="Calibri" w:eastAsia="Calibri" w:hAnsi="Calibri" w:cs="Calibri"/>
          <w:kern w:val="0"/>
          <w:szCs w:val="22"/>
          <w14:ligatures w14:val="none"/>
        </w:rPr>
        <w:t>et</w:t>
      </w:r>
      <w:r w:rsidRPr="00CB6256">
        <w:rPr>
          <w:rFonts w:ascii="Calibri" w:eastAsia="Calibri" w:hAnsi="Calibri" w:cs="Calibri"/>
          <w:spacing w:val="-3"/>
          <w:kern w:val="0"/>
          <w:szCs w:val="22"/>
          <w14:ligatures w14:val="none"/>
        </w:rPr>
        <w:t xml:space="preserve"> </w:t>
      </w:r>
      <w:r w:rsidRPr="00CB6256">
        <w:rPr>
          <w:rFonts w:ascii="Calibri" w:eastAsia="Calibri" w:hAnsi="Calibri" w:cs="Calibri"/>
          <w:kern w:val="0"/>
          <w:szCs w:val="22"/>
          <w14:ligatures w14:val="none"/>
        </w:rPr>
        <w:t>al.</w:t>
      </w:r>
      <w:r w:rsidRPr="00CB6256">
        <w:rPr>
          <w:rFonts w:ascii="Calibri" w:eastAsia="Calibri" w:hAnsi="Calibri" w:cs="Calibri"/>
          <w:spacing w:val="-3"/>
          <w:kern w:val="0"/>
          <w:szCs w:val="22"/>
          <w14:ligatures w14:val="none"/>
        </w:rPr>
        <w:t xml:space="preserve"> </w:t>
      </w:r>
      <w:r w:rsidRPr="00CB6256">
        <w:rPr>
          <w:rFonts w:ascii="Calibri" w:eastAsia="Calibri" w:hAnsi="Calibri" w:cs="Calibri"/>
          <w:kern w:val="0"/>
          <w:szCs w:val="22"/>
          <w14:ligatures w14:val="none"/>
        </w:rPr>
        <w:t>(2018)</w:t>
      </w:r>
      <w:r w:rsidRPr="00CB6256">
        <w:rPr>
          <w:rFonts w:ascii="Calibri" w:eastAsia="Calibri" w:hAnsi="Calibri" w:cs="Calibri"/>
          <w:spacing w:val="-3"/>
          <w:kern w:val="0"/>
          <w:szCs w:val="22"/>
          <w14:ligatures w14:val="none"/>
        </w:rPr>
        <w:t xml:space="preserve"> </w:t>
      </w:r>
      <w:r w:rsidRPr="00CB6256">
        <w:rPr>
          <w:rFonts w:ascii="Calibri" w:eastAsia="Calibri" w:hAnsi="Calibri" w:cs="Calibri"/>
          <w:i/>
          <w:kern w:val="0"/>
          <w:szCs w:val="22"/>
          <w14:ligatures w14:val="none"/>
        </w:rPr>
        <w:t>Data</w:t>
      </w:r>
      <w:r w:rsidRPr="00CB6256">
        <w:rPr>
          <w:rFonts w:ascii="Calibri" w:eastAsia="Calibri" w:hAnsi="Calibri" w:cs="Calibri"/>
          <w:i/>
          <w:spacing w:val="-2"/>
          <w:kern w:val="0"/>
          <w:szCs w:val="22"/>
          <w14:ligatures w14:val="none"/>
        </w:rPr>
        <w:t xml:space="preserve"> </w:t>
      </w:r>
      <w:r w:rsidRPr="00CB6256">
        <w:rPr>
          <w:rFonts w:ascii="Calibri" w:eastAsia="Calibri" w:hAnsi="Calibri" w:cs="Calibri"/>
          <w:i/>
          <w:kern w:val="0"/>
          <w:szCs w:val="22"/>
          <w14:ligatures w14:val="none"/>
        </w:rPr>
        <w:t>on</w:t>
      </w:r>
      <w:r w:rsidRPr="00CB6256">
        <w:rPr>
          <w:rFonts w:ascii="Calibri" w:eastAsia="Calibri" w:hAnsi="Calibri" w:cs="Calibri"/>
          <w:i/>
          <w:spacing w:val="-2"/>
          <w:kern w:val="0"/>
          <w:szCs w:val="22"/>
          <w14:ligatures w14:val="none"/>
        </w:rPr>
        <w:t xml:space="preserve"> </w:t>
      </w:r>
      <w:r w:rsidRPr="00CB6256">
        <w:rPr>
          <w:rFonts w:ascii="Calibri" w:eastAsia="Calibri" w:hAnsi="Calibri" w:cs="Calibri"/>
          <w:i/>
          <w:kern w:val="0"/>
          <w:szCs w:val="22"/>
          <w14:ligatures w14:val="none"/>
        </w:rPr>
        <w:t>Earnings:</w:t>
      </w:r>
      <w:r w:rsidRPr="00CB6256">
        <w:rPr>
          <w:rFonts w:ascii="Calibri" w:eastAsia="Calibri" w:hAnsi="Calibri" w:cs="Calibri"/>
          <w:i/>
          <w:spacing w:val="-4"/>
          <w:kern w:val="0"/>
          <w:szCs w:val="22"/>
          <w14:ligatures w14:val="none"/>
        </w:rPr>
        <w:t xml:space="preserve"> </w:t>
      </w:r>
      <w:r w:rsidRPr="00CB6256">
        <w:rPr>
          <w:rFonts w:ascii="Calibri" w:eastAsia="Calibri" w:hAnsi="Calibri" w:cs="Calibri"/>
          <w:i/>
          <w:kern w:val="0"/>
          <w:szCs w:val="22"/>
          <w14:ligatures w14:val="none"/>
        </w:rPr>
        <w:t>A</w:t>
      </w:r>
      <w:r w:rsidRPr="00CB6256">
        <w:rPr>
          <w:rFonts w:ascii="Calibri" w:eastAsia="Calibri" w:hAnsi="Calibri" w:cs="Calibri"/>
          <w:i/>
          <w:spacing w:val="-3"/>
          <w:kern w:val="0"/>
          <w:szCs w:val="22"/>
          <w14:ligatures w14:val="none"/>
        </w:rPr>
        <w:t xml:space="preserve"> </w:t>
      </w:r>
      <w:r w:rsidRPr="00CB6256">
        <w:rPr>
          <w:rFonts w:ascii="Calibri" w:eastAsia="Calibri" w:hAnsi="Calibri" w:cs="Calibri"/>
          <w:i/>
          <w:kern w:val="0"/>
          <w:szCs w:val="22"/>
          <w14:ligatures w14:val="none"/>
        </w:rPr>
        <w:t>Review</w:t>
      </w:r>
      <w:r w:rsidRPr="00CB6256">
        <w:rPr>
          <w:rFonts w:ascii="Calibri" w:eastAsia="Calibri" w:hAnsi="Calibri" w:cs="Calibri"/>
          <w:i/>
          <w:spacing w:val="-4"/>
          <w:kern w:val="0"/>
          <w:szCs w:val="22"/>
          <w14:ligatures w14:val="none"/>
        </w:rPr>
        <w:t xml:space="preserve"> </w:t>
      </w:r>
      <w:r w:rsidRPr="00CB6256">
        <w:rPr>
          <w:rFonts w:ascii="Calibri" w:eastAsia="Calibri" w:hAnsi="Calibri" w:cs="Calibri"/>
          <w:i/>
          <w:kern w:val="0"/>
          <w:szCs w:val="22"/>
          <w14:ligatures w14:val="none"/>
        </w:rPr>
        <w:t>of</w:t>
      </w:r>
      <w:r w:rsidRPr="00CB6256">
        <w:rPr>
          <w:rFonts w:ascii="Calibri" w:eastAsia="Calibri" w:hAnsi="Calibri" w:cs="Calibri"/>
          <w:i/>
          <w:spacing w:val="-4"/>
          <w:kern w:val="0"/>
          <w:szCs w:val="22"/>
          <w14:ligatures w14:val="none"/>
        </w:rPr>
        <w:t xml:space="preserve"> </w:t>
      </w:r>
      <w:r w:rsidRPr="00CB6256">
        <w:rPr>
          <w:rFonts w:ascii="Calibri" w:eastAsia="Calibri" w:hAnsi="Calibri" w:cs="Calibri"/>
          <w:i/>
          <w:kern w:val="0"/>
          <w:szCs w:val="22"/>
          <w14:ligatures w14:val="none"/>
        </w:rPr>
        <w:t>Resources</w:t>
      </w:r>
      <w:r w:rsidRPr="00CB6256">
        <w:rPr>
          <w:rFonts w:ascii="Calibri" w:eastAsia="Calibri" w:hAnsi="Calibri" w:cs="Calibri"/>
          <w:i/>
          <w:spacing w:val="-4"/>
          <w:kern w:val="0"/>
          <w:szCs w:val="22"/>
          <w14:ligatures w14:val="none"/>
        </w:rPr>
        <w:t xml:space="preserve"> </w:t>
      </w:r>
      <w:r w:rsidRPr="00CB6256">
        <w:rPr>
          <w:rFonts w:ascii="Calibri" w:eastAsia="Calibri" w:hAnsi="Calibri" w:cs="Calibri"/>
          <w:i/>
          <w:kern w:val="0"/>
          <w:szCs w:val="22"/>
          <w14:ligatures w14:val="none"/>
        </w:rPr>
        <w:t>for</w:t>
      </w:r>
      <w:r w:rsidRPr="00CB6256">
        <w:rPr>
          <w:rFonts w:ascii="Calibri" w:eastAsia="Calibri" w:hAnsi="Calibri" w:cs="Calibri"/>
          <w:i/>
          <w:spacing w:val="-4"/>
          <w:kern w:val="0"/>
          <w:szCs w:val="22"/>
          <w14:ligatures w14:val="none"/>
        </w:rPr>
        <w:t xml:space="preserve"> </w:t>
      </w:r>
      <w:r w:rsidRPr="00CB6256">
        <w:rPr>
          <w:rFonts w:ascii="Calibri" w:eastAsia="Calibri" w:hAnsi="Calibri" w:cs="Calibri"/>
          <w:i/>
          <w:kern w:val="0"/>
          <w:szCs w:val="22"/>
          <w14:ligatures w14:val="none"/>
        </w:rPr>
        <w:t>Research</w:t>
      </w:r>
      <w:r w:rsidRPr="00CB6256">
        <w:rPr>
          <w:rFonts w:ascii="Calibri" w:eastAsia="Calibri" w:hAnsi="Calibri" w:cs="Calibri"/>
          <w:kern w:val="0"/>
          <w:szCs w:val="22"/>
          <w14:ligatures w14:val="none"/>
        </w:rPr>
        <w:t>,</w:t>
      </w:r>
      <w:r w:rsidRPr="00CB6256">
        <w:rPr>
          <w:rFonts w:ascii="Calibri" w:eastAsia="Calibri" w:hAnsi="Calibri" w:cs="Calibri"/>
          <w:spacing w:val="-2"/>
          <w:kern w:val="0"/>
          <w:szCs w:val="22"/>
          <w14:ligatures w14:val="none"/>
        </w:rPr>
        <w:t xml:space="preserve"> </w:t>
      </w:r>
      <w:r w:rsidRPr="00CB6256">
        <w:rPr>
          <w:rFonts w:ascii="Calibri" w:eastAsia="Calibri" w:hAnsi="Calibri" w:cs="Calibri"/>
          <w:kern w:val="0"/>
          <w:szCs w:val="22"/>
          <w14:ligatures w14:val="none"/>
        </w:rPr>
        <w:t>Mathematica</w:t>
      </w:r>
      <w:r w:rsidRPr="00CB6256">
        <w:rPr>
          <w:rFonts w:ascii="Calibri" w:eastAsia="Calibri" w:hAnsi="Calibri" w:cs="Calibri"/>
          <w:spacing w:val="-3"/>
          <w:kern w:val="0"/>
          <w:szCs w:val="22"/>
          <w14:ligatures w14:val="none"/>
        </w:rPr>
        <w:t xml:space="preserve"> </w:t>
      </w:r>
      <w:r w:rsidRPr="00CB6256">
        <w:rPr>
          <w:rFonts w:ascii="Calibri" w:eastAsia="Calibri" w:hAnsi="Calibri" w:cs="Calibri"/>
          <w:kern w:val="0"/>
          <w:szCs w:val="22"/>
          <w14:ligatures w14:val="none"/>
        </w:rPr>
        <w:t>Policy</w:t>
      </w:r>
      <w:r w:rsidRPr="00CB6256">
        <w:rPr>
          <w:rFonts w:ascii="Calibri" w:eastAsia="Calibri" w:hAnsi="Calibri" w:cs="Calibri"/>
          <w:spacing w:val="-2"/>
          <w:kern w:val="0"/>
          <w:szCs w:val="22"/>
          <w14:ligatures w14:val="none"/>
        </w:rPr>
        <w:t xml:space="preserve"> </w:t>
      </w:r>
      <w:r w:rsidRPr="00CB6256">
        <w:rPr>
          <w:rFonts w:ascii="Calibri" w:eastAsia="Calibri" w:hAnsi="Calibri" w:cs="Calibri"/>
          <w:kern w:val="0"/>
          <w:szCs w:val="22"/>
          <w14:ligatures w14:val="none"/>
        </w:rPr>
        <w:t xml:space="preserve">Research. Retrieved from: </w:t>
      </w:r>
      <w:hyperlink r:id="rId4">
        <w:r w:rsidRPr="00CB6256">
          <w:rPr>
            <w:rFonts w:ascii="Calibri" w:eastAsia="Calibri" w:hAnsi="Calibri" w:cs="Calibri"/>
            <w:color w:val="0000FF"/>
            <w:kern w:val="0"/>
            <w:szCs w:val="22"/>
            <w:u w:val="single" w:color="0000FF"/>
            <w14:ligatures w14:val="none"/>
          </w:rPr>
          <w:t>https://www.dol.gov/sites/dolgov/files/OASP/legacy/files/Data-on-Earnings-Report.pdf</w:t>
        </w:r>
        <w:r w:rsidRPr="00CB6256">
          <w:rPr>
            <w:rFonts w:ascii="Calibri" w:eastAsia="Calibri" w:hAnsi="Calibri" w:cs="Calibri"/>
            <w:kern w:val="0"/>
            <w:szCs w:val="22"/>
            <w14:ligatures w14:val="none"/>
          </w:rPr>
          <w: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5FAC23B3" w14:textId="77777777" w:rsidTr="00C17A63">
      <w:tblPrEx>
        <w:tblW w:w="0" w:type="auto"/>
        <w:tblLayout w:type="fixed"/>
        <w:tblLook w:val="06A0"/>
      </w:tblPrEx>
      <w:trPr>
        <w:trHeight w:val="300"/>
      </w:trPr>
      <w:tc>
        <w:tcPr>
          <w:tcW w:w="3120" w:type="dxa"/>
        </w:tcPr>
        <w:p w:rsidR="57D5E4EB" w:rsidP="00C17A63" w14:paraId="0E3FBA18" w14:textId="177AED8E">
          <w:pPr>
            <w:pStyle w:val="Header"/>
            <w:ind w:left="-115"/>
          </w:pPr>
        </w:p>
      </w:tc>
      <w:tc>
        <w:tcPr>
          <w:tcW w:w="3120" w:type="dxa"/>
        </w:tcPr>
        <w:p w:rsidR="57D5E4EB" w:rsidP="00C17A63" w14:paraId="27313673" w14:textId="38FD6A2C">
          <w:pPr>
            <w:pStyle w:val="Header"/>
            <w:jc w:val="center"/>
          </w:pPr>
        </w:p>
      </w:tc>
      <w:tc>
        <w:tcPr>
          <w:tcW w:w="3120" w:type="dxa"/>
        </w:tcPr>
        <w:p w:rsidR="57D5E4EB" w:rsidP="00C17A63" w14:paraId="6CE5D92D" w14:textId="77B196B2">
          <w:pPr>
            <w:pStyle w:val="Header"/>
            <w:ind w:right="-115"/>
            <w:jc w:val="right"/>
          </w:pPr>
        </w:p>
      </w:tc>
    </w:tr>
  </w:tbl>
  <w:p w:rsidR="0008706F" w14:paraId="3330A78C" w14:textId="50A036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2D6BACDD" w14:textId="77777777" w:rsidTr="00C17A63">
      <w:tblPrEx>
        <w:tblW w:w="0" w:type="auto"/>
        <w:tblLayout w:type="fixed"/>
        <w:tblLook w:val="06A0"/>
      </w:tblPrEx>
      <w:trPr>
        <w:trHeight w:val="300"/>
      </w:trPr>
      <w:tc>
        <w:tcPr>
          <w:tcW w:w="3120" w:type="dxa"/>
        </w:tcPr>
        <w:p w:rsidR="57D5E4EB" w:rsidP="00C17A63" w14:paraId="12858A59" w14:textId="6721B7B1">
          <w:pPr>
            <w:pStyle w:val="Header"/>
            <w:ind w:left="-115"/>
          </w:pPr>
        </w:p>
      </w:tc>
      <w:tc>
        <w:tcPr>
          <w:tcW w:w="3120" w:type="dxa"/>
        </w:tcPr>
        <w:p w:rsidR="57D5E4EB" w:rsidP="00C17A63" w14:paraId="51CDCE1F" w14:textId="6403A605">
          <w:pPr>
            <w:pStyle w:val="Header"/>
            <w:jc w:val="center"/>
          </w:pPr>
        </w:p>
      </w:tc>
      <w:tc>
        <w:tcPr>
          <w:tcW w:w="3120" w:type="dxa"/>
        </w:tcPr>
        <w:p w:rsidR="57D5E4EB" w:rsidP="00C17A63" w14:paraId="008996A7" w14:textId="27ED4A22">
          <w:pPr>
            <w:pStyle w:val="Header"/>
            <w:ind w:right="-115"/>
            <w:jc w:val="right"/>
          </w:pPr>
        </w:p>
      </w:tc>
    </w:tr>
  </w:tbl>
  <w:p w:rsidR="0008706F" w14:paraId="4251B981" w14:textId="737A5F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FF1C9D"/>
    <w:multiLevelType w:val="hybridMultilevel"/>
    <w:tmpl w:val="6D64FDCC"/>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4C163949"/>
    <w:multiLevelType w:val="hybridMultilevel"/>
    <w:tmpl w:val="BE10FD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5DD47C2"/>
    <w:multiLevelType w:val="hybridMultilevel"/>
    <w:tmpl w:val="454E25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57466731">
    <w:abstractNumId w:val="1"/>
  </w:num>
  <w:num w:numId="2" w16cid:durableId="1250773842">
    <w:abstractNumId w:val="2"/>
  </w:num>
  <w:num w:numId="3" w16cid:durableId="629897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ADA"/>
    <w:rsid w:val="00000453"/>
    <w:rsid w:val="00000705"/>
    <w:rsid w:val="00001017"/>
    <w:rsid w:val="00001741"/>
    <w:rsid w:val="00001F83"/>
    <w:rsid w:val="00002042"/>
    <w:rsid w:val="0000217B"/>
    <w:rsid w:val="0000243D"/>
    <w:rsid w:val="000026C7"/>
    <w:rsid w:val="00002B24"/>
    <w:rsid w:val="0000309E"/>
    <w:rsid w:val="00003125"/>
    <w:rsid w:val="00003577"/>
    <w:rsid w:val="000039D6"/>
    <w:rsid w:val="0000414D"/>
    <w:rsid w:val="00004368"/>
    <w:rsid w:val="000043E5"/>
    <w:rsid w:val="00004560"/>
    <w:rsid w:val="000045C1"/>
    <w:rsid w:val="0000472A"/>
    <w:rsid w:val="00004DFE"/>
    <w:rsid w:val="00005C17"/>
    <w:rsid w:val="000069DB"/>
    <w:rsid w:val="00006A39"/>
    <w:rsid w:val="00006E0E"/>
    <w:rsid w:val="0000711B"/>
    <w:rsid w:val="00007521"/>
    <w:rsid w:val="00007A94"/>
    <w:rsid w:val="00007D00"/>
    <w:rsid w:val="00007E54"/>
    <w:rsid w:val="00010335"/>
    <w:rsid w:val="00010485"/>
    <w:rsid w:val="000104C3"/>
    <w:rsid w:val="000105FF"/>
    <w:rsid w:val="00010651"/>
    <w:rsid w:val="000107E6"/>
    <w:rsid w:val="00010DF6"/>
    <w:rsid w:val="000113E1"/>
    <w:rsid w:val="000114A4"/>
    <w:rsid w:val="00011B11"/>
    <w:rsid w:val="00011B1C"/>
    <w:rsid w:val="00011B56"/>
    <w:rsid w:val="00012082"/>
    <w:rsid w:val="0001210A"/>
    <w:rsid w:val="000123C8"/>
    <w:rsid w:val="00012686"/>
    <w:rsid w:val="00012834"/>
    <w:rsid w:val="0001333A"/>
    <w:rsid w:val="00013863"/>
    <w:rsid w:val="000140C2"/>
    <w:rsid w:val="0001420B"/>
    <w:rsid w:val="0001494F"/>
    <w:rsid w:val="00014CFA"/>
    <w:rsid w:val="00014F55"/>
    <w:rsid w:val="0001539B"/>
    <w:rsid w:val="00015656"/>
    <w:rsid w:val="000156B7"/>
    <w:rsid w:val="00015818"/>
    <w:rsid w:val="0001596E"/>
    <w:rsid w:val="00015CD8"/>
    <w:rsid w:val="0001667B"/>
    <w:rsid w:val="000167A0"/>
    <w:rsid w:val="0001695E"/>
    <w:rsid w:val="00016ED8"/>
    <w:rsid w:val="00016ED9"/>
    <w:rsid w:val="00017444"/>
    <w:rsid w:val="000177E0"/>
    <w:rsid w:val="00017D20"/>
    <w:rsid w:val="00017DE6"/>
    <w:rsid w:val="0002009C"/>
    <w:rsid w:val="00020411"/>
    <w:rsid w:val="000207D9"/>
    <w:rsid w:val="00020C33"/>
    <w:rsid w:val="0002104D"/>
    <w:rsid w:val="000211C7"/>
    <w:rsid w:val="00021589"/>
    <w:rsid w:val="00021CB0"/>
    <w:rsid w:val="00022349"/>
    <w:rsid w:val="00022535"/>
    <w:rsid w:val="00022830"/>
    <w:rsid w:val="00022E11"/>
    <w:rsid w:val="00023005"/>
    <w:rsid w:val="00023019"/>
    <w:rsid w:val="000236C8"/>
    <w:rsid w:val="000238D8"/>
    <w:rsid w:val="00024856"/>
    <w:rsid w:val="00025048"/>
    <w:rsid w:val="000251FC"/>
    <w:rsid w:val="00025283"/>
    <w:rsid w:val="00025EA3"/>
    <w:rsid w:val="00025F9D"/>
    <w:rsid w:val="00026223"/>
    <w:rsid w:val="00026315"/>
    <w:rsid w:val="000266A7"/>
    <w:rsid w:val="0002677A"/>
    <w:rsid w:val="00026990"/>
    <w:rsid w:val="000269D7"/>
    <w:rsid w:val="00026ECB"/>
    <w:rsid w:val="00027199"/>
    <w:rsid w:val="00027247"/>
    <w:rsid w:val="00027442"/>
    <w:rsid w:val="000279F6"/>
    <w:rsid w:val="00027BE7"/>
    <w:rsid w:val="000302EC"/>
    <w:rsid w:val="00030942"/>
    <w:rsid w:val="00030A07"/>
    <w:rsid w:val="00030C69"/>
    <w:rsid w:val="00030E6B"/>
    <w:rsid w:val="00031A04"/>
    <w:rsid w:val="00031CE5"/>
    <w:rsid w:val="00031D3F"/>
    <w:rsid w:val="00032094"/>
    <w:rsid w:val="000320FD"/>
    <w:rsid w:val="0003355E"/>
    <w:rsid w:val="0003467A"/>
    <w:rsid w:val="00034B1B"/>
    <w:rsid w:val="00034C53"/>
    <w:rsid w:val="000351EE"/>
    <w:rsid w:val="00035671"/>
    <w:rsid w:val="000356C4"/>
    <w:rsid w:val="0003571D"/>
    <w:rsid w:val="00035EC2"/>
    <w:rsid w:val="00035FA1"/>
    <w:rsid w:val="0003608A"/>
    <w:rsid w:val="0003661E"/>
    <w:rsid w:val="00036A48"/>
    <w:rsid w:val="00036A70"/>
    <w:rsid w:val="00036E03"/>
    <w:rsid w:val="0003755E"/>
    <w:rsid w:val="00037582"/>
    <w:rsid w:val="00037730"/>
    <w:rsid w:val="00037C14"/>
    <w:rsid w:val="00040687"/>
    <w:rsid w:val="00040BC7"/>
    <w:rsid w:val="00040E8D"/>
    <w:rsid w:val="00041072"/>
    <w:rsid w:val="000412B1"/>
    <w:rsid w:val="0004173C"/>
    <w:rsid w:val="000418BF"/>
    <w:rsid w:val="000418C6"/>
    <w:rsid w:val="00041939"/>
    <w:rsid w:val="0004199B"/>
    <w:rsid w:val="00041D09"/>
    <w:rsid w:val="00041ED4"/>
    <w:rsid w:val="00042D2E"/>
    <w:rsid w:val="00042F90"/>
    <w:rsid w:val="00043858"/>
    <w:rsid w:val="00043D18"/>
    <w:rsid w:val="00043F20"/>
    <w:rsid w:val="00043F36"/>
    <w:rsid w:val="00044091"/>
    <w:rsid w:val="000440B5"/>
    <w:rsid w:val="000443AE"/>
    <w:rsid w:val="000445C2"/>
    <w:rsid w:val="00044960"/>
    <w:rsid w:val="00044A1D"/>
    <w:rsid w:val="00044C48"/>
    <w:rsid w:val="0004544C"/>
    <w:rsid w:val="00045DA7"/>
    <w:rsid w:val="00045F2E"/>
    <w:rsid w:val="00045FD1"/>
    <w:rsid w:val="000460AD"/>
    <w:rsid w:val="000461F7"/>
    <w:rsid w:val="000464F9"/>
    <w:rsid w:val="00046552"/>
    <w:rsid w:val="000465A5"/>
    <w:rsid w:val="00046637"/>
    <w:rsid w:val="000469BD"/>
    <w:rsid w:val="00046BC1"/>
    <w:rsid w:val="00046CB9"/>
    <w:rsid w:val="000472B4"/>
    <w:rsid w:val="00047302"/>
    <w:rsid w:val="00047523"/>
    <w:rsid w:val="00047812"/>
    <w:rsid w:val="00047C4D"/>
    <w:rsid w:val="00047FA6"/>
    <w:rsid w:val="00047FB4"/>
    <w:rsid w:val="0005003E"/>
    <w:rsid w:val="00050114"/>
    <w:rsid w:val="000501B3"/>
    <w:rsid w:val="0005021F"/>
    <w:rsid w:val="00050748"/>
    <w:rsid w:val="00050A1E"/>
    <w:rsid w:val="00050AED"/>
    <w:rsid w:val="00050E96"/>
    <w:rsid w:val="00051099"/>
    <w:rsid w:val="0005124A"/>
    <w:rsid w:val="000518F7"/>
    <w:rsid w:val="000519E3"/>
    <w:rsid w:val="00051A68"/>
    <w:rsid w:val="00051CCA"/>
    <w:rsid w:val="00052409"/>
    <w:rsid w:val="00052745"/>
    <w:rsid w:val="00052A0E"/>
    <w:rsid w:val="00052D77"/>
    <w:rsid w:val="000531F8"/>
    <w:rsid w:val="0005329F"/>
    <w:rsid w:val="00053AC8"/>
    <w:rsid w:val="00053E6B"/>
    <w:rsid w:val="00054376"/>
    <w:rsid w:val="000547CA"/>
    <w:rsid w:val="00054E0C"/>
    <w:rsid w:val="00055193"/>
    <w:rsid w:val="000552C0"/>
    <w:rsid w:val="00055C29"/>
    <w:rsid w:val="00055CC2"/>
    <w:rsid w:val="000563D9"/>
    <w:rsid w:val="00056449"/>
    <w:rsid w:val="00056543"/>
    <w:rsid w:val="00056FC0"/>
    <w:rsid w:val="00057021"/>
    <w:rsid w:val="000572A0"/>
    <w:rsid w:val="00057833"/>
    <w:rsid w:val="00057A94"/>
    <w:rsid w:val="0006001A"/>
    <w:rsid w:val="00060141"/>
    <w:rsid w:val="00060165"/>
    <w:rsid w:val="00060293"/>
    <w:rsid w:val="00060421"/>
    <w:rsid w:val="0006074F"/>
    <w:rsid w:val="00060CD0"/>
    <w:rsid w:val="00060D6F"/>
    <w:rsid w:val="00060ED0"/>
    <w:rsid w:val="000613EB"/>
    <w:rsid w:val="0006154C"/>
    <w:rsid w:val="000617D0"/>
    <w:rsid w:val="0006195E"/>
    <w:rsid w:val="00062472"/>
    <w:rsid w:val="000624D8"/>
    <w:rsid w:val="00062BC3"/>
    <w:rsid w:val="00062F47"/>
    <w:rsid w:val="00062FCE"/>
    <w:rsid w:val="0006332B"/>
    <w:rsid w:val="0006339B"/>
    <w:rsid w:val="000636AC"/>
    <w:rsid w:val="000636C9"/>
    <w:rsid w:val="00063A50"/>
    <w:rsid w:val="00063DFC"/>
    <w:rsid w:val="00063F6E"/>
    <w:rsid w:val="00064A7C"/>
    <w:rsid w:val="00064B5F"/>
    <w:rsid w:val="00064F5E"/>
    <w:rsid w:val="00064FA9"/>
    <w:rsid w:val="00065134"/>
    <w:rsid w:val="0006597B"/>
    <w:rsid w:val="000659A3"/>
    <w:rsid w:val="00065CB7"/>
    <w:rsid w:val="0006629C"/>
    <w:rsid w:val="00066310"/>
    <w:rsid w:val="00066BCD"/>
    <w:rsid w:val="00066E22"/>
    <w:rsid w:val="00066F12"/>
    <w:rsid w:val="000672B9"/>
    <w:rsid w:val="00067560"/>
    <w:rsid w:val="00067C1D"/>
    <w:rsid w:val="00067E31"/>
    <w:rsid w:val="00067E32"/>
    <w:rsid w:val="00067EBC"/>
    <w:rsid w:val="00070305"/>
    <w:rsid w:val="00070651"/>
    <w:rsid w:val="00070C80"/>
    <w:rsid w:val="0007111F"/>
    <w:rsid w:val="00071334"/>
    <w:rsid w:val="000713E7"/>
    <w:rsid w:val="00072195"/>
    <w:rsid w:val="000722FE"/>
    <w:rsid w:val="00072495"/>
    <w:rsid w:val="00072AA7"/>
    <w:rsid w:val="00072BD7"/>
    <w:rsid w:val="00072C75"/>
    <w:rsid w:val="00072CCF"/>
    <w:rsid w:val="0007318C"/>
    <w:rsid w:val="000732B1"/>
    <w:rsid w:val="000734EE"/>
    <w:rsid w:val="00073533"/>
    <w:rsid w:val="00073A91"/>
    <w:rsid w:val="00073AEB"/>
    <w:rsid w:val="0007435E"/>
    <w:rsid w:val="00074661"/>
    <w:rsid w:val="000747AD"/>
    <w:rsid w:val="00074B85"/>
    <w:rsid w:val="00074DC2"/>
    <w:rsid w:val="00074ED3"/>
    <w:rsid w:val="000751A4"/>
    <w:rsid w:val="00075322"/>
    <w:rsid w:val="00075987"/>
    <w:rsid w:val="00075FE4"/>
    <w:rsid w:val="000765B2"/>
    <w:rsid w:val="000769BC"/>
    <w:rsid w:val="00076BBA"/>
    <w:rsid w:val="00076E2D"/>
    <w:rsid w:val="00077814"/>
    <w:rsid w:val="0007786A"/>
    <w:rsid w:val="000778B2"/>
    <w:rsid w:val="00077AC1"/>
    <w:rsid w:val="000802B7"/>
    <w:rsid w:val="00081462"/>
    <w:rsid w:val="000814B0"/>
    <w:rsid w:val="00081CCE"/>
    <w:rsid w:val="000821B9"/>
    <w:rsid w:val="000821E3"/>
    <w:rsid w:val="000822B9"/>
    <w:rsid w:val="000825BA"/>
    <w:rsid w:val="00082BDF"/>
    <w:rsid w:val="00082DF6"/>
    <w:rsid w:val="00082EC0"/>
    <w:rsid w:val="00083305"/>
    <w:rsid w:val="000838E1"/>
    <w:rsid w:val="00083E40"/>
    <w:rsid w:val="00084066"/>
    <w:rsid w:val="0008434A"/>
    <w:rsid w:val="000844DF"/>
    <w:rsid w:val="000846D6"/>
    <w:rsid w:val="0008478E"/>
    <w:rsid w:val="00084881"/>
    <w:rsid w:val="00084B2E"/>
    <w:rsid w:val="00084C4A"/>
    <w:rsid w:val="00084CA1"/>
    <w:rsid w:val="00084D85"/>
    <w:rsid w:val="00085096"/>
    <w:rsid w:val="00085743"/>
    <w:rsid w:val="00085900"/>
    <w:rsid w:val="00085906"/>
    <w:rsid w:val="00085A06"/>
    <w:rsid w:val="00085AD0"/>
    <w:rsid w:val="00085D45"/>
    <w:rsid w:val="00086097"/>
    <w:rsid w:val="000867AC"/>
    <w:rsid w:val="0008698E"/>
    <w:rsid w:val="00086F4A"/>
    <w:rsid w:val="0008706F"/>
    <w:rsid w:val="000871AD"/>
    <w:rsid w:val="0008726B"/>
    <w:rsid w:val="00087A14"/>
    <w:rsid w:val="00087E3F"/>
    <w:rsid w:val="0009033C"/>
    <w:rsid w:val="000903F0"/>
    <w:rsid w:val="0009064E"/>
    <w:rsid w:val="00090C85"/>
    <w:rsid w:val="00091D7D"/>
    <w:rsid w:val="00091DF2"/>
    <w:rsid w:val="00091FE9"/>
    <w:rsid w:val="00092018"/>
    <w:rsid w:val="00092151"/>
    <w:rsid w:val="00092570"/>
    <w:rsid w:val="000926D9"/>
    <w:rsid w:val="0009326F"/>
    <w:rsid w:val="000932EE"/>
    <w:rsid w:val="0009369D"/>
    <w:rsid w:val="0009383C"/>
    <w:rsid w:val="00093BBB"/>
    <w:rsid w:val="00093F36"/>
    <w:rsid w:val="00094083"/>
    <w:rsid w:val="0009421B"/>
    <w:rsid w:val="0009461A"/>
    <w:rsid w:val="00094967"/>
    <w:rsid w:val="00095648"/>
    <w:rsid w:val="00095CD7"/>
    <w:rsid w:val="00095DE7"/>
    <w:rsid w:val="00095EAA"/>
    <w:rsid w:val="00095F36"/>
    <w:rsid w:val="000962FA"/>
    <w:rsid w:val="00096379"/>
    <w:rsid w:val="000969D5"/>
    <w:rsid w:val="00096BC9"/>
    <w:rsid w:val="0009704D"/>
    <w:rsid w:val="0009739F"/>
    <w:rsid w:val="000973C5"/>
    <w:rsid w:val="00097DFB"/>
    <w:rsid w:val="000A0581"/>
    <w:rsid w:val="000A0CFF"/>
    <w:rsid w:val="000A130A"/>
    <w:rsid w:val="000A1397"/>
    <w:rsid w:val="000A1680"/>
    <w:rsid w:val="000A1B94"/>
    <w:rsid w:val="000A1E4D"/>
    <w:rsid w:val="000A2553"/>
    <w:rsid w:val="000A297C"/>
    <w:rsid w:val="000A2F50"/>
    <w:rsid w:val="000A316D"/>
    <w:rsid w:val="000A3335"/>
    <w:rsid w:val="000A36A8"/>
    <w:rsid w:val="000A3BAD"/>
    <w:rsid w:val="000A3CC0"/>
    <w:rsid w:val="000A3F59"/>
    <w:rsid w:val="000A40E3"/>
    <w:rsid w:val="000A448C"/>
    <w:rsid w:val="000A44D6"/>
    <w:rsid w:val="000A45B4"/>
    <w:rsid w:val="000A4781"/>
    <w:rsid w:val="000A4DD2"/>
    <w:rsid w:val="000A50E1"/>
    <w:rsid w:val="000A5676"/>
    <w:rsid w:val="000A57C7"/>
    <w:rsid w:val="000A5AED"/>
    <w:rsid w:val="000A5C2F"/>
    <w:rsid w:val="000A5FA7"/>
    <w:rsid w:val="000A61B6"/>
    <w:rsid w:val="000A6242"/>
    <w:rsid w:val="000A697D"/>
    <w:rsid w:val="000A6A8D"/>
    <w:rsid w:val="000A6E4A"/>
    <w:rsid w:val="000A6E9E"/>
    <w:rsid w:val="000A6F88"/>
    <w:rsid w:val="000A6FCF"/>
    <w:rsid w:val="000A6FEB"/>
    <w:rsid w:val="000A7400"/>
    <w:rsid w:val="000A7669"/>
    <w:rsid w:val="000B0442"/>
    <w:rsid w:val="000B0587"/>
    <w:rsid w:val="000B07E4"/>
    <w:rsid w:val="000B07ED"/>
    <w:rsid w:val="000B133A"/>
    <w:rsid w:val="000B18A1"/>
    <w:rsid w:val="000B18D9"/>
    <w:rsid w:val="000B1B0D"/>
    <w:rsid w:val="000B1E9E"/>
    <w:rsid w:val="000B249E"/>
    <w:rsid w:val="000B2816"/>
    <w:rsid w:val="000B2F9A"/>
    <w:rsid w:val="000B309A"/>
    <w:rsid w:val="000B3DF2"/>
    <w:rsid w:val="000B403E"/>
    <w:rsid w:val="000B500D"/>
    <w:rsid w:val="000B54F8"/>
    <w:rsid w:val="000B564F"/>
    <w:rsid w:val="000B5814"/>
    <w:rsid w:val="000B5BBF"/>
    <w:rsid w:val="000B5D1E"/>
    <w:rsid w:val="000B5D56"/>
    <w:rsid w:val="000B641C"/>
    <w:rsid w:val="000B6462"/>
    <w:rsid w:val="000B64ED"/>
    <w:rsid w:val="000B6B02"/>
    <w:rsid w:val="000B6E94"/>
    <w:rsid w:val="000B73FA"/>
    <w:rsid w:val="000B7D42"/>
    <w:rsid w:val="000C0603"/>
    <w:rsid w:val="000C0779"/>
    <w:rsid w:val="000C0D5F"/>
    <w:rsid w:val="000C0EBE"/>
    <w:rsid w:val="000C117F"/>
    <w:rsid w:val="000C11C9"/>
    <w:rsid w:val="000C1283"/>
    <w:rsid w:val="000C128A"/>
    <w:rsid w:val="000C1611"/>
    <w:rsid w:val="000C181A"/>
    <w:rsid w:val="000C1EA8"/>
    <w:rsid w:val="000C2661"/>
    <w:rsid w:val="000C2C4A"/>
    <w:rsid w:val="000C2DE5"/>
    <w:rsid w:val="000C2E41"/>
    <w:rsid w:val="000C3439"/>
    <w:rsid w:val="000C363D"/>
    <w:rsid w:val="000C3B35"/>
    <w:rsid w:val="000C3BE0"/>
    <w:rsid w:val="000C4073"/>
    <w:rsid w:val="000C4130"/>
    <w:rsid w:val="000C4431"/>
    <w:rsid w:val="000C45BE"/>
    <w:rsid w:val="000C4851"/>
    <w:rsid w:val="000C4B73"/>
    <w:rsid w:val="000C4C50"/>
    <w:rsid w:val="000C5416"/>
    <w:rsid w:val="000C5824"/>
    <w:rsid w:val="000C5902"/>
    <w:rsid w:val="000C59F0"/>
    <w:rsid w:val="000C5A5F"/>
    <w:rsid w:val="000C6190"/>
    <w:rsid w:val="000C63E0"/>
    <w:rsid w:val="000C6838"/>
    <w:rsid w:val="000C6AE1"/>
    <w:rsid w:val="000C6AEA"/>
    <w:rsid w:val="000C6B7C"/>
    <w:rsid w:val="000C6D03"/>
    <w:rsid w:val="000C6E4A"/>
    <w:rsid w:val="000C7365"/>
    <w:rsid w:val="000C7C33"/>
    <w:rsid w:val="000C7D51"/>
    <w:rsid w:val="000C7E6F"/>
    <w:rsid w:val="000D0666"/>
    <w:rsid w:val="000D0AE3"/>
    <w:rsid w:val="000D0BE0"/>
    <w:rsid w:val="000D0C80"/>
    <w:rsid w:val="000D11FA"/>
    <w:rsid w:val="000D1AD6"/>
    <w:rsid w:val="000D1CB5"/>
    <w:rsid w:val="000D1D81"/>
    <w:rsid w:val="000D1F8B"/>
    <w:rsid w:val="000D1F9C"/>
    <w:rsid w:val="000D2010"/>
    <w:rsid w:val="000D206C"/>
    <w:rsid w:val="000D2749"/>
    <w:rsid w:val="000D2F15"/>
    <w:rsid w:val="000D3414"/>
    <w:rsid w:val="000D35F0"/>
    <w:rsid w:val="000D38ED"/>
    <w:rsid w:val="000D3E76"/>
    <w:rsid w:val="000D41BB"/>
    <w:rsid w:val="000D4219"/>
    <w:rsid w:val="000D45F7"/>
    <w:rsid w:val="000D48FE"/>
    <w:rsid w:val="000D4BCB"/>
    <w:rsid w:val="000D4D0E"/>
    <w:rsid w:val="000D5111"/>
    <w:rsid w:val="000D578F"/>
    <w:rsid w:val="000D5820"/>
    <w:rsid w:val="000D59EB"/>
    <w:rsid w:val="000D5DDD"/>
    <w:rsid w:val="000D5FF1"/>
    <w:rsid w:val="000D62E2"/>
    <w:rsid w:val="000D62F8"/>
    <w:rsid w:val="000D6395"/>
    <w:rsid w:val="000D64AA"/>
    <w:rsid w:val="000D6AB9"/>
    <w:rsid w:val="000D6FE4"/>
    <w:rsid w:val="000D6FFE"/>
    <w:rsid w:val="000D7272"/>
    <w:rsid w:val="000D7BB0"/>
    <w:rsid w:val="000E02A8"/>
    <w:rsid w:val="000E04F4"/>
    <w:rsid w:val="000E0701"/>
    <w:rsid w:val="000E0AD1"/>
    <w:rsid w:val="000E0B64"/>
    <w:rsid w:val="000E1F81"/>
    <w:rsid w:val="000E20EB"/>
    <w:rsid w:val="000E20FD"/>
    <w:rsid w:val="000E2175"/>
    <w:rsid w:val="000E2595"/>
    <w:rsid w:val="000E27C2"/>
    <w:rsid w:val="000E2B2F"/>
    <w:rsid w:val="000E2CC7"/>
    <w:rsid w:val="000E2E2C"/>
    <w:rsid w:val="000E3119"/>
    <w:rsid w:val="000E3499"/>
    <w:rsid w:val="000E3678"/>
    <w:rsid w:val="000E3995"/>
    <w:rsid w:val="000E4AF6"/>
    <w:rsid w:val="000E4EC7"/>
    <w:rsid w:val="000E4F11"/>
    <w:rsid w:val="000E50B7"/>
    <w:rsid w:val="000E512F"/>
    <w:rsid w:val="000E516E"/>
    <w:rsid w:val="000E51C0"/>
    <w:rsid w:val="000E56A7"/>
    <w:rsid w:val="000E5A11"/>
    <w:rsid w:val="000E6417"/>
    <w:rsid w:val="000E6437"/>
    <w:rsid w:val="000E6459"/>
    <w:rsid w:val="000E648C"/>
    <w:rsid w:val="000E6BC5"/>
    <w:rsid w:val="000E6DFF"/>
    <w:rsid w:val="000E6E92"/>
    <w:rsid w:val="000E7122"/>
    <w:rsid w:val="000E7317"/>
    <w:rsid w:val="000E746B"/>
    <w:rsid w:val="000E7802"/>
    <w:rsid w:val="000E7A9D"/>
    <w:rsid w:val="000E7B1E"/>
    <w:rsid w:val="000E7E5F"/>
    <w:rsid w:val="000E7EFE"/>
    <w:rsid w:val="000F04B8"/>
    <w:rsid w:val="000F04BE"/>
    <w:rsid w:val="000F058B"/>
    <w:rsid w:val="000F0A3A"/>
    <w:rsid w:val="000F0B87"/>
    <w:rsid w:val="000F0C8E"/>
    <w:rsid w:val="000F0D79"/>
    <w:rsid w:val="000F0FF6"/>
    <w:rsid w:val="000F1253"/>
    <w:rsid w:val="000F1406"/>
    <w:rsid w:val="000F1BF4"/>
    <w:rsid w:val="000F2AE9"/>
    <w:rsid w:val="000F2C47"/>
    <w:rsid w:val="000F3044"/>
    <w:rsid w:val="000F31A6"/>
    <w:rsid w:val="000F34DA"/>
    <w:rsid w:val="000F37DA"/>
    <w:rsid w:val="000F3925"/>
    <w:rsid w:val="000F3BC7"/>
    <w:rsid w:val="000F40B7"/>
    <w:rsid w:val="000F438B"/>
    <w:rsid w:val="000F43CF"/>
    <w:rsid w:val="000F445C"/>
    <w:rsid w:val="000F44C5"/>
    <w:rsid w:val="000F4571"/>
    <w:rsid w:val="000F4796"/>
    <w:rsid w:val="000F4AFC"/>
    <w:rsid w:val="000F515A"/>
    <w:rsid w:val="000F58AD"/>
    <w:rsid w:val="000F5F02"/>
    <w:rsid w:val="000F60C8"/>
    <w:rsid w:val="000F62C3"/>
    <w:rsid w:val="000F6A6F"/>
    <w:rsid w:val="000F6CE9"/>
    <w:rsid w:val="000F6D80"/>
    <w:rsid w:val="000F71BF"/>
    <w:rsid w:val="000F7218"/>
    <w:rsid w:val="000F729B"/>
    <w:rsid w:val="000F76C7"/>
    <w:rsid w:val="000F7844"/>
    <w:rsid w:val="000F7BB8"/>
    <w:rsid w:val="000F7DE6"/>
    <w:rsid w:val="000F7E74"/>
    <w:rsid w:val="001003F3"/>
    <w:rsid w:val="00100485"/>
    <w:rsid w:val="0010074B"/>
    <w:rsid w:val="00100996"/>
    <w:rsid w:val="00100E83"/>
    <w:rsid w:val="00101BFD"/>
    <w:rsid w:val="00101F77"/>
    <w:rsid w:val="00102124"/>
    <w:rsid w:val="0010214A"/>
    <w:rsid w:val="001021A9"/>
    <w:rsid w:val="00102539"/>
    <w:rsid w:val="001025DE"/>
    <w:rsid w:val="00102CD0"/>
    <w:rsid w:val="0010392C"/>
    <w:rsid w:val="00103A71"/>
    <w:rsid w:val="00103AC3"/>
    <w:rsid w:val="00103E95"/>
    <w:rsid w:val="00104153"/>
    <w:rsid w:val="00104486"/>
    <w:rsid w:val="001044E1"/>
    <w:rsid w:val="00104AC2"/>
    <w:rsid w:val="00104B59"/>
    <w:rsid w:val="00104E5A"/>
    <w:rsid w:val="0010506E"/>
    <w:rsid w:val="001054CD"/>
    <w:rsid w:val="00105AB8"/>
    <w:rsid w:val="00105E5B"/>
    <w:rsid w:val="00106654"/>
    <w:rsid w:val="001066AA"/>
    <w:rsid w:val="00106735"/>
    <w:rsid w:val="001069A0"/>
    <w:rsid w:val="00107323"/>
    <w:rsid w:val="001074DB"/>
    <w:rsid w:val="001075BD"/>
    <w:rsid w:val="0011000F"/>
    <w:rsid w:val="00110036"/>
    <w:rsid w:val="0011009B"/>
    <w:rsid w:val="001104FC"/>
    <w:rsid w:val="00110603"/>
    <w:rsid w:val="001110DF"/>
    <w:rsid w:val="001116EA"/>
    <w:rsid w:val="001118CD"/>
    <w:rsid w:val="001119B6"/>
    <w:rsid w:val="00111B18"/>
    <w:rsid w:val="001121ED"/>
    <w:rsid w:val="00112818"/>
    <w:rsid w:val="00112A56"/>
    <w:rsid w:val="00112C73"/>
    <w:rsid w:val="00112D94"/>
    <w:rsid w:val="00112EBB"/>
    <w:rsid w:val="00112EDF"/>
    <w:rsid w:val="00113710"/>
    <w:rsid w:val="00113796"/>
    <w:rsid w:val="0011386F"/>
    <w:rsid w:val="00113BC0"/>
    <w:rsid w:val="00113C17"/>
    <w:rsid w:val="00113CF1"/>
    <w:rsid w:val="00113ECC"/>
    <w:rsid w:val="0011418A"/>
    <w:rsid w:val="00114362"/>
    <w:rsid w:val="001144ED"/>
    <w:rsid w:val="00114702"/>
    <w:rsid w:val="001149F4"/>
    <w:rsid w:val="00114B85"/>
    <w:rsid w:val="00114DB2"/>
    <w:rsid w:val="00114E58"/>
    <w:rsid w:val="00114FBC"/>
    <w:rsid w:val="0011522F"/>
    <w:rsid w:val="00116009"/>
    <w:rsid w:val="00116140"/>
    <w:rsid w:val="0011672C"/>
    <w:rsid w:val="00116857"/>
    <w:rsid w:val="00116A46"/>
    <w:rsid w:val="00116C52"/>
    <w:rsid w:val="00116D99"/>
    <w:rsid w:val="00116E0A"/>
    <w:rsid w:val="00117300"/>
    <w:rsid w:val="00117F9B"/>
    <w:rsid w:val="00120395"/>
    <w:rsid w:val="001206FF"/>
    <w:rsid w:val="00120736"/>
    <w:rsid w:val="001209A7"/>
    <w:rsid w:val="001209F2"/>
    <w:rsid w:val="00120B85"/>
    <w:rsid w:val="00121160"/>
    <w:rsid w:val="001213B7"/>
    <w:rsid w:val="0012154B"/>
    <w:rsid w:val="00121690"/>
    <w:rsid w:val="00121C96"/>
    <w:rsid w:val="00122446"/>
    <w:rsid w:val="00122527"/>
    <w:rsid w:val="00122B45"/>
    <w:rsid w:val="001231A2"/>
    <w:rsid w:val="001232A7"/>
    <w:rsid w:val="001235EE"/>
    <w:rsid w:val="00123703"/>
    <w:rsid w:val="00123748"/>
    <w:rsid w:val="001237B5"/>
    <w:rsid w:val="00123C4D"/>
    <w:rsid w:val="0012404A"/>
    <w:rsid w:val="0012448B"/>
    <w:rsid w:val="00124C8B"/>
    <w:rsid w:val="00124F37"/>
    <w:rsid w:val="00125B73"/>
    <w:rsid w:val="00126613"/>
    <w:rsid w:val="00126F75"/>
    <w:rsid w:val="001270D9"/>
    <w:rsid w:val="00127875"/>
    <w:rsid w:val="00127999"/>
    <w:rsid w:val="00127B02"/>
    <w:rsid w:val="00127D20"/>
    <w:rsid w:val="00130121"/>
    <w:rsid w:val="00130227"/>
    <w:rsid w:val="001303BD"/>
    <w:rsid w:val="001304D2"/>
    <w:rsid w:val="001309DA"/>
    <w:rsid w:val="00130C2C"/>
    <w:rsid w:val="00130D16"/>
    <w:rsid w:val="00130DB0"/>
    <w:rsid w:val="00130FEA"/>
    <w:rsid w:val="0013127D"/>
    <w:rsid w:val="00131313"/>
    <w:rsid w:val="001313E9"/>
    <w:rsid w:val="00131744"/>
    <w:rsid w:val="00131804"/>
    <w:rsid w:val="00131976"/>
    <w:rsid w:val="00131B72"/>
    <w:rsid w:val="00132128"/>
    <w:rsid w:val="00132331"/>
    <w:rsid w:val="001331A1"/>
    <w:rsid w:val="0013326D"/>
    <w:rsid w:val="001332D4"/>
    <w:rsid w:val="001332E8"/>
    <w:rsid w:val="00133701"/>
    <w:rsid w:val="00133C9B"/>
    <w:rsid w:val="00133DA7"/>
    <w:rsid w:val="00133EDE"/>
    <w:rsid w:val="0013415C"/>
    <w:rsid w:val="0013433C"/>
    <w:rsid w:val="001345CC"/>
    <w:rsid w:val="00134B7C"/>
    <w:rsid w:val="00134E8C"/>
    <w:rsid w:val="00134F47"/>
    <w:rsid w:val="00134FFF"/>
    <w:rsid w:val="0013516A"/>
    <w:rsid w:val="00135F3F"/>
    <w:rsid w:val="00136069"/>
    <w:rsid w:val="0013613C"/>
    <w:rsid w:val="001361A2"/>
    <w:rsid w:val="001362D2"/>
    <w:rsid w:val="001366EE"/>
    <w:rsid w:val="0013684F"/>
    <w:rsid w:val="00137161"/>
    <w:rsid w:val="0013721F"/>
    <w:rsid w:val="001372C4"/>
    <w:rsid w:val="00137771"/>
    <w:rsid w:val="00137863"/>
    <w:rsid w:val="001378AD"/>
    <w:rsid w:val="00137968"/>
    <w:rsid w:val="00137B9D"/>
    <w:rsid w:val="001400B4"/>
    <w:rsid w:val="00140163"/>
    <w:rsid w:val="0014084B"/>
    <w:rsid w:val="00140BFD"/>
    <w:rsid w:val="00140C10"/>
    <w:rsid w:val="00140E18"/>
    <w:rsid w:val="00141B8A"/>
    <w:rsid w:val="00141CA8"/>
    <w:rsid w:val="00141FC3"/>
    <w:rsid w:val="0014227B"/>
    <w:rsid w:val="001425D7"/>
    <w:rsid w:val="001425E6"/>
    <w:rsid w:val="00142749"/>
    <w:rsid w:val="00142B7E"/>
    <w:rsid w:val="00142C5B"/>
    <w:rsid w:val="0014308D"/>
    <w:rsid w:val="0014333C"/>
    <w:rsid w:val="0014343E"/>
    <w:rsid w:val="00143480"/>
    <w:rsid w:val="001434B1"/>
    <w:rsid w:val="00143671"/>
    <w:rsid w:val="00143946"/>
    <w:rsid w:val="00143A37"/>
    <w:rsid w:val="00143C2A"/>
    <w:rsid w:val="00143D6B"/>
    <w:rsid w:val="00143F0B"/>
    <w:rsid w:val="0014423B"/>
    <w:rsid w:val="0014424C"/>
    <w:rsid w:val="001446E5"/>
    <w:rsid w:val="00144922"/>
    <w:rsid w:val="00144E6D"/>
    <w:rsid w:val="00144EDD"/>
    <w:rsid w:val="00145210"/>
    <w:rsid w:val="00145291"/>
    <w:rsid w:val="00145857"/>
    <w:rsid w:val="0014589D"/>
    <w:rsid w:val="0014590E"/>
    <w:rsid w:val="00145CB2"/>
    <w:rsid w:val="00146327"/>
    <w:rsid w:val="0014699B"/>
    <w:rsid w:val="00146A5E"/>
    <w:rsid w:val="00146AE1"/>
    <w:rsid w:val="00146B65"/>
    <w:rsid w:val="00146D01"/>
    <w:rsid w:val="001474BC"/>
    <w:rsid w:val="00147CAB"/>
    <w:rsid w:val="00147D8D"/>
    <w:rsid w:val="00147D92"/>
    <w:rsid w:val="0015048A"/>
    <w:rsid w:val="0015071E"/>
    <w:rsid w:val="00150720"/>
    <w:rsid w:val="00150B42"/>
    <w:rsid w:val="001511B3"/>
    <w:rsid w:val="00151486"/>
    <w:rsid w:val="001514D5"/>
    <w:rsid w:val="00151675"/>
    <w:rsid w:val="0015180D"/>
    <w:rsid w:val="00151B7B"/>
    <w:rsid w:val="00151D4E"/>
    <w:rsid w:val="00151D88"/>
    <w:rsid w:val="00152048"/>
    <w:rsid w:val="00152064"/>
    <w:rsid w:val="00152211"/>
    <w:rsid w:val="0015229F"/>
    <w:rsid w:val="00152453"/>
    <w:rsid w:val="0015245F"/>
    <w:rsid w:val="001529FE"/>
    <w:rsid w:val="00152A98"/>
    <w:rsid w:val="00152AD2"/>
    <w:rsid w:val="00152C42"/>
    <w:rsid w:val="00152D47"/>
    <w:rsid w:val="00152F62"/>
    <w:rsid w:val="00153238"/>
    <w:rsid w:val="001536D1"/>
    <w:rsid w:val="001539A2"/>
    <w:rsid w:val="00153C96"/>
    <w:rsid w:val="0015444A"/>
    <w:rsid w:val="001545BA"/>
    <w:rsid w:val="001545F3"/>
    <w:rsid w:val="00154694"/>
    <w:rsid w:val="00155252"/>
    <w:rsid w:val="001552DE"/>
    <w:rsid w:val="00155635"/>
    <w:rsid w:val="00155973"/>
    <w:rsid w:val="001559BA"/>
    <w:rsid w:val="00155D71"/>
    <w:rsid w:val="00155E57"/>
    <w:rsid w:val="00155F43"/>
    <w:rsid w:val="001566B2"/>
    <w:rsid w:val="001566CF"/>
    <w:rsid w:val="00156AAE"/>
    <w:rsid w:val="00156ED0"/>
    <w:rsid w:val="00156FC2"/>
    <w:rsid w:val="0015780C"/>
    <w:rsid w:val="00157E78"/>
    <w:rsid w:val="00160154"/>
    <w:rsid w:val="00160600"/>
    <w:rsid w:val="001607A1"/>
    <w:rsid w:val="00160B46"/>
    <w:rsid w:val="00160C92"/>
    <w:rsid w:val="00160D79"/>
    <w:rsid w:val="00160FF9"/>
    <w:rsid w:val="001613CF"/>
    <w:rsid w:val="001616CA"/>
    <w:rsid w:val="0016181F"/>
    <w:rsid w:val="00161E0B"/>
    <w:rsid w:val="00162098"/>
    <w:rsid w:val="001624BA"/>
    <w:rsid w:val="00162D77"/>
    <w:rsid w:val="0016330C"/>
    <w:rsid w:val="00163331"/>
    <w:rsid w:val="001635BE"/>
    <w:rsid w:val="0016380B"/>
    <w:rsid w:val="00163958"/>
    <w:rsid w:val="00163A6A"/>
    <w:rsid w:val="00163A9B"/>
    <w:rsid w:val="001640B0"/>
    <w:rsid w:val="0016453C"/>
    <w:rsid w:val="001649F8"/>
    <w:rsid w:val="00164A1A"/>
    <w:rsid w:val="00164DEF"/>
    <w:rsid w:val="00164E4C"/>
    <w:rsid w:val="0016509D"/>
    <w:rsid w:val="001651EF"/>
    <w:rsid w:val="001651F1"/>
    <w:rsid w:val="001653BD"/>
    <w:rsid w:val="00165C6F"/>
    <w:rsid w:val="0016612F"/>
    <w:rsid w:val="001662A1"/>
    <w:rsid w:val="0016676B"/>
    <w:rsid w:val="00166B46"/>
    <w:rsid w:val="00167077"/>
    <w:rsid w:val="001672B3"/>
    <w:rsid w:val="00167535"/>
    <w:rsid w:val="00167766"/>
    <w:rsid w:val="00167B2F"/>
    <w:rsid w:val="00170057"/>
    <w:rsid w:val="00170087"/>
    <w:rsid w:val="001700E2"/>
    <w:rsid w:val="001706C7"/>
    <w:rsid w:val="0017096F"/>
    <w:rsid w:val="00170C73"/>
    <w:rsid w:val="00170D3F"/>
    <w:rsid w:val="00170EB9"/>
    <w:rsid w:val="0017111B"/>
    <w:rsid w:val="0017138B"/>
    <w:rsid w:val="001715DD"/>
    <w:rsid w:val="00171A41"/>
    <w:rsid w:val="00171C04"/>
    <w:rsid w:val="00171D6C"/>
    <w:rsid w:val="00172125"/>
    <w:rsid w:val="001724CC"/>
    <w:rsid w:val="00172751"/>
    <w:rsid w:val="001728A5"/>
    <w:rsid w:val="001729C2"/>
    <w:rsid w:val="00172A6C"/>
    <w:rsid w:val="00172CF6"/>
    <w:rsid w:val="001730C1"/>
    <w:rsid w:val="00173398"/>
    <w:rsid w:val="001735F8"/>
    <w:rsid w:val="00173CA5"/>
    <w:rsid w:val="00173E6D"/>
    <w:rsid w:val="00174802"/>
    <w:rsid w:val="001749DC"/>
    <w:rsid w:val="00174DC1"/>
    <w:rsid w:val="00174FC7"/>
    <w:rsid w:val="0017513E"/>
    <w:rsid w:val="0017565E"/>
    <w:rsid w:val="00175BE2"/>
    <w:rsid w:val="00175CD3"/>
    <w:rsid w:val="00176065"/>
    <w:rsid w:val="00176127"/>
    <w:rsid w:val="001761C8"/>
    <w:rsid w:val="001762D0"/>
    <w:rsid w:val="00176317"/>
    <w:rsid w:val="00176610"/>
    <w:rsid w:val="0017690A"/>
    <w:rsid w:val="00176CA7"/>
    <w:rsid w:val="00176D63"/>
    <w:rsid w:val="00176F83"/>
    <w:rsid w:val="001770B6"/>
    <w:rsid w:val="0017751B"/>
    <w:rsid w:val="001777A4"/>
    <w:rsid w:val="00177A97"/>
    <w:rsid w:val="00177AD5"/>
    <w:rsid w:val="00180043"/>
    <w:rsid w:val="00180225"/>
    <w:rsid w:val="00180566"/>
    <w:rsid w:val="001806BB"/>
    <w:rsid w:val="001808EC"/>
    <w:rsid w:val="00180A54"/>
    <w:rsid w:val="00180AB0"/>
    <w:rsid w:val="00180D3E"/>
    <w:rsid w:val="001812D2"/>
    <w:rsid w:val="00181951"/>
    <w:rsid w:val="00181BFB"/>
    <w:rsid w:val="00182094"/>
    <w:rsid w:val="001820E7"/>
    <w:rsid w:val="00182235"/>
    <w:rsid w:val="0018224C"/>
    <w:rsid w:val="00182599"/>
    <w:rsid w:val="001827C3"/>
    <w:rsid w:val="001827CB"/>
    <w:rsid w:val="001827CC"/>
    <w:rsid w:val="00182861"/>
    <w:rsid w:val="00182FA8"/>
    <w:rsid w:val="001833B8"/>
    <w:rsid w:val="001834B1"/>
    <w:rsid w:val="001838F7"/>
    <w:rsid w:val="00183DB2"/>
    <w:rsid w:val="00183EA8"/>
    <w:rsid w:val="00184015"/>
    <w:rsid w:val="0018404F"/>
    <w:rsid w:val="001841FA"/>
    <w:rsid w:val="00185064"/>
    <w:rsid w:val="00185556"/>
    <w:rsid w:val="00185C31"/>
    <w:rsid w:val="00185EA0"/>
    <w:rsid w:val="00185EDA"/>
    <w:rsid w:val="00185FCA"/>
    <w:rsid w:val="00186177"/>
    <w:rsid w:val="001865F7"/>
    <w:rsid w:val="00186B2B"/>
    <w:rsid w:val="00186DC8"/>
    <w:rsid w:val="00186E8D"/>
    <w:rsid w:val="00187001"/>
    <w:rsid w:val="00187057"/>
    <w:rsid w:val="001871E8"/>
    <w:rsid w:val="00187414"/>
    <w:rsid w:val="001876A5"/>
    <w:rsid w:val="00187CB6"/>
    <w:rsid w:val="00187D26"/>
    <w:rsid w:val="00187D30"/>
    <w:rsid w:val="00187E76"/>
    <w:rsid w:val="0019025F"/>
    <w:rsid w:val="00190551"/>
    <w:rsid w:val="001905CC"/>
    <w:rsid w:val="001906F2"/>
    <w:rsid w:val="001907BA"/>
    <w:rsid w:val="001913A0"/>
    <w:rsid w:val="0019143E"/>
    <w:rsid w:val="001918E0"/>
    <w:rsid w:val="00191A86"/>
    <w:rsid w:val="00191CA0"/>
    <w:rsid w:val="00191FB7"/>
    <w:rsid w:val="001920F9"/>
    <w:rsid w:val="001924BA"/>
    <w:rsid w:val="00192BE7"/>
    <w:rsid w:val="00192CD4"/>
    <w:rsid w:val="00192CE6"/>
    <w:rsid w:val="00192E1E"/>
    <w:rsid w:val="00193A83"/>
    <w:rsid w:val="00193C87"/>
    <w:rsid w:val="00194541"/>
    <w:rsid w:val="00194563"/>
    <w:rsid w:val="001951AD"/>
    <w:rsid w:val="001954FE"/>
    <w:rsid w:val="0019559B"/>
    <w:rsid w:val="0019569E"/>
    <w:rsid w:val="00195814"/>
    <w:rsid w:val="00195B84"/>
    <w:rsid w:val="00196072"/>
    <w:rsid w:val="00196645"/>
    <w:rsid w:val="00196753"/>
    <w:rsid w:val="00196D61"/>
    <w:rsid w:val="00196E2F"/>
    <w:rsid w:val="00196E62"/>
    <w:rsid w:val="00196E82"/>
    <w:rsid w:val="00197076"/>
    <w:rsid w:val="001975EE"/>
    <w:rsid w:val="001979BB"/>
    <w:rsid w:val="001979CC"/>
    <w:rsid w:val="001A004D"/>
    <w:rsid w:val="001A058E"/>
    <w:rsid w:val="001A0970"/>
    <w:rsid w:val="001A0B9A"/>
    <w:rsid w:val="001A0D08"/>
    <w:rsid w:val="001A0D91"/>
    <w:rsid w:val="001A0E20"/>
    <w:rsid w:val="001A0EAF"/>
    <w:rsid w:val="001A1015"/>
    <w:rsid w:val="001A117E"/>
    <w:rsid w:val="001A12FF"/>
    <w:rsid w:val="001A137E"/>
    <w:rsid w:val="001A14B5"/>
    <w:rsid w:val="001A188F"/>
    <w:rsid w:val="001A1AB2"/>
    <w:rsid w:val="001A20F5"/>
    <w:rsid w:val="001A3616"/>
    <w:rsid w:val="001A408C"/>
    <w:rsid w:val="001A40E5"/>
    <w:rsid w:val="001A436D"/>
    <w:rsid w:val="001A45D4"/>
    <w:rsid w:val="001A4CEE"/>
    <w:rsid w:val="001A4D13"/>
    <w:rsid w:val="001A4D6C"/>
    <w:rsid w:val="001A4E4D"/>
    <w:rsid w:val="001A5025"/>
    <w:rsid w:val="001A58BF"/>
    <w:rsid w:val="001A5CEC"/>
    <w:rsid w:val="001A5D88"/>
    <w:rsid w:val="001A5DED"/>
    <w:rsid w:val="001A5EAB"/>
    <w:rsid w:val="001A5F50"/>
    <w:rsid w:val="001A60A3"/>
    <w:rsid w:val="001A657B"/>
    <w:rsid w:val="001A689B"/>
    <w:rsid w:val="001A6FBA"/>
    <w:rsid w:val="001A6FC3"/>
    <w:rsid w:val="001A7218"/>
    <w:rsid w:val="001A73F3"/>
    <w:rsid w:val="001A7CDB"/>
    <w:rsid w:val="001B04B2"/>
    <w:rsid w:val="001B0AD4"/>
    <w:rsid w:val="001B0C23"/>
    <w:rsid w:val="001B0DA9"/>
    <w:rsid w:val="001B12D7"/>
    <w:rsid w:val="001B136E"/>
    <w:rsid w:val="001B1B04"/>
    <w:rsid w:val="001B1DBB"/>
    <w:rsid w:val="001B1E54"/>
    <w:rsid w:val="001B21FE"/>
    <w:rsid w:val="001B23B1"/>
    <w:rsid w:val="001B2753"/>
    <w:rsid w:val="001B2A4C"/>
    <w:rsid w:val="001B2C33"/>
    <w:rsid w:val="001B2E98"/>
    <w:rsid w:val="001B2F73"/>
    <w:rsid w:val="001B3342"/>
    <w:rsid w:val="001B35AC"/>
    <w:rsid w:val="001B3930"/>
    <w:rsid w:val="001B3956"/>
    <w:rsid w:val="001B3E19"/>
    <w:rsid w:val="001B400A"/>
    <w:rsid w:val="001B42C5"/>
    <w:rsid w:val="001B4517"/>
    <w:rsid w:val="001B48C0"/>
    <w:rsid w:val="001B48D1"/>
    <w:rsid w:val="001B4E04"/>
    <w:rsid w:val="001B503C"/>
    <w:rsid w:val="001B53CF"/>
    <w:rsid w:val="001B55C5"/>
    <w:rsid w:val="001B5C99"/>
    <w:rsid w:val="001B5FC2"/>
    <w:rsid w:val="001B67DA"/>
    <w:rsid w:val="001B6988"/>
    <w:rsid w:val="001B7754"/>
    <w:rsid w:val="001B7AEF"/>
    <w:rsid w:val="001B7B60"/>
    <w:rsid w:val="001B7C0C"/>
    <w:rsid w:val="001B7D31"/>
    <w:rsid w:val="001B7FBC"/>
    <w:rsid w:val="001C0069"/>
    <w:rsid w:val="001C0151"/>
    <w:rsid w:val="001C0184"/>
    <w:rsid w:val="001C0342"/>
    <w:rsid w:val="001C03A0"/>
    <w:rsid w:val="001C0473"/>
    <w:rsid w:val="001C0694"/>
    <w:rsid w:val="001C089C"/>
    <w:rsid w:val="001C0A9E"/>
    <w:rsid w:val="001C0BEC"/>
    <w:rsid w:val="001C0C16"/>
    <w:rsid w:val="001C0E4F"/>
    <w:rsid w:val="001C1014"/>
    <w:rsid w:val="001C110E"/>
    <w:rsid w:val="001C1293"/>
    <w:rsid w:val="001C12CD"/>
    <w:rsid w:val="001C2147"/>
    <w:rsid w:val="001C26A4"/>
    <w:rsid w:val="001C2718"/>
    <w:rsid w:val="001C271F"/>
    <w:rsid w:val="001C27B9"/>
    <w:rsid w:val="001C315F"/>
    <w:rsid w:val="001C37D3"/>
    <w:rsid w:val="001C3E4E"/>
    <w:rsid w:val="001C3F85"/>
    <w:rsid w:val="001C4496"/>
    <w:rsid w:val="001C486C"/>
    <w:rsid w:val="001C51BB"/>
    <w:rsid w:val="001C5374"/>
    <w:rsid w:val="001C577D"/>
    <w:rsid w:val="001C5842"/>
    <w:rsid w:val="001C5DAC"/>
    <w:rsid w:val="001C63D2"/>
    <w:rsid w:val="001C6410"/>
    <w:rsid w:val="001C6B90"/>
    <w:rsid w:val="001C6C1D"/>
    <w:rsid w:val="001C6EB8"/>
    <w:rsid w:val="001D0119"/>
    <w:rsid w:val="001D0844"/>
    <w:rsid w:val="001D0DC6"/>
    <w:rsid w:val="001D14C0"/>
    <w:rsid w:val="001D15D1"/>
    <w:rsid w:val="001D1890"/>
    <w:rsid w:val="001D19CB"/>
    <w:rsid w:val="001D1E0E"/>
    <w:rsid w:val="001D1E24"/>
    <w:rsid w:val="001D2821"/>
    <w:rsid w:val="001D2B5C"/>
    <w:rsid w:val="001D2EC0"/>
    <w:rsid w:val="001D2ECF"/>
    <w:rsid w:val="001D30C3"/>
    <w:rsid w:val="001D3208"/>
    <w:rsid w:val="001D3937"/>
    <w:rsid w:val="001D4003"/>
    <w:rsid w:val="001D4072"/>
    <w:rsid w:val="001D41A9"/>
    <w:rsid w:val="001D5158"/>
    <w:rsid w:val="001D58F4"/>
    <w:rsid w:val="001D6136"/>
    <w:rsid w:val="001D651F"/>
    <w:rsid w:val="001D6715"/>
    <w:rsid w:val="001D6884"/>
    <w:rsid w:val="001D6F39"/>
    <w:rsid w:val="001D6FBB"/>
    <w:rsid w:val="001D6FE8"/>
    <w:rsid w:val="001D7078"/>
    <w:rsid w:val="001D7082"/>
    <w:rsid w:val="001D7307"/>
    <w:rsid w:val="001D734B"/>
    <w:rsid w:val="001D790F"/>
    <w:rsid w:val="001D7B42"/>
    <w:rsid w:val="001D7E78"/>
    <w:rsid w:val="001E007B"/>
    <w:rsid w:val="001E0168"/>
    <w:rsid w:val="001E092E"/>
    <w:rsid w:val="001E0F78"/>
    <w:rsid w:val="001E11C7"/>
    <w:rsid w:val="001E1563"/>
    <w:rsid w:val="001E1BB1"/>
    <w:rsid w:val="001E299C"/>
    <w:rsid w:val="001E2A3F"/>
    <w:rsid w:val="001E2B68"/>
    <w:rsid w:val="001E2FD6"/>
    <w:rsid w:val="001E2FFD"/>
    <w:rsid w:val="001E316C"/>
    <w:rsid w:val="001E330E"/>
    <w:rsid w:val="001E349F"/>
    <w:rsid w:val="001E354A"/>
    <w:rsid w:val="001E37C3"/>
    <w:rsid w:val="001E3C7E"/>
    <w:rsid w:val="001E4030"/>
    <w:rsid w:val="001E42F2"/>
    <w:rsid w:val="001E433F"/>
    <w:rsid w:val="001E4724"/>
    <w:rsid w:val="001E4B8E"/>
    <w:rsid w:val="001E4C2B"/>
    <w:rsid w:val="001E4C59"/>
    <w:rsid w:val="001E4DE5"/>
    <w:rsid w:val="001E54C5"/>
    <w:rsid w:val="001E5546"/>
    <w:rsid w:val="001E5A61"/>
    <w:rsid w:val="001E5B03"/>
    <w:rsid w:val="001E5C5E"/>
    <w:rsid w:val="001E5C61"/>
    <w:rsid w:val="001E6355"/>
    <w:rsid w:val="001E674F"/>
    <w:rsid w:val="001E6859"/>
    <w:rsid w:val="001E6AC2"/>
    <w:rsid w:val="001E6D8E"/>
    <w:rsid w:val="001E6FC9"/>
    <w:rsid w:val="001E7335"/>
    <w:rsid w:val="001E7523"/>
    <w:rsid w:val="001E780F"/>
    <w:rsid w:val="001E78CF"/>
    <w:rsid w:val="001F0279"/>
    <w:rsid w:val="001F05BF"/>
    <w:rsid w:val="001F0CCC"/>
    <w:rsid w:val="001F1309"/>
    <w:rsid w:val="001F1450"/>
    <w:rsid w:val="001F1794"/>
    <w:rsid w:val="001F1B2A"/>
    <w:rsid w:val="001F1B77"/>
    <w:rsid w:val="001F1E61"/>
    <w:rsid w:val="001F24D3"/>
    <w:rsid w:val="001F27F3"/>
    <w:rsid w:val="001F31AC"/>
    <w:rsid w:val="001F33E6"/>
    <w:rsid w:val="001F3F34"/>
    <w:rsid w:val="001F44D2"/>
    <w:rsid w:val="001F44FA"/>
    <w:rsid w:val="001F45CF"/>
    <w:rsid w:val="001F4980"/>
    <w:rsid w:val="001F5386"/>
    <w:rsid w:val="001F54AE"/>
    <w:rsid w:val="001F590C"/>
    <w:rsid w:val="001F6383"/>
    <w:rsid w:val="001F644E"/>
    <w:rsid w:val="001F6647"/>
    <w:rsid w:val="001F6EC3"/>
    <w:rsid w:val="001F7588"/>
    <w:rsid w:val="001F7780"/>
    <w:rsid w:val="001F77D7"/>
    <w:rsid w:val="001F78FD"/>
    <w:rsid w:val="001F7CE6"/>
    <w:rsid w:val="001F7E3D"/>
    <w:rsid w:val="001F7F5E"/>
    <w:rsid w:val="00200158"/>
    <w:rsid w:val="00200599"/>
    <w:rsid w:val="002010EE"/>
    <w:rsid w:val="0020133E"/>
    <w:rsid w:val="00201348"/>
    <w:rsid w:val="00201633"/>
    <w:rsid w:val="002019F8"/>
    <w:rsid w:val="00201DBE"/>
    <w:rsid w:val="00201E51"/>
    <w:rsid w:val="00202026"/>
    <w:rsid w:val="0020208C"/>
    <w:rsid w:val="00202300"/>
    <w:rsid w:val="00202568"/>
    <w:rsid w:val="002025BD"/>
    <w:rsid w:val="002028A4"/>
    <w:rsid w:val="00203AB2"/>
    <w:rsid w:val="002047BD"/>
    <w:rsid w:val="00204AA5"/>
    <w:rsid w:val="00204CC5"/>
    <w:rsid w:val="00204DA7"/>
    <w:rsid w:val="00205648"/>
    <w:rsid w:val="0020583F"/>
    <w:rsid w:val="00205E99"/>
    <w:rsid w:val="00206421"/>
    <w:rsid w:val="0020650B"/>
    <w:rsid w:val="00206D26"/>
    <w:rsid w:val="00206D9B"/>
    <w:rsid w:val="002070B3"/>
    <w:rsid w:val="00207367"/>
    <w:rsid w:val="00207397"/>
    <w:rsid w:val="002076CB"/>
    <w:rsid w:val="002076DF"/>
    <w:rsid w:val="002077E0"/>
    <w:rsid w:val="00207E6F"/>
    <w:rsid w:val="002101B7"/>
    <w:rsid w:val="0021038C"/>
    <w:rsid w:val="00210847"/>
    <w:rsid w:val="00210C32"/>
    <w:rsid w:val="00210C46"/>
    <w:rsid w:val="00210D0B"/>
    <w:rsid w:val="0021164C"/>
    <w:rsid w:val="00211B84"/>
    <w:rsid w:val="00211F48"/>
    <w:rsid w:val="00211F52"/>
    <w:rsid w:val="00212360"/>
    <w:rsid w:val="00213C15"/>
    <w:rsid w:val="00213DD2"/>
    <w:rsid w:val="00213F08"/>
    <w:rsid w:val="00214347"/>
    <w:rsid w:val="002144EC"/>
    <w:rsid w:val="002148F5"/>
    <w:rsid w:val="002149C7"/>
    <w:rsid w:val="00214C1E"/>
    <w:rsid w:val="00214CAB"/>
    <w:rsid w:val="00214E1C"/>
    <w:rsid w:val="00215048"/>
    <w:rsid w:val="002151F5"/>
    <w:rsid w:val="00215203"/>
    <w:rsid w:val="00215488"/>
    <w:rsid w:val="0021566F"/>
    <w:rsid w:val="00215DD9"/>
    <w:rsid w:val="00215DF9"/>
    <w:rsid w:val="002160D9"/>
    <w:rsid w:val="00216166"/>
    <w:rsid w:val="0021651D"/>
    <w:rsid w:val="00217128"/>
    <w:rsid w:val="00217156"/>
    <w:rsid w:val="002177CF"/>
    <w:rsid w:val="002178EF"/>
    <w:rsid w:val="00217BA7"/>
    <w:rsid w:val="00217C78"/>
    <w:rsid w:val="00220465"/>
    <w:rsid w:val="002205F4"/>
    <w:rsid w:val="00220785"/>
    <w:rsid w:val="0022094A"/>
    <w:rsid w:val="00220EA4"/>
    <w:rsid w:val="00220F8B"/>
    <w:rsid w:val="002210D1"/>
    <w:rsid w:val="002210FF"/>
    <w:rsid w:val="00221671"/>
    <w:rsid w:val="00221864"/>
    <w:rsid w:val="0022246C"/>
    <w:rsid w:val="00222824"/>
    <w:rsid w:val="0022283D"/>
    <w:rsid w:val="00223488"/>
    <w:rsid w:val="002238ED"/>
    <w:rsid w:val="00223CD3"/>
    <w:rsid w:val="00223CEA"/>
    <w:rsid w:val="00223E83"/>
    <w:rsid w:val="00224225"/>
    <w:rsid w:val="002242CA"/>
    <w:rsid w:val="002244F5"/>
    <w:rsid w:val="002248C7"/>
    <w:rsid w:val="00224A14"/>
    <w:rsid w:val="00224FBC"/>
    <w:rsid w:val="00224FEF"/>
    <w:rsid w:val="002254C7"/>
    <w:rsid w:val="002256B7"/>
    <w:rsid w:val="002259F0"/>
    <w:rsid w:val="00225C68"/>
    <w:rsid w:val="00225CAC"/>
    <w:rsid w:val="00225EFD"/>
    <w:rsid w:val="002260CF"/>
    <w:rsid w:val="00226278"/>
    <w:rsid w:val="0022636E"/>
    <w:rsid w:val="002265EC"/>
    <w:rsid w:val="00226772"/>
    <w:rsid w:val="00226F20"/>
    <w:rsid w:val="00226FA3"/>
    <w:rsid w:val="002273C9"/>
    <w:rsid w:val="00227CB4"/>
    <w:rsid w:val="0023051B"/>
    <w:rsid w:val="00230A37"/>
    <w:rsid w:val="00230D38"/>
    <w:rsid w:val="00230D39"/>
    <w:rsid w:val="002313B7"/>
    <w:rsid w:val="002313DF"/>
    <w:rsid w:val="002314F0"/>
    <w:rsid w:val="00231943"/>
    <w:rsid w:val="00231B4C"/>
    <w:rsid w:val="0023212A"/>
    <w:rsid w:val="00232135"/>
    <w:rsid w:val="002321A3"/>
    <w:rsid w:val="002321F3"/>
    <w:rsid w:val="002321FC"/>
    <w:rsid w:val="002323FF"/>
    <w:rsid w:val="0023275C"/>
    <w:rsid w:val="00232964"/>
    <w:rsid w:val="002329A8"/>
    <w:rsid w:val="00232B7B"/>
    <w:rsid w:val="00233559"/>
    <w:rsid w:val="00233586"/>
    <w:rsid w:val="00233A62"/>
    <w:rsid w:val="0023405E"/>
    <w:rsid w:val="002342CE"/>
    <w:rsid w:val="002342F3"/>
    <w:rsid w:val="00234D02"/>
    <w:rsid w:val="00234DDC"/>
    <w:rsid w:val="002351EB"/>
    <w:rsid w:val="00235CEF"/>
    <w:rsid w:val="002368F1"/>
    <w:rsid w:val="002369B4"/>
    <w:rsid w:val="002369D1"/>
    <w:rsid w:val="002375C8"/>
    <w:rsid w:val="00237858"/>
    <w:rsid w:val="00237B34"/>
    <w:rsid w:val="00237E2B"/>
    <w:rsid w:val="00237E45"/>
    <w:rsid w:val="0023DE65"/>
    <w:rsid w:val="002406F6"/>
    <w:rsid w:val="00240C40"/>
    <w:rsid w:val="0024128C"/>
    <w:rsid w:val="0024145F"/>
    <w:rsid w:val="002417F1"/>
    <w:rsid w:val="002419E5"/>
    <w:rsid w:val="00241C5C"/>
    <w:rsid w:val="00241F48"/>
    <w:rsid w:val="002425E7"/>
    <w:rsid w:val="00242619"/>
    <w:rsid w:val="0024277D"/>
    <w:rsid w:val="00243371"/>
    <w:rsid w:val="00243670"/>
    <w:rsid w:val="0024383A"/>
    <w:rsid w:val="002438E3"/>
    <w:rsid w:val="002439FB"/>
    <w:rsid w:val="00243A5C"/>
    <w:rsid w:val="00243BBC"/>
    <w:rsid w:val="00243DB6"/>
    <w:rsid w:val="00243E3D"/>
    <w:rsid w:val="00243FCE"/>
    <w:rsid w:val="0024408A"/>
    <w:rsid w:val="002440A7"/>
    <w:rsid w:val="0024413E"/>
    <w:rsid w:val="0024438E"/>
    <w:rsid w:val="00244825"/>
    <w:rsid w:val="00244A25"/>
    <w:rsid w:val="00244CAC"/>
    <w:rsid w:val="00244F3F"/>
    <w:rsid w:val="0024509A"/>
    <w:rsid w:val="00245144"/>
    <w:rsid w:val="00245350"/>
    <w:rsid w:val="00245444"/>
    <w:rsid w:val="00245911"/>
    <w:rsid w:val="00245EE6"/>
    <w:rsid w:val="0024605A"/>
    <w:rsid w:val="002460F1"/>
    <w:rsid w:val="00246195"/>
    <w:rsid w:val="00246206"/>
    <w:rsid w:val="0024630C"/>
    <w:rsid w:val="00246585"/>
    <w:rsid w:val="00246A70"/>
    <w:rsid w:val="00246CD1"/>
    <w:rsid w:val="00246E12"/>
    <w:rsid w:val="00246EB3"/>
    <w:rsid w:val="00247186"/>
    <w:rsid w:val="002477D8"/>
    <w:rsid w:val="00247B28"/>
    <w:rsid w:val="00247B87"/>
    <w:rsid w:val="00247BF7"/>
    <w:rsid w:val="00247CDB"/>
    <w:rsid w:val="00247D6E"/>
    <w:rsid w:val="0025019A"/>
    <w:rsid w:val="00250491"/>
    <w:rsid w:val="002505D7"/>
    <w:rsid w:val="0025138F"/>
    <w:rsid w:val="002513A9"/>
    <w:rsid w:val="002513CE"/>
    <w:rsid w:val="00251FF3"/>
    <w:rsid w:val="002525DB"/>
    <w:rsid w:val="002529FF"/>
    <w:rsid w:val="00252DFE"/>
    <w:rsid w:val="00252FE5"/>
    <w:rsid w:val="00253D23"/>
    <w:rsid w:val="00253D7D"/>
    <w:rsid w:val="00253DBA"/>
    <w:rsid w:val="0025438E"/>
    <w:rsid w:val="0025474A"/>
    <w:rsid w:val="00254753"/>
    <w:rsid w:val="00254DED"/>
    <w:rsid w:val="00254ECF"/>
    <w:rsid w:val="00254F7A"/>
    <w:rsid w:val="00255156"/>
    <w:rsid w:val="0025526B"/>
    <w:rsid w:val="002552F5"/>
    <w:rsid w:val="00255393"/>
    <w:rsid w:val="002555C8"/>
    <w:rsid w:val="00255D50"/>
    <w:rsid w:val="00255E01"/>
    <w:rsid w:val="002563A9"/>
    <w:rsid w:val="002563AC"/>
    <w:rsid w:val="002563AF"/>
    <w:rsid w:val="002565A6"/>
    <w:rsid w:val="0025665D"/>
    <w:rsid w:val="0025675C"/>
    <w:rsid w:val="00256EAA"/>
    <w:rsid w:val="0025709E"/>
    <w:rsid w:val="002574EE"/>
    <w:rsid w:val="00257A62"/>
    <w:rsid w:val="00257B70"/>
    <w:rsid w:val="00257CDA"/>
    <w:rsid w:val="00257D2F"/>
    <w:rsid w:val="0026002E"/>
    <w:rsid w:val="002601E0"/>
    <w:rsid w:val="00260219"/>
    <w:rsid w:val="00260502"/>
    <w:rsid w:val="0026065B"/>
    <w:rsid w:val="002606B6"/>
    <w:rsid w:val="0026089E"/>
    <w:rsid w:val="00260A2E"/>
    <w:rsid w:val="00260D7A"/>
    <w:rsid w:val="0026111A"/>
    <w:rsid w:val="002614E3"/>
    <w:rsid w:val="002615F7"/>
    <w:rsid w:val="00262687"/>
    <w:rsid w:val="00262E33"/>
    <w:rsid w:val="00262F9D"/>
    <w:rsid w:val="002631F1"/>
    <w:rsid w:val="0026329B"/>
    <w:rsid w:val="00263933"/>
    <w:rsid w:val="00263D6F"/>
    <w:rsid w:val="00263FFE"/>
    <w:rsid w:val="00264261"/>
    <w:rsid w:val="002645C6"/>
    <w:rsid w:val="0026466B"/>
    <w:rsid w:val="002648A7"/>
    <w:rsid w:val="00264C73"/>
    <w:rsid w:val="00264EAA"/>
    <w:rsid w:val="002652A7"/>
    <w:rsid w:val="0026544F"/>
    <w:rsid w:val="00265A54"/>
    <w:rsid w:val="00265AEC"/>
    <w:rsid w:val="0026633B"/>
    <w:rsid w:val="00266394"/>
    <w:rsid w:val="00266A8D"/>
    <w:rsid w:val="002670C0"/>
    <w:rsid w:val="0026732B"/>
    <w:rsid w:val="00267679"/>
    <w:rsid w:val="0026780B"/>
    <w:rsid w:val="00267AF9"/>
    <w:rsid w:val="00267ED6"/>
    <w:rsid w:val="002701A3"/>
    <w:rsid w:val="00270661"/>
    <w:rsid w:val="00270812"/>
    <w:rsid w:val="00270AEB"/>
    <w:rsid w:val="00270C47"/>
    <w:rsid w:val="00270E66"/>
    <w:rsid w:val="00270EFD"/>
    <w:rsid w:val="00271017"/>
    <w:rsid w:val="0027111F"/>
    <w:rsid w:val="00271AAD"/>
    <w:rsid w:val="00272B84"/>
    <w:rsid w:val="00272D3E"/>
    <w:rsid w:val="00272DD8"/>
    <w:rsid w:val="002730BE"/>
    <w:rsid w:val="00273284"/>
    <w:rsid w:val="002735D5"/>
    <w:rsid w:val="00273730"/>
    <w:rsid w:val="002738AF"/>
    <w:rsid w:val="002740C2"/>
    <w:rsid w:val="00274140"/>
    <w:rsid w:val="00274223"/>
    <w:rsid w:val="00274249"/>
    <w:rsid w:val="00274578"/>
    <w:rsid w:val="0027483F"/>
    <w:rsid w:val="002749D5"/>
    <w:rsid w:val="00274A79"/>
    <w:rsid w:val="00275065"/>
    <w:rsid w:val="002752C7"/>
    <w:rsid w:val="0027541D"/>
    <w:rsid w:val="00275491"/>
    <w:rsid w:val="00275572"/>
    <w:rsid w:val="002755C8"/>
    <w:rsid w:val="00275779"/>
    <w:rsid w:val="002758CA"/>
    <w:rsid w:val="00275C5A"/>
    <w:rsid w:val="002761BB"/>
    <w:rsid w:val="002767B5"/>
    <w:rsid w:val="00276E84"/>
    <w:rsid w:val="00276E86"/>
    <w:rsid w:val="00277171"/>
    <w:rsid w:val="0027724D"/>
    <w:rsid w:val="00277252"/>
    <w:rsid w:val="0027730E"/>
    <w:rsid w:val="002775AA"/>
    <w:rsid w:val="002779D7"/>
    <w:rsid w:val="00277B34"/>
    <w:rsid w:val="00277DD1"/>
    <w:rsid w:val="00277DD2"/>
    <w:rsid w:val="00277E3E"/>
    <w:rsid w:val="00280508"/>
    <w:rsid w:val="002806F1"/>
    <w:rsid w:val="00280D6D"/>
    <w:rsid w:val="00280E8D"/>
    <w:rsid w:val="00281202"/>
    <w:rsid w:val="002818D2"/>
    <w:rsid w:val="002819A5"/>
    <w:rsid w:val="00281A35"/>
    <w:rsid w:val="00281A4F"/>
    <w:rsid w:val="00281C61"/>
    <w:rsid w:val="002820EC"/>
    <w:rsid w:val="00282251"/>
    <w:rsid w:val="00283161"/>
    <w:rsid w:val="0028370A"/>
    <w:rsid w:val="00283B35"/>
    <w:rsid w:val="002840CE"/>
    <w:rsid w:val="0028459A"/>
    <w:rsid w:val="00284861"/>
    <w:rsid w:val="00284E47"/>
    <w:rsid w:val="00285814"/>
    <w:rsid w:val="00285B58"/>
    <w:rsid w:val="00285B5C"/>
    <w:rsid w:val="00285CD2"/>
    <w:rsid w:val="002863B8"/>
    <w:rsid w:val="00286831"/>
    <w:rsid w:val="0028695B"/>
    <w:rsid w:val="002869F5"/>
    <w:rsid w:val="00286DE5"/>
    <w:rsid w:val="00287347"/>
    <w:rsid w:val="00287487"/>
    <w:rsid w:val="00287948"/>
    <w:rsid w:val="00287EAA"/>
    <w:rsid w:val="00287F35"/>
    <w:rsid w:val="0029037F"/>
    <w:rsid w:val="002904F2"/>
    <w:rsid w:val="002908C0"/>
    <w:rsid w:val="002911E4"/>
    <w:rsid w:val="00291850"/>
    <w:rsid w:val="00291A9A"/>
    <w:rsid w:val="00292374"/>
    <w:rsid w:val="0029265D"/>
    <w:rsid w:val="00292833"/>
    <w:rsid w:val="00292892"/>
    <w:rsid w:val="00292949"/>
    <w:rsid w:val="00292A55"/>
    <w:rsid w:val="00292A89"/>
    <w:rsid w:val="00292FCE"/>
    <w:rsid w:val="00292FEF"/>
    <w:rsid w:val="0029378B"/>
    <w:rsid w:val="00294430"/>
    <w:rsid w:val="0029497B"/>
    <w:rsid w:val="00294B54"/>
    <w:rsid w:val="00294F92"/>
    <w:rsid w:val="00295096"/>
    <w:rsid w:val="00295789"/>
    <w:rsid w:val="00295E84"/>
    <w:rsid w:val="00296546"/>
    <w:rsid w:val="00296AA1"/>
    <w:rsid w:val="00297117"/>
    <w:rsid w:val="0029741E"/>
    <w:rsid w:val="00297938"/>
    <w:rsid w:val="00297D1B"/>
    <w:rsid w:val="00297D23"/>
    <w:rsid w:val="00297E2A"/>
    <w:rsid w:val="002A0174"/>
    <w:rsid w:val="002A033E"/>
    <w:rsid w:val="002A086C"/>
    <w:rsid w:val="002A088F"/>
    <w:rsid w:val="002A0B44"/>
    <w:rsid w:val="002A0B5C"/>
    <w:rsid w:val="002A0F10"/>
    <w:rsid w:val="002A0F9E"/>
    <w:rsid w:val="002A122B"/>
    <w:rsid w:val="002A1291"/>
    <w:rsid w:val="002A16C9"/>
    <w:rsid w:val="002A16CF"/>
    <w:rsid w:val="002A1829"/>
    <w:rsid w:val="002A18B1"/>
    <w:rsid w:val="002A1C79"/>
    <w:rsid w:val="002A1F89"/>
    <w:rsid w:val="002A2066"/>
    <w:rsid w:val="002A26AB"/>
    <w:rsid w:val="002A2759"/>
    <w:rsid w:val="002A2AF2"/>
    <w:rsid w:val="002A2CBC"/>
    <w:rsid w:val="002A312F"/>
    <w:rsid w:val="002A3419"/>
    <w:rsid w:val="002A3BD6"/>
    <w:rsid w:val="002A4101"/>
    <w:rsid w:val="002A42A2"/>
    <w:rsid w:val="002A49AD"/>
    <w:rsid w:val="002A49E2"/>
    <w:rsid w:val="002A4A62"/>
    <w:rsid w:val="002A50D8"/>
    <w:rsid w:val="002A52B7"/>
    <w:rsid w:val="002A5822"/>
    <w:rsid w:val="002A5861"/>
    <w:rsid w:val="002A5F5C"/>
    <w:rsid w:val="002A6397"/>
    <w:rsid w:val="002A697C"/>
    <w:rsid w:val="002A6D41"/>
    <w:rsid w:val="002A74DB"/>
    <w:rsid w:val="002A7A8D"/>
    <w:rsid w:val="002A7BAB"/>
    <w:rsid w:val="002A7DE7"/>
    <w:rsid w:val="002A7EDE"/>
    <w:rsid w:val="002B0078"/>
    <w:rsid w:val="002B07E5"/>
    <w:rsid w:val="002B0984"/>
    <w:rsid w:val="002B0A21"/>
    <w:rsid w:val="002B0AD8"/>
    <w:rsid w:val="002B1058"/>
    <w:rsid w:val="002B10C9"/>
    <w:rsid w:val="002B11FE"/>
    <w:rsid w:val="002B17A6"/>
    <w:rsid w:val="002B197B"/>
    <w:rsid w:val="002B19E8"/>
    <w:rsid w:val="002B1C0E"/>
    <w:rsid w:val="002B1DE7"/>
    <w:rsid w:val="002B2300"/>
    <w:rsid w:val="002B245B"/>
    <w:rsid w:val="002B24BD"/>
    <w:rsid w:val="002B2600"/>
    <w:rsid w:val="002B272E"/>
    <w:rsid w:val="002B27AA"/>
    <w:rsid w:val="002B2ABA"/>
    <w:rsid w:val="002B2E2C"/>
    <w:rsid w:val="002B31FC"/>
    <w:rsid w:val="002B32A1"/>
    <w:rsid w:val="002B32E3"/>
    <w:rsid w:val="002B339F"/>
    <w:rsid w:val="002B348D"/>
    <w:rsid w:val="002B3A58"/>
    <w:rsid w:val="002B45F9"/>
    <w:rsid w:val="002B4784"/>
    <w:rsid w:val="002B4D23"/>
    <w:rsid w:val="002B53BE"/>
    <w:rsid w:val="002B5558"/>
    <w:rsid w:val="002B572B"/>
    <w:rsid w:val="002B5969"/>
    <w:rsid w:val="002B60EC"/>
    <w:rsid w:val="002B6643"/>
    <w:rsid w:val="002B66C6"/>
    <w:rsid w:val="002B6A8B"/>
    <w:rsid w:val="002B6E79"/>
    <w:rsid w:val="002B6F63"/>
    <w:rsid w:val="002B722D"/>
    <w:rsid w:val="002B7756"/>
    <w:rsid w:val="002B77EC"/>
    <w:rsid w:val="002B7835"/>
    <w:rsid w:val="002B783C"/>
    <w:rsid w:val="002B79B2"/>
    <w:rsid w:val="002C0387"/>
    <w:rsid w:val="002C040F"/>
    <w:rsid w:val="002C0881"/>
    <w:rsid w:val="002C0EC6"/>
    <w:rsid w:val="002C0F54"/>
    <w:rsid w:val="002C10C4"/>
    <w:rsid w:val="002C11B4"/>
    <w:rsid w:val="002C12AD"/>
    <w:rsid w:val="002C13FE"/>
    <w:rsid w:val="002C140A"/>
    <w:rsid w:val="002C147B"/>
    <w:rsid w:val="002C155F"/>
    <w:rsid w:val="002C1A46"/>
    <w:rsid w:val="002C1CB7"/>
    <w:rsid w:val="002C1DE8"/>
    <w:rsid w:val="002C265A"/>
    <w:rsid w:val="002C284E"/>
    <w:rsid w:val="002C291C"/>
    <w:rsid w:val="002C2966"/>
    <w:rsid w:val="002C2980"/>
    <w:rsid w:val="002C325F"/>
    <w:rsid w:val="002C3478"/>
    <w:rsid w:val="002C3A88"/>
    <w:rsid w:val="002C46F4"/>
    <w:rsid w:val="002C4DB5"/>
    <w:rsid w:val="002C5025"/>
    <w:rsid w:val="002C5309"/>
    <w:rsid w:val="002C5662"/>
    <w:rsid w:val="002C57EC"/>
    <w:rsid w:val="002C597C"/>
    <w:rsid w:val="002C5C35"/>
    <w:rsid w:val="002C621C"/>
    <w:rsid w:val="002C6583"/>
    <w:rsid w:val="002C6BC8"/>
    <w:rsid w:val="002C6D48"/>
    <w:rsid w:val="002C6EE6"/>
    <w:rsid w:val="002C6F19"/>
    <w:rsid w:val="002C6F2A"/>
    <w:rsid w:val="002C7010"/>
    <w:rsid w:val="002C7182"/>
    <w:rsid w:val="002C739D"/>
    <w:rsid w:val="002C73EA"/>
    <w:rsid w:val="002C742D"/>
    <w:rsid w:val="002C7B59"/>
    <w:rsid w:val="002C7B7A"/>
    <w:rsid w:val="002C7C7D"/>
    <w:rsid w:val="002D00EF"/>
    <w:rsid w:val="002D0554"/>
    <w:rsid w:val="002D0670"/>
    <w:rsid w:val="002D0762"/>
    <w:rsid w:val="002D128E"/>
    <w:rsid w:val="002D18B6"/>
    <w:rsid w:val="002D1AA8"/>
    <w:rsid w:val="002D203D"/>
    <w:rsid w:val="002D207E"/>
    <w:rsid w:val="002D2173"/>
    <w:rsid w:val="002D2276"/>
    <w:rsid w:val="002D2570"/>
    <w:rsid w:val="002D266A"/>
    <w:rsid w:val="002D2860"/>
    <w:rsid w:val="002D293B"/>
    <w:rsid w:val="002D2A70"/>
    <w:rsid w:val="002D2C79"/>
    <w:rsid w:val="002D2ED6"/>
    <w:rsid w:val="002D3747"/>
    <w:rsid w:val="002D38BC"/>
    <w:rsid w:val="002D3FEE"/>
    <w:rsid w:val="002D44C2"/>
    <w:rsid w:val="002D4513"/>
    <w:rsid w:val="002D46FF"/>
    <w:rsid w:val="002D483D"/>
    <w:rsid w:val="002D4979"/>
    <w:rsid w:val="002D4D57"/>
    <w:rsid w:val="002D5B81"/>
    <w:rsid w:val="002D5D04"/>
    <w:rsid w:val="002D5D3B"/>
    <w:rsid w:val="002D6065"/>
    <w:rsid w:val="002D6600"/>
    <w:rsid w:val="002D6B8E"/>
    <w:rsid w:val="002D6E92"/>
    <w:rsid w:val="002D7347"/>
    <w:rsid w:val="002E0363"/>
    <w:rsid w:val="002E09F5"/>
    <w:rsid w:val="002E0B2F"/>
    <w:rsid w:val="002E0E9F"/>
    <w:rsid w:val="002E0FEE"/>
    <w:rsid w:val="002E11B0"/>
    <w:rsid w:val="002E134F"/>
    <w:rsid w:val="002E1493"/>
    <w:rsid w:val="002E1BB1"/>
    <w:rsid w:val="002E2249"/>
    <w:rsid w:val="002E29CE"/>
    <w:rsid w:val="002E2AA2"/>
    <w:rsid w:val="002E2AB7"/>
    <w:rsid w:val="002E2D4B"/>
    <w:rsid w:val="002E30D2"/>
    <w:rsid w:val="002E35BE"/>
    <w:rsid w:val="002E3BEE"/>
    <w:rsid w:val="002E3DF4"/>
    <w:rsid w:val="002E3F1A"/>
    <w:rsid w:val="002E41F1"/>
    <w:rsid w:val="002E430D"/>
    <w:rsid w:val="002E4457"/>
    <w:rsid w:val="002E44E7"/>
    <w:rsid w:val="002E467B"/>
    <w:rsid w:val="002E473D"/>
    <w:rsid w:val="002E48B0"/>
    <w:rsid w:val="002E4A93"/>
    <w:rsid w:val="002E4C1E"/>
    <w:rsid w:val="002E5051"/>
    <w:rsid w:val="002E53E7"/>
    <w:rsid w:val="002E5478"/>
    <w:rsid w:val="002E6054"/>
    <w:rsid w:val="002E61C6"/>
    <w:rsid w:val="002E6329"/>
    <w:rsid w:val="002E634C"/>
    <w:rsid w:val="002E63B8"/>
    <w:rsid w:val="002E659D"/>
    <w:rsid w:val="002E67E4"/>
    <w:rsid w:val="002E695F"/>
    <w:rsid w:val="002E6DCA"/>
    <w:rsid w:val="002E74C9"/>
    <w:rsid w:val="002E7610"/>
    <w:rsid w:val="002E7F3B"/>
    <w:rsid w:val="002E7FF9"/>
    <w:rsid w:val="002F0732"/>
    <w:rsid w:val="002F0B86"/>
    <w:rsid w:val="002F121E"/>
    <w:rsid w:val="002F134E"/>
    <w:rsid w:val="002F180B"/>
    <w:rsid w:val="002F18E4"/>
    <w:rsid w:val="002F19E7"/>
    <w:rsid w:val="002F210E"/>
    <w:rsid w:val="002F25CA"/>
    <w:rsid w:val="002F29D6"/>
    <w:rsid w:val="002F2A79"/>
    <w:rsid w:val="002F2F1D"/>
    <w:rsid w:val="002F3030"/>
    <w:rsid w:val="002F312F"/>
    <w:rsid w:val="002F33C4"/>
    <w:rsid w:val="002F37C5"/>
    <w:rsid w:val="002F3C25"/>
    <w:rsid w:val="002F3CD4"/>
    <w:rsid w:val="002F3E59"/>
    <w:rsid w:val="002F4050"/>
    <w:rsid w:val="002F4448"/>
    <w:rsid w:val="002F45CA"/>
    <w:rsid w:val="002F47E5"/>
    <w:rsid w:val="002F49BA"/>
    <w:rsid w:val="002F4A98"/>
    <w:rsid w:val="002F4DA7"/>
    <w:rsid w:val="002F51F5"/>
    <w:rsid w:val="002F5825"/>
    <w:rsid w:val="002F6083"/>
    <w:rsid w:val="002F6720"/>
    <w:rsid w:val="002F673B"/>
    <w:rsid w:val="002F6B70"/>
    <w:rsid w:val="002F6D8D"/>
    <w:rsid w:val="002F7089"/>
    <w:rsid w:val="002F757C"/>
    <w:rsid w:val="002F7A70"/>
    <w:rsid w:val="002F7A8A"/>
    <w:rsid w:val="002F7BAC"/>
    <w:rsid w:val="002F7E32"/>
    <w:rsid w:val="002F7FC4"/>
    <w:rsid w:val="00300109"/>
    <w:rsid w:val="0030016E"/>
    <w:rsid w:val="00300AC3"/>
    <w:rsid w:val="00300C81"/>
    <w:rsid w:val="00300CA6"/>
    <w:rsid w:val="00300CB2"/>
    <w:rsid w:val="00300E70"/>
    <w:rsid w:val="003010FA"/>
    <w:rsid w:val="00301D26"/>
    <w:rsid w:val="0030268C"/>
    <w:rsid w:val="00302A10"/>
    <w:rsid w:val="00302AE4"/>
    <w:rsid w:val="00302CFD"/>
    <w:rsid w:val="003030F7"/>
    <w:rsid w:val="00303412"/>
    <w:rsid w:val="0030451D"/>
    <w:rsid w:val="003046E1"/>
    <w:rsid w:val="003046F1"/>
    <w:rsid w:val="003048C3"/>
    <w:rsid w:val="00304D7A"/>
    <w:rsid w:val="00305377"/>
    <w:rsid w:val="003053CC"/>
    <w:rsid w:val="00305598"/>
    <w:rsid w:val="003055B7"/>
    <w:rsid w:val="00305FB5"/>
    <w:rsid w:val="003064C1"/>
    <w:rsid w:val="003067A1"/>
    <w:rsid w:val="00306972"/>
    <w:rsid w:val="00306F0A"/>
    <w:rsid w:val="003071B0"/>
    <w:rsid w:val="00307A3C"/>
    <w:rsid w:val="00307BDF"/>
    <w:rsid w:val="00307D89"/>
    <w:rsid w:val="003103F5"/>
    <w:rsid w:val="00310DEB"/>
    <w:rsid w:val="0031109E"/>
    <w:rsid w:val="003113C8"/>
    <w:rsid w:val="0031143C"/>
    <w:rsid w:val="00311485"/>
    <w:rsid w:val="00311531"/>
    <w:rsid w:val="0031195C"/>
    <w:rsid w:val="00311D13"/>
    <w:rsid w:val="00311EC1"/>
    <w:rsid w:val="0031208A"/>
    <w:rsid w:val="003121ED"/>
    <w:rsid w:val="003123FF"/>
    <w:rsid w:val="00312D56"/>
    <w:rsid w:val="00312DD4"/>
    <w:rsid w:val="00312FFB"/>
    <w:rsid w:val="00313237"/>
    <w:rsid w:val="00313E00"/>
    <w:rsid w:val="003141EF"/>
    <w:rsid w:val="00314280"/>
    <w:rsid w:val="0031435C"/>
    <w:rsid w:val="00314563"/>
    <w:rsid w:val="003146B8"/>
    <w:rsid w:val="003147E0"/>
    <w:rsid w:val="00315746"/>
    <w:rsid w:val="00315BF5"/>
    <w:rsid w:val="00315FB8"/>
    <w:rsid w:val="003164AD"/>
    <w:rsid w:val="00316566"/>
    <w:rsid w:val="00316590"/>
    <w:rsid w:val="00316696"/>
    <w:rsid w:val="00316803"/>
    <w:rsid w:val="00316D09"/>
    <w:rsid w:val="003174B4"/>
    <w:rsid w:val="003177ED"/>
    <w:rsid w:val="00317ADD"/>
    <w:rsid w:val="00317BA1"/>
    <w:rsid w:val="00317BCD"/>
    <w:rsid w:val="00317E94"/>
    <w:rsid w:val="003203DF"/>
    <w:rsid w:val="003204F0"/>
    <w:rsid w:val="00320655"/>
    <w:rsid w:val="0032088B"/>
    <w:rsid w:val="00320D49"/>
    <w:rsid w:val="00320DED"/>
    <w:rsid w:val="00320E03"/>
    <w:rsid w:val="00321569"/>
    <w:rsid w:val="003215ED"/>
    <w:rsid w:val="00321CDD"/>
    <w:rsid w:val="00321CE8"/>
    <w:rsid w:val="00322105"/>
    <w:rsid w:val="00322513"/>
    <w:rsid w:val="003226DC"/>
    <w:rsid w:val="003229D8"/>
    <w:rsid w:val="00323055"/>
    <w:rsid w:val="0032317C"/>
    <w:rsid w:val="00323242"/>
    <w:rsid w:val="0032365D"/>
    <w:rsid w:val="0032366F"/>
    <w:rsid w:val="00323AAB"/>
    <w:rsid w:val="00323BEC"/>
    <w:rsid w:val="00323D93"/>
    <w:rsid w:val="0032418E"/>
    <w:rsid w:val="00324614"/>
    <w:rsid w:val="00324794"/>
    <w:rsid w:val="003247E8"/>
    <w:rsid w:val="003249EC"/>
    <w:rsid w:val="00324A3D"/>
    <w:rsid w:val="00324DDD"/>
    <w:rsid w:val="0032502D"/>
    <w:rsid w:val="003255CC"/>
    <w:rsid w:val="0032563D"/>
    <w:rsid w:val="003256CE"/>
    <w:rsid w:val="00325819"/>
    <w:rsid w:val="003264BA"/>
    <w:rsid w:val="0032668C"/>
    <w:rsid w:val="0032679A"/>
    <w:rsid w:val="0032680E"/>
    <w:rsid w:val="00326AE1"/>
    <w:rsid w:val="00326BC4"/>
    <w:rsid w:val="00326FA9"/>
    <w:rsid w:val="00326FBA"/>
    <w:rsid w:val="00326FC8"/>
    <w:rsid w:val="0032737A"/>
    <w:rsid w:val="0032751E"/>
    <w:rsid w:val="003277DA"/>
    <w:rsid w:val="00327C9C"/>
    <w:rsid w:val="00327FBD"/>
    <w:rsid w:val="0033004B"/>
    <w:rsid w:val="003301D8"/>
    <w:rsid w:val="0033065A"/>
    <w:rsid w:val="00330853"/>
    <w:rsid w:val="00331054"/>
    <w:rsid w:val="0033106A"/>
    <w:rsid w:val="00331402"/>
    <w:rsid w:val="003315BB"/>
    <w:rsid w:val="00331D43"/>
    <w:rsid w:val="00331E2B"/>
    <w:rsid w:val="00331F81"/>
    <w:rsid w:val="00332056"/>
    <w:rsid w:val="00332079"/>
    <w:rsid w:val="0033257B"/>
    <w:rsid w:val="00332CBF"/>
    <w:rsid w:val="00332E0D"/>
    <w:rsid w:val="00333198"/>
    <w:rsid w:val="003331D7"/>
    <w:rsid w:val="00333305"/>
    <w:rsid w:val="003334F6"/>
    <w:rsid w:val="00333E27"/>
    <w:rsid w:val="0033419B"/>
    <w:rsid w:val="00334398"/>
    <w:rsid w:val="003347C2"/>
    <w:rsid w:val="00334970"/>
    <w:rsid w:val="00334A0C"/>
    <w:rsid w:val="00334EC0"/>
    <w:rsid w:val="0033529C"/>
    <w:rsid w:val="003353BD"/>
    <w:rsid w:val="00335614"/>
    <w:rsid w:val="00335AD2"/>
    <w:rsid w:val="00335BA3"/>
    <w:rsid w:val="00335E8A"/>
    <w:rsid w:val="003361BE"/>
    <w:rsid w:val="00336A18"/>
    <w:rsid w:val="00336A1B"/>
    <w:rsid w:val="00336BEC"/>
    <w:rsid w:val="003374C8"/>
    <w:rsid w:val="0033757D"/>
    <w:rsid w:val="00337786"/>
    <w:rsid w:val="00337D55"/>
    <w:rsid w:val="00337E9F"/>
    <w:rsid w:val="00337F47"/>
    <w:rsid w:val="0034005B"/>
    <w:rsid w:val="003400D7"/>
    <w:rsid w:val="003403CC"/>
    <w:rsid w:val="0034042F"/>
    <w:rsid w:val="00340793"/>
    <w:rsid w:val="00340E30"/>
    <w:rsid w:val="00341057"/>
    <w:rsid w:val="003418DC"/>
    <w:rsid w:val="00341AC3"/>
    <w:rsid w:val="003420B4"/>
    <w:rsid w:val="003420E6"/>
    <w:rsid w:val="003421F4"/>
    <w:rsid w:val="0034260D"/>
    <w:rsid w:val="00342D25"/>
    <w:rsid w:val="00342F58"/>
    <w:rsid w:val="00343143"/>
    <w:rsid w:val="0034317A"/>
    <w:rsid w:val="003431D7"/>
    <w:rsid w:val="00343EF5"/>
    <w:rsid w:val="00343FDF"/>
    <w:rsid w:val="00344378"/>
    <w:rsid w:val="003445FC"/>
    <w:rsid w:val="0034462E"/>
    <w:rsid w:val="0034479B"/>
    <w:rsid w:val="003448C3"/>
    <w:rsid w:val="0034496D"/>
    <w:rsid w:val="00344EFA"/>
    <w:rsid w:val="00344FAB"/>
    <w:rsid w:val="0034512D"/>
    <w:rsid w:val="00345146"/>
    <w:rsid w:val="003453E8"/>
    <w:rsid w:val="0034590E"/>
    <w:rsid w:val="00345B3E"/>
    <w:rsid w:val="00345E65"/>
    <w:rsid w:val="00346972"/>
    <w:rsid w:val="00346CA1"/>
    <w:rsid w:val="003473DF"/>
    <w:rsid w:val="0034747B"/>
    <w:rsid w:val="003475F1"/>
    <w:rsid w:val="0034769E"/>
    <w:rsid w:val="00347A57"/>
    <w:rsid w:val="00347ECF"/>
    <w:rsid w:val="00347ED0"/>
    <w:rsid w:val="00350318"/>
    <w:rsid w:val="00350AA0"/>
    <w:rsid w:val="00350E4D"/>
    <w:rsid w:val="0035116F"/>
    <w:rsid w:val="0035120F"/>
    <w:rsid w:val="00351473"/>
    <w:rsid w:val="00351B56"/>
    <w:rsid w:val="00351C74"/>
    <w:rsid w:val="00351E24"/>
    <w:rsid w:val="00351EA3"/>
    <w:rsid w:val="00352593"/>
    <w:rsid w:val="003525D5"/>
    <w:rsid w:val="00352D4D"/>
    <w:rsid w:val="00352EFA"/>
    <w:rsid w:val="00352F79"/>
    <w:rsid w:val="00353517"/>
    <w:rsid w:val="003539D2"/>
    <w:rsid w:val="00353AC1"/>
    <w:rsid w:val="003541BB"/>
    <w:rsid w:val="003543B1"/>
    <w:rsid w:val="00354552"/>
    <w:rsid w:val="0035463C"/>
    <w:rsid w:val="003548DF"/>
    <w:rsid w:val="00354B05"/>
    <w:rsid w:val="00355499"/>
    <w:rsid w:val="0035567D"/>
    <w:rsid w:val="00355BA9"/>
    <w:rsid w:val="00355F1E"/>
    <w:rsid w:val="00356210"/>
    <w:rsid w:val="0035638B"/>
    <w:rsid w:val="003566DD"/>
    <w:rsid w:val="0035694B"/>
    <w:rsid w:val="00356C8B"/>
    <w:rsid w:val="00356E8A"/>
    <w:rsid w:val="00356F5B"/>
    <w:rsid w:val="00357105"/>
    <w:rsid w:val="00360443"/>
    <w:rsid w:val="003604C2"/>
    <w:rsid w:val="0036076C"/>
    <w:rsid w:val="003607E0"/>
    <w:rsid w:val="00360923"/>
    <w:rsid w:val="00360940"/>
    <w:rsid w:val="00360A00"/>
    <w:rsid w:val="00360B53"/>
    <w:rsid w:val="00360D58"/>
    <w:rsid w:val="00361177"/>
    <w:rsid w:val="00361435"/>
    <w:rsid w:val="00361568"/>
    <w:rsid w:val="00361880"/>
    <w:rsid w:val="003619AA"/>
    <w:rsid w:val="00361FA7"/>
    <w:rsid w:val="0036208D"/>
    <w:rsid w:val="0036259A"/>
    <w:rsid w:val="003626D8"/>
    <w:rsid w:val="00363561"/>
    <w:rsid w:val="003635B3"/>
    <w:rsid w:val="00363CB8"/>
    <w:rsid w:val="00363CBD"/>
    <w:rsid w:val="00363DB7"/>
    <w:rsid w:val="00363F29"/>
    <w:rsid w:val="00363FD9"/>
    <w:rsid w:val="003640DD"/>
    <w:rsid w:val="0036456A"/>
    <w:rsid w:val="00364796"/>
    <w:rsid w:val="00364ABC"/>
    <w:rsid w:val="00364AEC"/>
    <w:rsid w:val="00364F08"/>
    <w:rsid w:val="00364F2D"/>
    <w:rsid w:val="003656A4"/>
    <w:rsid w:val="003658EB"/>
    <w:rsid w:val="00365A74"/>
    <w:rsid w:val="00365FD9"/>
    <w:rsid w:val="003665C6"/>
    <w:rsid w:val="00366DB4"/>
    <w:rsid w:val="00366DD5"/>
    <w:rsid w:val="00366E44"/>
    <w:rsid w:val="00367707"/>
    <w:rsid w:val="003677F6"/>
    <w:rsid w:val="00367A76"/>
    <w:rsid w:val="00367E4C"/>
    <w:rsid w:val="00370155"/>
    <w:rsid w:val="00370309"/>
    <w:rsid w:val="0037082C"/>
    <w:rsid w:val="00370859"/>
    <w:rsid w:val="00370C2A"/>
    <w:rsid w:val="00371139"/>
    <w:rsid w:val="003711DB"/>
    <w:rsid w:val="00371460"/>
    <w:rsid w:val="00371530"/>
    <w:rsid w:val="0037163D"/>
    <w:rsid w:val="00371657"/>
    <w:rsid w:val="00371694"/>
    <w:rsid w:val="00371AB5"/>
    <w:rsid w:val="00371D27"/>
    <w:rsid w:val="00372203"/>
    <w:rsid w:val="00372A82"/>
    <w:rsid w:val="00373129"/>
    <w:rsid w:val="00373205"/>
    <w:rsid w:val="00373AFD"/>
    <w:rsid w:val="0037419F"/>
    <w:rsid w:val="0037479E"/>
    <w:rsid w:val="003747E2"/>
    <w:rsid w:val="00374ADE"/>
    <w:rsid w:val="00374FA7"/>
    <w:rsid w:val="003751F6"/>
    <w:rsid w:val="0037544A"/>
    <w:rsid w:val="003754A3"/>
    <w:rsid w:val="00375500"/>
    <w:rsid w:val="003755AD"/>
    <w:rsid w:val="00375AF7"/>
    <w:rsid w:val="00375C5D"/>
    <w:rsid w:val="00375D15"/>
    <w:rsid w:val="00376000"/>
    <w:rsid w:val="003760EF"/>
    <w:rsid w:val="00376285"/>
    <w:rsid w:val="00376683"/>
    <w:rsid w:val="003768B2"/>
    <w:rsid w:val="003769EC"/>
    <w:rsid w:val="00376ADE"/>
    <w:rsid w:val="00376E7C"/>
    <w:rsid w:val="00377021"/>
    <w:rsid w:val="00377680"/>
    <w:rsid w:val="00377861"/>
    <w:rsid w:val="00380175"/>
    <w:rsid w:val="0038044A"/>
    <w:rsid w:val="0038059E"/>
    <w:rsid w:val="00380FB8"/>
    <w:rsid w:val="00381347"/>
    <w:rsid w:val="0038134B"/>
    <w:rsid w:val="00381599"/>
    <w:rsid w:val="00381655"/>
    <w:rsid w:val="0038181C"/>
    <w:rsid w:val="0038260F"/>
    <w:rsid w:val="00382887"/>
    <w:rsid w:val="00382B7C"/>
    <w:rsid w:val="0038314C"/>
    <w:rsid w:val="003838E9"/>
    <w:rsid w:val="00383A6E"/>
    <w:rsid w:val="00383F18"/>
    <w:rsid w:val="00384006"/>
    <w:rsid w:val="003842BF"/>
    <w:rsid w:val="00384610"/>
    <w:rsid w:val="00384D45"/>
    <w:rsid w:val="00384DB4"/>
    <w:rsid w:val="00385212"/>
    <w:rsid w:val="003853B5"/>
    <w:rsid w:val="00385A1D"/>
    <w:rsid w:val="00385DA3"/>
    <w:rsid w:val="003862A9"/>
    <w:rsid w:val="00386347"/>
    <w:rsid w:val="003867CA"/>
    <w:rsid w:val="00386F6F"/>
    <w:rsid w:val="003872FA"/>
    <w:rsid w:val="0038770B"/>
    <w:rsid w:val="0038771E"/>
    <w:rsid w:val="003877C2"/>
    <w:rsid w:val="00387A3F"/>
    <w:rsid w:val="00387E3E"/>
    <w:rsid w:val="003906FA"/>
    <w:rsid w:val="00390704"/>
    <w:rsid w:val="003907ED"/>
    <w:rsid w:val="00390B4D"/>
    <w:rsid w:val="00390D2F"/>
    <w:rsid w:val="00390FBB"/>
    <w:rsid w:val="0039111A"/>
    <w:rsid w:val="00391437"/>
    <w:rsid w:val="00391A7B"/>
    <w:rsid w:val="00391E94"/>
    <w:rsid w:val="00391F32"/>
    <w:rsid w:val="00391F80"/>
    <w:rsid w:val="003928E7"/>
    <w:rsid w:val="00392A73"/>
    <w:rsid w:val="00392BE6"/>
    <w:rsid w:val="00392DBE"/>
    <w:rsid w:val="00393420"/>
    <w:rsid w:val="003934CA"/>
    <w:rsid w:val="00393594"/>
    <w:rsid w:val="00393709"/>
    <w:rsid w:val="00393E92"/>
    <w:rsid w:val="003948A2"/>
    <w:rsid w:val="0039494B"/>
    <w:rsid w:val="00394AA5"/>
    <w:rsid w:val="00395E2A"/>
    <w:rsid w:val="00395EDA"/>
    <w:rsid w:val="00395EEA"/>
    <w:rsid w:val="00396316"/>
    <w:rsid w:val="0039702F"/>
    <w:rsid w:val="0039749C"/>
    <w:rsid w:val="003974EE"/>
    <w:rsid w:val="00397771"/>
    <w:rsid w:val="003979E0"/>
    <w:rsid w:val="003A05DF"/>
    <w:rsid w:val="003A0AC9"/>
    <w:rsid w:val="003A0BD1"/>
    <w:rsid w:val="003A0E1E"/>
    <w:rsid w:val="003A105D"/>
    <w:rsid w:val="003A114B"/>
    <w:rsid w:val="003A12F5"/>
    <w:rsid w:val="003A1AAD"/>
    <w:rsid w:val="003A1BB0"/>
    <w:rsid w:val="003A2FC5"/>
    <w:rsid w:val="003A3315"/>
    <w:rsid w:val="003A33FC"/>
    <w:rsid w:val="003A36D6"/>
    <w:rsid w:val="003A3B50"/>
    <w:rsid w:val="003A3E18"/>
    <w:rsid w:val="003A4073"/>
    <w:rsid w:val="003A43B9"/>
    <w:rsid w:val="003A43C0"/>
    <w:rsid w:val="003A50B2"/>
    <w:rsid w:val="003A53FA"/>
    <w:rsid w:val="003A6075"/>
    <w:rsid w:val="003A60E1"/>
    <w:rsid w:val="003A623E"/>
    <w:rsid w:val="003A640F"/>
    <w:rsid w:val="003A6764"/>
    <w:rsid w:val="003A68D6"/>
    <w:rsid w:val="003A6975"/>
    <w:rsid w:val="003A6B0E"/>
    <w:rsid w:val="003A6D94"/>
    <w:rsid w:val="003A6E49"/>
    <w:rsid w:val="003A7431"/>
    <w:rsid w:val="003A76FA"/>
    <w:rsid w:val="003A7D4C"/>
    <w:rsid w:val="003A7E8E"/>
    <w:rsid w:val="003A7FEA"/>
    <w:rsid w:val="003B0931"/>
    <w:rsid w:val="003B1244"/>
    <w:rsid w:val="003B1CA1"/>
    <w:rsid w:val="003B1DC5"/>
    <w:rsid w:val="003B1ED9"/>
    <w:rsid w:val="003B1EF1"/>
    <w:rsid w:val="003B2035"/>
    <w:rsid w:val="003B20D2"/>
    <w:rsid w:val="003B25B6"/>
    <w:rsid w:val="003B2999"/>
    <w:rsid w:val="003B2B79"/>
    <w:rsid w:val="003B2BAE"/>
    <w:rsid w:val="003B2BBC"/>
    <w:rsid w:val="003B2C5A"/>
    <w:rsid w:val="003B3047"/>
    <w:rsid w:val="003B31CC"/>
    <w:rsid w:val="003B333C"/>
    <w:rsid w:val="003B38B6"/>
    <w:rsid w:val="003B39B0"/>
    <w:rsid w:val="003B3B48"/>
    <w:rsid w:val="003B3BFB"/>
    <w:rsid w:val="003B3E09"/>
    <w:rsid w:val="003B400B"/>
    <w:rsid w:val="003B4120"/>
    <w:rsid w:val="003B42B1"/>
    <w:rsid w:val="003B4376"/>
    <w:rsid w:val="003B4452"/>
    <w:rsid w:val="003B46B8"/>
    <w:rsid w:val="003B49D1"/>
    <w:rsid w:val="003B4AE6"/>
    <w:rsid w:val="003B5120"/>
    <w:rsid w:val="003B54D6"/>
    <w:rsid w:val="003B567D"/>
    <w:rsid w:val="003B5776"/>
    <w:rsid w:val="003B5CEA"/>
    <w:rsid w:val="003B5E65"/>
    <w:rsid w:val="003B5EEC"/>
    <w:rsid w:val="003B5F3F"/>
    <w:rsid w:val="003B623F"/>
    <w:rsid w:val="003B6279"/>
    <w:rsid w:val="003B636E"/>
    <w:rsid w:val="003B66C6"/>
    <w:rsid w:val="003B6818"/>
    <w:rsid w:val="003B6BB8"/>
    <w:rsid w:val="003B6BB9"/>
    <w:rsid w:val="003B7154"/>
    <w:rsid w:val="003B73FB"/>
    <w:rsid w:val="003B78E7"/>
    <w:rsid w:val="003B7A79"/>
    <w:rsid w:val="003B7AB8"/>
    <w:rsid w:val="003B7BFE"/>
    <w:rsid w:val="003B7E84"/>
    <w:rsid w:val="003C012B"/>
    <w:rsid w:val="003C0472"/>
    <w:rsid w:val="003C0529"/>
    <w:rsid w:val="003C0690"/>
    <w:rsid w:val="003C1331"/>
    <w:rsid w:val="003C164D"/>
    <w:rsid w:val="003C1B9E"/>
    <w:rsid w:val="003C1C47"/>
    <w:rsid w:val="003C1EEB"/>
    <w:rsid w:val="003C24B9"/>
    <w:rsid w:val="003C29D4"/>
    <w:rsid w:val="003C2A66"/>
    <w:rsid w:val="003C2D52"/>
    <w:rsid w:val="003C2EFF"/>
    <w:rsid w:val="003C2FFE"/>
    <w:rsid w:val="003C341B"/>
    <w:rsid w:val="003C34D8"/>
    <w:rsid w:val="003C37E4"/>
    <w:rsid w:val="003C3895"/>
    <w:rsid w:val="003C3963"/>
    <w:rsid w:val="003C41FE"/>
    <w:rsid w:val="003C52DD"/>
    <w:rsid w:val="003C5583"/>
    <w:rsid w:val="003C58AA"/>
    <w:rsid w:val="003C5D8D"/>
    <w:rsid w:val="003C6107"/>
    <w:rsid w:val="003C6409"/>
    <w:rsid w:val="003C64AC"/>
    <w:rsid w:val="003C651C"/>
    <w:rsid w:val="003C6BF8"/>
    <w:rsid w:val="003C6ED2"/>
    <w:rsid w:val="003C718E"/>
    <w:rsid w:val="003C7393"/>
    <w:rsid w:val="003C7582"/>
    <w:rsid w:val="003C793B"/>
    <w:rsid w:val="003C7FEF"/>
    <w:rsid w:val="003D0113"/>
    <w:rsid w:val="003D0D2B"/>
    <w:rsid w:val="003D0F54"/>
    <w:rsid w:val="003D13CE"/>
    <w:rsid w:val="003D1AB3"/>
    <w:rsid w:val="003D1ACA"/>
    <w:rsid w:val="003D1EDF"/>
    <w:rsid w:val="003D1F0C"/>
    <w:rsid w:val="003D292E"/>
    <w:rsid w:val="003D297F"/>
    <w:rsid w:val="003D2CF9"/>
    <w:rsid w:val="003D3543"/>
    <w:rsid w:val="003D36EE"/>
    <w:rsid w:val="003D466F"/>
    <w:rsid w:val="003D46C3"/>
    <w:rsid w:val="003D46E5"/>
    <w:rsid w:val="003D498C"/>
    <w:rsid w:val="003D4B62"/>
    <w:rsid w:val="003D4B8C"/>
    <w:rsid w:val="003D4CB1"/>
    <w:rsid w:val="003D56D7"/>
    <w:rsid w:val="003D5B7C"/>
    <w:rsid w:val="003D5EA2"/>
    <w:rsid w:val="003D61B7"/>
    <w:rsid w:val="003D6678"/>
    <w:rsid w:val="003D6716"/>
    <w:rsid w:val="003D685B"/>
    <w:rsid w:val="003D6B78"/>
    <w:rsid w:val="003D6E9E"/>
    <w:rsid w:val="003D6FC1"/>
    <w:rsid w:val="003D783A"/>
    <w:rsid w:val="003D7A1C"/>
    <w:rsid w:val="003D7B2C"/>
    <w:rsid w:val="003D7BE5"/>
    <w:rsid w:val="003D7D71"/>
    <w:rsid w:val="003D7F7F"/>
    <w:rsid w:val="003D7FDD"/>
    <w:rsid w:val="003E0205"/>
    <w:rsid w:val="003E059C"/>
    <w:rsid w:val="003E0A73"/>
    <w:rsid w:val="003E0B45"/>
    <w:rsid w:val="003E1005"/>
    <w:rsid w:val="003E15D2"/>
    <w:rsid w:val="003E2123"/>
    <w:rsid w:val="003E21EA"/>
    <w:rsid w:val="003E21FE"/>
    <w:rsid w:val="003E25E4"/>
    <w:rsid w:val="003E2863"/>
    <w:rsid w:val="003E28B3"/>
    <w:rsid w:val="003E28EC"/>
    <w:rsid w:val="003E2B8A"/>
    <w:rsid w:val="003E2C97"/>
    <w:rsid w:val="003E3072"/>
    <w:rsid w:val="003E32E1"/>
    <w:rsid w:val="003E3F53"/>
    <w:rsid w:val="003E42C3"/>
    <w:rsid w:val="003E4D60"/>
    <w:rsid w:val="003E4EEE"/>
    <w:rsid w:val="003E5251"/>
    <w:rsid w:val="003E5805"/>
    <w:rsid w:val="003E5975"/>
    <w:rsid w:val="003E5F9E"/>
    <w:rsid w:val="003E6290"/>
    <w:rsid w:val="003E670D"/>
    <w:rsid w:val="003E6744"/>
    <w:rsid w:val="003E6784"/>
    <w:rsid w:val="003E6BBD"/>
    <w:rsid w:val="003E7B13"/>
    <w:rsid w:val="003E7B1F"/>
    <w:rsid w:val="003E7BBF"/>
    <w:rsid w:val="003F04A1"/>
    <w:rsid w:val="003F057E"/>
    <w:rsid w:val="003F0734"/>
    <w:rsid w:val="003F09E8"/>
    <w:rsid w:val="003F0F79"/>
    <w:rsid w:val="003F106A"/>
    <w:rsid w:val="003F10A0"/>
    <w:rsid w:val="003F1430"/>
    <w:rsid w:val="003F19F8"/>
    <w:rsid w:val="003F1A36"/>
    <w:rsid w:val="003F1BDA"/>
    <w:rsid w:val="003F1C29"/>
    <w:rsid w:val="003F1E75"/>
    <w:rsid w:val="003F2597"/>
    <w:rsid w:val="003F27EE"/>
    <w:rsid w:val="003F2AAA"/>
    <w:rsid w:val="003F2DCD"/>
    <w:rsid w:val="003F2DEC"/>
    <w:rsid w:val="003F2F98"/>
    <w:rsid w:val="003F311A"/>
    <w:rsid w:val="003F3498"/>
    <w:rsid w:val="003F3617"/>
    <w:rsid w:val="003F3750"/>
    <w:rsid w:val="003F3A4B"/>
    <w:rsid w:val="003F40EF"/>
    <w:rsid w:val="003F42D3"/>
    <w:rsid w:val="003F4FE0"/>
    <w:rsid w:val="003F508B"/>
    <w:rsid w:val="003F5164"/>
    <w:rsid w:val="003F54CC"/>
    <w:rsid w:val="003F579A"/>
    <w:rsid w:val="003F5BBF"/>
    <w:rsid w:val="003F5DA6"/>
    <w:rsid w:val="003F6CFA"/>
    <w:rsid w:val="003F6F12"/>
    <w:rsid w:val="003F6F85"/>
    <w:rsid w:val="003F719A"/>
    <w:rsid w:val="003F7443"/>
    <w:rsid w:val="003F7585"/>
    <w:rsid w:val="003F7937"/>
    <w:rsid w:val="003F7950"/>
    <w:rsid w:val="003F7CA2"/>
    <w:rsid w:val="003F7D4B"/>
    <w:rsid w:val="00400517"/>
    <w:rsid w:val="00400945"/>
    <w:rsid w:val="00400C40"/>
    <w:rsid w:val="0040122D"/>
    <w:rsid w:val="004012A3"/>
    <w:rsid w:val="00401A08"/>
    <w:rsid w:val="00401E2A"/>
    <w:rsid w:val="00402435"/>
    <w:rsid w:val="00402479"/>
    <w:rsid w:val="00402602"/>
    <w:rsid w:val="00402AAC"/>
    <w:rsid w:val="0040301C"/>
    <w:rsid w:val="00403355"/>
    <w:rsid w:val="004036AB"/>
    <w:rsid w:val="00403990"/>
    <w:rsid w:val="004039A3"/>
    <w:rsid w:val="00403D3E"/>
    <w:rsid w:val="00404410"/>
    <w:rsid w:val="00404A48"/>
    <w:rsid w:val="00404FA3"/>
    <w:rsid w:val="0040505B"/>
    <w:rsid w:val="00405157"/>
    <w:rsid w:val="004052DE"/>
    <w:rsid w:val="004062CB"/>
    <w:rsid w:val="00406D7C"/>
    <w:rsid w:val="0040710C"/>
    <w:rsid w:val="0040777C"/>
    <w:rsid w:val="004077A5"/>
    <w:rsid w:val="00410240"/>
    <w:rsid w:val="004104B2"/>
    <w:rsid w:val="00410641"/>
    <w:rsid w:val="0041078C"/>
    <w:rsid w:val="00410C99"/>
    <w:rsid w:val="00411155"/>
    <w:rsid w:val="0041128F"/>
    <w:rsid w:val="004112A1"/>
    <w:rsid w:val="00411565"/>
    <w:rsid w:val="004116BC"/>
    <w:rsid w:val="00411906"/>
    <w:rsid w:val="004121A6"/>
    <w:rsid w:val="004121C4"/>
    <w:rsid w:val="00412358"/>
    <w:rsid w:val="00412409"/>
    <w:rsid w:val="004124EE"/>
    <w:rsid w:val="0041269D"/>
    <w:rsid w:val="004126BA"/>
    <w:rsid w:val="00412CB0"/>
    <w:rsid w:val="00412DBB"/>
    <w:rsid w:val="00412E16"/>
    <w:rsid w:val="004130D7"/>
    <w:rsid w:val="0041335C"/>
    <w:rsid w:val="004134FF"/>
    <w:rsid w:val="0041352E"/>
    <w:rsid w:val="00413AF6"/>
    <w:rsid w:val="00413EA1"/>
    <w:rsid w:val="0041421E"/>
    <w:rsid w:val="004144B6"/>
    <w:rsid w:val="00414640"/>
    <w:rsid w:val="00414B1B"/>
    <w:rsid w:val="00414CD7"/>
    <w:rsid w:val="00414E04"/>
    <w:rsid w:val="00414E4E"/>
    <w:rsid w:val="00415093"/>
    <w:rsid w:val="00415731"/>
    <w:rsid w:val="00415C7C"/>
    <w:rsid w:val="00415DF8"/>
    <w:rsid w:val="004162CA"/>
    <w:rsid w:val="004164DA"/>
    <w:rsid w:val="0041659C"/>
    <w:rsid w:val="00416857"/>
    <w:rsid w:val="00416862"/>
    <w:rsid w:val="00416C98"/>
    <w:rsid w:val="00416FA8"/>
    <w:rsid w:val="004174EE"/>
    <w:rsid w:val="00417671"/>
    <w:rsid w:val="004178F4"/>
    <w:rsid w:val="00417D14"/>
    <w:rsid w:val="00417F43"/>
    <w:rsid w:val="004200AF"/>
    <w:rsid w:val="004204C1"/>
    <w:rsid w:val="00420515"/>
    <w:rsid w:val="00420B65"/>
    <w:rsid w:val="00421061"/>
    <w:rsid w:val="004211EA"/>
    <w:rsid w:val="00421A0D"/>
    <w:rsid w:val="00421BDB"/>
    <w:rsid w:val="00421ECC"/>
    <w:rsid w:val="00422165"/>
    <w:rsid w:val="004224E1"/>
    <w:rsid w:val="00422608"/>
    <w:rsid w:val="00422766"/>
    <w:rsid w:val="00422C87"/>
    <w:rsid w:val="00422E56"/>
    <w:rsid w:val="00423048"/>
    <w:rsid w:val="00423195"/>
    <w:rsid w:val="00423416"/>
    <w:rsid w:val="00423D41"/>
    <w:rsid w:val="00423EA1"/>
    <w:rsid w:val="00423F9C"/>
    <w:rsid w:val="00423FB4"/>
    <w:rsid w:val="00424465"/>
    <w:rsid w:val="00424540"/>
    <w:rsid w:val="00425028"/>
    <w:rsid w:val="00425479"/>
    <w:rsid w:val="00425F52"/>
    <w:rsid w:val="004268C5"/>
    <w:rsid w:val="00426A39"/>
    <w:rsid w:val="00426D67"/>
    <w:rsid w:val="004274FE"/>
    <w:rsid w:val="00427C83"/>
    <w:rsid w:val="00427FD3"/>
    <w:rsid w:val="00430594"/>
    <w:rsid w:val="00430EC0"/>
    <w:rsid w:val="0043113B"/>
    <w:rsid w:val="00431232"/>
    <w:rsid w:val="004312DD"/>
    <w:rsid w:val="00431309"/>
    <w:rsid w:val="0043165C"/>
    <w:rsid w:val="00431872"/>
    <w:rsid w:val="0043198C"/>
    <w:rsid w:val="00431E17"/>
    <w:rsid w:val="00432288"/>
    <w:rsid w:val="0043238F"/>
    <w:rsid w:val="00432397"/>
    <w:rsid w:val="0043255C"/>
    <w:rsid w:val="0043287D"/>
    <w:rsid w:val="00432D04"/>
    <w:rsid w:val="00432FC6"/>
    <w:rsid w:val="00433A95"/>
    <w:rsid w:val="00433AE6"/>
    <w:rsid w:val="004342C5"/>
    <w:rsid w:val="00434517"/>
    <w:rsid w:val="0043495F"/>
    <w:rsid w:val="00434B24"/>
    <w:rsid w:val="00434CE5"/>
    <w:rsid w:val="00435904"/>
    <w:rsid w:val="004359A5"/>
    <w:rsid w:val="004359DF"/>
    <w:rsid w:val="004362E5"/>
    <w:rsid w:val="004369C8"/>
    <w:rsid w:val="00436C34"/>
    <w:rsid w:val="00436D46"/>
    <w:rsid w:val="00437310"/>
    <w:rsid w:val="00437621"/>
    <w:rsid w:val="00437ABC"/>
    <w:rsid w:val="00437EC3"/>
    <w:rsid w:val="00440113"/>
    <w:rsid w:val="00440359"/>
    <w:rsid w:val="004409BF"/>
    <w:rsid w:val="00440A7C"/>
    <w:rsid w:val="00440ACF"/>
    <w:rsid w:val="00440B97"/>
    <w:rsid w:val="00440CC5"/>
    <w:rsid w:val="00440D70"/>
    <w:rsid w:val="00441C16"/>
    <w:rsid w:val="00441DC3"/>
    <w:rsid w:val="0044239F"/>
    <w:rsid w:val="00443495"/>
    <w:rsid w:val="004437BA"/>
    <w:rsid w:val="00443A0B"/>
    <w:rsid w:val="00443B32"/>
    <w:rsid w:val="00443EDE"/>
    <w:rsid w:val="00443EE3"/>
    <w:rsid w:val="004440DD"/>
    <w:rsid w:val="00444468"/>
    <w:rsid w:val="004446B6"/>
    <w:rsid w:val="00444A68"/>
    <w:rsid w:val="00444F4C"/>
    <w:rsid w:val="00444FF6"/>
    <w:rsid w:val="00445326"/>
    <w:rsid w:val="00445589"/>
    <w:rsid w:val="00445BD6"/>
    <w:rsid w:val="00446087"/>
    <w:rsid w:val="004460AB"/>
    <w:rsid w:val="00446A11"/>
    <w:rsid w:val="00446A1B"/>
    <w:rsid w:val="00446B43"/>
    <w:rsid w:val="00446C51"/>
    <w:rsid w:val="00446CB3"/>
    <w:rsid w:val="00446EA7"/>
    <w:rsid w:val="00447CAF"/>
    <w:rsid w:val="00447DD7"/>
    <w:rsid w:val="004503C5"/>
    <w:rsid w:val="00450455"/>
    <w:rsid w:val="004505CA"/>
    <w:rsid w:val="00450BCE"/>
    <w:rsid w:val="00450C4A"/>
    <w:rsid w:val="004510FC"/>
    <w:rsid w:val="0045138B"/>
    <w:rsid w:val="00451670"/>
    <w:rsid w:val="0045191B"/>
    <w:rsid w:val="00451A7A"/>
    <w:rsid w:val="00451E24"/>
    <w:rsid w:val="004523EC"/>
    <w:rsid w:val="0045253A"/>
    <w:rsid w:val="00452B21"/>
    <w:rsid w:val="00452F89"/>
    <w:rsid w:val="00452FEE"/>
    <w:rsid w:val="004530DC"/>
    <w:rsid w:val="004540AE"/>
    <w:rsid w:val="00454259"/>
    <w:rsid w:val="004542C7"/>
    <w:rsid w:val="004546AC"/>
    <w:rsid w:val="0045487E"/>
    <w:rsid w:val="00454C7D"/>
    <w:rsid w:val="004551F1"/>
    <w:rsid w:val="00455217"/>
    <w:rsid w:val="004553C6"/>
    <w:rsid w:val="00455522"/>
    <w:rsid w:val="004558CF"/>
    <w:rsid w:val="00455A31"/>
    <w:rsid w:val="00455AEA"/>
    <w:rsid w:val="0045611E"/>
    <w:rsid w:val="00456341"/>
    <w:rsid w:val="004564BB"/>
    <w:rsid w:val="004566BD"/>
    <w:rsid w:val="004568D9"/>
    <w:rsid w:val="00456AC1"/>
    <w:rsid w:val="00456FF0"/>
    <w:rsid w:val="00457190"/>
    <w:rsid w:val="0045729C"/>
    <w:rsid w:val="00457482"/>
    <w:rsid w:val="00457586"/>
    <w:rsid w:val="00457A8C"/>
    <w:rsid w:val="00457CCF"/>
    <w:rsid w:val="00457DE1"/>
    <w:rsid w:val="00457EC7"/>
    <w:rsid w:val="004607E9"/>
    <w:rsid w:val="0046090E"/>
    <w:rsid w:val="004609FE"/>
    <w:rsid w:val="00460B37"/>
    <w:rsid w:val="00460B98"/>
    <w:rsid w:val="00460DB6"/>
    <w:rsid w:val="00461355"/>
    <w:rsid w:val="004619A8"/>
    <w:rsid w:val="00461B16"/>
    <w:rsid w:val="00461EC7"/>
    <w:rsid w:val="0046216A"/>
    <w:rsid w:val="004621FA"/>
    <w:rsid w:val="00462334"/>
    <w:rsid w:val="004623FD"/>
    <w:rsid w:val="00462515"/>
    <w:rsid w:val="0046299E"/>
    <w:rsid w:val="00462B5F"/>
    <w:rsid w:val="00462D04"/>
    <w:rsid w:val="00463246"/>
    <w:rsid w:val="004632B2"/>
    <w:rsid w:val="00463CA7"/>
    <w:rsid w:val="00463E60"/>
    <w:rsid w:val="00463F6D"/>
    <w:rsid w:val="00464288"/>
    <w:rsid w:val="00464317"/>
    <w:rsid w:val="004645DB"/>
    <w:rsid w:val="004652CC"/>
    <w:rsid w:val="004654EA"/>
    <w:rsid w:val="00465894"/>
    <w:rsid w:val="00465BDB"/>
    <w:rsid w:val="00466489"/>
    <w:rsid w:val="004669EA"/>
    <w:rsid w:val="00466ABE"/>
    <w:rsid w:val="00466B1E"/>
    <w:rsid w:val="00466CE8"/>
    <w:rsid w:val="004679A7"/>
    <w:rsid w:val="004701B8"/>
    <w:rsid w:val="00470240"/>
    <w:rsid w:val="0047038A"/>
    <w:rsid w:val="004706A8"/>
    <w:rsid w:val="00470A98"/>
    <w:rsid w:val="00470CFA"/>
    <w:rsid w:val="00470E9C"/>
    <w:rsid w:val="00471376"/>
    <w:rsid w:val="00471384"/>
    <w:rsid w:val="004713D0"/>
    <w:rsid w:val="00471A3E"/>
    <w:rsid w:val="00471DE0"/>
    <w:rsid w:val="00471FA6"/>
    <w:rsid w:val="004724F0"/>
    <w:rsid w:val="004727BB"/>
    <w:rsid w:val="0047281E"/>
    <w:rsid w:val="00472973"/>
    <w:rsid w:val="00472987"/>
    <w:rsid w:val="004729FD"/>
    <w:rsid w:val="00472E8A"/>
    <w:rsid w:val="00472ED4"/>
    <w:rsid w:val="00473903"/>
    <w:rsid w:val="00473926"/>
    <w:rsid w:val="00473B3D"/>
    <w:rsid w:val="00474D79"/>
    <w:rsid w:val="00474EEC"/>
    <w:rsid w:val="00474F36"/>
    <w:rsid w:val="004754BC"/>
    <w:rsid w:val="0047571A"/>
    <w:rsid w:val="0047584E"/>
    <w:rsid w:val="0047597B"/>
    <w:rsid w:val="00476748"/>
    <w:rsid w:val="00476F29"/>
    <w:rsid w:val="00477059"/>
    <w:rsid w:val="0047741C"/>
    <w:rsid w:val="00477CD8"/>
    <w:rsid w:val="00477D7D"/>
    <w:rsid w:val="00480464"/>
    <w:rsid w:val="004808BF"/>
    <w:rsid w:val="00480AC2"/>
    <w:rsid w:val="00480B1F"/>
    <w:rsid w:val="00481384"/>
    <w:rsid w:val="0048138F"/>
    <w:rsid w:val="0048148B"/>
    <w:rsid w:val="004814A2"/>
    <w:rsid w:val="00481BF6"/>
    <w:rsid w:val="00481CD0"/>
    <w:rsid w:val="00481F1D"/>
    <w:rsid w:val="004820D2"/>
    <w:rsid w:val="00482565"/>
    <w:rsid w:val="0048275C"/>
    <w:rsid w:val="00482EDD"/>
    <w:rsid w:val="00482F0D"/>
    <w:rsid w:val="00483D07"/>
    <w:rsid w:val="00483E7F"/>
    <w:rsid w:val="00484091"/>
    <w:rsid w:val="00484299"/>
    <w:rsid w:val="004842CD"/>
    <w:rsid w:val="00484CB7"/>
    <w:rsid w:val="004852D0"/>
    <w:rsid w:val="00485DD2"/>
    <w:rsid w:val="00485ED8"/>
    <w:rsid w:val="004861B5"/>
    <w:rsid w:val="004864A4"/>
    <w:rsid w:val="00486903"/>
    <w:rsid w:val="00486CCB"/>
    <w:rsid w:val="00486F3B"/>
    <w:rsid w:val="0048704E"/>
    <w:rsid w:val="00487A0C"/>
    <w:rsid w:val="00487A15"/>
    <w:rsid w:val="00487C4F"/>
    <w:rsid w:val="00490017"/>
    <w:rsid w:val="00490190"/>
    <w:rsid w:val="004902CB"/>
    <w:rsid w:val="004907CB"/>
    <w:rsid w:val="00490809"/>
    <w:rsid w:val="00490B38"/>
    <w:rsid w:val="00490B7E"/>
    <w:rsid w:val="0049106C"/>
    <w:rsid w:val="0049109B"/>
    <w:rsid w:val="00491210"/>
    <w:rsid w:val="00491B93"/>
    <w:rsid w:val="00491C21"/>
    <w:rsid w:val="0049284F"/>
    <w:rsid w:val="00492B0E"/>
    <w:rsid w:val="00492B5B"/>
    <w:rsid w:val="00493610"/>
    <w:rsid w:val="00493619"/>
    <w:rsid w:val="0049374D"/>
    <w:rsid w:val="00493BA1"/>
    <w:rsid w:val="0049428F"/>
    <w:rsid w:val="0049436F"/>
    <w:rsid w:val="00494490"/>
    <w:rsid w:val="004944F2"/>
    <w:rsid w:val="0049476A"/>
    <w:rsid w:val="004947E4"/>
    <w:rsid w:val="00494978"/>
    <w:rsid w:val="00494E2F"/>
    <w:rsid w:val="00494F31"/>
    <w:rsid w:val="00494FBE"/>
    <w:rsid w:val="004954A7"/>
    <w:rsid w:val="00495788"/>
    <w:rsid w:val="00495B48"/>
    <w:rsid w:val="00495C0D"/>
    <w:rsid w:val="004961BB"/>
    <w:rsid w:val="00496203"/>
    <w:rsid w:val="00496ECE"/>
    <w:rsid w:val="004970E4"/>
    <w:rsid w:val="004972BD"/>
    <w:rsid w:val="00497952"/>
    <w:rsid w:val="0049796C"/>
    <w:rsid w:val="0049799A"/>
    <w:rsid w:val="004979A8"/>
    <w:rsid w:val="00497B55"/>
    <w:rsid w:val="004A0150"/>
    <w:rsid w:val="004A02B4"/>
    <w:rsid w:val="004A02E1"/>
    <w:rsid w:val="004A06FD"/>
    <w:rsid w:val="004A09D1"/>
    <w:rsid w:val="004A0B75"/>
    <w:rsid w:val="004A0DA3"/>
    <w:rsid w:val="004A10D4"/>
    <w:rsid w:val="004A111D"/>
    <w:rsid w:val="004A1208"/>
    <w:rsid w:val="004A18C0"/>
    <w:rsid w:val="004A1B25"/>
    <w:rsid w:val="004A1C88"/>
    <w:rsid w:val="004A1D61"/>
    <w:rsid w:val="004A276E"/>
    <w:rsid w:val="004A2C5F"/>
    <w:rsid w:val="004A355A"/>
    <w:rsid w:val="004A3823"/>
    <w:rsid w:val="004A3A6D"/>
    <w:rsid w:val="004A3DED"/>
    <w:rsid w:val="004A4B32"/>
    <w:rsid w:val="004A4B6C"/>
    <w:rsid w:val="004A4DCE"/>
    <w:rsid w:val="004A51AA"/>
    <w:rsid w:val="004A51CE"/>
    <w:rsid w:val="004A56AB"/>
    <w:rsid w:val="004A59C6"/>
    <w:rsid w:val="004A5CAE"/>
    <w:rsid w:val="004A5FE0"/>
    <w:rsid w:val="004A60E2"/>
    <w:rsid w:val="004A64CE"/>
    <w:rsid w:val="004A675F"/>
    <w:rsid w:val="004A6AB5"/>
    <w:rsid w:val="004A6FCB"/>
    <w:rsid w:val="004A7525"/>
    <w:rsid w:val="004A7BCD"/>
    <w:rsid w:val="004A7D20"/>
    <w:rsid w:val="004A7DD1"/>
    <w:rsid w:val="004A7E0D"/>
    <w:rsid w:val="004B05AF"/>
    <w:rsid w:val="004B09B8"/>
    <w:rsid w:val="004B0A46"/>
    <w:rsid w:val="004B0C3E"/>
    <w:rsid w:val="004B0E25"/>
    <w:rsid w:val="004B10A7"/>
    <w:rsid w:val="004B196D"/>
    <w:rsid w:val="004B2320"/>
    <w:rsid w:val="004B2461"/>
    <w:rsid w:val="004B24C4"/>
    <w:rsid w:val="004B288E"/>
    <w:rsid w:val="004B28E7"/>
    <w:rsid w:val="004B2E90"/>
    <w:rsid w:val="004B31C8"/>
    <w:rsid w:val="004B3231"/>
    <w:rsid w:val="004B33D3"/>
    <w:rsid w:val="004B34D0"/>
    <w:rsid w:val="004B3B7A"/>
    <w:rsid w:val="004B3C8A"/>
    <w:rsid w:val="004B447C"/>
    <w:rsid w:val="004B44A5"/>
    <w:rsid w:val="004B451D"/>
    <w:rsid w:val="004B4649"/>
    <w:rsid w:val="004B4799"/>
    <w:rsid w:val="004B4EC1"/>
    <w:rsid w:val="004B4FB2"/>
    <w:rsid w:val="004B521C"/>
    <w:rsid w:val="004B5227"/>
    <w:rsid w:val="004B527C"/>
    <w:rsid w:val="004B53E0"/>
    <w:rsid w:val="004B5C5B"/>
    <w:rsid w:val="004B62E7"/>
    <w:rsid w:val="004B645B"/>
    <w:rsid w:val="004B6492"/>
    <w:rsid w:val="004B6533"/>
    <w:rsid w:val="004B6879"/>
    <w:rsid w:val="004B6C5A"/>
    <w:rsid w:val="004B6C67"/>
    <w:rsid w:val="004B6D51"/>
    <w:rsid w:val="004B737C"/>
    <w:rsid w:val="004B7434"/>
    <w:rsid w:val="004B75B1"/>
    <w:rsid w:val="004B7AB7"/>
    <w:rsid w:val="004B7AF9"/>
    <w:rsid w:val="004B7BB3"/>
    <w:rsid w:val="004B7C5C"/>
    <w:rsid w:val="004C0141"/>
    <w:rsid w:val="004C079C"/>
    <w:rsid w:val="004C0976"/>
    <w:rsid w:val="004C09AF"/>
    <w:rsid w:val="004C19EA"/>
    <w:rsid w:val="004C19FC"/>
    <w:rsid w:val="004C1A8E"/>
    <w:rsid w:val="004C2952"/>
    <w:rsid w:val="004C312B"/>
    <w:rsid w:val="004C327F"/>
    <w:rsid w:val="004C3B60"/>
    <w:rsid w:val="004C4845"/>
    <w:rsid w:val="004C4AE2"/>
    <w:rsid w:val="004C56C5"/>
    <w:rsid w:val="004C5EE7"/>
    <w:rsid w:val="004C6FA6"/>
    <w:rsid w:val="004C7140"/>
    <w:rsid w:val="004C746C"/>
    <w:rsid w:val="004C7498"/>
    <w:rsid w:val="004C7810"/>
    <w:rsid w:val="004D08DD"/>
    <w:rsid w:val="004D093B"/>
    <w:rsid w:val="004D0C39"/>
    <w:rsid w:val="004D0F8D"/>
    <w:rsid w:val="004D1284"/>
    <w:rsid w:val="004D1378"/>
    <w:rsid w:val="004D1685"/>
    <w:rsid w:val="004D1CD4"/>
    <w:rsid w:val="004D1DAC"/>
    <w:rsid w:val="004D220F"/>
    <w:rsid w:val="004D23E2"/>
    <w:rsid w:val="004D25DD"/>
    <w:rsid w:val="004D2D50"/>
    <w:rsid w:val="004D325F"/>
    <w:rsid w:val="004D343A"/>
    <w:rsid w:val="004D35CB"/>
    <w:rsid w:val="004D364A"/>
    <w:rsid w:val="004D3678"/>
    <w:rsid w:val="004D3AE2"/>
    <w:rsid w:val="004D3C91"/>
    <w:rsid w:val="004D3F9C"/>
    <w:rsid w:val="004D4184"/>
    <w:rsid w:val="004D4700"/>
    <w:rsid w:val="004D4A43"/>
    <w:rsid w:val="004D4C76"/>
    <w:rsid w:val="004D5484"/>
    <w:rsid w:val="004D5495"/>
    <w:rsid w:val="004D5827"/>
    <w:rsid w:val="004D6349"/>
    <w:rsid w:val="004D6504"/>
    <w:rsid w:val="004D656E"/>
    <w:rsid w:val="004D6772"/>
    <w:rsid w:val="004D6E0F"/>
    <w:rsid w:val="004D70BA"/>
    <w:rsid w:val="004D7154"/>
    <w:rsid w:val="004D7247"/>
    <w:rsid w:val="004D725A"/>
    <w:rsid w:val="004D7604"/>
    <w:rsid w:val="004D7703"/>
    <w:rsid w:val="004D799A"/>
    <w:rsid w:val="004D7ED0"/>
    <w:rsid w:val="004E03A9"/>
    <w:rsid w:val="004E045E"/>
    <w:rsid w:val="004E10B4"/>
    <w:rsid w:val="004E1124"/>
    <w:rsid w:val="004E129C"/>
    <w:rsid w:val="004E1C69"/>
    <w:rsid w:val="004E1F05"/>
    <w:rsid w:val="004E27B7"/>
    <w:rsid w:val="004E2957"/>
    <w:rsid w:val="004E29E4"/>
    <w:rsid w:val="004E2BE1"/>
    <w:rsid w:val="004E3399"/>
    <w:rsid w:val="004E33F6"/>
    <w:rsid w:val="004E3713"/>
    <w:rsid w:val="004E44E0"/>
    <w:rsid w:val="004E4927"/>
    <w:rsid w:val="004E4998"/>
    <w:rsid w:val="004E4B72"/>
    <w:rsid w:val="004E4D79"/>
    <w:rsid w:val="004E50B0"/>
    <w:rsid w:val="004E54E4"/>
    <w:rsid w:val="004E55FE"/>
    <w:rsid w:val="004E6625"/>
    <w:rsid w:val="004E6A80"/>
    <w:rsid w:val="004E7644"/>
    <w:rsid w:val="004E787E"/>
    <w:rsid w:val="004F031F"/>
    <w:rsid w:val="004F0346"/>
    <w:rsid w:val="004F0508"/>
    <w:rsid w:val="004F058C"/>
    <w:rsid w:val="004F069B"/>
    <w:rsid w:val="004F0CB5"/>
    <w:rsid w:val="004F0E6E"/>
    <w:rsid w:val="004F14E2"/>
    <w:rsid w:val="004F1C12"/>
    <w:rsid w:val="004F2049"/>
    <w:rsid w:val="004F24F5"/>
    <w:rsid w:val="004F2A7D"/>
    <w:rsid w:val="004F2AA4"/>
    <w:rsid w:val="004F2C75"/>
    <w:rsid w:val="004F2C7C"/>
    <w:rsid w:val="004F2CB6"/>
    <w:rsid w:val="004F34C3"/>
    <w:rsid w:val="004F39A6"/>
    <w:rsid w:val="004F3B8E"/>
    <w:rsid w:val="004F3CC7"/>
    <w:rsid w:val="004F3E4D"/>
    <w:rsid w:val="004F3FB2"/>
    <w:rsid w:val="004F40FE"/>
    <w:rsid w:val="004F4238"/>
    <w:rsid w:val="004F44AF"/>
    <w:rsid w:val="004F4ACD"/>
    <w:rsid w:val="004F4EE1"/>
    <w:rsid w:val="004F4F81"/>
    <w:rsid w:val="004F541F"/>
    <w:rsid w:val="004F5586"/>
    <w:rsid w:val="004F56CA"/>
    <w:rsid w:val="004F5725"/>
    <w:rsid w:val="004F5813"/>
    <w:rsid w:val="004F60E8"/>
    <w:rsid w:val="004F618C"/>
    <w:rsid w:val="004F65E1"/>
    <w:rsid w:val="004F66FB"/>
    <w:rsid w:val="004F68D8"/>
    <w:rsid w:val="004F6A3A"/>
    <w:rsid w:val="004F6D72"/>
    <w:rsid w:val="004F6D78"/>
    <w:rsid w:val="004F6F09"/>
    <w:rsid w:val="004F760B"/>
    <w:rsid w:val="004F7884"/>
    <w:rsid w:val="004F7A0E"/>
    <w:rsid w:val="004F7F33"/>
    <w:rsid w:val="00500C8D"/>
    <w:rsid w:val="00500EE5"/>
    <w:rsid w:val="00500F34"/>
    <w:rsid w:val="00501051"/>
    <w:rsid w:val="005011D9"/>
    <w:rsid w:val="005011F5"/>
    <w:rsid w:val="00501597"/>
    <w:rsid w:val="005018D8"/>
    <w:rsid w:val="00501B4C"/>
    <w:rsid w:val="00501D77"/>
    <w:rsid w:val="00502441"/>
    <w:rsid w:val="00502720"/>
    <w:rsid w:val="00502805"/>
    <w:rsid w:val="00502843"/>
    <w:rsid w:val="00502B67"/>
    <w:rsid w:val="00502BD9"/>
    <w:rsid w:val="00502F04"/>
    <w:rsid w:val="00502F9C"/>
    <w:rsid w:val="005036CB"/>
    <w:rsid w:val="00503951"/>
    <w:rsid w:val="00503D2C"/>
    <w:rsid w:val="00503E35"/>
    <w:rsid w:val="00503F3E"/>
    <w:rsid w:val="005040E2"/>
    <w:rsid w:val="0050437C"/>
    <w:rsid w:val="00504503"/>
    <w:rsid w:val="00504E55"/>
    <w:rsid w:val="00505C77"/>
    <w:rsid w:val="00505D9F"/>
    <w:rsid w:val="00505E80"/>
    <w:rsid w:val="00505F68"/>
    <w:rsid w:val="005062CF"/>
    <w:rsid w:val="00506879"/>
    <w:rsid w:val="00506BD9"/>
    <w:rsid w:val="00507051"/>
    <w:rsid w:val="00507846"/>
    <w:rsid w:val="0051084C"/>
    <w:rsid w:val="00510B2B"/>
    <w:rsid w:val="00510F42"/>
    <w:rsid w:val="00511030"/>
    <w:rsid w:val="005114F5"/>
    <w:rsid w:val="00511699"/>
    <w:rsid w:val="005119EF"/>
    <w:rsid w:val="00511E2F"/>
    <w:rsid w:val="0051216E"/>
    <w:rsid w:val="00512391"/>
    <w:rsid w:val="0051248E"/>
    <w:rsid w:val="005125AA"/>
    <w:rsid w:val="00512616"/>
    <w:rsid w:val="005127D2"/>
    <w:rsid w:val="005129F2"/>
    <w:rsid w:val="00512A10"/>
    <w:rsid w:val="00512EAC"/>
    <w:rsid w:val="0051342F"/>
    <w:rsid w:val="00513778"/>
    <w:rsid w:val="00513968"/>
    <w:rsid w:val="00513A87"/>
    <w:rsid w:val="00513FCB"/>
    <w:rsid w:val="00514515"/>
    <w:rsid w:val="0051487F"/>
    <w:rsid w:val="0051496F"/>
    <w:rsid w:val="00514A6B"/>
    <w:rsid w:val="00514B76"/>
    <w:rsid w:val="00514E1B"/>
    <w:rsid w:val="00515186"/>
    <w:rsid w:val="005157FA"/>
    <w:rsid w:val="00515D87"/>
    <w:rsid w:val="00515DB2"/>
    <w:rsid w:val="00515ECF"/>
    <w:rsid w:val="0051661A"/>
    <w:rsid w:val="0051684D"/>
    <w:rsid w:val="0051685D"/>
    <w:rsid w:val="005168E7"/>
    <w:rsid w:val="0051698D"/>
    <w:rsid w:val="00516C23"/>
    <w:rsid w:val="00516CBB"/>
    <w:rsid w:val="00517534"/>
    <w:rsid w:val="00517D53"/>
    <w:rsid w:val="005203DE"/>
    <w:rsid w:val="00520420"/>
    <w:rsid w:val="005207F2"/>
    <w:rsid w:val="00520A44"/>
    <w:rsid w:val="00520CCB"/>
    <w:rsid w:val="00520D68"/>
    <w:rsid w:val="00520F74"/>
    <w:rsid w:val="00521612"/>
    <w:rsid w:val="0052162F"/>
    <w:rsid w:val="00521831"/>
    <w:rsid w:val="00521DE7"/>
    <w:rsid w:val="00522091"/>
    <w:rsid w:val="00522263"/>
    <w:rsid w:val="0052287B"/>
    <w:rsid w:val="005228F5"/>
    <w:rsid w:val="00522C77"/>
    <w:rsid w:val="00523301"/>
    <w:rsid w:val="00523EA2"/>
    <w:rsid w:val="00523ED6"/>
    <w:rsid w:val="00524B48"/>
    <w:rsid w:val="00525443"/>
    <w:rsid w:val="00525868"/>
    <w:rsid w:val="00525890"/>
    <w:rsid w:val="005259CF"/>
    <w:rsid w:val="00526185"/>
    <w:rsid w:val="00526274"/>
    <w:rsid w:val="005263C2"/>
    <w:rsid w:val="0052651B"/>
    <w:rsid w:val="00526DE3"/>
    <w:rsid w:val="005272D7"/>
    <w:rsid w:val="00527517"/>
    <w:rsid w:val="00527651"/>
    <w:rsid w:val="0052766E"/>
    <w:rsid w:val="00527A10"/>
    <w:rsid w:val="00530290"/>
    <w:rsid w:val="0053094F"/>
    <w:rsid w:val="00530AEE"/>
    <w:rsid w:val="00530B08"/>
    <w:rsid w:val="00531F5B"/>
    <w:rsid w:val="00532505"/>
    <w:rsid w:val="00532B43"/>
    <w:rsid w:val="00532C3A"/>
    <w:rsid w:val="00532D7D"/>
    <w:rsid w:val="005334B3"/>
    <w:rsid w:val="005336DC"/>
    <w:rsid w:val="0053457A"/>
    <w:rsid w:val="00534C4E"/>
    <w:rsid w:val="00534E40"/>
    <w:rsid w:val="00534F2A"/>
    <w:rsid w:val="00535179"/>
    <w:rsid w:val="00535924"/>
    <w:rsid w:val="00535933"/>
    <w:rsid w:val="00535BAC"/>
    <w:rsid w:val="00536340"/>
    <w:rsid w:val="00536374"/>
    <w:rsid w:val="00536447"/>
    <w:rsid w:val="00536599"/>
    <w:rsid w:val="00536A17"/>
    <w:rsid w:val="00536AAE"/>
    <w:rsid w:val="005370C0"/>
    <w:rsid w:val="00537C19"/>
    <w:rsid w:val="00537CC1"/>
    <w:rsid w:val="00537D9B"/>
    <w:rsid w:val="00537E90"/>
    <w:rsid w:val="00540091"/>
    <w:rsid w:val="005406EE"/>
    <w:rsid w:val="00540F07"/>
    <w:rsid w:val="00541153"/>
    <w:rsid w:val="00541311"/>
    <w:rsid w:val="005414C7"/>
    <w:rsid w:val="00541633"/>
    <w:rsid w:val="00541CAC"/>
    <w:rsid w:val="00542031"/>
    <w:rsid w:val="00542322"/>
    <w:rsid w:val="00542469"/>
    <w:rsid w:val="005427D1"/>
    <w:rsid w:val="00542892"/>
    <w:rsid w:val="00542EA1"/>
    <w:rsid w:val="005437AC"/>
    <w:rsid w:val="00543845"/>
    <w:rsid w:val="0054387C"/>
    <w:rsid w:val="00543B51"/>
    <w:rsid w:val="00543DA2"/>
    <w:rsid w:val="005443F5"/>
    <w:rsid w:val="00544723"/>
    <w:rsid w:val="0054494C"/>
    <w:rsid w:val="00544C81"/>
    <w:rsid w:val="00544D57"/>
    <w:rsid w:val="005451E3"/>
    <w:rsid w:val="005454DE"/>
    <w:rsid w:val="00545507"/>
    <w:rsid w:val="00545618"/>
    <w:rsid w:val="00545703"/>
    <w:rsid w:val="005465A1"/>
    <w:rsid w:val="00546696"/>
    <w:rsid w:val="00546CDC"/>
    <w:rsid w:val="0054741C"/>
    <w:rsid w:val="0054750F"/>
    <w:rsid w:val="005477B5"/>
    <w:rsid w:val="005478D5"/>
    <w:rsid w:val="00550074"/>
    <w:rsid w:val="0055008C"/>
    <w:rsid w:val="0055047A"/>
    <w:rsid w:val="00550D0E"/>
    <w:rsid w:val="005512E1"/>
    <w:rsid w:val="00551400"/>
    <w:rsid w:val="00551636"/>
    <w:rsid w:val="00551B03"/>
    <w:rsid w:val="0055200E"/>
    <w:rsid w:val="00552B1E"/>
    <w:rsid w:val="00552B38"/>
    <w:rsid w:val="00553217"/>
    <w:rsid w:val="00553291"/>
    <w:rsid w:val="00553313"/>
    <w:rsid w:val="00553382"/>
    <w:rsid w:val="0055346B"/>
    <w:rsid w:val="00554118"/>
    <w:rsid w:val="0055416A"/>
    <w:rsid w:val="0055420B"/>
    <w:rsid w:val="0055431D"/>
    <w:rsid w:val="00554452"/>
    <w:rsid w:val="00554978"/>
    <w:rsid w:val="00554D5B"/>
    <w:rsid w:val="00554D8C"/>
    <w:rsid w:val="00555141"/>
    <w:rsid w:val="005555D3"/>
    <w:rsid w:val="005557D7"/>
    <w:rsid w:val="005558A8"/>
    <w:rsid w:val="005558EF"/>
    <w:rsid w:val="00555F73"/>
    <w:rsid w:val="005561F4"/>
    <w:rsid w:val="0055643A"/>
    <w:rsid w:val="00556478"/>
    <w:rsid w:val="005567E1"/>
    <w:rsid w:val="0055720A"/>
    <w:rsid w:val="0055755B"/>
    <w:rsid w:val="005575DD"/>
    <w:rsid w:val="0055760A"/>
    <w:rsid w:val="00557D74"/>
    <w:rsid w:val="00557F75"/>
    <w:rsid w:val="00560186"/>
    <w:rsid w:val="0056039A"/>
    <w:rsid w:val="005604B4"/>
    <w:rsid w:val="00560835"/>
    <w:rsid w:val="00560B95"/>
    <w:rsid w:val="00560BE2"/>
    <w:rsid w:val="00561387"/>
    <w:rsid w:val="00561588"/>
    <w:rsid w:val="00561664"/>
    <w:rsid w:val="005619C5"/>
    <w:rsid w:val="00561AD8"/>
    <w:rsid w:val="00561CAD"/>
    <w:rsid w:val="00562F06"/>
    <w:rsid w:val="00563122"/>
    <w:rsid w:val="00563541"/>
    <w:rsid w:val="00563B67"/>
    <w:rsid w:val="00564154"/>
    <w:rsid w:val="005643AA"/>
    <w:rsid w:val="0056442B"/>
    <w:rsid w:val="0056461F"/>
    <w:rsid w:val="00564A5A"/>
    <w:rsid w:val="00564BB8"/>
    <w:rsid w:val="005654E1"/>
    <w:rsid w:val="005654E3"/>
    <w:rsid w:val="00565BD2"/>
    <w:rsid w:val="00565EDA"/>
    <w:rsid w:val="00565FEC"/>
    <w:rsid w:val="0056609A"/>
    <w:rsid w:val="00566130"/>
    <w:rsid w:val="00566375"/>
    <w:rsid w:val="0056660D"/>
    <w:rsid w:val="00566A50"/>
    <w:rsid w:val="00566C23"/>
    <w:rsid w:val="00566E45"/>
    <w:rsid w:val="005671DD"/>
    <w:rsid w:val="00567501"/>
    <w:rsid w:val="005676CE"/>
    <w:rsid w:val="005677D3"/>
    <w:rsid w:val="00567A27"/>
    <w:rsid w:val="005700E2"/>
    <w:rsid w:val="00570362"/>
    <w:rsid w:val="005703C9"/>
    <w:rsid w:val="00570CAC"/>
    <w:rsid w:val="00570E8E"/>
    <w:rsid w:val="005711BC"/>
    <w:rsid w:val="0057136E"/>
    <w:rsid w:val="00571520"/>
    <w:rsid w:val="00571563"/>
    <w:rsid w:val="00571D78"/>
    <w:rsid w:val="00571F27"/>
    <w:rsid w:val="0057251B"/>
    <w:rsid w:val="00572528"/>
    <w:rsid w:val="005729E8"/>
    <w:rsid w:val="00572D7B"/>
    <w:rsid w:val="00572E34"/>
    <w:rsid w:val="00572F16"/>
    <w:rsid w:val="0057331A"/>
    <w:rsid w:val="00573367"/>
    <w:rsid w:val="00573556"/>
    <w:rsid w:val="00573971"/>
    <w:rsid w:val="00573B32"/>
    <w:rsid w:val="00573B94"/>
    <w:rsid w:val="00573CC6"/>
    <w:rsid w:val="00573DBE"/>
    <w:rsid w:val="0057427D"/>
    <w:rsid w:val="005743A8"/>
    <w:rsid w:val="00574612"/>
    <w:rsid w:val="00574B20"/>
    <w:rsid w:val="00574DEB"/>
    <w:rsid w:val="00574DF2"/>
    <w:rsid w:val="005750B0"/>
    <w:rsid w:val="005750BE"/>
    <w:rsid w:val="005756CA"/>
    <w:rsid w:val="005756DE"/>
    <w:rsid w:val="00575B0F"/>
    <w:rsid w:val="00575E5B"/>
    <w:rsid w:val="005760AF"/>
    <w:rsid w:val="005765DB"/>
    <w:rsid w:val="00576676"/>
    <w:rsid w:val="0057699E"/>
    <w:rsid w:val="00576B50"/>
    <w:rsid w:val="0057702F"/>
    <w:rsid w:val="00577181"/>
    <w:rsid w:val="005774DE"/>
    <w:rsid w:val="00577945"/>
    <w:rsid w:val="00577CFC"/>
    <w:rsid w:val="00580421"/>
    <w:rsid w:val="005805D3"/>
    <w:rsid w:val="005805E5"/>
    <w:rsid w:val="0058067D"/>
    <w:rsid w:val="00580AE1"/>
    <w:rsid w:val="00580E9A"/>
    <w:rsid w:val="00581292"/>
    <w:rsid w:val="005816DA"/>
    <w:rsid w:val="005818ED"/>
    <w:rsid w:val="00581AD9"/>
    <w:rsid w:val="00581B58"/>
    <w:rsid w:val="00581F0F"/>
    <w:rsid w:val="00582174"/>
    <w:rsid w:val="005821EF"/>
    <w:rsid w:val="00582248"/>
    <w:rsid w:val="00582694"/>
    <w:rsid w:val="00582830"/>
    <w:rsid w:val="00582875"/>
    <w:rsid w:val="00582891"/>
    <w:rsid w:val="00582C5E"/>
    <w:rsid w:val="00582D4F"/>
    <w:rsid w:val="005836E6"/>
    <w:rsid w:val="00583702"/>
    <w:rsid w:val="00583B73"/>
    <w:rsid w:val="00583C70"/>
    <w:rsid w:val="005846CA"/>
    <w:rsid w:val="005849F4"/>
    <w:rsid w:val="00584ADE"/>
    <w:rsid w:val="00584C30"/>
    <w:rsid w:val="00584C50"/>
    <w:rsid w:val="00584ECD"/>
    <w:rsid w:val="0058519F"/>
    <w:rsid w:val="00585294"/>
    <w:rsid w:val="005854D1"/>
    <w:rsid w:val="00585532"/>
    <w:rsid w:val="00585664"/>
    <w:rsid w:val="005859D7"/>
    <w:rsid w:val="00585B3A"/>
    <w:rsid w:val="00585BF9"/>
    <w:rsid w:val="0058608E"/>
    <w:rsid w:val="005860D3"/>
    <w:rsid w:val="00586547"/>
    <w:rsid w:val="00586755"/>
    <w:rsid w:val="00586961"/>
    <w:rsid w:val="00586BAE"/>
    <w:rsid w:val="00586BC2"/>
    <w:rsid w:val="00586E2C"/>
    <w:rsid w:val="00587217"/>
    <w:rsid w:val="00587A93"/>
    <w:rsid w:val="00587CA2"/>
    <w:rsid w:val="00587DEA"/>
    <w:rsid w:val="00587F5A"/>
    <w:rsid w:val="0059022D"/>
    <w:rsid w:val="005904EF"/>
    <w:rsid w:val="00590711"/>
    <w:rsid w:val="0059131F"/>
    <w:rsid w:val="005913E6"/>
    <w:rsid w:val="00591589"/>
    <w:rsid w:val="005918A2"/>
    <w:rsid w:val="00591980"/>
    <w:rsid w:val="00591DA7"/>
    <w:rsid w:val="00591E80"/>
    <w:rsid w:val="0059220A"/>
    <w:rsid w:val="0059238A"/>
    <w:rsid w:val="0059248D"/>
    <w:rsid w:val="00592D25"/>
    <w:rsid w:val="00592FE7"/>
    <w:rsid w:val="00593344"/>
    <w:rsid w:val="005933BF"/>
    <w:rsid w:val="00593832"/>
    <w:rsid w:val="00593B81"/>
    <w:rsid w:val="00593CF2"/>
    <w:rsid w:val="00593E96"/>
    <w:rsid w:val="0059406B"/>
    <w:rsid w:val="00594196"/>
    <w:rsid w:val="00594622"/>
    <w:rsid w:val="00594636"/>
    <w:rsid w:val="005948A9"/>
    <w:rsid w:val="00594E03"/>
    <w:rsid w:val="00595086"/>
    <w:rsid w:val="005950AD"/>
    <w:rsid w:val="005950E5"/>
    <w:rsid w:val="0059525F"/>
    <w:rsid w:val="005959F6"/>
    <w:rsid w:val="00595C6C"/>
    <w:rsid w:val="00595CF2"/>
    <w:rsid w:val="00595E50"/>
    <w:rsid w:val="00595FB5"/>
    <w:rsid w:val="0059626D"/>
    <w:rsid w:val="0059637C"/>
    <w:rsid w:val="005964AD"/>
    <w:rsid w:val="005966A4"/>
    <w:rsid w:val="005968FD"/>
    <w:rsid w:val="00596ADD"/>
    <w:rsid w:val="005974C7"/>
    <w:rsid w:val="00597AE8"/>
    <w:rsid w:val="00597B0B"/>
    <w:rsid w:val="00597CA8"/>
    <w:rsid w:val="00597CBB"/>
    <w:rsid w:val="00597FE8"/>
    <w:rsid w:val="005A002D"/>
    <w:rsid w:val="005A021D"/>
    <w:rsid w:val="005A0CA7"/>
    <w:rsid w:val="005A0CB8"/>
    <w:rsid w:val="005A0D0C"/>
    <w:rsid w:val="005A0F0F"/>
    <w:rsid w:val="005A1FBF"/>
    <w:rsid w:val="005A1FC1"/>
    <w:rsid w:val="005A208E"/>
    <w:rsid w:val="005A26DB"/>
    <w:rsid w:val="005A2828"/>
    <w:rsid w:val="005A28DA"/>
    <w:rsid w:val="005A2B86"/>
    <w:rsid w:val="005A2EE6"/>
    <w:rsid w:val="005A2F18"/>
    <w:rsid w:val="005A35B7"/>
    <w:rsid w:val="005A386E"/>
    <w:rsid w:val="005A38C7"/>
    <w:rsid w:val="005A3BC4"/>
    <w:rsid w:val="005A3D80"/>
    <w:rsid w:val="005A425D"/>
    <w:rsid w:val="005A42D5"/>
    <w:rsid w:val="005A435F"/>
    <w:rsid w:val="005A43C5"/>
    <w:rsid w:val="005A43C6"/>
    <w:rsid w:val="005A444E"/>
    <w:rsid w:val="005A4D85"/>
    <w:rsid w:val="005A4D9A"/>
    <w:rsid w:val="005A4F37"/>
    <w:rsid w:val="005A53E9"/>
    <w:rsid w:val="005A5858"/>
    <w:rsid w:val="005A6204"/>
    <w:rsid w:val="005A63C8"/>
    <w:rsid w:val="005A6991"/>
    <w:rsid w:val="005A70A5"/>
    <w:rsid w:val="005A72D8"/>
    <w:rsid w:val="005A7722"/>
    <w:rsid w:val="005A7730"/>
    <w:rsid w:val="005B0195"/>
    <w:rsid w:val="005B0592"/>
    <w:rsid w:val="005B0862"/>
    <w:rsid w:val="005B0AA3"/>
    <w:rsid w:val="005B14F0"/>
    <w:rsid w:val="005B1BCF"/>
    <w:rsid w:val="005B1C66"/>
    <w:rsid w:val="005B1CB4"/>
    <w:rsid w:val="005B2400"/>
    <w:rsid w:val="005B2876"/>
    <w:rsid w:val="005B28D5"/>
    <w:rsid w:val="005B2F44"/>
    <w:rsid w:val="005B2F62"/>
    <w:rsid w:val="005B3D1B"/>
    <w:rsid w:val="005B3E4C"/>
    <w:rsid w:val="005B3EB7"/>
    <w:rsid w:val="005B45AF"/>
    <w:rsid w:val="005B4A1D"/>
    <w:rsid w:val="005B4A2E"/>
    <w:rsid w:val="005B4A8C"/>
    <w:rsid w:val="005B500F"/>
    <w:rsid w:val="005B527D"/>
    <w:rsid w:val="005B548A"/>
    <w:rsid w:val="005B55F2"/>
    <w:rsid w:val="005B5954"/>
    <w:rsid w:val="005B5BC3"/>
    <w:rsid w:val="005B5CDB"/>
    <w:rsid w:val="005B5D1A"/>
    <w:rsid w:val="005B63F6"/>
    <w:rsid w:val="005B64EA"/>
    <w:rsid w:val="005B6681"/>
    <w:rsid w:val="005B6896"/>
    <w:rsid w:val="005B6A38"/>
    <w:rsid w:val="005B7015"/>
    <w:rsid w:val="005B7594"/>
    <w:rsid w:val="005B78F3"/>
    <w:rsid w:val="005B7E14"/>
    <w:rsid w:val="005B7EB7"/>
    <w:rsid w:val="005C01C1"/>
    <w:rsid w:val="005C15D6"/>
    <w:rsid w:val="005C1660"/>
    <w:rsid w:val="005C2125"/>
    <w:rsid w:val="005C23F5"/>
    <w:rsid w:val="005C2A7E"/>
    <w:rsid w:val="005C2A9E"/>
    <w:rsid w:val="005C2DF1"/>
    <w:rsid w:val="005C2EA8"/>
    <w:rsid w:val="005C3006"/>
    <w:rsid w:val="005C3151"/>
    <w:rsid w:val="005C37C2"/>
    <w:rsid w:val="005C37DC"/>
    <w:rsid w:val="005C3915"/>
    <w:rsid w:val="005C3C8F"/>
    <w:rsid w:val="005C4119"/>
    <w:rsid w:val="005C42B2"/>
    <w:rsid w:val="005C4541"/>
    <w:rsid w:val="005C469F"/>
    <w:rsid w:val="005C47A0"/>
    <w:rsid w:val="005C4A2E"/>
    <w:rsid w:val="005C4D75"/>
    <w:rsid w:val="005C5048"/>
    <w:rsid w:val="005C511D"/>
    <w:rsid w:val="005C5527"/>
    <w:rsid w:val="005C56A5"/>
    <w:rsid w:val="005C5A3B"/>
    <w:rsid w:val="005C5C7B"/>
    <w:rsid w:val="005C5F74"/>
    <w:rsid w:val="005C666C"/>
    <w:rsid w:val="005C67F6"/>
    <w:rsid w:val="005C6CC3"/>
    <w:rsid w:val="005C7635"/>
    <w:rsid w:val="005C792F"/>
    <w:rsid w:val="005C7AD3"/>
    <w:rsid w:val="005C7B91"/>
    <w:rsid w:val="005C7C75"/>
    <w:rsid w:val="005D0306"/>
    <w:rsid w:val="005D0723"/>
    <w:rsid w:val="005D08AB"/>
    <w:rsid w:val="005D08CC"/>
    <w:rsid w:val="005D0AE1"/>
    <w:rsid w:val="005D0BC6"/>
    <w:rsid w:val="005D1193"/>
    <w:rsid w:val="005D1388"/>
    <w:rsid w:val="005D159A"/>
    <w:rsid w:val="005D197C"/>
    <w:rsid w:val="005D1C23"/>
    <w:rsid w:val="005D1C83"/>
    <w:rsid w:val="005D1D8A"/>
    <w:rsid w:val="005D1D9B"/>
    <w:rsid w:val="005D2001"/>
    <w:rsid w:val="005D2061"/>
    <w:rsid w:val="005D2AB1"/>
    <w:rsid w:val="005D358A"/>
    <w:rsid w:val="005D35E3"/>
    <w:rsid w:val="005D3893"/>
    <w:rsid w:val="005D38A3"/>
    <w:rsid w:val="005D39B4"/>
    <w:rsid w:val="005D3BD4"/>
    <w:rsid w:val="005D4155"/>
    <w:rsid w:val="005D433C"/>
    <w:rsid w:val="005D441D"/>
    <w:rsid w:val="005D45D0"/>
    <w:rsid w:val="005D45D4"/>
    <w:rsid w:val="005D4758"/>
    <w:rsid w:val="005D4843"/>
    <w:rsid w:val="005D4EB5"/>
    <w:rsid w:val="005D4FCE"/>
    <w:rsid w:val="005D55AF"/>
    <w:rsid w:val="005D5628"/>
    <w:rsid w:val="005D5689"/>
    <w:rsid w:val="005D5703"/>
    <w:rsid w:val="005D5CA0"/>
    <w:rsid w:val="005D604A"/>
    <w:rsid w:val="005D6271"/>
    <w:rsid w:val="005D63CE"/>
    <w:rsid w:val="005D64FE"/>
    <w:rsid w:val="005D65AA"/>
    <w:rsid w:val="005D6738"/>
    <w:rsid w:val="005D6853"/>
    <w:rsid w:val="005D68E2"/>
    <w:rsid w:val="005D70E1"/>
    <w:rsid w:val="005E0009"/>
    <w:rsid w:val="005E013D"/>
    <w:rsid w:val="005E062D"/>
    <w:rsid w:val="005E0793"/>
    <w:rsid w:val="005E0B0F"/>
    <w:rsid w:val="005E0C57"/>
    <w:rsid w:val="005E0E72"/>
    <w:rsid w:val="005E0EAB"/>
    <w:rsid w:val="005E1756"/>
    <w:rsid w:val="005E2106"/>
    <w:rsid w:val="005E25B7"/>
    <w:rsid w:val="005E2897"/>
    <w:rsid w:val="005E2A27"/>
    <w:rsid w:val="005E2BE8"/>
    <w:rsid w:val="005E330F"/>
    <w:rsid w:val="005E34A5"/>
    <w:rsid w:val="005E3982"/>
    <w:rsid w:val="005E3DE3"/>
    <w:rsid w:val="005E3ED7"/>
    <w:rsid w:val="005E3FF8"/>
    <w:rsid w:val="005E417C"/>
    <w:rsid w:val="005E4275"/>
    <w:rsid w:val="005E4AFD"/>
    <w:rsid w:val="005E4BCC"/>
    <w:rsid w:val="005E4C05"/>
    <w:rsid w:val="005E53ED"/>
    <w:rsid w:val="005E57D2"/>
    <w:rsid w:val="005E589D"/>
    <w:rsid w:val="005E5C7E"/>
    <w:rsid w:val="005E5DB9"/>
    <w:rsid w:val="005E5E3F"/>
    <w:rsid w:val="005E60BE"/>
    <w:rsid w:val="005E6258"/>
    <w:rsid w:val="005E6D5D"/>
    <w:rsid w:val="005E705E"/>
    <w:rsid w:val="005E7882"/>
    <w:rsid w:val="005E7B6E"/>
    <w:rsid w:val="005E7BBF"/>
    <w:rsid w:val="005E7E24"/>
    <w:rsid w:val="005F08BF"/>
    <w:rsid w:val="005F0E85"/>
    <w:rsid w:val="005F1055"/>
    <w:rsid w:val="005F11F0"/>
    <w:rsid w:val="005F1376"/>
    <w:rsid w:val="005F1674"/>
    <w:rsid w:val="005F171D"/>
    <w:rsid w:val="005F17B5"/>
    <w:rsid w:val="005F1BFB"/>
    <w:rsid w:val="005F1DE4"/>
    <w:rsid w:val="005F20B5"/>
    <w:rsid w:val="005F2361"/>
    <w:rsid w:val="005F248B"/>
    <w:rsid w:val="005F2A15"/>
    <w:rsid w:val="005F2A1B"/>
    <w:rsid w:val="005F2C24"/>
    <w:rsid w:val="005F2E56"/>
    <w:rsid w:val="005F2FB6"/>
    <w:rsid w:val="005F337F"/>
    <w:rsid w:val="005F3673"/>
    <w:rsid w:val="005F3E9B"/>
    <w:rsid w:val="005F436B"/>
    <w:rsid w:val="005F537A"/>
    <w:rsid w:val="005F547C"/>
    <w:rsid w:val="005F55CF"/>
    <w:rsid w:val="005F563F"/>
    <w:rsid w:val="005F5AE7"/>
    <w:rsid w:val="005F6218"/>
    <w:rsid w:val="005F6229"/>
    <w:rsid w:val="005F6277"/>
    <w:rsid w:val="005F63BF"/>
    <w:rsid w:val="005F69F4"/>
    <w:rsid w:val="005F6DDA"/>
    <w:rsid w:val="005F7583"/>
    <w:rsid w:val="005F770E"/>
    <w:rsid w:val="005F77C7"/>
    <w:rsid w:val="005F7822"/>
    <w:rsid w:val="005F7C0C"/>
    <w:rsid w:val="005F7D67"/>
    <w:rsid w:val="0060016B"/>
    <w:rsid w:val="0060058A"/>
    <w:rsid w:val="00600796"/>
    <w:rsid w:val="006007D7"/>
    <w:rsid w:val="00600C41"/>
    <w:rsid w:val="00600CD9"/>
    <w:rsid w:val="00600D80"/>
    <w:rsid w:val="00600FC9"/>
    <w:rsid w:val="006010B9"/>
    <w:rsid w:val="006010BA"/>
    <w:rsid w:val="006012BB"/>
    <w:rsid w:val="006017F5"/>
    <w:rsid w:val="00601C18"/>
    <w:rsid w:val="00602021"/>
    <w:rsid w:val="0060231F"/>
    <w:rsid w:val="0060239E"/>
    <w:rsid w:val="00602441"/>
    <w:rsid w:val="0060273E"/>
    <w:rsid w:val="006028D1"/>
    <w:rsid w:val="00602965"/>
    <w:rsid w:val="00602FA0"/>
    <w:rsid w:val="006030DD"/>
    <w:rsid w:val="00603236"/>
    <w:rsid w:val="0060344C"/>
    <w:rsid w:val="0060345D"/>
    <w:rsid w:val="00603B37"/>
    <w:rsid w:val="00603D4A"/>
    <w:rsid w:val="00603DA2"/>
    <w:rsid w:val="00603DE6"/>
    <w:rsid w:val="00603EB4"/>
    <w:rsid w:val="00603F34"/>
    <w:rsid w:val="00604480"/>
    <w:rsid w:val="00604F3F"/>
    <w:rsid w:val="00605206"/>
    <w:rsid w:val="00605753"/>
    <w:rsid w:val="00605A0B"/>
    <w:rsid w:val="00605E03"/>
    <w:rsid w:val="00606078"/>
    <w:rsid w:val="0060656F"/>
    <w:rsid w:val="006069F0"/>
    <w:rsid w:val="00606AAF"/>
    <w:rsid w:val="00606F64"/>
    <w:rsid w:val="00607698"/>
    <w:rsid w:val="006079A5"/>
    <w:rsid w:val="00607AF6"/>
    <w:rsid w:val="00607C8F"/>
    <w:rsid w:val="00610CD5"/>
    <w:rsid w:val="006112FE"/>
    <w:rsid w:val="006115A2"/>
    <w:rsid w:val="0061193B"/>
    <w:rsid w:val="0061228B"/>
    <w:rsid w:val="00612C86"/>
    <w:rsid w:val="00612CE2"/>
    <w:rsid w:val="00612DFE"/>
    <w:rsid w:val="00613098"/>
    <w:rsid w:val="006134A9"/>
    <w:rsid w:val="006139FC"/>
    <w:rsid w:val="00613CB0"/>
    <w:rsid w:val="00613D26"/>
    <w:rsid w:val="00614330"/>
    <w:rsid w:val="006148A6"/>
    <w:rsid w:val="0061496D"/>
    <w:rsid w:val="006149EC"/>
    <w:rsid w:val="00614C01"/>
    <w:rsid w:val="00615058"/>
    <w:rsid w:val="006150D5"/>
    <w:rsid w:val="00615289"/>
    <w:rsid w:val="00615441"/>
    <w:rsid w:val="00615F93"/>
    <w:rsid w:val="00615F97"/>
    <w:rsid w:val="00616437"/>
    <w:rsid w:val="006166BC"/>
    <w:rsid w:val="006167E9"/>
    <w:rsid w:val="006169E0"/>
    <w:rsid w:val="00616FA4"/>
    <w:rsid w:val="00616FE0"/>
    <w:rsid w:val="00617398"/>
    <w:rsid w:val="0061752C"/>
    <w:rsid w:val="00617DEE"/>
    <w:rsid w:val="00620037"/>
    <w:rsid w:val="00620048"/>
    <w:rsid w:val="006201A9"/>
    <w:rsid w:val="006201BC"/>
    <w:rsid w:val="00620308"/>
    <w:rsid w:val="006207A4"/>
    <w:rsid w:val="00620A7D"/>
    <w:rsid w:val="006212EE"/>
    <w:rsid w:val="0062151C"/>
    <w:rsid w:val="0062173B"/>
    <w:rsid w:val="00621BA5"/>
    <w:rsid w:val="00621FF8"/>
    <w:rsid w:val="00622013"/>
    <w:rsid w:val="006228C7"/>
    <w:rsid w:val="00622DD5"/>
    <w:rsid w:val="00623275"/>
    <w:rsid w:val="006235EB"/>
    <w:rsid w:val="00623933"/>
    <w:rsid w:val="00623A7D"/>
    <w:rsid w:val="00623BC3"/>
    <w:rsid w:val="00623FC2"/>
    <w:rsid w:val="006242D2"/>
    <w:rsid w:val="00624723"/>
    <w:rsid w:val="006247EC"/>
    <w:rsid w:val="006248A2"/>
    <w:rsid w:val="00624903"/>
    <w:rsid w:val="00624A08"/>
    <w:rsid w:val="00624EF7"/>
    <w:rsid w:val="00625099"/>
    <w:rsid w:val="00625183"/>
    <w:rsid w:val="0062533A"/>
    <w:rsid w:val="00625801"/>
    <w:rsid w:val="00626048"/>
    <w:rsid w:val="00626670"/>
    <w:rsid w:val="00626763"/>
    <w:rsid w:val="00626843"/>
    <w:rsid w:val="0062699D"/>
    <w:rsid w:val="00626B6C"/>
    <w:rsid w:val="00626BD6"/>
    <w:rsid w:val="00626CB7"/>
    <w:rsid w:val="00626CF4"/>
    <w:rsid w:val="00626D85"/>
    <w:rsid w:val="00627122"/>
    <w:rsid w:val="00627781"/>
    <w:rsid w:val="006277AC"/>
    <w:rsid w:val="0062784A"/>
    <w:rsid w:val="0062799C"/>
    <w:rsid w:val="00627B39"/>
    <w:rsid w:val="00627BEB"/>
    <w:rsid w:val="00627D40"/>
    <w:rsid w:val="00627D72"/>
    <w:rsid w:val="006300C9"/>
    <w:rsid w:val="00630190"/>
    <w:rsid w:val="00630538"/>
    <w:rsid w:val="00630855"/>
    <w:rsid w:val="00630CE1"/>
    <w:rsid w:val="00631471"/>
    <w:rsid w:val="006314E8"/>
    <w:rsid w:val="006316AD"/>
    <w:rsid w:val="00631942"/>
    <w:rsid w:val="00631ACC"/>
    <w:rsid w:val="00631C0F"/>
    <w:rsid w:val="006322C1"/>
    <w:rsid w:val="00632705"/>
    <w:rsid w:val="006327BD"/>
    <w:rsid w:val="00632825"/>
    <w:rsid w:val="00632928"/>
    <w:rsid w:val="0063292E"/>
    <w:rsid w:val="00632D74"/>
    <w:rsid w:val="00632FF8"/>
    <w:rsid w:val="00633093"/>
    <w:rsid w:val="00633C6B"/>
    <w:rsid w:val="00633CE7"/>
    <w:rsid w:val="00633FD3"/>
    <w:rsid w:val="00634094"/>
    <w:rsid w:val="006344E1"/>
    <w:rsid w:val="00634721"/>
    <w:rsid w:val="00634983"/>
    <w:rsid w:val="00634B5D"/>
    <w:rsid w:val="00634C2D"/>
    <w:rsid w:val="00634E19"/>
    <w:rsid w:val="0063526C"/>
    <w:rsid w:val="006355DA"/>
    <w:rsid w:val="006357C6"/>
    <w:rsid w:val="00635A3B"/>
    <w:rsid w:val="00635D98"/>
    <w:rsid w:val="00635F0E"/>
    <w:rsid w:val="0063618E"/>
    <w:rsid w:val="00636857"/>
    <w:rsid w:val="00636CF6"/>
    <w:rsid w:val="00636EC2"/>
    <w:rsid w:val="006370A3"/>
    <w:rsid w:val="00637505"/>
    <w:rsid w:val="00637860"/>
    <w:rsid w:val="00637900"/>
    <w:rsid w:val="00637975"/>
    <w:rsid w:val="0064011A"/>
    <w:rsid w:val="0064021F"/>
    <w:rsid w:val="006402E9"/>
    <w:rsid w:val="0064036B"/>
    <w:rsid w:val="00640501"/>
    <w:rsid w:val="00640598"/>
    <w:rsid w:val="00640727"/>
    <w:rsid w:val="00640A53"/>
    <w:rsid w:val="0064106B"/>
    <w:rsid w:val="00641266"/>
    <w:rsid w:val="006418DA"/>
    <w:rsid w:val="006418DE"/>
    <w:rsid w:val="00641C09"/>
    <w:rsid w:val="00641C70"/>
    <w:rsid w:val="00641D12"/>
    <w:rsid w:val="00642487"/>
    <w:rsid w:val="00642527"/>
    <w:rsid w:val="00642537"/>
    <w:rsid w:val="00642946"/>
    <w:rsid w:val="00642D56"/>
    <w:rsid w:val="0064309D"/>
    <w:rsid w:val="006430E9"/>
    <w:rsid w:val="0064322C"/>
    <w:rsid w:val="006434FE"/>
    <w:rsid w:val="006438CD"/>
    <w:rsid w:val="00643AAA"/>
    <w:rsid w:val="00644284"/>
    <w:rsid w:val="00644966"/>
    <w:rsid w:val="00644DD8"/>
    <w:rsid w:val="00645498"/>
    <w:rsid w:val="006457A3"/>
    <w:rsid w:val="00645D48"/>
    <w:rsid w:val="006461E4"/>
    <w:rsid w:val="00646E1A"/>
    <w:rsid w:val="00647086"/>
    <w:rsid w:val="0064735B"/>
    <w:rsid w:val="0064784C"/>
    <w:rsid w:val="00647CED"/>
    <w:rsid w:val="006501E7"/>
    <w:rsid w:val="00650C4F"/>
    <w:rsid w:val="00650E68"/>
    <w:rsid w:val="00651213"/>
    <w:rsid w:val="0065131D"/>
    <w:rsid w:val="0065156B"/>
    <w:rsid w:val="0065168E"/>
    <w:rsid w:val="00651793"/>
    <w:rsid w:val="00651B8B"/>
    <w:rsid w:val="00651F36"/>
    <w:rsid w:val="0065273A"/>
    <w:rsid w:val="006532B6"/>
    <w:rsid w:val="006535E6"/>
    <w:rsid w:val="006537DD"/>
    <w:rsid w:val="006537F3"/>
    <w:rsid w:val="00653850"/>
    <w:rsid w:val="00653B09"/>
    <w:rsid w:val="00653D3F"/>
    <w:rsid w:val="00653D74"/>
    <w:rsid w:val="00653F87"/>
    <w:rsid w:val="00653FC0"/>
    <w:rsid w:val="00654490"/>
    <w:rsid w:val="006545F6"/>
    <w:rsid w:val="00655191"/>
    <w:rsid w:val="00655648"/>
    <w:rsid w:val="0065569B"/>
    <w:rsid w:val="00655D35"/>
    <w:rsid w:val="00655E69"/>
    <w:rsid w:val="00655FDD"/>
    <w:rsid w:val="0065602D"/>
    <w:rsid w:val="0065650F"/>
    <w:rsid w:val="006565CA"/>
    <w:rsid w:val="006566CD"/>
    <w:rsid w:val="00656C81"/>
    <w:rsid w:val="00657150"/>
    <w:rsid w:val="00657344"/>
    <w:rsid w:val="00657353"/>
    <w:rsid w:val="00657C3C"/>
    <w:rsid w:val="00657E37"/>
    <w:rsid w:val="00660337"/>
    <w:rsid w:val="0066092F"/>
    <w:rsid w:val="0066096B"/>
    <w:rsid w:val="00660A92"/>
    <w:rsid w:val="00660C6B"/>
    <w:rsid w:val="006611E9"/>
    <w:rsid w:val="0066147B"/>
    <w:rsid w:val="006617CC"/>
    <w:rsid w:val="00661805"/>
    <w:rsid w:val="00661F97"/>
    <w:rsid w:val="0066233C"/>
    <w:rsid w:val="006624E2"/>
    <w:rsid w:val="0066268B"/>
    <w:rsid w:val="00662761"/>
    <w:rsid w:val="00662CF9"/>
    <w:rsid w:val="006630A7"/>
    <w:rsid w:val="006630BD"/>
    <w:rsid w:val="00663484"/>
    <w:rsid w:val="00663A9E"/>
    <w:rsid w:val="006640F8"/>
    <w:rsid w:val="0066411C"/>
    <w:rsid w:val="00664245"/>
    <w:rsid w:val="006642F5"/>
    <w:rsid w:val="0066436C"/>
    <w:rsid w:val="00664438"/>
    <w:rsid w:val="00664A2E"/>
    <w:rsid w:val="00664BE9"/>
    <w:rsid w:val="00664D2C"/>
    <w:rsid w:val="00664F7D"/>
    <w:rsid w:val="0066511A"/>
    <w:rsid w:val="0066567F"/>
    <w:rsid w:val="00665698"/>
    <w:rsid w:val="00665825"/>
    <w:rsid w:val="006658CE"/>
    <w:rsid w:val="006659AE"/>
    <w:rsid w:val="00666372"/>
    <w:rsid w:val="0066655C"/>
    <w:rsid w:val="0066656D"/>
    <w:rsid w:val="0066685B"/>
    <w:rsid w:val="00666900"/>
    <w:rsid w:val="0066692A"/>
    <w:rsid w:val="00666BCB"/>
    <w:rsid w:val="00666F0E"/>
    <w:rsid w:val="006671EE"/>
    <w:rsid w:val="00667902"/>
    <w:rsid w:val="00667952"/>
    <w:rsid w:val="006702B8"/>
    <w:rsid w:val="006704A8"/>
    <w:rsid w:val="00670584"/>
    <w:rsid w:val="00670632"/>
    <w:rsid w:val="006707C7"/>
    <w:rsid w:val="0067082B"/>
    <w:rsid w:val="00670C99"/>
    <w:rsid w:val="00671198"/>
    <w:rsid w:val="00671361"/>
    <w:rsid w:val="00671C50"/>
    <w:rsid w:val="006723EC"/>
    <w:rsid w:val="0067276A"/>
    <w:rsid w:val="00673379"/>
    <w:rsid w:val="00673429"/>
    <w:rsid w:val="006738D3"/>
    <w:rsid w:val="00673E6C"/>
    <w:rsid w:val="00673FA5"/>
    <w:rsid w:val="00674318"/>
    <w:rsid w:val="0067453F"/>
    <w:rsid w:val="00674B73"/>
    <w:rsid w:val="00674B93"/>
    <w:rsid w:val="00674E9B"/>
    <w:rsid w:val="006752D2"/>
    <w:rsid w:val="00675653"/>
    <w:rsid w:val="00675C9D"/>
    <w:rsid w:val="00675DD7"/>
    <w:rsid w:val="006761B5"/>
    <w:rsid w:val="00676587"/>
    <w:rsid w:val="00676699"/>
    <w:rsid w:val="00676A13"/>
    <w:rsid w:val="00676B0B"/>
    <w:rsid w:val="00676EDB"/>
    <w:rsid w:val="00676FAC"/>
    <w:rsid w:val="00677277"/>
    <w:rsid w:val="006777FF"/>
    <w:rsid w:val="00677873"/>
    <w:rsid w:val="00677EC5"/>
    <w:rsid w:val="00680AED"/>
    <w:rsid w:val="00680CBB"/>
    <w:rsid w:val="00680F40"/>
    <w:rsid w:val="006819CF"/>
    <w:rsid w:val="006819F5"/>
    <w:rsid w:val="0068232F"/>
    <w:rsid w:val="0068254B"/>
    <w:rsid w:val="0068269C"/>
    <w:rsid w:val="00682771"/>
    <w:rsid w:val="00682891"/>
    <w:rsid w:val="00682B04"/>
    <w:rsid w:val="00683255"/>
    <w:rsid w:val="00683884"/>
    <w:rsid w:val="0068389C"/>
    <w:rsid w:val="006838B5"/>
    <w:rsid w:val="00683A28"/>
    <w:rsid w:val="00683B88"/>
    <w:rsid w:val="00683CF3"/>
    <w:rsid w:val="0068411B"/>
    <w:rsid w:val="00684398"/>
    <w:rsid w:val="0068481F"/>
    <w:rsid w:val="006849C3"/>
    <w:rsid w:val="0068552B"/>
    <w:rsid w:val="00685F5B"/>
    <w:rsid w:val="00686097"/>
    <w:rsid w:val="00686099"/>
    <w:rsid w:val="00686207"/>
    <w:rsid w:val="00686220"/>
    <w:rsid w:val="00686221"/>
    <w:rsid w:val="00686243"/>
    <w:rsid w:val="0068628B"/>
    <w:rsid w:val="00687067"/>
    <w:rsid w:val="00687615"/>
    <w:rsid w:val="00687706"/>
    <w:rsid w:val="006877C5"/>
    <w:rsid w:val="006877EE"/>
    <w:rsid w:val="006878FD"/>
    <w:rsid w:val="00687F19"/>
    <w:rsid w:val="006902EA"/>
    <w:rsid w:val="00690A6B"/>
    <w:rsid w:val="00690CF5"/>
    <w:rsid w:val="0069115D"/>
    <w:rsid w:val="006918A3"/>
    <w:rsid w:val="006919F4"/>
    <w:rsid w:val="0069208A"/>
    <w:rsid w:val="0069222B"/>
    <w:rsid w:val="00692E6F"/>
    <w:rsid w:val="00692FA9"/>
    <w:rsid w:val="00693019"/>
    <w:rsid w:val="00693419"/>
    <w:rsid w:val="00693FDC"/>
    <w:rsid w:val="006945A3"/>
    <w:rsid w:val="0069495C"/>
    <w:rsid w:val="006949CC"/>
    <w:rsid w:val="00694C9A"/>
    <w:rsid w:val="00694DFF"/>
    <w:rsid w:val="0069511A"/>
    <w:rsid w:val="006952C4"/>
    <w:rsid w:val="00695518"/>
    <w:rsid w:val="00695880"/>
    <w:rsid w:val="00695B25"/>
    <w:rsid w:val="00695CFC"/>
    <w:rsid w:val="006960B1"/>
    <w:rsid w:val="00696207"/>
    <w:rsid w:val="00696397"/>
    <w:rsid w:val="00696B3A"/>
    <w:rsid w:val="00696C24"/>
    <w:rsid w:val="00696F27"/>
    <w:rsid w:val="006975DC"/>
    <w:rsid w:val="006975F8"/>
    <w:rsid w:val="006976A5"/>
    <w:rsid w:val="006976B2"/>
    <w:rsid w:val="0069781B"/>
    <w:rsid w:val="00697894"/>
    <w:rsid w:val="00697FB0"/>
    <w:rsid w:val="006A0443"/>
    <w:rsid w:val="006A0488"/>
    <w:rsid w:val="006A0734"/>
    <w:rsid w:val="006A0990"/>
    <w:rsid w:val="006A0AEC"/>
    <w:rsid w:val="006A0BF6"/>
    <w:rsid w:val="006A0D02"/>
    <w:rsid w:val="006A19CB"/>
    <w:rsid w:val="006A1B5C"/>
    <w:rsid w:val="006A2032"/>
    <w:rsid w:val="006A2425"/>
    <w:rsid w:val="006A27AE"/>
    <w:rsid w:val="006A281D"/>
    <w:rsid w:val="006A31F1"/>
    <w:rsid w:val="006A345B"/>
    <w:rsid w:val="006A3773"/>
    <w:rsid w:val="006A399C"/>
    <w:rsid w:val="006A3B7D"/>
    <w:rsid w:val="006A439F"/>
    <w:rsid w:val="006A4657"/>
    <w:rsid w:val="006A48CC"/>
    <w:rsid w:val="006A5045"/>
    <w:rsid w:val="006A545C"/>
    <w:rsid w:val="006A54F5"/>
    <w:rsid w:val="006A550E"/>
    <w:rsid w:val="006A557F"/>
    <w:rsid w:val="006A55D1"/>
    <w:rsid w:val="006A55EC"/>
    <w:rsid w:val="006A5938"/>
    <w:rsid w:val="006A59A9"/>
    <w:rsid w:val="006A6164"/>
    <w:rsid w:val="006A617B"/>
    <w:rsid w:val="006A63FE"/>
    <w:rsid w:val="006A64BD"/>
    <w:rsid w:val="006A69C9"/>
    <w:rsid w:val="006A6CE8"/>
    <w:rsid w:val="006A6EAF"/>
    <w:rsid w:val="006A7086"/>
    <w:rsid w:val="006A7215"/>
    <w:rsid w:val="006A72B6"/>
    <w:rsid w:val="006A7416"/>
    <w:rsid w:val="006A7618"/>
    <w:rsid w:val="006A766A"/>
    <w:rsid w:val="006B0090"/>
    <w:rsid w:val="006B01BA"/>
    <w:rsid w:val="006B033A"/>
    <w:rsid w:val="006B08AE"/>
    <w:rsid w:val="006B0FBB"/>
    <w:rsid w:val="006B1B86"/>
    <w:rsid w:val="006B245C"/>
    <w:rsid w:val="006B2A7B"/>
    <w:rsid w:val="006B2AE5"/>
    <w:rsid w:val="006B2BC2"/>
    <w:rsid w:val="006B2DED"/>
    <w:rsid w:val="006B2EA7"/>
    <w:rsid w:val="006B2FC2"/>
    <w:rsid w:val="006B30C9"/>
    <w:rsid w:val="006B3188"/>
    <w:rsid w:val="006B31FD"/>
    <w:rsid w:val="006B38F3"/>
    <w:rsid w:val="006B3BF5"/>
    <w:rsid w:val="006B4046"/>
    <w:rsid w:val="006B42A0"/>
    <w:rsid w:val="006B4554"/>
    <w:rsid w:val="006B45B3"/>
    <w:rsid w:val="006B4A52"/>
    <w:rsid w:val="006B4CF0"/>
    <w:rsid w:val="006B4E33"/>
    <w:rsid w:val="006B4FAB"/>
    <w:rsid w:val="006B505C"/>
    <w:rsid w:val="006B508B"/>
    <w:rsid w:val="006B50BA"/>
    <w:rsid w:val="006B53E5"/>
    <w:rsid w:val="006B545B"/>
    <w:rsid w:val="006B57D5"/>
    <w:rsid w:val="006B592C"/>
    <w:rsid w:val="006B5C76"/>
    <w:rsid w:val="006B5FDF"/>
    <w:rsid w:val="006B6C2C"/>
    <w:rsid w:val="006B79F4"/>
    <w:rsid w:val="006B7BE8"/>
    <w:rsid w:val="006B7D25"/>
    <w:rsid w:val="006B7E63"/>
    <w:rsid w:val="006C07FB"/>
    <w:rsid w:val="006C0A05"/>
    <w:rsid w:val="006C0ED6"/>
    <w:rsid w:val="006C1494"/>
    <w:rsid w:val="006C18E7"/>
    <w:rsid w:val="006C1966"/>
    <w:rsid w:val="006C1B1D"/>
    <w:rsid w:val="006C1B3D"/>
    <w:rsid w:val="006C2396"/>
    <w:rsid w:val="006C2942"/>
    <w:rsid w:val="006C2CB9"/>
    <w:rsid w:val="006C2DE1"/>
    <w:rsid w:val="006C352A"/>
    <w:rsid w:val="006C38E1"/>
    <w:rsid w:val="006C4207"/>
    <w:rsid w:val="006C42DD"/>
    <w:rsid w:val="006C44B5"/>
    <w:rsid w:val="006C484B"/>
    <w:rsid w:val="006C4ABB"/>
    <w:rsid w:val="006C4E3A"/>
    <w:rsid w:val="006C5591"/>
    <w:rsid w:val="006C56DF"/>
    <w:rsid w:val="006C5972"/>
    <w:rsid w:val="006C61A6"/>
    <w:rsid w:val="006C642F"/>
    <w:rsid w:val="006C694B"/>
    <w:rsid w:val="006C694E"/>
    <w:rsid w:val="006C6A98"/>
    <w:rsid w:val="006C6D7B"/>
    <w:rsid w:val="006C730B"/>
    <w:rsid w:val="006C7668"/>
    <w:rsid w:val="006C77C5"/>
    <w:rsid w:val="006C7EF7"/>
    <w:rsid w:val="006D0C4D"/>
    <w:rsid w:val="006D0F78"/>
    <w:rsid w:val="006D11A1"/>
    <w:rsid w:val="006D11AB"/>
    <w:rsid w:val="006D1338"/>
    <w:rsid w:val="006D1B90"/>
    <w:rsid w:val="006D21F2"/>
    <w:rsid w:val="006D2B14"/>
    <w:rsid w:val="006D2FD8"/>
    <w:rsid w:val="006D3024"/>
    <w:rsid w:val="006D30D2"/>
    <w:rsid w:val="006D3158"/>
    <w:rsid w:val="006D36FE"/>
    <w:rsid w:val="006D4145"/>
    <w:rsid w:val="006D41CB"/>
    <w:rsid w:val="006D42B8"/>
    <w:rsid w:val="006D42BD"/>
    <w:rsid w:val="006D44F5"/>
    <w:rsid w:val="006D4644"/>
    <w:rsid w:val="006D4A67"/>
    <w:rsid w:val="006D4AAC"/>
    <w:rsid w:val="006D4CEC"/>
    <w:rsid w:val="006D4E61"/>
    <w:rsid w:val="006D4FBA"/>
    <w:rsid w:val="006D5681"/>
    <w:rsid w:val="006D57A9"/>
    <w:rsid w:val="006D5B1D"/>
    <w:rsid w:val="006D64E0"/>
    <w:rsid w:val="006D680E"/>
    <w:rsid w:val="006D69CE"/>
    <w:rsid w:val="006D6ACC"/>
    <w:rsid w:val="006D6DFF"/>
    <w:rsid w:val="006D7578"/>
    <w:rsid w:val="006D7B6C"/>
    <w:rsid w:val="006D7BD2"/>
    <w:rsid w:val="006D7C34"/>
    <w:rsid w:val="006D7E9E"/>
    <w:rsid w:val="006E0502"/>
    <w:rsid w:val="006E0625"/>
    <w:rsid w:val="006E0714"/>
    <w:rsid w:val="006E08C2"/>
    <w:rsid w:val="006E0BD6"/>
    <w:rsid w:val="006E0C33"/>
    <w:rsid w:val="006E0EA7"/>
    <w:rsid w:val="006E0F0C"/>
    <w:rsid w:val="006E16F8"/>
    <w:rsid w:val="006E2160"/>
    <w:rsid w:val="006E2670"/>
    <w:rsid w:val="006E26C7"/>
    <w:rsid w:val="006E28F8"/>
    <w:rsid w:val="006E2A87"/>
    <w:rsid w:val="006E2FB0"/>
    <w:rsid w:val="006E35F1"/>
    <w:rsid w:val="006E360F"/>
    <w:rsid w:val="006E391F"/>
    <w:rsid w:val="006E397D"/>
    <w:rsid w:val="006E3E34"/>
    <w:rsid w:val="006E3EA5"/>
    <w:rsid w:val="006E414A"/>
    <w:rsid w:val="006E4310"/>
    <w:rsid w:val="006E4337"/>
    <w:rsid w:val="006E4C5C"/>
    <w:rsid w:val="006E4D48"/>
    <w:rsid w:val="006E4EBD"/>
    <w:rsid w:val="006E51AE"/>
    <w:rsid w:val="006E54F8"/>
    <w:rsid w:val="006E5656"/>
    <w:rsid w:val="006E593D"/>
    <w:rsid w:val="006E5D7D"/>
    <w:rsid w:val="006E6084"/>
    <w:rsid w:val="006E6567"/>
    <w:rsid w:val="006E6830"/>
    <w:rsid w:val="006E6984"/>
    <w:rsid w:val="006E69D0"/>
    <w:rsid w:val="006E6C4B"/>
    <w:rsid w:val="006E7171"/>
    <w:rsid w:val="006E745A"/>
    <w:rsid w:val="006E74CB"/>
    <w:rsid w:val="006E7ACA"/>
    <w:rsid w:val="006E7B50"/>
    <w:rsid w:val="006E7D83"/>
    <w:rsid w:val="006E7E6C"/>
    <w:rsid w:val="006E7F78"/>
    <w:rsid w:val="006F008E"/>
    <w:rsid w:val="006F05A7"/>
    <w:rsid w:val="006F0759"/>
    <w:rsid w:val="006F0C10"/>
    <w:rsid w:val="006F123D"/>
    <w:rsid w:val="006F153D"/>
    <w:rsid w:val="006F17D6"/>
    <w:rsid w:val="006F1E92"/>
    <w:rsid w:val="006F1F7D"/>
    <w:rsid w:val="006F1FD3"/>
    <w:rsid w:val="006F20F3"/>
    <w:rsid w:val="006F2239"/>
    <w:rsid w:val="006F2895"/>
    <w:rsid w:val="006F358D"/>
    <w:rsid w:val="006F3717"/>
    <w:rsid w:val="006F3AD1"/>
    <w:rsid w:val="006F3ADE"/>
    <w:rsid w:val="006F3E3D"/>
    <w:rsid w:val="006F43C5"/>
    <w:rsid w:val="006F47A5"/>
    <w:rsid w:val="006F4F96"/>
    <w:rsid w:val="006F5F45"/>
    <w:rsid w:val="006F6157"/>
    <w:rsid w:val="006F6465"/>
    <w:rsid w:val="006F647B"/>
    <w:rsid w:val="006F66F3"/>
    <w:rsid w:val="006F6711"/>
    <w:rsid w:val="006F6CEC"/>
    <w:rsid w:val="006F6DD0"/>
    <w:rsid w:val="006F6F46"/>
    <w:rsid w:val="006F7888"/>
    <w:rsid w:val="006F7A60"/>
    <w:rsid w:val="00700487"/>
    <w:rsid w:val="00700676"/>
    <w:rsid w:val="00700752"/>
    <w:rsid w:val="0070096A"/>
    <w:rsid w:val="007009AC"/>
    <w:rsid w:val="00700C9B"/>
    <w:rsid w:val="00701115"/>
    <w:rsid w:val="007013C4"/>
    <w:rsid w:val="007014FB"/>
    <w:rsid w:val="0070178B"/>
    <w:rsid w:val="00701F07"/>
    <w:rsid w:val="007023DA"/>
    <w:rsid w:val="00702A2A"/>
    <w:rsid w:val="00702D47"/>
    <w:rsid w:val="00702E4F"/>
    <w:rsid w:val="0070306C"/>
    <w:rsid w:val="00703230"/>
    <w:rsid w:val="00703784"/>
    <w:rsid w:val="00703B1F"/>
    <w:rsid w:val="00703BFC"/>
    <w:rsid w:val="007042B1"/>
    <w:rsid w:val="00704BEF"/>
    <w:rsid w:val="00704C28"/>
    <w:rsid w:val="00704F4F"/>
    <w:rsid w:val="00705037"/>
    <w:rsid w:val="007056AC"/>
    <w:rsid w:val="007058DD"/>
    <w:rsid w:val="00705A7D"/>
    <w:rsid w:val="007060EC"/>
    <w:rsid w:val="0070616A"/>
    <w:rsid w:val="0070616D"/>
    <w:rsid w:val="007062AF"/>
    <w:rsid w:val="00706501"/>
    <w:rsid w:val="00706573"/>
    <w:rsid w:val="007067A1"/>
    <w:rsid w:val="00706A04"/>
    <w:rsid w:val="00706DF3"/>
    <w:rsid w:val="007070C9"/>
    <w:rsid w:val="0070742F"/>
    <w:rsid w:val="00707968"/>
    <w:rsid w:val="00707B24"/>
    <w:rsid w:val="00707C76"/>
    <w:rsid w:val="00707D8B"/>
    <w:rsid w:val="00707DCD"/>
    <w:rsid w:val="00707F1E"/>
    <w:rsid w:val="00710268"/>
    <w:rsid w:val="00710F51"/>
    <w:rsid w:val="007111E2"/>
    <w:rsid w:val="00711612"/>
    <w:rsid w:val="0071189B"/>
    <w:rsid w:val="00711C2B"/>
    <w:rsid w:val="00712164"/>
    <w:rsid w:val="00712A52"/>
    <w:rsid w:val="00712C66"/>
    <w:rsid w:val="00712F15"/>
    <w:rsid w:val="00713125"/>
    <w:rsid w:val="00713243"/>
    <w:rsid w:val="007135D0"/>
    <w:rsid w:val="00713C9B"/>
    <w:rsid w:val="00714404"/>
    <w:rsid w:val="0071445C"/>
    <w:rsid w:val="0071450F"/>
    <w:rsid w:val="0071471F"/>
    <w:rsid w:val="00714A32"/>
    <w:rsid w:val="00714D15"/>
    <w:rsid w:val="00714DC5"/>
    <w:rsid w:val="00714EB8"/>
    <w:rsid w:val="00715004"/>
    <w:rsid w:val="007157AA"/>
    <w:rsid w:val="00715947"/>
    <w:rsid w:val="007159F1"/>
    <w:rsid w:val="007162F8"/>
    <w:rsid w:val="0071632C"/>
    <w:rsid w:val="007166B2"/>
    <w:rsid w:val="00716A2E"/>
    <w:rsid w:val="00716CCA"/>
    <w:rsid w:val="00716CDE"/>
    <w:rsid w:val="007170B7"/>
    <w:rsid w:val="007173E7"/>
    <w:rsid w:val="0071745B"/>
    <w:rsid w:val="007175B0"/>
    <w:rsid w:val="0071769D"/>
    <w:rsid w:val="007179E8"/>
    <w:rsid w:val="00717A7E"/>
    <w:rsid w:val="007201E9"/>
    <w:rsid w:val="007202D3"/>
    <w:rsid w:val="0072076C"/>
    <w:rsid w:val="00720861"/>
    <w:rsid w:val="00720CFD"/>
    <w:rsid w:val="00720F5F"/>
    <w:rsid w:val="00720F78"/>
    <w:rsid w:val="007211AB"/>
    <w:rsid w:val="00721594"/>
    <w:rsid w:val="00721788"/>
    <w:rsid w:val="00721864"/>
    <w:rsid w:val="00721AEB"/>
    <w:rsid w:val="00721F29"/>
    <w:rsid w:val="007228F8"/>
    <w:rsid w:val="00722C17"/>
    <w:rsid w:val="00722CDA"/>
    <w:rsid w:val="0072332F"/>
    <w:rsid w:val="00723419"/>
    <w:rsid w:val="007234A7"/>
    <w:rsid w:val="00723A37"/>
    <w:rsid w:val="00723D02"/>
    <w:rsid w:val="00724227"/>
    <w:rsid w:val="00724299"/>
    <w:rsid w:val="00724BF0"/>
    <w:rsid w:val="00724D9A"/>
    <w:rsid w:val="007252B9"/>
    <w:rsid w:val="00725422"/>
    <w:rsid w:val="00725628"/>
    <w:rsid w:val="007256B4"/>
    <w:rsid w:val="00725A54"/>
    <w:rsid w:val="0072634C"/>
    <w:rsid w:val="007265FC"/>
    <w:rsid w:val="00726849"/>
    <w:rsid w:val="0072697A"/>
    <w:rsid w:val="00726EC1"/>
    <w:rsid w:val="00727025"/>
    <w:rsid w:val="00727027"/>
    <w:rsid w:val="0072708B"/>
    <w:rsid w:val="007270CF"/>
    <w:rsid w:val="0072729E"/>
    <w:rsid w:val="007272A5"/>
    <w:rsid w:val="0072753D"/>
    <w:rsid w:val="00727B38"/>
    <w:rsid w:val="00727B3B"/>
    <w:rsid w:val="00727CF1"/>
    <w:rsid w:val="00730124"/>
    <w:rsid w:val="007305DD"/>
    <w:rsid w:val="00730749"/>
    <w:rsid w:val="0073092D"/>
    <w:rsid w:val="00730CFF"/>
    <w:rsid w:val="00731F2F"/>
    <w:rsid w:val="0073201E"/>
    <w:rsid w:val="0073223B"/>
    <w:rsid w:val="007323E2"/>
    <w:rsid w:val="00732643"/>
    <w:rsid w:val="00732B17"/>
    <w:rsid w:val="00732C92"/>
    <w:rsid w:val="007330C2"/>
    <w:rsid w:val="0073328C"/>
    <w:rsid w:val="007332DA"/>
    <w:rsid w:val="00733705"/>
    <w:rsid w:val="00733761"/>
    <w:rsid w:val="00733911"/>
    <w:rsid w:val="00733926"/>
    <w:rsid w:val="00733B49"/>
    <w:rsid w:val="00733D6C"/>
    <w:rsid w:val="00733E6D"/>
    <w:rsid w:val="007342F5"/>
    <w:rsid w:val="0073445D"/>
    <w:rsid w:val="00734495"/>
    <w:rsid w:val="00734757"/>
    <w:rsid w:val="00734AE5"/>
    <w:rsid w:val="00734BE4"/>
    <w:rsid w:val="00734BED"/>
    <w:rsid w:val="00734E21"/>
    <w:rsid w:val="00734F3D"/>
    <w:rsid w:val="00734F45"/>
    <w:rsid w:val="00735419"/>
    <w:rsid w:val="0073582F"/>
    <w:rsid w:val="00735BBA"/>
    <w:rsid w:val="00735F0A"/>
    <w:rsid w:val="007360F1"/>
    <w:rsid w:val="00736242"/>
    <w:rsid w:val="0073631B"/>
    <w:rsid w:val="007367A0"/>
    <w:rsid w:val="00736A29"/>
    <w:rsid w:val="00736B90"/>
    <w:rsid w:val="00736BE5"/>
    <w:rsid w:val="00736C49"/>
    <w:rsid w:val="00736DA1"/>
    <w:rsid w:val="007371F6"/>
    <w:rsid w:val="00737267"/>
    <w:rsid w:val="007377D9"/>
    <w:rsid w:val="00737837"/>
    <w:rsid w:val="00737B96"/>
    <w:rsid w:val="00737C3F"/>
    <w:rsid w:val="00737C65"/>
    <w:rsid w:val="00737F21"/>
    <w:rsid w:val="00737FC6"/>
    <w:rsid w:val="00740043"/>
    <w:rsid w:val="007400DF"/>
    <w:rsid w:val="007402C0"/>
    <w:rsid w:val="007404FC"/>
    <w:rsid w:val="0074056F"/>
    <w:rsid w:val="0074067D"/>
    <w:rsid w:val="00740E49"/>
    <w:rsid w:val="00741763"/>
    <w:rsid w:val="007419F9"/>
    <w:rsid w:val="00742123"/>
    <w:rsid w:val="00742227"/>
    <w:rsid w:val="00742250"/>
    <w:rsid w:val="00742485"/>
    <w:rsid w:val="007424E1"/>
    <w:rsid w:val="0074269F"/>
    <w:rsid w:val="00742A91"/>
    <w:rsid w:val="00742EE0"/>
    <w:rsid w:val="00743634"/>
    <w:rsid w:val="00743661"/>
    <w:rsid w:val="00743B34"/>
    <w:rsid w:val="00743BB3"/>
    <w:rsid w:val="00743DE5"/>
    <w:rsid w:val="00743E02"/>
    <w:rsid w:val="007444D1"/>
    <w:rsid w:val="0074466B"/>
    <w:rsid w:val="007447A4"/>
    <w:rsid w:val="00744C16"/>
    <w:rsid w:val="00744F5E"/>
    <w:rsid w:val="007450A8"/>
    <w:rsid w:val="00745159"/>
    <w:rsid w:val="00745164"/>
    <w:rsid w:val="007453CF"/>
    <w:rsid w:val="007454AE"/>
    <w:rsid w:val="007454DA"/>
    <w:rsid w:val="00745DD4"/>
    <w:rsid w:val="00745F12"/>
    <w:rsid w:val="00746549"/>
    <w:rsid w:val="0074694C"/>
    <w:rsid w:val="00746B00"/>
    <w:rsid w:val="00746E3C"/>
    <w:rsid w:val="00747FD9"/>
    <w:rsid w:val="007508F9"/>
    <w:rsid w:val="0075098E"/>
    <w:rsid w:val="007515B2"/>
    <w:rsid w:val="00751BFA"/>
    <w:rsid w:val="0075208C"/>
    <w:rsid w:val="007524EA"/>
    <w:rsid w:val="00752733"/>
    <w:rsid w:val="00752A6E"/>
    <w:rsid w:val="00752B36"/>
    <w:rsid w:val="00752CD2"/>
    <w:rsid w:val="00752DC8"/>
    <w:rsid w:val="00753169"/>
    <w:rsid w:val="0075371C"/>
    <w:rsid w:val="00754124"/>
    <w:rsid w:val="0075431D"/>
    <w:rsid w:val="007555E4"/>
    <w:rsid w:val="0075571D"/>
    <w:rsid w:val="00755A7C"/>
    <w:rsid w:val="00755D08"/>
    <w:rsid w:val="00755E67"/>
    <w:rsid w:val="00755F43"/>
    <w:rsid w:val="0075686F"/>
    <w:rsid w:val="00756D95"/>
    <w:rsid w:val="00756E32"/>
    <w:rsid w:val="00757006"/>
    <w:rsid w:val="0075714F"/>
    <w:rsid w:val="007571F6"/>
    <w:rsid w:val="0075757B"/>
    <w:rsid w:val="00757A13"/>
    <w:rsid w:val="00757E42"/>
    <w:rsid w:val="00760B2D"/>
    <w:rsid w:val="00761433"/>
    <w:rsid w:val="00762064"/>
    <w:rsid w:val="007626CF"/>
    <w:rsid w:val="007626F4"/>
    <w:rsid w:val="007629CC"/>
    <w:rsid w:val="00762D48"/>
    <w:rsid w:val="00762DC5"/>
    <w:rsid w:val="007632CA"/>
    <w:rsid w:val="007635CB"/>
    <w:rsid w:val="00763B61"/>
    <w:rsid w:val="00763ECB"/>
    <w:rsid w:val="00763F9D"/>
    <w:rsid w:val="00763FE2"/>
    <w:rsid w:val="00764076"/>
    <w:rsid w:val="00764215"/>
    <w:rsid w:val="007644BE"/>
    <w:rsid w:val="00764655"/>
    <w:rsid w:val="00764F55"/>
    <w:rsid w:val="00764FEF"/>
    <w:rsid w:val="00765107"/>
    <w:rsid w:val="00765158"/>
    <w:rsid w:val="0076539C"/>
    <w:rsid w:val="007653FD"/>
    <w:rsid w:val="007658BC"/>
    <w:rsid w:val="00765ADD"/>
    <w:rsid w:val="00765F89"/>
    <w:rsid w:val="00766215"/>
    <w:rsid w:val="00766233"/>
    <w:rsid w:val="007664AB"/>
    <w:rsid w:val="00766B4B"/>
    <w:rsid w:val="00766E1B"/>
    <w:rsid w:val="00766E42"/>
    <w:rsid w:val="00766F30"/>
    <w:rsid w:val="007670BD"/>
    <w:rsid w:val="007673BA"/>
    <w:rsid w:val="0076741E"/>
    <w:rsid w:val="00767881"/>
    <w:rsid w:val="00767BEB"/>
    <w:rsid w:val="0077022D"/>
    <w:rsid w:val="007703BE"/>
    <w:rsid w:val="007704A6"/>
    <w:rsid w:val="007704AA"/>
    <w:rsid w:val="0077087F"/>
    <w:rsid w:val="00770B90"/>
    <w:rsid w:val="0077167F"/>
    <w:rsid w:val="00771A76"/>
    <w:rsid w:val="00771B26"/>
    <w:rsid w:val="00771BAC"/>
    <w:rsid w:val="00771D8E"/>
    <w:rsid w:val="00771DEE"/>
    <w:rsid w:val="007722B2"/>
    <w:rsid w:val="00772641"/>
    <w:rsid w:val="00772EBC"/>
    <w:rsid w:val="00773B18"/>
    <w:rsid w:val="00774226"/>
    <w:rsid w:val="00774305"/>
    <w:rsid w:val="007744C5"/>
    <w:rsid w:val="00774776"/>
    <w:rsid w:val="007747BD"/>
    <w:rsid w:val="007747EA"/>
    <w:rsid w:val="007749A0"/>
    <w:rsid w:val="00774D5A"/>
    <w:rsid w:val="00774F61"/>
    <w:rsid w:val="00774F6A"/>
    <w:rsid w:val="00774F7D"/>
    <w:rsid w:val="007750E2"/>
    <w:rsid w:val="00775184"/>
    <w:rsid w:val="007756FF"/>
    <w:rsid w:val="00775EED"/>
    <w:rsid w:val="00776016"/>
    <w:rsid w:val="00776301"/>
    <w:rsid w:val="007763B2"/>
    <w:rsid w:val="007764C5"/>
    <w:rsid w:val="007766DF"/>
    <w:rsid w:val="0077670B"/>
    <w:rsid w:val="007769C7"/>
    <w:rsid w:val="007775E3"/>
    <w:rsid w:val="00777870"/>
    <w:rsid w:val="007778E1"/>
    <w:rsid w:val="007779BD"/>
    <w:rsid w:val="00777B0A"/>
    <w:rsid w:val="00777B6C"/>
    <w:rsid w:val="00777D74"/>
    <w:rsid w:val="007802D9"/>
    <w:rsid w:val="00780522"/>
    <w:rsid w:val="00780786"/>
    <w:rsid w:val="00780B70"/>
    <w:rsid w:val="00780D3E"/>
    <w:rsid w:val="00780D77"/>
    <w:rsid w:val="00780F1D"/>
    <w:rsid w:val="00780F52"/>
    <w:rsid w:val="00781005"/>
    <w:rsid w:val="00781128"/>
    <w:rsid w:val="00781216"/>
    <w:rsid w:val="00781380"/>
    <w:rsid w:val="00781BB9"/>
    <w:rsid w:val="00781F03"/>
    <w:rsid w:val="00782007"/>
    <w:rsid w:val="00782165"/>
    <w:rsid w:val="007821E7"/>
    <w:rsid w:val="00782499"/>
    <w:rsid w:val="00782BBE"/>
    <w:rsid w:val="0078308E"/>
    <w:rsid w:val="007836A0"/>
    <w:rsid w:val="00783A50"/>
    <w:rsid w:val="00783A6A"/>
    <w:rsid w:val="00783EC3"/>
    <w:rsid w:val="0078413D"/>
    <w:rsid w:val="0078422A"/>
    <w:rsid w:val="007843B5"/>
    <w:rsid w:val="00784503"/>
    <w:rsid w:val="00784618"/>
    <w:rsid w:val="007848F9"/>
    <w:rsid w:val="00784F09"/>
    <w:rsid w:val="007850E9"/>
    <w:rsid w:val="0078558A"/>
    <w:rsid w:val="0078591A"/>
    <w:rsid w:val="00785D12"/>
    <w:rsid w:val="0078605A"/>
    <w:rsid w:val="00786468"/>
    <w:rsid w:val="007865E3"/>
    <w:rsid w:val="007869EB"/>
    <w:rsid w:val="00786A3C"/>
    <w:rsid w:val="00786DC1"/>
    <w:rsid w:val="00786F5D"/>
    <w:rsid w:val="00787429"/>
    <w:rsid w:val="0078765B"/>
    <w:rsid w:val="007879D7"/>
    <w:rsid w:val="00787EE8"/>
    <w:rsid w:val="00787F92"/>
    <w:rsid w:val="007901E5"/>
    <w:rsid w:val="00790DDB"/>
    <w:rsid w:val="0079116C"/>
    <w:rsid w:val="00791733"/>
    <w:rsid w:val="00791BCB"/>
    <w:rsid w:val="00791CF5"/>
    <w:rsid w:val="00791E23"/>
    <w:rsid w:val="00791F6B"/>
    <w:rsid w:val="007922A3"/>
    <w:rsid w:val="00792395"/>
    <w:rsid w:val="00792656"/>
    <w:rsid w:val="00792969"/>
    <w:rsid w:val="00792A4D"/>
    <w:rsid w:val="00792A71"/>
    <w:rsid w:val="00792C0B"/>
    <w:rsid w:val="0079331E"/>
    <w:rsid w:val="00793479"/>
    <w:rsid w:val="00793788"/>
    <w:rsid w:val="00793E33"/>
    <w:rsid w:val="007940BC"/>
    <w:rsid w:val="00794759"/>
    <w:rsid w:val="007947AF"/>
    <w:rsid w:val="00794BB3"/>
    <w:rsid w:val="00794D01"/>
    <w:rsid w:val="00794EE5"/>
    <w:rsid w:val="00794F71"/>
    <w:rsid w:val="00795128"/>
    <w:rsid w:val="007952EB"/>
    <w:rsid w:val="00795789"/>
    <w:rsid w:val="00795ABB"/>
    <w:rsid w:val="00795C44"/>
    <w:rsid w:val="00795C69"/>
    <w:rsid w:val="007960F5"/>
    <w:rsid w:val="00796153"/>
    <w:rsid w:val="00797128"/>
    <w:rsid w:val="00797193"/>
    <w:rsid w:val="0079732A"/>
    <w:rsid w:val="00797335"/>
    <w:rsid w:val="007975DD"/>
    <w:rsid w:val="007975E9"/>
    <w:rsid w:val="0079770C"/>
    <w:rsid w:val="00797808"/>
    <w:rsid w:val="0079780A"/>
    <w:rsid w:val="00797F86"/>
    <w:rsid w:val="00797FF5"/>
    <w:rsid w:val="007A01F5"/>
    <w:rsid w:val="007A02D6"/>
    <w:rsid w:val="007A03DD"/>
    <w:rsid w:val="007A05AB"/>
    <w:rsid w:val="007A09F3"/>
    <w:rsid w:val="007A0CBF"/>
    <w:rsid w:val="007A15F0"/>
    <w:rsid w:val="007A1954"/>
    <w:rsid w:val="007A1C10"/>
    <w:rsid w:val="007A1C7A"/>
    <w:rsid w:val="007A1E04"/>
    <w:rsid w:val="007A23E3"/>
    <w:rsid w:val="007A2704"/>
    <w:rsid w:val="007A275C"/>
    <w:rsid w:val="007A2D6D"/>
    <w:rsid w:val="007A316E"/>
    <w:rsid w:val="007A327F"/>
    <w:rsid w:val="007A35F4"/>
    <w:rsid w:val="007A3DBA"/>
    <w:rsid w:val="007A3E92"/>
    <w:rsid w:val="007A4028"/>
    <w:rsid w:val="007A4079"/>
    <w:rsid w:val="007A40F7"/>
    <w:rsid w:val="007A43C9"/>
    <w:rsid w:val="007A45CC"/>
    <w:rsid w:val="007A48B1"/>
    <w:rsid w:val="007A4EE7"/>
    <w:rsid w:val="007A5578"/>
    <w:rsid w:val="007A58E0"/>
    <w:rsid w:val="007A5DF7"/>
    <w:rsid w:val="007A64FD"/>
    <w:rsid w:val="007A6804"/>
    <w:rsid w:val="007A6CB5"/>
    <w:rsid w:val="007A73D1"/>
    <w:rsid w:val="007A74DB"/>
    <w:rsid w:val="007A7521"/>
    <w:rsid w:val="007A76FA"/>
    <w:rsid w:val="007A77A6"/>
    <w:rsid w:val="007A795F"/>
    <w:rsid w:val="007A7CAF"/>
    <w:rsid w:val="007B00C6"/>
    <w:rsid w:val="007B0220"/>
    <w:rsid w:val="007B0234"/>
    <w:rsid w:val="007B06E3"/>
    <w:rsid w:val="007B076A"/>
    <w:rsid w:val="007B0792"/>
    <w:rsid w:val="007B0812"/>
    <w:rsid w:val="007B0820"/>
    <w:rsid w:val="007B091A"/>
    <w:rsid w:val="007B117F"/>
    <w:rsid w:val="007B128A"/>
    <w:rsid w:val="007B150E"/>
    <w:rsid w:val="007B1793"/>
    <w:rsid w:val="007B1E61"/>
    <w:rsid w:val="007B1F5C"/>
    <w:rsid w:val="007B213C"/>
    <w:rsid w:val="007B2A0F"/>
    <w:rsid w:val="007B2ABC"/>
    <w:rsid w:val="007B2F8C"/>
    <w:rsid w:val="007B30B4"/>
    <w:rsid w:val="007B3108"/>
    <w:rsid w:val="007B334E"/>
    <w:rsid w:val="007B3622"/>
    <w:rsid w:val="007B39DF"/>
    <w:rsid w:val="007B3C1D"/>
    <w:rsid w:val="007B3C3A"/>
    <w:rsid w:val="007B3E51"/>
    <w:rsid w:val="007B3FE5"/>
    <w:rsid w:val="007B4435"/>
    <w:rsid w:val="007B4589"/>
    <w:rsid w:val="007B488A"/>
    <w:rsid w:val="007B49A2"/>
    <w:rsid w:val="007B53EF"/>
    <w:rsid w:val="007B5B43"/>
    <w:rsid w:val="007B5F49"/>
    <w:rsid w:val="007B6343"/>
    <w:rsid w:val="007B7088"/>
    <w:rsid w:val="007B7144"/>
    <w:rsid w:val="007B720B"/>
    <w:rsid w:val="007B7214"/>
    <w:rsid w:val="007B73FD"/>
    <w:rsid w:val="007B7540"/>
    <w:rsid w:val="007C0079"/>
    <w:rsid w:val="007C03D3"/>
    <w:rsid w:val="007C06AB"/>
    <w:rsid w:val="007C06E0"/>
    <w:rsid w:val="007C0C0B"/>
    <w:rsid w:val="007C1059"/>
    <w:rsid w:val="007C1195"/>
    <w:rsid w:val="007C127F"/>
    <w:rsid w:val="007C178C"/>
    <w:rsid w:val="007C1BBE"/>
    <w:rsid w:val="007C1E33"/>
    <w:rsid w:val="007C1E76"/>
    <w:rsid w:val="007C1EEF"/>
    <w:rsid w:val="007C2290"/>
    <w:rsid w:val="007C22B3"/>
    <w:rsid w:val="007C299D"/>
    <w:rsid w:val="007C2C65"/>
    <w:rsid w:val="007C2D2B"/>
    <w:rsid w:val="007C31A0"/>
    <w:rsid w:val="007C371E"/>
    <w:rsid w:val="007C398C"/>
    <w:rsid w:val="007C3C8B"/>
    <w:rsid w:val="007C4224"/>
    <w:rsid w:val="007C42E8"/>
    <w:rsid w:val="007C4422"/>
    <w:rsid w:val="007C4427"/>
    <w:rsid w:val="007C4880"/>
    <w:rsid w:val="007C4A8E"/>
    <w:rsid w:val="007C4FD1"/>
    <w:rsid w:val="007C50EF"/>
    <w:rsid w:val="007C5CC2"/>
    <w:rsid w:val="007C5D17"/>
    <w:rsid w:val="007C664C"/>
    <w:rsid w:val="007C677A"/>
    <w:rsid w:val="007C6869"/>
    <w:rsid w:val="007C6B3B"/>
    <w:rsid w:val="007C7108"/>
    <w:rsid w:val="007C7A96"/>
    <w:rsid w:val="007C7C76"/>
    <w:rsid w:val="007C7ED6"/>
    <w:rsid w:val="007C7F46"/>
    <w:rsid w:val="007C7F4B"/>
    <w:rsid w:val="007D0749"/>
    <w:rsid w:val="007D0958"/>
    <w:rsid w:val="007D097A"/>
    <w:rsid w:val="007D0F96"/>
    <w:rsid w:val="007D1615"/>
    <w:rsid w:val="007D1A84"/>
    <w:rsid w:val="007D1F43"/>
    <w:rsid w:val="007D20C2"/>
    <w:rsid w:val="007D2226"/>
    <w:rsid w:val="007D22DA"/>
    <w:rsid w:val="007D2332"/>
    <w:rsid w:val="007D26E8"/>
    <w:rsid w:val="007D2AB4"/>
    <w:rsid w:val="007D2B88"/>
    <w:rsid w:val="007D2BD2"/>
    <w:rsid w:val="007D38F3"/>
    <w:rsid w:val="007D39CA"/>
    <w:rsid w:val="007D3C5A"/>
    <w:rsid w:val="007D3C7A"/>
    <w:rsid w:val="007D3E54"/>
    <w:rsid w:val="007D41D3"/>
    <w:rsid w:val="007D41E0"/>
    <w:rsid w:val="007D4572"/>
    <w:rsid w:val="007D472E"/>
    <w:rsid w:val="007D50DB"/>
    <w:rsid w:val="007D57D4"/>
    <w:rsid w:val="007D58F7"/>
    <w:rsid w:val="007D5A70"/>
    <w:rsid w:val="007D5F5C"/>
    <w:rsid w:val="007D62EB"/>
    <w:rsid w:val="007D67E5"/>
    <w:rsid w:val="007D6AED"/>
    <w:rsid w:val="007D6CDE"/>
    <w:rsid w:val="007D6D68"/>
    <w:rsid w:val="007D743F"/>
    <w:rsid w:val="007D7814"/>
    <w:rsid w:val="007D7B8D"/>
    <w:rsid w:val="007D7E96"/>
    <w:rsid w:val="007E00C6"/>
    <w:rsid w:val="007E08AC"/>
    <w:rsid w:val="007E1431"/>
    <w:rsid w:val="007E16E4"/>
    <w:rsid w:val="007E2812"/>
    <w:rsid w:val="007E2A9E"/>
    <w:rsid w:val="007E319F"/>
    <w:rsid w:val="007E32A3"/>
    <w:rsid w:val="007E3437"/>
    <w:rsid w:val="007E34C6"/>
    <w:rsid w:val="007E39FB"/>
    <w:rsid w:val="007E3C36"/>
    <w:rsid w:val="007E433C"/>
    <w:rsid w:val="007E445A"/>
    <w:rsid w:val="007E49FA"/>
    <w:rsid w:val="007E4DF8"/>
    <w:rsid w:val="007E4FB9"/>
    <w:rsid w:val="007E50FC"/>
    <w:rsid w:val="007E5967"/>
    <w:rsid w:val="007E5A22"/>
    <w:rsid w:val="007E5A99"/>
    <w:rsid w:val="007E6392"/>
    <w:rsid w:val="007E6560"/>
    <w:rsid w:val="007E6A75"/>
    <w:rsid w:val="007E6BF3"/>
    <w:rsid w:val="007E7202"/>
    <w:rsid w:val="007E7A41"/>
    <w:rsid w:val="007E7CC8"/>
    <w:rsid w:val="007F0B50"/>
    <w:rsid w:val="007F0B9A"/>
    <w:rsid w:val="007F15F4"/>
    <w:rsid w:val="007F162B"/>
    <w:rsid w:val="007F1ACA"/>
    <w:rsid w:val="007F1BF7"/>
    <w:rsid w:val="007F1DCA"/>
    <w:rsid w:val="007F2173"/>
    <w:rsid w:val="007F23B2"/>
    <w:rsid w:val="007F2E91"/>
    <w:rsid w:val="007F2F51"/>
    <w:rsid w:val="007F30D3"/>
    <w:rsid w:val="007F3489"/>
    <w:rsid w:val="007F3E84"/>
    <w:rsid w:val="007F3F65"/>
    <w:rsid w:val="007F4096"/>
    <w:rsid w:val="007F4621"/>
    <w:rsid w:val="007F4991"/>
    <w:rsid w:val="007F4E23"/>
    <w:rsid w:val="007F53E0"/>
    <w:rsid w:val="007F5B5D"/>
    <w:rsid w:val="007F5B68"/>
    <w:rsid w:val="007F5BBF"/>
    <w:rsid w:val="007F6013"/>
    <w:rsid w:val="007F6309"/>
    <w:rsid w:val="007F652E"/>
    <w:rsid w:val="007F6AE4"/>
    <w:rsid w:val="007F6B47"/>
    <w:rsid w:val="007F6C09"/>
    <w:rsid w:val="007F6E3F"/>
    <w:rsid w:val="007F71E7"/>
    <w:rsid w:val="007F73C7"/>
    <w:rsid w:val="008000CF"/>
    <w:rsid w:val="008000F2"/>
    <w:rsid w:val="00800302"/>
    <w:rsid w:val="0080040A"/>
    <w:rsid w:val="008008AB"/>
    <w:rsid w:val="008013D8"/>
    <w:rsid w:val="00801573"/>
    <w:rsid w:val="008015D5"/>
    <w:rsid w:val="00801DF9"/>
    <w:rsid w:val="008020D4"/>
    <w:rsid w:val="00802575"/>
    <w:rsid w:val="00802E85"/>
    <w:rsid w:val="00802F0F"/>
    <w:rsid w:val="00802F4D"/>
    <w:rsid w:val="00802FDA"/>
    <w:rsid w:val="00803199"/>
    <w:rsid w:val="00803203"/>
    <w:rsid w:val="0080327F"/>
    <w:rsid w:val="008036AC"/>
    <w:rsid w:val="008037DC"/>
    <w:rsid w:val="00803950"/>
    <w:rsid w:val="00803A61"/>
    <w:rsid w:val="0080428C"/>
    <w:rsid w:val="00804483"/>
    <w:rsid w:val="00804991"/>
    <w:rsid w:val="00804A1F"/>
    <w:rsid w:val="008052F1"/>
    <w:rsid w:val="00805305"/>
    <w:rsid w:val="008054FE"/>
    <w:rsid w:val="0080550A"/>
    <w:rsid w:val="0080566C"/>
    <w:rsid w:val="00805A0D"/>
    <w:rsid w:val="00805D31"/>
    <w:rsid w:val="00805F3A"/>
    <w:rsid w:val="00805F67"/>
    <w:rsid w:val="00806062"/>
    <w:rsid w:val="008060C1"/>
    <w:rsid w:val="0080624A"/>
    <w:rsid w:val="008063E8"/>
    <w:rsid w:val="00806609"/>
    <w:rsid w:val="00806977"/>
    <w:rsid w:val="00806B25"/>
    <w:rsid w:val="00806D53"/>
    <w:rsid w:val="00807059"/>
    <w:rsid w:val="0080723B"/>
    <w:rsid w:val="0080766E"/>
    <w:rsid w:val="00807D99"/>
    <w:rsid w:val="00807DC1"/>
    <w:rsid w:val="00807FCD"/>
    <w:rsid w:val="0081018A"/>
    <w:rsid w:val="00810B7F"/>
    <w:rsid w:val="00810C16"/>
    <w:rsid w:val="00811142"/>
    <w:rsid w:val="00811A14"/>
    <w:rsid w:val="00811AC4"/>
    <w:rsid w:val="00811ED8"/>
    <w:rsid w:val="00811FDF"/>
    <w:rsid w:val="008122B4"/>
    <w:rsid w:val="00812327"/>
    <w:rsid w:val="008123D8"/>
    <w:rsid w:val="00812496"/>
    <w:rsid w:val="008127A5"/>
    <w:rsid w:val="00813834"/>
    <w:rsid w:val="0081386A"/>
    <w:rsid w:val="008138BC"/>
    <w:rsid w:val="0081451C"/>
    <w:rsid w:val="008149F0"/>
    <w:rsid w:val="00814DC9"/>
    <w:rsid w:val="00814EC9"/>
    <w:rsid w:val="00815485"/>
    <w:rsid w:val="00815592"/>
    <w:rsid w:val="008155B0"/>
    <w:rsid w:val="00815613"/>
    <w:rsid w:val="00815BDD"/>
    <w:rsid w:val="00815BEC"/>
    <w:rsid w:val="00815EB0"/>
    <w:rsid w:val="00816092"/>
    <w:rsid w:val="00816242"/>
    <w:rsid w:val="00816645"/>
    <w:rsid w:val="0081702E"/>
    <w:rsid w:val="0081712B"/>
    <w:rsid w:val="008171A7"/>
    <w:rsid w:val="00817931"/>
    <w:rsid w:val="00817A61"/>
    <w:rsid w:val="00817EDE"/>
    <w:rsid w:val="00817EE8"/>
    <w:rsid w:val="00817F64"/>
    <w:rsid w:val="008200E1"/>
    <w:rsid w:val="008200EA"/>
    <w:rsid w:val="008206F5"/>
    <w:rsid w:val="008209F1"/>
    <w:rsid w:val="00820B71"/>
    <w:rsid w:val="00820CEB"/>
    <w:rsid w:val="008212F6"/>
    <w:rsid w:val="00821363"/>
    <w:rsid w:val="00821523"/>
    <w:rsid w:val="00821AE8"/>
    <w:rsid w:val="00821C64"/>
    <w:rsid w:val="00821D88"/>
    <w:rsid w:val="00821DD0"/>
    <w:rsid w:val="00822486"/>
    <w:rsid w:val="008225AE"/>
    <w:rsid w:val="0082285D"/>
    <w:rsid w:val="00822C3C"/>
    <w:rsid w:val="00822D7A"/>
    <w:rsid w:val="0082329E"/>
    <w:rsid w:val="0082353C"/>
    <w:rsid w:val="00823D37"/>
    <w:rsid w:val="0082415D"/>
    <w:rsid w:val="008242AA"/>
    <w:rsid w:val="008243D7"/>
    <w:rsid w:val="00824A1A"/>
    <w:rsid w:val="00824DD6"/>
    <w:rsid w:val="0082519D"/>
    <w:rsid w:val="008252E9"/>
    <w:rsid w:val="008253E1"/>
    <w:rsid w:val="00825B75"/>
    <w:rsid w:val="00825D5B"/>
    <w:rsid w:val="00825DE2"/>
    <w:rsid w:val="00825E3B"/>
    <w:rsid w:val="008260AB"/>
    <w:rsid w:val="00826102"/>
    <w:rsid w:val="008265AA"/>
    <w:rsid w:val="00826767"/>
    <w:rsid w:val="00826BC6"/>
    <w:rsid w:val="00826D81"/>
    <w:rsid w:val="00826DA5"/>
    <w:rsid w:val="00827156"/>
    <w:rsid w:val="00827187"/>
    <w:rsid w:val="008275CD"/>
    <w:rsid w:val="00827736"/>
    <w:rsid w:val="00827943"/>
    <w:rsid w:val="00827AF3"/>
    <w:rsid w:val="00827B0A"/>
    <w:rsid w:val="00827E31"/>
    <w:rsid w:val="00827F8F"/>
    <w:rsid w:val="00830920"/>
    <w:rsid w:val="00830E94"/>
    <w:rsid w:val="00831012"/>
    <w:rsid w:val="00831258"/>
    <w:rsid w:val="00831539"/>
    <w:rsid w:val="00831664"/>
    <w:rsid w:val="008318B1"/>
    <w:rsid w:val="00831F42"/>
    <w:rsid w:val="00831F59"/>
    <w:rsid w:val="00832267"/>
    <w:rsid w:val="008322AB"/>
    <w:rsid w:val="008322B4"/>
    <w:rsid w:val="00832685"/>
    <w:rsid w:val="0083269A"/>
    <w:rsid w:val="008327BE"/>
    <w:rsid w:val="008328B0"/>
    <w:rsid w:val="00832983"/>
    <w:rsid w:val="008329A6"/>
    <w:rsid w:val="00832C16"/>
    <w:rsid w:val="00832D3F"/>
    <w:rsid w:val="00832DA9"/>
    <w:rsid w:val="00832E0D"/>
    <w:rsid w:val="00832FE1"/>
    <w:rsid w:val="008331ED"/>
    <w:rsid w:val="008333B6"/>
    <w:rsid w:val="008334DB"/>
    <w:rsid w:val="00833870"/>
    <w:rsid w:val="008338ED"/>
    <w:rsid w:val="00833929"/>
    <w:rsid w:val="00834234"/>
    <w:rsid w:val="00834339"/>
    <w:rsid w:val="00834343"/>
    <w:rsid w:val="0083438D"/>
    <w:rsid w:val="00834AF0"/>
    <w:rsid w:val="00834E2A"/>
    <w:rsid w:val="00834EEE"/>
    <w:rsid w:val="00835033"/>
    <w:rsid w:val="0083558A"/>
    <w:rsid w:val="00835A64"/>
    <w:rsid w:val="00835B5A"/>
    <w:rsid w:val="0083627B"/>
    <w:rsid w:val="008364CF"/>
    <w:rsid w:val="0083672F"/>
    <w:rsid w:val="00836F08"/>
    <w:rsid w:val="00837306"/>
    <w:rsid w:val="0083783B"/>
    <w:rsid w:val="00837A03"/>
    <w:rsid w:val="00837B50"/>
    <w:rsid w:val="00837E7B"/>
    <w:rsid w:val="00840090"/>
    <w:rsid w:val="0084024B"/>
    <w:rsid w:val="008403B8"/>
    <w:rsid w:val="00840437"/>
    <w:rsid w:val="00840478"/>
    <w:rsid w:val="00840C90"/>
    <w:rsid w:val="00840D98"/>
    <w:rsid w:val="00841580"/>
    <w:rsid w:val="0084171D"/>
    <w:rsid w:val="00841744"/>
    <w:rsid w:val="0084177E"/>
    <w:rsid w:val="00841CE8"/>
    <w:rsid w:val="00841E03"/>
    <w:rsid w:val="00841ED9"/>
    <w:rsid w:val="0084219B"/>
    <w:rsid w:val="008421B7"/>
    <w:rsid w:val="0084277D"/>
    <w:rsid w:val="00842E96"/>
    <w:rsid w:val="00842F49"/>
    <w:rsid w:val="00843107"/>
    <w:rsid w:val="008431CD"/>
    <w:rsid w:val="00843357"/>
    <w:rsid w:val="00843391"/>
    <w:rsid w:val="008433B4"/>
    <w:rsid w:val="008433BD"/>
    <w:rsid w:val="0084381D"/>
    <w:rsid w:val="00843835"/>
    <w:rsid w:val="008438E4"/>
    <w:rsid w:val="00843CEF"/>
    <w:rsid w:val="00845039"/>
    <w:rsid w:val="00845271"/>
    <w:rsid w:val="0084550B"/>
    <w:rsid w:val="00845D30"/>
    <w:rsid w:val="00845DA1"/>
    <w:rsid w:val="00846233"/>
    <w:rsid w:val="008462BD"/>
    <w:rsid w:val="0084649D"/>
    <w:rsid w:val="00846664"/>
    <w:rsid w:val="00846ADA"/>
    <w:rsid w:val="00846D78"/>
    <w:rsid w:val="008474EE"/>
    <w:rsid w:val="00847593"/>
    <w:rsid w:val="008478FE"/>
    <w:rsid w:val="00850329"/>
    <w:rsid w:val="008504DE"/>
    <w:rsid w:val="00850AD5"/>
    <w:rsid w:val="008511F8"/>
    <w:rsid w:val="008512DA"/>
    <w:rsid w:val="0085133D"/>
    <w:rsid w:val="00851887"/>
    <w:rsid w:val="00851B6B"/>
    <w:rsid w:val="00851FA8"/>
    <w:rsid w:val="008521E3"/>
    <w:rsid w:val="0085294A"/>
    <w:rsid w:val="00852E5F"/>
    <w:rsid w:val="00852EF4"/>
    <w:rsid w:val="008539F9"/>
    <w:rsid w:val="00853A94"/>
    <w:rsid w:val="00853A9C"/>
    <w:rsid w:val="00853BAC"/>
    <w:rsid w:val="00854357"/>
    <w:rsid w:val="008547CC"/>
    <w:rsid w:val="00854909"/>
    <w:rsid w:val="00855244"/>
    <w:rsid w:val="008554B0"/>
    <w:rsid w:val="0085599A"/>
    <w:rsid w:val="00855FC4"/>
    <w:rsid w:val="0085690D"/>
    <w:rsid w:val="00856EFB"/>
    <w:rsid w:val="00857065"/>
    <w:rsid w:val="008577F9"/>
    <w:rsid w:val="00857D93"/>
    <w:rsid w:val="008600EB"/>
    <w:rsid w:val="00860390"/>
    <w:rsid w:val="0086040F"/>
    <w:rsid w:val="00860487"/>
    <w:rsid w:val="00860C2F"/>
    <w:rsid w:val="00860C98"/>
    <w:rsid w:val="00860D59"/>
    <w:rsid w:val="00860DB2"/>
    <w:rsid w:val="00860FB5"/>
    <w:rsid w:val="008610DE"/>
    <w:rsid w:val="008612E3"/>
    <w:rsid w:val="00861570"/>
    <w:rsid w:val="008616DA"/>
    <w:rsid w:val="0086172D"/>
    <w:rsid w:val="008618B1"/>
    <w:rsid w:val="00861D56"/>
    <w:rsid w:val="00862076"/>
    <w:rsid w:val="00862152"/>
    <w:rsid w:val="008622BC"/>
    <w:rsid w:val="00862372"/>
    <w:rsid w:val="0086258C"/>
    <w:rsid w:val="00862819"/>
    <w:rsid w:val="00862C92"/>
    <w:rsid w:val="00862D02"/>
    <w:rsid w:val="00862F33"/>
    <w:rsid w:val="00863250"/>
    <w:rsid w:val="0086382F"/>
    <w:rsid w:val="008638BE"/>
    <w:rsid w:val="008638D8"/>
    <w:rsid w:val="00864676"/>
    <w:rsid w:val="00864678"/>
    <w:rsid w:val="00864B52"/>
    <w:rsid w:val="00864BF8"/>
    <w:rsid w:val="00864C5C"/>
    <w:rsid w:val="008652D5"/>
    <w:rsid w:val="008655DB"/>
    <w:rsid w:val="008655DC"/>
    <w:rsid w:val="00865D61"/>
    <w:rsid w:val="00866023"/>
    <w:rsid w:val="00866032"/>
    <w:rsid w:val="00866162"/>
    <w:rsid w:val="008663B3"/>
    <w:rsid w:val="008663F3"/>
    <w:rsid w:val="0086670F"/>
    <w:rsid w:val="0086725D"/>
    <w:rsid w:val="00867BC2"/>
    <w:rsid w:val="0087002F"/>
    <w:rsid w:val="00870CCC"/>
    <w:rsid w:val="00870D71"/>
    <w:rsid w:val="008712FE"/>
    <w:rsid w:val="00871508"/>
    <w:rsid w:val="008717AA"/>
    <w:rsid w:val="00871819"/>
    <w:rsid w:val="008718D1"/>
    <w:rsid w:val="008719E3"/>
    <w:rsid w:val="00871C51"/>
    <w:rsid w:val="008723BA"/>
    <w:rsid w:val="00872B70"/>
    <w:rsid w:val="00872CCF"/>
    <w:rsid w:val="00872D73"/>
    <w:rsid w:val="00872E30"/>
    <w:rsid w:val="008737D8"/>
    <w:rsid w:val="00873BFE"/>
    <w:rsid w:val="00873D17"/>
    <w:rsid w:val="00873F43"/>
    <w:rsid w:val="0087468B"/>
    <w:rsid w:val="00874968"/>
    <w:rsid w:val="008749CD"/>
    <w:rsid w:val="00874A36"/>
    <w:rsid w:val="00874DB8"/>
    <w:rsid w:val="00875636"/>
    <w:rsid w:val="0087566A"/>
    <w:rsid w:val="00875A55"/>
    <w:rsid w:val="00875C38"/>
    <w:rsid w:val="008761E1"/>
    <w:rsid w:val="008763C5"/>
    <w:rsid w:val="00876CBB"/>
    <w:rsid w:val="00876D26"/>
    <w:rsid w:val="00877619"/>
    <w:rsid w:val="008777EB"/>
    <w:rsid w:val="00877BAD"/>
    <w:rsid w:val="0088082B"/>
    <w:rsid w:val="00880AFD"/>
    <w:rsid w:val="00880D0A"/>
    <w:rsid w:val="00880FB0"/>
    <w:rsid w:val="008816E4"/>
    <w:rsid w:val="008816E9"/>
    <w:rsid w:val="00881FCD"/>
    <w:rsid w:val="0088205F"/>
    <w:rsid w:val="008821A4"/>
    <w:rsid w:val="008821BD"/>
    <w:rsid w:val="008823D4"/>
    <w:rsid w:val="00882635"/>
    <w:rsid w:val="00882BAF"/>
    <w:rsid w:val="00882BD9"/>
    <w:rsid w:val="00882C7B"/>
    <w:rsid w:val="00882D1E"/>
    <w:rsid w:val="00883134"/>
    <w:rsid w:val="00883365"/>
    <w:rsid w:val="0088354D"/>
    <w:rsid w:val="00884399"/>
    <w:rsid w:val="008843CF"/>
    <w:rsid w:val="00884B94"/>
    <w:rsid w:val="00884C29"/>
    <w:rsid w:val="00885101"/>
    <w:rsid w:val="00885233"/>
    <w:rsid w:val="008859DF"/>
    <w:rsid w:val="00885BEE"/>
    <w:rsid w:val="00885CD1"/>
    <w:rsid w:val="008862E0"/>
    <w:rsid w:val="008863CA"/>
    <w:rsid w:val="008865E4"/>
    <w:rsid w:val="00886A90"/>
    <w:rsid w:val="0088748D"/>
    <w:rsid w:val="008877B0"/>
    <w:rsid w:val="008878D6"/>
    <w:rsid w:val="008878FD"/>
    <w:rsid w:val="00887F0D"/>
    <w:rsid w:val="00890426"/>
    <w:rsid w:val="0089078C"/>
    <w:rsid w:val="008907E4"/>
    <w:rsid w:val="0089102A"/>
    <w:rsid w:val="0089118A"/>
    <w:rsid w:val="00891205"/>
    <w:rsid w:val="008914BE"/>
    <w:rsid w:val="00891FCA"/>
    <w:rsid w:val="00892364"/>
    <w:rsid w:val="00892366"/>
    <w:rsid w:val="0089247A"/>
    <w:rsid w:val="00892683"/>
    <w:rsid w:val="00892794"/>
    <w:rsid w:val="0089287D"/>
    <w:rsid w:val="00892AB5"/>
    <w:rsid w:val="00892B64"/>
    <w:rsid w:val="008930DB"/>
    <w:rsid w:val="00893121"/>
    <w:rsid w:val="00893356"/>
    <w:rsid w:val="008938BE"/>
    <w:rsid w:val="008939F3"/>
    <w:rsid w:val="00894070"/>
    <w:rsid w:val="008942F5"/>
    <w:rsid w:val="008944D2"/>
    <w:rsid w:val="008944E5"/>
    <w:rsid w:val="008947BB"/>
    <w:rsid w:val="00895564"/>
    <w:rsid w:val="00895745"/>
    <w:rsid w:val="0089583C"/>
    <w:rsid w:val="00895EDD"/>
    <w:rsid w:val="00896240"/>
    <w:rsid w:val="00896402"/>
    <w:rsid w:val="00896609"/>
    <w:rsid w:val="00896B7B"/>
    <w:rsid w:val="00896DC0"/>
    <w:rsid w:val="0089790C"/>
    <w:rsid w:val="008979CE"/>
    <w:rsid w:val="00897A78"/>
    <w:rsid w:val="008A019B"/>
    <w:rsid w:val="008A06BF"/>
    <w:rsid w:val="008A076E"/>
    <w:rsid w:val="008A079B"/>
    <w:rsid w:val="008A0861"/>
    <w:rsid w:val="008A0D18"/>
    <w:rsid w:val="008A0DAA"/>
    <w:rsid w:val="008A0E67"/>
    <w:rsid w:val="008A113E"/>
    <w:rsid w:val="008A1709"/>
    <w:rsid w:val="008A1CDF"/>
    <w:rsid w:val="008A1D22"/>
    <w:rsid w:val="008A1FB9"/>
    <w:rsid w:val="008A20B4"/>
    <w:rsid w:val="008A2363"/>
    <w:rsid w:val="008A24C2"/>
    <w:rsid w:val="008A2569"/>
    <w:rsid w:val="008A258D"/>
    <w:rsid w:val="008A26AB"/>
    <w:rsid w:val="008A2A4C"/>
    <w:rsid w:val="008A2D5C"/>
    <w:rsid w:val="008A2F2A"/>
    <w:rsid w:val="008A2F73"/>
    <w:rsid w:val="008A326A"/>
    <w:rsid w:val="008A398F"/>
    <w:rsid w:val="008A3A6C"/>
    <w:rsid w:val="008A4567"/>
    <w:rsid w:val="008A4616"/>
    <w:rsid w:val="008A4818"/>
    <w:rsid w:val="008A4F2D"/>
    <w:rsid w:val="008A55BF"/>
    <w:rsid w:val="008A5642"/>
    <w:rsid w:val="008A58F5"/>
    <w:rsid w:val="008A5982"/>
    <w:rsid w:val="008A5F0E"/>
    <w:rsid w:val="008A6A78"/>
    <w:rsid w:val="008A6AC0"/>
    <w:rsid w:val="008A6B05"/>
    <w:rsid w:val="008A6C81"/>
    <w:rsid w:val="008A6CF3"/>
    <w:rsid w:val="008A715A"/>
    <w:rsid w:val="008A71E2"/>
    <w:rsid w:val="008A7763"/>
    <w:rsid w:val="008A7816"/>
    <w:rsid w:val="008A7B8A"/>
    <w:rsid w:val="008B02F6"/>
    <w:rsid w:val="008B030D"/>
    <w:rsid w:val="008B062A"/>
    <w:rsid w:val="008B0841"/>
    <w:rsid w:val="008B0884"/>
    <w:rsid w:val="008B09B7"/>
    <w:rsid w:val="008B0A14"/>
    <w:rsid w:val="008B0C30"/>
    <w:rsid w:val="008B0D8F"/>
    <w:rsid w:val="008B1447"/>
    <w:rsid w:val="008B2021"/>
    <w:rsid w:val="008B207C"/>
    <w:rsid w:val="008B21B4"/>
    <w:rsid w:val="008B28A4"/>
    <w:rsid w:val="008B2917"/>
    <w:rsid w:val="008B2A74"/>
    <w:rsid w:val="008B386B"/>
    <w:rsid w:val="008B3F72"/>
    <w:rsid w:val="008B408A"/>
    <w:rsid w:val="008B424D"/>
    <w:rsid w:val="008B4816"/>
    <w:rsid w:val="008B4BC2"/>
    <w:rsid w:val="008B530F"/>
    <w:rsid w:val="008B58C1"/>
    <w:rsid w:val="008B5A02"/>
    <w:rsid w:val="008B6174"/>
    <w:rsid w:val="008B61C2"/>
    <w:rsid w:val="008B62EE"/>
    <w:rsid w:val="008B6335"/>
    <w:rsid w:val="008B6819"/>
    <w:rsid w:val="008B73C4"/>
    <w:rsid w:val="008C006F"/>
    <w:rsid w:val="008C0210"/>
    <w:rsid w:val="008C0480"/>
    <w:rsid w:val="008C08A8"/>
    <w:rsid w:val="008C11A1"/>
    <w:rsid w:val="008C1466"/>
    <w:rsid w:val="008C15B2"/>
    <w:rsid w:val="008C1810"/>
    <w:rsid w:val="008C1C82"/>
    <w:rsid w:val="008C1DD3"/>
    <w:rsid w:val="008C219C"/>
    <w:rsid w:val="008C23A1"/>
    <w:rsid w:val="008C23C5"/>
    <w:rsid w:val="008C2937"/>
    <w:rsid w:val="008C297F"/>
    <w:rsid w:val="008C2B1D"/>
    <w:rsid w:val="008C2EC7"/>
    <w:rsid w:val="008C2EE8"/>
    <w:rsid w:val="008C3363"/>
    <w:rsid w:val="008C3434"/>
    <w:rsid w:val="008C34B8"/>
    <w:rsid w:val="008C359A"/>
    <w:rsid w:val="008C3D10"/>
    <w:rsid w:val="008C4224"/>
    <w:rsid w:val="008C423F"/>
    <w:rsid w:val="008C48FF"/>
    <w:rsid w:val="008C4A13"/>
    <w:rsid w:val="008C4DF1"/>
    <w:rsid w:val="008C4E35"/>
    <w:rsid w:val="008C54B8"/>
    <w:rsid w:val="008C5DA3"/>
    <w:rsid w:val="008C6ACF"/>
    <w:rsid w:val="008C6CE8"/>
    <w:rsid w:val="008C6CE9"/>
    <w:rsid w:val="008C702C"/>
    <w:rsid w:val="008C7052"/>
    <w:rsid w:val="008C7729"/>
    <w:rsid w:val="008C7A52"/>
    <w:rsid w:val="008C7CCD"/>
    <w:rsid w:val="008D026C"/>
    <w:rsid w:val="008D03AE"/>
    <w:rsid w:val="008D090C"/>
    <w:rsid w:val="008D0FF7"/>
    <w:rsid w:val="008D12A3"/>
    <w:rsid w:val="008D13AC"/>
    <w:rsid w:val="008D1797"/>
    <w:rsid w:val="008D1C14"/>
    <w:rsid w:val="008D1CDD"/>
    <w:rsid w:val="008D2258"/>
    <w:rsid w:val="008D2578"/>
    <w:rsid w:val="008D261F"/>
    <w:rsid w:val="008D2CB3"/>
    <w:rsid w:val="008D2EBA"/>
    <w:rsid w:val="008D325C"/>
    <w:rsid w:val="008D33C0"/>
    <w:rsid w:val="008D367F"/>
    <w:rsid w:val="008D3FD9"/>
    <w:rsid w:val="008D401F"/>
    <w:rsid w:val="008D419C"/>
    <w:rsid w:val="008D4662"/>
    <w:rsid w:val="008D47C8"/>
    <w:rsid w:val="008D56C3"/>
    <w:rsid w:val="008D63E4"/>
    <w:rsid w:val="008D6646"/>
    <w:rsid w:val="008D678E"/>
    <w:rsid w:val="008D6AB2"/>
    <w:rsid w:val="008D6C27"/>
    <w:rsid w:val="008D6D8F"/>
    <w:rsid w:val="008D70DF"/>
    <w:rsid w:val="008D76DF"/>
    <w:rsid w:val="008E02C6"/>
    <w:rsid w:val="008E0521"/>
    <w:rsid w:val="008E059A"/>
    <w:rsid w:val="008E05D8"/>
    <w:rsid w:val="008E0B1A"/>
    <w:rsid w:val="008E0E23"/>
    <w:rsid w:val="008E1357"/>
    <w:rsid w:val="008E1542"/>
    <w:rsid w:val="008E19E0"/>
    <w:rsid w:val="008E1B22"/>
    <w:rsid w:val="008E2134"/>
    <w:rsid w:val="008E226E"/>
    <w:rsid w:val="008E2A9E"/>
    <w:rsid w:val="008E2BEF"/>
    <w:rsid w:val="008E2E26"/>
    <w:rsid w:val="008E3131"/>
    <w:rsid w:val="008E331B"/>
    <w:rsid w:val="008E338E"/>
    <w:rsid w:val="008E3871"/>
    <w:rsid w:val="008E3A6C"/>
    <w:rsid w:val="008E3D93"/>
    <w:rsid w:val="008E3E2D"/>
    <w:rsid w:val="008E3ED2"/>
    <w:rsid w:val="008E4091"/>
    <w:rsid w:val="008E4552"/>
    <w:rsid w:val="008E465A"/>
    <w:rsid w:val="008E4876"/>
    <w:rsid w:val="008E48F2"/>
    <w:rsid w:val="008E4916"/>
    <w:rsid w:val="008E4F7A"/>
    <w:rsid w:val="008E4FEB"/>
    <w:rsid w:val="008E5099"/>
    <w:rsid w:val="008E51DE"/>
    <w:rsid w:val="008E5287"/>
    <w:rsid w:val="008E52C1"/>
    <w:rsid w:val="008E541F"/>
    <w:rsid w:val="008E5499"/>
    <w:rsid w:val="008E593A"/>
    <w:rsid w:val="008E5CDB"/>
    <w:rsid w:val="008E6420"/>
    <w:rsid w:val="008E6AB4"/>
    <w:rsid w:val="008E6BEF"/>
    <w:rsid w:val="008E727C"/>
    <w:rsid w:val="008E7962"/>
    <w:rsid w:val="008E79C8"/>
    <w:rsid w:val="008E7EC2"/>
    <w:rsid w:val="008F0586"/>
    <w:rsid w:val="008F0E18"/>
    <w:rsid w:val="008F1035"/>
    <w:rsid w:val="008F168F"/>
    <w:rsid w:val="008F1790"/>
    <w:rsid w:val="008F17D0"/>
    <w:rsid w:val="008F18CC"/>
    <w:rsid w:val="008F1A99"/>
    <w:rsid w:val="008F1CDF"/>
    <w:rsid w:val="008F1F3B"/>
    <w:rsid w:val="008F1FFD"/>
    <w:rsid w:val="008F2388"/>
    <w:rsid w:val="008F253F"/>
    <w:rsid w:val="008F2681"/>
    <w:rsid w:val="008F2B1B"/>
    <w:rsid w:val="008F2E7A"/>
    <w:rsid w:val="008F2ED8"/>
    <w:rsid w:val="008F3048"/>
    <w:rsid w:val="008F34F6"/>
    <w:rsid w:val="008F3912"/>
    <w:rsid w:val="008F40FC"/>
    <w:rsid w:val="008F4208"/>
    <w:rsid w:val="008F43D8"/>
    <w:rsid w:val="008F4C4B"/>
    <w:rsid w:val="008F55B3"/>
    <w:rsid w:val="008F59A7"/>
    <w:rsid w:val="008F5BB5"/>
    <w:rsid w:val="008F5C34"/>
    <w:rsid w:val="008F6056"/>
    <w:rsid w:val="008F606A"/>
    <w:rsid w:val="008F6167"/>
    <w:rsid w:val="008F623C"/>
    <w:rsid w:val="008F6891"/>
    <w:rsid w:val="008F6A8E"/>
    <w:rsid w:val="008F6B94"/>
    <w:rsid w:val="008F6D75"/>
    <w:rsid w:val="008F7210"/>
    <w:rsid w:val="008F74B2"/>
    <w:rsid w:val="008F7502"/>
    <w:rsid w:val="008F75E7"/>
    <w:rsid w:val="00900117"/>
    <w:rsid w:val="00900160"/>
    <w:rsid w:val="00900178"/>
    <w:rsid w:val="009003B2"/>
    <w:rsid w:val="00900645"/>
    <w:rsid w:val="00900A5D"/>
    <w:rsid w:val="00900B9A"/>
    <w:rsid w:val="009010B4"/>
    <w:rsid w:val="0090184B"/>
    <w:rsid w:val="00901A3A"/>
    <w:rsid w:val="00902A8B"/>
    <w:rsid w:val="00902D2E"/>
    <w:rsid w:val="0090301D"/>
    <w:rsid w:val="0090310A"/>
    <w:rsid w:val="00903431"/>
    <w:rsid w:val="00903768"/>
    <w:rsid w:val="009038A7"/>
    <w:rsid w:val="009039B6"/>
    <w:rsid w:val="00903B30"/>
    <w:rsid w:val="00903B4D"/>
    <w:rsid w:val="00903CF3"/>
    <w:rsid w:val="00903D5E"/>
    <w:rsid w:val="00903E50"/>
    <w:rsid w:val="00904081"/>
    <w:rsid w:val="009042AB"/>
    <w:rsid w:val="0090472A"/>
    <w:rsid w:val="00904A5D"/>
    <w:rsid w:val="00904BDE"/>
    <w:rsid w:val="009059B9"/>
    <w:rsid w:val="00905B1C"/>
    <w:rsid w:val="00905D12"/>
    <w:rsid w:val="00906724"/>
    <w:rsid w:val="00906ACD"/>
    <w:rsid w:val="00906E66"/>
    <w:rsid w:val="00907041"/>
    <w:rsid w:val="0090707A"/>
    <w:rsid w:val="00907302"/>
    <w:rsid w:val="00907503"/>
    <w:rsid w:val="00907E01"/>
    <w:rsid w:val="009100B4"/>
    <w:rsid w:val="009100BE"/>
    <w:rsid w:val="00910593"/>
    <w:rsid w:val="0091076A"/>
    <w:rsid w:val="00911B22"/>
    <w:rsid w:val="00911BE4"/>
    <w:rsid w:val="00911CBC"/>
    <w:rsid w:val="00911F81"/>
    <w:rsid w:val="00911FA1"/>
    <w:rsid w:val="00911FB3"/>
    <w:rsid w:val="009121D0"/>
    <w:rsid w:val="009124FC"/>
    <w:rsid w:val="00912576"/>
    <w:rsid w:val="00912A37"/>
    <w:rsid w:val="00912BA6"/>
    <w:rsid w:val="0091310C"/>
    <w:rsid w:val="00913232"/>
    <w:rsid w:val="00913411"/>
    <w:rsid w:val="009135AB"/>
    <w:rsid w:val="00913A61"/>
    <w:rsid w:val="00913D5F"/>
    <w:rsid w:val="00913D8C"/>
    <w:rsid w:val="00913E6A"/>
    <w:rsid w:val="00913F13"/>
    <w:rsid w:val="0091428E"/>
    <w:rsid w:val="00914ACB"/>
    <w:rsid w:val="00915A73"/>
    <w:rsid w:val="00915C8D"/>
    <w:rsid w:val="00915DD2"/>
    <w:rsid w:val="00916001"/>
    <w:rsid w:val="0091638D"/>
    <w:rsid w:val="009167B9"/>
    <w:rsid w:val="00916B45"/>
    <w:rsid w:val="00916B97"/>
    <w:rsid w:val="00916F9D"/>
    <w:rsid w:val="009173E0"/>
    <w:rsid w:val="009173EC"/>
    <w:rsid w:val="00917465"/>
    <w:rsid w:val="00917CA4"/>
    <w:rsid w:val="009204E3"/>
    <w:rsid w:val="00920C58"/>
    <w:rsid w:val="00920D91"/>
    <w:rsid w:val="009210DA"/>
    <w:rsid w:val="009218D7"/>
    <w:rsid w:val="00921AED"/>
    <w:rsid w:val="00921BC5"/>
    <w:rsid w:val="00921D0D"/>
    <w:rsid w:val="00921F20"/>
    <w:rsid w:val="00921FB0"/>
    <w:rsid w:val="0092203B"/>
    <w:rsid w:val="0092243F"/>
    <w:rsid w:val="00922747"/>
    <w:rsid w:val="0092286A"/>
    <w:rsid w:val="00922CB8"/>
    <w:rsid w:val="009231B7"/>
    <w:rsid w:val="00923ACA"/>
    <w:rsid w:val="00923B14"/>
    <w:rsid w:val="00923BA7"/>
    <w:rsid w:val="00923D4A"/>
    <w:rsid w:val="00923EBF"/>
    <w:rsid w:val="00923EC7"/>
    <w:rsid w:val="00923FC2"/>
    <w:rsid w:val="009240C9"/>
    <w:rsid w:val="00924598"/>
    <w:rsid w:val="00924BA5"/>
    <w:rsid w:val="009253BC"/>
    <w:rsid w:val="009254E0"/>
    <w:rsid w:val="00925C88"/>
    <w:rsid w:val="009263EC"/>
    <w:rsid w:val="00926A6C"/>
    <w:rsid w:val="00926C02"/>
    <w:rsid w:val="00927526"/>
    <w:rsid w:val="00927590"/>
    <w:rsid w:val="009275A5"/>
    <w:rsid w:val="00927A62"/>
    <w:rsid w:val="00927F9F"/>
    <w:rsid w:val="00930349"/>
    <w:rsid w:val="0093038C"/>
    <w:rsid w:val="00930837"/>
    <w:rsid w:val="00931099"/>
    <w:rsid w:val="00931331"/>
    <w:rsid w:val="00931446"/>
    <w:rsid w:val="00931903"/>
    <w:rsid w:val="00931971"/>
    <w:rsid w:val="00931D00"/>
    <w:rsid w:val="00931F58"/>
    <w:rsid w:val="009323EE"/>
    <w:rsid w:val="009325DD"/>
    <w:rsid w:val="00932DB2"/>
    <w:rsid w:val="00932DE5"/>
    <w:rsid w:val="00933072"/>
    <w:rsid w:val="0093437B"/>
    <w:rsid w:val="0093464A"/>
    <w:rsid w:val="00934B84"/>
    <w:rsid w:val="00934EA5"/>
    <w:rsid w:val="00934FE8"/>
    <w:rsid w:val="009357C6"/>
    <w:rsid w:val="009359BB"/>
    <w:rsid w:val="009359D6"/>
    <w:rsid w:val="00935EE6"/>
    <w:rsid w:val="00935EFC"/>
    <w:rsid w:val="0093635C"/>
    <w:rsid w:val="009363A6"/>
    <w:rsid w:val="009364EB"/>
    <w:rsid w:val="0093652A"/>
    <w:rsid w:val="009365D2"/>
    <w:rsid w:val="0093660D"/>
    <w:rsid w:val="009367DC"/>
    <w:rsid w:val="00936925"/>
    <w:rsid w:val="00936E9D"/>
    <w:rsid w:val="009370BD"/>
    <w:rsid w:val="009372AB"/>
    <w:rsid w:val="00937634"/>
    <w:rsid w:val="00937820"/>
    <w:rsid w:val="00940188"/>
    <w:rsid w:val="009403D3"/>
    <w:rsid w:val="0094052B"/>
    <w:rsid w:val="00940561"/>
    <w:rsid w:val="00940862"/>
    <w:rsid w:val="00940EE8"/>
    <w:rsid w:val="0094118D"/>
    <w:rsid w:val="00941481"/>
    <w:rsid w:val="00941663"/>
    <w:rsid w:val="00941A8C"/>
    <w:rsid w:val="00941E96"/>
    <w:rsid w:val="009428A6"/>
    <w:rsid w:val="009428F4"/>
    <w:rsid w:val="00942AF4"/>
    <w:rsid w:val="00942DF3"/>
    <w:rsid w:val="00942E4D"/>
    <w:rsid w:val="009432CB"/>
    <w:rsid w:val="00943911"/>
    <w:rsid w:val="00943D6B"/>
    <w:rsid w:val="00943E59"/>
    <w:rsid w:val="00944197"/>
    <w:rsid w:val="009448A9"/>
    <w:rsid w:val="009449A1"/>
    <w:rsid w:val="00944A4D"/>
    <w:rsid w:val="0094509C"/>
    <w:rsid w:val="009451BD"/>
    <w:rsid w:val="009453CC"/>
    <w:rsid w:val="009458BD"/>
    <w:rsid w:val="00945954"/>
    <w:rsid w:val="00945AFA"/>
    <w:rsid w:val="00946329"/>
    <w:rsid w:val="00946433"/>
    <w:rsid w:val="00946515"/>
    <w:rsid w:val="009467C1"/>
    <w:rsid w:val="00946888"/>
    <w:rsid w:val="00947345"/>
    <w:rsid w:val="00947399"/>
    <w:rsid w:val="009479F5"/>
    <w:rsid w:val="00947A28"/>
    <w:rsid w:val="00947ACB"/>
    <w:rsid w:val="00947F44"/>
    <w:rsid w:val="009502A2"/>
    <w:rsid w:val="009502B6"/>
    <w:rsid w:val="00950B9B"/>
    <w:rsid w:val="00950C83"/>
    <w:rsid w:val="00950D17"/>
    <w:rsid w:val="00950E17"/>
    <w:rsid w:val="00950E76"/>
    <w:rsid w:val="009512F9"/>
    <w:rsid w:val="0095135E"/>
    <w:rsid w:val="00951433"/>
    <w:rsid w:val="0095190C"/>
    <w:rsid w:val="00951993"/>
    <w:rsid w:val="00951C51"/>
    <w:rsid w:val="00951DA3"/>
    <w:rsid w:val="00952069"/>
    <w:rsid w:val="009528EC"/>
    <w:rsid w:val="009528F1"/>
    <w:rsid w:val="009528F8"/>
    <w:rsid w:val="00952A13"/>
    <w:rsid w:val="00952D90"/>
    <w:rsid w:val="00952F2F"/>
    <w:rsid w:val="00952FD2"/>
    <w:rsid w:val="009530BD"/>
    <w:rsid w:val="00953F23"/>
    <w:rsid w:val="0095402E"/>
    <w:rsid w:val="009541A2"/>
    <w:rsid w:val="00954271"/>
    <w:rsid w:val="009543E5"/>
    <w:rsid w:val="00954565"/>
    <w:rsid w:val="00954A88"/>
    <w:rsid w:val="00954E05"/>
    <w:rsid w:val="0095546C"/>
    <w:rsid w:val="009554CB"/>
    <w:rsid w:val="009554F2"/>
    <w:rsid w:val="009556AE"/>
    <w:rsid w:val="00955CC2"/>
    <w:rsid w:val="00955F0E"/>
    <w:rsid w:val="00956179"/>
    <w:rsid w:val="0095629D"/>
    <w:rsid w:val="00956300"/>
    <w:rsid w:val="009563C1"/>
    <w:rsid w:val="00956734"/>
    <w:rsid w:val="00956C9C"/>
    <w:rsid w:val="009571F6"/>
    <w:rsid w:val="009572F4"/>
    <w:rsid w:val="00957324"/>
    <w:rsid w:val="00957B9B"/>
    <w:rsid w:val="00957D95"/>
    <w:rsid w:val="00960190"/>
    <w:rsid w:val="00960B97"/>
    <w:rsid w:val="00960E53"/>
    <w:rsid w:val="00960F71"/>
    <w:rsid w:val="0096108B"/>
    <w:rsid w:val="00961140"/>
    <w:rsid w:val="009611D4"/>
    <w:rsid w:val="00961369"/>
    <w:rsid w:val="0096200C"/>
    <w:rsid w:val="00962021"/>
    <w:rsid w:val="009623CB"/>
    <w:rsid w:val="009628E8"/>
    <w:rsid w:val="00962B90"/>
    <w:rsid w:val="00962F02"/>
    <w:rsid w:val="00963B91"/>
    <w:rsid w:val="00963BE7"/>
    <w:rsid w:val="00963DFD"/>
    <w:rsid w:val="00963F8C"/>
    <w:rsid w:val="00964774"/>
    <w:rsid w:val="009649E5"/>
    <w:rsid w:val="00965002"/>
    <w:rsid w:val="0096517E"/>
    <w:rsid w:val="00965545"/>
    <w:rsid w:val="0096554C"/>
    <w:rsid w:val="0096567A"/>
    <w:rsid w:val="0096571F"/>
    <w:rsid w:val="00965734"/>
    <w:rsid w:val="00965C70"/>
    <w:rsid w:val="009664CF"/>
    <w:rsid w:val="00966DAB"/>
    <w:rsid w:val="00967B60"/>
    <w:rsid w:val="00967FD2"/>
    <w:rsid w:val="00970009"/>
    <w:rsid w:val="00970278"/>
    <w:rsid w:val="00970571"/>
    <w:rsid w:val="00970797"/>
    <w:rsid w:val="0097178D"/>
    <w:rsid w:val="00971B05"/>
    <w:rsid w:val="009721A0"/>
    <w:rsid w:val="009726D3"/>
    <w:rsid w:val="0097273B"/>
    <w:rsid w:val="00972B0F"/>
    <w:rsid w:val="00972C20"/>
    <w:rsid w:val="00973267"/>
    <w:rsid w:val="00973354"/>
    <w:rsid w:val="009733E8"/>
    <w:rsid w:val="00973A9F"/>
    <w:rsid w:val="00973B79"/>
    <w:rsid w:val="00973E6B"/>
    <w:rsid w:val="009743A0"/>
    <w:rsid w:val="00974B88"/>
    <w:rsid w:val="00974D56"/>
    <w:rsid w:val="00975548"/>
    <w:rsid w:val="0097579B"/>
    <w:rsid w:val="009757A8"/>
    <w:rsid w:val="00975A56"/>
    <w:rsid w:val="00975A9D"/>
    <w:rsid w:val="00975F3E"/>
    <w:rsid w:val="00975F9A"/>
    <w:rsid w:val="0097608C"/>
    <w:rsid w:val="009764C1"/>
    <w:rsid w:val="009766E1"/>
    <w:rsid w:val="009769BE"/>
    <w:rsid w:val="00976C91"/>
    <w:rsid w:val="00976D58"/>
    <w:rsid w:val="0097701F"/>
    <w:rsid w:val="009771B2"/>
    <w:rsid w:val="00977899"/>
    <w:rsid w:val="00977A2C"/>
    <w:rsid w:val="00977D0D"/>
    <w:rsid w:val="00977D33"/>
    <w:rsid w:val="009801F2"/>
    <w:rsid w:val="00980832"/>
    <w:rsid w:val="00980874"/>
    <w:rsid w:val="00980D0A"/>
    <w:rsid w:val="0098107C"/>
    <w:rsid w:val="00981290"/>
    <w:rsid w:val="00981332"/>
    <w:rsid w:val="00981ACB"/>
    <w:rsid w:val="0098203D"/>
    <w:rsid w:val="00982C61"/>
    <w:rsid w:val="00982CD8"/>
    <w:rsid w:val="00982D10"/>
    <w:rsid w:val="00982E25"/>
    <w:rsid w:val="00982F5B"/>
    <w:rsid w:val="00983056"/>
    <w:rsid w:val="00983465"/>
    <w:rsid w:val="00983595"/>
    <w:rsid w:val="009846D8"/>
    <w:rsid w:val="009848E1"/>
    <w:rsid w:val="00984999"/>
    <w:rsid w:val="00984AD4"/>
    <w:rsid w:val="00984B10"/>
    <w:rsid w:val="00985018"/>
    <w:rsid w:val="00985188"/>
    <w:rsid w:val="00985279"/>
    <w:rsid w:val="00985ECF"/>
    <w:rsid w:val="009861E7"/>
    <w:rsid w:val="0098641E"/>
    <w:rsid w:val="0098697E"/>
    <w:rsid w:val="00986BF4"/>
    <w:rsid w:val="00986F6D"/>
    <w:rsid w:val="0098769B"/>
    <w:rsid w:val="00987A3F"/>
    <w:rsid w:val="00987D2F"/>
    <w:rsid w:val="00987EC1"/>
    <w:rsid w:val="00990082"/>
    <w:rsid w:val="00990253"/>
    <w:rsid w:val="009903FB"/>
    <w:rsid w:val="00990560"/>
    <w:rsid w:val="009907DB"/>
    <w:rsid w:val="00990BAA"/>
    <w:rsid w:val="00990CD2"/>
    <w:rsid w:val="00990EAA"/>
    <w:rsid w:val="00990EBF"/>
    <w:rsid w:val="009910CB"/>
    <w:rsid w:val="00991285"/>
    <w:rsid w:val="0099197D"/>
    <w:rsid w:val="009919E5"/>
    <w:rsid w:val="00991B7F"/>
    <w:rsid w:val="00991C5A"/>
    <w:rsid w:val="00991C5B"/>
    <w:rsid w:val="00991C89"/>
    <w:rsid w:val="00991E2D"/>
    <w:rsid w:val="00991E39"/>
    <w:rsid w:val="00991F24"/>
    <w:rsid w:val="009920E3"/>
    <w:rsid w:val="0099225F"/>
    <w:rsid w:val="00992430"/>
    <w:rsid w:val="0099259B"/>
    <w:rsid w:val="00992608"/>
    <w:rsid w:val="0099274B"/>
    <w:rsid w:val="00992C0A"/>
    <w:rsid w:val="00992C40"/>
    <w:rsid w:val="00993526"/>
    <w:rsid w:val="009935B1"/>
    <w:rsid w:val="00993AC4"/>
    <w:rsid w:val="009940F4"/>
    <w:rsid w:val="00994227"/>
    <w:rsid w:val="0099455E"/>
    <w:rsid w:val="00994A4D"/>
    <w:rsid w:val="00994D81"/>
    <w:rsid w:val="009951F8"/>
    <w:rsid w:val="00995208"/>
    <w:rsid w:val="009952F1"/>
    <w:rsid w:val="009959C7"/>
    <w:rsid w:val="00995A6F"/>
    <w:rsid w:val="00995D94"/>
    <w:rsid w:val="00995E07"/>
    <w:rsid w:val="00995EBF"/>
    <w:rsid w:val="009960FE"/>
    <w:rsid w:val="00996559"/>
    <w:rsid w:val="00996E6E"/>
    <w:rsid w:val="009970AA"/>
    <w:rsid w:val="009972B9"/>
    <w:rsid w:val="009972ED"/>
    <w:rsid w:val="009975CD"/>
    <w:rsid w:val="00997767"/>
    <w:rsid w:val="009978D3"/>
    <w:rsid w:val="00997F66"/>
    <w:rsid w:val="009A09AF"/>
    <w:rsid w:val="009A13AD"/>
    <w:rsid w:val="009A14A4"/>
    <w:rsid w:val="009A167B"/>
    <w:rsid w:val="009A16D4"/>
    <w:rsid w:val="009A1A12"/>
    <w:rsid w:val="009A1A1D"/>
    <w:rsid w:val="009A1E69"/>
    <w:rsid w:val="009A27F5"/>
    <w:rsid w:val="009A2B81"/>
    <w:rsid w:val="009A2D51"/>
    <w:rsid w:val="009A2E89"/>
    <w:rsid w:val="009A3119"/>
    <w:rsid w:val="009A3824"/>
    <w:rsid w:val="009A3B09"/>
    <w:rsid w:val="009A41DC"/>
    <w:rsid w:val="009A4268"/>
    <w:rsid w:val="009A4302"/>
    <w:rsid w:val="009A446D"/>
    <w:rsid w:val="009A45BB"/>
    <w:rsid w:val="009A4C83"/>
    <w:rsid w:val="009A5709"/>
    <w:rsid w:val="009A586C"/>
    <w:rsid w:val="009A59DE"/>
    <w:rsid w:val="009A5F02"/>
    <w:rsid w:val="009A655D"/>
    <w:rsid w:val="009A69A9"/>
    <w:rsid w:val="009A7039"/>
    <w:rsid w:val="009A72FD"/>
    <w:rsid w:val="009A758D"/>
    <w:rsid w:val="009A7EAA"/>
    <w:rsid w:val="009B04C8"/>
    <w:rsid w:val="009B08AC"/>
    <w:rsid w:val="009B0967"/>
    <w:rsid w:val="009B0ADA"/>
    <w:rsid w:val="009B0B04"/>
    <w:rsid w:val="009B0E8F"/>
    <w:rsid w:val="009B11BA"/>
    <w:rsid w:val="009B1259"/>
    <w:rsid w:val="009B1C86"/>
    <w:rsid w:val="009B1EC0"/>
    <w:rsid w:val="009B2EFC"/>
    <w:rsid w:val="009B3703"/>
    <w:rsid w:val="009B3A6B"/>
    <w:rsid w:val="009B3B8E"/>
    <w:rsid w:val="009B3C3D"/>
    <w:rsid w:val="009B3C5C"/>
    <w:rsid w:val="009B3DF7"/>
    <w:rsid w:val="009B3FF9"/>
    <w:rsid w:val="009B41E7"/>
    <w:rsid w:val="009B4307"/>
    <w:rsid w:val="009B43C9"/>
    <w:rsid w:val="009B498A"/>
    <w:rsid w:val="009B4E9C"/>
    <w:rsid w:val="009B4F43"/>
    <w:rsid w:val="009B4FB6"/>
    <w:rsid w:val="009B5246"/>
    <w:rsid w:val="009B5931"/>
    <w:rsid w:val="009B5C08"/>
    <w:rsid w:val="009B5D41"/>
    <w:rsid w:val="009B5D79"/>
    <w:rsid w:val="009B60AA"/>
    <w:rsid w:val="009B61CD"/>
    <w:rsid w:val="009B6323"/>
    <w:rsid w:val="009B6636"/>
    <w:rsid w:val="009B66EF"/>
    <w:rsid w:val="009B6921"/>
    <w:rsid w:val="009B6F4B"/>
    <w:rsid w:val="009B7503"/>
    <w:rsid w:val="009B7756"/>
    <w:rsid w:val="009B7C59"/>
    <w:rsid w:val="009C00C9"/>
    <w:rsid w:val="009C0A2F"/>
    <w:rsid w:val="009C0B90"/>
    <w:rsid w:val="009C0D25"/>
    <w:rsid w:val="009C0FF4"/>
    <w:rsid w:val="009C1111"/>
    <w:rsid w:val="009C13BF"/>
    <w:rsid w:val="009C17AA"/>
    <w:rsid w:val="009C1B2A"/>
    <w:rsid w:val="009C1F6B"/>
    <w:rsid w:val="009C2147"/>
    <w:rsid w:val="009C21F6"/>
    <w:rsid w:val="009C222F"/>
    <w:rsid w:val="009C22A5"/>
    <w:rsid w:val="009C2360"/>
    <w:rsid w:val="009C23A8"/>
    <w:rsid w:val="009C25B8"/>
    <w:rsid w:val="009C2CEE"/>
    <w:rsid w:val="009C30AE"/>
    <w:rsid w:val="009C317D"/>
    <w:rsid w:val="009C39A5"/>
    <w:rsid w:val="009C3C00"/>
    <w:rsid w:val="009C3C43"/>
    <w:rsid w:val="009C3E2C"/>
    <w:rsid w:val="009C3F05"/>
    <w:rsid w:val="009C4014"/>
    <w:rsid w:val="009C4517"/>
    <w:rsid w:val="009C49EC"/>
    <w:rsid w:val="009C5159"/>
    <w:rsid w:val="009C54A4"/>
    <w:rsid w:val="009C5611"/>
    <w:rsid w:val="009C5F99"/>
    <w:rsid w:val="009C64C9"/>
    <w:rsid w:val="009C6706"/>
    <w:rsid w:val="009C6941"/>
    <w:rsid w:val="009C6A6F"/>
    <w:rsid w:val="009C6D1F"/>
    <w:rsid w:val="009C6E56"/>
    <w:rsid w:val="009C6F47"/>
    <w:rsid w:val="009C706D"/>
    <w:rsid w:val="009C7545"/>
    <w:rsid w:val="009C7E21"/>
    <w:rsid w:val="009D0077"/>
    <w:rsid w:val="009D0082"/>
    <w:rsid w:val="009D027B"/>
    <w:rsid w:val="009D0293"/>
    <w:rsid w:val="009D095D"/>
    <w:rsid w:val="009D111E"/>
    <w:rsid w:val="009D1220"/>
    <w:rsid w:val="009D1265"/>
    <w:rsid w:val="009D16E5"/>
    <w:rsid w:val="009D19D8"/>
    <w:rsid w:val="009D1B22"/>
    <w:rsid w:val="009D1D67"/>
    <w:rsid w:val="009D1E2D"/>
    <w:rsid w:val="009D1FED"/>
    <w:rsid w:val="009D2337"/>
    <w:rsid w:val="009D243F"/>
    <w:rsid w:val="009D24AD"/>
    <w:rsid w:val="009D2617"/>
    <w:rsid w:val="009D2A64"/>
    <w:rsid w:val="009D2AC8"/>
    <w:rsid w:val="009D2FA4"/>
    <w:rsid w:val="009D30A9"/>
    <w:rsid w:val="009D3440"/>
    <w:rsid w:val="009D3601"/>
    <w:rsid w:val="009D3846"/>
    <w:rsid w:val="009D3DEA"/>
    <w:rsid w:val="009D4266"/>
    <w:rsid w:val="009D4E85"/>
    <w:rsid w:val="009D5052"/>
    <w:rsid w:val="009D5660"/>
    <w:rsid w:val="009D578C"/>
    <w:rsid w:val="009D5999"/>
    <w:rsid w:val="009D5D52"/>
    <w:rsid w:val="009D5E4F"/>
    <w:rsid w:val="009D6276"/>
    <w:rsid w:val="009D67BF"/>
    <w:rsid w:val="009D6BD9"/>
    <w:rsid w:val="009D7248"/>
    <w:rsid w:val="009D7287"/>
    <w:rsid w:val="009D7442"/>
    <w:rsid w:val="009D7738"/>
    <w:rsid w:val="009D7756"/>
    <w:rsid w:val="009D779C"/>
    <w:rsid w:val="009D7917"/>
    <w:rsid w:val="009D7CE9"/>
    <w:rsid w:val="009D7DFE"/>
    <w:rsid w:val="009E052F"/>
    <w:rsid w:val="009E0530"/>
    <w:rsid w:val="009E06EF"/>
    <w:rsid w:val="009E1286"/>
    <w:rsid w:val="009E147D"/>
    <w:rsid w:val="009E192E"/>
    <w:rsid w:val="009E1AA1"/>
    <w:rsid w:val="009E1C9E"/>
    <w:rsid w:val="009E1F7F"/>
    <w:rsid w:val="009E24AB"/>
    <w:rsid w:val="009E24E8"/>
    <w:rsid w:val="009E2BE8"/>
    <w:rsid w:val="009E33BD"/>
    <w:rsid w:val="009E351D"/>
    <w:rsid w:val="009E3882"/>
    <w:rsid w:val="009E3982"/>
    <w:rsid w:val="009E427A"/>
    <w:rsid w:val="009E47F3"/>
    <w:rsid w:val="009E4A00"/>
    <w:rsid w:val="009E4B95"/>
    <w:rsid w:val="009E4D5B"/>
    <w:rsid w:val="009E510E"/>
    <w:rsid w:val="009E528D"/>
    <w:rsid w:val="009E55B0"/>
    <w:rsid w:val="009E5953"/>
    <w:rsid w:val="009E5F9B"/>
    <w:rsid w:val="009E60FE"/>
    <w:rsid w:val="009E611A"/>
    <w:rsid w:val="009E6167"/>
    <w:rsid w:val="009E6488"/>
    <w:rsid w:val="009E6573"/>
    <w:rsid w:val="009E66AF"/>
    <w:rsid w:val="009E6853"/>
    <w:rsid w:val="009E6920"/>
    <w:rsid w:val="009E6D79"/>
    <w:rsid w:val="009E72B8"/>
    <w:rsid w:val="009E734A"/>
    <w:rsid w:val="009E73CB"/>
    <w:rsid w:val="009E7451"/>
    <w:rsid w:val="009E78CD"/>
    <w:rsid w:val="009F01E8"/>
    <w:rsid w:val="009F0557"/>
    <w:rsid w:val="009F0EA4"/>
    <w:rsid w:val="009F121E"/>
    <w:rsid w:val="009F1236"/>
    <w:rsid w:val="009F125F"/>
    <w:rsid w:val="009F1526"/>
    <w:rsid w:val="009F15FD"/>
    <w:rsid w:val="009F1708"/>
    <w:rsid w:val="009F1CB7"/>
    <w:rsid w:val="009F1D0B"/>
    <w:rsid w:val="009F2056"/>
    <w:rsid w:val="009F22C4"/>
    <w:rsid w:val="009F259E"/>
    <w:rsid w:val="009F2609"/>
    <w:rsid w:val="009F2739"/>
    <w:rsid w:val="009F2AD6"/>
    <w:rsid w:val="009F2C91"/>
    <w:rsid w:val="009F2EA6"/>
    <w:rsid w:val="009F2F6A"/>
    <w:rsid w:val="009F314D"/>
    <w:rsid w:val="009F3193"/>
    <w:rsid w:val="009F33E8"/>
    <w:rsid w:val="009F37EB"/>
    <w:rsid w:val="009F3C00"/>
    <w:rsid w:val="009F4337"/>
    <w:rsid w:val="009F4908"/>
    <w:rsid w:val="009F4990"/>
    <w:rsid w:val="009F4D94"/>
    <w:rsid w:val="009F4E0B"/>
    <w:rsid w:val="009F4F5F"/>
    <w:rsid w:val="009F4FD6"/>
    <w:rsid w:val="009F58BF"/>
    <w:rsid w:val="009F58E6"/>
    <w:rsid w:val="009F5E38"/>
    <w:rsid w:val="009F64B9"/>
    <w:rsid w:val="009F651F"/>
    <w:rsid w:val="009F674D"/>
    <w:rsid w:val="009F67D0"/>
    <w:rsid w:val="009F6B03"/>
    <w:rsid w:val="009F736A"/>
    <w:rsid w:val="009F75CE"/>
    <w:rsid w:val="009F7765"/>
    <w:rsid w:val="009F7C5C"/>
    <w:rsid w:val="009F7C84"/>
    <w:rsid w:val="00A001A5"/>
    <w:rsid w:val="00A0028E"/>
    <w:rsid w:val="00A0079E"/>
    <w:rsid w:val="00A009AC"/>
    <w:rsid w:val="00A00AC4"/>
    <w:rsid w:val="00A01000"/>
    <w:rsid w:val="00A010B5"/>
    <w:rsid w:val="00A010E0"/>
    <w:rsid w:val="00A0152B"/>
    <w:rsid w:val="00A01700"/>
    <w:rsid w:val="00A01CCD"/>
    <w:rsid w:val="00A01E5E"/>
    <w:rsid w:val="00A01E96"/>
    <w:rsid w:val="00A020FF"/>
    <w:rsid w:val="00A02103"/>
    <w:rsid w:val="00A025E2"/>
    <w:rsid w:val="00A02B60"/>
    <w:rsid w:val="00A02BDC"/>
    <w:rsid w:val="00A03024"/>
    <w:rsid w:val="00A0329B"/>
    <w:rsid w:val="00A03416"/>
    <w:rsid w:val="00A037B6"/>
    <w:rsid w:val="00A03BCD"/>
    <w:rsid w:val="00A042C0"/>
    <w:rsid w:val="00A04411"/>
    <w:rsid w:val="00A04738"/>
    <w:rsid w:val="00A047E9"/>
    <w:rsid w:val="00A048CB"/>
    <w:rsid w:val="00A04DFE"/>
    <w:rsid w:val="00A04EFD"/>
    <w:rsid w:val="00A0506C"/>
    <w:rsid w:val="00A05285"/>
    <w:rsid w:val="00A05F21"/>
    <w:rsid w:val="00A06612"/>
    <w:rsid w:val="00A0680F"/>
    <w:rsid w:val="00A0690A"/>
    <w:rsid w:val="00A06964"/>
    <w:rsid w:val="00A06B14"/>
    <w:rsid w:val="00A06B27"/>
    <w:rsid w:val="00A06B94"/>
    <w:rsid w:val="00A070D8"/>
    <w:rsid w:val="00A071DE"/>
    <w:rsid w:val="00A07520"/>
    <w:rsid w:val="00A07680"/>
    <w:rsid w:val="00A07795"/>
    <w:rsid w:val="00A10720"/>
    <w:rsid w:val="00A10A8A"/>
    <w:rsid w:val="00A10ACA"/>
    <w:rsid w:val="00A10B47"/>
    <w:rsid w:val="00A10BE8"/>
    <w:rsid w:val="00A1103C"/>
    <w:rsid w:val="00A110B4"/>
    <w:rsid w:val="00A11460"/>
    <w:rsid w:val="00A1154E"/>
    <w:rsid w:val="00A116EA"/>
    <w:rsid w:val="00A11994"/>
    <w:rsid w:val="00A11BE2"/>
    <w:rsid w:val="00A11D93"/>
    <w:rsid w:val="00A11DB9"/>
    <w:rsid w:val="00A11F08"/>
    <w:rsid w:val="00A11FFA"/>
    <w:rsid w:val="00A12079"/>
    <w:rsid w:val="00A12550"/>
    <w:rsid w:val="00A12720"/>
    <w:rsid w:val="00A12ABE"/>
    <w:rsid w:val="00A12D3D"/>
    <w:rsid w:val="00A12E8B"/>
    <w:rsid w:val="00A12F3E"/>
    <w:rsid w:val="00A132C2"/>
    <w:rsid w:val="00A13AD5"/>
    <w:rsid w:val="00A13C27"/>
    <w:rsid w:val="00A14006"/>
    <w:rsid w:val="00A1441A"/>
    <w:rsid w:val="00A14678"/>
    <w:rsid w:val="00A146F1"/>
    <w:rsid w:val="00A14BF3"/>
    <w:rsid w:val="00A14E4F"/>
    <w:rsid w:val="00A14F28"/>
    <w:rsid w:val="00A15CBB"/>
    <w:rsid w:val="00A15FE8"/>
    <w:rsid w:val="00A16504"/>
    <w:rsid w:val="00A16976"/>
    <w:rsid w:val="00A16A06"/>
    <w:rsid w:val="00A16D5E"/>
    <w:rsid w:val="00A16DB3"/>
    <w:rsid w:val="00A17114"/>
    <w:rsid w:val="00A17246"/>
    <w:rsid w:val="00A172CF"/>
    <w:rsid w:val="00A173EF"/>
    <w:rsid w:val="00A17684"/>
    <w:rsid w:val="00A17883"/>
    <w:rsid w:val="00A17D09"/>
    <w:rsid w:val="00A17EA1"/>
    <w:rsid w:val="00A2008D"/>
    <w:rsid w:val="00A20271"/>
    <w:rsid w:val="00A20AA2"/>
    <w:rsid w:val="00A212D6"/>
    <w:rsid w:val="00A221EE"/>
    <w:rsid w:val="00A22256"/>
    <w:rsid w:val="00A22472"/>
    <w:rsid w:val="00A22777"/>
    <w:rsid w:val="00A22BFF"/>
    <w:rsid w:val="00A22F6A"/>
    <w:rsid w:val="00A23CD8"/>
    <w:rsid w:val="00A23CEA"/>
    <w:rsid w:val="00A23D25"/>
    <w:rsid w:val="00A23E68"/>
    <w:rsid w:val="00A243AC"/>
    <w:rsid w:val="00A24555"/>
    <w:rsid w:val="00A24603"/>
    <w:rsid w:val="00A24D87"/>
    <w:rsid w:val="00A2527E"/>
    <w:rsid w:val="00A2537C"/>
    <w:rsid w:val="00A253AF"/>
    <w:rsid w:val="00A2555D"/>
    <w:rsid w:val="00A258BC"/>
    <w:rsid w:val="00A25E7D"/>
    <w:rsid w:val="00A25F12"/>
    <w:rsid w:val="00A2649E"/>
    <w:rsid w:val="00A267F7"/>
    <w:rsid w:val="00A26878"/>
    <w:rsid w:val="00A26A09"/>
    <w:rsid w:val="00A2710F"/>
    <w:rsid w:val="00A2756B"/>
    <w:rsid w:val="00A2794A"/>
    <w:rsid w:val="00A27EA8"/>
    <w:rsid w:val="00A305B0"/>
    <w:rsid w:val="00A30740"/>
    <w:rsid w:val="00A30994"/>
    <w:rsid w:val="00A30F31"/>
    <w:rsid w:val="00A315D9"/>
    <w:rsid w:val="00A317B0"/>
    <w:rsid w:val="00A31CD5"/>
    <w:rsid w:val="00A31FE3"/>
    <w:rsid w:val="00A321B1"/>
    <w:rsid w:val="00A32228"/>
    <w:rsid w:val="00A3270F"/>
    <w:rsid w:val="00A32896"/>
    <w:rsid w:val="00A32C6E"/>
    <w:rsid w:val="00A32F67"/>
    <w:rsid w:val="00A33106"/>
    <w:rsid w:val="00A33180"/>
    <w:rsid w:val="00A33731"/>
    <w:rsid w:val="00A338D1"/>
    <w:rsid w:val="00A3399C"/>
    <w:rsid w:val="00A339F8"/>
    <w:rsid w:val="00A33C37"/>
    <w:rsid w:val="00A34072"/>
    <w:rsid w:val="00A3432A"/>
    <w:rsid w:val="00A34567"/>
    <w:rsid w:val="00A34D5B"/>
    <w:rsid w:val="00A3516E"/>
    <w:rsid w:val="00A35310"/>
    <w:rsid w:val="00A35352"/>
    <w:rsid w:val="00A35606"/>
    <w:rsid w:val="00A3561B"/>
    <w:rsid w:val="00A35C83"/>
    <w:rsid w:val="00A35D9E"/>
    <w:rsid w:val="00A35FA1"/>
    <w:rsid w:val="00A35FFF"/>
    <w:rsid w:val="00A3650C"/>
    <w:rsid w:val="00A3663B"/>
    <w:rsid w:val="00A374D2"/>
    <w:rsid w:val="00A377DB"/>
    <w:rsid w:val="00A37AC8"/>
    <w:rsid w:val="00A37CD1"/>
    <w:rsid w:val="00A406BB"/>
    <w:rsid w:val="00A4072D"/>
    <w:rsid w:val="00A410D0"/>
    <w:rsid w:val="00A4179C"/>
    <w:rsid w:val="00A41B11"/>
    <w:rsid w:val="00A41E11"/>
    <w:rsid w:val="00A42202"/>
    <w:rsid w:val="00A42339"/>
    <w:rsid w:val="00A423FF"/>
    <w:rsid w:val="00A42899"/>
    <w:rsid w:val="00A4289F"/>
    <w:rsid w:val="00A435AF"/>
    <w:rsid w:val="00A437CD"/>
    <w:rsid w:val="00A438EA"/>
    <w:rsid w:val="00A43FEA"/>
    <w:rsid w:val="00A44071"/>
    <w:rsid w:val="00A443BA"/>
    <w:rsid w:val="00A44642"/>
    <w:rsid w:val="00A449B2"/>
    <w:rsid w:val="00A44C85"/>
    <w:rsid w:val="00A44D27"/>
    <w:rsid w:val="00A45014"/>
    <w:rsid w:val="00A45286"/>
    <w:rsid w:val="00A453FE"/>
    <w:rsid w:val="00A45510"/>
    <w:rsid w:val="00A4556E"/>
    <w:rsid w:val="00A45A13"/>
    <w:rsid w:val="00A46924"/>
    <w:rsid w:val="00A4692E"/>
    <w:rsid w:val="00A46A00"/>
    <w:rsid w:val="00A46E0F"/>
    <w:rsid w:val="00A47069"/>
    <w:rsid w:val="00A4719D"/>
    <w:rsid w:val="00A4737C"/>
    <w:rsid w:val="00A47664"/>
    <w:rsid w:val="00A47B57"/>
    <w:rsid w:val="00A47D11"/>
    <w:rsid w:val="00A47E3F"/>
    <w:rsid w:val="00A47EA9"/>
    <w:rsid w:val="00A47F4A"/>
    <w:rsid w:val="00A50003"/>
    <w:rsid w:val="00A50443"/>
    <w:rsid w:val="00A506D1"/>
    <w:rsid w:val="00A50984"/>
    <w:rsid w:val="00A5099F"/>
    <w:rsid w:val="00A50C08"/>
    <w:rsid w:val="00A50FE3"/>
    <w:rsid w:val="00A51122"/>
    <w:rsid w:val="00A51453"/>
    <w:rsid w:val="00A51881"/>
    <w:rsid w:val="00A519A3"/>
    <w:rsid w:val="00A51C0C"/>
    <w:rsid w:val="00A51E4A"/>
    <w:rsid w:val="00A51F95"/>
    <w:rsid w:val="00A5240A"/>
    <w:rsid w:val="00A52A48"/>
    <w:rsid w:val="00A52EC8"/>
    <w:rsid w:val="00A530E9"/>
    <w:rsid w:val="00A53164"/>
    <w:rsid w:val="00A533E8"/>
    <w:rsid w:val="00A53B3F"/>
    <w:rsid w:val="00A540B1"/>
    <w:rsid w:val="00A540E9"/>
    <w:rsid w:val="00A54383"/>
    <w:rsid w:val="00A549A5"/>
    <w:rsid w:val="00A54E0D"/>
    <w:rsid w:val="00A54EA0"/>
    <w:rsid w:val="00A54EA5"/>
    <w:rsid w:val="00A54ED2"/>
    <w:rsid w:val="00A55201"/>
    <w:rsid w:val="00A55210"/>
    <w:rsid w:val="00A55213"/>
    <w:rsid w:val="00A558F9"/>
    <w:rsid w:val="00A55D8A"/>
    <w:rsid w:val="00A55DA9"/>
    <w:rsid w:val="00A560A6"/>
    <w:rsid w:val="00A564F4"/>
    <w:rsid w:val="00A56C2D"/>
    <w:rsid w:val="00A56D01"/>
    <w:rsid w:val="00A56EE6"/>
    <w:rsid w:val="00A56FAA"/>
    <w:rsid w:val="00A571A1"/>
    <w:rsid w:val="00A5739F"/>
    <w:rsid w:val="00A573E8"/>
    <w:rsid w:val="00A57558"/>
    <w:rsid w:val="00A57743"/>
    <w:rsid w:val="00A5792C"/>
    <w:rsid w:val="00A57B37"/>
    <w:rsid w:val="00A57BD3"/>
    <w:rsid w:val="00A6006D"/>
    <w:rsid w:val="00A60147"/>
    <w:rsid w:val="00A601DE"/>
    <w:rsid w:val="00A60436"/>
    <w:rsid w:val="00A60694"/>
    <w:rsid w:val="00A60BBB"/>
    <w:rsid w:val="00A60F76"/>
    <w:rsid w:val="00A611D1"/>
    <w:rsid w:val="00A61292"/>
    <w:rsid w:val="00A61363"/>
    <w:rsid w:val="00A61489"/>
    <w:rsid w:val="00A615FE"/>
    <w:rsid w:val="00A618F9"/>
    <w:rsid w:val="00A61918"/>
    <w:rsid w:val="00A61A5E"/>
    <w:rsid w:val="00A6299C"/>
    <w:rsid w:val="00A62B9D"/>
    <w:rsid w:val="00A62E7D"/>
    <w:rsid w:val="00A632A2"/>
    <w:rsid w:val="00A632BE"/>
    <w:rsid w:val="00A633A3"/>
    <w:rsid w:val="00A634C0"/>
    <w:rsid w:val="00A63624"/>
    <w:rsid w:val="00A63763"/>
    <w:rsid w:val="00A63775"/>
    <w:rsid w:val="00A63802"/>
    <w:rsid w:val="00A63B9C"/>
    <w:rsid w:val="00A63C07"/>
    <w:rsid w:val="00A6453D"/>
    <w:rsid w:val="00A645C9"/>
    <w:rsid w:val="00A651C9"/>
    <w:rsid w:val="00A65B49"/>
    <w:rsid w:val="00A65C2C"/>
    <w:rsid w:val="00A65CCD"/>
    <w:rsid w:val="00A65D67"/>
    <w:rsid w:val="00A66511"/>
    <w:rsid w:val="00A66837"/>
    <w:rsid w:val="00A66C92"/>
    <w:rsid w:val="00A670BE"/>
    <w:rsid w:val="00A67535"/>
    <w:rsid w:val="00A67950"/>
    <w:rsid w:val="00A67BDD"/>
    <w:rsid w:val="00A67E98"/>
    <w:rsid w:val="00A70136"/>
    <w:rsid w:val="00A708D6"/>
    <w:rsid w:val="00A709F1"/>
    <w:rsid w:val="00A70E51"/>
    <w:rsid w:val="00A710F6"/>
    <w:rsid w:val="00A71517"/>
    <w:rsid w:val="00A71FA2"/>
    <w:rsid w:val="00A722AC"/>
    <w:rsid w:val="00A72529"/>
    <w:rsid w:val="00A72988"/>
    <w:rsid w:val="00A729AC"/>
    <w:rsid w:val="00A729B8"/>
    <w:rsid w:val="00A72A7F"/>
    <w:rsid w:val="00A72D5B"/>
    <w:rsid w:val="00A72D76"/>
    <w:rsid w:val="00A72DC1"/>
    <w:rsid w:val="00A72E22"/>
    <w:rsid w:val="00A73521"/>
    <w:rsid w:val="00A73715"/>
    <w:rsid w:val="00A7371D"/>
    <w:rsid w:val="00A73C53"/>
    <w:rsid w:val="00A73CA3"/>
    <w:rsid w:val="00A73CA5"/>
    <w:rsid w:val="00A73D9D"/>
    <w:rsid w:val="00A746BE"/>
    <w:rsid w:val="00A747B9"/>
    <w:rsid w:val="00A749EE"/>
    <w:rsid w:val="00A74B4D"/>
    <w:rsid w:val="00A74D77"/>
    <w:rsid w:val="00A7525E"/>
    <w:rsid w:val="00A755F7"/>
    <w:rsid w:val="00A75634"/>
    <w:rsid w:val="00A75678"/>
    <w:rsid w:val="00A759AA"/>
    <w:rsid w:val="00A75A74"/>
    <w:rsid w:val="00A75ACC"/>
    <w:rsid w:val="00A75B68"/>
    <w:rsid w:val="00A75C2A"/>
    <w:rsid w:val="00A75EE8"/>
    <w:rsid w:val="00A762F5"/>
    <w:rsid w:val="00A76B26"/>
    <w:rsid w:val="00A76C52"/>
    <w:rsid w:val="00A77179"/>
    <w:rsid w:val="00A77184"/>
    <w:rsid w:val="00A77AD7"/>
    <w:rsid w:val="00A809A6"/>
    <w:rsid w:val="00A80FA1"/>
    <w:rsid w:val="00A815FF"/>
    <w:rsid w:val="00A8182B"/>
    <w:rsid w:val="00A8197B"/>
    <w:rsid w:val="00A81A03"/>
    <w:rsid w:val="00A81CE3"/>
    <w:rsid w:val="00A820A6"/>
    <w:rsid w:val="00A82117"/>
    <w:rsid w:val="00A82216"/>
    <w:rsid w:val="00A828E5"/>
    <w:rsid w:val="00A82A04"/>
    <w:rsid w:val="00A82A07"/>
    <w:rsid w:val="00A82E6D"/>
    <w:rsid w:val="00A83092"/>
    <w:rsid w:val="00A83355"/>
    <w:rsid w:val="00A8366A"/>
    <w:rsid w:val="00A83F60"/>
    <w:rsid w:val="00A83FBA"/>
    <w:rsid w:val="00A84023"/>
    <w:rsid w:val="00A847FE"/>
    <w:rsid w:val="00A84D77"/>
    <w:rsid w:val="00A84DC0"/>
    <w:rsid w:val="00A851ED"/>
    <w:rsid w:val="00A8520D"/>
    <w:rsid w:val="00A8535E"/>
    <w:rsid w:val="00A85382"/>
    <w:rsid w:val="00A8581E"/>
    <w:rsid w:val="00A85F82"/>
    <w:rsid w:val="00A86595"/>
    <w:rsid w:val="00A867B4"/>
    <w:rsid w:val="00A8708C"/>
    <w:rsid w:val="00A870DC"/>
    <w:rsid w:val="00A87310"/>
    <w:rsid w:val="00A87745"/>
    <w:rsid w:val="00A87C62"/>
    <w:rsid w:val="00A90005"/>
    <w:rsid w:val="00A902F6"/>
    <w:rsid w:val="00A90545"/>
    <w:rsid w:val="00A9078D"/>
    <w:rsid w:val="00A90919"/>
    <w:rsid w:val="00A90F53"/>
    <w:rsid w:val="00A912D9"/>
    <w:rsid w:val="00A91EA9"/>
    <w:rsid w:val="00A93405"/>
    <w:rsid w:val="00A93B8A"/>
    <w:rsid w:val="00A94685"/>
    <w:rsid w:val="00A949FE"/>
    <w:rsid w:val="00A94CBB"/>
    <w:rsid w:val="00A94FC0"/>
    <w:rsid w:val="00A951C2"/>
    <w:rsid w:val="00A959B5"/>
    <w:rsid w:val="00A95D0D"/>
    <w:rsid w:val="00A96009"/>
    <w:rsid w:val="00A963ED"/>
    <w:rsid w:val="00A96666"/>
    <w:rsid w:val="00A967D5"/>
    <w:rsid w:val="00A97A2A"/>
    <w:rsid w:val="00A97A97"/>
    <w:rsid w:val="00A97E0F"/>
    <w:rsid w:val="00AA00FC"/>
    <w:rsid w:val="00AA014B"/>
    <w:rsid w:val="00AA0227"/>
    <w:rsid w:val="00AA0285"/>
    <w:rsid w:val="00AA0372"/>
    <w:rsid w:val="00AA03AB"/>
    <w:rsid w:val="00AA04D1"/>
    <w:rsid w:val="00AA04DE"/>
    <w:rsid w:val="00AA0573"/>
    <w:rsid w:val="00AA0690"/>
    <w:rsid w:val="00AA0A3A"/>
    <w:rsid w:val="00AA0B16"/>
    <w:rsid w:val="00AA0C11"/>
    <w:rsid w:val="00AA0E20"/>
    <w:rsid w:val="00AA19EA"/>
    <w:rsid w:val="00AA1B21"/>
    <w:rsid w:val="00AA230B"/>
    <w:rsid w:val="00AA2354"/>
    <w:rsid w:val="00AA2E4C"/>
    <w:rsid w:val="00AA2FC1"/>
    <w:rsid w:val="00AA345B"/>
    <w:rsid w:val="00AA3863"/>
    <w:rsid w:val="00AA405F"/>
    <w:rsid w:val="00AA4B50"/>
    <w:rsid w:val="00AA4E28"/>
    <w:rsid w:val="00AA4FD7"/>
    <w:rsid w:val="00AA52E4"/>
    <w:rsid w:val="00AA5573"/>
    <w:rsid w:val="00AA581C"/>
    <w:rsid w:val="00AA5948"/>
    <w:rsid w:val="00AA5A07"/>
    <w:rsid w:val="00AA5E4B"/>
    <w:rsid w:val="00AA5F31"/>
    <w:rsid w:val="00AA6911"/>
    <w:rsid w:val="00AA6C8C"/>
    <w:rsid w:val="00AA6D5B"/>
    <w:rsid w:val="00AA70AF"/>
    <w:rsid w:val="00AA713F"/>
    <w:rsid w:val="00AA75F7"/>
    <w:rsid w:val="00AA7900"/>
    <w:rsid w:val="00AA7E9F"/>
    <w:rsid w:val="00AB03E4"/>
    <w:rsid w:val="00AB069E"/>
    <w:rsid w:val="00AB0724"/>
    <w:rsid w:val="00AB0733"/>
    <w:rsid w:val="00AB099C"/>
    <w:rsid w:val="00AB0C47"/>
    <w:rsid w:val="00AB0C98"/>
    <w:rsid w:val="00AB0DD7"/>
    <w:rsid w:val="00AB0E6C"/>
    <w:rsid w:val="00AB0F43"/>
    <w:rsid w:val="00AB1014"/>
    <w:rsid w:val="00AB16FC"/>
    <w:rsid w:val="00AB19AC"/>
    <w:rsid w:val="00AB19CA"/>
    <w:rsid w:val="00AB1AF0"/>
    <w:rsid w:val="00AB1C83"/>
    <w:rsid w:val="00AB20BD"/>
    <w:rsid w:val="00AB219D"/>
    <w:rsid w:val="00AB22F6"/>
    <w:rsid w:val="00AB255B"/>
    <w:rsid w:val="00AB26E1"/>
    <w:rsid w:val="00AB295F"/>
    <w:rsid w:val="00AB2E42"/>
    <w:rsid w:val="00AB2EC3"/>
    <w:rsid w:val="00AB356F"/>
    <w:rsid w:val="00AB37C0"/>
    <w:rsid w:val="00AB3E74"/>
    <w:rsid w:val="00AB4474"/>
    <w:rsid w:val="00AB49E5"/>
    <w:rsid w:val="00AB4CC7"/>
    <w:rsid w:val="00AB4CED"/>
    <w:rsid w:val="00AB4ED2"/>
    <w:rsid w:val="00AB522F"/>
    <w:rsid w:val="00AB5566"/>
    <w:rsid w:val="00AB5752"/>
    <w:rsid w:val="00AB5C5B"/>
    <w:rsid w:val="00AB608C"/>
    <w:rsid w:val="00AB6156"/>
    <w:rsid w:val="00AB6F04"/>
    <w:rsid w:val="00AB7038"/>
    <w:rsid w:val="00AB712A"/>
    <w:rsid w:val="00AB74CB"/>
    <w:rsid w:val="00AB7A82"/>
    <w:rsid w:val="00AB7CE8"/>
    <w:rsid w:val="00AC003A"/>
    <w:rsid w:val="00AC0181"/>
    <w:rsid w:val="00AC09A6"/>
    <w:rsid w:val="00AC0D3D"/>
    <w:rsid w:val="00AC0EBF"/>
    <w:rsid w:val="00AC0EDF"/>
    <w:rsid w:val="00AC199D"/>
    <w:rsid w:val="00AC20D2"/>
    <w:rsid w:val="00AC213D"/>
    <w:rsid w:val="00AC2238"/>
    <w:rsid w:val="00AC2826"/>
    <w:rsid w:val="00AC2A3A"/>
    <w:rsid w:val="00AC2AB7"/>
    <w:rsid w:val="00AC2BE3"/>
    <w:rsid w:val="00AC2F0A"/>
    <w:rsid w:val="00AC38F2"/>
    <w:rsid w:val="00AC3982"/>
    <w:rsid w:val="00AC3A6A"/>
    <w:rsid w:val="00AC3D5E"/>
    <w:rsid w:val="00AC3ED6"/>
    <w:rsid w:val="00AC4142"/>
    <w:rsid w:val="00AC43C9"/>
    <w:rsid w:val="00AC44A2"/>
    <w:rsid w:val="00AC4E06"/>
    <w:rsid w:val="00AC4F99"/>
    <w:rsid w:val="00AC4FC2"/>
    <w:rsid w:val="00AC5012"/>
    <w:rsid w:val="00AC5108"/>
    <w:rsid w:val="00AC590C"/>
    <w:rsid w:val="00AC5DB0"/>
    <w:rsid w:val="00AC602F"/>
    <w:rsid w:val="00AC638E"/>
    <w:rsid w:val="00AC6696"/>
    <w:rsid w:val="00AC6DCD"/>
    <w:rsid w:val="00AC70EB"/>
    <w:rsid w:val="00AC7870"/>
    <w:rsid w:val="00AD017C"/>
    <w:rsid w:val="00AD056D"/>
    <w:rsid w:val="00AD0EBE"/>
    <w:rsid w:val="00AD1045"/>
    <w:rsid w:val="00AD1115"/>
    <w:rsid w:val="00AD1240"/>
    <w:rsid w:val="00AD18E8"/>
    <w:rsid w:val="00AD192A"/>
    <w:rsid w:val="00AD1B93"/>
    <w:rsid w:val="00AD1E14"/>
    <w:rsid w:val="00AD22AC"/>
    <w:rsid w:val="00AD2397"/>
    <w:rsid w:val="00AD242E"/>
    <w:rsid w:val="00AD2466"/>
    <w:rsid w:val="00AD2795"/>
    <w:rsid w:val="00AD2C13"/>
    <w:rsid w:val="00AD2EDD"/>
    <w:rsid w:val="00AD3193"/>
    <w:rsid w:val="00AD32E3"/>
    <w:rsid w:val="00AD34E1"/>
    <w:rsid w:val="00AD3CB8"/>
    <w:rsid w:val="00AD3D60"/>
    <w:rsid w:val="00AD4234"/>
    <w:rsid w:val="00AD4372"/>
    <w:rsid w:val="00AD483F"/>
    <w:rsid w:val="00AD48EA"/>
    <w:rsid w:val="00AD4D72"/>
    <w:rsid w:val="00AD4E10"/>
    <w:rsid w:val="00AD514D"/>
    <w:rsid w:val="00AD5347"/>
    <w:rsid w:val="00AD5359"/>
    <w:rsid w:val="00AD5594"/>
    <w:rsid w:val="00AD5E2B"/>
    <w:rsid w:val="00AD5F84"/>
    <w:rsid w:val="00AD68CC"/>
    <w:rsid w:val="00AD6A65"/>
    <w:rsid w:val="00AD6BD4"/>
    <w:rsid w:val="00AD6E2E"/>
    <w:rsid w:val="00AD6E65"/>
    <w:rsid w:val="00AD73B4"/>
    <w:rsid w:val="00AD7424"/>
    <w:rsid w:val="00AD7829"/>
    <w:rsid w:val="00AE0108"/>
    <w:rsid w:val="00AE0336"/>
    <w:rsid w:val="00AE03F9"/>
    <w:rsid w:val="00AE0AB0"/>
    <w:rsid w:val="00AE0C27"/>
    <w:rsid w:val="00AE0DD3"/>
    <w:rsid w:val="00AE0DFD"/>
    <w:rsid w:val="00AE0FC6"/>
    <w:rsid w:val="00AE1211"/>
    <w:rsid w:val="00AE1442"/>
    <w:rsid w:val="00AE1A51"/>
    <w:rsid w:val="00AE1D1B"/>
    <w:rsid w:val="00AE1EB2"/>
    <w:rsid w:val="00AE2162"/>
    <w:rsid w:val="00AE230E"/>
    <w:rsid w:val="00AE2529"/>
    <w:rsid w:val="00AE2BE3"/>
    <w:rsid w:val="00AE2E3E"/>
    <w:rsid w:val="00AE3042"/>
    <w:rsid w:val="00AE3145"/>
    <w:rsid w:val="00AE31AB"/>
    <w:rsid w:val="00AE3662"/>
    <w:rsid w:val="00AE3886"/>
    <w:rsid w:val="00AE3A26"/>
    <w:rsid w:val="00AE3A41"/>
    <w:rsid w:val="00AE3AF1"/>
    <w:rsid w:val="00AE4095"/>
    <w:rsid w:val="00AE45F1"/>
    <w:rsid w:val="00AE46FF"/>
    <w:rsid w:val="00AE4B2C"/>
    <w:rsid w:val="00AE4C4C"/>
    <w:rsid w:val="00AE4FA0"/>
    <w:rsid w:val="00AE5228"/>
    <w:rsid w:val="00AE5444"/>
    <w:rsid w:val="00AE56FD"/>
    <w:rsid w:val="00AE6726"/>
    <w:rsid w:val="00AE6827"/>
    <w:rsid w:val="00AE6D73"/>
    <w:rsid w:val="00AE7306"/>
    <w:rsid w:val="00AE735C"/>
    <w:rsid w:val="00AE73A3"/>
    <w:rsid w:val="00AE7440"/>
    <w:rsid w:val="00AE7670"/>
    <w:rsid w:val="00AE7CB8"/>
    <w:rsid w:val="00AE7F36"/>
    <w:rsid w:val="00AE7F73"/>
    <w:rsid w:val="00AE7F8B"/>
    <w:rsid w:val="00AF0043"/>
    <w:rsid w:val="00AF02D4"/>
    <w:rsid w:val="00AF058B"/>
    <w:rsid w:val="00AF0784"/>
    <w:rsid w:val="00AF0870"/>
    <w:rsid w:val="00AF090D"/>
    <w:rsid w:val="00AF0D18"/>
    <w:rsid w:val="00AF0D78"/>
    <w:rsid w:val="00AF1056"/>
    <w:rsid w:val="00AF1498"/>
    <w:rsid w:val="00AF2903"/>
    <w:rsid w:val="00AF2AC1"/>
    <w:rsid w:val="00AF2F3F"/>
    <w:rsid w:val="00AF3B60"/>
    <w:rsid w:val="00AF3C35"/>
    <w:rsid w:val="00AF4100"/>
    <w:rsid w:val="00AF417B"/>
    <w:rsid w:val="00AF42C1"/>
    <w:rsid w:val="00AF4817"/>
    <w:rsid w:val="00AF4D60"/>
    <w:rsid w:val="00AF54E9"/>
    <w:rsid w:val="00AF54FA"/>
    <w:rsid w:val="00AF587B"/>
    <w:rsid w:val="00AF5AF5"/>
    <w:rsid w:val="00AF5CCB"/>
    <w:rsid w:val="00AF62D0"/>
    <w:rsid w:val="00AF6338"/>
    <w:rsid w:val="00AF65D6"/>
    <w:rsid w:val="00AF6845"/>
    <w:rsid w:val="00AF6883"/>
    <w:rsid w:val="00AF6976"/>
    <w:rsid w:val="00AF779E"/>
    <w:rsid w:val="00AF7976"/>
    <w:rsid w:val="00B000E8"/>
    <w:rsid w:val="00B0029A"/>
    <w:rsid w:val="00B00458"/>
    <w:rsid w:val="00B006F8"/>
    <w:rsid w:val="00B0142E"/>
    <w:rsid w:val="00B0162F"/>
    <w:rsid w:val="00B01B17"/>
    <w:rsid w:val="00B01D4A"/>
    <w:rsid w:val="00B01E60"/>
    <w:rsid w:val="00B02105"/>
    <w:rsid w:val="00B02633"/>
    <w:rsid w:val="00B026F1"/>
    <w:rsid w:val="00B028C4"/>
    <w:rsid w:val="00B02F9A"/>
    <w:rsid w:val="00B03162"/>
    <w:rsid w:val="00B031C1"/>
    <w:rsid w:val="00B032A4"/>
    <w:rsid w:val="00B03401"/>
    <w:rsid w:val="00B037D7"/>
    <w:rsid w:val="00B03836"/>
    <w:rsid w:val="00B04215"/>
    <w:rsid w:val="00B04232"/>
    <w:rsid w:val="00B04805"/>
    <w:rsid w:val="00B04ADE"/>
    <w:rsid w:val="00B04C5C"/>
    <w:rsid w:val="00B05123"/>
    <w:rsid w:val="00B0554F"/>
    <w:rsid w:val="00B056A0"/>
    <w:rsid w:val="00B05B61"/>
    <w:rsid w:val="00B05CE1"/>
    <w:rsid w:val="00B061E1"/>
    <w:rsid w:val="00B0663F"/>
    <w:rsid w:val="00B0664C"/>
    <w:rsid w:val="00B068B2"/>
    <w:rsid w:val="00B06953"/>
    <w:rsid w:val="00B06A41"/>
    <w:rsid w:val="00B06ACA"/>
    <w:rsid w:val="00B06BE1"/>
    <w:rsid w:val="00B06E79"/>
    <w:rsid w:val="00B06FBE"/>
    <w:rsid w:val="00B06FDE"/>
    <w:rsid w:val="00B07027"/>
    <w:rsid w:val="00B074CF"/>
    <w:rsid w:val="00B07533"/>
    <w:rsid w:val="00B07545"/>
    <w:rsid w:val="00B0761E"/>
    <w:rsid w:val="00B0773B"/>
    <w:rsid w:val="00B077F3"/>
    <w:rsid w:val="00B07BBC"/>
    <w:rsid w:val="00B07BFD"/>
    <w:rsid w:val="00B1017D"/>
    <w:rsid w:val="00B1021A"/>
    <w:rsid w:val="00B103DC"/>
    <w:rsid w:val="00B10C6C"/>
    <w:rsid w:val="00B10C8F"/>
    <w:rsid w:val="00B11422"/>
    <w:rsid w:val="00B1185E"/>
    <w:rsid w:val="00B11E94"/>
    <w:rsid w:val="00B1203F"/>
    <w:rsid w:val="00B12456"/>
    <w:rsid w:val="00B12769"/>
    <w:rsid w:val="00B12DB6"/>
    <w:rsid w:val="00B13293"/>
    <w:rsid w:val="00B13698"/>
    <w:rsid w:val="00B13BAA"/>
    <w:rsid w:val="00B13C1F"/>
    <w:rsid w:val="00B13C6D"/>
    <w:rsid w:val="00B145C5"/>
    <w:rsid w:val="00B152F9"/>
    <w:rsid w:val="00B15753"/>
    <w:rsid w:val="00B15A27"/>
    <w:rsid w:val="00B15DCD"/>
    <w:rsid w:val="00B15FF1"/>
    <w:rsid w:val="00B160A3"/>
    <w:rsid w:val="00B16E5D"/>
    <w:rsid w:val="00B16ECE"/>
    <w:rsid w:val="00B16F07"/>
    <w:rsid w:val="00B16F13"/>
    <w:rsid w:val="00B16FDA"/>
    <w:rsid w:val="00B170F0"/>
    <w:rsid w:val="00B1728E"/>
    <w:rsid w:val="00B173BD"/>
    <w:rsid w:val="00B17453"/>
    <w:rsid w:val="00B1785E"/>
    <w:rsid w:val="00B17A97"/>
    <w:rsid w:val="00B202E8"/>
    <w:rsid w:val="00B206D1"/>
    <w:rsid w:val="00B20A7B"/>
    <w:rsid w:val="00B20EE0"/>
    <w:rsid w:val="00B21237"/>
    <w:rsid w:val="00B21303"/>
    <w:rsid w:val="00B213AC"/>
    <w:rsid w:val="00B213DE"/>
    <w:rsid w:val="00B21812"/>
    <w:rsid w:val="00B21CBE"/>
    <w:rsid w:val="00B21D78"/>
    <w:rsid w:val="00B220F0"/>
    <w:rsid w:val="00B2223A"/>
    <w:rsid w:val="00B2229D"/>
    <w:rsid w:val="00B2240A"/>
    <w:rsid w:val="00B22557"/>
    <w:rsid w:val="00B22C09"/>
    <w:rsid w:val="00B22ED7"/>
    <w:rsid w:val="00B22F65"/>
    <w:rsid w:val="00B2313C"/>
    <w:rsid w:val="00B232A0"/>
    <w:rsid w:val="00B233E0"/>
    <w:rsid w:val="00B23834"/>
    <w:rsid w:val="00B2389C"/>
    <w:rsid w:val="00B23CFA"/>
    <w:rsid w:val="00B240B0"/>
    <w:rsid w:val="00B2447C"/>
    <w:rsid w:val="00B24749"/>
    <w:rsid w:val="00B247BA"/>
    <w:rsid w:val="00B25319"/>
    <w:rsid w:val="00B26025"/>
    <w:rsid w:val="00B26322"/>
    <w:rsid w:val="00B263C9"/>
    <w:rsid w:val="00B264A3"/>
    <w:rsid w:val="00B265F3"/>
    <w:rsid w:val="00B26EBD"/>
    <w:rsid w:val="00B27910"/>
    <w:rsid w:val="00B27C87"/>
    <w:rsid w:val="00B27CC2"/>
    <w:rsid w:val="00B27DC9"/>
    <w:rsid w:val="00B302E9"/>
    <w:rsid w:val="00B3062E"/>
    <w:rsid w:val="00B30701"/>
    <w:rsid w:val="00B3073B"/>
    <w:rsid w:val="00B30784"/>
    <w:rsid w:val="00B31340"/>
    <w:rsid w:val="00B317BD"/>
    <w:rsid w:val="00B320C6"/>
    <w:rsid w:val="00B32133"/>
    <w:rsid w:val="00B32171"/>
    <w:rsid w:val="00B32CBE"/>
    <w:rsid w:val="00B32D82"/>
    <w:rsid w:val="00B3345D"/>
    <w:rsid w:val="00B338D7"/>
    <w:rsid w:val="00B338F3"/>
    <w:rsid w:val="00B33A71"/>
    <w:rsid w:val="00B33D6A"/>
    <w:rsid w:val="00B34363"/>
    <w:rsid w:val="00B346C9"/>
    <w:rsid w:val="00B346FE"/>
    <w:rsid w:val="00B348B8"/>
    <w:rsid w:val="00B34930"/>
    <w:rsid w:val="00B34B93"/>
    <w:rsid w:val="00B34E53"/>
    <w:rsid w:val="00B352EE"/>
    <w:rsid w:val="00B353B9"/>
    <w:rsid w:val="00B353C9"/>
    <w:rsid w:val="00B35542"/>
    <w:rsid w:val="00B35810"/>
    <w:rsid w:val="00B359CE"/>
    <w:rsid w:val="00B35E4D"/>
    <w:rsid w:val="00B35ECB"/>
    <w:rsid w:val="00B3601F"/>
    <w:rsid w:val="00B36333"/>
    <w:rsid w:val="00B3648C"/>
    <w:rsid w:val="00B36557"/>
    <w:rsid w:val="00B36637"/>
    <w:rsid w:val="00B369C1"/>
    <w:rsid w:val="00B36BAF"/>
    <w:rsid w:val="00B36D82"/>
    <w:rsid w:val="00B36F5E"/>
    <w:rsid w:val="00B3733B"/>
    <w:rsid w:val="00B375B0"/>
    <w:rsid w:val="00B37AAE"/>
    <w:rsid w:val="00B37AB8"/>
    <w:rsid w:val="00B400F9"/>
    <w:rsid w:val="00B409A0"/>
    <w:rsid w:val="00B40AD7"/>
    <w:rsid w:val="00B40D60"/>
    <w:rsid w:val="00B40E2A"/>
    <w:rsid w:val="00B41121"/>
    <w:rsid w:val="00B412B5"/>
    <w:rsid w:val="00B41309"/>
    <w:rsid w:val="00B4141F"/>
    <w:rsid w:val="00B4161B"/>
    <w:rsid w:val="00B41774"/>
    <w:rsid w:val="00B41FDA"/>
    <w:rsid w:val="00B4215F"/>
    <w:rsid w:val="00B42328"/>
    <w:rsid w:val="00B423F1"/>
    <w:rsid w:val="00B42552"/>
    <w:rsid w:val="00B4255B"/>
    <w:rsid w:val="00B42874"/>
    <w:rsid w:val="00B429BB"/>
    <w:rsid w:val="00B42AB6"/>
    <w:rsid w:val="00B42ABD"/>
    <w:rsid w:val="00B42C13"/>
    <w:rsid w:val="00B42CC2"/>
    <w:rsid w:val="00B434FC"/>
    <w:rsid w:val="00B43B1F"/>
    <w:rsid w:val="00B43C49"/>
    <w:rsid w:val="00B43FDC"/>
    <w:rsid w:val="00B443C7"/>
    <w:rsid w:val="00B444D6"/>
    <w:rsid w:val="00B44803"/>
    <w:rsid w:val="00B44952"/>
    <w:rsid w:val="00B44B67"/>
    <w:rsid w:val="00B44E2A"/>
    <w:rsid w:val="00B44F92"/>
    <w:rsid w:val="00B45051"/>
    <w:rsid w:val="00B4533B"/>
    <w:rsid w:val="00B4585B"/>
    <w:rsid w:val="00B45EAE"/>
    <w:rsid w:val="00B4616B"/>
    <w:rsid w:val="00B462BB"/>
    <w:rsid w:val="00B46990"/>
    <w:rsid w:val="00B469EE"/>
    <w:rsid w:val="00B46DD8"/>
    <w:rsid w:val="00B46EBB"/>
    <w:rsid w:val="00B4745D"/>
    <w:rsid w:val="00B502D1"/>
    <w:rsid w:val="00B516F5"/>
    <w:rsid w:val="00B51EA0"/>
    <w:rsid w:val="00B52946"/>
    <w:rsid w:val="00B52B95"/>
    <w:rsid w:val="00B52BE3"/>
    <w:rsid w:val="00B52C06"/>
    <w:rsid w:val="00B52D27"/>
    <w:rsid w:val="00B53325"/>
    <w:rsid w:val="00B5363A"/>
    <w:rsid w:val="00B538DC"/>
    <w:rsid w:val="00B53BDA"/>
    <w:rsid w:val="00B53F92"/>
    <w:rsid w:val="00B54255"/>
    <w:rsid w:val="00B545AA"/>
    <w:rsid w:val="00B54DE6"/>
    <w:rsid w:val="00B55040"/>
    <w:rsid w:val="00B551EE"/>
    <w:rsid w:val="00B5570B"/>
    <w:rsid w:val="00B55ACB"/>
    <w:rsid w:val="00B55B6E"/>
    <w:rsid w:val="00B5602F"/>
    <w:rsid w:val="00B5606A"/>
    <w:rsid w:val="00B56750"/>
    <w:rsid w:val="00B57151"/>
    <w:rsid w:val="00B572C1"/>
    <w:rsid w:val="00B6021A"/>
    <w:rsid w:val="00B6029D"/>
    <w:rsid w:val="00B60364"/>
    <w:rsid w:val="00B6047C"/>
    <w:rsid w:val="00B60591"/>
    <w:rsid w:val="00B6080D"/>
    <w:rsid w:val="00B60CE6"/>
    <w:rsid w:val="00B60E31"/>
    <w:rsid w:val="00B60F8C"/>
    <w:rsid w:val="00B60FCC"/>
    <w:rsid w:val="00B61057"/>
    <w:rsid w:val="00B611CD"/>
    <w:rsid w:val="00B61421"/>
    <w:rsid w:val="00B61DD5"/>
    <w:rsid w:val="00B61EF7"/>
    <w:rsid w:val="00B6225E"/>
    <w:rsid w:val="00B62AAE"/>
    <w:rsid w:val="00B62EEB"/>
    <w:rsid w:val="00B632F5"/>
    <w:rsid w:val="00B637E5"/>
    <w:rsid w:val="00B63CF2"/>
    <w:rsid w:val="00B6414C"/>
    <w:rsid w:val="00B6422E"/>
    <w:rsid w:val="00B6449B"/>
    <w:rsid w:val="00B6456C"/>
    <w:rsid w:val="00B6461C"/>
    <w:rsid w:val="00B64A34"/>
    <w:rsid w:val="00B64E85"/>
    <w:rsid w:val="00B64EF9"/>
    <w:rsid w:val="00B64F20"/>
    <w:rsid w:val="00B65233"/>
    <w:rsid w:val="00B654B8"/>
    <w:rsid w:val="00B659E7"/>
    <w:rsid w:val="00B65CBC"/>
    <w:rsid w:val="00B66639"/>
    <w:rsid w:val="00B66CE2"/>
    <w:rsid w:val="00B66DF2"/>
    <w:rsid w:val="00B66E0C"/>
    <w:rsid w:val="00B670F8"/>
    <w:rsid w:val="00B67119"/>
    <w:rsid w:val="00B671DD"/>
    <w:rsid w:val="00B672DD"/>
    <w:rsid w:val="00B67615"/>
    <w:rsid w:val="00B6770A"/>
    <w:rsid w:val="00B67843"/>
    <w:rsid w:val="00B678E6"/>
    <w:rsid w:val="00B67E1A"/>
    <w:rsid w:val="00B7005F"/>
    <w:rsid w:val="00B70142"/>
    <w:rsid w:val="00B701AF"/>
    <w:rsid w:val="00B70227"/>
    <w:rsid w:val="00B7030C"/>
    <w:rsid w:val="00B7092C"/>
    <w:rsid w:val="00B7121B"/>
    <w:rsid w:val="00B71459"/>
    <w:rsid w:val="00B71481"/>
    <w:rsid w:val="00B72178"/>
    <w:rsid w:val="00B72222"/>
    <w:rsid w:val="00B7222D"/>
    <w:rsid w:val="00B725F4"/>
    <w:rsid w:val="00B72958"/>
    <w:rsid w:val="00B72D8F"/>
    <w:rsid w:val="00B72E5A"/>
    <w:rsid w:val="00B72FD0"/>
    <w:rsid w:val="00B730A7"/>
    <w:rsid w:val="00B730D6"/>
    <w:rsid w:val="00B7349C"/>
    <w:rsid w:val="00B73CBC"/>
    <w:rsid w:val="00B73EAC"/>
    <w:rsid w:val="00B74056"/>
    <w:rsid w:val="00B74093"/>
    <w:rsid w:val="00B74102"/>
    <w:rsid w:val="00B7411B"/>
    <w:rsid w:val="00B742D3"/>
    <w:rsid w:val="00B743C7"/>
    <w:rsid w:val="00B7443D"/>
    <w:rsid w:val="00B74921"/>
    <w:rsid w:val="00B749BB"/>
    <w:rsid w:val="00B74C5B"/>
    <w:rsid w:val="00B74C75"/>
    <w:rsid w:val="00B74EC1"/>
    <w:rsid w:val="00B75677"/>
    <w:rsid w:val="00B75BB7"/>
    <w:rsid w:val="00B75D08"/>
    <w:rsid w:val="00B75F37"/>
    <w:rsid w:val="00B75F54"/>
    <w:rsid w:val="00B760F1"/>
    <w:rsid w:val="00B76298"/>
    <w:rsid w:val="00B76928"/>
    <w:rsid w:val="00B7737C"/>
    <w:rsid w:val="00B773AB"/>
    <w:rsid w:val="00B7794F"/>
    <w:rsid w:val="00B77D21"/>
    <w:rsid w:val="00B77DB6"/>
    <w:rsid w:val="00B802E1"/>
    <w:rsid w:val="00B804FD"/>
    <w:rsid w:val="00B81035"/>
    <w:rsid w:val="00B81289"/>
    <w:rsid w:val="00B81546"/>
    <w:rsid w:val="00B8161D"/>
    <w:rsid w:val="00B81C6D"/>
    <w:rsid w:val="00B81D7D"/>
    <w:rsid w:val="00B8202B"/>
    <w:rsid w:val="00B821F3"/>
    <w:rsid w:val="00B82872"/>
    <w:rsid w:val="00B82B99"/>
    <w:rsid w:val="00B82E6C"/>
    <w:rsid w:val="00B82FCD"/>
    <w:rsid w:val="00B83227"/>
    <w:rsid w:val="00B8359E"/>
    <w:rsid w:val="00B8388B"/>
    <w:rsid w:val="00B83ADF"/>
    <w:rsid w:val="00B83B13"/>
    <w:rsid w:val="00B83F1A"/>
    <w:rsid w:val="00B84056"/>
    <w:rsid w:val="00B84222"/>
    <w:rsid w:val="00B843AA"/>
    <w:rsid w:val="00B84AAB"/>
    <w:rsid w:val="00B850A9"/>
    <w:rsid w:val="00B852A8"/>
    <w:rsid w:val="00B8546B"/>
    <w:rsid w:val="00B85B9E"/>
    <w:rsid w:val="00B85E8E"/>
    <w:rsid w:val="00B86423"/>
    <w:rsid w:val="00B86538"/>
    <w:rsid w:val="00B86EEA"/>
    <w:rsid w:val="00B873D1"/>
    <w:rsid w:val="00B87532"/>
    <w:rsid w:val="00B87781"/>
    <w:rsid w:val="00B87A0E"/>
    <w:rsid w:val="00B901B6"/>
    <w:rsid w:val="00B90408"/>
    <w:rsid w:val="00B905E9"/>
    <w:rsid w:val="00B906D8"/>
    <w:rsid w:val="00B908E0"/>
    <w:rsid w:val="00B90B0D"/>
    <w:rsid w:val="00B90B31"/>
    <w:rsid w:val="00B90C95"/>
    <w:rsid w:val="00B90D6E"/>
    <w:rsid w:val="00B911FC"/>
    <w:rsid w:val="00B9146F"/>
    <w:rsid w:val="00B916EC"/>
    <w:rsid w:val="00B9176A"/>
    <w:rsid w:val="00B91928"/>
    <w:rsid w:val="00B9198C"/>
    <w:rsid w:val="00B91AD7"/>
    <w:rsid w:val="00B91E62"/>
    <w:rsid w:val="00B91EA9"/>
    <w:rsid w:val="00B92636"/>
    <w:rsid w:val="00B92F14"/>
    <w:rsid w:val="00B930A4"/>
    <w:rsid w:val="00B934E7"/>
    <w:rsid w:val="00B93ED5"/>
    <w:rsid w:val="00B94080"/>
    <w:rsid w:val="00B94431"/>
    <w:rsid w:val="00B947C4"/>
    <w:rsid w:val="00B948FC"/>
    <w:rsid w:val="00B94DB9"/>
    <w:rsid w:val="00B95151"/>
    <w:rsid w:val="00B95195"/>
    <w:rsid w:val="00B952C8"/>
    <w:rsid w:val="00B95358"/>
    <w:rsid w:val="00B9535A"/>
    <w:rsid w:val="00B956B2"/>
    <w:rsid w:val="00B9581A"/>
    <w:rsid w:val="00B95948"/>
    <w:rsid w:val="00B959B8"/>
    <w:rsid w:val="00B95B14"/>
    <w:rsid w:val="00B9639B"/>
    <w:rsid w:val="00B96560"/>
    <w:rsid w:val="00B966A5"/>
    <w:rsid w:val="00B966B2"/>
    <w:rsid w:val="00B96CBD"/>
    <w:rsid w:val="00B973D3"/>
    <w:rsid w:val="00B97427"/>
    <w:rsid w:val="00B97810"/>
    <w:rsid w:val="00B978D0"/>
    <w:rsid w:val="00B97B61"/>
    <w:rsid w:val="00B97D35"/>
    <w:rsid w:val="00B97FBA"/>
    <w:rsid w:val="00BA012C"/>
    <w:rsid w:val="00BA0487"/>
    <w:rsid w:val="00BA06E9"/>
    <w:rsid w:val="00BA06F1"/>
    <w:rsid w:val="00BA11DA"/>
    <w:rsid w:val="00BA13F1"/>
    <w:rsid w:val="00BA1647"/>
    <w:rsid w:val="00BA16CA"/>
    <w:rsid w:val="00BA19C2"/>
    <w:rsid w:val="00BA1F13"/>
    <w:rsid w:val="00BA1F62"/>
    <w:rsid w:val="00BA2C91"/>
    <w:rsid w:val="00BA36D5"/>
    <w:rsid w:val="00BA3712"/>
    <w:rsid w:val="00BA3DB5"/>
    <w:rsid w:val="00BA4809"/>
    <w:rsid w:val="00BA4D0E"/>
    <w:rsid w:val="00BA4F54"/>
    <w:rsid w:val="00BA4F9C"/>
    <w:rsid w:val="00BA5039"/>
    <w:rsid w:val="00BA51CD"/>
    <w:rsid w:val="00BA51ED"/>
    <w:rsid w:val="00BA5624"/>
    <w:rsid w:val="00BA593F"/>
    <w:rsid w:val="00BA615D"/>
    <w:rsid w:val="00BA623E"/>
    <w:rsid w:val="00BA68DB"/>
    <w:rsid w:val="00BA693E"/>
    <w:rsid w:val="00BA6BF1"/>
    <w:rsid w:val="00BA7768"/>
    <w:rsid w:val="00BA77C1"/>
    <w:rsid w:val="00BA7E61"/>
    <w:rsid w:val="00BB0163"/>
    <w:rsid w:val="00BB06D8"/>
    <w:rsid w:val="00BB073D"/>
    <w:rsid w:val="00BB0F44"/>
    <w:rsid w:val="00BB134B"/>
    <w:rsid w:val="00BB1B4B"/>
    <w:rsid w:val="00BB2712"/>
    <w:rsid w:val="00BB2754"/>
    <w:rsid w:val="00BB275E"/>
    <w:rsid w:val="00BB28B5"/>
    <w:rsid w:val="00BB2BC5"/>
    <w:rsid w:val="00BB2F2E"/>
    <w:rsid w:val="00BB3235"/>
    <w:rsid w:val="00BB36FF"/>
    <w:rsid w:val="00BB3863"/>
    <w:rsid w:val="00BB3BAE"/>
    <w:rsid w:val="00BB4193"/>
    <w:rsid w:val="00BB4285"/>
    <w:rsid w:val="00BB42D4"/>
    <w:rsid w:val="00BB444E"/>
    <w:rsid w:val="00BB4A05"/>
    <w:rsid w:val="00BB4B93"/>
    <w:rsid w:val="00BB5063"/>
    <w:rsid w:val="00BB5493"/>
    <w:rsid w:val="00BB5814"/>
    <w:rsid w:val="00BB5911"/>
    <w:rsid w:val="00BB5D99"/>
    <w:rsid w:val="00BB6055"/>
    <w:rsid w:val="00BB61A6"/>
    <w:rsid w:val="00BB65FC"/>
    <w:rsid w:val="00BB66F5"/>
    <w:rsid w:val="00BB688A"/>
    <w:rsid w:val="00BB6A4F"/>
    <w:rsid w:val="00BB6C69"/>
    <w:rsid w:val="00BB6E0A"/>
    <w:rsid w:val="00BB74D3"/>
    <w:rsid w:val="00BB79B3"/>
    <w:rsid w:val="00BB7C0E"/>
    <w:rsid w:val="00BB7C45"/>
    <w:rsid w:val="00BC07B3"/>
    <w:rsid w:val="00BC0DBC"/>
    <w:rsid w:val="00BC13C3"/>
    <w:rsid w:val="00BC13DA"/>
    <w:rsid w:val="00BC1437"/>
    <w:rsid w:val="00BC149A"/>
    <w:rsid w:val="00BC1BDC"/>
    <w:rsid w:val="00BC1CAC"/>
    <w:rsid w:val="00BC1DB5"/>
    <w:rsid w:val="00BC2A5C"/>
    <w:rsid w:val="00BC2B22"/>
    <w:rsid w:val="00BC2C31"/>
    <w:rsid w:val="00BC30C7"/>
    <w:rsid w:val="00BC384B"/>
    <w:rsid w:val="00BC3E5A"/>
    <w:rsid w:val="00BC4187"/>
    <w:rsid w:val="00BC49E8"/>
    <w:rsid w:val="00BC4A1D"/>
    <w:rsid w:val="00BC4D88"/>
    <w:rsid w:val="00BC51F4"/>
    <w:rsid w:val="00BC54AA"/>
    <w:rsid w:val="00BC56F7"/>
    <w:rsid w:val="00BC58B8"/>
    <w:rsid w:val="00BC5CA2"/>
    <w:rsid w:val="00BC620D"/>
    <w:rsid w:val="00BC631A"/>
    <w:rsid w:val="00BC63EE"/>
    <w:rsid w:val="00BC6427"/>
    <w:rsid w:val="00BC648D"/>
    <w:rsid w:val="00BC64B6"/>
    <w:rsid w:val="00BC65D5"/>
    <w:rsid w:val="00BC6A24"/>
    <w:rsid w:val="00BC6CF7"/>
    <w:rsid w:val="00BC703F"/>
    <w:rsid w:val="00BC772D"/>
    <w:rsid w:val="00BC7905"/>
    <w:rsid w:val="00BC7B28"/>
    <w:rsid w:val="00BC7CD9"/>
    <w:rsid w:val="00BC7D37"/>
    <w:rsid w:val="00BD00A4"/>
    <w:rsid w:val="00BD02D6"/>
    <w:rsid w:val="00BD04CD"/>
    <w:rsid w:val="00BD0616"/>
    <w:rsid w:val="00BD0E50"/>
    <w:rsid w:val="00BD10BE"/>
    <w:rsid w:val="00BD1136"/>
    <w:rsid w:val="00BD1361"/>
    <w:rsid w:val="00BD14A1"/>
    <w:rsid w:val="00BD168D"/>
    <w:rsid w:val="00BD1740"/>
    <w:rsid w:val="00BD190C"/>
    <w:rsid w:val="00BD1B44"/>
    <w:rsid w:val="00BD1B86"/>
    <w:rsid w:val="00BD1BE7"/>
    <w:rsid w:val="00BD1D1E"/>
    <w:rsid w:val="00BD1D2B"/>
    <w:rsid w:val="00BD1F62"/>
    <w:rsid w:val="00BD2015"/>
    <w:rsid w:val="00BD2025"/>
    <w:rsid w:val="00BD210D"/>
    <w:rsid w:val="00BD2275"/>
    <w:rsid w:val="00BD22F1"/>
    <w:rsid w:val="00BD255F"/>
    <w:rsid w:val="00BD257E"/>
    <w:rsid w:val="00BD2701"/>
    <w:rsid w:val="00BD2ACB"/>
    <w:rsid w:val="00BD2E0E"/>
    <w:rsid w:val="00BD30DD"/>
    <w:rsid w:val="00BD31B9"/>
    <w:rsid w:val="00BD3437"/>
    <w:rsid w:val="00BD35F4"/>
    <w:rsid w:val="00BD36EC"/>
    <w:rsid w:val="00BD3AFC"/>
    <w:rsid w:val="00BD3DAE"/>
    <w:rsid w:val="00BD4EE6"/>
    <w:rsid w:val="00BD5139"/>
    <w:rsid w:val="00BD59F1"/>
    <w:rsid w:val="00BD59F9"/>
    <w:rsid w:val="00BD5A1A"/>
    <w:rsid w:val="00BD5C6D"/>
    <w:rsid w:val="00BD607C"/>
    <w:rsid w:val="00BD6396"/>
    <w:rsid w:val="00BD689A"/>
    <w:rsid w:val="00BD6A27"/>
    <w:rsid w:val="00BD6F1E"/>
    <w:rsid w:val="00BD76A2"/>
    <w:rsid w:val="00BD79BD"/>
    <w:rsid w:val="00BE0796"/>
    <w:rsid w:val="00BE0A12"/>
    <w:rsid w:val="00BE0D8D"/>
    <w:rsid w:val="00BE0E66"/>
    <w:rsid w:val="00BE1087"/>
    <w:rsid w:val="00BE147D"/>
    <w:rsid w:val="00BE19FB"/>
    <w:rsid w:val="00BE1C46"/>
    <w:rsid w:val="00BE1DDD"/>
    <w:rsid w:val="00BE1E15"/>
    <w:rsid w:val="00BE1E72"/>
    <w:rsid w:val="00BE1E78"/>
    <w:rsid w:val="00BE1E99"/>
    <w:rsid w:val="00BE1EE3"/>
    <w:rsid w:val="00BE2260"/>
    <w:rsid w:val="00BE2400"/>
    <w:rsid w:val="00BE28B1"/>
    <w:rsid w:val="00BE2AA5"/>
    <w:rsid w:val="00BE2B0C"/>
    <w:rsid w:val="00BE2B26"/>
    <w:rsid w:val="00BE2F6D"/>
    <w:rsid w:val="00BE3094"/>
    <w:rsid w:val="00BE3688"/>
    <w:rsid w:val="00BE39C0"/>
    <w:rsid w:val="00BE3AB2"/>
    <w:rsid w:val="00BE3D4B"/>
    <w:rsid w:val="00BE3F0B"/>
    <w:rsid w:val="00BE4732"/>
    <w:rsid w:val="00BE494D"/>
    <w:rsid w:val="00BE4D80"/>
    <w:rsid w:val="00BE4E75"/>
    <w:rsid w:val="00BE54DD"/>
    <w:rsid w:val="00BE5975"/>
    <w:rsid w:val="00BE5B85"/>
    <w:rsid w:val="00BE5D50"/>
    <w:rsid w:val="00BE5E0A"/>
    <w:rsid w:val="00BE5F76"/>
    <w:rsid w:val="00BE6A9A"/>
    <w:rsid w:val="00BE6AD1"/>
    <w:rsid w:val="00BE6D58"/>
    <w:rsid w:val="00BE6D5F"/>
    <w:rsid w:val="00BE6F57"/>
    <w:rsid w:val="00BE72D0"/>
    <w:rsid w:val="00BE7329"/>
    <w:rsid w:val="00BE79B3"/>
    <w:rsid w:val="00BF01C4"/>
    <w:rsid w:val="00BF097C"/>
    <w:rsid w:val="00BF0C95"/>
    <w:rsid w:val="00BF0DDD"/>
    <w:rsid w:val="00BF0EB1"/>
    <w:rsid w:val="00BF109F"/>
    <w:rsid w:val="00BF13C8"/>
    <w:rsid w:val="00BF14CB"/>
    <w:rsid w:val="00BF157B"/>
    <w:rsid w:val="00BF1977"/>
    <w:rsid w:val="00BF1D5A"/>
    <w:rsid w:val="00BF1E09"/>
    <w:rsid w:val="00BF2947"/>
    <w:rsid w:val="00BF3260"/>
    <w:rsid w:val="00BF32AB"/>
    <w:rsid w:val="00BF36CF"/>
    <w:rsid w:val="00BF39FE"/>
    <w:rsid w:val="00BF3C21"/>
    <w:rsid w:val="00BF3DD5"/>
    <w:rsid w:val="00BF4307"/>
    <w:rsid w:val="00BF4617"/>
    <w:rsid w:val="00BF4A02"/>
    <w:rsid w:val="00BF56B7"/>
    <w:rsid w:val="00BF570B"/>
    <w:rsid w:val="00BF5951"/>
    <w:rsid w:val="00BF6496"/>
    <w:rsid w:val="00BF665A"/>
    <w:rsid w:val="00BF669E"/>
    <w:rsid w:val="00BF6739"/>
    <w:rsid w:val="00BF697D"/>
    <w:rsid w:val="00BF6A07"/>
    <w:rsid w:val="00BF6BA6"/>
    <w:rsid w:val="00BF6CF0"/>
    <w:rsid w:val="00BF70A8"/>
    <w:rsid w:val="00BF7273"/>
    <w:rsid w:val="00BF7329"/>
    <w:rsid w:val="00BF7493"/>
    <w:rsid w:val="00BF74B2"/>
    <w:rsid w:val="00BF7F6A"/>
    <w:rsid w:val="00BF7FA1"/>
    <w:rsid w:val="00C00270"/>
    <w:rsid w:val="00C003AA"/>
    <w:rsid w:val="00C0067E"/>
    <w:rsid w:val="00C00908"/>
    <w:rsid w:val="00C0097B"/>
    <w:rsid w:val="00C00BAF"/>
    <w:rsid w:val="00C00BD8"/>
    <w:rsid w:val="00C00F9F"/>
    <w:rsid w:val="00C012CA"/>
    <w:rsid w:val="00C01407"/>
    <w:rsid w:val="00C01ABD"/>
    <w:rsid w:val="00C01B87"/>
    <w:rsid w:val="00C01BD2"/>
    <w:rsid w:val="00C01CF9"/>
    <w:rsid w:val="00C02561"/>
    <w:rsid w:val="00C02E5A"/>
    <w:rsid w:val="00C02EEE"/>
    <w:rsid w:val="00C03C14"/>
    <w:rsid w:val="00C03F3F"/>
    <w:rsid w:val="00C0464D"/>
    <w:rsid w:val="00C0475B"/>
    <w:rsid w:val="00C05254"/>
    <w:rsid w:val="00C05AD9"/>
    <w:rsid w:val="00C05F51"/>
    <w:rsid w:val="00C06106"/>
    <w:rsid w:val="00C06A76"/>
    <w:rsid w:val="00C06B71"/>
    <w:rsid w:val="00C06F78"/>
    <w:rsid w:val="00C07600"/>
    <w:rsid w:val="00C07784"/>
    <w:rsid w:val="00C07AC3"/>
    <w:rsid w:val="00C07BB3"/>
    <w:rsid w:val="00C07BCE"/>
    <w:rsid w:val="00C07D16"/>
    <w:rsid w:val="00C10235"/>
    <w:rsid w:val="00C102FE"/>
    <w:rsid w:val="00C1041D"/>
    <w:rsid w:val="00C10516"/>
    <w:rsid w:val="00C10709"/>
    <w:rsid w:val="00C10A4D"/>
    <w:rsid w:val="00C10AB4"/>
    <w:rsid w:val="00C10B1A"/>
    <w:rsid w:val="00C10B94"/>
    <w:rsid w:val="00C10F82"/>
    <w:rsid w:val="00C11003"/>
    <w:rsid w:val="00C117E8"/>
    <w:rsid w:val="00C11AC6"/>
    <w:rsid w:val="00C11B3A"/>
    <w:rsid w:val="00C11DC5"/>
    <w:rsid w:val="00C11FA1"/>
    <w:rsid w:val="00C11FFB"/>
    <w:rsid w:val="00C1203C"/>
    <w:rsid w:val="00C1232C"/>
    <w:rsid w:val="00C12440"/>
    <w:rsid w:val="00C12503"/>
    <w:rsid w:val="00C12960"/>
    <w:rsid w:val="00C12D10"/>
    <w:rsid w:val="00C13018"/>
    <w:rsid w:val="00C13445"/>
    <w:rsid w:val="00C1358F"/>
    <w:rsid w:val="00C137C7"/>
    <w:rsid w:val="00C137F6"/>
    <w:rsid w:val="00C13B13"/>
    <w:rsid w:val="00C14103"/>
    <w:rsid w:val="00C1487A"/>
    <w:rsid w:val="00C148A7"/>
    <w:rsid w:val="00C15000"/>
    <w:rsid w:val="00C15823"/>
    <w:rsid w:val="00C15AAE"/>
    <w:rsid w:val="00C1606E"/>
    <w:rsid w:val="00C16431"/>
    <w:rsid w:val="00C16949"/>
    <w:rsid w:val="00C169A4"/>
    <w:rsid w:val="00C169FC"/>
    <w:rsid w:val="00C16E2C"/>
    <w:rsid w:val="00C16F3F"/>
    <w:rsid w:val="00C16F6C"/>
    <w:rsid w:val="00C16FFB"/>
    <w:rsid w:val="00C17164"/>
    <w:rsid w:val="00C174F6"/>
    <w:rsid w:val="00C17A63"/>
    <w:rsid w:val="00C17F92"/>
    <w:rsid w:val="00C17FA2"/>
    <w:rsid w:val="00C20645"/>
    <w:rsid w:val="00C20685"/>
    <w:rsid w:val="00C208E7"/>
    <w:rsid w:val="00C20D50"/>
    <w:rsid w:val="00C211CA"/>
    <w:rsid w:val="00C212CB"/>
    <w:rsid w:val="00C2147E"/>
    <w:rsid w:val="00C21716"/>
    <w:rsid w:val="00C21FA4"/>
    <w:rsid w:val="00C21FE9"/>
    <w:rsid w:val="00C22136"/>
    <w:rsid w:val="00C2234E"/>
    <w:rsid w:val="00C2246C"/>
    <w:rsid w:val="00C224C0"/>
    <w:rsid w:val="00C2259B"/>
    <w:rsid w:val="00C226C4"/>
    <w:rsid w:val="00C22784"/>
    <w:rsid w:val="00C22AEB"/>
    <w:rsid w:val="00C22C8B"/>
    <w:rsid w:val="00C23053"/>
    <w:rsid w:val="00C237D2"/>
    <w:rsid w:val="00C23B0B"/>
    <w:rsid w:val="00C245FB"/>
    <w:rsid w:val="00C24D58"/>
    <w:rsid w:val="00C24E27"/>
    <w:rsid w:val="00C25678"/>
    <w:rsid w:val="00C25734"/>
    <w:rsid w:val="00C257A0"/>
    <w:rsid w:val="00C25AED"/>
    <w:rsid w:val="00C260F6"/>
    <w:rsid w:val="00C2634C"/>
    <w:rsid w:val="00C263E9"/>
    <w:rsid w:val="00C265F6"/>
    <w:rsid w:val="00C26637"/>
    <w:rsid w:val="00C266FA"/>
    <w:rsid w:val="00C273EA"/>
    <w:rsid w:val="00C273FD"/>
    <w:rsid w:val="00C27956"/>
    <w:rsid w:val="00C27DA5"/>
    <w:rsid w:val="00C300C9"/>
    <w:rsid w:val="00C308AA"/>
    <w:rsid w:val="00C30B46"/>
    <w:rsid w:val="00C30BB0"/>
    <w:rsid w:val="00C30EBB"/>
    <w:rsid w:val="00C311F5"/>
    <w:rsid w:val="00C31330"/>
    <w:rsid w:val="00C31757"/>
    <w:rsid w:val="00C318EB"/>
    <w:rsid w:val="00C31915"/>
    <w:rsid w:val="00C31DE9"/>
    <w:rsid w:val="00C32682"/>
    <w:rsid w:val="00C32EA9"/>
    <w:rsid w:val="00C33162"/>
    <w:rsid w:val="00C332D0"/>
    <w:rsid w:val="00C33DD5"/>
    <w:rsid w:val="00C33F17"/>
    <w:rsid w:val="00C34886"/>
    <w:rsid w:val="00C34B67"/>
    <w:rsid w:val="00C34BC9"/>
    <w:rsid w:val="00C34DA5"/>
    <w:rsid w:val="00C34F37"/>
    <w:rsid w:val="00C352E1"/>
    <w:rsid w:val="00C355FE"/>
    <w:rsid w:val="00C35911"/>
    <w:rsid w:val="00C35B0A"/>
    <w:rsid w:val="00C35B4F"/>
    <w:rsid w:val="00C35EB7"/>
    <w:rsid w:val="00C3669C"/>
    <w:rsid w:val="00C369FF"/>
    <w:rsid w:val="00C36DC1"/>
    <w:rsid w:val="00C36E59"/>
    <w:rsid w:val="00C3715F"/>
    <w:rsid w:val="00C37341"/>
    <w:rsid w:val="00C37410"/>
    <w:rsid w:val="00C37FC0"/>
    <w:rsid w:val="00C403C0"/>
    <w:rsid w:val="00C4048B"/>
    <w:rsid w:val="00C407C3"/>
    <w:rsid w:val="00C40940"/>
    <w:rsid w:val="00C40FA6"/>
    <w:rsid w:val="00C41235"/>
    <w:rsid w:val="00C41299"/>
    <w:rsid w:val="00C41866"/>
    <w:rsid w:val="00C41BFB"/>
    <w:rsid w:val="00C42115"/>
    <w:rsid w:val="00C422D2"/>
    <w:rsid w:val="00C422D7"/>
    <w:rsid w:val="00C42588"/>
    <w:rsid w:val="00C42DF0"/>
    <w:rsid w:val="00C4313A"/>
    <w:rsid w:val="00C4326C"/>
    <w:rsid w:val="00C4330F"/>
    <w:rsid w:val="00C433D2"/>
    <w:rsid w:val="00C43A64"/>
    <w:rsid w:val="00C43BA3"/>
    <w:rsid w:val="00C43F58"/>
    <w:rsid w:val="00C44F62"/>
    <w:rsid w:val="00C45107"/>
    <w:rsid w:val="00C4579C"/>
    <w:rsid w:val="00C45935"/>
    <w:rsid w:val="00C45A8E"/>
    <w:rsid w:val="00C45B91"/>
    <w:rsid w:val="00C45E68"/>
    <w:rsid w:val="00C4602C"/>
    <w:rsid w:val="00C46413"/>
    <w:rsid w:val="00C46848"/>
    <w:rsid w:val="00C46947"/>
    <w:rsid w:val="00C4697B"/>
    <w:rsid w:val="00C46B33"/>
    <w:rsid w:val="00C47292"/>
    <w:rsid w:val="00C4751E"/>
    <w:rsid w:val="00C475D0"/>
    <w:rsid w:val="00C47AEE"/>
    <w:rsid w:val="00C47B3C"/>
    <w:rsid w:val="00C47B4B"/>
    <w:rsid w:val="00C47C63"/>
    <w:rsid w:val="00C47EB2"/>
    <w:rsid w:val="00C50247"/>
    <w:rsid w:val="00C50A90"/>
    <w:rsid w:val="00C513BA"/>
    <w:rsid w:val="00C5154B"/>
    <w:rsid w:val="00C51647"/>
    <w:rsid w:val="00C51688"/>
    <w:rsid w:val="00C518F6"/>
    <w:rsid w:val="00C520ED"/>
    <w:rsid w:val="00C52292"/>
    <w:rsid w:val="00C52597"/>
    <w:rsid w:val="00C52610"/>
    <w:rsid w:val="00C52D1E"/>
    <w:rsid w:val="00C52FCE"/>
    <w:rsid w:val="00C535AE"/>
    <w:rsid w:val="00C53AC8"/>
    <w:rsid w:val="00C53DA0"/>
    <w:rsid w:val="00C53EEC"/>
    <w:rsid w:val="00C54734"/>
    <w:rsid w:val="00C54F46"/>
    <w:rsid w:val="00C5543A"/>
    <w:rsid w:val="00C55505"/>
    <w:rsid w:val="00C55D60"/>
    <w:rsid w:val="00C55FFE"/>
    <w:rsid w:val="00C560EF"/>
    <w:rsid w:val="00C56642"/>
    <w:rsid w:val="00C56762"/>
    <w:rsid w:val="00C56799"/>
    <w:rsid w:val="00C567AF"/>
    <w:rsid w:val="00C56AE1"/>
    <w:rsid w:val="00C56DFD"/>
    <w:rsid w:val="00C57B01"/>
    <w:rsid w:val="00C57B8B"/>
    <w:rsid w:val="00C57D7B"/>
    <w:rsid w:val="00C57E6A"/>
    <w:rsid w:val="00C60053"/>
    <w:rsid w:val="00C60AB2"/>
    <w:rsid w:val="00C61040"/>
    <w:rsid w:val="00C6113D"/>
    <w:rsid w:val="00C6207A"/>
    <w:rsid w:val="00C6227F"/>
    <w:rsid w:val="00C622F7"/>
    <w:rsid w:val="00C62701"/>
    <w:rsid w:val="00C629EA"/>
    <w:rsid w:val="00C62CE4"/>
    <w:rsid w:val="00C62D7F"/>
    <w:rsid w:val="00C62F0F"/>
    <w:rsid w:val="00C6349B"/>
    <w:rsid w:val="00C63612"/>
    <w:rsid w:val="00C63685"/>
    <w:rsid w:val="00C63B63"/>
    <w:rsid w:val="00C6403E"/>
    <w:rsid w:val="00C64160"/>
    <w:rsid w:val="00C641E8"/>
    <w:rsid w:val="00C64252"/>
    <w:rsid w:val="00C6498D"/>
    <w:rsid w:val="00C64DE0"/>
    <w:rsid w:val="00C65430"/>
    <w:rsid w:val="00C65684"/>
    <w:rsid w:val="00C65827"/>
    <w:rsid w:val="00C6583B"/>
    <w:rsid w:val="00C658F3"/>
    <w:rsid w:val="00C65AB5"/>
    <w:rsid w:val="00C66041"/>
    <w:rsid w:val="00C661DC"/>
    <w:rsid w:val="00C6625B"/>
    <w:rsid w:val="00C66354"/>
    <w:rsid w:val="00C66614"/>
    <w:rsid w:val="00C66819"/>
    <w:rsid w:val="00C66B20"/>
    <w:rsid w:val="00C66F9B"/>
    <w:rsid w:val="00C6705F"/>
    <w:rsid w:val="00C67198"/>
    <w:rsid w:val="00C67462"/>
    <w:rsid w:val="00C6754B"/>
    <w:rsid w:val="00C67605"/>
    <w:rsid w:val="00C67819"/>
    <w:rsid w:val="00C6783E"/>
    <w:rsid w:val="00C67F57"/>
    <w:rsid w:val="00C700BD"/>
    <w:rsid w:val="00C709F9"/>
    <w:rsid w:val="00C70A40"/>
    <w:rsid w:val="00C70C2D"/>
    <w:rsid w:val="00C70C7A"/>
    <w:rsid w:val="00C70E17"/>
    <w:rsid w:val="00C70E4F"/>
    <w:rsid w:val="00C70EDF"/>
    <w:rsid w:val="00C7124A"/>
    <w:rsid w:val="00C71727"/>
    <w:rsid w:val="00C72321"/>
    <w:rsid w:val="00C723F1"/>
    <w:rsid w:val="00C732CC"/>
    <w:rsid w:val="00C735CB"/>
    <w:rsid w:val="00C739F5"/>
    <w:rsid w:val="00C74131"/>
    <w:rsid w:val="00C74752"/>
    <w:rsid w:val="00C74D30"/>
    <w:rsid w:val="00C74D3F"/>
    <w:rsid w:val="00C75228"/>
    <w:rsid w:val="00C75379"/>
    <w:rsid w:val="00C753D1"/>
    <w:rsid w:val="00C75B25"/>
    <w:rsid w:val="00C75B63"/>
    <w:rsid w:val="00C75D95"/>
    <w:rsid w:val="00C76512"/>
    <w:rsid w:val="00C7651D"/>
    <w:rsid w:val="00C7684E"/>
    <w:rsid w:val="00C768E8"/>
    <w:rsid w:val="00C76A68"/>
    <w:rsid w:val="00C76E15"/>
    <w:rsid w:val="00C77571"/>
    <w:rsid w:val="00C77766"/>
    <w:rsid w:val="00C7783E"/>
    <w:rsid w:val="00C779BD"/>
    <w:rsid w:val="00C77C6A"/>
    <w:rsid w:val="00C77F1A"/>
    <w:rsid w:val="00C802D0"/>
    <w:rsid w:val="00C80792"/>
    <w:rsid w:val="00C80D6D"/>
    <w:rsid w:val="00C80DB1"/>
    <w:rsid w:val="00C811AB"/>
    <w:rsid w:val="00C819E3"/>
    <w:rsid w:val="00C81AD2"/>
    <w:rsid w:val="00C8229F"/>
    <w:rsid w:val="00C824E9"/>
    <w:rsid w:val="00C825AE"/>
    <w:rsid w:val="00C826E6"/>
    <w:rsid w:val="00C83028"/>
    <w:rsid w:val="00C83790"/>
    <w:rsid w:val="00C8390C"/>
    <w:rsid w:val="00C83B42"/>
    <w:rsid w:val="00C83FC6"/>
    <w:rsid w:val="00C8402D"/>
    <w:rsid w:val="00C8460F"/>
    <w:rsid w:val="00C8461B"/>
    <w:rsid w:val="00C84703"/>
    <w:rsid w:val="00C847B6"/>
    <w:rsid w:val="00C848EC"/>
    <w:rsid w:val="00C8497D"/>
    <w:rsid w:val="00C849AF"/>
    <w:rsid w:val="00C849B1"/>
    <w:rsid w:val="00C849CA"/>
    <w:rsid w:val="00C84E25"/>
    <w:rsid w:val="00C85210"/>
    <w:rsid w:val="00C86102"/>
    <w:rsid w:val="00C86334"/>
    <w:rsid w:val="00C87114"/>
    <w:rsid w:val="00C8726A"/>
    <w:rsid w:val="00C8730B"/>
    <w:rsid w:val="00C878A9"/>
    <w:rsid w:val="00C87B23"/>
    <w:rsid w:val="00C87F6E"/>
    <w:rsid w:val="00C87FEC"/>
    <w:rsid w:val="00C904C9"/>
    <w:rsid w:val="00C90784"/>
    <w:rsid w:val="00C90BB1"/>
    <w:rsid w:val="00C90C48"/>
    <w:rsid w:val="00C90D87"/>
    <w:rsid w:val="00C90ECF"/>
    <w:rsid w:val="00C911D4"/>
    <w:rsid w:val="00C9139B"/>
    <w:rsid w:val="00C91568"/>
    <w:rsid w:val="00C9200F"/>
    <w:rsid w:val="00C92226"/>
    <w:rsid w:val="00C923BE"/>
    <w:rsid w:val="00C92545"/>
    <w:rsid w:val="00C92765"/>
    <w:rsid w:val="00C92C79"/>
    <w:rsid w:val="00C92CDA"/>
    <w:rsid w:val="00C93A77"/>
    <w:rsid w:val="00C93B08"/>
    <w:rsid w:val="00C9403C"/>
    <w:rsid w:val="00C94099"/>
    <w:rsid w:val="00C940A8"/>
    <w:rsid w:val="00C941CC"/>
    <w:rsid w:val="00C941F5"/>
    <w:rsid w:val="00C9428B"/>
    <w:rsid w:val="00C942E7"/>
    <w:rsid w:val="00C94345"/>
    <w:rsid w:val="00C944E1"/>
    <w:rsid w:val="00C94597"/>
    <w:rsid w:val="00C9478D"/>
    <w:rsid w:val="00C94E5D"/>
    <w:rsid w:val="00C952E1"/>
    <w:rsid w:val="00C95513"/>
    <w:rsid w:val="00C95663"/>
    <w:rsid w:val="00C95802"/>
    <w:rsid w:val="00C95ADC"/>
    <w:rsid w:val="00C95EB3"/>
    <w:rsid w:val="00C96152"/>
    <w:rsid w:val="00C969C8"/>
    <w:rsid w:val="00C96AC0"/>
    <w:rsid w:val="00C96BAE"/>
    <w:rsid w:val="00C97068"/>
    <w:rsid w:val="00C9710D"/>
    <w:rsid w:val="00C97508"/>
    <w:rsid w:val="00C979A0"/>
    <w:rsid w:val="00C97D03"/>
    <w:rsid w:val="00CA0013"/>
    <w:rsid w:val="00CA0DF4"/>
    <w:rsid w:val="00CA0DFB"/>
    <w:rsid w:val="00CA0EE2"/>
    <w:rsid w:val="00CA1153"/>
    <w:rsid w:val="00CA1445"/>
    <w:rsid w:val="00CA16C1"/>
    <w:rsid w:val="00CA17CF"/>
    <w:rsid w:val="00CA17E0"/>
    <w:rsid w:val="00CA18F0"/>
    <w:rsid w:val="00CA1A9E"/>
    <w:rsid w:val="00CA1ABF"/>
    <w:rsid w:val="00CA1CBA"/>
    <w:rsid w:val="00CA1FEA"/>
    <w:rsid w:val="00CA21B4"/>
    <w:rsid w:val="00CA25AB"/>
    <w:rsid w:val="00CA2C2A"/>
    <w:rsid w:val="00CA2F1E"/>
    <w:rsid w:val="00CA2F55"/>
    <w:rsid w:val="00CA32E7"/>
    <w:rsid w:val="00CA334A"/>
    <w:rsid w:val="00CA3BFE"/>
    <w:rsid w:val="00CA4689"/>
    <w:rsid w:val="00CA478C"/>
    <w:rsid w:val="00CA47B0"/>
    <w:rsid w:val="00CA47EB"/>
    <w:rsid w:val="00CA49D3"/>
    <w:rsid w:val="00CA4A5D"/>
    <w:rsid w:val="00CA4F14"/>
    <w:rsid w:val="00CA50AB"/>
    <w:rsid w:val="00CA591E"/>
    <w:rsid w:val="00CA593D"/>
    <w:rsid w:val="00CA5AB0"/>
    <w:rsid w:val="00CA60BD"/>
    <w:rsid w:val="00CA6854"/>
    <w:rsid w:val="00CA686F"/>
    <w:rsid w:val="00CA6C3F"/>
    <w:rsid w:val="00CA6F70"/>
    <w:rsid w:val="00CA7859"/>
    <w:rsid w:val="00CA7D01"/>
    <w:rsid w:val="00CB041A"/>
    <w:rsid w:val="00CB05D9"/>
    <w:rsid w:val="00CB06A0"/>
    <w:rsid w:val="00CB072C"/>
    <w:rsid w:val="00CB0D0D"/>
    <w:rsid w:val="00CB0F71"/>
    <w:rsid w:val="00CB0F88"/>
    <w:rsid w:val="00CB10F1"/>
    <w:rsid w:val="00CB120F"/>
    <w:rsid w:val="00CB1351"/>
    <w:rsid w:val="00CB1533"/>
    <w:rsid w:val="00CB1694"/>
    <w:rsid w:val="00CB1BCE"/>
    <w:rsid w:val="00CB2196"/>
    <w:rsid w:val="00CB2628"/>
    <w:rsid w:val="00CB2832"/>
    <w:rsid w:val="00CB2A8A"/>
    <w:rsid w:val="00CB2ED9"/>
    <w:rsid w:val="00CB3867"/>
    <w:rsid w:val="00CB3FC8"/>
    <w:rsid w:val="00CB4963"/>
    <w:rsid w:val="00CB4AD1"/>
    <w:rsid w:val="00CB4E0D"/>
    <w:rsid w:val="00CB5405"/>
    <w:rsid w:val="00CB55F7"/>
    <w:rsid w:val="00CB57D6"/>
    <w:rsid w:val="00CB5C65"/>
    <w:rsid w:val="00CB5CE9"/>
    <w:rsid w:val="00CB5DE8"/>
    <w:rsid w:val="00CB6256"/>
    <w:rsid w:val="00CB6570"/>
    <w:rsid w:val="00CB665F"/>
    <w:rsid w:val="00CB68E7"/>
    <w:rsid w:val="00CB6C3B"/>
    <w:rsid w:val="00CB75B4"/>
    <w:rsid w:val="00CB75DD"/>
    <w:rsid w:val="00CB78C5"/>
    <w:rsid w:val="00CB7A05"/>
    <w:rsid w:val="00CB7EAB"/>
    <w:rsid w:val="00CC01F6"/>
    <w:rsid w:val="00CC0647"/>
    <w:rsid w:val="00CC0E66"/>
    <w:rsid w:val="00CC12BB"/>
    <w:rsid w:val="00CC12D9"/>
    <w:rsid w:val="00CC1F46"/>
    <w:rsid w:val="00CC200C"/>
    <w:rsid w:val="00CC2233"/>
    <w:rsid w:val="00CC317F"/>
    <w:rsid w:val="00CC3283"/>
    <w:rsid w:val="00CC3582"/>
    <w:rsid w:val="00CC359F"/>
    <w:rsid w:val="00CC3AE3"/>
    <w:rsid w:val="00CC3B7A"/>
    <w:rsid w:val="00CC3BFB"/>
    <w:rsid w:val="00CC43CD"/>
    <w:rsid w:val="00CC48E6"/>
    <w:rsid w:val="00CC4917"/>
    <w:rsid w:val="00CC4982"/>
    <w:rsid w:val="00CC4E72"/>
    <w:rsid w:val="00CC5060"/>
    <w:rsid w:val="00CC5F56"/>
    <w:rsid w:val="00CC6328"/>
    <w:rsid w:val="00CC6458"/>
    <w:rsid w:val="00CC70C9"/>
    <w:rsid w:val="00CC711E"/>
    <w:rsid w:val="00CC727C"/>
    <w:rsid w:val="00CC72FB"/>
    <w:rsid w:val="00CC7360"/>
    <w:rsid w:val="00CC7662"/>
    <w:rsid w:val="00CC7DB3"/>
    <w:rsid w:val="00CD0157"/>
    <w:rsid w:val="00CD01F3"/>
    <w:rsid w:val="00CD0282"/>
    <w:rsid w:val="00CD049C"/>
    <w:rsid w:val="00CD0D7D"/>
    <w:rsid w:val="00CD0E2B"/>
    <w:rsid w:val="00CD0E9A"/>
    <w:rsid w:val="00CD0FB3"/>
    <w:rsid w:val="00CD1926"/>
    <w:rsid w:val="00CD1EA3"/>
    <w:rsid w:val="00CD1F49"/>
    <w:rsid w:val="00CD219D"/>
    <w:rsid w:val="00CD2482"/>
    <w:rsid w:val="00CD2655"/>
    <w:rsid w:val="00CD2C91"/>
    <w:rsid w:val="00CD2D45"/>
    <w:rsid w:val="00CD39B7"/>
    <w:rsid w:val="00CD3B37"/>
    <w:rsid w:val="00CD3C12"/>
    <w:rsid w:val="00CD3D0C"/>
    <w:rsid w:val="00CD402E"/>
    <w:rsid w:val="00CD448E"/>
    <w:rsid w:val="00CD47D3"/>
    <w:rsid w:val="00CD4A4B"/>
    <w:rsid w:val="00CD4C3D"/>
    <w:rsid w:val="00CD4E62"/>
    <w:rsid w:val="00CD5323"/>
    <w:rsid w:val="00CD5518"/>
    <w:rsid w:val="00CD552F"/>
    <w:rsid w:val="00CD5686"/>
    <w:rsid w:val="00CD5BC5"/>
    <w:rsid w:val="00CD5F52"/>
    <w:rsid w:val="00CD61DC"/>
    <w:rsid w:val="00CD6350"/>
    <w:rsid w:val="00CD6401"/>
    <w:rsid w:val="00CD657D"/>
    <w:rsid w:val="00CD66B3"/>
    <w:rsid w:val="00CD6AB4"/>
    <w:rsid w:val="00CD6ACA"/>
    <w:rsid w:val="00CD6D2A"/>
    <w:rsid w:val="00CD72B8"/>
    <w:rsid w:val="00CD740C"/>
    <w:rsid w:val="00CD743B"/>
    <w:rsid w:val="00CD75A6"/>
    <w:rsid w:val="00CD77CE"/>
    <w:rsid w:val="00CD7847"/>
    <w:rsid w:val="00CD7B92"/>
    <w:rsid w:val="00CD7CEC"/>
    <w:rsid w:val="00CD7EF8"/>
    <w:rsid w:val="00CE029B"/>
    <w:rsid w:val="00CE07A6"/>
    <w:rsid w:val="00CE0AE3"/>
    <w:rsid w:val="00CE0F8D"/>
    <w:rsid w:val="00CE12DB"/>
    <w:rsid w:val="00CE12F3"/>
    <w:rsid w:val="00CE1B63"/>
    <w:rsid w:val="00CE2364"/>
    <w:rsid w:val="00CE24E0"/>
    <w:rsid w:val="00CE2823"/>
    <w:rsid w:val="00CE2CB3"/>
    <w:rsid w:val="00CE2E1B"/>
    <w:rsid w:val="00CE2E7A"/>
    <w:rsid w:val="00CE2FBC"/>
    <w:rsid w:val="00CE347B"/>
    <w:rsid w:val="00CE35C3"/>
    <w:rsid w:val="00CE3EB2"/>
    <w:rsid w:val="00CE4031"/>
    <w:rsid w:val="00CE426B"/>
    <w:rsid w:val="00CE430E"/>
    <w:rsid w:val="00CE4699"/>
    <w:rsid w:val="00CE48E5"/>
    <w:rsid w:val="00CE50B1"/>
    <w:rsid w:val="00CE5295"/>
    <w:rsid w:val="00CE5673"/>
    <w:rsid w:val="00CE584B"/>
    <w:rsid w:val="00CE594C"/>
    <w:rsid w:val="00CE6181"/>
    <w:rsid w:val="00CE64F1"/>
    <w:rsid w:val="00CE657B"/>
    <w:rsid w:val="00CE67FE"/>
    <w:rsid w:val="00CE6849"/>
    <w:rsid w:val="00CE69DB"/>
    <w:rsid w:val="00CE6AA1"/>
    <w:rsid w:val="00CE6B70"/>
    <w:rsid w:val="00CE6E93"/>
    <w:rsid w:val="00CE7051"/>
    <w:rsid w:val="00CE706A"/>
    <w:rsid w:val="00CE70A3"/>
    <w:rsid w:val="00CE7431"/>
    <w:rsid w:val="00CE7453"/>
    <w:rsid w:val="00CE7BF3"/>
    <w:rsid w:val="00CE7D6E"/>
    <w:rsid w:val="00CF00CD"/>
    <w:rsid w:val="00CF0161"/>
    <w:rsid w:val="00CF05B9"/>
    <w:rsid w:val="00CF0B53"/>
    <w:rsid w:val="00CF0B64"/>
    <w:rsid w:val="00CF1049"/>
    <w:rsid w:val="00CF1D3E"/>
    <w:rsid w:val="00CF1E95"/>
    <w:rsid w:val="00CF1F3F"/>
    <w:rsid w:val="00CF1FDD"/>
    <w:rsid w:val="00CF2081"/>
    <w:rsid w:val="00CF2201"/>
    <w:rsid w:val="00CF2350"/>
    <w:rsid w:val="00CF2457"/>
    <w:rsid w:val="00CF283A"/>
    <w:rsid w:val="00CF2996"/>
    <w:rsid w:val="00CF2DFA"/>
    <w:rsid w:val="00CF2FB2"/>
    <w:rsid w:val="00CF3060"/>
    <w:rsid w:val="00CF34E7"/>
    <w:rsid w:val="00CF35F4"/>
    <w:rsid w:val="00CF36D9"/>
    <w:rsid w:val="00CF38AB"/>
    <w:rsid w:val="00CF47E8"/>
    <w:rsid w:val="00CF4AE2"/>
    <w:rsid w:val="00CF5172"/>
    <w:rsid w:val="00CF5CDE"/>
    <w:rsid w:val="00CF60BD"/>
    <w:rsid w:val="00CF64A4"/>
    <w:rsid w:val="00CF68AA"/>
    <w:rsid w:val="00CF6986"/>
    <w:rsid w:val="00CF6D76"/>
    <w:rsid w:val="00CF7458"/>
    <w:rsid w:val="00CF75A1"/>
    <w:rsid w:val="00CF7732"/>
    <w:rsid w:val="00CF7DE6"/>
    <w:rsid w:val="00CF7FF6"/>
    <w:rsid w:val="00D0024C"/>
    <w:rsid w:val="00D00340"/>
    <w:rsid w:val="00D003A6"/>
    <w:rsid w:val="00D00880"/>
    <w:rsid w:val="00D00B85"/>
    <w:rsid w:val="00D00EE5"/>
    <w:rsid w:val="00D01126"/>
    <w:rsid w:val="00D0112D"/>
    <w:rsid w:val="00D01692"/>
    <w:rsid w:val="00D01BD7"/>
    <w:rsid w:val="00D02277"/>
    <w:rsid w:val="00D028C8"/>
    <w:rsid w:val="00D02DFE"/>
    <w:rsid w:val="00D0338D"/>
    <w:rsid w:val="00D0350A"/>
    <w:rsid w:val="00D0364F"/>
    <w:rsid w:val="00D03700"/>
    <w:rsid w:val="00D03CD8"/>
    <w:rsid w:val="00D03DA3"/>
    <w:rsid w:val="00D04318"/>
    <w:rsid w:val="00D0438A"/>
    <w:rsid w:val="00D047F9"/>
    <w:rsid w:val="00D04DCC"/>
    <w:rsid w:val="00D04ED5"/>
    <w:rsid w:val="00D04F7D"/>
    <w:rsid w:val="00D05012"/>
    <w:rsid w:val="00D0519E"/>
    <w:rsid w:val="00D05518"/>
    <w:rsid w:val="00D05585"/>
    <w:rsid w:val="00D0588E"/>
    <w:rsid w:val="00D060B4"/>
    <w:rsid w:val="00D06689"/>
    <w:rsid w:val="00D067A0"/>
    <w:rsid w:val="00D069A8"/>
    <w:rsid w:val="00D072FC"/>
    <w:rsid w:val="00D075B1"/>
    <w:rsid w:val="00D079A7"/>
    <w:rsid w:val="00D07B04"/>
    <w:rsid w:val="00D07B12"/>
    <w:rsid w:val="00D10C33"/>
    <w:rsid w:val="00D10ED0"/>
    <w:rsid w:val="00D10F62"/>
    <w:rsid w:val="00D111CA"/>
    <w:rsid w:val="00D11216"/>
    <w:rsid w:val="00D1123D"/>
    <w:rsid w:val="00D11275"/>
    <w:rsid w:val="00D1151C"/>
    <w:rsid w:val="00D117E4"/>
    <w:rsid w:val="00D1209C"/>
    <w:rsid w:val="00D120C8"/>
    <w:rsid w:val="00D12518"/>
    <w:rsid w:val="00D127A0"/>
    <w:rsid w:val="00D12949"/>
    <w:rsid w:val="00D12AD3"/>
    <w:rsid w:val="00D12D91"/>
    <w:rsid w:val="00D12DC6"/>
    <w:rsid w:val="00D133BB"/>
    <w:rsid w:val="00D1373E"/>
    <w:rsid w:val="00D13E45"/>
    <w:rsid w:val="00D13F99"/>
    <w:rsid w:val="00D141AE"/>
    <w:rsid w:val="00D14E10"/>
    <w:rsid w:val="00D1749C"/>
    <w:rsid w:val="00D20463"/>
    <w:rsid w:val="00D2072A"/>
    <w:rsid w:val="00D20F7A"/>
    <w:rsid w:val="00D215C2"/>
    <w:rsid w:val="00D2192C"/>
    <w:rsid w:val="00D21982"/>
    <w:rsid w:val="00D21B67"/>
    <w:rsid w:val="00D21BD0"/>
    <w:rsid w:val="00D21D4D"/>
    <w:rsid w:val="00D2208F"/>
    <w:rsid w:val="00D2216E"/>
    <w:rsid w:val="00D22221"/>
    <w:rsid w:val="00D222C2"/>
    <w:rsid w:val="00D22340"/>
    <w:rsid w:val="00D22582"/>
    <w:rsid w:val="00D22CDB"/>
    <w:rsid w:val="00D22D5E"/>
    <w:rsid w:val="00D23B7B"/>
    <w:rsid w:val="00D23FD4"/>
    <w:rsid w:val="00D246A4"/>
    <w:rsid w:val="00D24DE4"/>
    <w:rsid w:val="00D24E9A"/>
    <w:rsid w:val="00D24F8A"/>
    <w:rsid w:val="00D25ADA"/>
    <w:rsid w:val="00D26C97"/>
    <w:rsid w:val="00D273A2"/>
    <w:rsid w:val="00D27445"/>
    <w:rsid w:val="00D27477"/>
    <w:rsid w:val="00D274C7"/>
    <w:rsid w:val="00D27624"/>
    <w:rsid w:val="00D27911"/>
    <w:rsid w:val="00D301A4"/>
    <w:rsid w:val="00D30822"/>
    <w:rsid w:val="00D30A5C"/>
    <w:rsid w:val="00D30EC7"/>
    <w:rsid w:val="00D31270"/>
    <w:rsid w:val="00D3149F"/>
    <w:rsid w:val="00D31576"/>
    <w:rsid w:val="00D315C8"/>
    <w:rsid w:val="00D31A02"/>
    <w:rsid w:val="00D31B42"/>
    <w:rsid w:val="00D31E1B"/>
    <w:rsid w:val="00D31FA1"/>
    <w:rsid w:val="00D32B7E"/>
    <w:rsid w:val="00D32BC9"/>
    <w:rsid w:val="00D32D31"/>
    <w:rsid w:val="00D32FD3"/>
    <w:rsid w:val="00D331EB"/>
    <w:rsid w:val="00D334ED"/>
    <w:rsid w:val="00D3352F"/>
    <w:rsid w:val="00D3408D"/>
    <w:rsid w:val="00D344C0"/>
    <w:rsid w:val="00D34780"/>
    <w:rsid w:val="00D34E0A"/>
    <w:rsid w:val="00D34EAF"/>
    <w:rsid w:val="00D35F4C"/>
    <w:rsid w:val="00D36DCA"/>
    <w:rsid w:val="00D36FD5"/>
    <w:rsid w:val="00D37001"/>
    <w:rsid w:val="00D376DD"/>
    <w:rsid w:val="00D3775D"/>
    <w:rsid w:val="00D3792A"/>
    <w:rsid w:val="00D40150"/>
    <w:rsid w:val="00D40487"/>
    <w:rsid w:val="00D40B3C"/>
    <w:rsid w:val="00D41027"/>
    <w:rsid w:val="00D41180"/>
    <w:rsid w:val="00D41666"/>
    <w:rsid w:val="00D418A4"/>
    <w:rsid w:val="00D41CE0"/>
    <w:rsid w:val="00D41E41"/>
    <w:rsid w:val="00D41E89"/>
    <w:rsid w:val="00D423A7"/>
    <w:rsid w:val="00D42555"/>
    <w:rsid w:val="00D42703"/>
    <w:rsid w:val="00D4276E"/>
    <w:rsid w:val="00D42A13"/>
    <w:rsid w:val="00D42B8B"/>
    <w:rsid w:val="00D42E1A"/>
    <w:rsid w:val="00D43390"/>
    <w:rsid w:val="00D43B56"/>
    <w:rsid w:val="00D44157"/>
    <w:rsid w:val="00D441B7"/>
    <w:rsid w:val="00D44221"/>
    <w:rsid w:val="00D442AB"/>
    <w:rsid w:val="00D4456E"/>
    <w:rsid w:val="00D4479F"/>
    <w:rsid w:val="00D44873"/>
    <w:rsid w:val="00D44A3D"/>
    <w:rsid w:val="00D44BA2"/>
    <w:rsid w:val="00D44D42"/>
    <w:rsid w:val="00D44D4A"/>
    <w:rsid w:val="00D4546C"/>
    <w:rsid w:val="00D45711"/>
    <w:rsid w:val="00D45B12"/>
    <w:rsid w:val="00D45F7A"/>
    <w:rsid w:val="00D469B4"/>
    <w:rsid w:val="00D46E66"/>
    <w:rsid w:val="00D47024"/>
    <w:rsid w:val="00D47264"/>
    <w:rsid w:val="00D47919"/>
    <w:rsid w:val="00D5007E"/>
    <w:rsid w:val="00D50390"/>
    <w:rsid w:val="00D50875"/>
    <w:rsid w:val="00D50B13"/>
    <w:rsid w:val="00D50CAF"/>
    <w:rsid w:val="00D50E49"/>
    <w:rsid w:val="00D51132"/>
    <w:rsid w:val="00D512DE"/>
    <w:rsid w:val="00D513F4"/>
    <w:rsid w:val="00D51903"/>
    <w:rsid w:val="00D51955"/>
    <w:rsid w:val="00D51B4B"/>
    <w:rsid w:val="00D51B93"/>
    <w:rsid w:val="00D51EFB"/>
    <w:rsid w:val="00D52438"/>
    <w:rsid w:val="00D526CC"/>
    <w:rsid w:val="00D529A1"/>
    <w:rsid w:val="00D52A94"/>
    <w:rsid w:val="00D532F3"/>
    <w:rsid w:val="00D53353"/>
    <w:rsid w:val="00D5418A"/>
    <w:rsid w:val="00D549C2"/>
    <w:rsid w:val="00D54C29"/>
    <w:rsid w:val="00D55313"/>
    <w:rsid w:val="00D555A5"/>
    <w:rsid w:val="00D55743"/>
    <w:rsid w:val="00D5586C"/>
    <w:rsid w:val="00D55946"/>
    <w:rsid w:val="00D55D9D"/>
    <w:rsid w:val="00D55F83"/>
    <w:rsid w:val="00D56BE4"/>
    <w:rsid w:val="00D56EAA"/>
    <w:rsid w:val="00D56F15"/>
    <w:rsid w:val="00D5727E"/>
    <w:rsid w:val="00D572B5"/>
    <w:rsid w:val="00D57482"/>
    <w:rsid w:val="00D5760F"/>
    <w:rsid w:val="00D602F6"/>
    <w:rsid w:val="00D6034B"/>
    <w:rsid w:val="00D603C7"/>
    <w:rsid w:val="00D60930"/>
    <w:rsid w:val="00D609A2"/>
    <w:rsid w:val="00D60A44"/>
    <w:rsid w:val="00D60EF7"/>
    <w:rsid w:val="00D614BC"/>
    <w:rsid w:val="00D6193E"/>
    <w:rsid w:val="00D61FEC"/>
    <w:rsid w:val="00D62117"/>
    <w:rsid w:val="00D62E6C"/>
    <w:rsid w:val="00D6350B"/>
    <w:rsid w:val="00D63A99"/>
    <w:rsid w:val="00D63D97"/>
    <w:rsid w:val="00D63FC3"/>
    <w:rsid w:val="00D640E9"/>
    <w:rsid w:val="00D64148"/>
    <w:rsid w:val="00D64972"/>
    <w:rsid w:val="00D64D53"/>
    <w:rsid w:val="00D6500E"/>
    <w:rsid w:val="00D6522C"/>
    <w:rsid w:val="00D65259"/>
    <w:rsid w:val="00D65958"/>
    <w:rsid w:val="00D659D2"/>
    <w:rsid w:val="00D65B93"/>
    <w:rsid w:val="00D65F24"/>
    <w:rsid w:val="00D66379"/>
    <w:rsid w:val="00D66BBB"/>
    <w:rsid w:val="00D67475"/>
    <w:rsid w:val="00D6751F"/>
    <w:rsid w:val="00D67A64"/>
    <w:rsid w:val="00D67BEB"/>
    <w:rsid w:val="00D67C64"/>
    <w:rsid w:val="00D67E52"/>
    <w:rsid w:val="00D7049A"/>
    <w:rsid w:val="00D705C1"/>
    <w:rsid w:val="00D708E1"/>
    <w:rsid w:val="00D70F51"/>
    <w:rsid w:val="00D71435"/>
    <w:rsid w:val="00D717F5"/>
    <w:rsid w:val="00D718C2"/>
    <w:rsid w:val="00D71BDA"/>
    <w:rsid w:val="00D725CD"/>
    <w:rsid w:val="00D72641"/>
    <w:rsid w:val="00D72AC8"/>
    <w:rsid w:val="00D72B14"/>
    <w:rsid w:val="00D734F3"/>
    <w:rsid w:val="00D7363F"/>
    <w:rsid w:val="00D74132"/>
    <w:rsid w:val="00D7423B"/>
    <w:rsid w:val="00D74298"/>
    <w:rsid w:val="00D74655"/>
    <w:rsid w:val="00D748BE"/>
    <w:rsid w:val="00D74A18"/>
    <w:rsid w:val="00D74A73"/>
    <w:rsid w:val="00D75045"/>
    <w:rsid w:val="00D75119"/>
    <w:rsid w:val="00D75439"/>
    <w:rsid w:val="00D754C8"/>
    <w:rsid w:val="00D75843"/>
    <w:rsid w:val="00D75AAC"/>
    <w:rsid w:val="00D75C12"/>
    <w:rsid w:val="00D75F37"/>
    <w:rsid w:val="00D76E33"/>
    <w:rsid w:val="00D76F63"/>
    <w:rsid w:val="00D77360"/>
    <w:rsid w:val="00D773F0"/>
    <w:rsid w:val="00D774A4"/>
    <w:rsid w:val="00D77707"/>
    <w:rsid w:val="00D7780F"/>
    <w:rsid w:val="00D77ACB"/>
    <w:rsid w:val="00D77CC6"/>
    <w:rsid w:val="00D77F10"/>
    <w:rsid w:val="00D802B5"/>
    <w:rsid w:val="00D80328"/>
    <w:rsid w:val="00D80583"/>
    <w:rsid w:val="00D812AC"/>
    <w:rsid w:val="00D818D1"/>
    <w:rsid w:val="00D819A2"/>
    <w:rsid w:val="00D81A6A"/>
    <w:rsid w:val="00D81BE9"/>
    <w:rsid w:val="00D81C49"/>
    <w:rsid w:val="00D81F00"/>
    <w:rsid w:val="00D81F09"/>
    <w:rsid w:val="00D82011"/>
    <w:rsid w:val="00D829A3"/>
    <w:rsid w:val="00D829DD"/>
    <w:rsid w:val="00D82AA9"/>
    <w:rsid w:val="00D82C71"/>
    <w:rsid w:val="00D82D77"/>
    <w:rsid w:val="00D8339E"/>
    <w:rsid w:val="00D83457"/>
    <w:rsid w:val="00D8363F"/>
    <w:rsid w:val="00D83DEF"/>
    <w:rsid w:val="00D83E30"/>
    <w:rsid w:val="00D8418D"/>
    <w:rsid w:val="00D84204"/>
    <w:rsid w:val="00D843F3"/>
    <w:rsid w:val="00D845AE"/>
    <w:rsid w:val="00D8463D"/>
    <w:rsid w:val="00D847C8"/>
    <w:rsid w:val="00D85737"/>
    <w:rsid w:val="00D85CF6"/>
    <w:rsid w:val="00D85D50"/>
    <w:rsid w:val="00D864B2"/>
    <w:rsid w:val="00D86540"/>
    <w:rsid w:val="00D86771"/>
    <w:rsid w:val="00D86AD3"/>
    <w:rsid w:val="00D86B10"/>
    <w:rsid w:val="00D86DB8"/>
    <w:rsid w:val="00D86DE2"/>
    <w:rsid w:val="00D871B2"/>
    <w:rsid w:val="00D872D7"/>
    <w:rsid w:val="00D874BE"/>
    <w:rsid w:val="00D87971"/>
    <w:rsid w:val="00D87EEF"/>
    <w:rsid w:val="00D9001F"/>
    <w:rsid w:val="00D90245"/>
    <w:rsid w:val="00D90762"/>
    <w:rsid w:val="00D908B1"/>
    <w:rsid w:val="00D90A42"/>
    <w:rsid w:val="00D90BF8"/>
    <w:rsid w:val="00D9143B"/>
    <w:rsid w:val="00D91FF4"/>
    <w:rsid w:val="00D920CD"/>
    <w:rsid w:val="00D9221D"/>
    <w:rsid w:val="00D9282A"/>
    <w:rsid w:val="00D92AC8"/>
    <w:rsid w:val="00D92D95"/>
    <w:rsid w:val="00D932B2"/>
    <w:rsid w:val="00D93325"/>
    <w:rsid w:val="00D9369D"/>
    <w:rsid w:val="00D93996"/>
    <w:rsid w:val="00D939CA"/>
    <w:rsid w:val="00D93A24"/>
    <w:rsid w:val="00D93A79"/>
    <w:rsid w:val="00D93AF3"/>
    <w:rsid w:val="00D93C25"/>
    <w:rsid w:val="00D940F7"/>
    <w:rsid w:val="00D943DC"/>
    <w:rsid w:val="00D94473"/>
    <w:rsid w:val="00D946BB"/>
    <w:rsid w:val="00D94788"/>
    <w:rsid w:val="00D94E34"/>
    <w:rsid w:val="00D94F99"/>
    <w:rsid w:val="00D95444"/>
    <w:rsid w:val="00D95585"/>
    <w:rsid w:val="00D958F0"/>
    <w:rsid w:val="00D95A70"/>
    <w:rsid w:val="00D95DD9"/>
    <w:rsid w:val="00D961AC"/>
    <w:rsid w:val="00D961F9"/>
    <w:rsid w:val="00D9630F"/>
    <w:rsid w:val="00D963FA"/>
    <w:rsid w:val="00D972CA"/>
    <w:rsid w:val="00D97357"/>
    <w:rsid w:val="00D9778E"/>
    <w:rsid w:val="00D97937"/>
    <w:rsid w:val="00D97D9A"/>
    <w:rsid w:val="00DA0636"/>
    <w:rsid w:val="00DA08C7"/>
    <w:rsid w:val="00DA09E6"/>
    <w:rsid w:val="00DA0CD5"/>
    <w:rsid w:val="00DA1236"/>
    <w:rsid w:val="00DA1389"/>
    <w:rsid w:val="00DA158A"/>
    <w:rsid w:val="00DA18A6"/>
    <w:rsid w:val="00DA1AEC"/>
    <w:rsid w:val="00DA2192"/>
    <w:rsid w:val="00DA230C"/>
    <w:rsid w:val="00DA2905"/>
    <w:rsid w:val="00DA2A2A"/>
    <w:rsid w:val="00DA2E00"/>
    <w:rsid w:val="00DA30B2"/>
    <w:rsid w:val="00DA31FA"/>
    <w:rsid w:val="00DA363E"/>
    <w:rsid w:val="00DA36F7"/>
    <w:rsid w:val="00DA36FA"/>
    <w:rsid w:val="00DA4436"/>
    <w:rsid w:val="00DA451E"/>
    <w:rsid w:val="00DA49D4"/>
    <w:rsid w:val="00DA4BE1"/>
    <w:rsid w:val="00DA4CEE"/>
    <w:rsid w:val="00DA4E3D"/>
    <w:rsid w:val="00DA55A2"/>
    <w:rsid w:val="00DA56E0"/>
    <w:rsid w:val="00DA5777"/>
    <w:rsid w:val="00DA5AD7"/>
    <w:rsid w:val="00DA5FA4"/>
    <w:rsid w:val="00DA5FB5"/>
    <w:rsid w:val="00DA6431"/>
    <w:rsid w:val="00DA6611"/>
    <w:rsid w:val="00DA6808"/>
    <w:rsid w:val="00DA6967"/>
    <w:rsid w:val="00DA6CF5"/>
    <w:rsid w:val="00DA6D3C"/>
    <w:rsid w:val="00DA714F"/>
    <w:rsid w:val="00DA7C1A"/>
    <w:rsid w:val="00DA7DFD"/>
    <w:rsid w:val="00DA7F16"/>
    <w:rsid w:val="00DB0005"/>
    <w:rsid w:val="00DB0741"/>
    <w:rsid w:val="00DB09E4"/>
    <w:rsid w:val="00DB0FB1"/>
    <w:rsid w:val="00DB1186"/>
    <w:rsid w:val="00DB1361"/>
    <w:rsid w:val="00DB13BF"/>
    <w:rsid w:val="00DB1443"/>
    <w:rsid w:val="00DB17FD"/>
    <w:rsid w:val="00DB1926"/>
    <w:rsid w:val="00DB1B51"/>
    <w:rsid w:val="00DB1DFA"/>
    <w:rsid w:val="00DB220F"/>
    <w:rsid w:val="00DB223B"/>
    <w:rsid w:val="00DB26A1"/>
    <w:rsid w:val="00DB2E21"/>
    <w:rsid w:val="00DB2EC0"/>
    <w:rsid w:val="00DB2F30"/>
    <w:rsid w:val="00DB30DA"/>
    <w:rsid w:val="00DB30E0"/>
    <w:rsid w:val="00DB39FB"/>
    <w:rsid w:val="00DB3CB8"/>
    <w:rsid w:val="00DB3D84"/>
    <w:rsid w:val="00DB40CC"/>
    <w:rsid w:val="00DB40F0"/>
    <w:rsid w:val="00DB4305"/>
    <w:rsid w:val="00DB4334"/>
    <w:rsid w:val="00DB4720"/>
    <w:rsid w:val="00DB4E3C"/>
    <w:rsid w:val="00DB5CDF"/>
    <w:rsid w:val="00DB5D2C"/>
    <w:rsid w:val="00DB5DD6"/>
    <w:rsid w:val="00DB60EA"/>
    <w:rsid w:val="00DB6975"/>
    <w:rsid w:val="00DB69EE"/>
    <w:rsid w:val="00DB6A43"/>
    <w:rsid w:val="00DB6DB4"/>
    <w:rsid w:val="00DB704B"/>
    <w:rsid w:val="00DB7133"/>
    <w:rsid w:val="00DB73C6"/>
    <w:rsid w:val="00DB75AA"/>
    <w:rsid w:val="00DB790C"/>
    <w:rsid w:val="00DB7925"/>
    <w:rsid w:val="00DB7ADC"/>
    <w:rsid w:val="00DB7DC1"/>
    <w:rsid w:val="00DB7E07"/>
    <w:rsid w:val="00DB7FC4"/>
    <w:rsid w:val="00DC01AD"/>
    <w:rsid w:val="00DC0228"/>
    <w:rsid w:val="00DC0AD5"/>
    <w:rsid w:val="00DC0B6A"/>
    <w:rsid w:val="00DC0D57"/>
    <w:rsid w:val="00DC113D"/>
    <w:rsid w:val="00DC1318"/>
    <w:rsid w:val="00DC1633"/>
    <w:rsid w:val="00DC1804"/>
    <w:rsid w:val="00DC1A19"/>
    <w:rsid w:val="00DC23D1"/>
    <w:rsid w:val="00DC2456"/>
    <w:rsid w:val="00DC25AF"/>
    <w:rsid w:val="00DC2704"/>
    <w:rsid w:val="00DC2CFE"/>
    <w:rsid w:val="00DC3356"/>
    <w:rsid w:val="00DC38EB"/>
    <w:rsid w:val="00DC3B1D"/>
    <w:rsid w:val="00DC3E30"/>
    <w:rsid w:val="00DC4045"/>
    <w:rsid w:val="00DC4633"/>
    <w:rsid w:val="00DC4639"/>
    <w:rsid w:val="00DC485C"/>
    <w:rsid w:val="00DC4947"/>
    <w:rsid w:val="00DC5454"/>
    <w:rsid w:val="00DC551B"/>
    <w:rsid w:val="00DC580A"/>
    <w:rsid w:val="00DC5BD7"/>
    <w:rsid w:val="00DC6007"/>
    <w:rsid w:val="00DC610F"/>
    <w:rsid w:val="00DC6518"/>
    <w:rsid w:val="00DC66FE"/>
    <w:rsid w:val="00DC6764"/>
    <w:rsid w:val="00DC7FC8"/>
    <w:rsid w:val="00DCFF44"/>
    <w:rsid w:val="00DD0660"/>
    <w:rsid w:val="00DD078A"/>
    <w:rsid w:val="00DD0988"/>
    <w:rsid w:val="00DD107D"/>
    <w:rsid w:val="00DD11C7"/>
    <w:rsid w:val="00DD11D2"/>
    <w:rsid w:val="00DD171C"/>
    <w:rsid w:val="00DD19A2"/>
    <w:rsid w:val="00DD19CB"/>
    <w:rsid w:val="00DD1A22"/>
    <w:rsid w:val="00DD1D57"/>
    <w:rsid w:val="00DD1D73"/>
    <w:rsid w:val="00DD1EA4"/>
    <w:rsid w:val="00DD24A3"/>
    <w:rsid w:val="00DD251D"/>
    <w:rsid w:val="00DD2829"/>
    <w:rsid w:val="00DD2891"/>
    <w:rsid w:val="00DD2D8F"/>
    <w:rsid w:val="00DD303F"/>
    <w:rsid w:val="00DD329F"/>
    <w:rsid w:val="00DD33C4"/>
    <w:rsid w:val="00DD40B8"/>
    <w:rsid w:val="00DD4150"/>
    <w:rsid w:val="00DD48B2"/>
    <w:rsid w:val="00DD49A0"/>
    <w:rsid w:val="00DD4FC6"/>
    <w:rsid w:val="00DD5302"/>
    <w:rsid w:val="00DD54D8"/>
    <w:rsid w:val="00DD5572"/>
    <w:rsid w:val="00DD5881"/>
    <w:rsid w:val="00DD58CC"/>
    <w:rsid w:val="00DD5AB7"/>
    <w:rsid w:val="00DD5B76"/>
    <w:rsid w:val="00DD5D8B"/>
    <w:rsid w:val="00DD5E8C"/>
    <w:rsid w:val="00DD648F"/>
    <w:rsid w:val="00DD664F"/>
    <w:rsid w:val="00DD72BD"/>
    <w:rsid w:val="00DD750D"/>
    <w:rsid w:val="00DD7534"/>
    <w:rsid w:val="00DD7713"/>
    <w:rsid w:val="00DD7E87"/>
    <w:rsid w:val="00DE019D"/>
    <w:rsid w:val="00DE01E9"/>
    <w:rsid w:val="00DE04A9"/>
    <w:rsid w:val="00DE0BD0"/>
    <w:rsid w:val="00DE128D"/>
    <w:rsid w:val="00DE130A"/>
    <w:rsid w:val="00DE1338"/>
    <w:rsid w:val="00DE1459"/>
    <w:rsid w:val="00DE152F"/>
    <w:rsid w:val="00DE17C8"/>
    <w:rsid w:val="00DE1B51"/>
    <w:rsid w:val="00DE1B8A"/>
    <w:rsid w:val="00DE1C4C"/>
    <w:rsid w:val="00DE1EFD"/>
    <w:rsid w:val="00DE2098"/>
    <w:rsid w:val="00DE268F"/>
    <w:rsid w:val="00DE27CF"/>
    <w:rsid w:val="00DE2B38"/>
    <w:rsid w:val="00DE2E51"/>
    <w:rsid w:val="00DE2F6F"/>
    <w:rsid w:val="00DE2FD7"/>
    <w:rsid w:val="00DE3180"/>
    <w:rsid w:val="00DE3648"/>
    <w:rsid w:val="00DE371F"/>
    <w:rsid w:val="00DE373A"/>
    <w:rsid w:val="00DE3AD8"/>
    <w:rsid w:val="00DE42BA"/>
    <w:rsid w:val="00DE44D9"/>
    <w:rsid w:val="00DE4853"/>
    <w:rsid w:val="00DE4AE4"/>
    <w:rsid w:val="00DE4B3C"/>
    <w:rsid w:val="00DE4B57"/>
    <w:rsid w:val="00DE4D33"/>
    <w:rsid w:val="00DE4FAA"/>
    <w:rsid w:val="00DE52D8"/>
    <w:rsid w:val="00DE52F0"/>
    <w:rsid w:val="00DE563A"/>
    <w:rsid w:val="00DE573B"/>
    <w:rsid w:val="00DE5986"/>
    <w:rsid w:val="00DE5AA0"/>
    <w:rsid w:val="00DE62E3"/>
    <w:rsid w:val="00DE689C"/>
    <w:rsid w:val="00DE693B"/>
    <w:rsid w:val="00DE6BC0"/>
    <w:rsid w:val="00DE78C2"/>
    <w:rsid w:val="00DE7AB0"/>
    <w:rsid w:val="00DE7E9C"/>
    <w:rsid w:val="00DF0636"/>
    <w:rsid w:val="00DF072B"/>
    <w:rsid w:val="00DF095D"/>
    <w:rsid w:val="00DF0FE1"/>
    <w:rsid w:val="00DF105C"/>
    <w:rsid w:val="00DF114E"/>
    <w:rsid w:val="00DF1353"/>
    <w:rsid w:val="00DF18A0"/>
    <w:rsid w:val="00DF19BC"/>
    <w:rsid w:val="00DF1E5B"/>
    <w:rsid w:val="00DF1F9D"/>
    <w:rsid w:val="00DF21DB"/>
    <w:rsid w:val="00DF2282"/>
    <w:rsid w:val="00DF2680"/>
    <w:rsid w:val="00DF26D5"/>
    <w:rsid w:val="00DF2A02"/>
    <w:rsid w:val="00DF2E40"/>
    <w:rsid w:val="00DF3081"/>
    <w:rsid w:val="00DF3312"/>
    <w:rsid w:val="00DF3392"/>
    <w:rsid w:val="00DF3AE1"/>
    <w:rsid w:val="00DF3AEA"/>
    <w:rsid w:val="00DF3DF5"/>
    <w:rsid w:val="00DF3E58"/>
    <w:rsid w:val="00DF3FD2"/>
    <w:rsid w:val="00DF44B5"/>
    <w:rsid w:val="00DF454E"/>
    <w:rsid w:val="00DF465E"/>
    <w:rsid w:val="00DF5019"/>
    <w:rsid w:val="00DF50E3"/>
    <w:rsid w:val="00DF5222"/>
    <w:rsid w:val="00DF5400"/>
    <w:rsid w:val="00DF5CDD"/>
    <w:rsid w:val="00DF5E1E"/>
    <w:rsid w:val="00DF5EAA"/>
    <w:rsid w:val="00DF66BB"/>
    <w:rsid w:val="00DF66F8"/>
    <w:rsid w:val="00DF6A81"/>
    <w:rsid w:val="00DF7091"/>
    <w:rsid w:val="00DF70E2"/>
    <w:rsid w:val="00DF723A"/>
    <w:rsid w:val="00DF74A1"/>
    <w:rsid w:val="00DF77F2"/>
    <w:rsid w:val="00E0024A"/>
    <w:rsid w:val="00E004A1"/>
    <w:rsid w:val="00E00530"/>
    <w:rsid w:val="00E00556"/>
    <w:rsid w:val="00E00877"/>
    <w:rsid w:val="00E015EC"/>
    <w:rsid w:val="00E01715"/>
    <w:rsid w:val="00E01A72"/>
    <w:rsid w:val="00E01CFF"/>
    <w:rsid w:val="00E02666"/>
    <w:rsid w:val="00E027DE"/>
    <w:rsid w:val="00E029EE"/>
    <w:rsid w:val="00E02FD0"/>
    <w:rsid w:val="00E030E3"/>
    <w:rsid w:val="00E03D43"/>
    <w:rsid w:val="00E03F5B"/>
    <w:rsid w:val="00E0409B"/>
    <w:rsid w:val="00E04292"/>
    <w:rsid w:val="00E042CE"/>
    <w:rsid w:val="00E04435"/>
    <w:rsid w:val="00E04881"/>
    <w:rsid w:val="00E04A99"/>
    <w:rsid w:val="00E04AFD"/>
    <w:rsid w:val="00E04FC8"/>
    <w:rsid w:val="00E050E9"/>
    <w:rsid w:val="00E05117"/>
    <w:rsid w:val="00E0517A"/>
    <w:rsid w:val="00E05849"/>
    <w:rsid w:val="00E059F4"/>
    <w:rsid w:val="00E05C4F"/>
    <w:rsid w:val="00E05CA9"/>
    <w:rsid w:val="00E05F81"/>
    <w:rsid w:val="00E05FFB"/>
    <w:rsid w:val="00E06517"/>
    <w:rsid w:val="00E0673C"/>
    <w:rsid w:val="00E06877"/>
    <w:rsid w:val="00E068CA"/>
    <w:rsid w:val="00E06AD4"/>
    <w:rsid w:val="00E06C6C"/>
    <w:rsid w:val="00E07066"/>
    <w:rsid w:val="00E0714B"/>
    <w:rsid w:val="00E0716E"/>
    <w:rsid w:val="00E0777A"/>
    <w:rsid w:val="00E07A81"/>
    <w:rsid w:val="00E07C93"/>
    <w:rsid w:val="00E1008F"/>
    <w:rsid w:val="00E105A9"/>
    <w:rsid w:val="00E10D01"/>
    <w:rsid w:val="00E116BF"/>
    <w:rsid w:val="00E11A87"/>
    <w:rsid w:val="00E11CED"/>
    <w:rsid w:val="00E11D6A"/>
    <w:rsid w:val="00E11E95"/>
    <w:rsid w:val="00E11F8E"/>
    <w:rsid w:val="00E11F95"/>
    <w:rsid w:val="00E12009"/>
    <w:rsid w:val="00E12619"/>
    <w:rsid w:val="00E12DA0"/>
    <w:rsid w:val="00E1320A"/>
    <w:rsid w:val="00E137A4"/>
    <w:rsid w:val="00E13CC8"/>
    <w:rsid w:val="00E141F1"/>
    <w:rsid w:val="00E1476C"/>
    <w:rsid w:val="00E15161"/>
    <w:rsid w:val="00E15262"/>
    <w:rsid w:val="00E152C1"/>
    <w:rsid w:val="00E1531B"/>
    <w:rsid w:val="00E153CD"/>
    <w:rsid w:val="00E155E1"/>
    <w:rsid w:val="00E1585A"/>
    <w:rsid w:val="00E15CA2"/>
    <w:rsid w:val="00E160B7"/>
    <w:rsid w:val="00E1628E"/>
    <w:rsid w:val="00E162EE"/>
    <w:rsid w:val="00E1652E"/>
    <w:rsid w:val="00E16905"/>
    <w:rsid w:val="00E16B0A"/>
    <w:rsid w:val="00E16C91"/>
    <w:rsid w:val="00E16D63"/>
    <w:rsid w:val="00E16E79"/>
    <w:rsid w:val="00E17244"/>
    <w:rsid w:val="00E17725"/>
    <w:rsid w:val="00E17D1D"/>
    <w:rsid w:val="00E17FB0"/>
    <w:rsid w:val="00E205D0"/>
    <w:rsid w:val="00E20767"/>
    <w:rsid w:val="00E20826"/>
    <w:rsid w:val="00E20B7C"/>
    <w:rsid w:val="00E20FE3"/>
    <w:rsid w:val="00E210D3"/>
    <w:rsid w:val="00E21A12"/>
    <w:rsid w:val="00E21A86"/>
    <w:rsid w:val="00E21AC5"/>
    <w:rsid w:val="00E227B1"/>
    <w:rsid w:val="00E22989"/>
    <w:rsid w:val="00E22C16"/>
    <w:rsid w:val="00E22F58"/>
    <w:rsid w:val="00E22F6A"/>
    <w:rsid w:val="00E234B3"/>
    <w:rsid w:val="00E2388E"/>
    <w:rsid w:val="00E23C98"/>
    <w:rsid w:val="00E23E04"/>
    <w:rsid w:val="00E240CB"/>
    <w:rsid w:val="00E24537"/>
    <w:rsid w:val="00E24AD8"/>
    <w:rsid w:val="00E24B0E"/>
    <w:rsid w:val="00E24F59"/>
    <w:rsid w:val="00E24FF5"/>
    <w:rsid w:val="00E25389"/>
    <w:rsid w:val="00E257C2"/>
    <w:rsid w:val="00E25985"/>
    <w:rsid w:val="00E2635F"/>
    <w:rsid w:val="00E264FA"/>
    <w:rsid w:val="00E26BA4"/>
    <w:rsid w:val="00E26C39"/>
    <w:rsid w:val="00E26D6F"/>
    <w:rsid w:val="00E2734A"/>
    <w:rsid w:val="00E27484"/>
    <w:rsid w:val="00E27620"/>
    <w:rsid w:val="00E27BA0"/>
    <w:rsid w:val="00E30349"/>
    <w:rsid w:val="00E307B0"/>
    <w:rsid w:val="00E30DD1"/>
    <w:rsid w:val="00E30E5A"/>
    <w:rsid w:val="00E30FB3"/>
    <w:rsid w:val="00E31893"/>
    <w:rsid w:val="00E31D6E"/>
    <w:rsid w:val="00E32034"/>
    <w:rsid w:val="00E3205C"/>
    <w:rsid w:val="00E32D67"/>
    <w:rsid w:val="00E33144"/>
    <w:rsid w:val="00E335F5"/>
    <w:rsid w:val="00E33722"/>
    <w:rsid w:val="00E33771"/>
    <w:rsid w:val="00E33D0B"/>
    <w:rsid w:val="00E33ECA"/>
    <w:rsid w:val="00E343CA"/>
    <w:rsid w:val="00E3446C"/>
    <w:rsid w:val="00E3458A"/>
    <w:rsid w:val="00E34785"/>
    <w:rsid w:val="00E348DE"/>
    <w:rsid w:val="00E34B8F"/>
    <w:rsid w:val="00E34DE4"/>
    <w:rsid w:val="00E34F00"/>
    <w:rsid w:val="00E34F34"/>
    <w:rsid w:val="00E35096"/>
    <w:rsid w:val="00E35530"/>
    <w:rsid w:val="00E35833"/>
    <w:rsid w:val="00E35A95"/>
    <w:rsid w:val="00E35CC7"/>
    <w:rsid w:val="00E36623"/>
    <w:rsid w:val="00E3684B"/>
    <w:rsid w:val="00E369C5"/>
    <w:rsid w:val="00E36BA5"/>
    <w:rsid w:val="00E40002"/>
    <w:rsid w:val="00E40070"/>
    <w:rsid w:val="00E40088"/>
    <w:rsid w:val="00E40144"/>
    <w:rsid w:val="00E40660"/>
    <w:rsid w:val="00E406F5"/>
    <w:rsid w:val="00E40882"/>
    <w:rsid w:val="00E40A59"/>
    <w:rsid w:val="00E41299"/>
    <w:rsid w:val="00E418C9"/>
    <w:rsid w:val="00E418D4"/>
    <w:rsid w:val="00E4194B"/>
    <w:rsid w:val="00E4197E"/>
    <w:rsid w:val="00E41A80"/>
    <w:rsid w:val="00E41DBD"/>
    <w:rsid w:val="00E42AB1"/>
    <w:rsid w:val="00E42FC5"/>
    <w:rsid w:val="00E43041"/>
    <w:rsid w:val="00E4352C"/>
    <w:rsid w:val="00E43752"/>
    <w:rsid w:val="00E43978"/>
    <w:rsid w:val="00E43A18"/>
    <w:rsid w:val="00E43A7F"/>
    <w:rsid w:val="00E43DA7"/>
    <w:rsid w:val="00E43DAC"/>
    <w:rsid w:val="00E43FDC"/>
    <w:rsid w:val="00E44119"/>
    <w:rsid w:val="00E44372"/>
    <w:rsid w:val="00E444C3"/>
    <w:rsid w:val="00E446D3"/>
    <w:rsid w:val="00E44B3B"/>
    <w:rsid w:val="00E44B98"/>
    <w:rsid w:val="00E44C84"/>
    <w:rsid w:val="00E44FF3"/>
    <w:rsid w:val="00E45987"/>
    <w:rsid w:val="00E45993"/>
    <w:rsid w:val="00E459C3"/>
    <w:rsid w:val="00E45D6C"/>
    <w:rsid w:val="00E46182"/>
    <w:rsid w:val="00E462AD"/>
    <w:rsid w:val="00E469DC"/>
    <w:rsid w:val="00E46CB0"/>
    <w:rsid w:val="00E46DE0"/>
    <w:rsid w:val="00E4718F"/>
    <w:rsid w:val="00E47CC9"/>
    <w:rsid w:val="00E47EC7"/>
    <w:rsid w:val="00E47FF1"/>
    <w:rsid w:val="00E47FF7"/>
    <w:rsid w:val="00E50066"/>
    <w:rsid w:val="00E504BA"/>
    <w:rsid w:val="00E50A8D"/>
    <w:rsid w:val="00E50EAD"/>
    <w:rsid w:val="00E51065"/>
    <w:rsid w:val="00E51303"/>
    <w:rsid w:val="00E513CE"/>
    <w:rsid w:val="00E51627"/>
    <w:rsid w:val="00E51AAD"/>
    <w:rsid w:val="00E51CBA"/>
    <w:rsid w:val="00E51DA1"/>
    <w:rsid w:val="00E51EBE"/>
    <w:rsid w:val="00E520D4"/>
    <w:rsid w:val="00E522E8"/>
    <w:rsid w:val="00E528BB"/>
    <w:rsid w:val="00E52C28"/>
    <w:rsid w:val="00E53150"/>
    <w:rsid w:val="00E538E9"/>
    <w:rsid w:val="00E5394C"/>
    <w:rsid w:val="00E53E3A"/>
    <w:rsid w:val="00E546C4"/>
    <w:rsid w:val="00E54BF4"/>
    <w:rsid w:val="00E54EA1"/>
    <w:rsid w:val="00E55580"/>
    <w:rsid w:val="00E55729"/>
    <w:rsid w:val="00E5580B"/>
    <w:rsid w:val="00E559BD"/>
    <w:rsid w:val="00E55C99"/>
    <w:rsid w:val="00E5623E"/>
    <w:rsid w:val="00E5660B"/>
    <w:rsid w:val="00E5662E"/>
    <w:rsid w:val="00E5683F"/>
    <w:rsid w:val="00E56934"/>
    <w:rsid w:val="00E56938"/>
    <w:rsid w:val="00E569D2"/>
    <w:rsid w:val="00E56AA3"/>
    <w:rsid w:val="00E56BDD"/>
    <w:rsid w:val="00E56CB0"/>
    <w:rsid w:val="00E56D55"/>
    <w:rsid w:val="00E56F8C"/>
    <w:rsid w:val="00E572A0"/>
    <w:rsid w:val="00E573C7"/>
    <w:rsid w:val="00E5743E"/>
    <w:rsid w:val="00E575CC"/>
    <w:rsid w:val="00E575F5"/>
    <w:rsid w:val="00E57661"/>
    <w:rsid w:val="00E57760"/>
    <w:rsid w:val="00E57915"/>
    <w:rsid w:val="00E57F2D"/>
    <w:rsid w:val="00E6019F"/>
    <w:rsid w:val="00E601B5"/>
    <w:rsid w:val="00E602DA"/>
    <w:rsid w:val="00E602F6"/>
    <w:rsid w:val="00E60326"/>
    <w:rsid w:val="00E60498"/>
    <w:rsid w:val="00E604A2"/>
    <w:rsid w:val="00E607B3"/>
    <w:rsid w:val="00E608CE"/>
    <w:rsid w:val="00E61039"/>
    <w:rsid w:val="00E610A2"/>
    <w:rsid w:val="00E6117A"/>
    <w:rsid w:val="00E612E7"/>
    <w:rsid w:val="00E61573"/>
    <w:rsid w:val="00E6157E"/>
    <w:rsid w:val="00E6180C"/>
    <w:rsid w:val="00E618E6"/>
    <w:rsid w:val="00E619CA"/>
    <w:rsid w:val="00E61A16"/>
    <w:rsid w:val="00E626C9"/>
    <w:rsid w:val="00E62987"/>
    <w:rsid w:val="00E62EDF"/>
    <w:rsid w:val="00E62FD3"/>
    <w:rsid w:val="00E62FE8"/>
    <w:rsid w:val="00E62FF3"/>
    <w:rsid w:val="00E6380B"/>
    <w:rsid w:val="00E64852"/>
    <w:rsid w:val="00E648C4"/>
    <w:rsid w:val="00E648CB"/>
    <w:rsid w:val="00E648CC"/>
    <w:rsid w:val="00E64963"/>
    <w:rsid w:val="00E64C8E"/>
    <w:rsid w:val="00E64F67"/>
    <w:rsid w:val="00E65221"/>
    <w:rsid w:val="00E65449"/>
    <w:rsid w:val="00E656A8"/>
    <w:rsid w:val="00E65704"/>
    <w:rsid w:val="00E65991"/>
    <w:rsid w:val="00E65E08"/>
    <w:rsid w:val="00E66C1A"/>
    <w:rsid w:val="00E66C31"/>
    <w:rsid w:val="00E66D4D"/>
    <w:rsid w:val="00E66EAE"/>
    <w:rsid w:val="00E66F96"/>
    <w:rsid w:val="00E672A4"/>
    <w:rsid w:val="00E673AF"/>
    <w:rsid w:val="00E67708"/>
    <w:rsid w:val="00E677A1"/>
    <w:rsid w:val="00E6784B"/>
    <w:rsid w:val="00E67943"/>
    <w:rsid w:val="00E7012D"/>
    <w:rsid w:val="00E7021A"/>
    <w:rsid w:val="00E70392"/>
    <w:rsid w:val="00E7053A"/>
    <w:rsid w:val="00E71331"/>
    <w:rsid w:val="00E71398"/>
    <w:rsid w:val="00E71418"/>
    <w:rsid w:val="00E71EA2"/>
    <w:rsid w:val="00E72054"/>
    <w:rsid w:val="00E723AB"/>
    <w:rsid w:val="00E725BB"/>
    <w:rsid w:val="00E72718"/>
    <w:rsid w:val="00E72879"/>
    <w:rsid w:val="00E72CCF"/>
    <w:rsid w:val="00E72E38"/>
    <w:rsid w:val="00E72FA2"/>
    <w:rsid w:val="00E730EE"/>
    <w:rsid w:val="00E7312B"/>
    <w:rsid w:val="00E73434"/>
    <w:rsid w:val="00E73466"/>
    <w:rsid w:val="00E735D4"/>
    <w:rsid w:val="00E7363A"/>
    <w:rsid w:val="00E73846"/>
    <w:rsid w:val="00E7385E"/>
    <w:rsid w:val="00E7391E"/>
    <w:rsid w:val="00E73AA4"/>
    <w:rsid w:val="00E73C63"/>
    <w:rsid w:val="00E73CF5"/>
    <w:rsid w:val="00E73E3B"/>
    <w:rsid w:val="00E741AC"/>
    <w:rsid w:val="00E741C6"/>
    <w:rsid w:val="00E74550"/>
    <w:rsid w:val="00E746F9"/>
    <w:rsid w:val="00E748A4"/>
    <w:rsid w:val="00E748BA"/>
    <w:rsid w:val="00E749C9"/>
    <w:rsid w:val="00E74B77"/>
    <w:rsid w:val="00E74C2E"/>
    <w:rsid w:val="00E74E95"/>
    <w:rsid w:val="00E752CC"/>
    <w:rsid w:val="00E754B4"/>
    <w:rsid w:val="00E756BF"/>
    <w:rsid w:val="00E7581B"/>
    <w:rsid w:val="00E75877"/>
    <w:rsid w:val="00E75CC8"/>
    <w:rsid w:val="00E76091"/>
    <w:rsid w:val="00E76220"/>
    <w:rsid w:val="00E76643"/>
    <w:rsid w:val="00E7688D"/>
    <w:rsid w:val="00E7700A"/>
    <w:rsid w:val="00E7715D"/>
    <w:rsid w:val="00E77F09"/>
    <w:rsid w:val="00E77F8F"/>
    <w:rsid w:val="00E8030E"/>
    <w:rsid w:val="00E803D7"/>
    <w:rsid w:val="00E81127"/>
    <w:rsid w:val="00E812FD"/>
    <w:rsid w:val="00E81B36"/>
    <w:rsid w:val="00E81FF6"/>
    <w:rsid w:val="00E82022"/>
    <w:rsid w:val="00E82348"/>
    <w:rsid w:val="00E824DE"/>
    <w:rsid w:val="00E82550"/>
    <w:rsid w:val="00E82B55"/>
    <w:rsid w:val="00E82BF2"/>
    <w:rsid w:val="00E82C5F"/>
    <w:rsid w:val="00E82D62"/>
    <w:rsid w:val="00E8301E"/>
    <w:rsid w:val="00E83083"/>
    <w:rsid w:val="00E831EA"/>
    <w:rsid w:val="00E83556"/>
    <w:rsid w:val="00E839FD"/>
    <w:rsid w:val="00E83A09"/>
    <w:rsid w:val="00E83FF2"/>
    <w:rsid w:val="00E84290"/>
    <w:rsid w:val="00E843C6"/>
    <w:rsid w:val="00E843D8"/>
    <w:rsid w:val="00E8493A"/>
    <w:rsid w:val="00E8496E"/>
    <w:rsid w:val="00E84BD5"/>
    <w:rsid w:val="00E852F9"/>
    <w:rsid w:val="00E85756"/>
    <w:rsid w:val="00E85CB3"/>
    <w:rsid w:val="00E85D06"/>
    <w:rsid w:val="00E85E0B"/>
    <w:rsid w:val="00E85FD9"/>
    <w:rsid w:val="00E861D5"/>
    <w:rsid w:val="00E8659D"/>
    <w:rsid w:val="00E86615"/>
    <w:rsid w:val="00E86BD0"/>
    <w:rsid w:val="00E86C24"/>
    <w:rsid w:val="00E86E7E"/>
    <w:rsid w:val="00E87035"/>
    <w:rsid w:val="00E87083"/>
    <w:rsid w:val="00E876E7"/>
    <w:rsid w:val="00E87791"/>
    <w:rsid w:val="00E87842"/>
    <w:rsid w:val="00E879B9"/>
    <w:rsid w:val="00E9059E"/>
    <w:rsid w:val="00E90EC1"/>
    <w:rsid w:val="00E91608"/>
    <w:rsid w:val="00E91F7E"/>
    <w:rsid w:val="00E9215D"/>
    <w:rsid w:val="00E923E7"/>
    <w:rsid w:val="00E9297E"/>
    <w:rsid w:val="00E92B17"/>
    <w:rsid w:val="00E92D04"/>
    <w:rsid w:val="00E92DA1"/>
    <w:rsid w:val="00E92F63"/>
    <w:rsid w:val="00E931E4"/>
    <w:rsid w:val="00E9331B"/>
    <w:rsid w:val="00E933C3"/>
    <w:rsid w:val="00E936EF"/>
    <w:rsid w:val="00E938B6"/>
    <w:rsid w:val="00E94089"/>
    <w:rsid w:val="00E94275"/>
    <w:rsid w:val="00E94482"/>
    <w:rsid w:val="00E9484D"/>
    <w:rsid w:val="00E94C52"/>
    <w:rsid w:val="00E94D87"/>
    <w:rsid w:val="00E955DE"/>
    <w:rsid w:val="00E956CE"/>
    <w:rsid w:val="00E959B2"/>
    <w:rsid w:val="00E95D82"/>
    <w:rsid w:val="00E95FA4"/>
    <w:rsid w:val="00E96839"/>
    <w:rsid w:val="00E968A7"/>
    <w:rsid w:val="00E96E93"/>
    <w:rsid w:val="00E9711D"/>
    <w:rsid w:val="00E97515"/>
    <w:rsid w:val="00E977AA"/>
    <w:rsid w:val="00E9786A"/>
    <w:rsid w:val="00E97A98"/>
    <w:rsid w:val="00E97CCF"/>
    <w:rsid w:val="00EA0068"/>
    <w:rsid w:val="00EA01AE"/>
    <w:rsid w:val="00EA0877"/>
    <w:rsid w:val="00EA0C42"/>
    <w:rsid w:val="00EA0EF9"/>
    <w:rsid w:val="00EA0F6F"/>
    <w:rsid w:val="00EA1222"/>
    <w:rsid w:val="00EA1447"/>
    <w:rsid w:val="00EA1841"/>
    <w:rsid w:val="00EA187C"/>
    <w:rsid w:val="00EA1913"/>
    <w:rsid w:val="00EA1938"/>
    <w:rsid w:val="00EA19CA"/>
    <w:rsid w:val="00EA1D6B"/>
    <w:rsid w:val="00EA1E22"/>
    <w:rsid w:val="00EA2292"/>
    <w:rsid w:val="00EA2AC2"/>
    <w:rsid w:val="00EA31F9"/>
    <w:rsid w:val="00EA32B8"/>
    <w:rsid w:val="00EA3566"/>
    <w:rsid w:val="00EA35BB"/>
    <w:rsid w:val="00EA3DD2"/>
    <w:rsid w:val="00EA3FC7"/>
    <w:rsid w:val="00EA405F"/>
    <w:rsid w:val="00EA4481"/>
    <w:rsid w:val="00EA449E"/>
    <w:rsid w:val="00EA4837"/>
    <w:rsid w:val="00EA4952"/>
    <w:rsid w:val="00EA4ABB"/>
    <w:rsid w:val="00EA4D51"/>
    <w:rsid w:val="00EA52C4"/>
    <w:rsid w:val="00EA53D2"/>
    <w:rsid w:val="00EA5875"/>
    <w:rsid w:val="00EA5C62"/>
    <w:rsid w:val="00EA5F9F"/>
    <w:rsid w:val="00EA5FA7"/>
    <w:rsid w:val="00EA6179"/>
    <w:rsid w:val="00EA67D4"/>
    <w:rsid w:val="00EA6B60"/>
    <w:rsid w:val="00EA6FEB"/>
    <w:rsid w:val="00EA7225"/>
    <w:rsid w:val="00EA746F"/>
    <w:rsid w:val="00EA7496"/>
    <w:rsid w:val="00EA7575"/>
    <w:rsid w:val="00EA7705"/>
    <w:rsid w:val="00EA7F53"/>
    <w:rsid w:val="00EB021D"/>
    <w:rsid w:val="00EB043A"/>
    <w:rsid w:val="00EB04D4"/>
    <w:rsid w:val="00EB07CB"/>
    <w:rsid w:val="00EB085D"/>
    <w:rsid w:val="00EB0966"/>
    <w:rsid w:val="00EB098E"/>
    <w:rsid w:val="00EB0ABA"/>
    <w:rsid w:val="00EB0B79"/>
    <w:rsid w:val="00EB10A1"/>
    <w:rsid w:val="00EB11EB"/>
    <w:rsid w:val="00EB133C"/>
    <w:rsid w:val="00EB15D8"/>
    <w:rsid w:val="00EB195D"/>
    <w:rsid w:val="00EB1BE5"/>
    <w:rsid w:val="00EB1C90"/>
    <w:rsid w:val="00EB203F"/>
    <w:rsid w:val="00EB269B"/>
    <w:rsid w:val="00EB279A"/>
    <w:rsid w:val="00EB282E"/>
    <w:rsid w:val="00EB2954"/>
    <w:rsid w:val="00EB2AA6"/>
    <w:rsid w:val="00EB2C86"/>
    <w:rsid w:val="00EB2CDA"/>
    <w:rsid w:val="00EB3232"/>
    <w:rsid w:val="00EB3574"/>
    <w:rsid w:val="00EB35CC"/>
    <w:rsid w:val="00EB3676"/>
    <w:rsid w:val="00EB36A4"/>
    <w:rsid w:val="00EB40C4"/>
    <w:rsid w:val="00EB41D0"/>
    <w:rsid w:val="00EB45F5"/>
    <w:rsid w:val="00EB47E6"/>
    <w:rsid w:val="00EB48E9"/>
    <w:rsid w:val="00EB49C2"/>
    <w:rsid w:val="00EB5156"/>
    <w:rsid w:val="00EB5178"/>
    <w:rsid w:val="00EB5267"/>
    <w:rsid w:val="00EB5884"/>
    <w:rsid w:val="00EB5BFF"/>
    <w:rsid w:val="00EB5C8F"/>
    <w:rsid w:val="00EB5F19"/>
    <w:rsid w:val="00EB5F54"/>
    <w:rsid w:val="00EB5F73"/>
    <w:rsid w:val="00EB6182"/>
    <w:rsid w:val="00EB61BE"/>
    <w:rsid w:val="00EB64E0"/>
    <w:rsid w:val="00EB65E3"/>
    <w:rsid w:val="00EB66A8"/>
    <w:rsid w:val="00EB6A0B"/>
    <w:rsid w:val="00EB6C16"/>
    <w:rsid w:val="00EB6EAC"/>
    <w:rsid w:val="00EB74BE"/>
    <w:rsid w:val="00EB76BE"/>
    <w:rsid w:val="00EB7C86"/>
    <w:rsid w:val="00EB7E18"/>
    <w:rsid w:val="00EC066A"/>
    <w:rsid w:val="00EC0745"/>
    <w:rsid w:val="00EC0A43"/>
    <w:rsid w:val="00EC0EF7"/>
    <w:rsid w:val="00EC1350"/>
    <w:rsid w:val="00EC140B"/>
    <w:rsid w:val="00EC14C4"/>
    <w:rsid w:val="00EC1870"/>
    <w:rsid w:val="00EC1A3E"/>
    <w:rsid w:val="00EC2065"/>
    <w:rsid w:val="00EC32E0"/>
    <w:rsid w:val="00EC3385"/>
    <w:rsid w:val="00EC366F"/>
    <w:rsid w:val="00EC39E2"/>
    <w:rsid w:val="00EC3C4F"/>
    <w:rsid w:val="00EC3C95"/>
    <w:rsid w:val="00EC47AE"/>
    <w:rsid w:val="00EC4840"/>
    <w:rsid w:val="00EC4A3F"/>
    <w:rsid w:val="00EC4A68"/>
    <w:rsid w:val="00EC5A1A"/>
    <w:rsid w:val="00EC5A7F"/>
    <w:rsid w:val="00EC6122"/>
    <w:rsid w:val="00EC6249"/>
    <w:rsid w:val="00EC6EAC"/>
    <w:rsid w:val="00EC7011"/>
    <w:rsid w:val="00EC7469"/>
    <w:rsid w:val="00EC75C2"/>
    <w:rsid w:val="00EC785F"/>
    <w:rsid w:val="00EC7C23"/>
    <w:rsid w:val="00EC7FDD"/>
    <w:rsid w:val="00ED0C20"/>
    <w:rsid w:val="00ED0EA3"/>
    <w:rsid w:val="00ED1244"/>
    <w:rsid w:val="00ED15EA"/>
    <w:rsid w:val="00ED17AB"/>
    <w:rsid w:val="00ED19B9"/>
    <w:rsid w:val="00ED2A41"/>
    <w:rsid w:val="00ED2EAB"/>
    <w:rsid w:val="00ED3328"/>
    <w:rsid w:val="00ED34B3"/>
    <w:rsid w:val="00ED35E5"/>
    <w:rsid w:val="00ED3BCD"/>
    <w:rsid w:val="00ED4335"/>
    <w:rsid w:val="00ED446C"/>
    <w:rsid w:val="00ED4886"/>
    <w:rsid w:val="00ED4C6F"/>
    <w:rsid w:val="00ED4E7B"/>
    <w:rsid w:val="00ED5004"/>
    <w:rsid w:val="00ED5075"/>
    <w:rsid w:val="00ED50E9"/>
    <w:rsid w:val="00ED50F8"/>
    <w:rsid w:val="00ED5237"/>
    <w:rsid w:val="00ED55AA"/>
    <w:rsid w:val="00ED6776"/>
    <w:rsid w:val="00ED69DE"/>
    <w:rsid w:val="00ED6A88"/>
    <w:rsid w:val="00ED6ADC"/>
    <w:rsid w:val="00ED6E00"/>
    <w:rsid w:val="00ED7097"/>
    <w:rsid w:val="00ED713F"/>
    <w:rsid w:val="00ED7215"/>
    <w:rsid w:val="00ED72C4"/>
    <w:rsid w:val="00ED7708"/>
    <w:rsid w:val="00ED7A65"/>
    <w:rsid w:val="00ED7DFA"/>
    <w:rsid w:val="00ED7ED2"/>
    <w:rsid w:val="00ED7EF2"/>
    <w:rsid w:val="00ED7F88"/>
    <w:rsid w:val="00EE00FB"/>
    <w:rsid w:val="00EE01C1"/>
    <w:rsid w:val="00EE0850"/>
    <w:rsid w:val="00EE0940"/>
    <w:rsid w:val="00EE0E0F"/>
    <w:rsid w:val="00EE0FA7"/>
    <w:rsid w:val="00EE13FC"/>
    <w:rsid w:val="00EE1538"/>
    <w:rsid w:val="00EE1A42"/>
    <w:rsid w:val="00EE1A7A"/>
    <w:rsid w:val="00EE1AB5"/>
    <w:rsid w:val="00EE1C63"/>
    <w:rsid w:val="00EE1C7F"/>
    <w:rsid w:val="00EE1F84"/>
    <w:rsid w:val="00EE20F5"/>
    <w:rsid w:val="00EE23BE"/>
    <w:rsid w:val="00EE2449"/>
    <w:rsid w:val="00EE3063"/>
    <w:rsid w:val="00EE30AC"/>
    <w:rsid w:val="00EE325F"/>
    <w:rsid w:val="00EE3549"/>
    <w:rsid w:val="00EE3A7C"/>
    <w:rsid w:val="00EE3B81"/>
    <w:rsid w:val="00EE44C8"/>
    <w:rsid w:val="00EE454C"/>
    <w:rsid w:val="00EE4E27"/>
    <w:rsid w:val="00EE4F58"/>
    <w:rsid w:val="00EE51EB"/>
    <w:rsid w:val="00EE5204"/>
    <w:rsid w:val="00EE5481"/>
    <w:rsid w:val="00EE5844"/>
    <w:rsid w:val="00EE5939"/>
    <w:rsid w:val="00EE5ECD"/>
    <w:rsid w:val="00EE6135"/>
    <w:rsid w:val="00EE616E"/>
    <w:rsid w:val="00EE6907"/>
    <w:rsid w:val="00EE708B"/>
    <w:rsid w:val="00EE722C"/>
    <w:rsid w:val="00EE72BA"/>
    <w:rsid w:val="00EE77E3"/>
    <w:rsid w:val="00EE7951"/>
    <w:rsid w:val="00EF02E5"/>
    <w:rsid w:val="00EF081E"/>
    <w:rsid w:val="00EF1333"/>
    <w:rsid w:val="00EF1431"/>
    <w:rsid w:val="00EF15E9"/>
    <w:rsid w:val="00EF19CE"/>
    <w:rsid w:val="00EF1C24"/>
    <w:rsid w:val="00EF1F70"/>
    <w:rsid w:val="00EF24B4"/>
    <w:rsid w:val="00EF2509"/>
    <w:rsid w:val="00EF2797"/>
    <w:rsid w:val="00EF295E"/>
    <w:rsid w:val="00EF2AA3"/>
    <w:rsid w:val="00EF2C58"/>
    <w:rsid w:val="00EF348F"/>
    <w:rsid w:val="00EF35C6"/>
    <w:rsid w:val="00EF38A9"/>
    <w:rsid w:val="00EF468D"/>
    <w:rsid w:val="00EF489D"/>
    <w:rsid w:val="00EF49A4"/>
    <w:rsid w:val="00EF49E4"/>
    <w:rsid w:val="00EF4C94"/>
    <w:rsid w:val="00EF502D"/>
    <w:rsid w:val="00EF51A1"/>
    <w:rsid w:val="00EF557A"/>
    <w:rsid w:val="00EF5643"/>
    <w:rsid w:val="00EF5721"/>
    <w:rsid w:val="00EF5C45"/>
    <w:rsid w:val="00EF5D4A"/>
    <w:rsid w:val="00EF5DE4"/>
    <w:rsid w:val="00EF6354"/>
    <w:rsid w:val="00EF643D"/>
    <w:rsid w:val="00EF65EA"/>
    <w:rsid w:val="00EF67D1"/>
    <w:rsid w:val="00EF6A9D"/>
    <w:rsid w:val="00EF6ADD"/>
    <w:rsid w:val="00EF6B6C"/>
    <w:rsid w:val="00EF6E53"/>
    <w:rsid w:val="00EF702B"/>
    <w:rsid w:val="00EF716A"/>
    <w:rsid w:val="00EF7213"/>
    <w:rsid w:val="00EF7440"/>
    <w:rsid w:val="00EF74E1"/>
    <w:rsid w:val="00EF75E4"/>
    <w:rsid w:val="00F006F1"/>
    <w:rsid w:val="00F00997"/>
    <w:rsid w:val="00F009BB"/>
    <w:rsid w:val="00F00A64"/>
    <w:rsid w:val="00F01052"/>
    <w:rsid w:val="00F01176"/>
    <w:rsid w:val="00F01892"/>
    <w:rsid w:val="00F01914"/>
    <w:rsid w:val="00F01A1A"/>
    <w:rsid w:val="00F01B52"/>
    <w:rsid w:val="00F01BA0"/>
    <w:rsid w:val="00F01C7C"/>
    <w:rsid w:val="00F01DEC"/>
    <w:rsid w:val="00F01E66"/>
    <w:rsid w:val="00F020F3"/>
    <w:rsid w:val="00F02C5A"/>
    <w:rsid w:val="00F02C9F"/>
    <w:rsid w:val="00F02CD3"/>
    <w:rsid w:val="00F03251"/>
    <w:rsid w:val="00F03276"/>
    <w:rsid w:val="00F033C2"/>
    <w:rsid w:val="00F03464"/>
    <w:rsid w:val="00F03BD1"/>
    <w:rsid w:val="00F04104"/>
    <w:rsid w:val="00F04144"/>
    <w:rsid w:val="00F044C2"/>
    <w:rsid w:val="00F0495F"/>
    <w:rsid w:val="00F04CED"/>
    <w:rsid w:val="00F05469"/>
    <w:rsid w:val="00F0599C"/>
    <w:rsid w:val="00F061F3"/>
    <w:rsid w:val="00F0622D"/>
    <w:rsid w:val="00F0661E"/>
    <w:rsid w:val="00F07324"/>
    <w:rsid w:val="00F07363"/>
    <w:rsid w:val="00F0738A"/>
    <w:rsid w:val="00F07429"/>
    <w:rsid w:val="00F075B1"/>
    <w:rsid w:val="00F076DD"/>
    <w:rsid w:val="00F07A19"/>
    <w:rsid w:val="00F07C16"/>
    <w:rsid w:val="00F07D4B"/>
    <w:rsid w:val="00F1057A"/>
    <w:rsid w:val="00F1075C"/>
    <w:rsid w:val="00F10B4B"/>
    <w:rsid w:val="00F10E0B"/>
    <w:rsid w:val="00F110E4"/>
    <w:rsid w:val="00F113D9"/>
    <w:rsid w:val="00F1156F"/>
    <w:rsid w:val="00F11726"/>
    <w:rsid w:val="00F12079"/>
    <w:rsid w:val="00F122C5"/>
    <w:rsid w:val="00F1241B"/>
    <w:rsid w:val="00F12528"/>
    <w:rsid w:val="00F127AB"/>
    <w:rsid w:val="00F12B4B"/>
    <w:rsid w:val="00F13018"/>
    <w:rsid w:val="00F131A6"/>
    <w:rsid w:val="00F134EE"/>
    <w:rsid w:val="00F13F29"/>
    <w:rsid w:val="00F14102"/>
    <w:rsid w:val="00F14332"/>
    <w:rsid w:val="00F149A3"/>
    <w:rsid w:val="00F14C63"/>
    <w:rsid w:val="00F14D0B"/>
    <w:rsid w:val="00F15435"/>
    <w:rsid w:val="00F15660"/>
    <w:rsid w:val="00F15A04"/>
    <w:rsid w:val="00F15B5D"/>
    <w:rsid w:val="00F15D1D"/>
    <w:rsid w:val="00F15DEE"/>
    <w:rsid w:val="00F16973"/>
    <w:rsid w:val="00F16A6E"/>
    <w:rsid w:val="00F16B6A"/>
    <w:rsid w:val="00F16BD7"/>
    <w:rsid w:val="00F16CDD"/>
    <w:rsid w:val="00F17874"/>
    <w:rsid w:val="00F17CAA"/>
    <w:rsid w:val="00F17CF1"/>
    <w:rsid w:val="00F17E5A"/>
    <w:rsid w:val="00F201B4"/>
    <w:rsid w:val="00F202F4"/>
    <w:rsid w:val="00F205BC"/>
    <w:rsid w:val="00F206DA"/>
    <w:rsid w:val="00F20DB3"/>
    <w:rsid w:val="00F20DF3"/>
    <w:rsid w:val="00F210BA"/>
    <w:rsid w:val="00F212A8"/>
    <w:rsid w:val="00F21389"/>
    <w:rsid w:val="00F21700"/>
    <w:rsid w:val="00F21A5E"/>
    <w:rsid w:val="00F21A81"/>
    <w:rsid w:val="00F21B89"/>
    <w:rsid w:val="00F21C5B"/>
    <w:rsid w:val="00F21DF0"/>
    <w:rsid w:val="00F21ECA"/>
    <w:rsid w:val="00F223A9"/>
    <w:rsid w:val="00F225D2"/>
    <w:rsid w:val="00F22663"/>
    <w:rsid w:val="00F22BD6"/>
    <w:rsid w:val="00F22BF2"/>
    <w:rsid w:val="00F22E7B"/>
    <w:rsid w:val="00F230DB"/>
    <w:rsid w:val="00F232F0"/>
    <w:rsid w:val="00F2374E"/>
    <w:rsid w:val="00F23A0D"/>
    <w:rsid w:val="00F23A96"/>
    <w:rsid w:val="00F23DBA"/>
    <w:rsid w:val="00F241BE"/>
    <w:rsid w:val="00F241F3"/>
    <w:rsid w:val="00F2425D"/>
    <w:rsid w:val="00F24326"/>
    <w:rsid w:val="00F24791"/>
    <w:rsid w:val="00F24A39"/>
    <w:rsid w:val="00F24C67"/>
    <w:rsid w:val="00F25551"/>
    <w:rsid w:val="00F255E1"/>
    <w:rsid w:val="00F255E9"/>
    <w:rsid w:val="00F25C0A"/>
    <w:rsid w:val="00F25ED4"/>
    <w:rsid w:val="00F2603C"/>
    <w:rsid w:val="00F26312"/>
    <w:rsid w:val="00F26943"/>
    <w:rsid w:val="00F269E3"/>
    <w:rsid w:val="00F26B3E"/>
    <w:rsid w:val="00F26FBF"/>
    <w:rsid w:val="00F26FFE"/>
    <w:rsid w:val="00F27236"/>
    <w:rsid w:val="00F27765"/>
    <w:rsid w:val="00F27800"/>
    <w:rsid w:val="00F278BB"/>
    <w:rsid w:val="00F279ED"/>
    <w:rsid w:val="00F27DB3"/>
    <w:rsid w:val="00F27E61"/>
    <w:rsid w:val="00F30836"/>
    <w:rsid w:val="00F3085A"/>
    <w:rsid w:val="00F3086A"/>
    <w:rsid w:val="00F309B5"/>
    <w:rsid w:val="00F30CDF"/>
    <w:rsid w:val="00F30D92"/>
    <w:rsid w:val="00F311ED"/>
    <w:rsid w:val="00F3127B"/>
    <w:rsid w:val="00F31754"/>
    <w:rsid w:val="00F317FD"/>
    <w:rsid w:val="00F31C26"/>
    <w:rsid w:val="00F32169"/>
    <w:rsid w:val="00F3238E"/>
    <w:rsid w:val="00F3253C"/>
    <w:rsid w:val="00F3287E"/>
    <w:rsid w:val="00F32BD6"/>
    <w:rsid w:val="00F32D3A"/>
    <w:rsid w:val="00F32E42"/>
    <w:rsid w:val="00F33089"/>
    <w:rsid w:val="00F33146"/>
    <w:rsid w:val="00F3325C"/>
    <w:rsid w:val="00F33500"/>
    <w:rsid w:val="00F3358F"/>
    <w:rsid w:val="00F34307"/>
    <w:rsid w:val="00F34344"/>
    <w:rsid w:val="00F349E3"/>
    <w:rsid w:val="00F34BC4"/>
    <w:rsid w:val="00F34C7D"/>
    <w:rsid w:val="00F358A5"/>
    <w:rsid w:val="00F35E24"/>
    <w:rsid w:val="00F35E68"/>
    <w:rsid w:val="00F35EF9"/>
    <w:rsid w:val="00F35F30"/>
    <w:rsid w:val="00F3607E"/>
    <w:rsid w:val="00F36091"/>
    <w:rsid w:val="00F3624C"/>
    <w:rsid w:val="00F3627D"/>
    <w:rsid w:val="00F362D0"/>
    <w:rsid w:val="00F3662B"/>
    <w:rsid w:val="00F3666A"/>
    <w:rsid w:val="00F36A77"/>
    <w:rsid w:val="00F36A9D"/>
    <w:rsid w:val="00F36EF5"/>
    <w:rsid w:val="00F371C6"/>
    <w:rsid w:val="00F372F1"/>
    <w:rsid w:val="00F37336"/>
    <w:rsid w:val="00F3744D"/>
    <w:rsid w:val="00F37BDC"/>
    <w:rsid w:val="00F40596"/>
    <w:rsid w:val="00F40681"/>
    <w:rsid w:val="00F40B14"/>
    <w:rsid w:val="00F40E3A"/>
    <w:rsid w:val="00F40E46"/>
    <w:rsid w:val="00F41018"/>
    <w:rsid w:val="00F410ED"/>
    <w:rsid w:val="00F4115F"/>
    <w:rsid w:val="00F4131A"/>
    <w:rsid w:val="00F41BEE"/>
    <w:rsid w:val="00F41CDE"/>
    <w:rsid w:val="00F42389"/>
    <w:rsid w:val="00F425A3"/>
    <w:rsid w:val="00F42950"/>
    <w:rsid w:val="00F42D7B"/>
    <w:rsid w:val="00F43261"/>
    <w:rsid w:val="00F4362D"/>
    <w:rsid w:val="00F43633"/>
    <w:rsid w:val="00F4376F"/>
    <w:rsid w:val="00F4387C"/>
    <w:rsid w:val="00F4387E"/>
    <w:rsid w:val="00F43C4D"/>
    <w:rsid w:val="00F44074"/>
    <w:rsid w:val="00F44269"/>
    <w:rsid w:val="00F4462F"/>
    <w:rsid w:val="00F44880"/>
    <w:rsid w:val="00F45560"/>
    <w:rsid w:val="00F4573B"/>
    <w:rsid w:val="00F45C12"/>
    <w:rsid w:val="00F46387"/>
    <w:rsid w:val="00F46762"/>
    <w:rsid w:val="00F46980"/>
    <w:rsid w:val="00F469A5"/>
    <w:rsid w:val="00F46DC1"/>
    <w:rsid w:val="00F47390"/>
    <w:rsid w:val="00F47552"/>
    <w:rsid w:val="00F47748"/>
    <w:rsid w:val="00F47C42"/>
    <w:rsid w:val="00F47D4D"/>
    <w:rsid w:val="00F47FE3"/>
    <w:rsid w:val="00F5055F"/>
    <w:rsid w:val="00F5064C"/>
    <w:rsid w:val="00F5096D"/>
    <w:rsid w:val="00F50DC2"/>
    <w:rsid w:val="00F512B8"/>
    <w:rsid w:val="00F5150F"/>
    <w:rsid w:val="00F51897"/>
    <w:rsid w:val="00F5191A"/>
    <w:rsid w:val="00F51B54"/>
    <w:rsid w:val="00F51C2A"/>
    <w:rsid w:val="00F51DD0"/>
    <w:rsid w:val="00F52310"/>
    <w:rsid w:val="00F5254F"/>
    <w:rsid w:val="00F52925"/>
    <w:rsid w:val="00F52A3C"/>
    <w:rsid w:val="00F52DC3"/>
    <w:rsid w:val="00F530EA"/>
    <w:rsid w:val="00F53119"/>
    <w:rsid w:val="00F5313B"/>
    <w:rsid w:val="00F53450"/>
    <w:rsid w:val="00F53484"/>
    <w:rsid w:val="00F53B5F"/>
    <w:rsid w:val="00F53D02"/>
    <w:rsid w:val="00F53D57"/>
    <w:rsid w:val="00F53E91"/>
    <w:rsid w:val="00F54E01"/>
    <w:rsid w:val="00F54E42"/>
    <w:rsid w:val="00F552B4"/>
    <w:rsid w:val="00F5537C"/>
    <w:rsid w:val="00F55422"/>
    <w:rsid w:val="00F55523"/>
    <w:rsid w:val="00F556DA"/>
    <w:rsid w:val="00F5578D"/>
    <w:rsid w:val="00F55811"/>
    <w:rsid w:val="00F55961"/>
    <w:rsid w:val="00F5598F"/>
    <w:rsid w:val="00F55B4A"/>
    <w:rsid w:val="00F55BFD"/>
    <w:rsid w:val="00F55C3D"/>
    <w:rsid w:val="00F5606D"/>
    <w:rsid w:val="00F56480"/>
    <w:rsid w:val="00F568C4"/>
    <w:rsid w:val="00F56BDB"/>
    <w:rsid w:val="00F56ED6"/>
    <w:rsid w:val="00F56F58"/>
    <w:rsid w:val="00F570F3"/>
    <w:rsid w:val="00F571CB"/>
    <w:rsid w:val="00F572C8"/>
    <w:rsid w:val="00F577D8"/>
    <w:rsid w:val="00F57C0B"/>
    <w:rsid w:val="00F57E36"/>
    <w:rsid w:val="00F57F66"/>
    <w:rsid w:val="00F6015A"/>
    <w:rsid w:val="00F60989"/>
    <w:rsid w:val="00F60CDE"/>
    <w:rsid w:val="00F60F3D"/>
    <w:rsid w:val="00F61A69"/>
    <w:rsid w:val="00F61CD0"/>
    <w:rsid w:val="00F62005"/>
    <w:rsid w:val="00F62196"/>
    <w:rsid w:val="00F62376"/>
    <w:rsid w:val="00F62438"/>
    <w:rsid w:val="00F62EBF"/>
    <w:rsid w:val="00F6371F"/>
    <w:rsid w:val="00F63B0D"/>
    <w:rsid w:val="00F63FAC"/>
    <w:rsid w:val="00F64BF7"/>
    <w:rsid w:val="00F658B2"/>
    <w:rsid w:val="00F65F16"/>
    <w:rsid w:val="00F6616B"/>
    <w:rsid w:val="00F661BC"/>
    <w:rsid w:val="00F666C7"/>
    <w:rsid w:val="00F66905"/>
    <w:rsid w:val="00F66D87"/>
    <w:rsid w:val="00F67258"/>
    <w:rsid w:val="00F6732C"/>
    <w:rsid w:val="00F67357"/>
    <w:rsid w:val="00F67502"/>
    <w:rsid w:val="00F706D7"/>
    <w:rsid w:val="00F70B39"/>
    <w:rsid w:val="00F70B63"/>
    <w:rsid w:val="00F70D2B"/>
    <w:rsid w:val="00F70D2F"/>
    <w:rsid w:val="00F70D6C"/>
    <w:rsid w:val="00F7192E"/>
    <w:rsid w:val="00F719B5"/>
    <w:rsid w:val="00F719E4"/>
    <w:rsid w:val="00F71A20"/>
    <w:rsid w:val="00F71BF1"/>
    <w:rsid w:val="00F71F42"/>
    <w:rsid w:val="00F72704"/>
    <w:rsid w:val="00F7275D"/>
    <w:rsid w:val="00F7295B"/>
    <w:rsid w:val="00F72B57"/>
    <w:rsid w:val="00F732BE"/>
    <w:rsid w:val="00F73C2D"/>
    <w:rsid w:val="00F73DF5"/>
    <w:rsid w:val="00F73E69"/>
    <w:rsid w:val="00F73EAB"/>
    <w:rsid w:val="00F741F0"/>
    <w:rsid w:val="00F744FB"/>
    <w:rsid w:val="00F745B7"/>
    <w:rsid w:val="00F748F4"/>
    <w:rsid w:val="00F74BDD"/>
    <w:rsid w:val="00F74D49"/>
    <w:rsid w:val="00F7518B"/>
    <w:rsid w:val="00F754EE"/>
    <w:rsid w:val="00F75811"/>
    <w:rsid w:val="00F75922"/>
    <w:rsid w:val="00F75B49"/>
    <w:rsid w:val="00F75BFE"/>
    <w:rsid w:val="00F75F26"/>
    <w:rsid w:val="00F762B5"/>
    <w:rsid w:val="00F764CB"/>
    <w:rsid w:val="00F7684A"/>
    <w:rsid w:val="00F777AF"/>
    <w:rsid w:val="00F77CD6"/>
    <w:rsid w:val="00F77D57"/>
    <w:rsid w:val="00F8032D"/>
    <w:rsid w:val="00F8037F"/>
    <w:rsid w:val="00F8056B"/>
    <w:rsid w:val="00F80701"/>
    <w:rsid w:val="00F808AB"/>
    <w:rsid w:val="00F80D1E"/>
    <w:rsid w:val="00F81009"/>
    <w:rsid w:val="00F811AA"/>
    <w:rsid w:val="00F813E9"/>
    <w:rsid w:val="00F81661"/>
    <w:rsid w:val="00F81E6B"/>
    <w:rsid w:val="00F8257B"/>
    <w:rsid w:val="00F827ED"/>
    <w:rsid w:val="00F8306B"/>
    <w:rsid w:val="00F831AC"/>
    <w:rsid w:val="00F8331D"/>
    <w:rsid w:val="00F83554"/>
    <w:rsid w:val="00F8387C"/>
    <w:rsid w:val="00F839E2"/>
    <w:rsid w:val="00F839EE"/>
    <w:rsid w:val="00F83D8D"/>
    <w:rsid w:val="00F8430F"/>
    <w:rsid w:val="00F84375"/>
    <w:rsid w:val="00F84453"/>
    <w:rsid w:val="00F848D5"/>
    <w:rsid w:val="00F84907"/>
    <w:rsid w:val="00F84E13"/>
    <w:rsid w:val="00F850F0"/>
    <w:rsid w:val="00F85190"/>
    <w:rsid w:val="00F8529D"/>
    <w:rsid w:val="00F859A3"/>
    <w:rsid w:val="00F85D5B"/>
    <w:rsid w:val="00F86048"/>
    <w:rsid w:val="00F8655D"/>
    <w:rsid w:val="00F86BB2"/>
    <w:rsid w:val="00F86E69"/>
    <w:rsid w:val="00F86F7A"/>
    <w:rsid w:val="00F87002"/>
    <w:rsid w:val="00F8741B"/>
    <w:rsid w:val="00F87625"/>
    <w:rsid w:val="00F8783A"/>
    <w:rsid w:val="00F87A40"/>
    <w:rsid w:val="00F87D02"/>
    <w:rsid w:val="00F87E5F"/>
    <w:rsid w:val="00F90A07"/>
    <w:rsid w:val="00F90C2A"/>
    <w:rsid w:val="00F911C6"/>
    <w:rsid w:val="00F91334"/>
    <w:rsid w:val="00F914BB"/>
    <w:rsid w:val="00F915AB"/>
    <w:rsid w:val="00F9165C"/>
    <w:rsid w:val="00F91C71"/>
    <w:rsid w:val="00F91E45"/>
    <w:rsid w:val="00F92281"/>
    <w:rsid w:val="00F9267F"/>
    <w:rsid w:val="00F93A88"/>
    <w:rsid w:val="00F93F63"/>
    <w:rsid w:val="00F94325"/>
    <w:rsid w:val="00F94333"/>
    <w:rsid w:val="00F949C5"/>
    <w:rsid w:val="00F94F90"/>
    <w:rsid w:val="00F952CD"/>
    <w:rsid w:val="00F9539E"/>
    <w:rsid w:val="00F95659"/>
    <w:rsid w:val="00F956A0"/>
    <w:rsid w:val="00F95719"/>
    <w:rsid w:val="00F95B1F"/>
    <w:rsid w:val="00F95C14"/>
    <w:rsid w:val="00F95E46"/>
    <w:rsid w:val="00F95E57"/>
    <w:rsid w:val="00F96357"/>
    <w:rsid w:val="00F96372"/>
    <w:rsid w:val="00F96389"/>
    <w:rsid w:val="00F969B7"/>
    <w:rsid w:val="00F96A72"/>
    <w:rsid w:val="00F96E78"/>
    <w:rsid w:val="00F9767B"/>
    <w:rsid w:val="00F97719"/>
    <w:rsid w:val="00F97854"/>
    <w:rsid w:val="00F97F87"/>
    <w:rsid w:val="00F97FA9"/>
    <w:rsid w:val="00FA025E"/>
    <w:rsid w:val="00FA05BC"/>
    <w:rsid w:val="00FA105B"/>
    <w:rsid w:val="00FA1C4E"/>
    <w:rsid w:val="00FA1F70"/>
    <w:rsid w:val="00FA1F82"/>
    <w:rsid w:val="00FA1FC0"/>
    <w:rsid w:val="00FA20A2"/>
    <w:rsid w:val="00FA2588"/>
    <w:rsid w:val="00FA25EE"/>
    <w:rsid w:val="00FA26EB"/>
    <w:rsid w:val="00FA2718"/>
    <w:rsid w:val="00FA2860"/>
    <w:rsid w:val="00FA2BAE"/>
    <w:rsid w:val="00FA2D61"/>
    <w:rsid w:val="00FA3461"/>
    <w:rsid w:val="00FA34D3"/>
    <w:rsid w:val="00FA34F0"/>
    <w:rsid w:val="00FA351F"/>
    <w:rsid w:val="00FA36F7"/>
    <w:rsid w:val="00FA3B5B"/>
    <w:rsid w:val="00FA3FD6"/>
    <w:rsid w:val="00FA450B"/>
    <w:rsid w:val="00FA5100"/>
    <w:rsid w:val="00FA535A"/>
    <w:rsid w:val="00FA5536"/>
    <w:rsid w:val="00FA55A9"/>
    <w:rsid w:val="00FA563C"/>
    <w:rsid w:val="00FA5861"/>
    <w:rsid w:val="00FA5A6E"/>
    <w:rsid w:val="00FA5D4D"/>
    <w:rsid w:val="00FA69F7"/>
    <w:rsid w:val="00FA6CF3"/>
    <w:rsid w:val="00FA6D4D"/>
    <w:rsid w:val="00FA6F02"/>
    <w:rsid w:val="00FA70E2"/>
    <w:rsid w:val="00FA7692"/>
    <w:rsid w:val="00FA76E2"/>
    <w:rsid w:val="00FA794B"/>
    <w:rsid w:val="00FA7E09"/>
    <w:rsid w:val="00FB0955"/>
    <w:rsid w:val="00FB0A85"/>
    <w:rsid w:val="00FB0D7F"/>
    <w:rsid w:val="00FB1147"/>
    <w:rsid w:val="00FB14A4"/>
    <w:rsid w:val="00FB16E0"/>
    <w:rsid w:val="00FB1FD0"/>
    <w:rsid w:val="00FB1FDB"/>
    <w:rsid w:val="00FB2986"/>
    <w:rsid w:val="00FB30DE"/>
    <w:rsid w:val="00FB312F"/>
    <w:rsid w:val="00FB328A"/>
    <w:rsid w:val="00FB3412"/>
    <w:rsid w:val="00FB3476"/>
    <w:rsid w:val="00FB34DB"/>
    <w:rsid w:val="00FB34F3"/>
    <w:rsid w:val="00FB35E3"/>
    <w:rsid w:val="00FB3788"/>
    <w:rsid w:val="00FB3CE7"/>
    <w:rsid w:val="00FB3EC8"/>
    <w:rsid w:val="00FB42F0"/>
    <w:rsid w:val="00FB438A"/>
    <w:rsid w:val="00FB4700"/>
    <w:rsid w:val="00FB4B33"/>
    <w:rsid w:val="00FB4DA7"/>
    <w:rsid w:val="00FB5032"/>
    <w:rsid w:val="00FB50F3"/>
    <w:rsid w:val="00FB5225"/>
    <w:rsid w:val="00FB54F7"/>
    <w:rsid w:val="00FB55D8"/>
    <w:rsid w:val="00FB5969"/>
    <w:rsid w:val="00FB5D37"/>
    <w:rsid w:val="00FB5F7F"/>
    <w:rsid w:val="00FB5FAF"/>
    <w:rsid w:val="00FB63DE"/>
    <w:rsid w:val="00FB663B"/>
    <w:rsid w:val="00FB6A1A"/>
    <w:rsid w:val="00FB6E96"/>
    <w:rsid w:val="00FB72B6"/>
    <w:rsid w:val="00FB7E27"/>
    <w:rsid w:val="00FC08F1"/>
    <w:rsid w:val="00FC0AEC"/>
    <w:rsid w:val="00FC12E4"/>
    <w:rsid w:val="00FC1488"/>
    <w:rsid w:val="00FC1931"/>
    <w:rsid w:val="00FC1EBA"/>
    <w:rsid w:val="00FC1EE7"/>
    <w:rsid w:val="00FC2433"/>
    <w:rsid w:val="00FC2AB4"/>
    <w:rsid w:val="00FC2ADB"/>
    <w:rsid w:val="00FC2C7C"/>
    <w:rsid w:val="00FC2D54"/>
    <w:rsid w:val="00FC385E"/>
    <w:rsid w:val="00FC396D"/>
    <w:rsid w:val="00FC3A76"/>
    <w:rsid w:val="00FC3C71"/>
    <w:rsid w:val="00FC3DC9"/>
    <w:rsid w:val="00FC3E95"/>
    <w:rsid w:val="00FC4013"/>
    <w:rsid w:val="00FC4072"/>
    <w:rsid w:val="00FC493A"/>
    <w:rsid w:val="00FC49A9"/>
    <w:rsid w:val="00FC50BD"/>
    <w:rsid w:val="00FC5615"/>
    <w:rsid w:val="00FC5711"/>
    <w:rsid w:val="00FC5829"/>
    <w:rsid w:val="00FC5A07"/>
    <w:rsid w:val="00FC633A"/>
    <w:rsid w:val="00FC660A"/>
    <w:rsid w:val="00FC6A04"/>
    <w:rsid w:val="00FC6FC8"/>
    <w:rsid w:val="00FC7EC8"/>
    <w:rsid w:val="00FD00CE"/>
    <w:rsid w:val="00FD0252"/>
    <w:rsid w:val="00FD09D4"/>
    <w:rsid w:val="00FD0D03"/>
    <w:rsid w:val="00FD0E24"/>
    <w:rsid w:val="00FD1B6C"/>
    <w:rsid w:val="00FD1CC4"/>
    <w:rsid w:val="00FD253B"/>
    <w:rsid w:val="00FD2655"/>
    <w:rsid w:val="00FD2959"/>
    <w:rsid w:val="00FD2A7B"/>
    <w:rsid w:val="00FD2C6B"/>
    <w:rsid w:val="00FD2CA0"/>
    <w:rsid w:val="00FD2CC4"/>
    <w:rsid w:val="00FD2FF4"/>
    <w:rsid w:val="00FD325E"/>
    <w:rsid w:val="00FD32CF"/>
    <w:rsid w:val="00FD34E6"/>
    <w:rsid w:val="00FD3901"/>
    <w:rsid w:val="00FD3BBB"/>
    <w:rsid w:val="00FD3C1D"/>
    <w:rsid w:val="00FD3E1F"/>
    <w:rsid w:val="00FD4150"/>
    <w:rsid w:val="00FD45FF"/>
    <w:rsid w:val="00FD469C"/>
    <w:rsid w:val="00FD4D06"/>
    <w:rsid w:val="00FD4F8B"/>
    <w:rsid w:val="00FD5133"/>
    <w:rsid w:val="00FD5257"/>
    <w:rsid w:val="00FD5473"/>
    <w:rsid w:val="00FD5927"/>
    <w:rsid w:val="00FD5B68"/>
    <w:rsid w:val="00FD5C0F"/>
    <w:rsid w:val="00FD5CEA"/>
    <w:rsid w:val="00FD6482"/>
    <w:rsid w:val="00FD6570"/>
    <w:rsid w:val="00FD661F"/>
    <w:rsid w:val="00FD6E5B"/>
    <w:rsid w:val="00FD7B02"/>
    <w:rsid w:val="00FD7D92"/>
    <w:rsid w:val="00FE01EE"/>
    <w:rsid w:val="00FE0480"/>
    <w:rsid w:val="00FE06AB"/>
    <w:rsid w:val="00FE07BA"/>
    <w:rsid w:val="00FE0DB4"/>
    <w:rsid w:val="00FE11CA"/>
    <w:rsid w:val="00FE1201"/>
    <w:rsid w:val="00FE12BF"/>
    <w:rsid w:val="00FE1448"/>
    <w:rsid w:val="00FE18D9"/>
    <w:rsid w:val="00FE2E49"/>
    <w:rsid w:val="00FE3081"/>
    <w:rsid w:val="00FE31DA"/>
    <w:rsid w:val="00FE3793"/>
    <w:rsid w:val="00FE3CD3"/>
    <w:rsid w:val="00FE417F"/>
    <w:rsid w:val="00FE42B3"/>
    <w:rsid w:val="00FE4A46"/>
    <w:rsid w:val="00FE4B25"/>
    <w:rsid w:val="00FE4DF5"/>
    <w:rsid w:val="00FE4FFA"/>
    <w:rsid w:val="00FE5B8B"/>
    <w:rsid w:val="00FE5BD5"/>
    <w:rsid w:val="00FE640A"/>
    <w:rsid w:val="00FE664A"/>
    <w:rsid w:val="00FE6A15"/>
    <w:rsid w:val="00FE6CF3"/>
    <w:rsid w:val="00FE72AB"/>
    <w:rsid w:val="00FE746E"/>
    <w:rsid w:val="00FE7652"/>
    <w:rsid w:val="00FE7ED2"/>
    <w:rsid w:val="00FE7F0B"/>
    <w:rsid w:val="00FF0374"/>
    <w:rsid w:val="00FF078E"/>
    <w:rsid w:val="00FF0B29"/>
    <w:rsid w:val="00FF150C"/>
    <w:rsid w:val="00FF15C7"/>
    <w:rsid w:val="00FF1AAA"/>
    <w:rsid w:val="00FF1CC8"/>
    <w:rsid w:val="00FF2125"/>
    <w:rsid w:val="00FF236E"/>
    <w:rsid w:val="00FF23EC"/>
    <w:rsid w:val="00FF2685"/>
    <w:rsid w:val="00FF27EE"/>
    <w:rsid w:val="00FF2F02"/>
    <w:rsid w:val="00FF2F3B"/>
    <w:rsid w:val="00FF306E"/>
    <w:rsid w:val="00FF332A"/>
    <w:rsid w:val="00FF3CC7"/>
    <w:rsid w:val="00FF3EC0"/>
    <w:rsid w:val="00FF3F56"/>
    <w:rsid w:val="00FF3FD6"/>
    <w:rsid w:val="00FF42B4"/>
    <w:rsid w:val="00FF4368"/>
    <w:rsid w:val="00FF471F"/>
    <w:rsid w:val="00FF54BF"/>
    <w:rsid w:val="00FF5C25"/>
    <w:rsid w:val="00FF6263"/>
    <w:rsid w:val="00FF6561"/>
    <w:rsid w:val="00FF753C"/>
    <w:rsid w:val="00FF7782"/>
    <w:rsid w:val="013D0A00"/>
    <w:rsid w:val="01A143C0"/>
    <w:rsid w:val="01AEA06D"/>
    <w:rsid w:val="01C5F111"/>
    <w:rsid w:val="01E31EB5"/>
    <w:rsid w:val="02068573"/>
    <w:rsid w:val="0248B454"/>
    <w:rsid w:val="0266F51E"/>
    <w:rsid w:val="027AEAA6"/>
    <w:rsid w:val="02ACE2C5"/>
    <w:rsid w:val="02B4392D"/>
    <w:rsid w:val="02CE2BA1"/>
    <w:rsid w:val="02EF3968"/>
    <w:rsid w:val="039E996D"/>
    <w:rsid w:val="04010190"/>
    <w:rsid w:val="04790070"/>
    <w:rsid w:val="0479B197"/>
    <w:rsid w:val="047C4C7C"/>
    <w:rsid w:val="04B1E8BE"/>
    <w:rsid w:val="04E6566C"/>
    <w:rsid w:val="04F81E01"/>
    <w:rsid w:val="053DC25C"/>
    <w:rsid w:val="057AF383"/>
    <w:rsid w:val="058DE03F"/>
    <w:rsid w:val="059ABF0C"/>
    <w:rsid w:val="05A3406A"/>
    <w:rsid w:val="05EC319C"/>
    <w:rsid w:val="05F93DD6"/>
    <w:rsid w:val="066F601A"/>
    <w:rsid w:val="0699C412"/>
    <w:rsid w:val="06A950AE"/>
    <w:rsid w:val="06B57AB0"/>
    <w:rsid w:val="06F2C169"/>
    <w:rsid w:val="0742C774"/>
    <w:rsid w:val="078F6A38"/>
    <w:rsid w:val="07EE3B87"/>
    <w:rsid w:val="07F9C9AA"/>
    <w:rsid w:val="082971C1"/>
    <w:rsid w:val="0837564A"/>
    <w:rsid w:val="083E5E49"/>
    <w:rsid w:val="0840FC11"/>
    <w:rsid w:val="088DA822"/>
    <w:rsid w:val="08EB48C2"/>
    <w:rsid w:val="0914E91A"/>
    <w:rsid w:val="094633A7"/>
    <w:rsid w:val="094F419B"/>
    <w:rsid w:val="09645EED"/>
    <w:rsid w:val="0981C923"/>
    <w:rsid w:val="0997E120"/>
    <w:rsid w:val="09A76FD8"/>
    <w:rsid w:val="09BAF5AA"/>
    <w:rsid w:val="09EA37AC"/>
    <w:rsid w:val="0A038214"/>
    <w:rsid w:val="0A318FCB"/>
    <w:rsid w:val="0A703615"/>
    <w:rsid w:val="0A75D416"/>
    <w:rsid w:val="0AB39274"/>
    <w:rsid w:val="0B0B1E92"/>
    <w:rsid w:val="0B1334E5"/>
    <w:rsid w:val="0B183EEE"/>
    <w:rsid w:val="0B4E6028"/>
    <w:rsid w:val="0BEF7D8E"/>
    <w:rsid w:val="0C2F858B"/>
    <w:rsid w:val="0C4320A5"/>
    <w:rsid w:val="0C4F1010"/>
    <w:rsid w:val="0CD1844C"/>
    <w:rsid w:val="0CF990C3"/>
    <w:rsid w:val="0D223356"/>
    <w:rsid w:val="0D5B6E81"/>
    <w:rsid w:val="0D5D127D"/>
    <w:rsid w:val="0E4305A4"/>
    <w:rsid w:val="0E596592"/>
    <w:rsid w:val="0E6A0F03"/>
    <w:rsid w:val="0E772719"/>
    <w:rsid w:val="0E96BB29"/>
    <w:rsid w:val="0ED5720D"/>
    <w:rsid w:val="0EE16626"/>
    <w:rsid w:val="0EEA43DE"/>
    <w:rsid w:val="0F23E8D9"/>
    <w:rsid w:val="0F3C4D2E"/>
    <w:rsid w:val="0F3CD1D4"/>
    <w:rsid w:val="0F862853"/>
    <w:rsid w:val="0F898DB4"/>
    <w:rsid w:val="0F899E69"/>
    <w:rsid w:val="0FA2308C"/>
    <w:rsid w:val="0FB4D5FA"/>
    <w:rsid w:val="0FC7343F"/>
    <w:rsid w:val="10048CFD"/>
    <w:rsid w:val="102D8E31"/>
    <w:rsid w:val="103CD0BB"/>
    <w:rsid w:val="10C5236E"/>
    <w:rsid w:val="10D61F93"/>
    <w:rsid w:val="11253547"/>
    <w:rsid w:val="11511B67"/>
    <w:rsid w:val="11683E16"/>
    <w:rsid w:val="11B4BD30"/>
    <w:rsid w:val="11BEDA61"/>
    <w:rsid w:val="11F020DE"/>
    <w:rsid w:val="11F8E73F"/>
    <w:rsid w:val="121576BB"/>
    <w:rsid w:val="12199695"/>
    <w:rsid w:val="12698B47"/>
    <w:rsid w:val="127027D8"/>
    <w:rsid w:val="129E814B"/>
    <w:rsid w:val="12A3CB40"/>
    <w:rsid w:val="12B29E5E"/>
    <w:rsid w:val="12D14A67"/>
    <w:rsid w:val="12D9C50A"/>
    <w:rsid w:val="131EEF54"/>
    <w:rsid w:val="13776C42"/>
    <w:rsid w:val="1389D783"/>
    <w:rsid w:val="13CA358C"/>
    <w:rsid w:val="13DE3832"/>
    <w:rsid w:val="1466E43B"/>
    <w:rsid w:val="146EFDB1"/>
    <w:rsid w:val="14741F6C"/>
    <w:rsid w:val="1495847E"/>
    <w:rsid w:val="14A0B681"/>
    <w:rsid w:val="14BC572A"/>
    <w:rsid w:val="14CC99C4"/>
    <w:rsid w:val="14CFBBEC"/>
    <w:rsid w:val="14D4766C"/>
    <w:rsid w:val="1543259D"/>
    <w:rsid w:val="1562D329"/>
    <w:rsid w:val="157A97F1"/>
    <w:rsid w:val="15810B38"/>
    <w:rsid w:val="15A796A0"/>
    <w:rsid w:val="15C03325"/>
    <w:rsid w:val="15C3DEBD"/>
    <w:rsid w:val="15CF2040"/>
    <w:rsid w:val="16290D57"/>
    <w:rsid w:val="16AF6C3D"/>
    <w:rsid w:val="170CCFBD"/>
    <w:rsid w:val="17824E09"/>
    <w:rsid w:val="17E2EA0C"/>
    <w:rsid w:val="17EAC646"/>
    <w:rsid w:val="18069A00"/>
    <w:rsid w:val="181FD349"/>
    <w:rsid w:val="18315F32"/>
    <w:rsid w:val="1841CFA7"/>
    <w:rsid w:val="18610463"/>
    <w:rsid w:val="186F1AB5"/>
    <w:rsid w:val="18707EAC"/>
    <w:rsid w:val="1872FCED"/>
    <w:rsid w:val="1893C39D"/>
    <w:rsid w:val="18B0AE85"/>
    <w:rsid w:val="18DD57C3"/>
    <w:rsid w:val="190E21AA"/>
    <w:rsid w:val="198C083E"/>
    <w:rsid w:val="199131CE"/>
    <w:rsid w:val="19945CC2"/>
    <w:rsid w:val="19AB18F9"/>
    <w:rsid w:val="1A0B35D4"/>
    <w:rsid w:val="1A4B5A77"/>
    <w:rsid w:val="1AA9D586"/>
    <w:rsid w:val="1AEB55DC"/>
    <w:rsid w:val="1B34C1C3"/>
    <w:rsid w:val="1B4D806E"/>
    <w:rsid w:val="1B69C6EE"/>
    <w:rsid w:val="1B84E38B"/>
    <w:rsid w:val="1B9E6619"/>
    <w:rsid w:val="1BBD6CFB"/>
    <w:rsid w:val="1BDB6A67"/>
    <w:rsid w:val="1BFA9F5C"/>
    <w:rsid w:val="1C3C0220"/>
    <w:rsid w:val="1C4D3865"/>
    <w:rsid w:val="1C908296"/>
    <w:rsid w:val="1C941066"/>
    <w:rsid w:val="1CAEE02A"/>
    <w:rsid w:val="1CE5B133"/>
    <w:rsid w:val="1D373320"/>
    <w:rsid w:val="1D9BA761"/>
    <w:rsid w:val="1E2581B3"/>
    <w:rsid w:val="1E539EDF"/>
    <w:rsid w:val="1E701AE2"/>
    <w:rsid w:val="1E9EABB6"/>
    <w:rsid w:val="1EAC6EC8"/>
    <w:rsid w:val="1EB5317D"/>
    <w:rsid w:val="1EC1DECC"/>
    <w:rsid w:val="1EC9DEE3"/>
    <w:rsid w:val="1ECBA6DF"/>
    <w:rsid w:val="1F2A5221"/>
    <w:rsid w:val="1F2B45BB"/>
    <w:rsid w:val="1F40D092"/>
    <w:rsid w:val="1F4C3AA5"/>
    <w:rsid w:val="1F86E184"/>
    <w:rsid w:val="1F9122C6"/>
    <w:rsid w:val="1FB42360"/>
    <w:rsid w:val="1FC79EFF"/>
    <w:rsid w:val="1FFCE3DB"/>
    <w:rsid w:val="20016AD2"/>
    <w:rsid w:val="200B0C0C"/>
    <w:rsid w:val="201DFF40"/>
    <w:rsid w:val="2074ED22"/>
    <w:rsid w:val="209BEF9F"/>
    <w:rsid w:val="20B4005E"/>
    <w:rsid w:val="20B43EFF"/>
    <w:rsid w:val="20BBA046"/>
    <w:rsid w:val="20BFF9B7"/>
    <w:rsid w:val="20D4CC39"/>
    <w:rsid w:val="211D827B"/>
    <w:rsid w:val="21335E8E"/>
    <w:rsid w:val="21E55EEB"/>
    <w:rsid w:val="21EDF393"/>
    <w:rsid w:val="21F2ED09"/>
    <w:rsid w:val="220F6160"/>
    <w:rsid w:val="225E1EBA"/>
    <w:rsid w:val="22736C15"/>
    <w:rsid w:val="22A3BCDD"/>
    <w:rsid w:val="2307A309"/>
    <w:rsid w:val="233672D9"/>
    <w:rsid w:val="23C27745"/>
    <w:rsid w:val="23EEC70E"/>
    <w:rsid w:val="241DAD81"/>
    <w:rsid w:val="247B3C74"/>
    <w:rsid w:val="247C99A4"/>
    <w:rsid w:val="24B778FC"/>
    <w:rsid w:val="24CD342C"/>
    <w:rsid w:val="24FE9D24"/>
    <w:rsid w:val="251A7841"/>
    <w:rsid w:val="25377940"/>
    <w:rsid w:val="25449336"/>
    <w:rsid w:val="255CCD39"/>
    <w:rsid w:val="256EAC3C"/>
    <w:rsid w:val="25784CF6"/>
    <w:rsid w:val="2582513B"/>
    <w:rsid w:val="25A495B4"/>
    <w:rsid w:val="25CAAF5E"/>
    <w:rsid w:val="2624D5FE"/>
    <w:rsid w:val="26273B39"/>
    <w:rsid w:val="2654DD37"/>
    <w:rsid w:val="2687937D"/>
    <w:rsid w:val="273D3F75"/>
    <w:rsid w:val="27437549"/>
    <w:rsid w:val="277634A4"/>
    <w:rsid w:val="27987D68"/>
    <w:rsid w:val="280995A9"/>
    <w:rsid w:val="28099948"/>
    <w:rsid w:val="2828028B"/>
    <w:rsid w:val="2866BC64"/>
    <w:rsid w:val="288376EF"/>
    <w:rsid w:val="28F64ED0"/>
    <w:rsid w:val="290F2C43"/>
    <w:rsid w:val="290F343D"/>
    <w:rsid w:val="297AF436"/>
    <w:rsid w:val="29BB66FC"/>
    <w:rsid w:val="29D5DA2D"/>
    <w:rsid w:val="29E4B9DF"/>
    <w:rsid w:val="29E4FDC6"/>
    <w:rsid w:val="29E7F380"/>
    <w:rsid w:val="2A369972"/>
    <w:rsid w:val="2A3B94F2"/>
    <w:rsid w:val="2A5D9D60"/>
    <w:rsid w:val="2A7335CD"/>
    <w:rsid w:val="2AC4BF24"/>
    <w:rsid w:val="2AF934BF"/>
    <w:rsid w:val="2B24BDA2"/>
    <w:rsid w:val="2B305A19"/>
    <w:rsid w:val="2B752F54"/>
    <w:rsid w:val="2B7A25C9"/>
    <w:rsid w:val="2B7DC6A8"/>
    <w:rsid w:val="2BA77C48"/>
    <w:rsid w:val="2BABC25E"/>
    <w:rsid w:val="2BAFE723"/>
    <w:rsid w:val="2BB19433"/>
    <w:rsid w:val="2C5DF7D7"/>
    <w:rsid w:val="2C808FDE"/>
    <w:rsid w:val="2CE52F0B"/>
    <w:rsid w:val="2CE58434"/>
    <w:rsid w:val="2CF63623"/>
    <w:rsid w:val="2D389042"/>
    <w:rsid w:val="2D6CB5E4"/>
    <w:rsid w:val="2D9EF16A"/>
    <w:rsid w:val="2DF2C4A1"/>
    <w:rsid w:val="2E131EFB"/>
    <w:rsid w:val="2E6E127F"/>
    <w:rsid w:val="2E7A9634"/>
    <w:rsid w:val="2EE102F5"/>
    <w:rsid w:val="2F11A608"/>
    <w:rsid w:val="2F157BA7"/>
    <w:rsid w:val="2F3B019C"/>
    <w:rsid w:val="2F653D6F"/>
    <w:rsid w:val="2F901F49"/>
    <w:rsid w:val="2FAB0CF4"/>
    <w:rsid w:val="3062F81C"/>
    <w:rsid w:val="30A14FEA"/>
    <w:rsid w:val="30E62238"/>
    <w:rsid w:val="30F58390"/>
    <w:rsid w:val="3107A8B1"/>
    <w:rsid w:val="311C189B"/>
    <w:rsid w:val="312B7494"/>
    <w:rsid w:val="31482727"/>
    <w:rsid w:val="31513DAA"/>
    <w:rsid w:val="316585D9"/>
    <w:rsid w:val="31EB4E2A"/>
    <w:rsid w:val="31F25746"/>
    <w:rsid w:val="325440CA"/>
    <w:rsid w:val="3259F59F"/>
    <w:rsid w:val="3279BCF3"/>
    <w:rsid w:val="3293AA47"/>
    <w:rsid w:val="329A3B71"/>
    <w:rsid w:val="32CFAA20"/>
    <w:rsid w:val="33194951"/>
    <w:rsid w:val="3333F5E9"/>
    <w:rsid w:val="33347BF3"/>
    <w:rsid w:val="337B5048"/>
    <w:rsid w:val="33833AD2"/>
    <w:rsid w:val="33E3A3C2"/>
    <w:rsid w:val="3444421E"/>
    <w:rsid w:val="34904FEC"/>
    <w:rsid w:val="34F57B07"/>
    <w:rsid w:val="3508516B"/>
    <w:rsid w:val="350D33B9"/>
    <w:rsid w:val="358A1732"/>
    <w:rsid w:val="35CB7531"/>
    <w:rsid w:val="35D12154"/>
    <w:rsid w:val="35E48779"/>
    <w:rsid w:val="35F31872"/>
    <w:rsid w:val="36188502"/>
    <w:rsid w:val="363F0887"/>
    <w:rsid w:val="3662E4AA"/>
    <w:rsid w:val="366BA568"/>
    <w:rsid w:val="366C6DF7"/>
    <w:rsid w:val="36891091"/>
    <w:rsid w:val="36C00D83"/>
    <w:rsid w:val="36CEE0D2"/>
    <w:rsid w:val="36ED0D1D"/>
    <w:rsid w:val="36F81349"/>
    <w:rsid w:val="372053AC"/>
    <w:rsid w:val="3780E546"/>
    <w:rsid w:val="37EBD59D"/>
    <w:rsid w:val="3814DF80"/>
    <w:rsid w:val="381F041F"/>
    <w:rsid w:val="384F8102"/>
    <w:rsid w:val="38541D72"/>
    <w:rsid w:val="38ED59DB"/>
    <w:rsid w:val="391F1931"/>
    <w:rsid w:val="396E7F08"/>
    <w:rsid w:val="399516A1"/>
    <w:rsid w:val="39BE1ABE"/>
    <w:rsid w:val="3A349936"/>
    <w:rsid w:val="3A43F98B"/>
    <w:rsid w:val="3A59A9E9"/>
    <w:rsid w:val="3A9B7BEF"/>
    <w:rsid w:val="3AAC9F76"/>
    <w:rsid w:val="3B09242D"/>
    <w:rsid w:val="3B28E96A"/>
    <w:rsid w:val="3BF1EB85"/>
    <w:rsid w:val="3BF76CE1"/>
    <w:rsid w:val="3C2321C4"/>
    <w:rsid w:val="3C27C917"/>
    <w:rsid w:val="3C38276A"/>
    <w:rsid w:val="3CF10D4F"/>
    <w:rsid w:val="3D1086A9"/>
    <w:rsid w:val="3D10BA4D"/>
    <w:rsid w:val="3D5B3BA7"/>
    <w:rsid w:val="3D7E00E7"/>
    <w:rsid w:val="3DDFF49C"/>
    <w:rsid w:val="3E3FF83E"/>
    <w:rsid w:val="3E415A9D"/>
    <w:rsid w:val="3E46AEA1"/>
    <w:rsid w:val="3E5FDC2E"/>
    <w:rsid w:val="3E8FADC8"/>
    <w:rsid w:val="3E9E7F04"/>
    <w:rsid w:val="3EB6C4CA"/>
    <w:rsid w:val="3F1ECEAF"/>
    <w:rsid w:val="3F954BC3"/>
    <w:rsid w:val="3F9805BE"/>
    <w:rsid w:val="3F993FD9"/>
    <w:rsid w:val="3FB5EF05"/>
    <w:rsid w:val="3FC03D0C"/>
    <w:rsid w:val="3FD47B7B"/>
    <w:rsid w:val="3FD8BF47"/>
    <w:rsid w:val="40002155"/>
    <w:rsid w:val="400548C8"/>
    <w:rsid w:val="406AEDA0"/>
    <w:rsid w:val="40B93ECF"/>
    <w:rsid w:val="40D7641F"/>
    <w:rsid w:val="40F45A4A"/>
    <w:rsid w:val="40FAC2DE"/>
    <w:rsid w:val="410F1D26"/>
    <w:rsid w:val="412AADCC"/>
    <w:rsid w:val="414E0C11"/>
    <w:rsid w:val="4167CAD0"/>
    <w:rsid w:val="41D157DC"/>
    <w:rsid w:val="41E8FECB"/>
    <w:rsid w:val="41FF79DD"/>
    <w:rsid w:val="4221D179"/>
    <w:rsid w:val="4224F129"/>
    <w:rsid w:val="42448DFC"/>
    <w:rsid w:val="42692215"/>
    <w:rsid w:val="427DB2A2"/>
    <w:rsid w:val="42BB7251"/>
    <w:rsid w:val="42E1FBE9"/>
    <w:rsid w:val="42E827B2"/>
    <w:rsid w:val="42EAA7D1"/>
    <w:rsid w:val="4350C39E"/>
    <w:rsid w:val="43C357FC"/>
    <w:rsid w:val="4400E272"/>
    <w:rsid w:val="44071998"/>
    <w:rsid w:val="441FCC8E"/>
    <w:rsid w:val="44471394"/>
    <w:rsid w:val="4493FB2C"/>
    <w:rsid w:val="45085F38"/>
    <w:rsid w:val="45225D0E"/>
    <w:rsid w:val="4582375D"/>
    <w:rsid w:val="45D69787"/>
    <w:rsid w:val="45F68ED9"/>
    <w:rsid w:val="4667E194"/>
    <w:rsid w:val="46C5931F"/>
    <w:rsid w:val="46C9B900"/>
    <w:rsid w:val="46CCE851"/>
    <w:rsid w:val="470F4287"/>
    <w:rsid w:val="473BFBDF"/>
    <w:rsid w:val="479DBEA6"/>
    <w:rsid w:val="48065B8C"/>
    <w:rsid w:val="480BF886"/>
    <w:rsid w:val="482483B8"/>
    <w:rsid w:val="482600F5"/>
    <w:rsid w:val="482EBC2E"/>
    <w:rsid w:val="4831AFF6"/>
    <w:rsid w:val="488DD2AC"/>
    <w:rsid w:val="489E4FF5"/>
    <w:rsid w:val="48DF1C6F"/>
    <w:rsid w:val="48E2A77A"/>
    <w:rsid w:val="48EA8E18"/>
    <w:rsid w:val="48FA1CA2"/>
    <w:rsid w:val="494DB4CF"/>
    <w:rsid w:val="4953A4BB"/>
    <w:rsid w:val="496C9807"/>
    <w:rsid w:val="497D9BE3"/>
    <w:rsid w:val="49913F52"/>
    <w:rsid w:val="499476AE"/>
    <w:rsid w:val="49B05F82"/>
    <w:rsid w:val="49BB577D"/>
    <w:rsid w:val="4A110283"/>
    <w:rsid w:val="4A973280"/>
    <w:rsid w:val="4A9E3BCD"/>
    <w:rsid w:val="4AC19B33"/>
    <w:rsid w:val="4AE004F8"/>
    <w:rsid w:val="4AE55D79"/>
    <w:rsid w:val="4B47185F"/>
    <w:rsid w:val="4B60914E"/>
    <w:rsid w:val="4B839C4F"/>
    <w:rsid w:val="4BE2D9D3"/>
    <w:rsid w:val="4C1C4C25"/>
    <w:rsid w:val="4C4E1611"/>
    <w:rsid w:val="4C8C4491"/>
    <w:rsid w:val="4D0A3D65"/>
    <w:rsid w:val="4D8DE8C0"/>
    <w:rsid w:val="4DE34A46"/>
    <w:rsid w:val="4DEACFA5"/>
    <w:rsid w:val="4E1E2203"/>
    <w:rsid w:val="4E37BF00"/>
    <w:rsid w:val="4E479886"/>
    <w:rsid w:val="4E9DA81B"/>
    <w:rsid w:val="4EE992E0"/>
    <w:rsid w:val="4F4BAB54"/>
    <w:rsid w:val="4F5E55DF"/>
    <w:rsid w:val="4FE12BD3"/>
    <w:rsid w:val="508A22A0"/>
    <w:rsid w:val="5159D436"/>
    <w:rsid w:val="516E3057"/>
    <w:rsid w:val="5174DFB4"/>
    <w:rsid w:val="518588E1"/>
    <w:rsid w:val="5192A0D4"/>
    <w:rsid w:val="51E16F5D"/>
    <w:rsid w:val="5287F528"/>
    <w:rsid w:val="52BDDB42"/>
    <w:rsid w:val="52CCDBB1"/>
    <w:rsid w:val="52F33E53"/>
    <w:rsid w:val="531012D6"/>
    <w:rsid w:val="5317B92F"/>
    <w:rsid w:val="533FC517"/>
    <w:rsid w:val="5343D6FF"/>
    <w:rsid w:val="534B0690"/>
    <w:rsid w:val="53A9A1BE"/>
    <w:rsid w:val="53A9B65F"/>
    <w:rsid w:val="53B0F174"/>
    <w:rsid w:val="5402B086"/>
    <w:rsid w:val="541B4CB4"/>
    <w:rsid w:val="542CCD6D"/>
    <w:rsid w:val="5471B5AB"/>
    <w:rsid w:val="5479ECAE"/>
    <w:rsid w:val="547A393F"/>
    <w:rsid w:val="548274C5"/>
    <w:rsid w:val="54D92965"/>
    <w:rsid w:val="54F7EF80"/>
    <w:rsid w:val="551DB088"/>
    <w:rsid w:val="5524EC28"/>
    <w:rsid w:val="55278D76"/>
    <w:rsid w:val="55299299"/>
    <w:rsid w:val="552C437B"/>
    <w:rsid w:val="558A0249"/>
    <w:rsid w:val="55BFF28C"/>
    <w:rsid w:val="55F1F53A"/>
    <w:rsid w:val="5605B52F"/>
    <w:rsid w:val="563ABB3A"/>
    <w:rsid w:val="56585FA5"/>
    <w:rsid w:val="56714ECB"/>
    <w:rsid w:val="56C46550"/>
    <w:rsid w:val="56C53153"/>
    <w:rsid w:val="56DE4324"/>
    <w:rsid w:val="572A6FC8"/>
    <w:rsid w:val="5734C078"/>
    <w:rsid w:val="575B6F5F"/>
    <w:rsid w:val="57640367"/>
    <w:rsid w:val="576A9CE2"/>
    <w:rsid w:val="5775C488"/>
    <w:rsid w:val="577E0A63"/>
    <w:rsid w:val="57CD6C13"/>
    <w:rsid w:val="57D5E4EB"/>
    <w:rsid w:val="57F894C6"/>
    <w:rsid w:val="580AEF87"/>
    <w:rsid w:val="580E39E8"/>
    <w:rsid w:val="5817550C"/>
    <w:rsid w:val="58A31283"/>
    <w:rsid w:val="58A33C2D"/>
    <w:rsid w:val="58BC88AB"/>
    <w:rsid w:val="58F2AF44"/>
    <w:rsid w:val="58F35584"/>
    <w:rsid w:val="59137F8C"/>
    <w:rsid w:val="5917AF44"/>
    <w:rsid w:val="594742C0"/>
    <w:rsid w:val="5951DF22"/>
    <w:rsid w:val="59532323"/>
    <w:rsid w:val="595EFE1A"/>
    <w:rsid w:val="59618DC7"/>
    <w:rsid w:val="5963B96E"/>
    <w:rsid w:val="5967F4A2"/>
    <w:rsid w:val="59C5C496"/>
    <w:rsid w:val="59EDEFAD"/>
    <w:rsid w:val="5A2B212C"/>
    <w:rsid w:val="5A3F7813"/>
    <w:rsid w:val="5A483068"/>
    <w:rsid w:val="5A780776"/>
    <w:rsid w:val="5A93EE17"/>
    <w:rsid w:val="5AC6E854"/>
    <w:rsid w:val="5ACC2118"/>
    <w:rsid w:val="5B0B0A70"/>
    <w:rsid w:val="5B233432"/>
    <w:rsid w:val="5B248A11"/>
    <w:rsid w:val="5B71C50E"/>
    <w:rsid w:val="5BB4385C"/>
    <w:rsid w:val="5BBC723C"/>
    <w:rsid w:val="5BC111FE"/>
    <w:rsid w:val="5BDA4207"/>
    <w:rsid w:val="5BEB8264"/>
    <w:rsid w:val="5C15212A"/>
    <w:rsid w:val="5C28A914"/>
    <w:rsid w:val="5C799006"/>
    <w:rsid w:val="5CA1ABCE"/>
    <w:rsid w:val="5CC12A1F"/>
    <w:rsid w:val="5D34BE2A"/>
    <w:rsid w:val="5E66AC44"/>
    <w:rsid w:val="5E78F68C"/>
    <w:rsid w:val="5E87EE16"/>
    <w:rsid w:val="5E9F8AB4"/>
    <w:rsid w:val="5EC1E759"/>
    <w:rsid w:val="5EF17E02"/>
    <w:rsid w:val="5EF4861B"/>
    <w:rsid w:val="5F223C07"/>
    <w:rsid w:val="5F4FF25F"/>
    <w:rsid w:val="5F54EEEB"/>
    <w:rsid w:val="5FA6E0C2"/>
    <w:rsid w:val="60677FCC"/>
    <w:rsid w:val="607FA577"/>
    <w:rsid w:val="60AC0D0B"/>
    <w:rsid w:val="60E76486"/>
    <w:rsid w:val="61153823"/>
    <w:rsid w:val="6148CA93"/>
    <w:rsid w:val="614A0F05"/>
    <w:rsid w:val="61554B7A"/>
    <w:rsid w:val="61665520"/>
    <w:rsid w:val="616D3D4E"/>
    <w:rsid w:val="61F70CE7"/>
    <w:rsid w:val="61FF43B0"/>
    <w:rsid w:val="6208E98B"/>
    <w:rsid w:val="621ED4CE"/>
    <w:rsid w:val="624BADC2"/>
    <w:rsid w:val="631928C5"/>
    <w:rsid w:val="63441DD5"/>
    <w:rsid w:val="6360D0DD"/>
    <w:rsid w:val="63630B28"/>
    <w:rsid w:val="63A25657"/>
    <w:rsid w:val="63AA5091"/>
    <w:rsid w:val="63B556C4"/>
    <w:rsid w:val="63E1FEA5"/>
    <w:rsid w:val="63FB9BB2"/>
    <w:rsid w:val="6451AC79"/>
    <w:rsid w:val="64855348"/>
    <w:rsid w:val="6485D00B"/>
    <w:rsid w:val="64DE3FCE"/>
    <w:rsid w:val="64E3D1D4"/>
    <w:rsid w:val="6522CF71"/>
    <w:rsid w:val="652F67AC"/>
    <w:rsid w:val="6555CFE1"/>
    <w:rsid w:val="65C33EC0"/>
    <w:rsid w:val="65E51103"/>
    <w:rsid w:val="65F89F75"/>
    <w:rsid w:val="6648EFA5"/>
    <w:rsid w:val="66532795"/>
    <w:rsid w:val="6662DFF0"/>
    <w:rsid w:val="669AE68A"/>
    <w:rsid w:val="669B08C2"/>
    <w:rsid w:val="669F041B"/>
    <w:rsid w:val="66B3D6DD"/>
    <w:rsid w:val="671E0D3F"/>
    <w:rsid w:val="67AAF9C0"/>
    <w:rsid w:val="68028272"/>
    <w:rsid w:val="680512FC"/>
    <w:rsid w:val="6806EA83"/>
    <w:rsid w:val="681DE8A6"/>
    <w:rsid w:val="684137CC"/>
    <w:rsid w:val="6841CB3E"/>
    <w:rsid w:val="68A3D74E"/>
    <w:rsid w:val="6962EBCE"/>
    <w:rsid w:val="696DDEA5"/>
    <w:rsid w:val="696FD3D1"/>
    <w:rsid w:val="697635CE"/>
    <w:rsid w:val="69C6F9D1"/>
    <w:rsid w:val="69EFF8CA"/>
    <w:rsid w:val="69F0D63E"/>
    <w:rsid w:val="69F18D6B"/>
    <w:rsid w:val="6A22B5FA"/>
    <w:rsid w:val="6A372C4F"/>
    <w:rsid w:val="6A5B8DC0"/>
    <w:rsid w:val="6AD20893"/>
    <w:rsid w:val="6B4CE555"/>
    <w:rsid w:val="6B4D54E0"/>
    <w:rsid w:val="6B603F3E"/>
    <w:rsid w:val="6B6616D5"/>
    <w:rsid w:val="6B81CFC4"/>
    <w:rsid w:val="6BBCBF01"/>
    <w:rsid w:val="6BEB29F3"/>
    <w:rsid w:val="6C170A8D"/>
    <w:rsid w:val="6C2E8CED"/>
    <w:rsid w:val="6C300BF5"/>
    <w:rsid w:val="6C728B2C"/>
    <w:rsid w:val="6C756316"/>
    <w:rsid w:val="6C76135F"/>
    <w:rsid w:val="6C817893"/>
    <w:rsid w:val="6D276FB0"/>
    <w:rsid w:val="6D2E8C24"/>
    <w:rsid w:val="6D85859C"/>
    <w:rsid w:val="6D91D796"/>
    <w:rsid w:val="6D948C87"/>
    <w:rsid w:val="6DA1BAE7"/>
    <w:rsid w:val="6DAA2B16"/>
    <w:rsid w:val="6DBE451F"/>
    <w:rsid w:val="6DC61DCF"/>
    <w:rsid w:val="6DDC0831"/>
    <w:rsid w:val="6E145D61"/>
    <w:rsid w:val="6E15A373"/>
    <w:rsid w:val="6E2CCC85"/>
    <w:rsid w:val="6E8E52C6"/>
    <w:rsid w:val="6EB5301A"/>
    <w:rsid w:val="6EEDCC74"/>
    <w:rsid w:val="6F87AC0D"/>
    <w:rsid w:val="6FC74287"/>
    <w:rsid w:val="7040ADCB"/>
    <w:rsid w:val="70648778"/>
    <w:rsid w:val="7077513A"/>
    <w:rsid w:val="70FB8FC1"/>
    <w:rsid w:val="7102F32D"/>
    <w:rsid w:val="712870A1"/>
    <w:rsid w:val="7150F6E8"/>
    <w:rsid w:val="7183E8FA"/>
    <w:rsid w:val="7184E303"/>
    <w:rsid w:val="719EABA5"/>
    <w:rsid w:val="71C7345F"/>
    <w:rsid w:val="71E75E01"/>
    <w:rsid w:val="71F63E23"/>
    <w:rsid w:val="72136980"/>
    <w:rsid w:val="724DB4A7"/>
    <w:rsid w:val="724E2280"/>
    <w:rsid w:val="7289F4F9"/>
    <w:rsid w:val="72D807E8"/>
    <w:rsid w:val="7304EAD8"/>
    <w:rsid w:val="730F2EA5"/>
    <w:rsid w:val="73209D07"/>
    <w:rsid w:val="732F6D0C"/>
    <w:rsid w:val="733476AB"/>
    <w:rsid w:val="733A0AB6"/>
    <w:rsid w:val="734ADA18"/>
    <w:rsid w:val="73532618"/>
    <w:rsid w:val="73B75F95"/>
    <w:rsid w:val="73D47F1F"/>
    <w:rsid w:val="73EF365A"/>
    <w:rsid w:val="73FE3A99"/>
    <w:rsid w:val="74430857"/>
    <w:rsid w:val="74430F0D"/>
    <w:rsid w:val="7446E2CB"/>
    <w:rsid w:val="74650FE7"/>
    <w:rsid w:val="74A1ED69"/>
    <w:rsid w:val="74B5D61E"/>
    <w:rsid w:val="74E1F40C"/>
    <w:rsid w:val="74FA6FC3"/>
    <w:rsid w:val="752A62C2"/>
    <w:rsid w:val="75AC6D8D"/>
    <w:rsid w:val="75C02C77"/>
    <w:rsid w:val="75DCF0E3"/>
    <w:rsid w:val="763835D2"/>
    <w:rsid w:val="76DA87F4"/>
    <w:rsid w:val="76EE846F"/>
    <w:rsid w:val="771E1B01"/>
    <w:rsid w:val="77249F1C"/>
    <w:rsid w:val="77465750"/>
    <w:rsid w:val="77504FC4"/>
    <w:rsid w:val="7751E8BD"/>
    <w:rsid w:val="77653A46"/>
    <w:rsid w:val="77FA73EB"/>
    <w:rsid w:val="780B6BD5"/>
    <w:rsid w:val="78289ED7"/>
    <w:rsid w:val="784B9E60"/>
    <w:rsid w:val="7854A7D3"/>
    <w:rsid w:val="78774C51"/>
    <w:rsid w:val="789F78E3"/>
    <w:rsid w:val="78A6441C"/>
    <w:rsid w:val="78E14C02"/>
    <w:rsid w:val="78E6A448"/>
    <w:rsid w:val="7905BC22"/>
    <w:rsid w:val="79350CB5"/>
    <w:rsid w:val="79822130"/>
    <w:rsid w:val="798EB144"/>
    <w:rsid w:val="7994B6CE"/>
    <w:rsid w:val="79AC139D"/>
    <w:rsid w:val="79DFBD57"/>
    <w:rsid w:val="7A022015"/>
    <w:rsid w:val="7A05ADE5"/>
    <w:rsid w:val="7A0986EF"/>
    <w:rsid w:val="7A2C6924"/>
    <w:rsid w:val="7AA60C1C"/>
    <w:rsid w:val="7AAA67EC"/>
    <w:rsid w:val="7AF5E6ED"/>
    <w:rsid w:val="7B028A4C"/>
    <w:rsid w:val="7B2003FC"/>
    <w:rsid w:val="7B6E655E"/>
    <w:rsid w:val="7B7D6496"/>
    <w:rsid w:val="7BA7C4F8"/>
    <w:rsid w:val="7BEEAD89"/>
    <w:rsid w:val="7C6A0C0C"/>
    <w:rsid w:val="7C737009"/>
    <w:rsid w:val="7C765301"/>
    <w:rsid w:val="7D03FD3E"/>
    <w:rsid w:val="7D0CE39E"/>
    <w:rsid w:val="7D484A68"/>
    <w:rsid w:val="7D829FDF"/>
    <w:rsid w:val="7DA77104"/>
    <w:rsid w:val="7E4DF0EF"/>
    <w:rsid w:val="7E8D23D1"/>
    <w:rsid w:val="7E948D92"/>
    <w:rsid w:val="7ECD728A"/>
    <w:rsid w:val="7F0B11C4"/>
    <w:rsid w:val="7F275DE6"/>
    <w:rsid w:val="7F86D016"/>
    <w:rsid w:val="7FB98DC9"/>
    <w:rsid w:val="7FBEE46A"/>
    <w:rsid w:val="7FD425C1"/>
    <w:rsid w:val="7FF1FA0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402E3EA"/>
  <w15:chartTrackingRefBased/>
  <w15:docId w15:val="{A3DECAD9-6D0A-43A7-9522-B4E99DBB4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12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B0ADA"/>
    <w:rPr>
      <w:sz w:val="16"/>
      <w:szCs w:val="16"/>
    </w:rPr>
  </w:style>
  <w:style w:type="paragraph" w:styleId="CommentText">
    <w:name w:val="annotation text"/>
    <w:basedOn w:val="Normal"/>
    <w:link w:val="CommentTextChar"/>
    <w:uiPriority w:val="99"/>
    <w:unhideWhenUsed/>
    <w:rsid w:val="009B0ADA"/>
    <w:pPr>
      <w:spacing w:line="240" w:lineRule="auto"/>
    </w:pPr>
    <w:rPr>
      <w:sz w:val="20"/>
      <w:szCs w:val="20"/>
    </w:rPr>
  </w:style>
  <w:style w:type="character" w:customStyle="1" w:styleId="CommentTextChar">
    <w:name w:val="Comment Text Char"/>
    <w:basedOn w:val="DefaultParagraphFont"/>
    <w:link w:val="CommentText"/>
    <w:uiPriority w:val="99"/>
    <w:rsid w:val="009B0ADA"/>
    <w:rPr>
      <w:sz w:val="20"/>
      <w:szCs w:val="20"/>
    </w:rPr>
  </w:style>
  <w:style w:type="character" w:customStyle="1" w:styleId="ui-provider">
    <w:name w:val="ui-provider"/>
    <w:basedOn w:val="DefaultParagraphFont"/>
    <w:rsid w:val="009B0ADA"/>
  </w:style>
  <w:style w:type="paragraph" w:styleId="ListParagraph">
    <w:name w:val="List Paragraph"/>
    <w:basedOn w:val="Normal"/>
    <w:uiPriority w:val="34"/>
    <w:qFormat/>
    <w:rsid w:val="008A2D5C"/>
    <w:pPr>
      <w:ind w:left="720"/>
      <w:contextualSpacing/>
    </w:pPr>
  </w:style>
  <w:style w:type="paragraph" w:styleId="FootnoteText">
    <w:name w:val="footnote text"/>
    <w:basedOn w:val="Normal"/>
    <w:link w:val="FootnoteTextChar"/>
    <w:uiPriority w:val="99"/>
    <w:semiHidden/>
    <w:unhideWhenUsed/>
    <w:rsid w:val="00DF5E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F5E1E"/>
    <w:rPr>
      <w:sz w:val="20"/>
      <w:szCs w:val="20"/>
    </w:rPr>
  </w:style>
  <w:style w:type="character" w:styleId="FootnoteReference">
    <w:name w:val="footnote reference"/>
    <w:basedOn w:val="DefaultParagraphFont"/>
    <w:uiPriority w:val="99"/>
    <w:semiHidden/>
    <w:unhideWhenUsed/>
    <w:rsid w:val="00DF5E1E"/>
    <w:rPr>
      <w:vertAlign w:val="superscript"/>
    </w:rPr>
  </w:style>
  <w:style w:type="character" w:styleId="Hyperlink">
    <w:name w:val="Hyperlink"/>
    <w:basedOn w:val="DefaultParagraphFont"/>
    <w:uiPriority w:val="99"/>
    <w:unhideWhenUsed/>
    <w:rsid w:val="00DF5E1E"/>
    <w:rPr>
      <w:color w:val="0563C1" w:themeColor="hyperlink"/>
      <w:u w:val="single"/>
    </w:rPr>
  </w:style>
  <w:style w:type="character" w:styleId="Mention">
    <w:name w:val="Mention"/>
    <w:basedOn w:val="DefaultParagraphFont"/>
    <w:uiPriority w:val="99"/>
    <w:unhideWhenUsed/>
    <w:rsid w:val="00A11FFA"/>
    <w:rPr>
      <w:color w:val="2B579A"/>
      <w:shd w:val="clear" w:color="auto" w:fill="E1DFDD"/>
    </w:rPr>
  </w:style>
  <w:style w:type="paragraph" w:styleId="CommentSubject">
    <w:name w:val="annotation subject"/>
    <w:basedOn w:val="CommentText"/>
    <w:next w:val="CommentText"/>
    <w:link w:val="CommentSubjectChar"/>
    <w:uiPriority w:val="99"/>
    <w:semiHidden/>
    <w:unhideWhenUsed/>
    <w:rsid w:val="005B0592"/>
    <w:rPr>
      <w:b/>
      <w:bCs/>
    </w:rPr>
  </w:style>
  <w:style w:type="character" w:customStyle="1" w:styleId="CommentSubjectChar">
    <w:name w:val="Comment Subject Char"/>
    <w:basedOn w:val="CommentTextChar"/>
    <w:link w:val="CommentSubject"/>
    <w:uiPriority w:val="99"/>
    <w:semiHidden/>
    <w:rsid w:val="005B0592"/>
    <w:rPr>
      <w:b/>
      <w:bCs/>
      <w:sz w:val="20"/>
      <w:szCs w:val="20"/>
    </w:rPr>
  </w:style>
  <w:style w:type="paragraph" w:styleId="Header">
    <w:name w:val="header"/>
    <w:basedOn w:val="Normal"/>
    <w:link w:val="HeaderChar"/>
    <w:uiPriority w:val="99"/>
    <w:unhideWhenUsed/>
    <w:rsid w:val="009910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10CB"/>
  </w:style>
  <w:style w:type="paragraph" w:styleId="Footer">
    <w:name w:val="footer"/>
    <w:basedOn w:val="Normal"/>
    <w:link w:val="FooterChar"/>
    <w:uiPriority w:val="99"/>
    <w:unhideWhenUsed/>
    <w:rsid w:val="009910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10CB"/>
  </w:style>
  <w:style w:type="paragraph" w:styleId="Revision">
    <w:name w:val="Revision"/>
    <w:hidden/>
    <w:uiPriority w:val="99"/>
    <w:semiHidden/>
    <w:rsid w:val="00FC5711"/>
    <w:pPr>
      <w:spacing w:after="0" w:line="240" w:lineRule="auto"/>
    </w:pPr>
  </w:style>
  <w:style w:type="character" w:styleId="UnresolvedMention">
    <w:name w:val="Unresolved Mention"/>
    <w:basedOn w:val="DefaultParagraphFont"/>
    <w:uiPriority w:val="99"/>
    <w:semiHidden/>
    <w:unhideWhenUsed/>
    <w:rsid w:val="00F53119"/>
    <w:rPr>
      <w:color w:val="605E5C"/>
      <w:shd w:val="clear" w:color="auto" w:fill="E1DFDD"/>
    </w:rPr>
  </w:style>
  <w:style w:type="character" w:customStyle="1" w:styleId="normaltextrun">
    <w:name w:val="normaltextrun"/>
    <w:basedOn w:val="DefaultParagraphFont"/>
    <w:rsid w:val="00051CCA"/>
  </w:style>
  <w:style w:type="character" w:customStyle="1" w:styleId="cf01">
    <w:name w:val="cf01"/>
    <w:basedOn w:val="DefaultParagraphFont"/>
    <w:rsid w:val="00A0152B"/>
    <w:rPr>
      <w:rFonts w:ascii="Segoe UI" w:hAnsi="Segoe UI" w:cs="Segoe UI" w:hint="default"/>
      <w:sz w:val="18"/>
      <w:szCs w:val="18"/>
    </w:rPr>
  </w:style>
  <w:style w:type="table" w:styleId="TableGrid">
    <w:name w:val="Table Grid"/>
    <w:basedOn w:val="TableNormal"/>
    <w:uiPriority w:val="59"/>
    <w:rsid w:val="0008706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s3.amazonaws.com/PCRN/docs/OCTAE_Program_Memo_24-1_Perkins_State_Plan_Guidance.pdf" TargetMode="External" /><Relationship Id="rId2" Type="http://schemas.openxmlformats.org/officeDocument/2006/relationships/hyperlink" Target="https://www.ed.gov/sites/ed/files/about/offices/list/ovae/pi/AdultEd/octae-program-memo-17-2.pdf" TargetMode="External" /><Relationship Id="rId3" Type="http://schemas.openxmlformats.org/officeDocument/2006/relationships/hyperlink" Target="https://obamawhitehouse.archives.gov/sites/default/files/omb/inforeg/pmc_survey_guidance_2006.pdf" TargetMode="External" /><Relationship Id="rId4" Type="http://schemas.openxmlformats.org/officeDocument/2006/relationships/hyperlink" Target="https://www.dol.gov/sites/dolgov/files/OASP/legacy/files/Data-on-Earnings-Report.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9840e33-be4d-483b-b284-1b3f1bba7c73">
      <Terms xmlns="http://schemas.microsoft.com/office/infopath/2007/PartnerControls"/>
    </lcf76f155ced4ddcb4097134ff3c332f>
    <TaxCatchAll xmlns="2a2db8c4-56ab-4882-a5d0-0fe8165c665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4F3EC88EC275F42A062B9BC38B9B5A8" ma:contentTypeVersion="15" ma:contentTypeDescription="Create a new document." ma:contentTypeScope="" ma:versionID="7961cec3bdead669a0a19d7f3feb2465">
  <xsd:schema xmlns:xsd="http://www.w3.org/2001/XMLSchema" xmlns:xs="http://www.w3.org/2001/XMLSchema" xmlns:p="http://schemas.microsoft.com/office/2006/metadata/properties" xmlns:ns2="39840e33-be4d-483b-b284-1b3f1bba7c73" xmlns:ns3="f7d635cb-e5c0-4ece-bc29-df9150926014" xmlns:ns4="2a2db8c4-56ab-4882-a5d0-0fe8165c6658" targetNamespace="http://schemas.microsoft.com/office/2006/metadata/properties" ma:root="true" ma:fieldsID="1ceeb41160984827795b938afba826a1" ns2:_="" ns3:_="" ns4:_="">
    <xsd:import namespace="39840e33-be4d-483b-b284-1b3f1bba7c73"/>
    <xsd:import namespace="f7d635cb-e5c0-4ece-bc29-df9150926014"/>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OCR"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840e33-be4d-483b-b284-1b3f1bba7c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d635cb-e5c0-4ece-bc29-df915092601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6e983f8-c126-4839-932c-35fe1b2f4384}" ma:internalName="TaxCatchAll" ma:showField="CatchAllData" ma:web="f7d635cb-e5c0-4ece-bc29-df91509260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13C37C-4B41-44D6-9013-EB322F7CFD19}">
  <ds:schemaRefs>
    <ds:schemaRef ds:uri="http://schemas.openxmlformats.org/officeDocument/2006/bibliography"/>
  </ds:schemaRefs>
</ds:datastoreItem>
</file>

<file path=customXml/itemProps2.xml><?xml version="1.0" encoding="utf-8"?>
<ds:datastoreItem xmlns:ds="http://schemas.openxmlformats.org/officeDocument/2006/customXml" ds:itemID="{AC19A673-0EB4-4A0E-B618-552FD098F4E1}">
  <ds:schemaRefs>
    <ds:schemaRef ds:uri="http://schemas.microsoft.com/sharepoint/v3/contenttype/forms"/>
  </ds:schemaRefs>
</ds:datastoreItem>
</file>

<file path=customXml/itemProps3.xml><?xml version="1.0" encoding="utf-8"?>
<ds:datastoreItem xmlns:ds="http://schemas.openxmlformats.org/officeDocument/2006/customXml" ds:itemID="{E351E785-1CD7-471F-99D6-C556B177F1EB}">
  <ds:schemaRefs>
    <ds:schemaRef ds:uri="http://purl.org/dc/dcmitype/"/>
    <ds:schemaRef ds:uri="http://schemas.microsoft.com/office/2006/metadata/properties"/>
    <ds:schemaRef ds:uri="http://schemas.openxmlformats.org/package/2006/metadata/core-properties"/>
    <ds:schemaRef ds:uri="39840e33-be4d-483b-b284-1b3f1bba7c73"/>
    <ds:schemaRef ds:uri="http://schemas.microsoft.com/office/2006/documentManagement/types"/>
    <ds:schemaRef ds:uri="http://purl.org/dc/terms/"/>
    <ds:schemaRef ds:uri="2a2db8c4-56ab-4882-a5d0-0fe8165c6658"/>
    <ds:schemaRef ds:uri="http://www.w3.org/XML/1998/namespace"/>
    <ds:schemaRef ds:uri="http://schemas.microsoft.com/office/infopath/2007/PartnerControls"/>
    <ds:schemaRef ds:uri="f7d635cb-e5c0-4ece-bc29-df9150926014"/>
    <ds:schemaRef ds:uri="http://purl.org/dc/elements/1.1/"/>
  </ds:schemaRefs>
</ds:datastoreItem>
</file>

<file path=customXml/itemProps4.xml><?xml version="1.0" encoding="utf-8"?>
<ds:datastoreItem xmlns:ds="http://schemas.openxmlformats.org/officeDocument/2006/customXml" ds:itemID="{1C9AC281-9823-4868-924C-049DB7E623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840e33-be4d-483b-b284-1b3f1bba7c73"/>
    <ds:schemaRef ds:uri="f7d635cb-e5c0-4ece-bc29-df9150926014"/>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14053</Words>
  <Characters>78449</Characters>
  <Application>Microsoft Office Word</Application>
  <DocSecurity>0</DocSecurity>
  <Lines>653</Lines>
  <Paragraphs>184</Paragraphs>
  <ScaleCrop>false</ScaleCrop>
  <HeadingPairs>
    <vt:vector size="2" baseType="variant">
      <vt:variant>
        <vt:lpstr>Title</vt:lpstr>
      </vt:variant>
      <vt:variant>
        <vt:i4>1</vt:i4>
      </vt:variant>
    </vt:vector>
  </HeadingPairs>
  <TitlesOfParts>
    <vt:vector size="1" baseType="lpstr">
      <vt:lpstr/>
    </vt:vector>
  </TitlesOfParts>
  <Company>visio</Company>
  <LinksUpToDate>false</LinksUpToDate>
  <CharactersWithSpaces>92318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Goetz, Braden</dc:creator>
  <cp:lastModifiedBy>Pearson, Juliana</cp:lastModifiedBy>
  <cp:revision>2</cp:revision>
  <dcterms:created xsi:type="dcterms:W3CDTF">2024-11-25T19:58:00Z</dcterms:created>
  <dcterms:modified xsi:type="dcterms:W3CDTF">2024-11-25T19:58:00Z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0x010100F4F3EC88EC275F42A062B9BC38B9B5A8</vt:lpwstr>
  </property>
  <property fmtid="{D5CDD505-2E9C-101B-9397-08002B2CF9AE}" pid="3" name="MediaServiceImageTags">
    <vt:lpwstr/>
  </property>
</Properties>
</file>