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3251535">
      <w:pPr>
        <w:jc w:val="center"/>
      </w:pPr>
      <w:r w:rsidRPr="00980E58">
        <w:t>[</w:t>
      </w:r>
      <w:r w:rsidRPr="007633DD">
        <w:t>Docket No</w:t>
      </w:r>
      <w:r w:rsidRPr="00413FDE">
        <w:t xml:space="preserve">. </w:t>
      </w:r>
      <w:r w:rsidR="007941E4">
        <w:t>RD23-</w:t>
      </w:r>
      <w:r w:rsidR="00FF5DF4">
        <w:t>5</w:t>
      </w:r>
      <w:r w:rsidRPr="00413FDE" w:rsidR="00613169">
        <w:t>-000</w:t>
      </w:r>
      <w:r w:rsidRPr="00413FDE">
        <w:t>]</w:t>
      </w:r>
    </w:p>
    <w:p w:rsidR="00A2604E" w:rsidP="00A2604E" w14:paraId="4D16FE54" w14:textId="77777777"/>
    <w:p w:rsidR="00A2604E" w:rsidP="00A2604E" w14:paraId="0627AE31" w14:textId="0B7F896E">
      <w:pPr>
        <w:jc w:val="center"/>
      </w:pPr>
      <w:r>
        <w:t>COMMISSION INFORMATION COLLECTION ACTIVITIES</w:t>
      </w:r>
    </w:p>
    <w:p w:rsidR="00A2604E" w:rsidP="00A2604E" w14:paraId="3B5240D4" w14:textId="40EFF4A8">
      <w:pPr>
        <w:jc w:val="center"/>
      </w:pPr>
      <w:r>
        <w:t xml:space="preserve">COMMENT REQUEST; </w:t>
      </w:r>
      <w:r w:rsidR="00A43B99">
        <w:t>REVISION</w:t>
      </w:r>
    </w:p>
    <w:p w:rsidR="00881405" w:rsidP="00A2604E" w14:paraId="5D8DD33D" w14:textId="77777777">
      <w:pPr>
        <w:jc w:val="center"/>
      </w:pPr>
    </w:p>
    <w:p w:rsidR="00EE33B9" w:rsidP="00FB5C7E" w14:paraId="4F4A1DEC" w14:textId="51888A02">
      <w:pPr>
        <w:jc w:val="center"/>
      </w:pPr>
      <w:r w:rsidRPr="00FB5C7E">
        <w:t>(July 16, 2024)</w:t>
      </w:r>
    </w:p>
    <w:p w:rsidR="00FB5C7E" w:rsidRPr="00FB5C7E" w:rsidP="00FB5C7E" w14:paraId="2D165828"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651CE5" w14:paraId="41E60BD6" w14:textId="2E30EB3A">
      <w:pPr>
        <w:spacing w:after="160" w:line="480" w:lineRule="auto"/>
      </w:pPr>
      <w:r w:rsidRPr="00CE64F2">
        <w:rPr>
          <w:b/>
        </w:rPr>
        <w:t>SUMMARY:</w:t>
      </w:r>
      <w:r>
        <w:t xml:space="preserve">  </w:t>
      </w:r>
      <w:bookmarkStart w:id="1" w:name="_Hlk102460280"/>
      <w:r w:rsidRPr="007941E4" w:rsidR="007941E4">
        <w:t xml:space="preserve">In compliance with the requirements of the Paperwork Reduction Act of 1995, the Federal Energy Regulatory Commission (Commission or FERC) is soliciting public comment on proposed revisions of the currently approved information </w:t>
      </w:r>
      <w:r w:rsidRPr="007941E4" w:rsidR="000231B6">
        <w:t>collection,</w:t>
      </w:r>
      <w:r w:rsidR="000231B6">
        <w:t xml:space="preserve"> FERC-725G, </w:t>
      </w:r>
      <w:r w:rsidRPr="000231B6" w:rsidR="000231B6">
        <w:t>(Mandatory Reliability Standards for the Bulk-Power System</w:t>
      </w:r>
      <w:r w:rsidR="00CF7C86">
        <w:t>)</w:t>
      </w:r>
      <w:r w:rsidRPr="000231B6" w:rsidR="000231B6">
        <w:t xml:space="preserve"> Approval of PRC Reliability Standard PRC-023-6</w:t>
      </w:r>
      <w:r w:rsidR="000231B6">
        <w:t xml:space="preserve">. </w:t>
      </w:r>
      <w:r w:rsidRPr="007941E4" w:rsidR="007941E4">
        <w:t xml:space="preserve">The 60-day notice comment period ended on </w:t>
      </w:r>
      <w:r w:rsidR="00D95BD7">
        <w:t>July 1, 2024</w:t>
      </w:r>
      <w:r w:rsidR="004E3742">
        <w:t>.</w:t>
      </w:r>
      <w:r w:rsidRPr="007941E4" w:rsidR="004E3742">
        <w:t xml:space="preserve"> </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68E580B2">
      <w:pPr>
        <w:spacing w:line="480" w:lineRule="auto"/>
      </w:pPr>
      <w:r w:rsidRPr="00524164">
        <w:rPr>
          <w:b/>
        </w:rPr>
        <w:t>ADDRESSES:</w:t>
      </w:r>
      <w:r w:rsidRPr="00524164">
        <w:t xml:space="preserve"> </w:t>
      </w:r>
      <w:r w:rsidRPr="00BB5EF5">
        <w:rPr>
          <w:iCs/>
        </w:rPr>
        <w:t>Send written comments on FERC-</w:t>
      </w:r>
      <w:r w:rsidR="007941E4">
        <w:t>725</w:t>
      </w:r>
      <w:r w:rsidR="000231B6">
        <w:t>G (1902-0252)</w:t>
      </w:r>
      <w:r>
        <w:t xml:space="preserve">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w:t>
      </w:r>
      <w:r w:rsidR="00575368">
        <w:rPr>
          <w:iCs/>
        </w:rPr>
        <w:t xml:space="preserve">s </w:t>
      </w:r>
      <w:r w:rsidRPr="00BB5EF5">
        <w:rPr>
          <w:iCs/>
        </w:rPr>
        <w:t>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651CE5" w:rsidRPr="00BB5EF5" w:rsidP="00651CE5" w14:paraId="5148487D" w14:textId="1275E566">
      <w:pPr>
        <w:spacing w:line="480" w:lineRule="auto"/>
      </w:pPr>
      <w:r>
        <w:t xml:space="preserve">Please submit copies of your comments to the Commission.  You may submit copies of your comments (identified by Docket No. </w:t>
      </w:r>
      <w:r w:rsidR="00385B9A">
        <w:t>RD23-</w:t>
      </w:r>
      <w:r w:rsidR="00FF5DF4">
        <w:t>5</w:t>
      </w:r>
      <w:r>
        <w:t>-000)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7777777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651CE5" w:rsidRPr="00651CE5" w:rsidP="00206037" w14:paraId="3014A5B0" w14:textId="739C109B">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telephone at (202) 502-</w:t>
      </w:r>
      <w:r w:rsidR="001E6BA7">
        <w:t>6362</w:t>
      </w:r>
      <w:r w:rsidRPr="00BB5EF5">
        <w:t>.</w:t>
      </w:r>
      <w:r w:rsidRPr="00524164">
        <w:t xml:space="preserve"> </w:t>
      </w:r>
    </w:p>
    <w:p w:rsidR="00575368" w:rsidRPr="000F3BC3" w:rsidP="00575368" w14:paraId="36B5AAEA" w14:textId="77777777">
      <w:pPr>
        <w:spacing w:line="480" w:lineRule="auto"/>
        <w:rPr>
          <w:szCs w:val="26"/>
        </w:rPr>
      </w:pPr>
      <w:r w:rsidRPr="000F3BC3">
        <w:rPr>
          <w:b/>
          <w:szCs w:val="26"/>
        </w:rPr>
        <w:t>SUPPLEMENTARY INFORMATION:</w:t>
      </w:r>
      <w:r w:rsidRPr="000F3BC3">
        <w:rPr>
          <w:szCs w:val="26"/>
        </w:rPr>
        <w:t xml:space="preserve">  </w:t>
      </w:r>
    </w:p>
    <w:p w:rsidR="000231B6" w:rsidRPr="000F3BC3" w:rsidP="000231B6" w14:paraId="2E99CDA2" w14:textId="77777777">
      <w:pPr>
        <w:spacing w:line="480" w:lineRule="auto"/>
        <w:rPr>
          <w:rFonts w:eastAsiaTheme="minorEastAsia"/>
        </w:rPr>
      </w:pPr>
      <w:bookmarkStart w:id="6" w:name="_Hlk161413454"/>
      <w:r w:rsidRPr="6D52CCCC">
        <w:rPr>
          <w:i/>
          <w:iCs/>
        </w:rPr>
        <w:t xml:space="preserve">Title: </w:t>
      </w:r>
      <w:r>
        <w:t xml:space="preserve">FERC-725G </w:t>
      </w:r>
      <w:bookmarkStart w:id="7" w:name="_Hlk169046908"/>
      <w:r>
        <w:t>(</w:t>
      </w:r>
      <w:r w:rsidRPr="6D52CCCC">
        <w:rPr>
          <w:rFonts w:eastAsiaTheme="minorEastAsia"/>
        </w:rPr>
        <w:t>Mandatory Reliability Standards for the Bulk-Power System: Approval of PRC Reliability Standard PRC-02</w:t>
      </w:r>
      <w:r>
        <w:rPr>
          <w:rFonts w:eastAsiaTheme="minorEastAsia"/>
        </w:rPr>
        <w:t>3</w:t>
      </w:r>
      <w:r w:rsidRPr="6D52CCCC">
        <w:rPr>
          <w:rFonts w:eastAsiaTheme="minorEastAsia"/>
        </w:rPr>
        <w:t>-</w:t>
      </w:r>
      <w:r>
        <w:rPr>
          <w:rFonts w:eastAsiaTheme="minorEastAsia"/>
        </w:rPr>
        <w:t>6</w:t>
      </w:r>
      <w:bookmarkEnd w:id="7"/>
      <w:r w:rsidRPr="6D52CCCC">
        <w:rPr>
          <w:rFonts w:eastAsiaTheme="minorEastAsia"/>
        </w:rPr>
        <w:t>.</w:t>
      </w:r>
    </w:p>
    <w:p w:rsidR="000231B6" w:rsidRPr="000F3BC3" w:rsidP="000231B6" w14:paraId="5D729292" w14:textId="77777777">
      <w:pPr>
        <w:spacing w:line="480" w:lineRule="auto"/>
        <w:rPr>
          <w:rFonts w:eastAsiaTheme="minorEastAsia"/>
        </w:rPr>
      </w:pPr>
      <w:r w:rsidRPr="6D52CCCC">
        <w:rPr>
          <w:i/>
          <w:iCs/>
        </w:rPr>
        <w:t xml:space="preserve">OMB Control No.: </w:t>
      </w:r>
      <w:r>
        <w:t>1902-0252</w:t>
      </w:r>
    </w:p>
    <w:p w:rsidR="000231B6" w:rsidP="000231B6" w14:paraId="0F6DD943" w14:textId="77777777">
      <w:pPr>
        <w:spacing w:line="480" w:lineRule="auto"/>
      </w:pPr>
      <w:r w:rsidRPr="6D52CCCC">
        <w:rPr>
          <w:i/>
          <w:iCs/>
        </w:rPr>
        <w:t>Type of Request:</w:t>
      </w:r>
      <w:r>
        <w:t xml:space="preserve"> </w:t>
      </w:r>
      <w:r w:rsidRPr="6D52CCCC">
        <w:rPr>
          <w:rFonts w:eastAsiaTheme="minorEastAsia"/>
        </w:rPr>
        <w:t>Approval of FERC-725G information collection requirements associated with proposed PRC Reliability Standard PRC-02</w:t>
      </w:r>
      <w:r>
        <w:rPr>
          <w:rFonts w:eastAsiaTheme="minorEastAsia"/>
        </w:rPr>
        <w:t>3</w:t>
      </w:r>
      <w:r w:rsidRPr="6D52CCCC">
        <w:rPr>
          <w:rFonts w:eastAsiaTheme="minorEastAsia"/>
        </w:rPr>
        <w:t>-</w:t>
      </w:r>
      <w:r>
        <w:rPr>
          <w:rFonts w:eastAsiaTheme="minorEastAsia"/>
        </w:rPr>
        <w:t>6</w:t>
      </w:r>
      <w:r w:rsidRPr="6D52CCCC">
        <w:rPr>
          <w:rFonts w:eastAsiaTheme="minorEastAsia"/>
        </w:rPr>
        <w:t>.</w:t>
      </w:r>
      <w:r>
        <w:t xml:space="preserve"> </w:t>
      </w:r>
    </w:p>
    <w:p w:rsidR="000231B6" w:rsidRPr="00132785" w:rsidP="000231B6" w14:paraId="710DC0CB" w14:textId="530E9E8E">
      <w:pPr>
        <w:spacing w:line="480" w:lineRule="auto"/>
        <w:rPr>
          <w:rFonts w:eastAsia="Calibri"/>
          <w:szCs w:val="26"/>
        </w:rPr>
      </w:pPr>
      <w:r w:rsidRPr="02DEA4E6">
        <w:rPr>
          <w:i/>
          <w:iCs/>
        </w:rPr>
        <w:t>Abstract:</w:t>
      </w:r>
      <w:r>
        <w:t xml:space="preserve"> </w:t>
      </w:r>
      <w:r w:rsidRPr="02DEA4E6">
        <w:rPr>
          <w:szCs w:val="26"/>
        </w:rPr>
        <w:t xml:space="preserve"> </w:t>
      </w:r>
      <w:r w:rsidRPr="00132785">
        <w:rPr>
          <w:szCs w:val="26"/>
        </w:rPr>
        <w:t xml:space="preserve">This Notice pertains to the </w:t>
      </w:r>
      <w:r w:rsidRPr="00132785">
        <w:rPr>
          <w:rFonts w:eastAsiaTheme="minorEastAsia"/>
          <w:szCs w:val="26"/>
        </w:rPr>
        <w:t xml:space="preserve">FERC-725G information collection requirements associated </w:t>
      </w:r>
      <w:r w:rsidR="00A32F06">
        <w:rPr>
          <w:rFonts w:eastAsiaTheme="minorEastAsia"/>
          <w:szCs w:val="26"/>
        </w:rPr>
        <w:t xml:space="preserve">with </w:t>
      </w:r>
      <w:r w:rsidRPr="00132785">
        <w:rPr>
          <w:rFonts w:eastAsiaTheme="minorEastAsia"/>
          <w:szCs w:val="26"/>
        </w:rPr>
        <w:t xml:space="preserve">Reliability Standard PRC-023-6 (Transmission Relay </w:t>
      </w:r>
      <w:r w:rsidRPr="00132785">
        <w:rPr>
          <w:rFonts w:eastAsiaTheme="minorEastAsia"/>
          <w:szCs w:val="26"/>
        </w:rPr>
        <w:t>Loadability</w:t>
      </w:r>
      <w:r w:rsidRPr="00132785">
        <w:rPr>
          <w:rFonts w:eastAsiaTheme="minorEastAsia"/>
          <w:szCs w:val="26"/>
        </w:rPr>
        <w:t xml:space="preserve">), the associated proposed implementation plan, and violation risk factors and violation severity levels. </w:t>
      </w:r>
      <w:r w:rsidRPr="00132785">
        <w:rPr>
          <w:rFonts w:eastAsia="Calibri"/>
          <w:szCs w:val="26"/>
        </w:rPr>
        <w:t xml:space="preserve">On March 2, 2023, the North American Electric Reliability Corporation (NERC) filed a petition seeking approval of proposed </w:t>
      </w:r>
      <w:bookmarkStart w:id="8" w:name="_Hlk158215303"/>
      <w:r w:rsidRPr="00132785">
        <w:rPr>
          <w:rFonts w:eastAsia="Calibri"/>
          <w:szCs w:val="26"/>
        </w:rPr>
        <w:t xml:space="preserve">Reliability Standard PRC-023-6 (Transmission Relay </w:t>
      </w:r>
      <w:r w:rsidRPr="00132785">
        <w:rPr>
          <w:rFonts w:eastAsia="Calibri"/>
          <w:szCs w:val="26"/>
        </w:rPr>
        <w:t>Loadability</w:t>
      </w:r>
      <w:r w:rsidRPr="00132785">
        <w:rPr>
          <w:rFonts w:eastAsia="Calibri"/>
          <w:szCs w:val="26"/>
        </w:rPr>
        <w:t>), the associated proposed implementation plan, and violation risk factors and violation severity levels</w:t>
      </w:r>
      <w:bookmarkEnd w:id="8"/>
      <w:r w:rsidRPr="00132785">
        <w:rPr>
          <w:rFonts w:eastAsia="Calibri"/>
          <w:szCs w:val="26"/>
        </w:rPr>
        <w:t>.</w:t>
      </w:r>
      <w:r>
        <w:rPr>
          <w:rFonts w:eastAsia="Calibri"/>
          <w:szCs w:val="26"/>
          <w:vertAlign w:val="superscript"/>
        </w:rPr>
        <w:footnoteReference w:id="3"/>
      </w:r>
      <w:r w:rsidRPr="00132785">
        <w:rPr>
          <w:rFonts w:eastAsia="Calibri"/>
          <w:szCs w:val="26"/>
        </w:rPr>
        <w:t xml:space="preserve">  NERC also requested the Commission’s approval of the retirement of the version of Reliability Standard PRC-023 </w:t>
      </w:r>
      <w:r w:rsidRPr="00132785">
        <w:rPr>
          <w:rFonts w:eastAsia="Calibri"/>
          <w:szCs w:val="26"/>
        </w:rPr>
        <w:t>that would be in effect (i.e., currently effective Reliability Standard PRC-023-4 or the approved but not yet effective Reliability Standard PRC-023-5).</w:t>
      </w:r>
      <w:r>
        <w:rPr>
          <w:rFonts w:eastAsia="Calibri"/>
          <w:szCs w:val="26"/>
          <w:vertAlign w:val="superscript"/>
        </w:rPr>
        <w:footnoteReference w:id="4"/>
      </w:r>
    </w:p>
    <w:p w:rsidR="000231B6" w:rsidRPr="00132785" w:rsidP="000231B6" w14:paraId="12AD65C2" w14:textId="55A095B0">
      <w:pPr>
        <w:spacing w:line="480" w:lineRule="auto"/>
        <w:rPr>
          <w:rFonts w:eastAsia="Calibri"/>
          <w:szCs w:val="26"/>
        </w:rPr>
      </w:pPr>
      <w:r w:rsidRPr="00132785">
        <w:rPr>
          <w:rFonts w:eastAsia="Calibri"/>
          <w:szCs w:val="26"/>
        </w:rPr>
        <w:tab/>
        <w:t>NERC explains that the proposed Reliability Standard would advance Bulk-Power System reliability by removing certain redundant and unnecessary language from the Standard related to the setting of out-of-step blocking relays.  To achieve this, NERC proposes to retire the Reliability Standard’s Requirement R2 related to setting out-of-step blocking schemes to allow tripping of phase protective relays and remove the Attachment A, Item 2.3 exclusion for protection systems intended for protection during stable power swings.</w:t>
      </w:r>
      <w:r>
        <w:rPr>
          <w:rFonts w:eastAsia="Calibri"/>
          <w:szCs w:val="26"/>
          <w:vertAlign w:val="superscript"/>
        </w:rPr>
        <w:footnoteReference w:id="5"/>
      </w:r>
      <w:r w:rsidRPr="00132785">
        <w:rPr>
          <w:rFonts w:eastAsia="Calibri"/>
          <w:szCs w:val="26"/>
        </w:rPr>
        <w:t xml:space="preserve">  NERC states that Requirement R2 is redundant because the fault condition addressed by Requirement R2 is addressed by Requirement R1 and requires the same compliance activity by the entity.</w:t>
      </w:r>
      <w:r>
        <w:rPr>
          <w:rFonts w:eastAsia="Calibri"/>
          <w:szCs w:val="26"/>
          <w:vertAlign w:val="superscript"/>
        </w:rPr>
        <w:footnoteReference w:id="6"/>
      </w:r>
      <w:r w:rsidRPr="00132785">
        <w:rPr>
          <w:rFonts w:eastAsia="Calibri"/>
          <w:szCs w:val="26"/>
        </w:rPr>
        <w:t xml:space="preserve">  NERC explains, thus, that Requirement R2 is not needed for reliability.  Further, NERC explains that the exclusion in Attachment A, Item 2.3 is no longer necessary due to system changes.</w:t>
      </w:r>
      <w:r>
        <w:rPr>
          <w:rFonts w:eastAsia="Calibri"/>
          <w:szCs w:val="26"/>
          <w:vertAlign w:val="superscript"/>
        </w:rPr>
        <w:footnoteReference w:id="7"/>
      </w:r>
    </w:p>
    <w:p w:rsidR="000231B6" w:rsidRPr="00132785" w:rsidP="000231B6" w14:paraId="38733C3B" w14:textId="422C836D">
      <w:pPr>
        <w:spacing w:line="480" w:lineRule="auto"/>
        <w:rPr>
          <w:rFonts w:eastAsia="Calibri"/>
          <w:szCs w:val="26"/>
        </w:rPr>
      </w:pPr>
      <w:r w:rsidRPr="00132785">
        <w:rPr>
          <w:rFonts w:eastAsia="Calibri"/>
          <w:szCs w:val="26"/>
        </w:rPr>
        <w:tab/>
        <w:t xml:space="preserve">On October 10, 2023, the </w:t>
      </w:r>
      <w:r w:rsidR="00B55158">
        <w:rPr>
          <w:rFonts w:eastAsia="Calibri"/>
          <w:szCs w:val="26"/>
        </w:rPr>
        <w:t xml:space="preserve">Commission’s </w:t>
      </w:r>
      <w:r w:rsidRPr="00132785">
        <w:rPr>
          <w:rFonts w:eastAsia="Calibri"/>
          <w:szCs w:val="26"/>
        </w:rPr>
        <w:t xml:space="preserve">Office of Electric Reliability issued a letter requesting that NERC provide additional information to explain how Requirement R2 of Reliability Standard PRC-023 is redundant to Requirement R1 and confirm whether the existing obligations in Requirement R2 would be enforced and audited under </w:t>
      </w:r>
      <w:r w:rsidRPr="00132785">
        <w:rPr>
          <w:rFonts w:eastAsia="Calibri"/>
          <w:szCs w:val="26"/>
        </w:rPr>
        <w:t>Requirement R1.</w:t>
      </w:r>
      <w:r>
        <w:rPr>
          <w:rFonts w:eastAsia="Calibri"/>
          <w:szCs w:val="26"/>
          <w:vertAlign w:val="superscript"/>
        </w:rPr>
        <w:footnoteReference w:id="8"/>
      </w:r>
      <w:r w:rsidRPr="00132785">
        <w:rPr>
          <w:rFonts w:eastAsia="Calibri"/>
          <w:szCs w:val="26"/>
        </w:rPr>
        <w:t xml:space="preserve">  NERC filed its amended petition on November 3, 2023.  In its amended petition, NERC confirms that because Requirement R2 is redundant to Requirement R1, any entity noncompliance with existing obligations of Requirement R2 would be assessed under Requirement R1.</w:t>
      </w:r>
      <w:r>
        <w:rPr>
          <w:rFonts w:eastAsia="Calibri"/>
          <w:szCs w:val="26"/>
          <w:vertAlign w:val="superscript"/>
        </w:rPr>
        <w:footnoteReference w:id="9"/>
      </w:r>
    </w:p>
    <w:p w:rsidR="000231B6" w:rsidRPr="00132785" w:rsidP="000231B6" w14:paraId="541E96F0" w14:textId="6D3FE943">
      <w:pPr>
        <w:spacing w:line="480" w:lineRule="auto"/>
        <w:rPr>
          <w:rFonts w:eastAsia="Calibri"/>
          <w:szCs w:val="26"/>
        </w:rPr>
      </w:pPr>
      <w:r w:rsidRPr="00132785">
        <w:rPr>
          <w:rFonts w:eastAsia="Calibri"/>
          <w:szCs w:val="26"/>
        </w:rPr>
        <w:tab/>
        <w:t xml:space="preserve">The petition was noticed on March 22, 2023, with interventions, comments, and protests due on or before April 21, 2023.  No interventions, comments, or protests were filed. </w:t>
      </w:r>
    </w:p>
    <w:p w:rsidR="000231B6" w:rsidRPr="00132785" w:rsidP="000231B6" w14:paraId="45B12FCB" w14:textId="78404EB9">
      <w:pPr>
        <w:spacing w:line="480" w:lineRule="auto"/>
        <w:rPr>
          <w:rFonts w:eastAsia="Calibri"/>
          <w:szCs w:val="26"/>
        </w:rPr>
      </w:pPr>
      <w:r w:rsidRPr="00132785">
        <w:rPr>
          <w:rFonts w:eastAsia="Calibri"/>
          <w:szCs w:val="26"/>
        </w:rPr>
        <w:tab/>
        <w:t>Due to NERC’s confirmation that any entity</w:t>
      </w:r>
      <w:r w:rsidR="00904F46">
        <w:rPr>
          <w:rFonts w:eastAsia="Calibri"/>
          <w:szCs w:val="26"/>
        </w:rPr>
        <w:t>’s</w:t>
      </w:r>
      <w:r w:rsidRPr="00132785">
        <w:rPr>
          <w:rFonts w:eastAsia="Calibri"/>
          <w:szCs w:val="26"/>
        </w:rPr>
        <w:t xml:space="preserve"> noncompliance with existing obligations under Requirement R2 (i.e., the proper setting out out-of-step blocking relays) can be assessed under Requirement R1 if R2 is retired, NERC’s uncontested filing is hereby approved pursuant to the relevant authority delegated to the Director, Office of Electric Reliability under 18 C.F.R. § 375.303, effective as of the date of this order. </w:t>
      </w:r>
    </w:p>
    <w:p w:rsidR="000231B6" w:rsidRPr="00132785" w:rsidP="00FF5DF4" w14:paraId="7DCDB0F7" w14:textId="47E48F2C">
      <w:pPr>
        <w:spacing w:line="480" w:lineRule="auto"/>
        <w:ind w:firstLine="720"/>
        <w:rPr>
          <w:rFonts w:eastAsia="Calibri"/>
          <w:szCs w:val="26"/>
        </w:rPr>
      </w:pPr>
      <w:r w:rsidRPr="00132785">
        <w:rPr>
          <w:rFonts w:eastAsia="Calibri"/>
          <w:szCs w:val="26"/>
        </w:rPr>
        <w:t xml:space="preserve">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 </w:t>
      </w:r>
    </w:p>
    <w:p w:rsidR="000231B6" w:rsidRPr="000231B6" w:rsidP="000231B6" w14:paraId="5812229B" w14:textId="7791EDD7">
      <w:pPr>
        <w:spacing w:line="480" w:lineRule="auto"/>
        <w:ind w:firstLine="720"/>
        <w:rPr>
          <w:rFonts w:eastAsia="Calibri"/>
          <w:szCs w:val="26"/>
        </w:rPr>
      </w:pPr>
      <w:r w:rsidRPr="00132785">
        <w:rPr>
          <w:rFonts w:eastAsia="Calibri"/>
          <w:szCs w:val="26"/>
        </w:rPr>
        <w:t>This order constitutes final agency action. Requests for rehearing by the Commission may be filed within 30 days of the date of issuance of this order, pursuant to 18 C.F.R. § 385.713.  The revisions to PRC-023-6 will result in a change in how relay settings will be assessed under Requirement R1 of out-of-step blocking elements but will not result in reporting or recordkeeping requirements or burden.  As of February 2024, there are 324 transmission owner</w:t>
      </w:r>
      <w:r w:rsidR="007931A5">
        <w:rPr>
          <w:rFonts w:eastAsia="Calibri"/>
          <w:szCs w:val="26"/>
        </w:rPr>
        <w:t>s</w:t>
      </w:r>
      <w:r w:rsidRPr="00132785">
        <w:rPr>
          <w:rFonts w:eastAsia="Calibri"/>
          <w:szCs w:val="26"/>
        </w:rPr>
        <w:t xml:space="preserve">, 1,173 generator owners, 371 distribution providers and 62 planning coordinators registered with NERC.  These registered entities will have to comply </w:t>
      </w:r>
      <w:r w:rsidR="00E723CB">
        <w:rPr>
          <w:rFonts w:eastAsia="Calibri"/>
          <w:szCs w:val="26"/>
        </w:rPr>
        <w:t xml:space="preserve">with </w:t>
      </w:r>
      <w:r w:rsidRPr="00132785">
        <w:rPr>
          <w:rFonts w:eastAsia="Calibri"/>
          <w:szCs w:val="26"/>
        </w:rPr>
        <w:t>requirements in the Reliability Standard PRC-023-6.</w:t>
      </w:r>
    </w:p>
    <w:tbl>
      <w:tblPr>
        <w:tblStyle w:val="TableGrid1"/>
        <w:tblW w:w="9583" w:type="dxa"/>
        <w:tblLook w:val="04A0"/>
      </w:tblPr>
      <w:tblGrid>
        <w:gridCol w:w="1675"/>
        <w:gridCol w:w="1386"/>
        <w:gridCol w:w="1358"/>
        <w:gridCol w:w="1427"/>
        <w:gridCol w:w="1656"/>
        <w:gridCol w:w="2081"/>
      </w:tblGrid>
      <w:tr w14:paraId="39F813EB" w14:textId="77777777" w:rsidTr="00C1469D">
        <w:tblPrEx>
          <w:tblW w:w="9583" w:type="dxa"/>
          <w:tblLook w:val="04A0"/>
        </w:tblPrEx>
        <w:tc>
          <w:tcPr>
            <w:tcW w:w="9583" w:type="dxa"/>
            <w:gridSpan w:val="6"/>
            <w:shd w:val="clear" w:color="auto" w:fill="auto"/>
          </w:tcPr>
          <w:p w:rsidR="000231B6" w:rsidRPr="00132785" w:rsidP="00C1469D" w14:paraId="4AC6715F" w14:textId="77777777">
            <w:pPr>
              <w:spacing w:after="160" w:line="259" w:lineRule="auto"/>
              <w:rPr>
                <w:rFonts w:eastAsia="Calibri"/>
                <w:b/>
                <w:bCs/>
              </w:rPr>
            </w:pPr>
            <w:bookmarkStart w:id="9" w:name="_Hlk120790206"/>
            <w:r w:rsidRPr="00132785">
              <w:rPr>
                <w:rFonts w:eastAsia="Calibri"/>
                <w:b/>
                <w:bCs/>
              </w:rPr>
              <w:t>Proposed Changes Due to Order in Docket No. RD23-5-000</w:t>
            </w:r>
          </w:p>
        </w:tc>
      </w:tr>
      <w:tr w14:paraId="293B554C" w14:textId="77777777" w:rsidTr="00C1469D">
        <w:tblPrEx>
          <w:tblW w:w="9583" w:type="dxa"/>
          <w:tblLook w:val="04A0"/>
        </w:tblPrEx>
        <w:tc>
          <w:tcPr>
            <w:tcW w:w="1675" w:type="dxa"/>
            <w:shd w:val="clear" w:color="auto" w:fill="auto"/>
            <w:vAlign w:val="bottom"/>
          </w:tcPr>
          <w:p w:rsidR="000231B6" w:rsidRPr="00132785" w:rsidP="00C1469D" w14:paraId="7D20E001" w14:textId="77777777">
            <w:pPr>
              <w:spacing w:after="160" w:line="259" w:lineRule="auto"/>
              <w:rPr>
                <w:rFonts w:eastAsia="Calibri"/>
                <w:b/>
                <w:szCs w:val="22"/>
              </w:rPr>
            </w:pPr>
            <w:r w:rsidRPr="00132785">
              <w:rPr>
                <w:rFonts w:eastAsia="Calibri"/>
                <w:b/>
                <w:szCs w:val="22"/>
              </w:rPr>
              <w:t>Reliability Standard &amp; Requirement</w:t>
            </w:r>
          </w:p>
        </w:tc>
        <w:tc>
          <w:tcPr>
            <w:tcW w:w="1386" w:type="dxa"/>
            <w:shd w:val="clear" w:color="auto" w:fill="auto"/>
            <w:vAlign w:val="bottom"/>
          </w:tcPr>
          <w:p w:rsidR="000231B6" w:rsidRPr="00132785" w:rsidP="00C1469D" w14:paraId="713E8B0F" w14:textId="77777777">
            <w:pPr>
              <w:spacing w:after="160" w:line="259" w:lineRule="auto"/>
              <w:rPr>
                <w:rFonts w:eastAsia="Calibri"/>
                <w:b/>
                <w:szCs w:val="22"/>
              </w:rPr>
            </w:pPr>
            <w:r w:rsidRPr="00132785">
              <w:rPr>
                <w:rFonts w:eastAsia="Calibri"/>
                <w:b/>
                <w:szCs w:val="22"/>
              </w:rPr>
              <w:t>Type</w:t>
            </w:r>
            <w:r>
              <w:rPr>
                <w:rFonts w:eastAsia="Calibri"/>
                <w:b/>
                <w:szCs w:val="22"/>
                <w:vertAlign w:val="superscript"/>
              </w:rPr>
              <w:footnoteReference w:id="10"/>
            </w:r>
            <w:r w:rsidRPr="00132785">
              <w:rPr>
                <w:rFonts w:eastAsia="Calibri"/>
                <w:b/>
                <w:szCs w:val="22"/>
              </w:rPr>
              <w:t xml:space="preserve"> and Number of Entity</w:t>
            </w:r>
          </w:p>
          <w:p w:rsidR="000231B6" w:rsidRPr="00132785" w:rsidP="00C1469D" w14:paraId="0769B2AB" w14:textId="77777777">
            <w:pPr>
              <w:spacing w:after="160" w:line="259" w:lineRule="auto"/>
              <w:rPr>
                <w:rFonts w:eastAsia="Calibri"/>
                <w:b/>
                <w:szCs w:val="22"/>
              </w:rPr>
            </w:pPr>
            <w:r w:rsidRPr="00132785">
              <w:rPr>
                <w:rFonts w:eastAsia="Calibri"/>
                <w:szCs w:val="22"/>
              </w:rPr>
              <w:t>(1)</w:t>
            </w:r>
          </w:p>
        </w:tc>
        <w:tc>
          <w:tcPr>
            <w:tcW w:w="1358" w:type="dxa"/>
            <w:shd w:val="clear" w:color="auto" w:fill="auto"/>
            <w:vAlign w:val="bottom"/>
          </w:tcPr>
          <w:p w:rsidR="000231B6" w:rsidRPr="00132785" w:rsidP="00C1469D" w14:paraId="7CF7F31A" w14:textId="77777777">
            <w:pPr>
              <w:spacing w:after="160" w:line="259" w:lineRule="auto"/>
              <w:rPr>
                <w:rFonts w:eastAsia="Calibri"/>
                <w:b/>
                <w:szCs w:val="22"/>
              </w:rPr>
            </w:pPr>
            <w:r w:rsidRPr="00132785">
              <w:rPr>
                <w:rFonts w:eastAsia="Calibri"/>
                <w:b/>
                <w:szCs w:val="22"/>
              </w:rPr>
              <w:t>Number of Annual Responses Per Entity</w:t>
            </w:r>
          </w:p>
          <w:p w:rsidR="000231B6" w:rsidRPr="00132785" w:rsidP="00C1469D" w14:paraId="4F363A5C" w14:textId="77777777">
            <w:pPr>
              <w:spacing w:after="160" w:line="259" w:lineRule="auto"/>
              <w:rPr>
                <w:rFonts w:eastAsia="Calibri"/>
                <w:b/>
                <w:szCs w:val="22"/>
              </w:rPr>
            </w:pPr>
            <w:r w:rsidRPr="00132785">
              <w:rPr>
                <w:rFonts w:eastAsia="Calibri"/>
                <w:b/>
                <w:szCs w:val="22"/>
              </w:rPr>
              <w:t>(</w:t>
            </w:r>
            <w:r w:rsidRPr="00132785">
              <w:rPr>
                <w:rFonts w:eastAsia="Calibri"/>
                <w:szCs w:val="22"/>
              </w:rPr>
              <w:t>2)</w:t>
            </w:r>
          </w:p>
        </w:tc>
        <w:tc>
          <w:tcPr>
            <w:tcW w:w="1427" w:type="dxa"/>
            <w:shd w:val="clear" w:color="auto" w:fill="auto"/>
            <w:vAlign w:val="bottom"/>
          </w:tcPr>
          <w:p w:rsidR="000231B6" w:rsidRPr="00132785" w:rsidP="00C1469D" w14:paraId="6E69B675" w14:textId="77777777">
            <w:pPr>
              <w:spacing w:after="160" w:line="259" w:lineRule="auto"/>
              <w:rPr>
                <w:rFonts w:eastAsia="Calibri"/>
                <w:b/>
                <w:szCs w:val="22"/>
              </w:rPr>
            </w:pPr>
            <w:r w:rsidRPr="00132785">
              <w:rPr>
                <w:rFonts w:eastAsia="Calibri"/>
                <w:b/>
                <w:szCs w:val="22"/>
              </w:rPr>
              <w:t>Total Number of Responses</w:t>
            </w:r>
          </w:p>
          <w:p w:rsidR="000231B6" w:rsidRPr="00132785" w:rsidP="00C1469D" w14:paraId="68899AF1" w14:textId="77777777">
            <w:pPr>
              <w:spacing w:after="160" w:line="259" w:lineRule="auto"/>
              <w:rPr>
                <w:rFonts w:eastAsia="Calibri"/>
                <w:b/>
                <w:szCs w:val="22"/>
              </w:rPr>
            </w:pPr>
            <w:r w:rsidRPr="00132785">
              <w:rPr>
                <w:rFonts w:eastAsia="Calibri"/>
                <w:b/>
                <w:szCs w:val="22"/>
              </w:rPr>
              <w:t>(1) *(2) = (3)</w:t>
            </w:r>
          </w:p>
        </w:tc>
        <w:tc>
          <w:tcPr>
            <w:tcW w:w="1656" w:type="dxa"/>
            <w:shd w:val="clear" w:color="auto" w:fill="auto"/>
            <w:vAlign w:val="bottom"/>
          </w:tcPr>
          <w:p w:rsidR="000231B6" w:rsidRPr="00132785" w:rsidP="00C1469D" w14:paraId="0209F3E2" w14:textId="77777777">
            <w:pPr>
              <w:spacing w:after="160" w:line="259" w:lineRule="auto"/>
              <w:rPr>
                <w:rFonts w:eastAsia="Calibri"/>
                <w:b/>
                <w:szCs w:val="22"/>
              </w:rPr>
            </w:pPr>
            <w:r w:rsidRPr="00132785">
              <w:rPr>
                <w:rFonts w:eastAsia="Calibri"/>
                <w:b/>
                <w:szCs w:val="22"/>
              </w:rPr>
              <w:t xml:space="preserve">Average </w:t>
            </w:r>
            <w:r w:rsidRPr="00132785">
              <w:rPr>
                <w:rFonts w:eastAsia="Calibri"/>
                <w:b/>
                <w:szCs w:val="22"/>
              </w:rPr>
              <w:t>Number</w:t>
            </w:r>
            <w:r w:rsidRPr="00132785">
              <w:rPr>
                <w:rFonts w:eastAsia="Calibri"/>
                <w:b/>
                <w:szCs w:val="22"/>
              </w:rPr>
              <w:t xml:space="preserve"> of Burden Hours per Response</w:t>
            </w:r>
            <w:r>
              <w:rPr>
                <w:rFonts w:eastAsia="Calibri"/>
                <w:szCs w:val="26"/>
                <w:vertAlign w:val="superscript"/>
              </w:rPr>
              <w:footnoteReference w:id="11"/>
            </w:r>
          </w:p>
          <w:p w:rsidR="000231B6" w:rsidRPr="00132785" w:rsidP="00C1469D" w14:paraId="52DDE0E5" w14:textId="77777777">
            <w:pPr>
              <w:spacing w:after="160" w:line="259" w:lineRule="auto"/>
              <w:rPr>
                <w:rFonts w:eastAsia="Calibri"/>
                <w:b/>
                <w:szCs w:val="22"/>
              </w:rPr>
            </w:pPr>
            <w:r w:rsidRPr="00132785">
              <w:rPr>
                <w:rFonts w:eastAsia="Calibri"/>
                <w:b/>
                <w:szCs w:val="22"/>
              </w:rPr>
              <w:t>(4)</w:t>
            </w:r>
          </w:p>
        </w:tc>
        <w:tc>
          <w:tcPr>
            <w:tcW w:w="2081" w:type="dxa"/>
            <w:shd w:val="clear" w:color="auto" w:fill="auto"/>
            <w:vAlign w:val="bottom"/>
          </w:tcPr>
          <w:p w:rsidR="000231B6" w:rsidRPr="00132785" w:rsidP="00C1469D" w14:paraId="25098916" w14:textId="77777777">
            <w:pPr>
              <w:spacing w:after="160" w:line="259" w:lineRule="auto"/>
              <w:rPr>
                <w:rFonts w:eastAsia="Calibri"/>
                <w:b/>
                <w:szCs w:val="22"/>
              </w:rPr>
            </w:pPr>
            <w:r w:rsidRPr="00132785">
              <w:rPr>
                <w:rFonts w:eastAsia="Calibri"/>
                <w:b/>
                <w:szCs w:val="22"/>
              </w:rPr>
              <w:t>Total Burden Hours</w:t>
            </w:r>
          </w:p>
          <w:p w:rsidR="000231B6" w:rsidRPr="00132785" w:rsidP="00C1469D" w14:paraId="79DCDDF1" w14:textId="77777777">
            <w:pPr>
              <w:spacing w:after="160" w:line="259" w:lineRule="auto"/>
              <w:rPr>
                <w:rFonts w:eastAsia="Calibri"/>
                <w:b/>
                <w:szCs w:val="22"/>
              </w:rPr>
            </w:pPr>
            <w:r w:rsidRPr="00132785">
              <w:rPr>
                <w:rFonts w:eastAsia="Calibri"/>
                <w:b/>
                <w:szCs w:val="22"/>
              </w:rPr>
              <w:t>(3) *(4) = (5)</w:t>
            </w:r>
          </w:p>
        </w:tc>
      </w:tr>
      <w:tr w14:paraId="214316A1" w14:textId="77777777" w:rsidTr="00C1469D">
        <w:tblPrEx>
          <w:tblW w:w="9583" w:type="dxa"/>
          <w:tblLook w:val="04A0"/>
        </w:tblPrEx>
        <w:tc>
          <w:tcPr>
            <w:tcW w:w="9583" w:type="dxa"/>
            <w:gridSpan w:val="6"/>
            <w:shd w:val="clear" w:color="auto" w:fill="auto"/>
          </w:tcPr>
          <w:p w:rsidR="000231B6" w:rsidRPr="00132785" w:rsidP="00C1469D" w14:paraId="64440A11" w14:textId="77777777">
            <w:pPr>
              <w:spacing w:after="160" w:line="259" w:lineRule="auto"/>
              <w:jc w:val="center"/>
              <w:rPr>
                <w:rFonts w:eastAsia="Calibri"/>
                <w:b/>
                <w:bCs/>
                <w:szCs w:val="22"/>
              </w:rPr>
            </w:pPr>
            <w:r w:rsidRPr="00132785">
              <w:rPr>
                <w:rFonts w:eastAsia="Calibri"/>
                <w:b/>
                <w:bCs/>
                <w:szCs w:val="22"/>
              </w:rPr>
              <w:t>FERC-725G</w:t>
            </w:r>
          </w:p>
        </w:tc>
      </w:tr>
      <w:tr w14:paraId="7EFF74B1" w14:textId="77777777" w:rsidTr="00C1469D">
        <w:tblPrEx>
          <w:tblW w:w="9583" w:type="dxa"/>
          <w:tblLook w:val="04A0"/>
        </w:tblPrEx>
        <w:tc>
          <w:tcPr>
            <w:tcW w:w="9583" w:type="dxa"/>
            <w:gridSpan w:val="6"/>
            <w:shd w:val="clear" w:color="auto" w:fill="auto"/>
          </w:tcPr>
          <w:p w:rsidR="000231B6" w:rsidRPr="00132785" w:rsidP="00C1469D" w14:paraId="25C7D9E9" w14:textId="77777777">
            <w:pPr>
              <w:rPr>
                <w:rFonts w:eastAsia="Calibri"/>
                <w:b/>
                <w:szCs w:val="22"/>
              </w:rPr>
            </w:pPr>
            <w:r w:rsidRPr="00132785">
              <w:rPr>
                <w:rFonts w:eastAsia="Calibri"/>
                <w:b/>
                <w:szCs w:val="22"/>
              </w:rPr>
              <w:t>PRC-023-6</w:t>
            </w:r>
          </w:p>
        </w:tc>
      </w:tr>
      <w:tr w14:paraId="53CD8D5D" w14:textId="77777777" w:rsidTr="00C1469D">
        <w:tblPrEx>
          <w:tblW w:w="9583" w:type="dxa"/>
          <w:tblLook w:val="04A0"/>
        </w:tblPrEx>
        <w:tc>
          <w:tcPr>
            <w:tcW w:w="1675" w:type="dxa"/>
            <w:shd w:val="clear" w:color="auto" w:fill="auto"/>
          </w:tcPr>
          <w:p w:rsidR="000231B6" w:rsidRPr="00132785" w:rsidP="00C1469D" w14:paraId="292C9B38" w14:textId="77777777">
            <w:pPr>
              <w:spacing w:after="160" w:line="259" w:lineRule="auto"/>
              <w:rPr>
                <w:rFonts w:eastAsia="Calibri"/>
                <w:szCs w:val="22"/>
              </w:rPr>
            </w:pPr>
            <w:r w:rsidRPr="00132785">
              <w:rPr>
                <w:rFonts w:eastAsia="Calibri"/>
                <w:szCs w:val="22"/>
              </w:rPr>
              <w:t>TO</w:t>
            </w:r>
          </w:p>
        </w:tc>
        <w:tc>
          <w:tcPr>
            <w:tcW w:w="1386" w:type="dxa"/>
            <w:shd w:val="clear" w:color="auto" w:fill="auto"/>
          </w:tcPr>
          <w:p w:rsidR="000231B6" w:rsidRPr="00132785" w:rsidP="00C1469D" w14:paraId="2F4B82FE" w14:textId="77777777">
            <w:pPr>
              <w:spacing w:after="160" w:line="259" w:lineRule="auto"/>
              <w:rPr>
                <w:rFonts w:eastAsia="Calibri"/>
                <w:szCs w:val="22"/>
              </w:rPr>
            </w:pPr>
            <w:r w:rsidRPr="00132785">
              <w:rPr>
                <w:rFonts w:eastAsia="Calibri"/>
                <w:szCs w:val="22"/>
              </w:rPr>
              <w:t>324</w:t>
            </w:r>
          </w:p>
        </w:tc>
        <w:tc>
          <w:tcPr>
            <w:tcW w:w="1358" w:type="dxa"/>
            <w:shd w:val="clear" w:color="auto" w:fill="auto"/>
          </w:tcPr>
          <w:p w:rsidR="000231B6" w:rsidRPr="00132785" w:rsidP="00C1469D" w14:paraId="7EED2755" w14:textId="77777777">
            <w:pPr>
              <w:spacing w:after="160" w:line="259" w:lineRule="auto"/>
              <w:rPr>
                <w:rFonts w:eastAsia="Calibri"/>
                <w:szCs w:val="22"/>
              </w:rPr>
            </w:pPr>
            <w:r w:rsidRPr="00132785">
              <w:rPr>
                <w:rFonts w:eastAsia="Calibri"/>
                <w:szCs w:val="22"/>
              </w:rPr>
              <w:t>1</w:t>
            </w:r>
          </w:p>
        </w:tc>
        <w:tc>
          <w:tcPr>
            <w:tcW w:w="1427" w:type="dxa"/>
            <w:shd w:val="clear" w:color="auto" w:fill="auto"/>
          </w:tcPr>
          <w:p w:rsidR="000231B6" w:rsidRPr="00132785" w:rsidP="00C1469D" w14:paraId="6B0AD8A5" w14:textId="77777777">
            <w:pPr>
              <w:spacing w:after="160" w:line="259" w:lineRule="auto"/>
              <w:rPr>
                <w:rFonts w:eastAsia="Calibri"/>
                <w:szCs w:val="22"/>
              </w:rPr>
            </w:pPr>
            <w:r w:rsidRPr="00132785">
              <w:rPr>
                <w:rFonts w:eastAsia="Calibri"/>
                <w:szCs w:val="22"/>
              </w:rPr>
              <w:t>324</w:t>
            </w:r>
          </w:p>
        </w:tc>
        <w:tc>
          <w:tcPr>
            <w:tcW w:w="1656" w:type="dxa"/>
            <w:shd w:val="clear" w:color="auto" w:fill="auto"/>
          </w:tcPr>
          <w:p w:rsidR="000231B6" w:rsidRPr="00132785" w:rsidP="00C1469D" w14:paraId="1A261A05" w14:textId="77777777">
            <w:pPr>
              <w:spacing w:after="160" w:line="259" w:lineRule="auto"/>
              <w:rPr>
                <w:rFonts w:eastAsia="Calibri"/>
                <w:szCs w:val="22"/>
              </w:rPr>
            </w:pPr>
            <w:r w:rsidRPr="00132785">
              <w:rPr>
                <w:rFonts w:eastAsia="Calibri"/>
                <w:szCs w:val="22"/>
              </w:rPr>
              <w:t>16 hrs.</w:t>
            </w:r>
          </w:p>
          <w:p w:rsidR="000231B6" w:rsidRPr="00132785" w:rsidP="00C1469D" w14:paraId="42C0F0D5" w14:textId="77777777">
            <w:pPr>
              <w:spacing w:after="160" w:line="259" w:lineRule="auto"/>
              <w:rPr>
                <w:rFonts w:eastAsia="Calibri"/>
                <w:szCs w:val="22"/>
              </w:rPr>
            </w:pPr>
            <w:r w:rsidRPr="00132785">
              <w:rPr>
                <w:rFonts w:eastAsia="Calibri"/>
                <w:szCs w:val="22"/>
              </w:rPr>
              <w:t>$</w:t>
            </w:r>
            <w:r>
              <w:rPr>
                <w:rFonts w:eastAsia="Calibri"/>
                <w:szCs w:val="22"/>
              </w:rPr>
              <w:t>1,067.52</w:t>
            </w:r>
          </w:p>
        </w:tc>
        <w:tc>
          <w:tcPr>
            <w:tcW w:w="2081" w:type="dxa"/>
            <w:shd w:val="clear" w:color="auto" w:fill="auto"/>
          </w:tcPr>
          <w:p w:rsidR="000231B6" w:rsidRPr="00132785" w:rsidP="00C1469D" w14:paraId="7EE3EC00" w14:textId="77777777">
            <w:pPr>
              <w:spacing w:after="160" w:line="259" w:lineRule="auto"/>
              <w:rPr>
                <w:rFonts w:eastAsia="Calibri"/>
                <w:szCs w:val="22"/>
              </w:rPr>
            </w:pPr>
            <w:r w:rsidRPr="00132785">
              <w:rPr>
                <w:rFonts w:eastAsia="Calibri"/>
                <w:szCs w:val="22"/>
              </w:rPr>
              <w:t>5,</w:t>
            </w:r>
            <w:r>
              <w:rPr>
                <w:rFonts w:eastAsia="Calibri"/>
                <w:szCs w:val="22"/>
              </w:rPr>
              <w:t>184</w:t>
            </w:r>
            <w:r w:rsidRPr="00132785">
              <w:rPr>
                <w:rFonts w:eastAsia="Calibri"/>
                <w:szCs w:val="22"/>
              </w:rPr>
              <w:t xml:space="preserve"> hrs.</w:t>
            </w:r>
          </w:p>
          <w:p w:rsidR="000231B6" w:rsidRPr="00132785" w:rsidP="00C1469D" w14:paraId="08E1A6ED" w14:textId="77777777">
            <w:pPr>
              <w:spacing w:after="160" w:line="259" w:lineRule="auto"/>
              <w:rPr>
                <w:rFonts w:eastAsia="Calibri"/>
                <w:szCs w:val="22"/>
              </w:rPr>
            </w:pPr>
            <w:r w:rsidRPr="00132785">
              <w:rPr>
                <w:rFonts w:eastAsia="Calibri"/>
                <w:szCs w:val="22"/>
              </w:rPr>
              <w:t>$3</w:t>
            </w:r>
            <w:r>
              <w:rPr>
                <w:rFonts w:eastAsia="Calibri"/>
                <w:szCs w:val="22"/>
              </w:rPr>
              <w:t>45,876.48</w:t>
            </w:r>
          </w:p>
        </w:tc>
      </w:tr>
      <w:tr w14:paraId="58A3E6F8" w14:textId="77777777" w:rsidTr="00C1469D">
        <w:tblPrEx>
          <w:tblW w:w="9583" w:type="dxa"/>
          <w:tblLook w:val="04A0"/>
        </w:tblPrEx>
        <w:tc>
          <w:tcPr>
            <w:tcW w:w="1675" w:type="dxa"/>
            <w:shd w:val="clear" w:color="auto" w:fill="auto"/>
          </w:tcPr>
          <w:p w:rsidR="000231B6" w:rsidRPr="00132785" w:rsidP="00C1469D" w14:paraId="0FB51CA1" w14:textId="77777777">
            <w:pPr>
              <w:spacing w:after="160" w:line="259" w:lineRule="auto"/>
              <w:rPr>
                <w:rFonts w:eastAsia="Calibri"/>
                <w:szCs w:val="22"/>
              </w:rPr>
            </w:pPr>
            <w:r w:rsidRPr="00132785">
              <w:rPr>
                <w:rFonts w:eastAsia="Calibri"/>
                <w:szCs w:val="22"/>
              </w:rPr>
              <w:t>GO</w:t>
            </w:r>
          </w:p>
        </w:tc>
        <w:tc>
          <w:tcPr>
            <w:tcW w:w="1386" w:type="dxa"/>
            <w:shd w:val="clear" w:color="auto" w:fill="auto"/>
          </w:tcPr>
          <w:p w:rsidR="000231B6" w:rsidRPr="00132785" w:rsidP="00C1469D" w14:paraId="3217F8EC" w14:textId="77777777">
            <w:pPr>
              <w:spacing w:after="160" w:line="259" w:lineRule="auto"/>
              <w:rPr>
                <w:rFonts w:eastAsia="Calibri"/>
                <w:szCs w:val="22"/>
              </w:rPr>
            </w:pPr>
            <w:r w:rsidRPr="00132785">
              <w:rPr>
                <w:rFonts w:eastAsia="Calibri"/>
                <w:szCs w:val="22"/>
              </w:rPr>
              <w:t>1,173</w:t>
            </w:r>
          </w:p>
        </w:tc>
        <w:tc>
          <w:tcPr>
            <w:tcW w:w="1358" w:type="dxa"/>
            <w:shd w:val="clear" w:color="auto" w:fill="auto"/>
          </w:tcPr>
          <w:p w:rsidR="000231B6" w:rsidRPr="00132785" w:rsidP="00C1469D" w14:paraId="5CB5448F" w14:textId="77777777">
            <w:pPr>
              <w:spacing w:after="160" w:line="259" w:lineRule="auto"/>
              <w:rPr>
                <w:rFonts w:eastAsia="Calibri"/>
                <w:szCs w:val="22"/>
              </w:rPr>
            </w:pPr>
            <w:r w:rsidRPr="00132785">
              <w:rPr>
                <w:rFonts w:eastAsia="Calibri"/>
                <w:szCs w:val="22"/>
              </w:rPr>
              <w:t>1</w:t>
            </w:r>
          </w:p>
        </w:tc>
        <w:tc>
          <w:tcPr>
            <w:tcW w:w="1427" w:type="dxa"/>
            <w:shd w:val="clear" w:color="auto" w:fill="auto"/>
          </w:tcPr>
          <w:p w:rsidR="000231B6" w:rsidRPr="00132785" w:rsidP="00C1469D" w14:paraId="3113FF16" w14:textId="77777777">
            <w:pPr>
              <w:spacing w:after="160" w:line="259" w:lineRule="auto"/>
              <w:rPr>
                <w:rFonts w:eastAsia="Calibri"/>
                <w:szCs w:val="22"/>
              </w:rPr>
            </w:pPr>
            <w:r w:rsidRPr="00132785">
              <w:rPr>
                <w:rFonts w:eastAsia="Calibri"/>
                <w:szCs w:val="22"/>
              </w:rPr>
              <w:t>1,173</w:t>
            </w:r>
          </w:p>
        </w:tc>
        <w:tc>
          <w:tcPr>
            <w:tcW w:w="1656" w:type="dxa"/>
            <w:shd w:val="clear" w:color="auto" w:fill="auto"/>
          </w:tcPr>
          <w:p w:rsidR="000231B6" w:rsidRPr="00132785" w:rsidP="00C1469D" w14:paraId="672DC05D" w14:textId="77777777">
            <w:pPr>
              <w:spacing w:after="160" w:line="259" w:lineRule="auto"/>
              <w:rPr>
                <w:rFonts w:eastAsia="Calibri"/>
                <w:szCs w:val="22"/>
              </w:rPr>
            </w:pPr>
            <w:r w:rsidRPr="00132785">
              <w:rPr>
                <w:rFonts w:eastAsia="Calibri"/>
                <w:szCs w:val="22"/>
              </w:rPr>
              <w:t>16 hrs.</w:t>
            </w:r>
          </w:p>
          <w:p w:rsidR="000231B6" w:rsidRPr="00132785" w:rsidP="00C1469D" w14:paraId="613993AA" w14:textId="77777777">
            <w:pPr>
              <w:spacing w:after="160" w:line="259" w:lineRule="auto"/>
              <w:rPr>
                <w:rFonts w:eastAsia="Calibri"/>
                <w:szCs w:val="22"/>
              </w:rPr>
            </w:pPr>
            <w:r w:rsidRPr="00132785">
              <w:rPr>
                <w:rFonts w:eastAsia="Calibri"/>
                <w:szCs w:val="22"/>
              </w:rPr>
              <w:t>$</w:t>
            </w:r>
            <w:r>
              <w:rPr>
                <w:rFonts w:eastAsia="Calibri"/>
                <w:szCs w:val="22"/>
              </w:rPr>
              <w:t>1,067.52</w:t>
            </w:r>
          </w:p>
        </w:tc>
        <w:tc>
          <w:tcPr>
            <w:tcW w:w="2081" w:type="dxa"/>
            <w:shd w:val="clear" w:color="auto" w:fill="auto"/>
          </w:tcPr>
          <w:p w:rsidR="000231B6" w:rsidRPr="00132785" w:rsidP="00C1469D" w14:paraId="78E2BF77" w14:textId="77777777">
            <w:pPr>
              <w:spacing w:after="160" w:line="259" w:lineRule="auto"/>
              <w:rPr>
                <w:rFonts w:eastAsia="Calibri"/>
                <w:szCs w:val="22"/>
              </w:rPr>
            </w:pPr>
            <w:r w:rsidRPr="00132785">
              <w:rPr>
                <w:rFonts w:eastAsia="Calibri"/>
                <w:szCs w:val="22"/>
              </w:rPr>
              <w:t>1</w:t>
            </w:r>
            <w:r>
              <w:rPr>
                <w:rFonts w:eastAsia="Calibri"/>
                <w:szCs w:val="22"/>
              </w:rPr>
              <w:t>8,768</w:t>
            </w:r>
            <w:r w:rsidRPr="00132785">
              <w:rPr>
                <w:rFonts w:eastAsia="Calibri"/>
                <w:szCs w:val="22"/>
              </w:rPr>
              <w:t xml:space="preserve"> hrs.</w:t>
            </w:r>
          </w:p>
          <w:p w:rsidR="000231B6" w:rsidRPr="00132785" w:rsidP="00C1469D" w14:paraId="2DD828D9" w14:textId="77777777">
            <w:pPr>
              <w:spacing w:after="160" w:line="259" w:lineRule="auto"/>
              <w:rPr>
                <w:rFonts w:eastAsia="Calibri"/>
                <w:szCs w:val="22"/>
              </w:rPr>
            </w:pPr>
            <w:r w:rsidRPr="00132785">
              <w:rPr>
                <w:rFonts w:eastAsia="Calibri"/>
                <w:szCs w:val="22"/>
              </w:rPr>
              <w:t>$1,</w:t>
            </w:r>
            <w:r>
              <w:rPr>
                <w:rFonts w:eastAsia="Calibri"/>
                <w:szCs w:val="22"/>
              </w:rPr>
              <w:t>252,200.96</w:t>
            </w:r>
          </w:p>
        </w:tc>
      </w:tr>
      <w:tr w14:paraId="0CEF4891" w14:textId="77777777" w:rsidTr="00C1469D">
        <w:tblPrEx>
          <w:tblW w:w="9583" w:type="dxa"/>
          <w:tblLook w:val="04A0"/>
        </w:tblPrEx>
        <w:tc>
          <w:tcPr>
            <w:tcW w:w="1675" w:type="dxa"/>
            <w:shd w:val="clear" w:color="auto" w:fill="auto"/>
          </w:tcPr>
          <w:p w:rsidR="000231B6" w:rsidRPr="00132785" w:rsidP="00C1469D" w14:paraId="22E0A5A4" w14:textId="77777777">
            <w:pPr>
              <w:spacing w:after="160" w:line="259" w:lineRule="auto"/>
              <w:rPr>
                <w:rFonts w:eastAsia="Calibri"/>
                <w:szCs w:val="22"/>
              </w:rPr>
            </w:pPr>
            <w:r w:rsidRPr="00132785">
              <w:rPr>
                <w:rFonts w:eastAsia="Calibri"/>
                <w:szCs w:val="22"/>
              </w:rPr>
              <w:t>DP</w:t>
            </w:r>
          </w:p>
        </w:tc>
        <w:tc>
          <w:tcPr>
            <w:tcW w:w="1386" w:type="dxa"/>
            <w:shd w:val="clear" w:color="auto" w:fill="auto"/>
          </w:tcPr>
          <w:p w:rsidR="000231B6" w:rsidRPr="00132785" w:rsidP="00C1469D" w14:paraId="1F3F4D7C" w14:textId="77777777">
            <w:pPr>
              <w:spacing w:after="160" w:line="259" w:lineRule="auto"/>
              <w:rPr>
                <w:rFonts w:eastAsia="Calibri"/>
                <w:szCs w:val="22"/>
              </w:rPr>
            </w:pPr>
            <w:r w:rsidRPr="00132785">
              <w:rPr>
                <w:rFonts w:eastAsia="Calibri"/>
                <w:szCs w:val="22"/>
              </w:rPr>
              <w:t>371</w:t>
            </w:r>
          </w:p>
        </w:tc>
        <w:tc>
          <w:tcPr>
            <w:tcW w:w="1358" w:type="dxa"/>
            <w:shd w:val="clear" w:color="auto" w:fill="auto"/>
          </w:tcPr>
          <w:p w:rsidR="000231B6" w:rsidRPr="00132785" w:rsidP="00C1469D" w14:paraId="5A8C5DC5" w14:textId="77777777">
            <w:pPr>
              <w:spacing w:after="160" w:line="259" w:lineRule="auto"/>
              <w:rPr>
                <w:rFonts w:eastAsia="Calibri"/>
                <w:szCs w:val="22"/>
              </w:rPr>
            </w:pPr>
            <w:r w:rsidRPr="00132785">
              <w:rPr>
                <w:rFonts w:eastAsia="Calibri"/>
                <w:szCs w:val="22"/>
              </w:rPr>
              <w:t>1</w:t>
            </w:r>
          </w:p>
        </w:tc>
        <w:tc>
          <w:tcPr>
            <w:tcW w:w="1427" w:type="dxa"/>
            <w:shd w:val="clear" w:color="auto" w:fill="auto"/>
          </w:tcPr>
          <w:p w:rsidR="000231B6" w:rsidRPr="00132785" w:rsidP="00C1469D" w14:paraId="55F63298" w14:textId="77777777">
            <w:pPr>
              <w:spacing w:after="160" w:line="259" w:lineRule="auto"/>
              <w:rPr>
                <w:rFonts w:eastAsia="Calibri"/>
                <w:szCs w:val="22"/>
              </w:rPr>
            </w:pPr>
            <w:r w:rsidRPr="00132785">
              <w:rPr>
                <w:rFonts w:eastAsia="Calibri"/>
                <w:szCs w:val="22"/>
              </w:rPr>
              <w:t>371</w:t>
            </w:r>
          </w:p>
        </w:tc>
        <w:tc>
          <w:tcPr>
            <w:tcW w:w="1656" w:type="dxa"/>
            <w:shd w:val="clear" w:color="auto" w:fill="auto"/>
          </w:tcPr>
          <w:p w:rsidR="000231B6" w:rsidRPr="00132785" w:rsidP="00C1469D" w14:paraId="52EF4FA9" w14:textId="4D62EC3E">
            <w:pPr>
              <w:spacing w:after="160" w:line="259" w:lineRule="auto"/>
              <w:rPr>
                <w:rFonts w:eastAsia="Calibri"/>
                <w:szCs w:val="22"/>
              </w:rPr>
            </w:pPr>
            <w:r w:rsidRPr="00132785">
              <w:rPr>
                <w:rFonts w:eastAsia="Calibri"/>
                <w:szCs w:val="22"/>
              </w:rPr>
              <w:t>8 hrs.$</w:t>
            </w:r>
            <w:r>
              <w:rPr>
                <w:rFonts w:eastAsia="Calibri"/>
                <w:szCs w:val="22"/>
              </w:rPr>
              <w:t>533.76</w:t>
            </w:r>
          </w:p>
        </w:tc>
        <w:tc>
          <w:tcPr>
            <w:tcW w:w="2081" w:type="dxa"/>
            <w:shd w:val="clear" w:color="auto" w:fill="auto"/>
          </w:tcPr>
          <w:p w:rsidR="000231B6" w:rsidRPr="00132785" w:rsidP="00C1469D" w14:paraId="41CFE135" w14:textId="77777777">
            <w:pPr>
              <w:spacing w:after="160" w:line="259" w:lineRule="auto"/>
              <w:rPr>
                <w:rFonts w:eastAsia="Calibri"/>
                <w:szCs w:val="22"/>
              </w:rPr>
            </w:pPr>
            <w:r>
              <w:rPr>
                <w:rFonts w:eastAsia="Calibri"/>
                <w:szCs w:val="22"/>
              </w:rPr>
              <w:t>2,968</w:t>
            </w:r>
            <w:r w:rsidRPr="00132785">
              <w:rPr>
                <w:rFonts w:eastAsia="Calibri"/>
                <w:szCs w:val="22"/>
              </w:rPr>
              <w:t xml:space="preserve"> hrs.</w:t>
            </w:r>
          </w:p>
          <w:p w:rsidR="000231B6" w:rsidRPr="00132785" w:rsidP="00C1469D" w14:paraId="5EFF8DC9" w14:textId="77777777">
            <w:pPr>
              <w:spacing w:after="160" w:line="259" w:lineRule="auto"/>
              <w:rPr>
                <w:rFonts w:eastAsia="Calibri"/>
                <w:szCs w:val="22"/>
              </w:rPr>
            </w:pPr>
            <w:r w:rsidRPr="00132785">
              <w:rPr>
                <w:rFonts w:eastAsia="Calibri"/>
                <w:szCs w:val="22"/>
              </w:rPr>
              <w:t>$</w:t>
            </w:r>
            <w:r>
              <w:rPr>
                <w:rFonts w:eastAsia="Calibri"/>
                <w:szCs w:val="22"/>
              </w:rPr>
              <w:t>198,024.96</w:t>
            </w:r>
          </w:p>
        </w:tc>
      </w:tr>
      <w:tr w14:paraId="7B1F5125" w14:textId="77777777" w:rsidTr="00C1469D">
        <w:tblPrEx>
          <w:tblW w:w="9583" w:type="dxa"/>
          <w:tblLook w:val="04A0"/>
        </w:tblPrEx>
        <w:tc>
          <w:tcPr>
            <w:tcW w:w="1675" w:type="dxa"/>
            <w:shd w:val="clear" w:color="auto" w:fill="auto"/>
          </w:tcPr>
          <w:p w:rsidR="000231B6" w:rsidRPr="00132785" w:rsidP="00C1469D" w14:paraId="52BF8F68" w14:textId="77777777">
            <w:pPr>
              <w:spacing w:after="160" w:line="259" w:lineRule="auto"/>
              <w:rPr>
                <w:rFonts w:eastAsia="Calibri"/>
                <w:szCs w:val="22"/>
              </w:rPr>
            </w:pPr>
            <w:r w:rsidRPr="00132785">
              <w:rPr>
                <w:rFonts w:eastAsia="Calibri"/>
                <w:szCs w:val="22"/>
              </w:rPr>
              <w:t>PC</w:t>
            </w:r>
          </w:p>
        </w:tc>
        <w:tc>
          <w:tcPr>
            <w:tcW w:w="1386" w:type="dxa"/>
            <w:shd w:val="clear" w:color="auto" w:fill="auto"/>
          </w:tcPr>
          <w:p w:rsidR="000231B6" w:rsidRPr="00132785" w:rsidP="00C1469D" w14:paraId="19ED737B" w14:textId="77777777">
            <w:pPr>
              <w:spacing w:after="160" w:line="259" w:lineRule="auto"/>
              <w:rPr>
                <w:rFonts w:eastAsia="Calibri"/>
                <w:szCs w:val="22"/>
              </w:rPr>
            </w:pPr>
            <w:r w:rsidRPr="00132785">
              <w:rPr>
                <w:rFonts w:eastAsia="Calibri"/>
                <w:szCs w:val="22"/>
              </w:rPr>
              <w:t>62</w:t>
            </w:r>
          </w:p>
        </w:tc>
        <w:tc>
          <w:tcPr>
            <w:tcW w:w="1358" w:type="dxa"/>
            <w:shd w:val="clear" w:color="auto" w:fill="auto"/>
          </w:tcPr>
          <w:p w:rsidR="000231B6" w:rsidRPr="00132785" w:rsidP="00C1469D" w14:paraId="45740256" w14:textId="77777777">
            <w:pPr>
              <w:spacing w:after="160" w:line="259" w:lineRule="auto"/>
              <w:rPr>
                <w:rFonts w:eastAsia="Calibri"/>
                <w:szCs w:val="22"/>
              </w:rPr>
            </w:pPr>
            <w:r w:rsidRPr="00132785">
              <w:rPr>
                <w:rFonts w:eastAsia="Calibri"/>
                <w:szCs w:val="22"/>
              </w:rPr>
              <w:t>1</w:t>
            </w:r>
          </w:p>
        </w:tc>
        <w:tc>
          <w:tcPr>
            <w:tcW w:w="1427" w:type="dxa"/>
            <w:shd w:val="clear" w:color="auto" w:fill="auto"/>
          </w:tcPr>
          <w:p w:rsidR="000231B6" w:rsidRPr="00132785" w:rsidP="00C1469D" w14:paraId="0E8A701E" w14:textId="77777777">
            <w:pPr>
              <w:spacing w:after="160" w:line="259" w:lineRule="auto"/>
              <w:rPr>
                <w:rFonts w:eastAsia="Calibri"/>
                <w:szCs w:val="22"/>
              </w:rPr>
            </w:pPr>
            <w:r w:rsidRPr="00132785">
              <w:rPr>
                <w:rFonts w:eastAsia="Calibri"/>
                <w:szCs w:val="22"/>
              </w:rPr>
              <w:t>62</w:t>
            </w:r>
          </w:p>
        </w:tc>
        <w:tc>
          <w:tcPr>
            <w:tcW w:w="1656" w:type="dxa"/>
            <w:shd w:val="clear" w:color="auto" w:fill="auto"/>
          </w:tcPr>
          <w:p w:rsidR="000231B6" w:rsidRPr="00132785" w:rsidP="00C1469D" w14:paraId="6FFBDE53" w14:textId="77777777">
            <w:pPr>
              <w:spacing w:after="160" w:line="259" w:lineRule="auto"/>
              <w:rPr>
                <w:rFonts w:eastAsia="Calibri"/>
                <w:szCs w:val="22"/>
              </w:rPr>
            </w:pPr>
            <w:r w:rsidRPr="00132785">
              <w:rPr>
                <w:rFonts w:eastAsia="Calibri"/>
                <w:szCs w:val="22"/>
              </w:rPr>
              <w:t>8 hrs.</w:t>
            </w:r>
          </w:p>
          <w:p w:rsidR="000231B6" w:rsidRPr="00132785" w:rsidP="00C1469D" w14:paraId="2C8D1588" w14:textId="77777777">
            <w:pPr>
              <w:spacing w:after="160" w:line="259" w:lineRule="auto"/>
              <w:rPr>
                <w:rFonts w:eastAsia="Calibri"/>
                <w:szCs w:val="22"/>
              </w:rPr>
            </w:pPr>
            <w:r w:rsidRPr="00132785">
              <w:rPr>
                <w:rFonts w:eastAsia="Calibri"/>
                <w:szCs w:val="22"/>
              </w:rPr>
              <w:t>$</w:t>
            </w:r>
            <w:r>
              <w:rPr>
                <w:rFonts w:eastAsia="Calibri"/>
                <w:szCs w:val="22"/>
              </w:rPr>
              <w:t>533.76</w:t>
            </w:r>
          </w:p>
        </w:tc>
        <w:tc>
          <w:tcPr>
            <w:tcW w:w="2081" w:type="dxa"/>
            <w:shd w:val="clear" w:color="auto" w:fill="auto"/>
          </w:tcPr>
          <w:p w:rsidR="000231B6" w:rsidRPr="00132785" w:rsidP="00C1469D" w14:paraId="3B7FD427" w14:textId="77777777">
            <w:pPr>
              <w:spacing w:after="160" w:line="259" w:lineRule="auto"/>
              <w:rPr>
                <w:rFonts w:eastAsia="Calibri"/>
                <w:szCs w:val="22"/>
              </w:rPr>
            </w:pPr>
            <w:r>
              <w:rPr>
                <w:rFonts w:eastAsia="Calibri"/>
                <w:szCs w:val="22"/>
              </w:rPr>
              <w:t>496</w:t>
            </w:r>
          </w:p>
          <w:p w:rsidR="000231B6" w:rsidRPr="00132785" w:rsidP="00C1469D" w14:paraId="31FABC87" w14:textId="77777777">
            <w:pPr>
              <w:spacing w:after="160" w:line="259" w:lineRule="auto"/>
              <w:rPr>
                <w:rFonts w:eastAsia="Calibri"/>
                <w:szCs w:val="22"/>
              </w:rPr>
            </w:pPr>
            <w:r w:rsidRPr="00132785">
              <w:rPr>
                <w:rFonts w:eastAsia="Calibri"/>
                <w:szCs w:val="22"/>
              </w:rPr>
              <w:t>$</w:t>
            </w:r>
            <w:r>
              <w:rPr>
                <w:rFonts w:eastAsia="Calibri"/>
                <w:szCs w:val="22"/>
              </w:rPr>
              <w:t>33,093.12</w:t>
            </w:r>
          </w:p>
        </w:tc>
      </w:tr>
      <w:tr w14:paraId="6D65BCFA" w14:textId="77777777" w:rsidTr="00C1469D">
        <w:tblPrEx>
          <w:tblW w:w="9583" w:type="dxa"/>
          <w:tblLook w:val="04A0"/>
        </w:tblPrEx>
        <w:tc>
          <w:tcPr>
            <w:tcW w:w="1675" w:type="dxa"/>
            <w:shd w:val="clear" w:color="auto" w:fill="auto"/>
          </w:tcPr>
          <w:p w:rsidR="000231B6" w:rsidRPr="00132785" w:rsidP="00C1469D" w14:paraId="7B78EAEE" w14:textId="77777777">
            <w:pPr>
              <w:spacing w:after="160" w:line="259" w:lineRule="auto"/>
              <w:rPr>
                <w:rFonts w:eastAsia="Calibri"/>
                <w:b/>
                <w:szCs w:val="22"/>
              </w:rPr>
            </w:pPr>
            <w:r w:rsidRPr="00132785">
              <w:rPr>
                <w:rFonts w:eastAsia="Calibri"/>
                <w:b/>
                <w:szCs w:val="22"/>
              </w:rPr>
              <w:t>Total for PRC-023-6</w:t>
            </w:r>
          </w:p>
          <w:p w:rsidR="000231B6" w:rsidRPr="00132785" w:rsidP="00C1469D" w14:paraId="68D99B47" w14:textId="77777777">
            <w:pPr>
              <w:spacing w:after="160" w:line="259" w:lineRule="auto"/>
              <w:rPr>
                <w:rFonts w:eastAsia="Calibri"/>
                <w:b/>
                <w:szCs w:val="22"/>
              </w:rPr>
            </w:pPr>
            <w:r w:rsidRPr="00132785">
              <w:rPr>
                <w:rFonts w:eastAsia="Calibri"/>
                <w:b/>
                <w:szCs w:val="22"/>
              </w:rPr>
              <w:t>One Time Estimate - Years 1 and 2</w:t>
            </w:r>
          </w:p>
        </w:tc>
        <w:tc>
          <w:tcPr>
            <w:tcW w:w="1386" w:type="dxa"/>
            <w:shd w:val="clear" w:color="auto" w:fill="auto"/>
          </w:tcPr>
          <w:p w:rsidR="000231B6" w:rsidRPr="00132785" w:rsidP="00C1469D" w14:paraId="7F26E581" w14:textId="77777777">
            <w:pPr>
              <w:spacing w:after="160" w:line="259" w:lineRule="auto"/>
              <w:rPr>
                <w:rFonts w:eastAsia="Calibri"/>
                <w:b/>
                <w:szCs w:val="22"/>
              </w:rPr>
            </w:pPr>
          </w:p>
        </w:tc>
        <w:tc>
          <w:tcPr>
            <w:tcW w:w="1358" w:type="dxa"/>
            <w:shd w:val="clear" w:color="auto" w:fill="auto"/>
          </w:tcPr>
          <w:p w:rsidR="000231B6" w:rsidRPr="00132785" w:rsidP="00C1469D" w14:paraId="123F8997" w14:textId="77777777">
            <w:pPr>
              <w:spacing w:after="160" w:line="259" w:lineRule="auto"/>
              <w:rPr>
                <w:rFonts w:eastAsia="Calibri"/>
                <w:szCs w:val="22"/>
              </w:rPr>
            </w:pPr>
          </w:p>
        </w:tc>
        <w:tc>
          <w:tcPr>
            <w:tcW w:w="1427" w:type="dxa"/>
            <w:shd w:val="clear" w:color="auto" w:fill="auto"/>
          </w:tcPr>
          <w:p w:rsidR="000231B6" w:rsidRPr="00132785" w:rsidP="00C1469D" w14:paraId="2A8E25EC" w14:textId="77777777">
            <w:pPr>
              <w:spacing w:after="160" w:line="259" w:lineRule="auto"/>
              <w:rPr>
                <w:rFonts w:eastAsia="Calibri"/>
                <w:b/>
                <w:szCs w:val="22"/>
              </w:rPr>
            </w:pPr>
            <w:r w:rsidRPr="00132785">
              <w:rPr>
                <w:rFonts w:eastAsia="Calibri"/>
                <w:b/>
                <w:szCs w:val="22"/>
              </w:rPr>
              <w:t>1,930</w:t>
            </w:r>
          </w:p>
        </w:tc>
        <w:tc>
          <w:tcPr>
            <w:tcW w:w="1656" w:type="dxa"/>
            <w:shd w:val="clear" w:color="auto" w:fill="auto"/>
          </w:tcPr>
          <w:p w:rsidR="000231B6" w:rsidRPr="00132785" w:rsidP="00C1469D" w14:paraId="2A518DD3" w14:textId="77777777">
            <w:pPr>
              <w:rPr>
                <w:rFonts w:eastAsia="Calibri"/>
                <w:szCs w:val="22"/>
              </w:rPr>
            </w:pPr>
            <w:r w:rsidRPr="00132785">
              <w:rPr>
                <w:rFonts w:eastAsia="Calibri"/>
                <w:szCs w:val="22"/>
              </w:rPr>
              <w:t>4</w:t>
            </w:r>
            <w:r>
              <w:rPr>
                <w:rFonts w:eastAsia="Calibri"/>
                <w:szCs w:val="22"/>
              </w:rPr>
              <w:t>8</w:t>
            </w:r>
            <w:r w:rsidRPr="00132785">
              <w:rPr>
                <w:rFonts w:eastAsia="Calibri"/>
                <w:szCs w:val="22"/>
              </w:rPr>
              <w:t xml:space="preserve"> hrs.</w:t>
            </w:r>
          </w:p>
          <w:p w:rsidR="000231B6" w:rsidRPr="00132785" w:rsidP="00C1469D" w14:paraId="15BAAF3F" w14:textId="77777777">
            <w:pPr>
              <w:spacing w:after="160" w:line="259" w:lineRule="auto"/>
              <w:rPr>
                <w:rFonts w:eastAsia="Calibri"/>
                <w:szCs w:val="22"/>
              </w:rPr>
            </w:pPr>
            <w:r w:rsidRPr="00132785">
              <w:rPr>
                <w:rFonts w:eastAsia="Calibri"/>
                <w:szCs w:val="22"/>
              </w:rPr>
              <w:t>$</w:t>
            </w:r>
            <w:r>
              <w:rPr>
                <w:rFonts w:eastAsia="Calibri"/>
                <w:szCs w:val="22"/>
              </w:rPr>
              <w:t>3,202.56</w:t>
            </w:r>
          </w:p>
        </w:tc>
        <w:tc>
          <w:tcPr>
            <w:tcW w:w="2081" w:type="dxa"/>
            <w:shd w:val="clear" w:color="auto" w:fill="auto"/>
          </w:tcPr>
          <w:p w:rsidR="000231B6" w:rsidRPr="00132785" w:rsidP="00C1469D" w14:paraId="35E1C453" w14:textId="77777777">
            <w:pPr>
              <w:rPr>
                <w:rFonts w:eastAsia="Calibri"/>
                <w:szCs w:val="22"/>
              </w:rPr>
            </w:pPr>
            <w:r w:rsidRPr="00132785">
              <w:rPr>
                <w:rFonts w:eastAsia="Calibri"/>
                <w:szCs w:val="22"/>
              </w:rPr>
              <w:t>2</w:t>
            </w:r>
            <w:r>
              <w:rPr>
                <w:rFonts w:eastAsia="Calibri"/>
                <w:szCs w:val="22"/>
              </w:rPr>
              <w:t>7,416</w:t>
            </w:r>
            <w:r w:rsidRPr="00132785">
              <w:rPr>
                <w:rFonts w:eastAsia="Calibri"/>
                <w:szCs w:val="22"/>
              </w:rPr>
              <w:t xml:space="preserve"> hrs.</w:t>
            </w:r>
          </w:p>
          <w:p w:rsidR="000231B6" w:rsidRPr="00A2075F" w:rsidP="00C1469D" w14:paraId="31358616" w14:textId="77777777">
            <w:pPr>
              <w:spacing w:after="160" w:line="259" w:lineRule="auto"/>
              <w:rPr>
                <w:rFonts w:eastAsia="Calibri"/>
                <w:b/>
                <w:szCs w:val="22"/>
              </w:rPr>
            </w:pPr>
            <w:r w:rsidRPr="00132785">
              <w:rPr>
                <w:rFonts w:eastAsia="Calibri"/>
                <w:bCs/>
                <w:szCs w:val="22"/>
              </w:rPr>
              <w:t>$1,</w:t>
            </w:r>
            <w:r>
              <w:rPr>
                <w:rFonts w:eastAsia="Calibri"/>
                <w:bCs/>
                <w:szCs w:val="22"/>
              </w:rPr>
              <w:t>829,195.52</w:t>
            </w:r>
          </w:p>
        </w:tc>
      </w:tr>
    </w:tbl>
    <w:p w:rsidR="000231B6" w:rsidRPr="00132785" w:rsidP="000231B6" w14:paraId="730FAB7E" w14:textId="6299FC2B">
      <w:pPr>
        <w:tabs>
          <w:tab w:val="left" w:pos="720"/>
        </w:tabs>
        <w:autoSpaceDE w:val="0"/>
        <w:autoSpaceDN w:val="0"/>
        <w:adjustRightInd w:val="0"/>
        <w:spacing w:line="480" w:lineRule="auto"/>
        <w:rPr>
          <w:rFonts w:eastAsia="Calibri"/>
          <w:szCs w:val="26"/>
        </w:rPr>
      </w:pPr>
      <w:bookmarkStart w:id="10" w:name="_Hlk126065378"/>
      <w:bookmarkEnd w:id="9"/>
      <w:r w:rsidRPr="00132785">
        <w:rPr>
          <w:rFonts w:eastAsia="Calibri"/>
          <w:szCs w:val="26"/>
        </w:rPr>
        <w:t>The one-time burden of 2</w:t>
      </w:r>
      <w:r>
        <w:rPr>
          <w:rFonts w:eastAsia="Calibri"/>
          <w:szCs w:val="26"/>
        </w:rPr>
        <w:t>7,416</w:t>
      </w:r>
      <w:r w:rsidRPr="00132785">
        <w:rPr>
          <w:rFonts w:eastAsia="Calibri"/>
          <w:szCs w:val="26"/>
        </w:rPr>
        <w:t xml:space="preserve"> hours that only applies for Year 1 and 2 will be averaged over three years (2</w:t>
      </w:r>
      <w:r>
        <w:rPr>
          <w:rFonts w:eastAsia="Calibri"/>
          <w:szCs w:val="26"/>
        </w:rPr>
        <w:t>7,416</w:t>
      </w:r>
      <w:r w:rsidRPr="00132785">
        <w:rPr>
          <w:rFonts w:eastAsia="Calibri"/>
          <w:szCs w:val="26"/>
        </w:rPr>
        <w:t xml:space="preserve"> hours ÷ 3 = </w:t>
      </w:r>
      <w:r>
        <w:rPr>
          <w:rFonts w:eastAsia="Calibri"/>
          <w:szCs w:val="26"/>
        </w:rPr>
        <w:t>9,138.67</w:t>
      </w:r>
      <w:r w:rsidRPr="00132785">
        <w:rPr>
          <w:rFonts w:eastAsia="Calibri"/>
          <w:szCs w:val="26"/>
        </w:rPr>
        <w:t xml:space="preserve"> hours/year over three years). The number of responses is also averaged over three years (1,</w:t>
      </w:r>
      <w:r>
        <w:rPr>
          <w:rFonts w:eastAsia="Calibri"/>
          <w:szCs w:val="26"/>
        </w:rPr>
        <w:t xml:space="preserve">930 </w:t>
      </w:r>
      <w:r w:rsidRPr="00132785">
        <w:rPr>
          <w:rFonts w:eastAsia="Calibri"/>
          <w:szCs w:val="26"/>
        </w:rPr>
        <w:t xml:space="preserve">responses ÷ 3 = </w:t>
      </w:r>
      <w:r>
        <w:rPr>
          <w:rFonts w:eastAsia="Calibri"/>
          <w:szCs w:val="26"/>
        </w:rPr>
        <w:t>643.33</w:t>
      </w:r>
      <w:r w:rsidRPr="00132785">
        <w:rPr>
          <w:rFonts w:eastAsia="Calibri"/>
          <w:szCs w:val="26"/>
        </w:rPr>
        <w:t xml:space="preserve"> responses/year).</w:t>
      </w:r>
    </w:p>
    <w:p w:rsidR="000231B6" w:rsidRPr="00132785" w:rsidP="000231B6" w14:paraId="3B32F789" w14:textId="77777777">
      <w:pPr>
        <w:tabs>
          <w:tab w:val="left" w:pos="720"/>
        </w:tabs>
        <w:autoSpaceDE w:val="0"/>
        <w:autoSpaceDN w:val="0"/>
        <w:adjustRightInd w:val="0"/>
        <w:spacing w:line="480" w:lineRule="auto"/>
        <w:rPr>
          <w:rFonts w:eastAsia="Calibri"/>
          <w:szCs w:val="26"/>
        </w:rPr>
      </w:pPr>
      <w:r w:rsidRPr="00132785">
        <w:rPr>
          <w:rFonts w:eastAsia="Calibri"/>
          <w:szCs w:val="26"/>
        </w:rPr>
        <w:t>The responses and burden hours for Years 1-3 will total respectively as follows for Year 1 one-time burden:</w:t>
      </w:r>
    </w:p>
    <w:p w:rsidR="000231B6" w:rsidRPr="00132785" w:rsidP="000231B6" w14:paraId="2D4F18DD" w14:textId="77777777">
      <w:pPr>
        <w:tabs>
          <w:tab w:val="left" w:pos="720"/>
        </w:tabs>
        <w:autoSpaceDE w:val="0"/>
        <w:autoSpaceDN w:val="0"/>
        <w:adjustRightInd w:val="0"/>
        <w:spacing w:line="480" w:lineRule="auto"/>
        <w:ind w:left="720"/>
        <w:rPr>
          <w:rFonts w:eastAsia="Calibri"/>
          <w:szCs w:val="26"/>
        </w:rPr>
      </w:pPr>
      <w:r w:rsidRPr="00132785">
        <w:rPr>
          <w:rFonts w:eastAsia="Calibri"/>
          <w:szCs w:val="26"/>
        </w:rPr>
        <w:t xml:space="preserve">Year 1: </w:t>
      </w:r>
      <w:r>
        <w:rPr>
          <w:rFonts w:eastAsia="Calibri"/>
          <w:szCs w:val="26"/>
        </w:rPr>
        <w:t>643.33</w:t>
      </w:r>
      <w:r w:rsidRPr="00132785">
        <w:rPr>
          <w:rFonts w:eastAsia="Calibri"/>
          <w:szCs w:val="26"/>
        </w:rPr>
        <w:t xml:space="preserve"> responses; </w:t>
      </w:r>
      <w:r>
        <w:rPr>
          <w:rFonts w:eastAsia="Calibri"/>
          <w:szCs w:val="26"/>
        </w:rPr>
        <w:t>9,138</w:t>
      </w:r>
      <w:r w:rsidRPr="00132785">
        <w:rPr>
          <w:rFonts w:eastAsia="Calibri"/>
          <w:szCs w:val="26"/>
        </w:rPr>
        <w:t>.67 hours</w:t>
      </w:r>
    </w:p>
    <w:p w:rsidR="000231B6" w:rsidRPr="00132785" w:rsidP="000231B6" w14:paraId="4E79A4CF" w14:textId="77777777">
      <w:pPr>
        <w:tabs>
          <w:tab w:val="left" w:pos="720"/>
        </w:tabs>
        <w:autoSpaceDE w:val="0"/>
        <w:autoSpaceDN w:val="0"/>
        <w:adjustRightInd w:val="0"/>
        <w:spacing w:line="480" w:lineRule="auto"/>
        <w:ind w:left="720"/>
        <w:rPr>
          <w:rFonts w:eastAsia="Calibri"/>
          <w:szCs w:val="26"/>
        </w:rPr>
      </w:pPr>
      <w:r w:rsidRPr="00132785">
        <w:rPr>
          <w:rFonts w:eastAsia="Calibri"/>
          <w:szCs w:val="26"/>
        </w:rPr>
        <w:t xml:space="preserve">Year 2: </w:t>
      </w:r>
      <w:r>
        <w:rPr>
          <w:rFonts w:eastAsia="Calibri"/>
          <w:szCs w:val="26"/>
        </w:rPr>
        <w:t>643.33</w:t>
      </w:r>
      <w:r w:rsidRPr="00132785">
        <w:rPr>
          <w:rFonts w:eastAsia="Calibri"/>
          <w:szCs w:val="26"/>
        </w:rPr>
        <w:t xml:space="preserve"> responses; </w:t>
      </w:r>
      <w:r>
        <w:rPr>
          <w:rFonts w:eastAsia="Calibri"/>
          <w:szCs w:val="26"/>
        </w:rPr>
        <w:t>9,138</w:t>
      </w:r>
      <w:r w:rsidRPr="00132785">
        <w:rPr>
          <w:rFonts w:eastAsia="Calibri"/>
          <w:szCs w:val="26"/>
        </w:rPr>
        <w:t xml:space="preserve">.67 hours </w:t>
      </w:r>
    </w:p>
    <w:p w:rsidR="00AB1C87" w:rsidRPr="000231B6" w:rsidP="000231B6" w14:paraId="366642C7" w14:textId="761E6FFF">
      <w:pPr>
        <w:tabs>
          <w:tab w:val="left" w:pos="720"/>
        </w:tabs>
        <w:autoSpaceDE w:val="0"/>
        <w:autoSpaceDN w:val="0"/>
        <w:adjustRightInd w:val="0"/>
        <w:spacing w:line="480" w:lineRule="auto"/>
        <w:ind w:left="720"/>
        <w:rPr>
          <w:rFonts w:eastAsia="Calibri"/>
        </w:rPr>
      </w:pPr>
      <w:r w:rsidRPr="00132785">
        <w:rPr>
          <w:rFonts w:eastAsia="Calibri"/>
        </w:rPr>
        <w:t xml:space="preserve">Year 3: </w:t>
      </w:r>
      <w:r>
        <w:rPr>
          <w:rFonts w:eastAsia="Calibri"/>
        </w:rPr>
        <w:t>643.33</w:t>
      </w:r>
      <w:r w:rsidRPr="00132785">
        <w:rPr>
          <w:rFonts w:eastAsia="Calibri"/>
        </w:rPr>
        <w:t xml:space="preserve"> responses; </w:t>
      </w:r>
      <w:r>
        <w:rPr>
          <w:rFonts w:eastAsia="Calibri"/>
        </w:rPr>
        <w:t>9,138</w:t>
      </w:r>
      <w:r w:rsidRPr="00132785">
        <w:rPr>
          <w:rFonts w:eastAsia="Calibri"/>
        </w:rPr>
        <w:t xml:space="preserve">.67 hours </w:t>
      </w:r>
      <w:bookmarkEnd w:id="6"/>
      <w:bookmarkEnd w:id="10"/>
    </w:p>
    <w:p w:rsidR="00881405" w:rsidP="002906E5" w14:paraId="40735770" w14:textId="70C4510D">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FF4CC0" w14:paraId="23EE29AC" w14:textId="012A3882">
      <w:pPr>
        <w:spacing w:line="480" w:lineRule="auto"/>
      </w:pPr>
      <w:r>
        <w:t xml:space="preserve">collection of information on those who are to respond, including the use of automated collection techniques or other forms of information technology.  </w:t>
      </w:r>
    </w:p>
    <w:p w:rsidR="00874049" w:rsidP="000231B6" w14:paraId="5AB6C29E" w14:textId="7CFE403E">
      <w:pPr>
        <w:spacing w:line="480" w:lineRule="auto"/>
        <w:ind w:firstLine="720"/>
      </w:pPr>
      <w:r w:rsidRPr="00FF4CC0">
        <w:t xml:space="preserve">The Commission’s Office of Public Participation (OPP) supports meaningful public engagement and participation in Commission proceedings.  OPP can help members of the public, including landowners, environmental justice communities, Tribal members and others, access publicly available information and navigate Commission processes.  For public inquiries and assistance with making filings such as interventions, comments, or requests for rehearing, the public is encouraged to contact OPP at (202) 502-6595 or </w:t>
      </w:r>
      <w:hyperlink r:id="rId13" w:history="1">
        <w:r w:rsidRPr="00FF4CC0">
          <w:rPr>
            <w:rStyle w:val="Hyperlink"/>
          </w:rPr>
          <w:t>OPP@ferc.gov</w:t>
        </w:r>
      </w:hyperlink>
      <w:r w:rsidRPr="00FF4CC0">
        <w:t>.</w:t>
      </w:r>
    </w:p>
    <w:p w:rsidR="00874049" w14:paraId="202ADD9E" w14:textId="77777777">
      <w:pPr>
        <w:spacing w:after="160" w:line="259" w:lineRule="auto"/>
      </w:pPr>
    </w:p>
    <w:p w:rsidR="00E914B2" w14:paraId="77CBC77B" w14:textId="77777777">
      <w:pPr>
        <w:spacing w:after="160" w:line="259" w:lineRule="auto"/>
      </w:pPr>
    </w:p>
    <w:p w:rsidR="00E914B2" w14:paraId="7D470EAA" w14:textId="77777777">
      <w:pPr>
        <w:spacing w:after="160" w:line="259" w:lineRule="auto"/>
      </w:pPr>
    </w:p>
    <w:p w:rsidR="00E914B2" w:rsidRPr="00E914B2" w:rsidP="00E914B2" w14:paraId="0DA6E3BA" w14:textId="5803A5D6">
      <w:pPr>
        <w:ind w:firstLine="2606"/>
        <w:jc w:val="center"/>
      </w:pPr>
      <w:r w:rsidRPr="00E914B2">
        <w:t>Debbie-Anne A. Reese,</w:t>
      </w:r>
    </w:p>
    <w:p w:rsidR="00E914B2" w:rsidRPr="00E914B2" w:rsidP="00E914B2" w14:paraId="2A44D74A" w14:textId="1EFDDBE9">
      <w:pPr>
        <w:ind w:firstLine="2606"/>
        <w:jc w:val="center"/>
      </w:pPr>
      <w:r w:rsidRPr="00E914B2">
        <w:t>Acting Secretary.</w:t>
      </w:r>
    </w:p>
    <w:p w:rsidR="00E914B2" w14:paraId="48B47250"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24E" w:rsidP="00B01B16" w14:paraId="2BBF7C8E" w14:textId="77777777">
      <w:r>
        <w:separator/>
      </w:r>
    </w:p>
  </w:footnote>
  <w:footnote w:type="continuationSeparator" w:id="1">
    <w:p w:rsidR="002B024E" w:rsidP="00B01B16" w14:paraId="41426ECF" w14:textId="77777777">
      <w:r>
        <w:continuationSeparator/>
      </w:r>
    </w:p>
  </w:footnote>
  <w:footnote w:type="continuationNotice" w:id="2">
    <w:p w:rsidR="002B024E" w14:paraId="59371E21" w14:textId="77777777"/>
  </w:footnote>
  <w:footnote w:id="3">
    <w:p w:rsidR="000231B6" w:rsidP="000231B6" w14:paraId="46BF0082" w14:textId="77777777">
      <w:pPr>
        <w:pStyle w:val="FootnoteText"/>
        <w:rPr>
          <w:sz w:val="24"/>
          <w:szCs w:val="24"/>
        </w:rPr>
      </w:pPr>
      <w:r>
        <w:rPr>
          <w:rStyle w:val="FootnoteReference"/>
          <w:sz w:val="24"/>
          <w:szCs w:val="24"/>
        </w:rPr>
        <w:footnoteRef/>
      </w:r>
      <w:r>
        <w:rPr>
          <w:sz w:val="24"/>
          <w:szCs w:val="24"/>
        </w:rPr>
        <w:t xml:space="preserve"> NERC Petition at 1.</w:t>
      </w:r>
    </w:p>
    <w:p w:rsidR="000231B6" w:rsidP="000231B6" w14:paraId="28835D9C" w14:textId="77777777">
      <w:pPr>
        <w:pStyle w:val="FootnoteText"/>
        <w:rPr>
          <w:sz w:val="24"/>
          <w:szCs w:val="24"/>
        </w:rPr>
      </w:pPr>
    </w:p>
  </w:footnote>
  <w:footnote w:id="4">
    <w:p w:rsidR="000231B6" w:rsidP="000231B6" w14:paraId="52AAF01B" w14:textId="77777777">
      <w:pPr>
        <w:pStyle w:val="FootnoteText"/>
        <w:rPr>
          <w:sz w:val="24"/>
          <w:szCs w:val="24"/>
        </w:rPr>
      </w:pPr>
      <w:r>
        <w:rPr>
          <w:rStyle w:val="FootnoteReference"/>
          <w:sz w:val="24"/>
          <w:szCs w:val="24"/>
        </w:rPr>
        <w:footnoteRef/>
      </w:r>
      <w:r>
        <w:rPr>
          <w:sz w:val="24"/>
          <w:szCs w:val="24"/>
        </w:rPr>
        <w:t xml:space="preserve"> NERC Petition at 1-2.</w:t>
      </w:r>
    </w:p>
    <w:p w:rsidR="000231B6" w:rsidP="000231B6" w14:paraId="02CA0BC3" w14:textId="77777777">
      <w:pPr>
        <w:pStyle w:val="FootnoteText"/>
        <w:rPr>
          <w:sz w:val="24"/>
          <w:szCs w:val="24"/>
        </w:rPr>
      </w:pPr>
    </w:p>
  </w:footnote>
  <w:footnote w:id="5">
    <w:p w:rsidR="000231B6" w:rsidP="000231B6" w14:paraId="1C31E40D" w14:textId="77777777">
      <w:pPr>
        <w:pStyle w:val="FootnoteText"/>
        <w:rPr>
          <w:sz w:val="24"/>
          <w:szCs w:val="24"/>
        </w:rPr>
      </w:pPr>
      <w:r>
        <w:rPr>
          <w:rStyle w:val="FootnoteReference"/>
          <w:sz w:val="24"/>
          <w:szCs w:val="24"/>
        </w:rPr>
        <w:footnoteRef/>
      </w:r>
      <w:r>
        <w:rPr>
          <w:sz w:val="24"/>
          <w:szCs w:val="24"/>
        </w:rPr>
        <w:t xml:space="preserve"> NERC Petition at 4.</w:t>
      </w:r>
    </w:p>
    <w:p w:rsidR="00BC3CC2" w:rsidP="000231B6" w14:paraId="22119780" w14:textId="77777777">
      <w:pPr>
        <w:pStyle w:val="FootnoteText"/>
        <w:rPr>
          <w:sz w:val="24"/>
          <w:szCs w:val="24"/>
        </w:rPr>
      </w:pPr>
    </w:p>
  </w:footnote>
  <w:footnote w:id="6">
    <w:p w:rsidR="000231B6" w:rsidP="000231B6" w14:paraId="410680A5" w14:textId="77777777">
      <w:pPr>
        <w:pStyle w:val="FootnoteText"/>
        <w:rPr>
          <w:sz w:val="24"/>
          <w:szCs w:val="24"/>
        </w:rPr>
      </w:pPr>
      <w:r>
        <w:rPr>
          <w:rStyle w:val="FootnoteReference"/>
          <w:sz w:val="24"/>
          <w:szCs w:val="24"/>
        </w:rPr>
        <w:footnoteRef/>
      </w:r>
      <w:r>
        <w:rPr>
          <w:sz w:val="24"/>
          <w:szCs w:val="24"/>
        </w:rPr>
        <w:t xml:space="preserve"> NERC Petition at 21.</w:t>
      </w:r>
    </w:p>
    <w:p w:rsidR="000231B6" w:rsidP="000231B6" w14:paraId="31821415" w14:textId="77777777">
      <w:pPr>
        <w:pStyle w:val="FootnoteText"/>
        <w:rPr>
          <w:sz w:val="24"/>
          <w:szCs w:val="24"/>
        </w:rPr>
      </w:pPr>
    </w:p>
  </w:footnote>
  <w:footnote w:id="7">
    <w:p w:rsidR="000231B6" w:rsidP="000231B6" w14:paraId="664930CF" w14:textId="77777777">
      <w:pPr>
        <w:pStyle w:val="FootnoteText"/>
        <w:rPr>
          <w:sz w:val="24"/>
          <w:szCs w:val="24"/>
        </w:rPr>
      </w:pPr>
      <w:r>
        <w:rPr>
          <w:rStyle w:val="FootnoteReference"/>
          <w:sz w:val="24"/>
          <w:szCs w:val="24"/>
        </w:rPr>
        <w:footnoteRef/>
      </w:r>
      <w:r>
        <w:rPr>
          <w:sz w:val="24"/>
          <w:szCs w:val="24"/>
        </w:rPr>
        <w:t xml:space="preserve"> NERC Petition at 25-26.</w:t>
      </w:r>
    </w:p>
    <w:p w:rsidR="000231B6" w:rsidP="000231B6" w14:paraId="20E26478" w14:textId="77777777">
      <w:pPr>
        <w:pStyle w:val="FootnoteText"/>
        <w:rPr>
          <w:sz w:val="24"/>
          <w:szCs w:val="24"/>
        </w:rPr>
      </w:pPr>
    </w:p>
  </w:footnote>
  <w:footnote w:id="8">
    <w:p w:rsidR="000231B6" w:rsidP="000231B6" w14:paraId="28351F52" w14:textId="77777777">
      <w:pPr>
        <w:pStyle w:val="FootnoteText"/>
        <w:rPr>
          <w:sz w:val="24"/>
          <w:szCs w:val="24"/>
        </w:rPr>
      </w:pPr>
      <w:r>
        <w:rPr>
          <w:rStyle w:val="FootnoteReference"/>
          <w:sz w:val="24"/>
          <w:szCs w:val="24"/>
        </w:rPr>
        <w:footnoteRef/>
      </w:r>
      <w:r>
        <w:rPr>
          <w:sz w:val="24"/>
          <w:szCs w:val="24"/>
        </w:rPr>
        <w:t xml:space="preserve"> RFI at 2.</w:t>
      </w:r>
    </w:p>
    <w:p w:rsidR="000231B6" w:rsidP="000231B6" w14:paraId="18FF4A75" w14:textId="77777777">
      <w:pPr>
        <w:pStyle w:val="FootnoteText"/>
        <w:rPr>
          <w:sz w:val="24"/>
          <w:szCs w:val="24"/>
        </w:rPr>
      </w:pPr>
    </w:p>
  </w:footnote>
  <w:footnote w:id="9">
    <w:p w:rsidR="000231B6" w:rsidP="000231B6" w14:paraId="14D830CA" w14:textId="77777777">
      <w:pPr>
        <w:pStyle w:val="FootnoteText"/>
        <w:rPr>
          <w:rFonts w:ascii="Calibri" w:hAnsi="Calibri"/>
          <w:sz w:val="20"/>
        </w:rPr>
      </w:pPr>
      <w:r>
        <w:rPr>
          <w:rStyle w:val="FootnoteReference"/>
          <w:sz w:val="24"/>
          <w:szCs w:val="24"/>
        </w:rPr>
        <w:footnoteRef/>
      </w:r>
      <w:r>
        <w:rPr>
          <w:sz w:val="24"/>
          <w:szCs w:val="24"/>
        </w:rPr>
        <w:t xml:space="preserve"> NERC Amended Petition at 25.</w:t>
      </w:r>
    </w:p>
  </w:footnote>
  <w:footnote w:id="10">
    <w:p w:rsidR="000231B6" w:rsidRPr="00FD1ED0" w:rsidP="000231B6" w14:paraId="44D47765" w14:textId="77777777">
      <w:pPr>
        <w:pStyle w:val="FootnoteText"/>
        <w:rPr>
          <w:sz w:val="26"/>
          <w:szCs w:val="26"/>
        </w:rPr>
      </w:pPr>
      <w:r w:rsidRPr="00FD1ED0">
        <w:rPr>
          <w:rStyle w:val="FootnoteReference"/>
        </w:rPr>
        <w:footnoteRef/>
      </w:r>
      <w:r w:rsidRPr="00FD1ED0">
        <w:rPr>
          <w:sz w:val="26"/>
          <w:szCs w:val="26"/>
        </w:rPr>
        <w:t xml:space="preserve"> TO=Transmission Owner, GO=Generator Owner</w:t>
      </w:r>
      <w:r>
        <w:rPr>
          <w:sz w:val="26"/>
          <w:szCs w:val="26"/>
        </w:rPr>
        <w:t xml:space="preserve">, DP=Distribution Provider </w:t>
      </w:r>
      <w:r w:rsidRPr="00FD1ED0">
        <w:rPr>
          <w:sz w:val="26"/>
          <w:szCs w:val="26"/>
        </w:rPr>
        <w:t xml:space="preserve">and </w:t>
      </w:r>
      <w:r>
        <w:rPr>
          <w:sz w:val="26"/>
          <w:szCs w:val="26"/>
        </w:rPr>
        <w:t>P</w:t>
      </w:r>
      <w:r w:rsidRPr="00FD1ED0">
        <w:rPr>
          <w:sz w:val="26"/>
          <w:szCs w:val="26"/>
        </w:rPr>
        <w:t>C=</w:t>
      </w:r>
      <w:r>
        <w:rPr>
          <w:sz w:val="26"/>
          <w:szCs w:val="26"/>
        </w:rPr>
        <w:t>Planning</w:t>
      </w:r>
      <w:r w:rsidRPr="00FD1ED0">
        <w:rPr>
          <w:sz w:val="26"/>
          <w:szCs w:val="26"/>
        </w:rPr>
        <w:t xml:space="preserve"> Coordinator.</w:t>
      </w:r>
    </w:p>
  </w:footnote>
  <w:footnote w:id="11">
    <w:p w:rsidR="000231B6" w:rsidP="000231B6" w14:paraId="25F53882" w14:textId="77777777">
      <w:pPr>
        <w:pStyle w:val="FootnoteText"/>
      </w:pPr>
      <w:r w:rsidRPr="00FD1ED0">
        <w:rPr>
          <w:rStyle w:val="FootnoteReference"/>
        </w:rPr>
        <w:footnoteRef/>
      </w:r>
      <w:r w:rsidRPr="00FD1ED0">
        <w:rPr>
          <w:sz w:val="26"/>
          <w:szCs w:val="26"/>
        </w:rPr>
        <w:t xml:space="preserve"> The estimated hourly cost (salary plus benefits) derived using the following formula: Burden Hours per Response * $/hour = Cost per Response. based on the Bureau of Labor Statistics (BLS), as of </w:t>
      </w:r>
      <w:r>
        <w:rPr>
          <w:sz w:val="26"/>
          <w:szCs w:val="26"/>
        </w:rPr>
        <w:t>August</w:t>
      </w:r>
      <w:r w:rsidRPr="00FD1ED0">
        <w:rPr>
          <w:sz w:val="26"/>
          <w:szCs w:val="26"/>
        </w:rPr>
        <w:t xml:space="preserve"> 1, 2023, of an Electrical Engineer (17-2071) - $77.</w:t>
      </w:r>
      <w:r>
        <w:rPr>
          <w:sz w:val="26"/>
          <w:szCs w:val="26"/>
        </w:rPr>
        <w:t>29</w:t>
      </w:r>
      <w:r w:rsidRPr="00FD1ED0">
        <w:rPr>
          <w:sz w:val="26"/>
          <w:szCs w:val="26"/>
        </w:rPr>
        <w:t>, - and for Information and Record Clerks (43-4199) $</w:t>
      </w:r>
      <w:r>
        <w:rPr>
          <w:sz w:val="26"/>
          <w:szCs w:val="26"/>
        </w:rPr>
        <w:t>56.14</w:t>
      </w:r>
      <w:r w:rsidRPr="00FD1ED0">
        <w:rPr>
          <w:sz w:val="26"/>
          <w:szCs w:val="26"/>
        </w:rPr>
        <w:t>, The average hourly burden cost for this collection is [($77.</w:t>
      </w:r>
      <w:r>
        <w:rPr>
          <w:sz w:val="26"/>
          <w:szCs w:val="26"/>
        </w:rPr>
        <w:t>29</w:t>
      </w:r>
      <w:r w:rsidRPr="00FD1ED0">
        <w:rPr>
          <w:sz w:val="26"/>
          <w:szCs w:val="26"/>
        </w:rPr>
        <w:t xml:space="preserve"> + $</w:t>
      </w:r>
      <w:r>
        <w:rPr>
          <w:sz w:val="26"/>
          <w:szCs w:val="26"/>
        </w:rPr>
        <w:t>56.14</w:t>
      </w:r>
      <w:r w:rsidRPr="00FD1ED0">
        <w:rPr>
          <w:sz w:val="26"/>
          <w:szCs w:val="26"/>
        </w:rPr>
        <w:t>)/2 = $6</w:t>
      </w:r>
      <w:r>
        <w:rPr>
          <w:sz w:val="26"/>
          <w:szCs w:val="26"/>
        </w:rPr>
        <w:t>6</w:t>
      </w:r>
      <w:r w:rsidRPr="00FD1ED0">
        <w:rPr>
          <w:sz w:val="26"/>
          <w:szCs w:val="26"/>
        </w:rPr>
        <w:t>.</w:t>
      </w:r>
      <w:r>
        <w:rPr>
          <w:sz w:val="26"/>
          <w:szCs w:val="26"/>
        </w:rPr>
        <w:t>715</w:t>
      </w:r>
      <w:r w:rsidRPr="00FD1ED0">
        <w:rPr>
          <w:sz w:val="26"/>
          <w:szCs w:val="26"/>
        </w:rPr>
        <w:t>)] rounded to $6</w:t>
      </w:r>
      <w:r>
        <w:rPr>
          <w:sz w:val="26"/>
          <w:szCs w:val="26"/>
        </w:rPr>
        <w:t>6.72</w:t>
      </w:r>
      <w:r w:rsidRPr="00FD1ED0">
        <w:rPr>
          <w:sz w:val="26"/>
          <w:szCs w:val="26"/>
        </w:rPr>
        <w:t xml:space="preserve"> an hour.</w:t>
      </w:r>
      <w:r w:rsidRPr="00E27E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2F19D89B">
        <w:pPr>
          <w:pStyle w:val="Header"/>
        </w:pPr>
        <w:r w:rsidRPr="00D954AE">
          <w:t xml:space="preserve">Docket No. </w:t>
        </w:r>
        <w:r w:rsidR="007941E4">
          <w:t>RD23-</w:t>
        </w:r>
        <w:r w:rsidR="00FF5DF4">
          <w:t>5</w:t>
        </w:r>
        <w:r w:rsidR="007941E4">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1B6"/>
    <w:rsid w:val="00023B2D"/>
    <w:rsid w:val="00026C2D"/>
    <w:rsid w:val="000379D6"/>
    <w:rsid w:val="00042F33"/>
    <w:rsid w:val="00043CEF"/>
    <w:rsid w:val="000459B6"/>
    <w:rsid w:val="0005167F"/>
    <w:rsid w:val="00052169"/>
    <w:rsid w:val="000578D5"/>
    <w:rsid w:val="0006114E"/>
    <w:rsid w:val="00062427"/>
    <w:rsid w:val="0006681D"/>
    <w:rsid w:val="00066EF4"/>
    <w:rsid w:val="00072E34"/>
    <w:rsid w:val="00073427"/>
    <w:rsid w:val="00082413"/>
    <w:rsid w:val="00083EBA"/>
    <w:rsid w:val="00084E3D"/>
    <w:rsid w:val="0008692A"/>
    <w:rsid w:val="00086BAE"/>
    <w:rsid w:val="00097607"/>
    <w:rsid w:val="000A0250"/>
    <w:rsid w:val="000A2903"/>
    <w:rsid w:val="000A3078"/>
    <w:rsid w:val="000A3C2F"/>
    <w:rsid w:val="000A6164"/>
    <w:rsid w:val="000A6F37"/>
    <w:rsid w:val="000A7E68"/>
    <w:rsid w:val="000B431B"/>
    <w:rsid w:val="000B5B66"/>
    <w:rsid w:val="000B5C78"/>
    <w:rsid w:val="000B62BA"/>
    <w:rsid w:val="000C5E3A"/>
    <w:rsid w:val="000D2970"/>
    <w:rsid w:val="000D318C"/>
    <w:rsid w:val="000D6969"/>
    <w:rsid w:val="000E1256"/>
    <w:rsid w:val="000E2568"/>
    <w:rsid w:val="000E4C61"/>
    <w:rsid w:val="000F23F7"/>
    <w:rsid w:val="000F3BC3"/>
    <w:rsid w:val="000F606E"/>
    <w:rsid w:val="00112B6B"/>
    <w:rsid w:val="00116326"/>
    <w:rsid w:val="00117A32"/>
    <w:rsid w:val="00121E32"/>
    <w:rsid w:val="00125991"/>
    <w:rsid w:val="00126EEE"/>
    <w:rsid w:val="001309CE"/>
    <w:rsid w:val="0013255C"/>
    <w:rsid w:val="00132785"/>
    <w:rsid w:val="00135FC5"/>
    <w:rsid w:val="00137823"/>
    <w:rsid w:val="00150CBC"/>
    <w:rsid w:val="0015445B"/>
    <w:rsid w:val="00156BBB"/>
    <w:rsid w:val="001600DF"/>
    <w:rsid w:val="00164215"/>
    <w:rsid w:val="0017164F"/>
    <w:rsid w:val="00171725"/>
    <w:rsid w:val="0017441E"/>
    <w:rsid w:val="00176042"/>
    <w:rsid w:val="0017684C"/>
    <w:rsid w:val="00177704"/>
    <w:rsid w:val="00181BF7"/>
    <w:rsid w:val="00182110"/>
    <w:rsid w:val="001841BB"/>
    <w:rsid w:val="00184A26"/>
    <w:rsid w:val="00184B43"/>
    <w:rsid w:val="0018602B"/>
    <w:rsid w:val="00187FF1"/>
    <w:rsid w:val="0019402A"/>
    <w:rsid w:val="001971AD"/>
    <w:rsid w:val="00197435"/>
    <w:rsid w:val="001974A9"/>
    <w:rsid w:val="001A2DAA"/>
    <w:rsid w:val="001A4D96"/>
    <w:rsid w:val="001A6645"/>
    <w:rsid w:val="001A6AD6"/>
    <w:rsid w:val="001B0BD2"/>
    <w:rsid w:val="001B619F"/>
    <w:rsid w:val="001B78B8"/>
    <w:rsid w:val="001C543C"/>
    <w:rsid w:val="001C7064"/>
    <w:rsid w:val="001D0BC7"/>
    <w:rsid w:val="001D578A"/>
    <w:rsid w:val="001D5F38"/>
    <w:rsid w:val="001E3237"/>
    <w:rsid w:val="001E58E6"/>
    <w:rsid w:val="001E6BA7"/>
    <w:rsid w:val="001F00EE"/>
    <w:rsid w:val="001F1CDF"/>
    <w:rsid w:val="001F5A3B"/>
    <w:rsid w:val="00202E41"/>
    <w:rsid w:val="0020446B"/>
    <w:rsid w:val="00206037"/>
    <w:rsid w:val="00207AE7"/>
    <w:rsid w:val="00211105"/>
    <w:rsid w:val="002131D0"/>
    <w:rsid w:val="00213696"/>
    <w:rsid w:val="00213A4D"/>
    <w:rsid w:val="00223204"/>
    <w:rsid w:val="00224BF8"/>
    <w:rsid w:val="00224DD2"/>
    <w:rsid w:val="0023227F"/>
    <w:rsid w:val="00237AB9"/>
    <w:rsid w:val="00241AC6"/>
    <w:rsid w:val="0024271E"/>
    <w:rsid w:val="0024309C"/>
    <w:rsid w:val="0024309D"/>
    <w:rsid w:val="00253F98"/>
    <w:rsid w:val="00257CC2"/>
    <w:rsid w:val="0026135A"/>
    <w:rsid w:val="00262096"/>
    <w:rsid w:val="00265B23"/>
    <w:rsid w:val="00266431"/>
    <w:rsid w:val="002673C4"/>
    <w:rsid w:val="00270ED7"/>
    <w:rsid w:val="002721E8"/>
    <w:rsid w:val="00272AAF"/>
    <w:rsid w:val="00274ABD"/>
    <w:rsid w:val="00277C38"/>
    <w:rsid w:val="002906E5"/>
    <w:rsid w:val="00292A4C"/>
    <w:rsid w:val="00297211"/>
    <w:rsid w:val="002A60BB"/>
    <w:rsid w:val="002B024E"/>
    <w:rsid w:val="002B5874"/>
    <w:rsid w:val="002C2C8B"/>
    <w:rsid w:val="002C3223"/>
    <w:rsid w:val="002C3579"/>
    <w:rsid w:val="002C5E0E"/>
    <w:rsid w:val="002C7524"/>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168A9"/>
    <w:rsid w:val="00324CB3"/>
    <w:rsid w:val="0033092C"/>
    <w:rsid w:val="0033340D"/>
    <w:rsid w:val="00336AD9"/>
    <w:rsid w:val="00340D3C"/>
    <w:rsid w:val="0034294E"/>
    <w:rsid w:val="00353270"/>
    <w:rsid w:val="00365468"/>
    <w:rsid w:val="003658A2"/>
    <w:rsid w:val="003673EC"/>
    <w:rsid w:val="00373A2E"/>
    <w:rsid w:val="003758CE"/>
    <w:rsid w:val="00376525"/>
    <w:rsid w:val="00385B9A"/>
    <w:rsid w:val="00397ABE"/>
    <w:rsid w:val="003A2C3F"/>
    <w:rsid w:val="003A32E7"/>
    <w:rsid w:val="003A7F98"/>
    <w:rsid w:val="003B435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1E33"/>
    <w:rsid w:val="0042688C"/>
    <w:rsid w:val="0042765E"/>
    <w:rsid w:val="00427AE5"/>
    <w:rsid w:val="00433F15"/>
    <w:rsid w:val="004417C4"/>
    <w:rsid w:val="00441F16"/>
    <w:rsid w:val="00443282"/>
    <w:rsid w:val="00447C9E"/>
    <w:rsid w:val="004509A3"/>
    <w:rsid w:val="00450D64"/>
    <w:rsid w:val="004562F1"/>
    <w:rsid w:val="00456DDE"/>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D7E8A"/>
    <w:rsid w:val="004E3742"/>
    <w:rsid w:val="004E44F8"/>
    <w:rsid w:val="004E683E"/>
    <w:rsid w:val="004F44BD"/>
    <w:rsid w:val="004F56E3"/>
    <w:rsid w:val="00506F3A"/>
    <w:rsid w:val="00524164"/>
    <w:rsid w:val="00527733"/>
    <w:rsid w:val="00531000"/>
    <w:rsid w:val="005401E0"/>
    <w:rsid w:val="00544424"/>
    <w:rsid w:val="005452CC"/>
    <w:rsid w:val="0054746C"/>
    <w:rsid w:val="00551A3C"/>
    <w:rsid w:val="0055326E"/>
    <w:rsid w:val="00561908"/>
    <w:rsid w:val="00565830"/>
    <w:rsid w:val="00565B5E"/>
    <w:rsid w:val="00566B5F"/>
    <w:rsid w:val="00567315"/>
    <w:rsid w:val="005739F7"/>
    <w:rsid w:val="005749DE"/>
    <w:rsid w:val="00575368"/>
    <w:rsid w:val="0058195F"/>
    <w:rsid w:val="00582191"/>
    <w:rsid w:val="00584A11"/>
    <w:rsid w:val="00587D1F"/>
    <w:rsid w:val="00592484"/>
    <w:rsid w:val="0059421A"/>
    <w:rsid w:val="005953A1"/>
    <w:rsid w:val="00596526"/>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39E7"/>
    <w:rsid w:val="00644A1B"/>
    <w:rsid w:val="00647721"/>
    <w:rsid w:val="00650E6C"/>
    <w:rsid w:val="00651CE5"/>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0DD"/>
    <w:rsid w:val="006963BC"/>
    <w:rsid w:val="006970F4"/>
    <w:rsid w:val="006A2E15"/>
    <w:rsid w:val="006A4398"/>
    <w:rsid w:val="006B3479"/>
    <w:rsid w:val="006B3A1E"/>
    <w:rsid w:val="006C73D0"/>
    <w:rsid w:val="006D5669"/>
    <w:rsid w:val="006E7CBB"/>
    <w:rsid w:val="006E7EBE"/>
    <w:rsid w:val="006F5B4E"/>
    <w:rsid w:val="006F7028"/>
    <w:rsid w:val="006F749E"/>
    <w:rsid w:val="00701428"/>
    <w:rsid w:val="007024F1"/>
    <w:rsid w:val="00707D60"/>
    <w:rsid w:val="00713417"/>
    <w:rsid w:val="007142E3"/>
    <w:rsid w:val="00714EDD"/>
    <w:rsid w:val="0071596F"/>
    <w:rsid w:val="00723505"/>
    <w:rsid w:val="007263B9"/>
    <w:rsid w:val="007352F2"/>
    <w:rsid w:val="007432C3"/>
    <w:rsid w:val="0075009F"/>
    <w:rsid w:val="00752A48"/>
    <w:rsid w:val="00757503"/>
    <w:rsid w:val="00757707"/>
    <w:rsid w:val="00761148"/>
    <w:rsid w:val="007633DD"/>
    <w:rsid w:val="007755E3"/>
    <w:rsid w:val="00775977"/>
    <w:rsid w:val="00781E6A"/>
    <w:rsid w:val="007931A5"/>
    <w:rsid w:val="007941E4"/>
    <w:rsid w:val="007A5C0A"/>
    <w:rsid w:val="007B1F57"/>
    <w:rsid w:val="007B370F"/>
    <w:rsid w:val="007B4938"/>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4049"/>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3777"/>
    <w:rsid w:val="008B7EC5"/>
    <w:rsid w:val="008D25B7"/>
    <w:rsid w:val="008D5479"/>
    <w:rsid w:val="008E0DC0"/>
    <w:rsid w:val="008E0DF5"/>
    <w:rsid w:val="008E3273"/>
    <w:rsid w:val="008F0C45"/>
    <w:rsid w:val="00904B00"/>
    <w:rsid w:val="00904F46"/>
    <w:rsid w:val="009112D0"/>
    <w:rsid w:val="00914C88"/>
    <w:rsid w:val="00920472"/>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7E2"/>
    <w:rsid w:val="00990FEC"/>
    <w:rsid w:val="0099154B"/>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0671"/>
    <w:rsid w:val="00A11868"/>
    <w:rsid w:val="00A127D3"/>
    <w:rsid w:val="00A1386C"/>
    <w:rsid w:val="00A14335"/>
    <w:rsid w:val="00A14B43"/>
    <w:rsid w:val="00A166E7"/>
    <w:rsid w:val="00A178B0"/>
    <w:rsid w:val="00A2075F"/>
    <w:rsid w:val="00A23612"/>
    <w:rsid w:val="00A2604E"/>
    <w:rsid w:val="00A26D4A"/>
    <w:rsid w:val="00A27C67"/>
    <w:rsid w:val="00A32860"/>
    <w:rsid w:val="00A32F06"/>
    <w:rsid w:val="00A334E0"/>
    <w:rsid w:val="00A40F6E"/>
    <w:rsid w:val="00A417A2"/>
    <w:rsid w:val="00A43B99"/>
    <w:rsid w:val="00A52189"/>
    <w:rsid w:val="00A57463"/>
    <w:rsid w:val="00A664DF"/>
    <w:rsid w:val="00A71219"/>
    <w:rsid w:val="00A713D0"/>
    <w:rsid w:val="00A722D4"/>
    <w:rsid w:val="00A75AAA"/>
    <w:rsid w:val="00A82A29"/>
    <w:rsid w:val="00A862E4"/>
    <w:rsid w:val="00A86B6F"/>
    <w:rsid w:val="00A9486B"/>
    <w:rsid w:val="00A959E1"/>
    <w:rsid w:val="00AA516A"/>
    <w:rsid w:val="00AA5B0E"/>
    <w:rsid w:val="00AA6A4A"/>
    <w:rsid w:val="00AB1C87"/>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635"/>
    <w:rsid w:val="00B062D0"/>
    <w:rsid w:val="00B11D16"/>
    <w:rsid w:val="00B1325E"/>
    <w:rsid w:val="00B17A95"/>
    <w:rsid w:val="00B20043"/>
    <w:rsid w:val="00B20A44"/>
    <w:rsid w:val="00B24588"/>
    <w:rsid w:val="00B274AE"/>
    <w:rsid w:val="00B30F2D"/>
    <w:rsid w:val="00B34928"/>
    <w:rsid w:val="00B35B74"/>
    <w:rsid w:val="00B403F1"/>
    <w:rsid w:val="00B40AB8"/>
    <w:rsid w:val="00B4163B"/>
    <w:rsid w:val="00B447D7"/>
    <w:rsid w:val="00B51621"/>
    <w:rsid w:val="00B55158"/>
    <w:rsid w:val="00B556C9"/>
    <w:rsid w:val="00B57033"/>
    <w:rsid w:val="00B60113"/>
    <w:rsid w:val="00B6081E"/>
    <w:rsid w:val="00B61016"/>
    <w:rsid w:val="00B624EB"/>
    <w:rsid w:val="00B65D21"/>
    <w:rsid w:val="00B71BAA"/>
    <w:rsid w:val="00B76A1F"/>
    <w:rsid w:val="00B806DD"/>
    <w:rsid w:val="00B82F8C"/>
    <w:rsid w:val="00B8460F"/>
    <w:rsid w:val="00B84D34"/>
    <w:rsid w:val="00B95303"/>
    <w:rsid w:val="00B95477"/>
    <w:rsid w:val="00B96886"/>
    <w:rsid w:val="00B978A7"/>
    <w:rsid w:val="00BA1D81"/>
    <w:rsid w:val="00BA258F"/>
    <w:rsid w:val="00BA7130"/>
    <w:rsid w:val="00BB436B"/>
    <w:rsid w:val="00BB5EF5"/>
    <w:rsid w:val="00BC3CC2"/>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69D"/>
    <w:rsid w:val="00C14903"/>
    <w:rsid w:val="00C1686C"/>
    <w:rsid w:val="00C168F3"/>
    <w:rsid w:val="00C170F3"/>
    <w:rsid w:val="00C27F05"/>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0DEF"/>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148F"/>
    <w:rsid w:val="00CB51CC"/>
    <w:rsid w:val="00CC0389"/>
    <w:rsid w:val="00CC0C31"/>
    <w:rsid w:val="00CC1A72"/>
    <w:rsid w:val="00CC3633"/>
    <w:rsid w:val="00CC5692"/>
    <w:rsid w:val="00CC65F3"/>
    <w:rsid w:val="00CD0783"/>
    <w:rsid w:val="00CD09E8"/>
    <w:rsid w:val="00CD56E5"/>
    <w:rsid w:val="00CD6896"/>
    <w:rsid w:val="00CE0C1B"/>
    <w:rsid w:val="00CE64F2"/>
    <w:rsid w:val="00CF0C67"/>
    <w:rsid w:val="00CF0F40"/>
    <w:rsid w:val="00CF1025"/>
    <w:rsid w:val="00CF3AED"/>
    <w:rsid w:val="00CF4753"/>
    <w:rsid w:val="00CF7C86"/>
    <w:rsid w:val="00D0083B"/>
    <w:rsid w:val="00D04DF4"/>
    <w:rsid w:val="00D15403"/>
    <w:rsid w:val="00D172D8"/>
    <w:rsid w:val="00D26488"/>
    <w:rsid w:val="00D30B56"/>
    <w:rsid w:val="00D3231A"/>
    <w:rsid w:val="00D35B2D"/>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5E13"/>
    <w:rsid w:val="00D86288"/>
    <w:rsid w:val="00D872BC"/>
    <w:rsid w:val="00D954AE"/>
    <w:rsid w:val="00D95BD7"/>
    <w:rsid w:val="00D96929"/>
    <w:rsid w:val="00DA1B6F"/>
    <w:rsid w:val="00DA529F"/>
    <w:rsid w:val="00DA59A2"/>
    <w:rsid w:val="00DB5AAE"/>
    <w:rsid w:val="00DB62D5"/>
    <w:rsid w:val="00DB636B"/>
    <w:rsid w:val="00DB6882"/>
    <w:rsid w:val="00DC4B63"/>
    <w:rsid w:val="00DC5017"/>
    <w:rsid w:val="00DC5129"/>
    <w:rsid w:val="00DC68A9"/>
    <w:rsid w:val="00DD01A0"/>
    <w:rsid w:val="00DD7F1B"/>
    <w:rsid w:val="00DE1A87"/>
    <w:rsid w:val="00DE451F"/>
    <w:rsid w:val="00DE61E1"/>
    <w:rsid w:val="00E03D2D"/>
    <w:rsid w:val="00E12A7A"/>
    <w:rsid w:val="00E21B31"/>
    <w:rsid w:val="00E27E36"/>
    <w:rsid w:val="00E27FD6"/>
    <w:rsid w:val="00E36A0F"/>
    <w:rsid w:val="00E36F8A"/>
    <w:rsid w:val="00E400C7"/>
    <w:rsid w:val="00E40322"/>
    <w:rsid w:val="00E40CB4"/>
    <w:rsid w:val="00E41DB9"/>
    <w:rsid w:val="00E43B83"/>
    <w:rsid w:val="00E4627E"/>
    <w:rsid w:val="00E47C92"/>
    <w:rsid w:val="00E56612"/>
    <w:rsid w:val="00E67CB0"/>
    <w:rsid w:val="00E71CC0"/>
    <w:rsid w:val="00E723CB"/>
    <w:rsid w:val="00E731AE"/>
    <w:rsid w:val="00E73797"/>
    <w:rsid w:val="00E74310"/>
    <w:rsid w:val="00E762BB"/>
    <w:rsid w:val="00E865C8"/>
    <w:rsid w:val="00E8661B"/>
    <w:rsid w:val="00E9084E"/>
    <w:rsid w:val="00E914B2"/>
    <w:rsid w:val="00E9567A"/>
    <w:rsid w:val="00E962E6"/>
    <w:rsid w:val="00E97D7C"/>
    <w:rsid w:val="00EA1793"/>
    <w:rsid w:val="00EA689F"/>
    <w:rsid w:val="00EB5157"/>
    <w:rsid w:val="00EC1434"/>
    <w:rsid w:val="00EC72B0"/>
    <w:rsid w:val="00EC77B3"/>
    <w:rsid w:val="00ED0142"/>
    <w:rsid w:val="00ED74AF"/>
    <w:rsid w:val="00EE18F2"/>
    <w:rsid w:val="00EE33B9"/>
    <w:rsid w:val="00EE365D"/>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3E17"/>
    <w:rsid w:val="00FB078F"/>
    <w:rsid w:val="00FB0E5A"/>
    <w:rsid w:val="00FB3586"/>
    <w:rsid w:val="00FB5C7E"/>
    <w:rsid w:val="00FC128B"/>
    <w:rsid w:val="00FC39BA"/>
    <w:rsid w:val="00FC3F00"/>
    <w:rsid w:val="00FC750D"/>
    <w:rsid w:val="00FD04A0"/>
    <w:rsid w:val="00FD0EA3"/>
    <w:rsid w:val="00FD1ED0"/>
    <w:rsid w:val="00FD7619"/>
    <w:rsid w:val="00FE34E4"/>
    <w:rsid w:val="00FF1D71"/>
    <w:rsid w:val="00FF4CC0"/>
    <w:rsid w:val="00FF5141"/>
    <w:rsid w:val="00FF5DF4"/>
    <w:rsid w:val="00FF74B3"/>
    <w:rsid w:val="02DEA4E6"/>
    <w:rsid w:val="128FFB1D"/>
    <w:rsid w:val="2B7BEA93"/>
    <w:rsid w:val="2C5D4E46"/>
    <w:rsid w:val="35D2C7CD"/>
    <w:rsid w:val="3D33D731"/>
    <w:rsid w:val="4B4230D7"/>
    <w:rsid w:val="5F4054FE"/>
    <w:rsid w:val="63988364"/>
    <w:rsid w:val="655BEAE6"/>
    <w:rsid w:val="6D52CCCC"/>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57536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OPP@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817D92B8-BC5D-447D-AAD8-A66F000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DB62FF2E-FA4A-42BE-AA47-8BC2AF677562}">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2016-12-20T16:40:00Z</cp:lastPrinted>
  <dcterms:created xsi:type="dcterms:W3CDTF">2024-09-04T17:32:00Z</dcterms:created>
  <dcterms:modified xsi:type="dcterms:W3CDTF">2024-09-04T17:32:00Z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ebddd57e-1b59-4e23-b85f-4f2a5725d916</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2024-09-04T17:31:11Z</vt:lpwstr>
  </property>
  <property fmtid="{D5CDD505-2E9C-101B-9397-08002B2CF9AE}" pid="8" name="MSIP_Label_6155a89b-0f08-4a93-8ea2-8a916d6643b5_SiteId">
    <vt:lpwstr>19caa9e9-04ff-43fa-885f-d77fac387903</vt:lpwstr>
  </property>
</Properties>
</file>