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3407F" w:rsidRPr="000619B7" w:rsidP="0092596C" w14:paraId="5E3A2BA4" w14:textId="77777777">
      <w:pPr>
        <w:spacing w:after="0" w:line="240" w:lineRule="auto"/>
        <w:jc w:val="center"/>
        <w:rPr>
          <w:rFonts w:ascii="Times New Roman" w:hAnsi="Times New Roman"/>
          <w:sz w:val="24"/>
          <w:szCs w:val="24"/>
        </w:rPr>
      </w:pPr>
      <w:r w:rsidRPr="000619B7">
        <w:rPr>
          <w:rFonts w:ascii="Times New Roman" w:hAnsi="Times New Roman"/>
          <w:sz w:val="24"/>
          <w:szCs w:val="24"/>
        </w:rPr>
        <w:t>Supporting Statement</w:t>
      </w:r>
    </w:p>
    <w:p w:rsidR="007D1EDB" w:rsidRPr="000619B7" w:rsidP="009D4D24" w14:paraId="78A92451" w14:textId="77777777">
      <w:pPr>
        <w:spacing w:after="0" w:line="240" w:lineRule="auto"/>
        <w:jc w:val="center"/>
        <w:rPr>
          <w:rFonts w:ascii="Times New Roman" w:hAnsi="Times New Roman"/>
          <w:b/>
          <w:bCs/>
          <w:sz w:val="24"/>
          <w:szCs w:val="24"/>
        </w:rPr>
      </w:pPr>
      <w:r w:rsidRPr="000619B7">
        <w:rPr>
          <w:rFonts w:ascii="Times New Roman" w:eastAsia="Times New Roman" w:hAnsi="Times New Roman" w:cs="Times New Roman"/>
          <w:b/>
          <w:bCs/>
          <w:sz w:val="24"/>
          <w:szCs w:val="24"/>
        </w:rPr>
        <w:t xml:space="preserve">FERC-725G, </w:t>
      </w:r>
      <w:r w:rsidRPr="000619B7" w:rsidR="008F16EE">
        <w:rPr>
          <w:rFonts w:ascii="Times New Roman" w:hAnsi="Times New Roman"/>
          <w:b/>
          <w:bCs/>
          <w:sz w:val="24"/>
          <w:szCs w:val="24"/>
        </w:rPr>
        <w:t>Mandatory Reliability Standards</w:t>
      </w:r>
    </w:p>
    <w:p w:rsidR="00FD66F1" w:rsidRPr="00BD0FD5" w:rsidP="0092596C" w14:paraId="0BE32D4B" w14:textId="77777777">
      <w:pPr>
        <w:spacing w:after="0" w:line="240" w:lineRule="auto"/>
        <w:rPr>
          <w:rFonts w:ascii="Times New Roman" w:hAnsi="Times New Roman" w:cs="Times New Roman"/>
          <w:sz w:val="24"/>
          <w:szCs w:val="24"/>
        </w:rPr>
      </w:pPr>
    </w:p>
    <w:p w:rsidR="0081469B" w:rsidRPr="000619B7" w:rsidP="0081469B" w14:paraId="254D3F15" w14:textId="77777777">
      <w:pPr>
        <w:spacing w:after="0" w:line="240" w:lineRule="auto"/>
        <w:rPr>
          <w:rFonts w:ascii="Times New Roman" w:hAnsi="Times New Roman"/>
          <w:sz w:val="24"/>
          <w:szCs w:val="24"/>
        </w:rPr>
      </w:pPr>
      <w:r w:rsidRPr="000619B7">
        <w:rPr>
          <w:rFonts w:ascii="Times New Roman" w:hAnsi="Times New Roman"/>
          <w:sz w:val="24"/>
          <w:szCs w:val="24"/>
        </w:rPr>
        <w:t>The existing</w:t>
      </w:r>
      <w:r w:rsidRPr="000619B7" w:rsidR="00333EE2">
        <w:rPr>
          <w:rFonts w:ascii="Times New Roman" w:hAnsi="Times New Roman"/>
          <w:sz w:val="24"/>
          <w:szCs w:val="24"/>
        </w:rPr>
        <w:t xml:space="preserve"> information collection requireme</w:t>
      </w:r>
      <w:r w:rsidRPr="000619B7" w:rsidR="007A7A19">
        <w:rPr>
          <w:rFonts w:ascii="Times New Roman" w:hAnsi="Times New Roman"/>
          <w:sz w:val="24"/>
          <w:szCs w:val="24"/>
        </w:rPr>
        <w:t xml:space="preserve">nts in the </w:t>
      </w:r>
      <w:r w:rsidRPr="000619B7" w:rsidR="00DD2B39">
        <w:rPr>
          <w:rFonts w:ascii="Times New Roman" w:hAnsi="Times New Roman"/>
          <w:sz w:val="24"/>
          <w:szCs w:val="24"/>
        </w:rPr>
        <w:t xml:space="preserve">currently effective </w:t>
      </w:r>
      <w:r w:rsidRPr="000619B7" w:rsidR="007E08EF">
        <w:rPr>
          <w:rFonts w:ascii="Times New Roman" w:hAnsi="Times New Roman"/>
          <w:sz w:val="24"/>
          <w:szCs w:val="24"/>
        </w:rPr>
        <w:t xml:space="preserve">Mandatory </w:t>
      </w:r>
      <w:r w:rsidRPr="000619B7" w:rsidR="007A7A19">
        <w:rPr>
          <w:rFonts w:ascii="Times New Roman" w:hAnsi="Times New Roman"/>
          <w:sz w:val="24"/>
          <w:szCs w:val="24"/>
        </w:rPr>
        <w:t>Reliability Standard</w:t>
      </w:r>
      <w:r w:rsidRPr="000619B7" w:rsidR="007E08EF">
        <w:rPr>
          <w:rFonts w:ascii="Times New Roman" w:hAnsi="Times New Roman"/>
          <w:sz w:val="24"/>
          <w:szCs w:val="24"/>
        </w:rPr>
        <w:t>s</w:t>
      </w:r>
      <w:r w:rsidRPr="000619B7" w:rsidR="00DD2B39">
        <w:rPr>
          <w:rFonts w:ascii="Times New Roman" w:hAnsi="Times New Roman"/>
          <w:sz w:val="24"/>
          <w:szCs w:val="24"/>
        </w:rPr>
        <w:t>,</w:t>
      </w:r>
      <w:r w:rsidRPr="000619B7" w:rsidR="00333EE2">
        <w:rPr>
          <w:rFonts w:ascii="Times New Roman" w:hAnsi="Times New Roman"/>
          <w:sz w:val="24"/>
          <w:szCs w:val="24"/>
        </w:rPr>
        <w:t xml:space="preserve"> are approved by OMB under </w:t>
      </w:r>
      <w:r w:rsidRPr="000619B7" w:rsidR="004F5391">
        <w:rPr>
          <w:rFonts w:ascii="Times New Roman" w:eastAsia="Times New Roman" w:hAnsi="Times New Roman" w:cs="Times New Roman"/>
          <w:sz w:val="24"/>
          <w:szCs w:val="24"/>
        </w:rPr>
        <w:t>FERC-725G,</w:t>
      </w:r>
      <w:r w:rsidRPr="000619B7" w:rsidR="000943D4">
        <w:rPr>
          <w:rFonts w:ascii="Times New Roman" w:eastAsia="Times New Roman" w:hAnsi="Times New Roman" w:cs="Times New Roman"/>
          <w:b/>
          <w:bCs/>
          <w:sz w:val="24"/>
          <w:szCs w:val="24"/>
        </w:rPr>
        <w:t xml:space="preserve"> </w:t>
      </w:r>
      <w:r w:rsidRPr="000619B7" w:rsidR="000943D4">
        <w:rPr>
          <w:rFonts w:ascii="Times New Roman" w:eastAsia="Times New Roman" w:hAnsi="Times New Roman" w:cs="Times New Roman"/>
          <w:sz w:val="24"/>
          <w:szCs w:val="24"/>
        </w:rPr>
        <w:t>Mandatory Reliability Standards for the Bulk-Power System: PRC Standards;</w:t>
      </w:r>
      <w:r w:rsidRPr="000619B7" w:rsidR="004F5391">
        <w:rPr>
          <w:rFonts w:ascii="Times New Roman" w:eastAsia="Times New Roman" w:hAnsi="Times New Roman" w:cs="Times New Roman"/>
          <w:sz w:val="24"/>
          <w:szCs w:val="24"/>
        </w:rPr>
        <w:t xml:space="preserve"> </w:t>
      </w:r>
      <w:r w:rsidRPr="000619B7" w:rsidR="004F5391">
        <w:rPr>
          <w:rFonts w:ascii="Times New Roman" w:eastAsia="Times New Roman" w:hAnsi="Times New Roman" w:cs="Times New Roman"/>
          <w:iCs/>
          <w:color w:val="000000"/>
          <w:sz w:val="24"/>
          <w:szCs w:val="24"/>
        </w:rPr>
        <w:t>PRC-0</w:t>
      </w:r>
      <w:r w:rsidR="00F90187">
        <w:rPr>
          <w:rFonts w:ascii="Times New Roman" w:eastAsia="Times New Roman" w:hAnsi="Times New Roman" w:cs="Times New Roman"/>
          <w:iCs/>
          <w:color w:val="000000"/>
          <w:sz w:val="24"/>
          <w:szCs w:val="24"/>
        </w:rPr>
        <w:t>23</w:t>
      </w:r>
      <w:r w:rsidRPr="000619B7" w:rsidR="004F5391">
        <w:rPr>
          <w:rFonts w:ascii="Times New Roman" w:eastAsia="Times New Roman" w:hAnsi="Times New Roman" w:cs="Times New Roman"/>
          <w:iCs/>
          <w:color w:val="000000"/>
          <w:sz w:val="24"/>
          <w:szCs w:val="24"/>
        </w:rPr>
        <w:t>-</w:t>
      </w:r>
      <w:r w:rsidR="00F90187">
        <w:rPr>
          <w:rFonts w:ascii="Times New Roman" w:eastAsia="Times New Roman" w:hAnsi="Times New Roman" w:cs="Times New Roman"/>
          <w:iCs/>
          <w:color w:val="000000"/>
          <w:sz w:val="24"/>
          <w:szCs w:val="24"/>
        </w:rPr>
        <w:t>6</w:t>
      </w:r>
      <w:r w:rsidRPr="000619B7" w:rsidR="00093D4A">
        <w:rPr>
          <w:rFonts w:ascii="Times New Roman" w:eastAsia="Times New Roman" w:hAnsi="Times New Roman" w:cs="Times New Roman"/>
          <w:iCs/>
          <w:color w:val="000000"/>
          <w:sz w:val="24"/>
          <w:szCs w:val="24"/>
        </w:rPr>
        <w:t>.</w:t>
      </w:r>
      <w:r w:rsidRPr="000619B7" w:rsidR="00EE7794">
        <w:rPr>
          <w:rFonts w:ascii="Times New Roman" w:hAnsi="Times New Roman" w:cs="Times New Roman"/>
          <w:sz w:val="24"/>
          <w:szCs w:val="24"/>
        </w:rPr>
        <w:t xml:space="preserve"> </w:t>
      </w:r>
    </w:p>
    <w:p w:rsidR="0002242D" w:rsidRPr="00BD0FD5" w:rsidP="0092596C" w14:paraId="1F79E23F" w14:textId="77777777">
      <w:pPr>
        <w:spacing w:after="0" w:line="240" w:lineRule="auto"/>
        <w:rPr>
          <w:rFonts w:ascii="Times New Roman" w:hAnsi="Times New Roman" w:cs="Times New Roman"/>
          <w:sz w:val="24"/>
          <w:szCs w:val="24"/>
        </w:rPr>
      </w:pPr>
    </w:p>
    <w:p w:rsidR="00A72E7B" w:rsidRPr="00BD0FD5" w:rsidP="0092596C" w14:paraId="21E947A8"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CIRCUMSTANCES THAT MAKE THE COLLECTION OF INFORMATION NECESSARY</w:t>
      </w:r>
    </w:p>
    <w:p w:rsidR="00EB3E6F" w:rsidP="0092596C" w14:paraId="0D6EB76D" w14:textId="77777777">
      <w:pPr>
        <w:spacing w:after="0" w:line="240" w:lineRule="auto"/>
        <w:rPr>
          <w:rFonts w:ascii="Times New Roman" w:hAnsi="Times New Roman" w:cs="Times New Roman"/>
          <w:sz w:val="24"/>
          <w:szCs w:val="24"/>
        </w:rPr>
      </w:pPr>
    </w:p>
    <w:p w:rsidR="00792606" w:rsidRPr="00792606" w:rsidP="00792606" w14:paraId="6B7F7755" w14:textId="48547B53">
      <w:pPr>
        <w:spacing w:after="0" w:line="240" w:lineRule="auto"/>
        <w:rPr>
          <w:rFonts w:ascii="Times New Roman" w:eastAsia="Calibri" w:hAnsi="Times New Roman" w:cs="Times New Roman"/>
          <w:sz w:val="24"/>
          <w:szCs w:val="24"/>
        </w:rPr>
      </w:pPr>
      <w:r w:rsidRPr="00792606">
        <w:rPr>
          <w:rFonts w:ascii="Times New Roman" w:eastAsia="Calibri" w:hAnsi="Times New Roman" w:cs="Times New Roman"/>
          <w:sz w:val="24"/>
          <w:szCs w:val="24"/>
        </w:rPr>
        <w:t xml:space="preserve">On August 8, 2005, </w:t>
      </w:r>
      <w:r w:rsidR="00AB3037">
        <w:rPr>
          <w:rFonts w:ascii="Times New Roman" w:eastAsia="Calibri" w:hAnsi="Times New Roman" w:cs="Times New Roman"/>
          <w:sz w:val="24"/>
          <w:szCs w:val="24"/>
        </w:rPr>
        <w:t>t</w:t>
      </w:r>
      <w:r w:rsidRPr="00792606">
        <w:rPr>
          <w:rFonts w:ascii="Times New Roman" w:eastAsia="Calibri" w:hAnsi="Times New Roman" w:cs="Times New Roman"/>
          <w:sz w:val="24"/>
          <w:szCs w:val="24"/>
        </w:rPr>
        <w:t>he Electricity Modernization Act of 2005, which is Title XII of the Energy Policy Act of 2005 (</w:t>
      </w:r>
      <w:r w:rsidRPr="00792606">
        <w:rPr>
          <w:rFonts w:ascii="Times New Roman" w:eastAsia="Calibri" w:hAnsi="Times New Roman" w:cs="Times New Roman"/>
          <w:sz w:val="24"/>
          <w:szCs w:val="24"/>
        </w:rPr>
        <w:t>EPAct</w:t>
      </w:r>
      <w:r w:rsidRPr="00792606">
        <w:rPr>
          <w:rFonts w:ascii="Times New Roman" w:eastAsia="Calibri" w:hAnsi="Times New Roman" w:cs="Times New Roman"/>
          <w:sz w:val="24"/>
          <w:szCs w:val="24"/>
        </w:rPr>
        <w:t xml:space="preserve"> 2005), was </w:t>
      </w:r>
      <w:r w:rsidRPr="00792606">
        <w:rPr>
          <w:rFonts w:ascii="Times New Roman" w:eastAsia="Calibri" w:hAnsi="Times New Roman" w:cs="Times New Roman"/>
          <w:sz w:val="24"/>
          <w:szCs w:val="24"/>
        </w:rPr>
        <w:t>enacted into law</w:t>
      </w:r>
      <w:r>
        <w:rPr>
          <w:rFonts w:ascii="Times New Roman" w:eastAsia="Calibri" w:hAnsi="Times New Roman" w:cs="Times New Roman"/>
          <w:sz w:val="24"/>
          <w:szCs w:val="24"/>
          <w:vertAlign w:val="superscript"/>
        </w:rPr>
        <w:footnoteReference w:id="3"/>
      </w:r>
      <w:r w:rsidRPr="00792606">
        <w:rPr>
          <w:rFonts w:ascii="Times New Roman" w:eastAsia="Calibri" w:hAnsi="Times New Roman" w:cs="Times New Roman"/>
          <w:sz w:val="24"/>
          <w:szCs w:val="24"/>
        </w:rPr>
        <w:t xml:space="preserve">.  </w:t>
      </w:r>
      <w:r w:rsidRPr="00792606">
        <w:rPr>
          <w:rFonts w:ascii="Times New Roman" w:eastAsia="Calibri" w:hAnsi="Times New Roman" w:cs="Times New Roman"/>
          <w:sz w:val="24"/>
          <w:szCs w:val="24"/>
        </w:rPr>
        <w:t>EPAct</w:t>
      </w:r>
      <w:r w:rsidRPr="00792606">
        <w:rPr>
          <w:rFonts w:ascii="Times New Roman" w:eastAsia="Calibri" w:hAnsi="Times New Roman" w:cs="Times New Roman"/>
          <w:sz w:val="24"/>
          <w:szCs w:val="24"/>
        </w:rPr>
        <w:t xml:space="preserve"> 2005 added a new section 215 to the Federal Power Act (FPA), which requires a Commission-certified Electric Reliability Organization (ERO) to develop mandatory and enforceable Reliability Standards, subject to Commission review a</w:t>
      </w:r>
      <w:r w:rsidRPr="00792606">
        <w:rPr>
          <w:rFonts w:ascii="Times New Roman" w:eastAsia="Calibri" w:hAnsi="Times New Roman" w:cs="Times New Roman"/>
          <w:sz w:val="24"/>
          <w:szCs w:val="24"/>
        </w:rPr>
        <w:t>nd approval.</w:t>
      </w:r>
    </w:p>
    <w:p w:rsidR="00792606" w:rsidRPr="00792606" w:rsidP="00792606" w14:paraId="1411F490" w14:textId="77777777">
      <w:pPr>
        <w:spacing w:after="0" w:line="240" w:lineRule="auto"/>
        <w:rPr>
          <w:rFonts w:ascii="Times New Roman" w:eastAsia="Calibri" w:hAnsi="Times New Roman" w:cs="Times New Roman"/>
          <w:sz w:val="24"/>
          <w:szCs w:val="24"/>
        </w:rPr>
      </w:pPr>
    </w:p>
    <w:p w:rsidR="00792606" w:rsidRPr="00792606" w:rsidP="00792606" w14:paraId="0FDFF562" w14:textId="6D75F306">
      <w:pPr>
        <w:spacing w:after="0" w:line="240" w:lineRule="auto"/>
        <w:rPr>
          <w:rFonts w:ascii="Times New Roman" w:eastAsia="Calibri" w:hAnsi="Times New Roman" w:cs="Times New Roman"/>
          <w:sz w:val="24"/>
          <w:szCs w:val="24"/>
        </w:rPr>
      </w:pPr>
      <w:r w:rsidRPr="00792606">
        <w:rPr>
          <w:rFonts w:ascii="Times New Roman" w:eastAsia="Calibri" w:hAnsi="Times New Roman" w:cs="Times New Roman"/>
          <w:sz w:val="24"/>
          <w:szCs w:val="24"/>
        </w:rPr>
        <w:t>In 2006, the Commission certified NERC (North American Electric Reliability Corporation) as the ERO</w:t>
      </w:r>
      <w:r>
        <w:rPr>
          <w:rFonts w:ascii="Times New Roman" w:eastAsia="Calibri" w:hAnsi="Times New Roman" w:cs="Times New Roman"/>
          <w:sz w:val="24"/>
          <w:szCs w:val="24"/>
          <w:vertAlign w:val="superscript"/>
        </w:rPr>
        <w:footnoteReference w:id="4"/>
      </w:r>
      <w:r w:rsidRPr="00792606">
        <w:rPr>
          <w:rFonts w:ascii="Times New Roman" w:eastAsia="Calibri" w:hAnsi="Times New Roman" w:cs="Times New Roman"/>
          <w:sz w:val="24"/>
          <w:szCs w:val="24"/>
        </w:rPr>
        <w:t xml:space="preserve"> pursuant to section 215 of the FPA.</w:t>
      </w:r>
      <w:r>
        <w:rPr>
          <w:rFonts w:ascii="Times New Roman" w:eastAsia="Calibri" w:hAnsi="Times New Roman" w:cs="Times New Roman"/>
          <w:b/>
          <w:sz w:val="24"/>
          <w:szCs w:val="24"/>
          <w:vertAlign w:val="superscript"/>
        </w:rPr>
        <w:footnoteReference w:id="5"/>
      </w:r>
    </w:p>
    <w:p w:rsidR="00792606" w:rsidRPr="00792606" w:rsidP="00792606" w14:paraId="1DD56581" w14:textId="77777777">
      <w:pPr>
        <w:spacing w:after="0" w:line="240" w:lineRule="auto"/>
        <w:rPr>
          <w:rFonts w:ascii="Times New Roman" w:eastAsia="Calibri" w:hAnsi="Times New Roman" w:cs="Times New Roman"/>
          <w:sz w:val="24"/>
          <w:szCs w:val="24"/>
        </w:rPr>
      </w:pPr>
    </w:p>
    <w:p w:rsidR="00792606" w:rsidRPr="00792606" w:rsidP="00792606" w14:paraId="0B68C081" w14:textId="493F016F">
      <w:pPr>
        <w:spacing w:after="0" w:line="240" w:lineRule="auto"/>
        <w:rPr>
          <w:rFonts w:ascii="Times New Roman" w:eastAsia="Calibri" w:hAnsi="Times New Roman" w:cs="Times New Roman"/>
          <w:sz w:val="24"/>
          <w:szCs w:val="24"/>
        </w:rPr>
      </w:pPr>
      <w:r w:rsidRPr="00792606">
        <w:rPr>
          <w:rFonts w:ascii="Times New Roman" w:eastAsia="Calibri" w:hAnsi="Times New Roman" w:cs="Times New Roman"/>
          <w:sz w:val="24"/>
          <w:szCs w:val="24"/>
        </w:rPr>
        <w:t>On March 16, 2007 (pursuant to section 215(d) of the FPA), the Commission issued Order No. 693, appro</w:t>
      </w:r>
      <w:r w:rsidRPr="00792606">
        <w:rPr>
          <w:rFonts w:ascii="Times New Roman" w:eastAsia="Calibri" w:hAnsi="Times New Roman" w:cs="Times New Roman"/>
          <w:sz w:val="24"/>
          <w:szCs w:val="24"/>
        </w:rPr>
        <w:t>ving 83 of the 107 initial Reliability Standards filed by NERC.  Order 693 addressed several Reliability Standards. In the intervening years, numerous changes have been made to update, eliminate, or establish various Reliability Standards.</w:t>
      </w:r>
    </w:p>
    <w:p w:rsidR="00792606" w:rsidRPr="00BD0FD5" w:rsidP="0092596C" w14:paraId="4CADC3D8" w14:textId="77777777">
      <w:pPr>
        <w:spacing w:after="0" w:line="240" w:lineRule="auto"/>
        <w:rPr>
          <w:rFonts w:ascii="Times New Roman" w:hAnsi="Times New Roman" w:cs="Times New Roman"/>
          <w:sz w:val="24"/>
          <w:szCs w:val="24"/>
        </w:rPr>
      </w:pPr>
    </w:p>
    <w:p w:rsidR="00A72E7B" w:rsidRPr="00BD0FD5" w:rsidP="0092596C" w14:paraId="413F0B0A"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HOW, BY WHOM, A</w:t>
      </w:r>
      <w:r w:rsidRPr="00BD0FD5">
        <w:rPr>
          <w:rFonts w:ascii="Times New Roman" w:hAnsi="Times New Roman" w:cs="Times New Roman"/>
          <w:b/>
          <w:sz w:val="24"/>
          <w:szCs w:val="24"/>
        </w:rPr>
        <w:t>ND FOR WHAT PURPOSE THE INFORMATION IS TO BE USED AND THE CONSEQUENCES OF NOT COLLECTING THE INFORMATION</w:t>
      </w:r>
    </w:p>
    <w:p w:rsidR="009A6326" w:rsidP="009A6326" w14:paraId="2A9742BF" w14:textId="77777777">
      <w:pPr>
        <w:spacing w:after="0" w:line="240" w:lineRule="auto"/>
        <w:rPr>
          <w:rFonts w:ascii="Times New Roman" w:hAnsi="Times New Roman" w:cs="Times New Roman"/>
          <w:sz w:val="24"/>
          <w:szCs w:val="24"/>
        </w:rPr>
      </w:pPr>
    </w:p>
    <w:p w:rsidR="007F0136" w:rsidP="007F0136" w14:paraId="07E85123" w14:textId="41B56809">
      <w:pPr>
        <w:spacing w:after="0" w:line="240" w:lineRule="auto"/>
        <w:rPr>
          <w:rFonts w:ascii="Times New Roman" w:hAnsi="Times New Roman" w:cs="Times New Roman"/>
          <w:sz w:val="24"/>
          <w:szCs w:val="24"/>
        </w:rPr>
      </w:pPr>
      <w:r w:rsidRPr="007F0136">
        <w:rPr>
          <w:rFonts w:ascii="Times New Roman" w:hAnsi="Times New Roman" w:cs="Times New Roman"/>
          <w:sz w:val="24"/>
          <w:szCs w:val="24"/>
        </w:rPr>
        <w:t>In general, information collection and record retention requirements related to Reliability Standards are not submitted to, or retained for audit by, FERC.  Rather they are submitted to, or retained for audit by, NERC or the Compliance Enforcement Authorit</w:t>
      </w:r>
      <w:r w:rsidRPr="007F0136">
        <w:rPr>
          <w:rFonts w:ascii="Times New Roman" w:hAnsi="Times New Roman" w:cs="Times New Roman"/>
          <w:sz w:val="24"/>
          <w:szCs w:val="24"/>
        </w:rPr>
        <w:t xml:space="preserve">y, as specified in each individual Reliability Standard. </w:t>
      </w:r>
      <w:r>
        <w:rPr>
          <w:rFonts w:ascii="Times New Roman" w:hAnsi="Times New Roman" w:cs="Times New Roman"/>
          <w:sz w:val="24"/>
          <w:szCs w:val="24"/>
        </w:rPr>
        <w:t xml:space="preserve"> </w:t>
      </w:r>
      <w:r w:rsidR="00CE648D">
        <w:rPr>
          <w:rFonts w:ascii="Times New Roman" w:hAnsi="Times New Roman" w:cs="Times New Roman"/>
          <w:sz w:val="24"/>
          <w:szCs w:val="24"/>
        </w:rPr>
        <w:t xml:space="preserve">Absent </w:t>
      </w:r>
      <w:r w:rsidR="00395BB7">
        <w:rPr>
          <w:rFonts w:ascii="Times New Roman" w:hAnsi="Times New Roman" w:cs="Times New Roman"/>
          <w:sz w:val="24"/>
          <w:szCs w:val="24"/>
        </w:rPr>
        <w:t xml:space="preserve">the collections of information </w:t>
      </w:r>
      <w:r w:rsidR="003D6E1B">
        <w:rPr>
          <w:rFonts w:ascii="Times New Roman" w:hAnsi="Times New Roman" w:cs="Times New Roman"/>
          <w:sz w:val="24"/>
          <w:szCs w:val="24"/>
        </w:rPr>
        <w:t>associated with Reliability Standards,</w:t>
      </w:r>
      <w:r w:rsidRPr="007F0136">
        <w:rPr>
          <w:rFonts w:ascii="Times New Roman" w:hAnsi="Times New Roman" w:cs="Times New Roman"/>
          <w:sz w:val="24"/>
          <w:szCs w:val="24"/>
        </w:rPr>
        <w:t xml:space="preserve"> reliability of the bulk-power system could become compromised, potentially resulting in outages.</w:t>
      </w:r>
    </w:p>
    <w:p w:rsidR="00B5469F" w:rsidP="007F0136" w14:paraId="4A74EB4F" w14:textId="77777777">
      <w:pPr>
        <w:spacing w:after="0" w:line="240" w:lineRule="auto"/>
        <w:rPr>
          <w:rFonts w:ascii="Times New Roman" w:hAnsi="Times New Roman" w:cs="Times New Roman"/>
          <w:sz w:val="24"/>
          <w:szCs w:val="24"/>
        </w:rPr>
      </w:pPr>
    </w:p>
    <w:p w:rsidR="00093D4A" w:rsidP="00792606" w14:paraId="767D6495" w14:textId="32EDE6B9">
      <w:pPr>
        <w:spacing w:line="240" w:lineRule="auto"/>
        <w:rPr>
          <w:rFonts w:ascii="Times New Roman" w:hAnsi="Times New Roman" w:cs="Times New Roman"/>
          <w:iCs/>
          <w:sz w:val="24"/>
          <w:szCs w:val="24"/>
        </w:rPr>
      </w:pPr>
      <w:r w:rsidRPr="00792606">
        <w:rPr>
          <w:rFonts w:ascii="Times New Roman" w:hAnsi="Times New Roman" w:cs="Times New Roman"/>
          <w:iCs/>
          <w:sz w:val="24"/>
          <w:szCs w:val="24"/>
        </w:rPr>
        <w:t>Section 215 of the Federal Power Act (FPA)</w:t>
      </w:r>
      <w:r>
        <w:rPr>
          <w:rStyle w:val="FootnoteReference"/>
          <w:rFonts w:ascii="Times New Roman" w:hAnsi="Times New Roman" w:cs="Times New Roman"/>
          <w:iCs/>
          <w:sz w:val="24"/>
          <w:szCs w:val="24"/>
          <w:vertAlign w:val="superscript"/>
        </w:rPr>
        <w:footnoteReference w:id="6"/>
      </w:r>
      <w:r w:rsidRPr="00B83438">
        <w:rPr>
          <w:rFonts w:ascii="Times New Roman" w:hAnsi="Times New Roman" w:cs="Times New Roman"/>
          <w:iCs/>
          <w:sz w:val="24"/>
          <w:szCs w:val="24"/>
        </w:rPr>
        <w:t xml:space="preserve"> </w:t>
      </w:r>
      <w:r w:rsidRPr="00792606">
        <w:rPr>
          <w:rFonts w:ascii="Times New Roman" w:hAnsi="Times New Roman" w:cs="Times New Roman"/>
          <w:iCs/>
          <w:sz w:val="24"/>
          <w:szCs w:val="24"/>
        </w:rPr>
        <w:t>requires a Commission-certified Electric Reliability Organization (ERO) to develop mandatory and enforceable Rel</w:t>
      </w:r>
      <w:r w:rsidRPr="00792606">
        <w:rPr>
          <w:rFonts w:ascii="Times New Roman" w:hAnsi="Times New Roman" w:cs="Times New Roman"/>
          <w:iCs/>
          <w:sz w:val="24"/>
          <w:szCs w:val="24"/>
        </w:rPr>
        <w:t>iability Standards, which are subject to Commission review and approval.  The Commission has certified the North American Reliability Corporation (NERC) as the ERO.  In addition, a Regional Entity may propose Reliability Standards to be effective in that r</w:t>
      </w:r>
      <w:r w:rsidRPr="00792606">
        <w:rPr>
          <w:rFonts w:ascii="Times New Roman" w:hAnsi="Times New Roman" w:cs="Times New Roman"/>
          <w:iCs/>
          <w:sz w:val="24"/>
          <w:szCs w:val="24"/>
        </w:rPr>
        <w:t>egion.</w:t>
      </w:r>
      <w:r>
        <w:rPr>
          <w:rFonts w:ascii="Times New Roman" w:hAnsi="Times New Roman" w:cs="Times New Roman"/>
          <w:b/>
          <w:iCs/>
          <w:sz w:val="24"/>
          <w:szCs w:val="24"/>
          <w:vertAlign w:val="superscript"/>
        </w:rPr>
        <w:footnoteReference w:id="7"/>
      </w:r>
      <w:r w:rsidRPr="00792606">
        <w:rPr>
          <w:rFonts w:ascii="Times New Roman" w:hAnsi="Times New Roman" w:cs="Times New Roman"/>
          <w:iCs/>
          <w:sz w:val="24"/>
          <w:szCs w:val="24"/>
        </w:rPr>
        <w:t xml:space="preserve">  Once approved, Reliability Standards may be enforced by the ERO subject to Commission oversight or by the Commission independently.  </w:t>
      </w:r>
    </w:p>
    <w:p w:rsidR="00F90187" w:rsidRPr="00F90187" w:rsidP="00F90187" w14:paraId="4388A329" w14:textId="152ED08A">
      <w:pPr>
        <w:spacing w:line="240" w:lineRule="auto"/>
        <w:rPr>
          <w:rFonts w:ascii="Times New Roman" w:hAnsi="Times New Roman" w:cs="Times New Roman"/>
          <w:iCs/>
          <w:sz w:val="24"/>
          <w:szCs w:val="24"/>
        </w:rPr>
      </w:pPr>
      <w:r w:rsidRPr="00F90187">
        <w:rPr>
          <w:rFonts w:ascii="Times New Roman" w:hAnsi="Times New Roman" w:cs="Times New Roman"/>
          <w:iCs/>
          <w:sz w:val="24"/>
          <w:szCs w:val="24"/>
        </w:rPr>
        <w:t xml:space="preserve">FERC-725G information collection requirements </w:t>
      </w:r>
      <w:r w:rsidR="00A37A10">
        <w:rPr>
          <w:rFonts w:ascii="Times New Roman" w:hAnsi="Times New Roman" w:cs="Times New Roman"/>
          <w:iCs/>
          <w:sz w:val="24"/>
          <w:szCs w:val="24"/>
        </w:rPr>
        <w:t>are</w:t>
      </w:r>
      <w:r w:rsidR="00CB6CFB">
        <w:rPr>
          <w:rFonts w:ascii="Times New Roman" w:hAnsi="Times New Roman" w:cs="Times New Roman"/>
          <w:iCs/>
          <w:sz w:val="24"/>
          <w:szCs w:val="24"/>
        </w:rPr>
        <w:t xml:space="preserve"> </w:t>
      </w:r>
      <w:r w:rsidRPr="00F90187">
        <w:rPr>
          <w:rFonts w:ascii="Times New Roman" w:hAnsi="Times New Roman" w:cs="Times New Roman"/>
          <w:iCs/>
          <w:sz w:val="24"/>
          <w:szCs w:val="24"/>
        </w:rPr>
        <w:t xml:space="preserve">associated </w:t>
      </w:r>
      <w:r w:rsidR="00967C99">
        <w:rPr>
          <w:rFonts w:ascii="Times New Roman" w:hAnsi="Times New Roman" w:cs="Times New Roman"/>
          <w:iCs/>
          <w:sz w:val="24"/>
          <w:szCs w:val="24"/>
        </w:rPr>
        <w:t xml:space="preserve">with </w:t>
      </w:r>
      <w:r w:rsidRPr="00F90187">
        <w:rPr>
          <w:rFonts w:ascii="Times New Roman" w:hAnsi="Times New Roman" w:cs="Times New Roman"/>
          <w:iCs/>
          <w:sz w:val="24"/>
          <w:szCs w:val="24"/>
        </w:rPr>
        <w:t xml:space="preserve">Reliability Standard PRC-023-6 (Transmission Relay </w:t>
      </w:r>
      <w:r w:rsidRPr="00F90187">
        <w:rPr>
          <w:rFonts w:ascii="Times New Roman" w:hAnsi="Times New Roman" w:cs="Times New Roman"/>
          <w:iCs/>
          <w:sz w:val="24"/>
          <w:szCs w:val="24"/>
        </w:rPr>
        <w:t>Loadability</w:t>
      </w:r>
      <w:r w:rsidRPr="00F90187">
        <w:rPr>
          <w:rFonts w:ascii="Times New Roman" w:hAnsi="Times New Roman" w:cs="Times New Roman"/>
          <w:iCs/>
          <w:sz w:val="24"/>
          <w:szCs w:val="24"/>
        </w:rPr>
        <w:t xml:space="preserve">), </w:t>
      </w:r>
      <w:r w:rsidR="00C66F73">
        <w:rPr>
          <w:rFonts w:ascii="Times New Roman" w:hAnsi="Times New Roman" w:cs="Times New Roman"/>
          <w:iCs/>
          <w:sz w:val="24"/>
          <w:szCs w:val="24"/>
        </w:rPr>
        <w:t xml:space="preserve">and with </w:t>
      </w:r>
      <w:r w:rsidRPr="00F90187">
        <w:rPr>
          <w:rFonts w:ascii="Times New Roman" w:hAnsi="Times New Roman" w:cs="Times New Roman"/>
          <w:iCs/>
          <w:sz w:val="24"/>
          <w:szCs w:val="24"/>
        </w:rPr>
        <w:t xml:space="preserve">the </w:t>
      </w:r>
      <w:r w:rsidR="00D038B2">
        <w:rPr>
          <w:rFonts w:ascii="Times New Roman" w:hAnsi="Times New Roman" w:cs="Times New Roman"/>
          <w:iCs/>
          <w:sz w:val="24"/>
          <w:szCs w:val="24"/>
        </w:rPr>
        <w:t xml:space="preserve">accompanying </w:t>
      </w:r>
      <w:r w:rsidRPr="00F90187">
        <w:rPr>
          <w:rFonts w:ascii="Times New Roman" w:hAnsi="Times New Roman" w:cs="Times New Roman"/>
          <w:iCs/>
          <w:sz w:val="24"/>
          <w:szCs w:val="24"/>
        </w:rPr>
        <w:t xml:space="preserve">implementation plan, violation risk factors and violation severity levels. On March 2, 2023, the NERC filed a petition seeking approval of proposed </w:t>
      </w:r>
      <w:bookmarkStart w:id="0" w:name="_Hlk158215303"/>
      <w:r w:rsidRPr="00F90187">
        <w:rPr>
          <w:rFonts w:ascii="Times New Roman" w:hAnsi="Times New Roman" w:cs="Times New Roman"/>
          <w:iCs/>
          <w:sz w:val="24"/>
          <w:szCs w:val="24"/>
        </w:rPr>
        <w:t>Reliability Stand</w:t>
      </w:r>
      <w:r w:rsidRPr="00F90187">
        <w:rPr>
          <w:rFonts w:ascii="Times New Roman" w:hAnsi="Times New Roman" w:cs="Times New Roman"/>
          <w:iCs/>
          <w:sz w:val="24"/>
          <w:szCs w:val="24"/>
        </w:rPr>
        <w:t xml:space="preserve">ard PRC-023-6 (Transmission Relay </w:t>
      </w:r>
      <w:r w:rsidRPr="00F90187">
        <w:rPr>
          <w:rFonts w:ascii="Times New Roman" w:hAnsi="Times New Roman" w:cs="Times New Roman"/>
          <w:iCs/>
          <w:sz w:val="24"/>
          <w:szCs w:val="24"/>
        </w:rPr>
        <w:t>Loadability</w:t>
      </w:r>
      <w:r w:rsidRPr="00F90187">
        <w:rPr>
          <w:rFonts w:ascii="Times New Roman" w:hAnsi="Times New Roman" w:cs="Times New Roman"/>
          <w:iCs/>
          <w:sz w:val="24"/>
          <w:szCs w:val="24"/>
        </w:rPr>
        <w:t>), the associated proposed implementation plan, and violation risk factors and violation severity levels</w:t>
      </w:r>
      <w:bookmarkEnd w:id="0"/>
      <w:r w:rsidRPr="00F90187">
        <w:rPr>
          <w:rFonts w:ascii="Times New Roman" w:hAnsi="Times New Roman" w:cs="Times New Roman"/>
          <w:iCs/>
          <w:sz w:val="24"/>
          <w:szCs w:val="24"/>
        </w:rPr>
        <w:t>.</w:t>
      </w:r>
      <w:r>
        <w:rPr>
          <w:rFonts w:ascii="Times New Roman" w:hAnsi="Times New Roman" w:cs="Times New Roman"/>
          <w:iCs/>
          <w:sz w:val="24"/>
          <w:szCs w:val="24"/>
          <w:vertAlign w:val="superscript"/>
        </w:rPr>
        <w:footnoteReference w:id="8"/>
      </w:r>
      <w:r w:rsidRPr="00F90187">
        <w:rPr>
          <w:rFonts w:ascii="Times New Roman" w:hAnsi="Times New Roman" w:cs="Times New Roman"/>
          <w:iCs/>
          <w:sz w:val="24"/>
          <w:szCs w:val="24"/>
        </w:rPr>
        <w:t xml:space="preserve">  NERC also requested the Commission’s approval of the retirement of the version of Reliability Standard</w:t>
      </w:r>
      <w:r w:rsidRPr="00F90187">
        <w:rPr>
          <w:rFonts w:ascii="Times New Roman" w:hAnsi="Times New Roman" w:cs="Times New Roman"/>
          <w:iCs/>
          <w:sz w:val="24"/>
          <w:szCs w:val="24"/>
        </w:rPr>
        <w:t xml:space="preserve"> PRC-023 that would be in effect (i.e., currently effective Reliability Standard PRC-023-4 or the approved but not yet effective Reliability Standard PRC-023-5).</w:t>
      </w:r>
      <w:r>
        <w:rPr>
          <w:rFonts w:ascii="Times New Roman" w:hAnsi="Times New Roman" w:cs="Times New Roman"/>
          <w:iCs/>
          <w:sz w:val="24"/>
          <w:szCs w:val="24"/>
          <w:vertAlign w:val="superscript"/>
        </w:rPr>
        <w:footnoteReference w:id="9"/>
      </w:r>
      <w:r w:rsidR="00CD5637">
        <w:rPr>
          <w:rFonts w:ascii="Times New Roman" w:hAnsi="Times New Roman" w:cs="Times New Roman"/>
          <w:iCs/>
          <w:sz w:val="24"/>
          <w:szCs w:val="24"/>
        </w:rPr>
        <w:t xml:space="preserve">  </w:t>
      </w:r>
      <w:r w:rsidR="00491AD3">
        <w:rPr>
          <w:rFonts w:ascii="Times New Roman" w:hAnsi="Times New Roman" w:cs="Times New Roman"/>
          <w:iCs/>
          <w:sz w:val="24"/>
          <w:szCs w:val="24"/>
        </w:rPr>
        <w:t xml:space="preserve">Revisions of </w:t>
      </w:r>
      <w:r w:rsidR="00CD5637">
        <w:rPr>
          <w:rFonts w:ascii="Times New Roman" w:hAnsi="Times New Roman" w:cs="Times New Roman"/>
          <w:iCs/>
          <w:sz w:val="24"/>
          <w:szCs w:val="24"/>
        </w:rPr>
        <w:t xml:space="preserve">FERC-725G information collection requirements </w:t>
      </w:r>
      <w:r w:rsidR="00491AD3">
        <w:rPr>
          <w:rFonts w:ascii="Times New Roman" w:hAnsi="Times New Roman" w:cs="Times New Roman"/>
          <w:iCs/>
          <w:sz w:val="24"/>
          <w:szCs w:val="24"/>
        </w:rPr>
        <w:t xml:space="preserve">are </w:t>
      </w:r>
      <w:r w:rsidR="00B23602">
        <w:rPr>
          <w:rFonts w:ascii="Times New Roman" w:hAnsi="Times New Roman" w:cs="Times New Roman"/>
          <w:iCs/>
          <w:sz w:val="24"/>
          <w:szCs w:val="24"/>
        </w:rPr>
        <w:t>due to new Reliability Standard PRC</w:t>
      </w:r>
      <w:r w:rsidR="00E02DEB">
        <w:rPr>
          <w:rFonts w:ascii="Times New Roman" w:hAnsi="Times New Roman" w:cs="Times New Roman"/>
          <w:iCs/>
          <w:sz w:val="24"/>
          <w:szCs w:val="24"/>
        </w:rPr>
        <w:t>-023-6</w:t>
      </w:r>
      <w:r w:rsidR="00B23602">
        <w:rPr>
          <w:rFonts w:ascii="Times New Roman" w:hAnsi="Times New Roman" w:cs="Times New Roman"/>
          <w:iCs/>
          <w:sz w:val="24"/>
          <w:szCs w:val="24"/>
        </w:rPr>
        <w:t>.</w:t>
      </w:r>
    </w:p>
    <w:p w:rsidR="00F90187" w:rsidRPr="00F90187" w:rsidP="00C8643D" w14:paraId="6BE83F9F" w14:textId="6C0C073A">
      <w:pPr>
        <w:spacing w:after="0" w:line="240" w:lineRule="auto"/>
        <w:rPr>
          <w:rFonts w:ascii="Times New Roman" w:hAnsi="Times New Roman" w:cs="Times New Roman"/>
          <w:iCs/>
          <w:sz w:val="24"/>
          <w:szCs w:val="24"/>
        </w:rPr>
      </w:pPr>
      <w:r w:rsidRPr="00F90187">
        <w:rPr>
          <w:rFonts w:ascii="Times New Roman" w:hAnsi="Times New Roman" w:cs="Times New Roman"/>
          <w:iCs/>
          <w:sz w:val="24"/>
          <w:szCs w:val="24"/>
        </w:rPr>
        <w:t>NERC explain</w:t>
      </w:r>
      <w:r w:rsidR="00CD5637">
        <w:rPr>
          <w:rFonts w:ascii="Times New Roman" w:hAnsi="Times New Roman" w:cs="Times New Roman"/>
          <w:iCs/>
          <w:sz w:val="24"/>
          <w:szCs w:val="24"/>
        </w:rPr>
        <w:t>ed</w:t>
      </w:r>
      <w:r w:rsidRPr="00F90187">
        <w:rPr>
          <w:rFonts w:ascii="Times New Roman" w:hAnsi="Times New Roman" w:cs="Times New Roman"/>
          <w:iCs/>
          <w:sz w:val="24"/>
          <w:szCs w:val="24"/>
        </w:rPr>
        <w:t xml:space="preserve"> that the proposed Reliability Standard would advance Bulk-Power System reliability by removing certain redundant and unnecessary language from the Standard related to the setting of out-of-step blocking relays.  To achieve thi</w:t>
      </w:r>
      <w:r w:rsidRPr="00F90187">
        <w:rPr>
          <w:rFonts w:ascii="Times New Roman" w:hAnsi="Times New Roman" w:cs="Times New Roman"/>
          <w:iCs/>
          <w:sz w:val="24"/>
          <w:szCs w:val="24"/>
        </w:rPr>
        <w:t>s, NERC proposes to retire the Reliability Standard’s Requirement R2 related to setting out-of-step blocking schemes to allow tripping of phase protective relays and remove the Attachment A, Item 2.3 exclusion for protection systems intended for protection</w:t>
      </w:r>
      <w:r w:rsidRPr="00F90187">
        <w:rPr>
          <w:rFonts w:ascii="Times New Roman" w:hAnsi="Times New Roman" w:cs="Times New Roman"/>
          <w:iCs/>
          <w:sz w:val="24"/>
          <w:szCs w:val="24"/>
        </w:rPr>
        <w:t xml:space="preserve"> during stable power swings.</w:t>
      </w:r>
      <w:r>
        <w:rPr>
          <w:rFonts w:ascii="Times New Roman" w:hAnsi="Times New Roman" w:cs="Times New Roman"/>
          <w:iCs/>
          <w:sz w:val="24"/>
          <w:szCs w:val="24"/>
          <w:vertAlign w:val="superscript"/>
        </w:rPr>
        <w:footnoteReference w:id="10"/>
      </w:r>
      <w:r w:rsidRPr="00F90187">
        <w:rPr>
          <w:rFonts w:ascii="Times New Roman" w:hAnsi="Times New Roman" w:cs="Times New Roman"/>
          <w:iCs/>
          <w:sz w:val="24"/>
          <w:szCs w:val="24"/>
        </w:rPr>
        <w:t xml:space="preserve">  NERC states that Requirement R2 is redundant because the fault condition addressed by Requirement R2 is addressed by Requirement R1 and requires the same compliance activity by the entity.</w:t>
      </w:r>
      <w:r>
        <w:rPr>
          <w:rFonts w:ascii="Times New Roman" w:hAnsi="Times New Roman" w:cs="Times New Roman"/>
          <w:iCs/>
          <w:sz w:val="24"/>
          <w:szCs w:val="24"/>
          <w:vertAlign w:val="superscript"/>
        </w:rPr>
        <w:footnoteReference w:id="11"/>
      </w:r>
      <w:r w:rsidRPr="00F90187">
        <w:rPr>
          <w:rFonts w:ascii="Times New Roman" w:hAnsi="Times New Roman" w:cs="Times New Roman"/>
          <w:iCs/>
          <w:sz w:val="24"/>
          <w:szCs w:val="24"/>
        </w:rPr>
        <w:t xml:space="preserve">  NERC explains, thus, that Requir</w:t>
      </w:r>
      <w:r w:rsidRPr="00F90187">
        <w:rPr>
          <w:rFonts w:ascii="Times New Roman" w:hAnsi="Times New Roman" w:cs="Times New Roman"/>
          <w:iCs/>
          <w:sz w:val="24"/>
          <w:szCs w:val="24"/>
        </w:rPr>
        <w:t>ement R2 is not needed for reliability.  Further, NERC explains that the exclusion in Attachment A, Item 2.3 is no longer necessary due to system changes.</w:t>
      </w:r>
      <w:r>
        <w:rPr>
          <w:rFonts w:ascii="Times New Roman" w:hAnsi="Times New Roman" w:cs="Times New Roman"/>
          <w:iCs/>
          <w:sz w:val="24"/>
          <w:szCs w:val="24"/>
          <w:vertAlign w:val="superscript"/>
        </w:rPr>
        <w:footnoteReference w:id="12"/>
      </w:r>
    </w:p>
    <w:p w:rsidR="00F90187" w:rsidRPr="00F90187" w:rsidP="00C8643D" w14:paraId="47DDADE6" w14:textId="77777777">
      <w:pPr>
        <w:spacing w:after="0" w:line="240" w:lineRule="auto"/>
        <w:rPr>
          <w:rFonts w:ascii="Times New Roman" w:hAnsi="Times New Roman" w:cs="Times New Roman"/>
          <w:iCs/>
          <w:sz w:val="24"/>
          <w:szCs w:val="24"/>
        </w:rPr>
      </w:pPr>
    </w:p>
    <w:p w:rsidR="00F90187" w:rsidRPr="00F90187" w:rsidP="00F90187" w14:paraId="1E652334" w14:textId="046BCE10">
      <w:pPr>
        <w:spacing w:line="240" w:lineRule="auto"/>
        <w:rPr>
          <w:rFonts w:ascii="Times New Roman" w:hAnsi="Times New Roman" w:cs="Times New Roman"/>
          <w:iCs/>
          <w:sz w:val="24"/>
          <w:szCs w:val="24"/>
        </w:rPr>
      </w:pPr>
      <w:r w:rsidRPr="00F90187">
        <w:rPr>
          <w:rFonts w:ascii="Times New Roman" w:hAnsi="Times New Roman" w:cs="Times New Roman"/>
          <w:iCs/>
          <w:sz w:val="24"/>
          <w:szCs w:val="24"/>
        </w:rPr>
        <w:t>On October 10, 2023, the Office of Electric Reliability issued a letter requesting that NERC provi</w:t>
      </w:r>
      <w:r w:rsidRPr="00F90187">
        <w:rPr>
          <w:rFonts w:ascii="Times New Roman" w:hAnsi="Times New Roman" w:cs="Times New Roman"/>
          <w:iCs/>
          <w:sz w:val="24"/>
          <w:szCs w:val="24"/>
        </w:rPr>
        <w:t xml:space="preserve">de additional information to explain how Requirement R2 of Reliability Standard PRC-023 is redundant to Requirement R1 and confirm whether the existing obligations in Requirement R2 </w:t>
      </w:r>
      <w:r w:rsidRPr="00F90187">
        <w:rPr>
          <w:rFonts w:ascii="Times New Roman" w:hAnsi="Times New Roman" w:cs="Times New Roman"/>
          <w:iCs/>
          <w:sz w:val="24"/>
          <w:szCs w:val="24"/>
        </w:rPr>
        <w:t>would be enforced and audited under Requirement R1.</w:t>
      </w:r>
      <w:r>
        <w:rPr>
          <w:rFonts w:ascii="Times New Roman" w:hAnsi="Times New Roman" w:cs="Times New Roman"/>
          <w:iCs/>
          <w:sz w:val="24"/>
          <w:szCs w:val="24"/>
          <w:vertAlign w:val="superscript"/>
        </w:rPr>
        <w:footnoteReference w:id="13"/>
      </w:r>
      <w:r w:rsidRPr="00F90187">
        <w:rPr>
          <w:rFonts w:ascii="Times New Roman" w:hAnsi="Times New Roman" w:cs="Times New Roman"/>
          <w:iCs/>
          <w:sz w:val="24"/>
          <w:szCs w:val="24"/>
        </w:rPr>
        <w:t xml:space="preserve">  NERC filed its amended petition on November 3, 2023.  In its amended petition, NERC confirms that because Requirement R2 is redundant to Requirement R1, any entity noncompliance with existing obligations of Requirement R2 would be assessed under Requirem</w:t>
      </w:r>
      <w:r w:rsidRPr="00F90187">
        <w:rPr>
          <w:rFonts w:ascii="Times New Roman" w:hAnsi="Times New Roman" w:cs="Times New Roman"/>
          <w:iCs/>
          <w:sz w:val="24"/>
          <w:szCs w:val="24"/>
        </w:rPr>
        <w:t>ent R1.</w:t>
      </w:r>
      <w:r>
        <w:rPr>
          <w:rFonts w:ascii="Times New Roman" w:hAnsi="Times New Roman" w:cs="Times New Roman"/>
          <w:iCs/>
          <w:sz w:val="24"/>
          <w:szCs w:val="24"/>
          <w:vertAlign w:val="superscript"/>
        </w:rPr>
        <w:footnoteReference w:id="14"/>
      </w:r>
    </w:p>
    <w:p w:rsidR="00F90187" w:rsidRPr="00F90187" w:rsidP="00F90187" w14:paraId="290442C8" w14:textId="50366786">
      <w:pPr>
        <w:spacing w:line="240" w:lineRule="auto"/>
        <w:rPr>
          <w:rFonts w:ascii="Times New Roman" w:hAnsi="Times New Roman" w:cs="Times New Roman"/>
          <w:iCs/>
          <w:sz w:val="24"/>
          <w:szCs w:val="24"/>
        </w:rPr>
      </w:pPr>
      <w:r w:rsidRPr="00F90187">
        <w:rPr>
          <w:rFonts w:ascii="Times New Roman" w:hAnsi="Times New Roman" w:cs="Times New Roman"/>
          <w:iCs/>
          <w:sz w:val="24"/>
          <w:szCs w:val="24"/>
        </w:rPr>
        <w:t xml:space="preserve">The petition was noticed on March 22, 2023, with interventions, comments, and protests due on or before April 21, 2023.  No interventions, comments, or protests were filed. </w:t>
      </w:r>
    </w:p>
    <w:p w:rsidR="00F90187" w:rsidRPr="00F90187" w:rsidP="00F90187" w14:paraId="2382B1AC" w14:textId="1263DCFC">
      <w:pPr>
        <w:spacing w:line="240" w:lineRule="auto"/>
        <w:rPr>
          <w:rFonts w:ascii="Times New Roman" w:hAnsi="Times New Roman" w:cs="Times New Roman"/>
          <w:iCs/>
          <w:sz w:val="24"/>
          <w:szCs w:val="24"/>
        </w:rPr>
      </w:pPr>
      <w:r w:rsidRPr="00F90187">
        <w:rPr>
          <w:rFonts w:ascii="Times New Roman" w:hAnsi="Times New Roman" w:cs="Times New Roman"/>
          <w:iCs/>
          <w:sz w:val="24"/>
          <w:szCs w:val="24"/>
        </w:rPr>
        <w:t>Due to NERC’s confirmation that any entity noncompliance with existing o</w:t>
      </w:r>
      <w:r w:rsidRPr="00F90187">
        <w:rPr>
          <w:rFonts w:ascii="Times New Roman" w:hAnsi="Times New Roman" w:cs="Times New Roman"/>
          <w:iCs/>
          <w:sz w:val="24"/>
          <w:szCs w:val="24"/>
        </w:rPr>
        <w:t>bligations under Requirement R2 (i.e., the proper setting out out-of-step blocking relays) can be assessed under Requirement R1 if R2 is retired, NERC’s uncontested filing is hereby approved pursuant to the relevant authority delegated to the Director, Off</w:t>
      </w:r>
      <w:r w:rsidRPr="00F90187">
        <w:rPr>
          <w:rFonts w:ascii="Times New Roman" w:hAnsi="Times New Roman" w:cs="Times New Roman"/>
          <w:iCs/>
          <w:sz w:val="24"/>
          <w:szCs w:val="24"/>
        </w:rPr>
        <w:t xml:space="preserve">ice of Electric Reliability under 18 C.F.R. § 375.303, effective as of the date of this order. </w:t>
      </w:r>
    </w:p>
    <w:p w:rsidR="00F90187" w:rsidRPr="00F90187" w:rsidP="00F90187" w14:paraId="67E6E41B" w14:textId="7B3BA0B0">
      <w:pPr>
        <w:spacing w:line="240" w:lineRule="auto"/>
        <w:rPr>
          <w:rFonts w:ascii="Times New Roman" w:hAnsi="Times New Roman" w:cs="Times New Roman"/>
          <w:iCs/>
          <w:sz w:val="24"/>
          <w:szCs w:val="24"/>
        </w:rPr>
      </w:pPr>
      <w:r w:rsidRPr="00F90187">
        <w:rPr>
          <w:rFonts w:ascii="Times New Roman" w:hAnsi="Times New Roman" w:cs="Times New Roman"/>
          <w:iCs/>
          <w:sz w:val="24"/>
          <w:szCs w:val="24"/>
        </w:rPr>
        <w:t>This action shall not be construed as approving any other application, including proposed revisions of Electric Reliability Organization or Regional Entity rule</w:t>
      </w:r>
      <w:r w:rsidRPr="00F90187">
        <w:rPr>
          <w:rFonts w:ascii="Times New Roman" w:hAnsi="Times New Roman" w:cs="Times New Roman"/>
          <w:iCs/>
          <w:sz w:val="24"/>
          <w:szCs w:val="24"/>
        </w:rPr>
        <w:t>s or procedures pursuant to 18 C.F.R. § 375.303(a)(2)(</w:t>
      </w:r>
      <w:r w:rsidRPr="00F90187">
        <w:rPr>
          <w:rFonts w:ascii="Times New Roman" w:hAnsi="Times New Roman" w:cs="Times New Roman"/>
          <w:iCs/>
          <w:sz w:val="24"/>
          <w:szCs w:val="24"/>
        </w:rPr>
        <w:t>i</w:t>
      </w:r>
      <w:r w:rsidRPr="00F90187">
        <w:rPr>
          <w:rFonts w:ascii="Times New Roman" w:hAnsi="Times New Roman" w:cs="Times New Roman"/>
          <w:iCs/>
          <w:sz w:val="24"/>
          <w:szCs w:val="24"/>
        </w:rPr>
        <w:t xml:space="preserve">). Such action shall not be deemed as recognition of any claimed right or obligation associated therewith and such action is without prejudice to any findings or orders that have been or may hereafter </w:t>
      </w:r>
      <w:r w:rsidRPr="00F90187">
        <w:rPr>
          <w:rFonts w:ascii="Times New Roman" w:hAnsi="Times New Roman" w:cs="Times New Roman"/>
          <w:iCs/>
          <w:sz w:val="24"/>
          <w:szCs w:val="24"/>
        </w:rPr>
        <w:t xml:space="preserve">be made by the Commission in any proceeding now pending or hereafter instituted by or against the Electric Reliability Organization or any Regional Entity. </w:t>
      </w:r>
    </w:p>
    <w:p w:rsidR="00AA6C5E" w:rsidP="00AA6C5E" w14:paraId="290EF077" w14:textId="445CA8C5">
      <w:pPr>
        <w:spacing w:after="0" w:line="240" w:lineRule="auto"/>
      </w:pPr>
      <w:r w:rsidRPr="00F90187">
        <w:rPr>
          <w:rFonts w:ascii="Times New Roman" w:hAnsi="Times New Roman" w:cs="Times New Roman"/>
          <w:iCs/>
          <w:sz w:val="24"/>
          <w:szCs w:val="24"/>
        </w:rPr>
        <w:t>The revisions to PRC-023-6 will result in a change in how relay settings will be assessed under Req</w:t>
      </w:r>
      <w:r w:rsidRPr="00F90187">
        <w:rPr>
          <w:rFonts w:ascii="Times New Roman" w:hAnsi="Times New Roman" w:cs="Times New Roman"/>
          <w:iCs/>
          <w:sz w:val="24"/>
          <w:szCs w:val="24"/>
        </w:rPr>
        <w:t>uirement R1 of out-of-step blocking elements but will not result in reporting or recordkeeping requirements or burden.  As of February 2024, there are 324 transmission owner</w:t>
      </w:r>
      <w:r w:rsidR="004246F5">
        <w:rPr>
          <w:rFonts w:ascii="Times New Roman" w:hAnsi="Times New Roman" w:cs="Times New Roman"/>
          <w:iCs/>
          <w:sz w:val="24"/>
          <w:szCs w:val="24"/>
        </w:rPr>
        <w:t>s</w:t>
      </w:r>
      <w:r w:rsidRPr="00F90187">
        <w:rPr>
          <w:rFonts w:ascii="Times New Roman" w:hAnsi="Times New Roman" w:cs="Times New Roman"/>
          <w:iCs/>
          <w:sz w:val="24"/>
          <w:szCs w:val="24"/>
        </w:rPr>
        <w:t xml:space="preserve">, 1,173 generator owners, 371 distribution providers and 62 planning coordinators </w:t>
      </w:r>
      <w:r w:rsidRPr="00F90187">
        <w:rPr>
          <w:rFonts w:ascii="Times New Roman" w:hAnsi="Times New Roman" w:cs="Times New Roman"/>
          <w:iCs/>
          <w:sz w:val="24"/>
          <w:szCs w:val="24"/>
        </w:rPr>
        <w:t>registered with NERC.  These registered entities will have to comply requirements in the proposed Reliability Standard PRC-023-6.</w:t>
      </w:r>
    </w:p>
    <w:p w:rsidR="007A0FD5" w:rsidP="00C8643D" w14:paraId="1FC9CABC" w14:textId="247E2160">
      <w:pPr>
        <w:spacing w:after="0" w:line="240" w:lineRule="auto"/>
      </w:pPr>
    </w:p>
    <w:p w:rsidR="007A0FD5" w:rsidP="00AA6C5E" w14:paraId="1B73497E" w14:textId="77777777">
      <w:pPr>
        <w:spacing w:after="0" w:line="240" w:lineRule="auto"/>
        <w:rPr>
          <w:rFonts w:ascii="Times New Roman" w:hAnsi="Times New Roman" w:cs="Times New Roman"/>
          <w:b/>
          <w:bCs/>
          <w:iCs/>
          <w:sz w:val="24"/>
          <w:szCs w:val="24"/>
        </w:rPr>
      </w:pPr>
      <w:r w:rsidRPr="007A0FD5">
        <w:rPr>
          <w:rFonts w:ascii="Times New Roman" w:hAnsi="Times New Roman" w:cs="Times New Roman"/>
          <w:b/>
          <w:bCs/>
          <w:iCs/>
          <w:sz w:val="24"/>
          <w:szCs w:val="24"/>
        </w:rPr>
        <w:t>Requirements and Measures</w:t>
      </w:r>
    </w:p>
    <w:p w:rsidR="00AA6C5E" w:rsidRPr="007A0FD5" w:rsidP="00C8643D" w14:paraId="02692D00" w14:textId="77777777">
      <w:pPr>
        <w:spacing w:after="0" w:line="240" w:lineRule="auto"/>
        <w:rPr>
          <w:rFonts w:ascii="Times New Roman" w:hAnsi="Times New Roman" w:cs="Times New Roman"/>
          <w:b/>
          <w:bCs/>
          <w:iCs/>
          <w:sz w:val="24"/>
          <w:szCs w:val="24"/>
        </w:rPr>
      </w:pPr>
    </w:p>
    <w:p w:rsidR="007A0FD5" w:rsidP="00C8643D" w14:paraId="30D72D48"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R1. Each Transmission Owner, Generator Owner, and Distribution Provider</w:t>
      </w:r>
      <w:r>
        <w:rPr>
          <w:rFonts w:ascii="Times New Roman" w:hAnsi="Times New Roman" w:cs="Times New Roman"/>
          <w:iCs/>
          <w:sz w:val="24"/>
          <w:szCs w:val="24"/>
        </w:rPr>
        <w:t xml:space="preserve"> </w:t>
      </w:r>
      <w:r w:rsidRPr="007A0FD5">
        <w:rPr>
          <w:rFonts w:ascii="Times New Roman" w:hAnsi="Times New Roman" w:cs="Times New Roman"/>
          <w:iCs/>
          <w:sz w:val="24"/>
          <w:szCs w:val="24"/>
        </w:rPr>
        <w:t>shall use any one</w:t>
      </w:r>
    </w:p>
    <w:p w:rsidR="007A0FD5" w:rsidRPr="007A0FD5" w:rsidP="00C8643D" w14:paraId="49F0FA1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of the following criteria (Requirement R1, criteria 1 through 13) for any specific circuit </w:t>
      </w:r>
    </w:p>
    <w:p w:rsidR="007A0FD5" w:rsidP="00C8643D" w14:paraId="3CB6795A"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terminal to prevent its phase protective relay settings from limiting transmission system load</w:t>
      </w:r>
    </w:p>
    <w:p w:rsidR="007A0FD5" w:rsidP="00C8643D" w14:paraId="3F5A525A"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ability while maintaining reliable protection of the BES for all fault conditions. Each </w:t>
      </w:r>
    </w:p>
    <w:p w:rsidR="007A0FD5" w:rsidRPr="007A0FD5" w:rsidP="00C8643D" w14:paraId="07162CAD"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Transmission Owner, Generator Owner, and Distribution Provider shall evaluate relay</w:t>
      </w:r>
    </w:p>
    <w:p w:rsidR="007A0FD5" w:rsidP="00C8643D" w14:paraId="78BCA47D" w14:textId="60ED0F16">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Loadability</w:t>
      </w:r>
      <w:r w:rsidRPr="007A0FD5">
        <w:rPr>
          <w:rFonts w:ascii="Times New Roman" w:hAnsi="Times New Roman" w:cs="Times New Roman"/>
          <w:iCs/>
          <w:sz w:val="24"/>
          <w:szCs w:val="24"/>
        </w:rPr>
        <w:t xml:space="preserve"> at 0.85 per unit voltage and a power factor angle of 30 degrees.</w:t>
      </w:r>
    </w:p>
    <w:p w:rsidR="007A0FD5" w:rsidRPr="007A0FD5" w:rsidP="00C8643D" w14:paraId="77FF3FB9" w14:textId="72C3A7AB">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Criter</w:t>
      </w:r>
      <w:r w:rsidRPr="007A0FD5">
        <w:rPr>
          <w:rFonts w:ascii="Times New Roman" w:hAnsi="Times New Roman" w:cs="Times New Roman"/>
          <w:iCs/>
          <w:sz w:val="24"/>
          <w:szCs w:val="24"/>
        </w:rPr>
        <w:t>ia:</w:t>
      </w:r>
    </w:p>
    <w:p w:rsidR="007A0FD5" w:rsidRPr="007A0FD5" w:rsidP="00C8643D" w14:paraId="163CA734" w14:textId="667D59E8">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1. Set transmission line relays so they do not operate at or below 150% of the highest </w:t>
      </w:r>
    </w:p>
    <w:p w:rsidR="007A0FD5" w:rsidRPr="007A0FD5" w:rsidP="00C8643D" w14:paraId="2FE7274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seasonal Facility Rating of a circuit, for the available defined loading duration nearest </w:t>
      </w:r>
    </w:p>
    <w:p w:rsidR="007A0FD5" w:rsidRPr="007A0FD5" w:rsidP="00C8643D" w14:paraId="51DA5071"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4 hours (expressed in amperes).</w:t>
      </w:r>
    </w:p>
    <w:p w:rsidR="007A0FD5" w:rsidRPr="007A0FD5" w:rsidP="00C8643D" w14:paraId="3F4CD8BE"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2. Set transmission line relays so they d</w:t>
      </w:r>
      <w:r w:rsidRPr="007A0FD5">
        <w:rPr>
          <w:rFonts w:ascii="Times New Roman" w:hAnsi="Times New Roman" w:cs="Times New Roman"/>
          <w:iCs/>
          <w:sz w:val="24"/>
          <w:szCs w:val="24"/>
        </w:rPr>
        <w:t xml:space="preserve">o not operate at or below 115% of the highest </w:t>
      </w:r>
    </w:p>
    <w:p w:rsidR="007A0FD5" w:rsidRPr="007A0FD5" w:rsidP="00C8643D" w14:paraId="0223B4C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seasonal 15-minute Facility Rating1</w:t>
      </w:r>
    </w:p>
    <w:p w:rsidR="007A0FD5" w:rsidRPr="007A0FD5" w:rsidP="00C8643D" w14:paraId="2EDA581C"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of a circuit (expressed in amperes).</w:t>
      </w:r>
    </w:p>
    <w:p w:rsidR="007A0FD5" w:rsidRPr="007A0FD5" w:rsidP="00C8643D" w14:paraId="0972F7A7"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3. Set transmission line relays so they do not operate at or below 115% of the </w:t>
      </w:r>
    </w:p>
    <w:p w:rsidR="007A0FD5" w:rsidRPr="007A0FD5" w:rsidP="00C8643D" w14:paraId="1A93851B"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maximum theoretical power transfer capability (using a 9</w:t>
      </w:r>
      <w:r w:rsidRPr="007A0FD5">
        <w:rPr>
          <w:rFonts w:ascii="Times New Roman" w:hAnsi="Times New Roman" w:cs="Times New Roman"/>
          <w:iCs/>
          <w:sz w:val="24"/>
          <w:szCs w:val="24"/>
        </w:rPr>
        <w:t xml:space="preserve">0-degree angle between </w:t>
      </w:r>
    </w:p>
    <w:p w:rsidR="007A0FD5" w:rsidRPr="007A0FD5" w:rsidP="00C8643D" w14:paraId="28662292"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the sending-end and receiving-end voltages and either reactance or complex </w:t>
      </w:r>
    </w:p>
    <w:p w:rsidR="007A0FD5" w:rsidRPr="007A0FD5" w:rsidP="00C8643D" w14:paraId="7148F2A2" w14:textId="2CC02786">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impedance) of the </w:t>
      </w:r>
      <w:r w:rsidRPr="007A0FD5" w:rsidR="00C63465">
        <w:rPr>
          <w:rFonts w:ascii="Times New Roman" w:hAnsi="Times New Roman" w:cs="Times New Roman"/>
          <w:iCs/>
          <w:sz w:val="24"/>
          <w:szCs w:val="24"/>
        </w:rPr>
        <w:t>circuit (</w:t>
      </w:r>
      <w:r w:rsidRPr="007A0FD5">
        <w:rPr>
          <w:rFonts w:ascii="Times New Roman" w:hAnsi="Times New Roman" w:cs="Times New Roman"/>
          <w:iCs/>
          <w:sz w:val="24"/>
          <w:szCs w:val="24"/>
        </w:rPr>
        <w:t xml:space="preserve">expressed in amperes) using one of the following to </w:t>
      </w:r>
    </w:p>
    <w:p w:rsidR="007A0FD5" w:rsidRPr="007A0FD5" w:rsidP="00C8643D" w14:paraId="16912884"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perform the power transfer calculation:</w:t>
      </w:r>
    </w:p>
    <w:p w:rsidR="007A0FD5" w:rsidRPr="007A0FD5" w:rsidP="00C8643D" w14:paraId="59CC069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An infinite source (zero source im</w:t>
      </w:r>
      <w:r w:rsidRPr="007A0FD5">
        <w:rPr>
          <w:rFonts w:ascii="Times New Roman" w:hAnsi="Times New Roman" w:cs="Times New Roman"/>
          <w:iCs/>
          <w:sz w:val="24"/>
          <w:szCs w:val="24"/>
        </w:rPr>
        <w:t xml:space="preserve">pedance) with a 1.00 per unit bus voltage at </w:t>
      </w:r>
    </w:p>
    <w:p w:rsidR="007A0FD5" w:rsidRPr="007A0FD5" w:rsidP="00C8643D" w14:paraId="03251F3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each end of the line.</w:t>
      </w:r>
    </w:p>
    <w:p w:rsidR="007A0FD5" w:rsidRPr="007A0FD5" w:rsidP="00C8643D" w14:paraId="422AD3A6"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 An impedance at each end of the line, which reflects the actual system source </w:t>
      </w:r>
    </w:p>
    <w:p w:rsidR="007A0FD5" w:rsidRPr="007A0FD5" w:rsidP="00C8643D" w14:paraId="0006654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impedance with a 1.05 per unit voltage behind each source impedance.</w:t>
      </w:r>
    </w:p>
    <w:p w:rsidR="007A0FD5" w:rsidRPr="007A0FD5" w:rsidP="00C8643D" w14:paraId="1067CA02"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4. Set transmission line relays on ser</w:t>
      </w:r>
      <w:r w:rsidRPr="007A0FD5">
        <w:rPr>
          <w:rFonts w:ascii="Times New Roman" w:hAnsi="Times New Roman" w:cs="Times New Roman"/>
          <w:iCs/>
          <w:sz w:val="24"/>
          <w:szCs w:val="24"/>
        </w:rPr>
        <w:t xml:space="preserve">ies compensated transmission lines so they do not </w:t>
      </w:r>
    </w:p>
    <w:p w:rsidR="007A0FD5" w:rsidRPr="007A0FD5" w:rsidP="00C8643D" w14:paraId="78BD5C3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operate at or below the maximum power transfer capability of the line, determined </w:t>
      </w:r>
    </w:p>
    <w:p w:rsidR="007A0FD5" w:rsidRPr="007A0FD5" w:rsidP="00C8643D" w14:paraId="13874E91"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as the greater</w:t>
      </w:r>
      <w:r>
        <w:rPr>
          <w:rFonts w:ascii="Times New Roman" w:hAnsi="Times New Roman" w:cs="Times New Roman"/>
          <w:iCs/>
          <w:sz w:val="24"/>
          <w:szCs w:val="24"/>
        </w:rPr>
        <w:t xml:space="preserve"> </w:t>
      </w:r>
      <w:r w:rsidRPr="007A0FD5">
        <w:rPr>
          <w:rFonts w:ascii="Times New Roman" w:hAnsi="Times New Roman" w:cs="Times New Roman"/>
          <w:iCs/>
          <w:sz w:val="24"/>
          <w:szCs w:val="24"/>
        </w:rPr>
        <w:t>of:</w:t>
      </w:r>
    </w:p>
    <w:p w:rsidR="007A0FD5" w:rsidRPr="007A0FD5" w:rsidP="00C8643D" w14:paraId="48DDD4EF"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115% of the highest emergency rating of the series capacitor.</w:t>
      </w:r>
    </w:p>
    <w:p w:rsidR="007A0FD5" w:rsidRPr="007A0FD5" w:rsidP="00C8643D" w14:paraId="013EC0E0"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115% of the maximum power transfer ca</w:t>
      </w:r>
      <w:r w:rsidRPr="007A0FD5">
        <w:rPr>
          <w:rFonts w:ascii="Times New Roman" w:hAnsi="Times New Roman" w:cs="Times New Roman"/>
          <w:iCs/>
          <w:sz w:val="24"/>
          <w:szCs w:val="24"/>
        </w:rPr>
        <w:t xml:space="preserve">pability of the circuit (expressed in </w:t>
      </w:r>
    </w:p>
    <w:p w:rsidR="007A0FD5" w:rsidRPr="007A0FD5" w:rsidP="00C8643D" w14:paraId="5F7A0200"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amperes), calculated in accordance with Requirement R1, criterion 3, using the </w:t>
      </w:r>
    </w:p>
    <w:p w:rsidR="007A0FD5" w:rsidRPr="007A0FD5" w:rsidP="00C8643D" w14:paraId="66ABB5C8"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full line</w:t>
      </w:r>
      <w:r>
        <w:rPr>
          <w:rFonts w:ascii="Times New Roman" w:hAnsi="Times New Roman" w:cs="Times New Roman"/>
          <w:iCs/>
          <w:sz w:val="24"/>
          <w:szCs w:val="24"/>
        </w:rPr>
        <w:t xml:space="preserve"> </w:t>
      </w:r>
      <w:r w:rsidRPr="007A0FD5">
        <w:rPr>
          <w:rFonts w:ascii="Times New Roman" w:hAnsi="Times New Roman" w:cs="Times New Roman"/>
          <w:iCs/>
          <w:sz w:val="24"/>
          <w:szCs w:val="24"/>
        </w:rPr>
        <w:t>inductive reactance.</w:t>
      </w:r>
    </w:p>
    <w:p w:rsidR="007A0FD5" w:rsidRPr="007A0FD5" w:rsidP="00C8643D" w14:paraId="6469A1A8"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5. Set transmission line relays on weak source systems so they do not operate at or </w:t>
      </w:r>
    </w:p>
    <w:p w:rsidR="007A0FD5" w:rsidRPr="007A0FD5" w:rsidP="00C8643D" w14:paraId="436B885E"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below 170% of the maximum end-of-line three-phase fault magnitude (expressed in </w:t>
      </w:r>
    </w:p>
    <w:p w:rsidR="007A0FD5" w:rsidRPr="007A0FD5" w:rsidP="00C8643D" w14:paraId="0F5B4BED"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amperes).</w:t>
      </w:r>
    </w:p>
    <w:p w:rsidR="007A0FD5" w:rsidRPr="007A0FD5" w:rsidP="00C8643D" w14:paraId="3C7C8B67"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6. Reserved.</w:t>
      </w:r>
    </w:p>
    <w:p w:rsidR="007A0FD5" w:rsidRPr="007A0FD5" w:rsidP="00C8643D" w14:paraId="10FCD320"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7. Set transmission line relays applied at the load center terminal</w:t>
      </w:r>
      <w:r w:rsidRPr="007A0FD5">
        <w:rPr>
          <w:rFonts w:ascii="Times New Roman" w:hAnsi="Times New Roman" w:cs="Times New Roman"/>
          <w:iCs/>
          <w:sz w:val="24"/>
          <w:szCs w:val="24"/>
        </w:rPr>
        <w:t xml:space="preserve">, remote from </w:t>
      </w:r>
    </w:p>
    <w:p w:rsidR="007A0FD5" w:rsidRPr="007A0FD5" w:rsidP="00C8643D" w14:paraId="4E3C2AE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generation stations, so they do not operate at or below 115% of the maximum </w:t>
      </w:r>
    </w:p>
    <w:p w:rsidR="00792606" w:rsidP="00C8643D" w14:paraId="75467CD6"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current flow from the load to the generation source under any system configuration</w:t>
      </w:r>
    </w:p>
    <w:p w:rsidR="007A0FD5" w:rsidRPr="007A0FD5" w:rsidP="00C8643D" w14:paraId="2C30224B"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8. Set transmission line relays applied on the bulk system-end of transmission lines that </w:t>
      </w:r>
    </w:p>
    <w:p w:rsidR="007A0FD5" w:rsidRPr="007A0FD5" w:rsidP="00C8643D" w14:paraId="4DA05729"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serve load remote to the system so they do not operate at or below 115% of the </w:t>
      </w:r>
    </w:p>
    <w:p w:rsidR="007A0FD5" w:rsidRPr="007A0FD5" w:rsidP="00C8643D" w14:paraId="1B3C976A"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maximum current flow from the system to the load under any system configuration.</w:t>
      </w:r>
    </w:p>
    <w:p w:rsidR="007A0FD5" w:rsidRPr="007A0FD5" w:rsidP="00C8643D" w14:paraId="7E8976F9"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9. S</w:t>
      </w:r>
      <w:r w:rsidRPr="007A0FD5">
        <w:rPr>
          <w:rFonts w:ascii="Times New Roman" w:hAnsi="Times New Roman" w:cs="Times New Roman"/>
          <w:iCs/>
          <w:sz w:val="24"/>
          <w:szCs w:val="24"/>
        </w:rPr>
        <w:t xml:space="preserve">et transmission line relays applied on the load-end of transmission lines that serve </w:t>
      </w:r>
    </w:p>
    <w:p w:rsidR="007A0FD5" w:rsidRPr="007A0FD5" w:rsidP="00C8643D" w14:paraId="7AA63ADF"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load remote to the bulk system so they do not operate at or below 115% of the </w:t>
      </w:r>
    </w:p>
    <w:p w:rsidR="007A0FD5" w:rsidRPr="007A0FD5" w:rsidP="00C8643D" w14:paraId="562D662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maximum current flow from the load to the system under any system configuration.</w:t>
      </w:r>
    </w:p>
    <w:p w:rsidR="007A0FD5" w:rsidRPr="007A0FD5" w:rsidP="00C8643D" w14:paraId="26B42090"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10. Set tr</w:t>
      </w:r>
      <w:r w:rsidRPr="007A0FD5">
        <w:rPr>
          <w:rFonts w:ascii="Times New Roman" w:hAnsi="Times New Roman" w:cs="Times New Roman"/>
          <w:iCs/>
          <w:sz w:val="24"/>
          <w:szCs w:val="24"/>
        </w:rPr>
        <w:t xml:space="preserve">ansformer fault protection relays and transmission line relays on transmission </w:t>
      </w:r>
    </w:p>
    <w:p w:rsidR="007A0FD5" w:rsidRPr="007A0FD5" w:rsidP="00C8643D" w14:paraId="6751F19A"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lines terminated only with a transformer so that the relays do not operate at or </w:t>
      </w:r>
    </w:p>
    <w:p w:rsidR="007A0FD5" w:rsidRPr="007A0FD5" w:rsidP="00C8643D" w14:paraId="4DAE911D"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below the greater of:</w:t>
      </w:r>
    </w:p>
    <w:p w:rsidR="007A0FD5" w:rsidRPr="007A0FD5" w:rsidP="00C8643D" w14:paraId="3D01DC27"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150% of the applicable maximum transformer nameplate rating (expressed</w:t>
      </w:r>
      <w:r w:rsidRPr="007A0FD5">
        <w:rPr>
          <w:rFonts w:ascii="Times New Roman" w:hAnsi="Times New Roman" w:cs="Times New Roman"/>
          <w:iCs/>
          <w:sz w:val="24"/>
          <w:szCs w:val="24"/>
        </w:rPr>
        <w:t xml:space="preserve"> in </w:t>
      </w:r>
    </w:p>
    <w:p w:rsidR="007A0FD5" w:rsidRPr="007A0FD5" w:rsidP="00C8643D" w14:paraId="0B679D1D"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amperes), including the forced cooled ratings corresponding to all installed </w:t>
      </w:r>
    </w:p>
    <w:p w:rsidR="007A0FD5" w:rsidRPr="007A0FD5" w:rsidP="00C8643D" w14:paraId="210305F4"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supplemental cooling equipment.</w:t>
      </w:r>
    </w:p>
    <w:p w:rsidR="007A0FD5" w:rsidRPr="007A0FD5" w:rsidP="00C8643D" w14:paraId="0C081FC2" w14:textId="21D879FB">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 115% of the highest operator established emergency </w:t>
      </w:r>
      <w:r w:rsidRPr="007A0FD5" w:rsidR="00C63465">
        <w:rPr>
          <w:rFonts w:ascii="Times New Roman" w:hAnsi="Times New Roman" w:cs="Times New Roman"/>
          <w:iCs/>
          <w:sz w:val="24"/>
          <w:szCs w:val="24"/>
        </w:rPr>
        <w:t>transformer rating</w:t>
      </w:r>
      <w:r w:rsidRPr="007A0FD5">
        <w:rPr>
          <w:rFonts w:ascii="Times New Roman" w:hAnsi="Times New Roman" w:cs="Times New Roman"/>
          <w:iCs/>
          <w:sz w:val="24"/>
          <w:szCs w:val="24"/>
        </w:rPr>
        <w:t>.</w:t>
      </w:r>
    </w:p>
    <w:p w:rsidR="007A0FD5" w:rsidRPr="007A0FD5" w:rsidP="00C8643D" w14:paraId="2EB71F3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10.1 Set load-responsive transformer fault protection relays, if use</w:t>
      </w:r>
      <w:r w:rsidRPr="007A0FD5">
        <w:rPr>
          <w:rFonts w:ascii="Times New Roman" w:hAnsi="Times New Roman" w:cs="Times New Roman"/>
          <w:iCs/>
          <w:sz w:val="24"/>
          <w:szCs w:val="24"/>
        </w:rPr>
        <w:t xml:space="preserve">d, such that </w:t>
      </w:r>
    </w:p>
    <w:p w:rsidR="007A0FD5" w:rsidRPr="007A0FD5" w:rsidP="00C8643D" w14:paraId="423503E7"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the protection settings do not expose the transformer to a fault level and </w:t>
      </w:r>
    </w:p>
    <w:p w:rsidR="007A0FD5" w:rsidRPr="007A0FD5" w:rsidP="00C8643D" w14:paraId="63641496" w14:textId="00015059">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duration that exceeds the transformer’s mechanical withstand </w:t>
      </w:r>
      <w:r w:rsidRPr="007A0FD5" w:rsidR="00C63465">
        <w:rPr>
          <w:rFonts w:ascii="Times New Roman" w:hAnsi="Times New Roman" w:cs="Times New Roman"/>
          <w:iCs/>
          <w:sz w:val="24"/>
          <w:szCs w:val="24"/>
        </w:rPr>
        <w:t>capability2.</w:t>
      </w:r>
    </w:p>
    <w:p w:rsidR="007A0FD5" w:rsidRPr="007A0FD5" w:rsidP="00C8643D" w14:paraId="1176A67F" w14:textId="0168A02E">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11. For transformer overload protection relays that do not comply with the </w:t>
      </w:r>
      <w:r w:rsidRPr="007A0FD5" w:rsidR="00A66A1E">
        <w:rPr>
          <w:rFonts w:ascii="Times New Roman" w:hAnsi="Times New Roman" w:cs="Times New Roman"/>
          <w:iCs/>
          <w:sz w:val="24"/>
          <w:szCs w:val="24"/>
        </w:rPr>
        <w:t>loadability</w:t>
      </w:r>
      <w:r w:rsidRPr="007A0FD5">
        <w:rPr>
          <w:rFonts w:ascii="Times New Roman" w:hAnsi="Times New Roman" w:cs="Times New Roman"/>
          <w:iCs/>
          <w:sz w:val="24"/>
          <w:szCs w:val="24"/>
        </w:rPr>
        <w:t xml:space="preserve"> </w:t>
      </w:r>
    </w:p>
    <w:p w:rsidR="007A0FD5" w:rsidRPr="007A0FD5" w:rsidP="00C8643D" w14:paraId="0FDE0E1D"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comp</w:t>
      </w:r>
      <w:r w:rsidRPr="007A0FD5">
        <w:rPr>
          <w:rFonts w:ascii="Times New Roman" w:hAnsi="Times New Roman" w:cs="Times New Roman"/>
          <w:iCs/>
          <w:sz w:val="24"/>
          <w:szCs w:val="24"/>
        </w:rPr>
        <w:t xml:space="preserve">onent of Requirement R1, criterion 10 set the relays according to one of the </w:t>
      </w:r>
    </w:p>
    <w:p w:rsidR="007A0FD5" w:rsidRPr="007A0FD5" w:rsidP="00C8643D" w14:paraId="54D015F2"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following:</w:t>
      </w:r>
    </w:p>
    <w:p w:rsidR="007A0FD5" w:rsidRPr="007A0FD5" w:rsidP="00C8643D" w14:paraId="4DE6D39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 Set the relays to allow the transformer to be operated at an overload level of at </w:t>
      </w:r>
    </w:p>
    <w:p w:rsidR="007A0FD5" w:rsidRPr="007A0FD5" w:rsidP="00C8643D" w14:paraId="2B4FDFD6"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least 150% of the maximum applicable nameplate rating, or 115% of the highest </w:t>
      </w:r>
    </w:p>
    <w:p w:rsidR="007A0FD5" w:rsidRPr="007A0FD5" w:rsidP="00C8643D" w14:paraId="324ACD04"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operator established emergency transformer rating, whichever is greater, for at </w:t>
      </w:r>
    </w:p>
    <w:p w:rsidR="007A0FD5" w:rsidRPr="007A0FD5" w:rsidP="00C8643D" w14:paraId="7AA7D5BC" w14:textId="38BDA7EA">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least 15 </w:t>
      </w:r>
      <w:r w:rsidRPr="007A0FD5" w:rsidR="00A66A1E">
        <w:rPr>
          <w:rFonts w:ascii="Times New Roman" w:hAnsi="Times New Roman" w:cs="Times New Roman"/>
          <w:iCs/>
          <w:sz w:val="24"/>
          <w:szCs w:val="24"/>
        </w:rPr>
        <w:t>minutes to</w:t>
      </w:r>
      <w:r w:rsidRPr="007A0FD5">
        <w:rPr>
          <w:rFonts w:ascii="Times New Roman" w:hAnsi="Times New Roman" w:cs="Times New Roman"/>
          <w:iCs/>
          <w:sz w:val="24"/>
          <w:szCs w:val="24"/>
        </w:rPr>
        <w:t xml:space="preserve"> provide time for the operator to take controlled action to </w:t>
      </w:r>
    </w:p>
    <w:p w:rsidR="007A0FD5" w:rsidRPr="007A0FD5" w:rsidP="00C8643D" w14:paraId="13BF91D9"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relieve the overload.</w:t>
      </w:r>
    </w:p>
    <w:p w:rsidR="007A0FD5" w:rsidRPr="007A0FD5" w:rsidP="00C8643D" w14:paraId="374AF1BF"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 Install supervision for the relays using either a top oil or simulated </w:t>
      </w:r>
      <w:r w:rsidRPr="007A0FD5">
        <w:rPr>
          <w:rFonts w:ascii="Times New Roman" w:hAnsi="Times New Roman" w:cs="Times New Roman"/>
          <w:iCs/>
          <w:sz w:val="24"/>
          <w:szCs w:val="24"/>
        </w:rPr>
        <w:t xml:space="preserve">winding hot </w:t>
      </w:r>
    </w:p>
    <w:p w:rsidR="007A0FD5" w:rsidRPr="007A0FD5" w:rsidP="00C8643D" w14:paraId="512903E7"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spot temperature element set no less than 100° C for the top oil temperature or </w:t>
      </w:r>
    </w:p>
    <w:p w:rsidR="007A0FD5" w:rsidRPr="007A0FD5" w:rsidP="00C8643D" w14:paraId="2D8794C1" w14:textId="1DF75059">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no </w:t>
      </w:r>
      <w:r w:rsidRPr="007A0FD5" w:rsidR="00A66A1E">
        <w:rPr>
          <w:rFonts w:ascii="Times New Roman" w:hAnsi="Times New Roman" w:cs="Times New Roman"/>
          <w:iCs/>
          <w:sz w:val="24"/>
          <w:szCs w:val="24"/>
        </w:rPr>
        <w:t>less than</w:t>
      </w:r>
      <w:r w:rsidRPr="007A0FD5">
        <w:rPr>
          <w:rFonts w:ascii="Times New Roman" w:hAnsi="Times New Roman" w:cs="Times New Roman"/>
          <w:iCs/>
          <w:sz w:val="24"/>
          <w:szCs w:val="24"/>
        </w:rPr>
        <w:t xml:space="preserve"> 140° C for the winding hot spot temperature3.</w:t>
      </w:r>
    </w:p>
    <w:p w:rsidR="007A0FD5" w:rsidRPr="007A0FD5" w:rsidP="00C8643D" w14:paraId="45626FCD"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12. When the desired transmission line capability is limited by the requirement to </w:t>
      </w:r>
    </w:p>
    <w:p w:rsidR="007A0FD5" w:rsidRPr="007A0FD5" w:rsidP="00C8643D" w14:paraId="6C67F472"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adequately protect the transmission line, set the transmission line distance relays to </w:t>
      </w:r>
    </w:p>
    <w:p w:rsidR="007A0FD5" w:rsidRPr="007A0FD5" w:rsidP="00C8643D" w14:paraId="6B19A59C"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a maximum of 125% of the apparent impedance (at the impedance angle of the </w:t>
      </w:r>
    </w:p>
    <w:p w:rsidR="007A0FD5" w:rsidRPr="007A0FD5" w:rsidP="00C8643D" w14:paraId="51F33699"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transmission line) subject to the following constraints:</w:t>
      </w:r>
    </w:p>
    <w:p w:rsidR="007A0FD5" w:rsidRPr="007A0FD5" w:rsidP="00C8643D" w14:paraId="7A827F31" w14:textId="296841BC">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a. Set the maximum torque angle (MT</w:t>
      </w:r>
      <w:r w:rsidRPr="007A0FD5">
        <w:rPr>
          <w:rFonts w:ascii="Times New Roman" w:hAnsi="Times New Roman" w:cs="Times New Roman"/>
          <w:iCs/>
          <w:sz w:val="24"/>
          <w:szCs w:val="24"/>
        </w:rPr>
        <w:t xml:space="preserve">A) to 90 degrees or the </w:t>
      </w:r>
      <w:r w:rsidRPr="007A0FD5" w:rsidR="00A66A1E">
        <w:rPr>
          <w:rFonts w:ascii="Times New Roman" w:hAnsi="Times New Roman" w:cs="Times New Roman"/>
          <w:iCs/>
          <w:sz w:val="24"/>
          <w:szCs w:val="24"/>
        </w:rPr>
        <w:t>highest supported</w:t>
      </w:r>
      <w:r w:rsidRPr="007A0FD5">
        <w:rPr>
          <w:rFonts w:ascii="Times New Roman" w:hAnsi="Times New Roman" w:cs="Times New Roman"/>
          <w:iCs/>
          <w:sz w:val="24"/>
          <w:szCs w:val="24"/>
        </w:rPr>
        <w:t xml:space="preserve"> by </w:t>
      </w:r>
    </w:p>
    <w:p w:rsidR="007A0FD5" w:rsidRPr="007A0FD5" w:rsidP="00C8643D" w14:paraId="7B56856A"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the manufacturer.</w:t>
      </w:r>
    </w:p>
    <w:p w:rsidR="007A0FD5" w:rsidRPr="007A0FD5" w:rsidP="00C8643D" w14:paraId="41493535" w14:textId="25D5A861">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b. Evaluate the relay </w:t>
      </w:r>
      <w:r w:rsidRPr="007A0FD5" w:rsidR="00A66A1E">
        <w:rPr>
          <w:rFonts w:ascii="Times New Roman" w:hAnsi="Times New Roman" w:cs="Times New Roman"/>
          <w:iCs/>
          <w:sz w:val="24"/>
          <w:szCs w:val="24"/>
        </w:rPr>
        <w:t>loadability</w:t>
      </w:r>
      <w:r w:rsidRPr="007A0FD5">
        <w:rPr>
          <w:rFonts w:ascii="Times New Roman" w:hAnsi="Times New Roman" w:cs="Times New Roman"/>
          <w:iCs/>
          <w:sz w:val="24"/>
          <w:szCs w:val="24"/>
        </w:rPr>
        <w:t xml:space="preserve"> in amperes at the relay trip point at 0.85 per unit </w:t>
      </w:r>
    </w:p>
    <w:p w:rsidR="007A0FD5" w:rsidRPr="007A0FD5" w:rsidP="00C8643D" w14:paraId="308B1C47"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voltage and a power factor angle of 30 degrees.</w:t>
      </w:r>
    </w:p>
    <w:p w:rsidR="007A0FD5" w:rsidRPr="007A0FD5" w:rsidP="00C8643D" w14:paraId="63C8AA74"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c. Include a relay setting component of 87% of the curren</w:t>
      </w:r>
      <w:r w:rsidRPr="007A0FD5">
        <w:rPr>
          <w:rFonts w:ascii="Times New Roman" w:hAnsi="Times New Roman" w:cs="Times New Roman"/>
          <w:iCs/>
          <w:sz w:val="24"/>
          <w:szCs w:val="24"/>
        </w:rPr>
        <w:t>t calculated i</w:t>
      </w:r>
      <w:r>
        <w:rPr>
          <w:rFonts w:ascii="Times New Roman" w:hAnsi="Times New Roman" w:cs="Times New Roman"/>
          <w:iCs/>
          <w:sz w:val="24"/>
          <w:szCs w:val="24"/>
        </w:rPr>
        <w:t>n</w:t>
      </w:r>
      <w:r w:rsidRPr="007A0FD5">
        <w:t xml:space="preserve"> </w:t>
      </w:r>
      <w:r w:rsidRPr="007A0FD5">
        <w:rPr>
          <w:rFonts w:ascii="Times New Roman" w:hAnsi="Times New Roman" w:cs="Times New Roman"/>
          <w:iCs/>
          <w:sz w:val="24"/>
          <w:szCs w:val="24"/>
        </w:rPr>
        <w:t>Requirement R1, criterion 12 in the Facility Rating determination for the circuit.</w:t>
      </w:r>
    </w:p>
    <w:p w:rsidR="007A0FD5" w:rsidRPr="007A0FD5" w:rsidP="00C8643D" w14:paraId="24401C1A"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13. </w:t>
      </w:r>
      <w:r w:rsidRPr="007A0FD5">
        <w:rPr>
          <w:rFonts w:ascii="Times New Roman" w:hAnsi="Times New Roman" w:cs="Times New Roman"/>
          <w:iCs/>
          <w:sz w:val="24"/>
          <w:szCs w:val="24"/>
        </w:rPr>
        <w:t>Where</w:t>
      </w:r>
      <w:r w:rsidRPr="007A0FD5">
        <w:rPr>
          <w:rFonts w:ascii="Times New Roman" w:hAnsi="Times New Roman" w:cs="Times New Roman"/>
          <w:iCs/>
          <w:sz w:val="24"/>
          <w:szCs w:val="24"/>
        </w:rPr>
        <w:t xml:space="preserve"> other situations present practical limitations on circuit capability, set the </w:t>
      </w:r>
    </w:p>
    <w:p w:rsidR="007A0FD5" w:rsidRPr="007A0FD5" w:rsidP="00C8643D" w14:paraId="4A82E3DE" w14:textId="700C2480">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phase protection relays so they do not operate at or below 115% of </w:t>
      </w:r>
      <w:r w:rsidRPr="007A0FD5" w:rsidR="00A66A1E">
        <w:rPr>
          <w:rFonts w:ascii="Times New Roman" w:hAnsi="Times New Roman" w:cs="Times New Roman"/>
          <w:iCs/>
          <w:sz w:val="24"/>
          <w:szCs w:val="24"/>
        </w:rPr>
        <w:t>such limitations</w:t>
      </w:r>
      <w:r w:rsidRPr="007A0FD5">
        <w:rPr>
          <w:rFonts w:ascii="Times New Roman" w:hAnsi="Times New Roman" w:cs="Times New Roman"/>
          <w:iCs/>
          <w:sz w:val="24"/>
          <w:szCs w:val="24"/>
        </w:rPr>
        <w:t>.</w:t>
      </w:r>
    </w:p>
    <w:p w:rsidR="007A0FD5" w:rsidRPr="007A0FD5" w:rsidP="00C8643D" w14:paraId="1A6C8DFF"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M1. Each Transmission Owner, Generator Owner, and Distribution Provider shall have </w:t>
      </w:r>
    </w:p>
    <w:p w:rsidR="007A0FD5" w:rsidRPr="007A0FD5" w:rsidP="00C8643D" w14:paraId="51903B04"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evidence such as spreadsheets or summaries of calculations to show that each of its </w:t>
      </w:r>
    </w:p>
    <w:p w:rsidR="007A0FD5" w:rsidRPr="007A0FD5" w:rsidP="00C8643D" w14:paraId="2534D7F4" w14:textId="733358AF">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transmission relays </w:t>
      </w:r>
      <w:r w:rsidRPr="007A0FD5" w:rsidR="00A66A1E">
        <w:rPr>
          <w:rFonts w:ascii="Times New Roman" w:hAnsi="Times New Roman" w:cs="Times New Roman"/>
          <w:iCs/>
          <w:sz w:val="24"/>
          <w:szCs w:val="24"/>
        </w:rPr>
        <w:t>are</w:t>
      </w:r>
      <w:r w:rsidRPr="007A0FD5">
        <w:rPr>
          <w:rFonts w:ascii="Times New Roman" w:hAnsi="Times New Roman" w:cs="Times New Roman"/>
          <w:iCs/>
          <w:sz w:val="24"/>
          <w:szCs w:val="24"/>
        </w:rPr>
        <w:t xml:space="preserve"> set according to one of the criteria in Requir</w:t>
      </w:r>
      <w:r w:rsidRPr="007A0FD5">
        <w:rPr>
          <w:rFonts w:ascii="Times New Roman" w:hAnsi="Times New Roman" w:cs="Times New Roman"/>
          <w:iCs/>
          <w:sz w:val="24"/>
          <w:szCs w:val="24"/>
        </w:rPr>
        <w:t xml:space="preserve">ement R1, criterion 1 </w:t>
      </w:r>
    </w:p>
    <w:p w:rsidR="007A0FD5" w:rsidRPr="007A0FD5" w:rsidP="00C8643D" w14:paraId="774D7AC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through 13 and shall have evidence such as coordination curves or summaries of </w:t>
      </w:r>
    </w:p>
    <w:p w:rsidR="007A0FD5" w:rsidRPr="007A0FD5" w:rsidP="00C8643D" w14:paraId="726B83D9"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calculations that show that relays set per criterion 10 do not expose the transformer to </w:t>
      </w:r>
    </w:p>
    <w:p w:rsidR="007A0FD5" w:rsidRPr="007A0FD5" w:rsidP="00C8643D" w14:paraId="21AE0329"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fault levels and durations beyond those indicated in the standa</w:t>
      </w:r>
      <w:r w:rsidRPr="007A0FD5">
        <w:rPr>
          <w:rFonts w:ascii="Times New Roman" w:hAnsi="Times New Roman" w:cs="Times New Roman"/>
          <w:iCs/>
          <w:sz w:val="24"/>
          <w:szCs w:val="24"/>
        </w:rPr>
        <w:t>rd. (R1)</w:t>
      </w:r>
    </w:p>
    <w:p w:rsidR="007A0FD5" w:rsidRPr="007A0FD5" w:rsidP="00C8643D" w14:paraId="2BBC01F4"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R2. Reserved.</w:t>
      </w:r>
    </w:p>
    <w:p w:rsidR="007A0FD5" w:rsidRPr="007A0FD5" w:rsidP="00C8643D" w14:paraId="66A3C11C"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M2. Reserved.</w:t>
      </w:r>
    </w:p>
    <w:p w:rsidR="007A0FD5" w:rsidRPr="007A0FD5" w:rsidP="00C8643D" w14:paraId="33343659"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R3. Each Transmission Owner, Generator Owner, and Distribution Provider that uses a</w:t>
      </w:r>
    </w:p>
    <w:p w:rsidR="007A0FD5" w:rsidRPr="007A0FD5" w:rsidP="00C8643D" w14:paraId="7515D2BD"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circuit capability with the practical limitations described in Requirement R1, criterion 7, </w:t>
      </w:r>
    </w:p>
    <w:p w:rsidR="007A0FD5" w:rsidRPr="007A0FD5" w:rsidP="00C8643D" w14:paraId="614297C4"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8, 9, 12, or 13 shall use the calculated c</w:t>
      </w:r>
      <w:r w:rsidRPr="007A0FD5">
        <w:rPr>
          <w:rFonts w:ascii="Times New Roman" w:hAnsi="Times New Roman" w:cs="Times New Roman"/>
          <w:iCs/>
          <w:sz w:val="24"/>
          <w:szCs w:val="24"/>
        </w:rPr>
        <w:t xml:space="preserve">ircuit capability as the Facility Rating of the circuit </w:t>
      </w:r>
    </w:p>
    <w:p w:rsidR="007A0FD5" w:rsidRPr="007A0FD5" w:rsidP="00C8643D" w14:paraId="52C524D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and shall obtain the agreement of the Planning Coordinator, Transmission Operator, and </w:t>
      </w:r>
    </w:p>
    <w:p w:rsidR="007A0FD5" w:rsidRPr="007A0FD5" w:rsidP="00C8643D" w14:paraId="70229EB2"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Reliability Coordinator with the calculated circuit capability. [Violation Risk Factor: </w:t>
      </w:r>
    </w:p>
    <w:p w:rsidR="007A0FD5" w:rsidRPr="007A0FD5" w:rsidP="00C8643D" w14:paraId="7B2F1004"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Medium] [Time Horizon: Long Term Planning]</w:t>
      </w:r>
    </w:p>
    <w:p w:rsidR="007A0FD5" w:rsidRPr="007A0FD5" w:rsidP="00C8643D" w14:paraId="5786654F"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M3. Each Transmission Owner, Generator Owner, and Distribution Provider with </w:t>
      </w:r>
    </w:p>
    <w:p w:rsidR="007A0FD5" w:rsidRPr="007A0FD5" w:rsidP="00C8643D" w14:paraId="59E96B47"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transmission relays set according to Requireme</w:t>
      </w:r>
      <w:r w:rsidRPr="007A0FD5">
        <w:rPr>
          <w:rFonts w:ascii="Times New Roman" w:hAnsi="Times New Roman" w:cs="Times New Roman"/>
          <w:iCs/>
          <w:sz w:val="24"/>
          <w:szCs w:val="24"/>
        </w:rPr>
        <w:t xml:space="preserve">nt R1, criterion 7, 8, 9, 12, or 13 shall </w:t>
      </w:r>
    </w:p>
    <w:p w:rsidR="007A0FD5" w:rsidRPr="007A0FD5" w:rsidP="00C8643D" w14:paraId="6AC56BFD"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have evidence such as Facility Rating spreadsheets or Facility Rating database to show </w:t>
      </w:r>
    </w:p>
    <w:p w:rsidR="007A0FD5" w:rsidRPr="007A0FD5" w:rsidP="00C8643D" w14:paraId="32CCCA0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that it used the calculated circuit capability as the Facility Rating of the circuit and </w:t>
      </w:r>
    </w:p>
    <w:p w:rsidR="007A0FD5" w:rsidRPr="007A0FD5" w:rsidP="00C8643D" w14:paraId="756EADBA"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evidence such as dated corresponden</w:t>
      </w:r>
      <w:r w:rsidRPr="007A0FD5">
        <w:rPr>
          <w:rFonts w:ascii="Times New Roman" w:hAnsi="Times New Roman" w:cs="Times New Roman"/>
          <w:iCs/>
          <w:sz w:val="24"/>
          <w:szCs w:val="24"/>
        </w:rPr>
        <w:t xml:space="preserve">ce that the resulting Facility Rating was agreed to </w:t>
      </w:r>
    </w:p>
    <w:p w:rsidR="007A0FD5" w:rsidRPr="007A0FD5" w:rsidP="00C8643D" w14:paraId="320BB434"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by its associated Planning Coordinator, Transmission Operator, and Reliability </w:t>
      </w:r>
    </w:p>
    <w:p w:rsidR="007A0FD5" w:rsidRPr="007A0FD5" w:rsidP="00C8643D" w14:paraId="060CFDA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Coordinator. (R3)</w:t>
      </w:r>
    </w:p>
    <w:p w:rsidR="007A0FD5" w:rsidRPr="007A0FD5" w:rsidP="00C8643D" w14:paraId="3B6B52BF"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R4. Each Transmission Owner, Generator Owner, and Distribution Provider that chooses to </w:t>
      </w:r>
    </w:p>
    <w:p w:rsidR="007A0FD5" w:rsidRPr="007A0FD5" w:rsidP="00C8643D" w14:paraId="1F523EE2"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use Requirement R1 criterion 2 as the basis for verifying transmission line relay </w:t>
      </w:r>
    </w:p>
    <w:p w:rsidR="007A0FD5" w:rsidRPr="007A0FD5" w:rsidP="00C8643D" w14:paraId="3143213F" w14:textId="10A9566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loadability</w:t>
      </w:r>
      <w:r w:rsidRPr="007A0FD5">
        <w:rPr>
          <w:rFonts w:ascii="Times New Roman" w:hAnsi="Times New Roman" w:cs="Times New Roman"/>
          <w:iCs/>
          <w:sz w:val="24"/>
          <w:szCs w:val="24"/>
        </w:rPr>
        <w:t xml:space="preserve"> shall provide its Planning Coordinator, Transmission Operator, and Reliability </w:t>
      </w:r>
    </w:p>
    <w:p w:rsidR="007A0FD5" w:rsidRPr="007A0FD5" w:rsidP="00C8643D" w14:paraId="775F29C0"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Coordinator with an updated list of circuits associated with those transmission l</w:t>
      </w:r>
      <w:r w:rsidRPr="007A0FD5">
        <w:rPr>
          <w:rFonts w:ascii="Times New Roman" w:hAnsi="Times New Roman" w:cs="Times New Roman"/>
          <w:iCs/>
          <w:sz w:val="24"/>
          <w:szCs w:val="24"/>
        </w:rPr>
        <w:t xml:space="preserve">ine </w:t>
      </w:r>
    </w:p>
    <w:p w:rsidR="007A0FD5" w:rsidRPr="007A0FD5" w:rsidP="00C8643D" w14:paraId="18D1AFFA"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relays at least once each calendar year, with no more than 15 months between reports. </w:t>
      </w:r>
    </w:p>
    <w:p w:rsidR="007A0FD5" w:rsidRPr="007A0FD5" w:rsidP="00C8643D" w14:paraId="3F58BBCC"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[Violation Risk Factor: Lower] [Time Horizon: Long Term Planning]</w:t>
      </w:r>
    </w:p>
    <w:p w:rsidR="007A0FD5" w:rsidRPr="007A0FD5" w:rsidP="00C8643D" w14:paraId="4A2960DE"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M4. Each Transmission Owner, Generator Owner, or Distribution Provider that sets </w:t>
      </w:r>
    </w:p>
    <w:p w:rsidR="007A0FD5" w:rsidRPr="007A0FD5" w:rsidP="00C8643D" w14:paraId="307603BC"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transmission lin</w:t>
      </w:r>
      <w:r w:rsidRPr="007A0FD5">
        <w:rPr>
          <w:rFonts w:ascii="Times New Roman" w:hAnsi="Times New Roman" w:cs="Times New Roman"/>
          <w:iCs/>
          <w:sz w:val="24"/>
          <w:szCs w:val="24"/>
        </w:rPr>
        <w:t xml:space="preserve">e relays according to Requirement R1, criterion 2 shall have evidence </w:t>
      </w:r>
    </w:p>
    <w:p w:rsidR="007A0FD5" w:rsidRPr="007A0FD5" w:rsidP="00C8643D" w14:paraId="3A7A0A08"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such as dated correspondence to show that it provided its Planning Coordinator, </w:t>
      </w:r>
    </w:p>
    <w:p w:rsidR="007A0FD5" w:rsidRPr="007A0FD5" w:rsidP="00C8643D" w14:paraId="76DF9A5D"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Transmission Operator, and Reliability Coordinator with an updated list of circuits </w:t>
      </w:r>
    </w:p>
    <w:p w:rsidR="007A0FD5" w:rsidRPr="007A0FD5" w:rsidP="00C8643D" w14:paraId="7B31CA3B"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associated with tho</w:t>
      </w:r>
      <w:r w:rsidRPr="007A0FD5">
        <w:rPr>
          <w:rFonts w:ascii="Times New Roman" w:hAnsi="Times New Roman" w:cs="Times New Roman"/>
          <w:iCs/>
          <w:sz w:val="24"/>
          <w:szCs w:val="24"/>
        </w:rPr>
        <w:t xml:space="preserve">se transmission line relays within the required timeframe. The </w:t>
      </w:r>
    </w:p>
    <w:p w:rsidR="007A0FD5" w:rsidRPr="007A0FD5" w:rsidP="00C8643D" w14:paraId="402841BA"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updated list may either be a full list, a list of incremental changes to the previous list, or </w:t>
      </w:r>
    </w:p>
    <w:p w:rsidR="007A0FD5" w:rsidRPr="007A0FD5" w:rsidP="00C8643D" w14:paraId="636E65FE"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a statement that there are no changes to the previous list. (R4)</w:t>
      </w:r>
    </w:p>
    <w:p w:rsidR="007A0FD5" w:rsidRPr="007A0FD5" w:rsidP="00C8643D" w14:paraId="1D4BB0EB"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R5. Each Transmission Owner, Ge</w:t>
      </w:r>
      <w:r w:rsidRPr="007A0FD5">
        <w:rPr>
          <w:rFonts w:ascii="Times New Roman" w:hAnsi="Times New Roman" w:cs="Times New Roman"/>
          <w:iCs/>
          <w:sz w:val="24"/>
          <w:szCs w:val="24"/>
        </w:rPr>
        <w:t xml:space="preserve">nerator Owner, and Distribution Provider that sets </w:t>
      </w:r>
    </w:p>
    <w:p w:rsidR="007A0FD5" w:rsidRPr="007A0FD5" w:rsidP="00C8643D" w14:paraId="7BCEF392"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transmission line relays according to Requirement R1 criterion 12 shall provide an </w:t>
      </w:r>
    </w:p>
    <w:p w:rsidR="007A0FD5" w:rsidRPr="007A0FD5" w:rsidP="00C8643D" w14:paraId="4D631DD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updated list of the circuits associated with those relays to its Regional Entity at least </w:t>
      </w:r>
    </w:p>
    <w:p w:rsidR="007A0FD5" w:rsidRPr="007A0FD5" w:rsidP="00C8643D" w14:paraId="6E7C162B" w14:textId="3E10E57D">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once each calendar year, with</w:t>
      </w:r>
      <w:r w:rsidRPr="007A0FD5">
        <w:rPr>
          <w:rFonts w:ascii="Times New Roman" w:hAnsi="Times New Roman" w:cs="Times New Roman"/>
          <w:iCs/>
          <w:sz w:val="24"/>
          <w:szCs w:val="24"/>
        </w:rPr>
        <w:t xml:space="preserve"> no more than 15 months between reports, to allow </w:t>
      </w:r>
      <w:r w:rsidRPr="007A0FD5" w:rsidR="005E122B">
        <w:rPr>
          <w:rFonts w:ascii="Times New Roman" w:hAnsi="Times New Roman" w:cs="Times New Roman"/>
          <w:iCs/>
          <w:sz w:val="24"/>
          <w:szCs w:val="24"/>
        </w:rPr>
        <w:t>the</w:t>
      </w:r>
      <w:r w:rsidR="005E122B">
        <w:rPr>
          <w:rFonts w:ascii="Times New Roman" w:hAnsi="Times New Roman" w:cs="Times New Roman"/>
          <w:iCs/>
          <w:sz w:val="24"/>
          <w:szCs w:val="24"/>
        </w:rPr>
        <w:t xml:space="preserve"> ERO</w:t>
      </w:r>
      <w:r w:rsidRPr="007A0FD5">
        <w:rPr>
          <w:rFonts w:ascii="Times New Roman" w:hAnsi="Times New Roman" w:cs="Times New Roman"/>
          <w:iCs/>
          <w:sz w:val="24"/>
          <w:szCs w:val="24"/>
        </w:rPr>
        <w:t xml:space="preserve"> to compile a list of all circuits that have protective relay settings that limit circuit </w:t>
      </w:r>
    </w:p>
    <w:p w:rsidR="007A0FD5" w:rsidRPr="007A0FD5" w:rsidP="00C8643D" w14:paraId="296B6CC1"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capability. [Violation Risk Factor: Lower] [Time Horizon: Long Term Planning]</w:t>
      </w:r>
    </w:p>
    <w:p w:rsidR="007A0FD5" w:rsidRPr="007A0FD5" w:rsidP="00C8643D" w14:paraId="1937E8C7"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M5. Each Transmission Owner, Generator Owner, or Distribution Provider that sets </w:t>
      </w:r>
    </w:p>
    <w:p w:rsidR="007A0FD5" w:rsidRPr="007A0FD5" w:rsidP="00C8643D" w14:paraId="10E9EAC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transmission line relays according to Requirement R1, criterion 12 shall have evidence </w:t>
      </w:r>
    </w:p>
    <w:p w:rsidR="007A0FD5" w:rsidRPr="007A0FD5" w:rsidP="00C8643D" w14:paraId="78E03E30"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such as dated correspondence that it provided an updated list of the circuits associat</w:t>
      </w:r>
      <w:r w:rsidRPr="007A0FD5">
        <w:rPr>
          <w:rFonts w:ascii="Times New Roman" w:hAnsi="Times New Roman" w:cs="Times New Roman"/>
          <w:iCs/>
          <w:sz w:val="24"/>
          <w:szCs w:val="24"/>
        </w:rPr>
        <w:t xml:space="preserve">ed </w:t>
      </w:r>
    </w:p>
    <w:p w:rsidR="007A0FD5" w:rsidRPr="007A0FD5" w:rsidP="00C8643D" w14:paraId="4DBEA13C"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with those relays to its Regional Entity within the required timeframe. The updated list </w:t>
      </w:r>
    </w:p>
    <w:p w:rsidR="007A0FD5" w:rsidRPr="007A0FD5" w:rsidP="00C8643D" w14:paraId="253C66EC"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may either be a full list, a list of incremental changes to the previous list, or a statement </w:t>
      </w:r>
    </w:p>
    <w:p w:rsidR="007A0FD5" w:rsidRPr="007A0FD5" w:rsidP="00C8643D" w14:paraId="1945235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that there are no changes to the previous list. (R5)</w:t>
      </w:r>
    </w:p>
    <w:p w:rsidR="007A0FD5" w:rsidRPr="007A0FD5" w:rsidP="00C8643D" w14:paraId="0C69452E"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R6. Each Plann</w:t>
      </w:r>
      <w:r w:rsidRPr="007A0FD5">
        <w:rPr>
          <w:rFonts w:ascii="Times New Roman" w:hAnsi="Times New Roman" w:cs="Times New Roman"/>
          <w:iCs/>
          <w:sz w:val="24"/>
          <w:szCs w:val="24"/>
        </w:rPr>
        <w:t xml:space="preserve">ing Coordinator shall conduct an assessment at least once each calendar year, </w:t>
      </w:r>
    </w:p>
    <w:p w:rsidR="007A0FD5" w:rsidRPr="007A0FD5" w:rsidP="00C8643D" w14:paraId="3D8FAC42"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with no more than 15 months between assessments, by applying the criteria in PRC-023-</w:t>
      </w:r>
    </w:p>
    <w:p w:rsidR="007A0FD5" w:rsidRPr="007A0FD5" w:rsidP="00C8643D" w14:paraId="4BD042CE"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6, Attachment B to determine the circuits in its Planning Coordinator area for which </w:t>
      </w:r>
    </w:p>
    <w:p w:rsidR="007A0FD5" w:rsidRPr="007A0FD5" w:rsidP="00C8643D" w14:paraId="0F9FC915"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Trans</w:t>
      </w:r>
      <w:r w:rsidRPr="007A0FD5">
        <w:rPr>
          <w:rFonts w:ascii="Times New Roman" w:hAnsi="Times New Roman" w:cs="Times New Roman"/>
          <w:iCs/>
          <w:sz w:val="24"/>
          <w:szCs w:val="24"/>
        </w:rPr>
        <w:t xml:space="preserve">mission Owners, Generator Owners, and Distribution Providers must comply with </w:t>
      </w:r>
    </w:p>
    <w:p w:rsidR="007A0FD5" w:rsidRPr="007A0FD5" w:rsidP="00C8643D" w14:paraId="7FF1E1D9"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Requirements R1 through R5. The Planning Coordinator shall: [Violation Risk Factor: </w:t>
      </w:r>
    </w:p>
    <w:p w:rsidR="007A0FD5" w:rsidRPr="007A0FD5" w:rsidP="00C8643D" w14:paraId="7D723D0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High] [Time Horizon: Long Term Planning]</w:t>
      </w:r>
    </w:p>
    <w:p w:rsidR="007A0FD5" w:rsidRPr="007A0FD5" w:rsidP="00C8643D" w14:paraId="229B8D9C"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6.1 Maintain a list of circuits subject to PRC-023-</w:t>
      </w:r>
      <w:r w:rsidRPr="007A0FD5">
        <w:rPr>
          <w:rFonts w:ascii="Times New Roman" w:hAnsi="Times New Roman" w:cs="Times New Roman"/>
          <w:iCs/>
          <w:sz w:val="24"/>
          <w:szCs w:val="24"/>
        </w:rPr>
        <w:t xml:space="preserve">6 per application of Attachment B, </w:t>
      </w:r>
    </w:p>
    <w:p w:rsidR="007A0FD5" w:rsidRPr="007A0FD5" w:rsidP="00C8643D" w14:paraId="44945457"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including identification of the first calendar year in which any criterion in PRC-023-</w:t>
      </w:r>
    </w:p>
    <w:p w:rsidR="007A0FD5" w:rsidRPr="007A0FD5" w:rsidP="00C8643D" w14:paraId="09747011"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6, Attachment B applies.</w:t>
      </w:r>
    </w:p>
    <w:p w:rsidR="007A0FD5" w:rsidRPr="007A0FD5" w:rsidP="00C8643D" w14:paraId="52FBE336"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6.2 Provide the list of circuits to all Regional Entities, Reliability Coordinators, </w:t>
      </w:r>
    </w:p>
    <w:p w:rsidR="007A0FD5" w:rsidRPr="007A0FD5" w:rsidP="00C8643D" w14:paraId="244880CF"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Transmission Owners, G</w:t>
      </w:r>
      <w:r w:rsidRPr="007A0FD5">
        <w:rPr>
          <w:rFonts w:ascii="Times New Roman" w:hAnsi="Times New Roman" w:cs="Times New Roman"/>
          <w:iCs/>
          <w:sz w:val="24"/>
          <w:szCs w:val="24"/>
        </w:rPr>
        <w:t xml:space="preserve">enerator Owners, and Distribution Providers within its </w:t>
      </w:r>
    </w:p>
    <w:p w:rsidR="007A0FD5" w:rsidRPr="007A0FD5" w:rsidP="00C8643D" w14:paraId="0C825826"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Planning Coordinator area within 30 calendar days of the establishment of the </w:t>
      </w:r>
    </w:p>
    <w:p w:rsidR="007A0FD5" w:rsidRPr="007A0FD5" w:rsidP="00C8643D" w14:paraId="7F7C603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initial list and within 30 calendar days of any changes to that list.</w:t>
      </w:r>
    </w:p>
    <w:p w:rsidR="007A0FD5" w:rsidRPr="007A0FD5" w:rsidP="00C8643D" w14:paraId="61837FC8"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M6. Each Planning Coordinator shall have evidence such as power flow results, calculation </w:t>
      </w:r>
    </w:p>
    <w:p w:rsidR="007A0FD5" w:rsidRPr="007A0FD5" w:rsidP="00C8643D" w14:paraId="0CCA1438"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summaries, or study reports that it used the criteria established within PRC-023-6, </w:t>
      </w:r>
    </w:p>
    <w:p w:rsidR="007A0FD5" w:rsidRPr="007A0FD5" w:rsidP="00C8643D" w14:paraId="3F7665C9"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Attachment B to determine the circuits in its Planning Coordinator area for whic</w:t>
      </w:r>
      <w:r w:rsidRPr="007A0FD5">
        <w:rPr>
          <w:rFonts w:ascii="Times New Roman" w:hAnsi="Times New Roman" w:cs="Times New Roman"/>
          <w:iCs/>
          <w:sz w:val="24"/>
          <w:szCs w:val="24"/>
        </w:rPr>
        <w:t xml:space="preserve">h </w:t>
      </w:r>
    </w:p>
    <w:p w:rsidR="007A0FD5" w:rsidRPr="007A0FD5" w:rsidP="00C8643D" w14:paraId="3C2BA7C3"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applicable entities must comply with the standard as described in Requirement R6. The </w:t>
      </w:r>
    </w:p>
    <w:p w:rsidR="007A0FD5" w:rsidRPr="007A0FD5" w:rsidP="00C8643D" w14:paraId="71CFB236" w14:textId="0E111FC4">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Planning Coordinator shall have a dated list </w:t>
      </w:r>
      <w:r w:rsidRPr="007A0FD5" w:rsidR="00A66A1E">
        <w:rPr>
          <w:rFonts w:ascii="Times New Roman" w:hAnsi="Times New Roman" w:cs="Times New Roman"/>
          <w:iCs/>
          <w:sz w:val="24"/>
          <w:szCs w:val="24"/>
        </w:rPr>
        <w:t>of such</w:t>
      </w:r>
      <w:r w:rsidRPr="007A0FD5">
        <w:rPr>
          <w:rFonts w:ascii="Times New Roman" w:hAnsi="Times New Roman" w:cs="Times New Roman"/>
          <w:iCs/>
          <w:sz w:val="24"/>
          <w:szCs w:val="24"/>
        </w:rPr>
        <w:t xml:space="preserve"> circuits and shall have evidence such </w:t>
      </w:r>
    </w:p>
    <w:p w:rsidR="007A0FD5" w:rsidRPr="007A0FD5" w:rsidP="00C8643D" w14:paraId="47F4C1AB"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as dated correspondence that it provided the list to the Regional Entities</w:t>
      </w:r>
      <w:r w:rsidRPr="007A0FD5">
        <w:rPr>
          <w:rFonts w:ascii="Times New Roman" w:hAnsi="Times New Roman" w:cs="Times New Roman"/>
          <w:iCs/>
          <w:sz w:val="24"/>
          <w:szCs w:val="24"/>
        </w:rPr>
        <w:t xml:space="preserve">, Reliability </w:t>
      </w:r>
    </w:p>
    <w:p w:rsidR="007A0FD5" w:rsidRPr="007A0FD5" w:rsidP="00C8643D" w14:paraId="13B6A74C" w14:textId="7777777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Coordinators, Transmission Owners, Generator Owners, and Distribution Providers </w:t>
      </w:r>
    </w:p>
    <w:p w:rsidR="007A0FD5" w:rsidP="00C8643D" w14:paraId="613CD0D8" w14:textId="06C617C7">
      <w:pPr>
        <w:spacing w:after="0" w:line="240" w:lineRule="auto"/>
        <w:rPr>
          <w:rFonts w:ascii="Times New Roman" w:hAnsi="Times New Roman" w:cs="Times New Roman"/>
          <w:iCs/>
          <w:sz w:val="24"/>
          <w:szCs w:val="24"/>
        </w:rPr>
      </w:pPr>
      <w:r w:rsidRPr="007A0FD5">
        <w:rPr>
          <w:rFonts w:ascii="Times New Roman" w:hAnsi="Times New Roman" w:cs="Times New Roman"/>
          <w:iCs/>
          <w:sz w:val="24"/>
          <w:szCs w:val="24"/>
        </w:rPr>
        <w:t xml:space="preserve">within its Planning Coordinator area within the required timeframe. </w:t>
      </w:r>
    </w:p>
    <w:p w:rsidR="007A0FD5" w:rsidRPr="00F90187" w:rsidP="00C8643D" w14:paraId="7524DE2F" w14:textId="77777777">
      <w:pPr>
        <w:spacing w:after="0" w:line="240" w:lineRule="auto"/>
        <w:rPr>
          <w:rFonts w:ascii="Times New Roman" w:hAnsi="Times New Roman" w:cs="Times New Roman"/>
          <w:iCs/>
          <w:sz w:val="24"/>
          <w:szCs w:val="24"/>
        </w:rPr>
      </w:pPr>
    </w:p>
    <w:p w:rsidR="00EB3E6F" w:rsidRPr="00BD0FD5" w:rsidP="0092596C" w14:paraId="226CAA9C"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 xml:space="preserve">DESCRIBE ANY CONSIDERATION OF THE USE OF IMPROVED INFORMATION TECHNOLOGY TO REDUCE THE </w:t>
      </w:r>
      <w:r w:rsidRPr="00BD0FD5">
        <w:rPr>
          <w:rFonts w:ascii="Times New Roman" w:hAnsi="Times New Roman" w:cs="Times New Roman"/>
          <w:b/>
          <w:sz w:val="24"/>
          <w:szCs w:val="24"/>
        </w:rPr>
        <w:t>BURDEN AND TECHNICAL OR LEGAL OBSTACLES TO REDUCING BURDEN</w:t>
      </w:r>
    </w:p>
    <w:p w:rsidR="00D517AE" w:rsidP="0092596C" w14:paraId="3DD9EE20" w14:textId="77777777">
      <w:pPr>
        <w:spacing w:after="0" w:line="240" w:lineRule="auto"/>
        <w:rPr>
          <w:rFonts w:ascii="Times New Roman" w:hAnsi="Times New Roman" w:cs="Times New Roman"/>
          <w:sz w:val="24"/>
          <w:szCs w:val="24"/>
        </w:rPr>
      </w:pPr>
    </w:p>
    <w:p w:rsidR="00824795" w:rsidP="0092596C" w14:paraId="6C911817" w14:textId="252873BA">
      <w:pPr>
        <w:spacing w:after="0" w:line="240" w:lineRule="auto"/>
        <w:rPr>
          <w:rFonts w:ascii="Times New Roman" w:eastAsia="Calibri" w:hAnsi="Times New Roman" w:cs="Times New Roman"/>
          <w:sz w:val="24"/>
          <w:szCs w:val="24"/>
        </w:rPr>
      </w:pPr>
      <w:r w:rsidRPr="00D517AE">
        <w:rPr>
          <w:rFonts w:ascii="Times New Roman" w:eastAsia="Calibri" w:hAnsi="Times New Roman" w:cs="Times New Roman"/>
          <w:sz w:val="24"/>
          <w:szCs w:val="24"/>
        </w:rPr>
        <w:t xml:space="preserve">The use of current or improved </w:t>
      </w:r>
      <w:r w:rsidR="003917F7">
        <w:rPr>
          <w:rFonts w:ascii="Times New Roman" w:eastAsia="Calibri" w:hAnsi="Times New Roman" w:cs="Times New Roman"/>
          <w:sz w:val="24"/>
          <w:szCs w:val="24"/>
        </w:rPr>
        <w:t xml:space="preserve">information </w:t>
      </w:r>
      <w:r w:rsidRPr="00D517AE">
        <w:rPr>
          <w:rFonts w:ascii="Times New Roman" w:eastAsia="Calibri" w:hAnsi="Times New Roman" w:cs="Times New Roman"/>
          <w:sz w:val="24"/>
          <w:szCs w:val="24"/>
        </w:rPr>
        <w:t>technology is not covered in Reliability Standards and is therefore left to the discretion of each reporting entity.  Commission staff estimates that nea</w:t>
      </w:r>
      <w:r w:rsidRPr="00D517AE">
        <w:rPr>
          <w:rFonts w:ascii="Times New Roman" w:eastAsia="Calibri" w:hAnsi="Times New Roman" w:cs="Times New Roman"/>
          <w:sz w:val="24"/>
          <w:szCs w:val="24"/>
        </w:rPr>
        <w:t xml:space="preserve">rly </w:t>
      </w:r>
      <w:r w:rsidRPr="00D517AE" w:rsidR="000C7F68">
        <w:rPr>
          <w:rFonts w:ascii="Times New Roman" w:eastAsia="Calibri" w:hAnsi="Times New Roman" w:cs="Times New Roman"/>
          <w:sz w:val="24"/>
          <w:szCs w:val="24"/>
        </w:rPr>
        <w:t>all</w:t>
      </w:r>
      <w:r w:rsidRPr="00D517AE">
        <w:rPr>
          <w:rFonts w:ascii="Times New Roman" w:eastAsia="Calibri" w:hAnsi="Times New Roman" w:cs="Times New Roman"/>
          <w:sz w:val="24"/>
          <w:szCs w:val="24"/>
        </w:rPr>
        <w:t xml:space="preserve"> the respondents are likely to make and keep related records in an electronic format.  Each of the </w:t>
      </w:r>
      <w:r w:rsidR="00316786">
        <w:rPr>
          <w:rFonts w:ascii="Times New Roman" w:eastAsia="Calibri" w:hAnsi="Times New Roman" w:cs="Times New Roman"/>
          <w:sz w:val="24"/>
          <w:szCs w:val="24"/>
        </w:rPr>
        <w:t>six</w:t>
      </w:r>
      <w:r w:rsidRPr="00D517AE">
        <w:rPr>
          <w:rFonts w:ascii="Times New Roman" w:eastAsia="Calibri" w:hAnsi="Times New Roman" w:cs="Times New Roman"/>
          <w:sz w:val="24"/>
          <w:szCs w:val="24"/>
        </w:rPr>
        <w:t xml:space="preserve"> Regional Entities has a well-established compliance portal for registered entities to electronically submit compliance information and reports.  The compliance portals allow documents developed by the registered entities to be attached and uploaded to the</w:t>
      </w:r>
      <w:r w:rsidRPr="00D517AE">
        <w:rPr>
          <w:rFonts w:ascii="Times New Roman" w:eastAsia="Calibri" w:hAnsi="Times New Roman" w:cs="Times New Roman"/>
          <w:sz w:val="24"/>
          <w:szCs w:val="24"/>
        </w:rPr>
        <w:t xml:space="preserve"> Regional Entity’s portal.  Compliance data can also be submitted by filling out data forms on the portals.  </w:t>
      </w:r>
      <w:r w:rsidRPr="00824795">
        <w:rPr>
          <w:rFonts w:ascii="Times New Roman" w:eastAsia="Calibri" w:hAnsi="Times New Roman" w:cs="Times New Roman"/>
          <w:sz w:val="24"/>
          <w:szCs w:val="24"/>
        </w:rPr>
        <w:t>These portals are accessible through an internet browser password protected user interface.</w:t>
      </w:r>
    </w:p>
    <w:p w:rsidR="00EB3E6F" w:rsidRPr="00BD0FD5" w:rsidP="0092596C" w14:paraId="15561BBA" w14:textId="77777777">
      <w:pPr>
        <w:spacing w:after="0" w:line="240" w:lineRule="auto"/>
        <w:rPr>
          <w:rFonts w:ascii="Times New Roman" w:hAnsi="Times New Roman" w:cs="Times New Roman"/>
          <w:sz w:val="24"/>
          <w:szCs w:val="24"/>
        </w:rPr>
      </w:pPr>
    </w:p>
    <w:p w:rsidR="00EB3E6F" w:rsidRPr="00BD0FD5" w:rsidP="0092596C" w14:paraId="23725B4E"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DESCRIBE EFFORTS TO IDENTIF</w:t>
      </w:r>
      <w:r w:rsidRPr="00BD0FD5" w:rsidR="00E05FA3">
        <w:rPr>
          <w:rFonts w:ascii="Times New Roman" w:hAnsi="Times New Roman" w:cs="Times New Roman"/>
          <w:b/>
          <w:sz w:val="24"/>
          <w:szCs w:val="24"/>
        </w:rPr>
        <w:t>Y</w:t>
      </w:r>
      <w:r w:rsidRPr="00BD0FD5">
        <w:rPr>
          <w:rFonts w:ascii="Times New Roman" w:hAnsi="Times New Roman" w:cs="Times New Roman"/>
          <w:b/>
          <w:sz w:val="24"/>
          <w:szCs w:val="24"/>
        </w:rPr>
        <w:t xml:space="preserve"> DUPLICATION AND SHOW SPEC</w:t>
      </w:r>
      <w:r w:rsidRPr="00BD0FD5">
        <w:rPr>
          <w:rFonts w:ascii="Times New Roman" w:hAnsi="Times New Roman" w:cs="Times New Roman"/>
          <w:b/>
          <w:sz w:val="24"/>
          <w:szCs w:val="24"/>
        </w:rPr>
        <w:t>IFICALLY WHY ANY SIMILAR INFORMATION ALREADY AVAILABLE CANNOT BE USED OR MODIFIED FOR USE FOR THE PURPOSE(S) DESCRIBED IN INSTRUCTION NO. 2</w:t>
      </w:r>
    </w:p>
    <w:p w:rsidR="00EB3E6F" w:rsidRPr="00BD0FD5" w:rsidP="0092596C" w14:paraId="752583AB" w14:textId="77777777">
      <w:pPr>
        <w:spacing w:after="0" w:line="240" w:lineRule="auto"/>
        <w:rPr>
          <w:rFonts w:ascii="Times New Roman" w:hAnsi="Times New Roman" w:cs="Times New Roman"/>
          <w:sz w:val="24"/>
          <w:szCs w:val="24"/>
        </w:rPr>
      </w:pPr>
    </w:p>
    <w:p w:rsidR="007F58DE" w:rsidRPr="007F58DE" w:rsidP="007F58DE" w14:paraId="3B392A23" w14:textId="77777777">
      <w:pPr>
        <w:spacing w:after="0" w:line="240" w:lineRule="auto"/>
        <w:rPr>
          <w:rFonts w:ascii="Times New Roman" w:hAnsi="Times New Roman" w:cs="Times New Roman"/>
          <w:sz w:val="24"/>
          <w:szCs w:val="24"/>
        </w:rPr>
      </w:pPr>
      <w:r w:rsidRPr="007F58DE">
        <w:rPr>
          <w:rFonts w:ascii="Times New Roman" w:hAnsi="Times New Roman" w:cs="Times New Roman"/>
          <w:sz w:val="24"/>
          <w:szCs w:val="24"/>
        </w:rPr>
        <w:t>The Commission periodically reviews filing requirements concurrent with OMB review or as the Commission deems neces</w:t>
      </w:r>
      <w:r w:rsidRPr="007F58DE">
        <w:rPr>
          <w:rFonts w:ascii="Times New Roman" w:hAnsi="Times New Roman" w:cs="Times New Roman"/>
          <w:sz w:val="24"/>
          <w:szCs w:val="24"/>
        </w:rPr>
        <w:t>sary to eliminate duplicative filing and to minimize the filing burden.</w:t>
      </w:r>
    </w:p>
    <w:p w:rsidR="007F58DE" w:rsidRPr="007F58DE" w:rsidP="007F58DE" w14:paraId="1B1253AA" w14:textId="77777777">
      <w:pPr>
        <w:spacing w:after="0" w:line="240" w:lineRule="auto"/>
        <w:rPr>
          <w:rFonts w:ascii="Times New Roman" w:hAnsi="Times New Roman" w:cs="Times New Roman"/>
          <w:sz w:val="24"/>
          <w:szCs w:val="24"/>
        </w:rPr>
      </w:pPr>
      <w:r w:rsidRPr="007F58DE">
        <w:rPr>
          <w:rFonts w:ascii="Times New Roman" w:hAnsi="Times New Roman" w:cs="Times New Roman"/>
          <w:sz w:val="24"/>
          <w:szCs w:val="24"/>
        </w:rPr>
        <w:t xml:space="preserve">Reliability Standards are developed by a collaborative process which requires industry participation.  The Commission is unaware of any other source of information </w:t>
      </w:r>
      <w:r w:rsidRPr="007F58DE">
        <w:rPr>
          <w:rFonts w:ascii="Times New Roman" w:hAnsi="Times New Roman" w:cs="Times New Roman"/>
          <w:sz w:val="24"/>
          <w:szCs w:val="24"/>
        </w:rPr>
        <w:t>similar to</w:t>
      </w:r>
      <w:r w:rsidRPr="007F58DE">
        <w:rPr>
          <w:rFonts w:ascii="Times New Roman" w:hAnsi="Times New Roman" w:cs="Times New Roman"/>
          <w:sz w:val="24"/>
          <w:szCs w:val="24"/>
        </w:rPr>
        <w:t xml:space="preserve"> the addit</w:t>
      </w:r>
      <w:r w:rsidRPr="007F58DE">
        <w:rPr>
          <w:rFonts w:ascii="Times New Roman" w:hAnsi="Times New Roman" w:cs="Times New Roman"/>
          <w:sz w:val="24"/>
          <w:szCs w:val="24"/>
        </w:rPr>
        <w:t>ional requirements.</w:t>
      </w:r>
    </w:p>
    <w:p w:rsidR="00AE205C" w:rsidRPr="00BD0FD5" w:rsidP="0092596C" w14:paraId="29205728" w14:textId="77777777">
      <w:pPr>
        <w:spacing w:after="0" w:line="240" w:lineRule="auto"/>
        <w:rPr>
          <w:rFonts w:ascii="Times New Roman" w:hAnsi="Times New Roman" w:cs="Times New Roman"/>
          <w:sz w:val="24"/>
          <w:szCs w:val="24"/>
        </w:rPr>
      </w:pPr>
    </w:p>
    <w:p w:rsidR="00EB3E6F" w:rsidRPr="000619B7" w:rsidP="0092596C" w14:paraId="58BC6E6C"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METHODS USED TO MINIMIZE THE BURDEN IN COLLECTION OF INFORMATION INVOLVING SMALL ENTITIES</w:t>
      </w:r>
    </w:p>
    <w:p w:rsidR="00C00D70" w:rsidRPr="00BD0FD5" w:rsidP="0092596C" w14:paraId="4FE51DB8" w14:textId="77777777">
      <w:pPr>
        <w:spacing w:after="0" w:line="240" w:lineRule="auto"/>
        <w:rPr>
          <w:rFonts w:ascii="Times New Roman" w:hAnsi="Times New Roman" w:cs="Times New Roman"/>
          <w:sz w:val="24"/>
          <w:szCs w:val="24"/>
        </w:rPr>
      </w:pPr>
    </w:p>
    <w:p w:rsidR="00C00D70" w:rsidP="0092596C" w14:paraId="23B1F8AF" w14:textId="77777777">
      <w:pPr>
        <w:spacing w:after="0" w:line="240" w:lineRule="auto"/>
        <w:rPr>
          <w:rFonts w:ascii="Times New Roman" w:hAnsi="Times New Roman" w:cs="Times New Roman"/>
          <w:sz w:val="24"/>
          <w:szCs w:val="24"/>
        </w:rPr>
      </w:pPr>
      <w:r w:rsidRPr="00BD0FD5">
        <w:rPr>
          <w:rFonts w:ascii="Times New Roman" w:hAnsi="Times New Roman" w:cs="Times New Roman"/>
          <w:sz w:val="24"/>
          <w:szCs w:val="24"/>
        </w:rPr>
        <w:t xml:space="preserve">In general, small entities may </w:t>
      </w:r>
      <w:r w:rsidRPr="00BD0FD5" w:rsidR="00B86284">
        <w:rPr>
          <w:rFonts w:ascii="Times New Roman" w:hAnsi="Times New Roman" w:cs="Times New Roman"/>
          <w:sz w:val="24"/>
          <w:szCs w:val="24"/>
        </w:rPr>
        <w:t xml:space="preserve">reduce their burden by taking part in a joint registration organization or </w:t>
      </w:r>
      <w:r w:rsidRPr="00BD0FD5">
        <w:rPr>
          <w:rFonts w:ascii="Times New Roman" w:hAnsi="Times New Roman" w:cs="Times New Roman"/>
          <w:sz w:val="24"/>
          <w:szCs w:val="24"/>
        </w:rPr>
        <w:t>a coordinated functional registration</w:t>
      </w:r>
      <w:r w:rsidRPr="00BD0FD5" w:rsidR="00B86284">
        <w:rPr>
          <w:rFonts w:ascii="Times New Roman" w:hAnsi="Times New Roman" w:cs="Times New Roman"/>
          <w:sz w:val="24"/>
          <w:szCs w:val="24"/>
        </w:rPr>
        <w:t>.  These options allow an entity to share its compliance burden with other entities.</w:t>
      </w:r>
    </w:p>
    <w:p w:rsidR="007F0136" w:rsidP="0092596C" w14:paraId="7D9E0712" w14:textId="77777777">
      <w:pPr>
        <w:spacing w:after="0" w:line="240" w:lineRule="auto"/>
        <w:rPr>
          <w:rFonts w:ascii="Times New Roman" w:hAnsi="Times New Roman" w:cs="Times New Roman"/>
          <w:sz w:val="24"/>
          <w:szCs w:val="24"/>
        </w:rPr>
      </w:pPr>
    </w:p>
    <w:p w:rsidR="007F0136" w:rsidRPr="00BD0FD5" w:rsidP="0092596C" w14:paraId="47C14834" w14:textId="6CF5C8E9">
      <w:pPr>
        <w:spacing w:after="0" w:line="240" w:lineRule="auto"/>
        <w:rPr>
          <w:rFonts w:ascii="Times New Roman" w:hAnsi="Times New Roman" w:cs="Times New Roman"/>
          <w:sz w:val="24"/>
          <w:szCs w:val="24"/>
        </w:rPr>
      </w:pPr>
      <w:r w:rsidRPr="007F0136">
        <w:rPr>
          <w:rFonts w:ascii="Times New Roman" w:hAnsi="Times New Roman" w:cs="Times New Roman"/>
          <w:sz w:val="24"/>
          <w:szCs w:val="24"/>
        </w:rPr>
        <w:t xml:space="preserve">Detailed information regarding these options is available </w:t>
      </w:r>
      <w:r w:rsidRPr="007F0136">
        <w:rPr>
          <w:rFonts w:ascii="Times New Roman" w:hAnsi="Times New Roman" w:cs="Times New Roman"/>
          <w:sz w:val="24"/>
          <w:szCs w:val="24"/>
        </w:rPr>
        <w:t>in NERC’s Rules of Procedure at sections 507 and 508.</w:t>
      </w:r>
      <w:r>
        <w:rPr>
          <w:rFonts w:ascii="Times New Roman" w:hAnsi="Times New Roman" w:cs="Times New Roman"/>
          <w:sz w:val="24"/>
          <w:szCs w:val="24"/>
          <w:vertAlign w:val="superscript"/>
        </w:rPr>
        <w:footnoteReference w:id="15"/>
      </w:r>
      <w:r w:rsidRPr="007F0136">
        <w:rPr>
          <w:rFonts w:ascii="Times New Roman" w:hAnsi="Times New Roman" w:cs="Times New Roman"/>
          <w:sz w:val="24"/>
          <w:szCs w:val="24"/>
          <w:vertAlign w:val="superscript"/>
        </w:rPr>
        <w:t xml:space="preserve"> </w:t>
      </w:r>
    </w:p>
    <w:p w:rsidR="00EB3E6F" w:rsidRPr="00BD0FD5" w:rsidP="0092596C" w14:paraId="5CFBD233" w14:textId="77777777">
      <w:pPr>
        <w:spacing w:after="0" w:line="240" w:lineRule="auto"/>
        <w:rPr>
          <w:rFonts w:ascii="Times New Roman" w:hAnsi="Times New Roman" w:cs="Times New Roman"/>
          <w:sz w:val="24"/>
          <w:szCs w:val="24"/>
        </w:rPr>
      </w:pPr>
    </w:p>
    <w:p w:rsidR="00EB3E6F" w:rsidP="0092596C" w14:paraId="43BBCA2A"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CONSEQUENCE TO FEDERAL PROGRAM IF COLLECTION WERE CONDUCTED LESS FREQUENTLY</w:t>
      </w:r>
    </w:p>
    <w:p w:rsidR="009118FF" w:rsidP="009118FF" w14:paraId="16478CB8" w14:textId="77777777">
      <w:pPr>
        <w:spacing w:after="0" w:line="240" w:lineRule="auto"/>
        <w:rPr>
          <w:rFonts w:ascii="Times New Roman" w:hAnsi="Times New Roman" w:cs="Times New Roman"/>
          <w:b/>
          <w:sz w:val="24"/>
          <w:szCs w:val="24"/>
        </w:rPr>
      </w:pPr>
    </w:p>
    <w:p w:rsidR="009118FF" w:rsidRPr="000619B7" w:rsidP="009118FF" w14:paraId="51EE320E" w14:textId="77777777">
      <w:pPr>
        <w:spacing w:after="0" w:line="240" w:lineRule="auto"/>
        <w:rPr>
          <w:rFonts w:ascii="Times New Roman" w:hAnsi="Times New Roman" w:cs="Times New Roman"/>
          <w:b/>
          <w:sz w:val="24"/>
          <w:szCs w:val="24"/>
        </w:rPr>
      </w:pPr>
      <w:r w:rsidRPr="000619B7">
        <w:rPr>
          <w:rFonts w:ascii="Times New Roman" w:hAnsi="Times New Roman" w:cs="Times New Roman"/>
          <w:b/>
          <w:sz w:val="24"/>
          <w:szCs w:val="24"/>
        </w:rPr>
        <w:t>FERC-725G</w:t>
      </w:r>
    </w:p>
    <w:p w:rsidR="009118FF" w:rsidRPr="000619B7" w:rsidP="009118FF" w14:paraId="3A031A4E" w14:textId="77777777">
      <w:pPr>
        <w:spacing w:after="0" w:line="240" w:lineRule="auto"/>
        <w:rPr>
          <w:rFonts w:ascii="Times New Roman" w:hAnsi="Times New Roman" w:cs="Times New Roman"/>
          <w:b/>
          <w:sz w:val="24"/>
          <w:szCs w:val="24"/>
        </w:rPr>
      </w:pPr>
    </w:p>
    <w:p w:rsidR="004E1AD9" w:rsidRPr="004E1AD9" w:rsidP="004E1AD9" w14:paraId="151FEB44" w14:textId="77777777">
      <w:pPr>
        <w:spacing w:after="0" w:line="240" w:lineRule="auto"/>
        <w:rPr>
          <w:rFonts w:ascii="Times New Roman" w:eastAsia="Calibri" w:hAnsi="Times New Roman" w:cs="Times New Roman"/>
          <w:sz w:val="24"/>
          <w:szCs w:val="24"/>
        </w:rPr>
      </w:pPr>
      <w:r w:rsidRPr="004E1AD9">
        <w:rPr>
          <w:rFonts w:ascii="Times New Roman" w:eastAsia="Calibri" w:hAnsi="Times New Roman" w:cs="Times New Roman"/>
          <w:sz w:val="24"/>
          <w:szCs w:val="24"/>
        </w:rPr>
        <w:t xml:space="preserve">Relay </w:t>
      </w:r>
      <w:r w:rsidRPr="004E1AD9">
        <w:rPr>
          <w:rFonts w:ascii="Times New Roman" w:eastAsia="Calibri" w:hAnsi="Times New Roman" w:cs="Times New Roman"/>
          <w:sz w:val="24"/>
          <w:szCs w:val="24"/>
        </w:rPr>
        <w:t>loadability</w:t>
      </w:r>
      <w:r w:rsidRPr="004E1AD9">
        <w:rPr>
          <w:rFonts w:ascii="Times New Roman" w:eastAsia="Calibri" w:hAnsi="Times New Roman" w:cs="Times New Roman"/>
          <w:sz w:val="24"/>
          <w:szCs w:val="24"/>
        </w:rPr>
        <w:t xml:space="preserve"> refers to the ability of protective relays to restrain operation for load</w:t>
      </w:r>
    </w:p>
    <w:p w:rsidR="004E1AD9" w:rsidRPr="004E1AD9" w:rsidP="004E1AD9" w14:paraId="04913D57" w14:textId="77777777">
      <w:pPr>
        <w:spacing w:after="0" w:line="240" w:lineRule="auto"/>
        <w:rPr>
          <w:rFonts w:ascii="Times New Roman" w:eastAsia="Calibri" w:hAnsi="Times New Roman" w:cs="Times New Roman"/>
          <w:sz w:val="24"/>
          <w:szCs w:val="24"/>
        </w:rPr>
      </w:pPr>
      <w:r w:rsidRPr="004E1AD9">
        <w:rPr>
          <w:rFonts w:ascii="Times New Roman" w:eastAsia="Calibri" w:hAnsi="Times New Roman" w:cs="Times New Roman"/>
          <w:sz w:val="24"/>
          <w:szCs w:val="24"/>
        </w:rPr>
        <w:t>conditions. As protective relays can respond only to measured voltage and current, they must be</w:t>
      </w:r>
    </w:p>
    <w:p w:rsidR="004E1AD9" w:rsidRPr="004E1AD9" w:rsidP="004E1AD9" w14:paraId="52EAD778" w14:textId="77777777">
      <w:pPr>
        <w:spacing w:after="0" w:line="240" w:lineRule="auto"/>
        <w:rPr>
          <w:rFonts w:ascii="Times New Roman" w:eastAsia="Calibri" w:hAnsi="Times New Roman" w:cs="Times New Roman"/>
          <w:sz w:val="24"/>
          <w:szCs w:val="24"/>
        </w:rPr>
      </w:pPr>
      <w:r w:rsidRPr="004E1AD9">
        <w:rPr>
          <w:rFonts w:ascii="Times New Roman" w:eastAsia="Calibri" w:hAnsi="Times New Roman" w:cs="Times New Roman"/>
          <w:sz w:val="24"/>
          <w:szCs w:val="24"/>
        </w:rPr>
        <w:t>set such that they will detect the faults for which they must operate while not operating</w:t>
      </w:r>
    </w:p>
    <w:p w:rsidR="004E1AD9" w:rsidRPr="004E1AD9" w:rsidP="004E1AD9" w14:paraId="1658FE86" w14:textId="77777777">
      <w:pPr>
        <w:spacing w:after="0" w:line="240" w:lineRule="auto"/>
        <w:rPr>
          <w:rFonts w:ascii="Times New Roman" w:eastAsia="Calibri" w:hAnsi="Times New Roman" w:cs="Times New Roman"/>
          <w:sz w:val="24"/>
          <w:szCs w:val="24"/>
        </w:rPr>
      </w:pPr>
      <w:r w:rsidRPr="004E1AD9">
        <w:rPr>
          <w:rFonts w:ascii="Times New Roman" w:eastAsia="Calibri" w:hAnsi="Times New Roman" w:cs="Times New Roman"/>
          <w:sz w:val="24"/>
          <w:szCs w:val="24"/>
        </w:rPr>
        <w:t xml:space="preserve">unnecessarily for non-fault load conditions. Relay </w:t>
      </w:r>
      <w:r w:rsidRPr="004E1AD9">
        <w:rPr>
          <w:rFonts w:ascii="Times New Roman" w:eastAsia="Calibri" w:hAnsi="Times New Roman" w:cs="Times New Roman"/>
          <w:sz w:val="24"/>
          <w:szCs w:val="24"/>
        </w:rPr>
        <w:t>loadability</w:t>
      </w:r>
      <w:r w:rsidRPr="004E1AD9">
        <w:rPr>
          <w:rFonts w:ascii="Times New Roman" w:eastAsia="Calibri" w:hAnsi="Times New Roman" w:cs="Times New Roman"/>
          <w:sz w:val="24"/>
          <w:szCs w:val="24"/>
        </w:rPr>
        <w:t xml:space="preserve"> issues were found to have played a</w:t>
      </w:r>
    </w:p>
    <w:p w:rsidR="004E1AD9" w:rsidRPr="004E1AD9" w:rsidP="004E1AD9" w14:paraId="6F290BAE" w14:textId="77777777">
      <w:pPr>
        <w:spacing w:after="0" w:line="240" w:lineRule="auto"/>
        <w:rPr>
          <w:rFonts w:ascii="Times New Roman" w:eastAsia="Calibri" w:hAnsi="Times New Roman" w:cs="Times New Roman"/>
          <w:sz w:val="24"/>
          <w:szCs w:val="24"/>
        </w:rPr>
      </w:pPr>
      <w:r w:rsidRPr="004E1AD9">
        <w:rPr>
          <w:rFonts w:ascii="Times New Roman" w:eastAsia="Calibri" w:hAnsi="Times New Roman" w:cs="Times New Roman"/>
          <w:sz w:val="24"/>
          <w:szCs w:val="24"/>
        </w:rPr>
        <w:t>significant role in multiple system disturbances over the years, including the August 14, 2003</w:t>
      </w:r>
    </w:p>
    <w:p w:rsidR="009118FF" w:rsidRPr="000619B7" w:rsidP="004E1AD9" w14:paraId="2414E64C" w14:textId="2F4E5167">
      <w:pPr>
        <w:spacing w:after="0" w:line="240" w:lineRule="auto"/>
        <w:rPr>
          <w:rFonts w:ascii="Times New Roman" w:eastAsia="Calibri" w:hAnsi="Times New Roman" w:cs="Times New Roman"/>
          <w:sz w:val="24"/>
          <w:szCs w:val="24"/>
        </w:rPr>
      </w:pPr>
      <w:r w:rsidRPr="004E1AD9">
        <w:rPr>
          <w:rFonts w:ascii="Times New Roman" w:eastAsia="Calibri" w:hAnsi="Times New Roman" w:cs="Times New Roman"/>
          <w:sz w:val="24"/>
          <w:szCs w:val="24"/>
        </w:rPr>
        <w:t>blackout.</w:t>
      </w:r>
      <w:r w:rsidR="00FB0BFD">
        <w:rPr>
          <w:rFonts w:ascii="Times New Roman" w:eastAsia="Calibri" w:hAnsi="Times New Roman" w:cs="Times New Roman"/>
          <w:sz w:val="24"/>
          <w:szCs w:val="24"/>
        </w:rPr>
        <w:t xml:space="preserve">  </w:t>
      </w:r>
      <w:r w:rsidRPr="00200AAB" w:rsidR="00200AAB">
        <w:rPr>
          <w:rFonts w:ascii="Times New Roman" w:eastAsia="Calibri" w:hAnsi="Times New Roman" w:cs="Times New Roman"/>
          <w:sz w:val="24"/>
          <w:szCs w:val="24"/>
        </w:rPr>
        <w:t>The PRC-023</w:t>
      </w:r>
      <w:r w:rsidR="002D1DEA">
        <w:rPr>
          <w:rFonts w:ascii="Times New Roman" w:eastAsia="Calibri" w:hAnsi="Times New Roman" w:cs="Times New Roman"/>
          <w:sz w:val="24"/>
          <w:szCs w:val="24"/>
        </w:rPr>
        <w:t>-6</w:t>
      </w:r>
      <w:r w:rsidRPr="00200AAB" w:rsidR="00200AAB">
        <w:rPr>
          <w:rFonts w:ascii="Times New Roman" w:eastAsia="Calibri" w:hAnsi="Times New Roman" w:cs="Times New Roman"/>
          <w:sz w:val="24"/>
          <w:szCs w:val="24"/>
        </w:rPr>
        <w:t xml:space="preserve"> Reliability Standard requires applicable entities to set load-responsive phase</w:t>
      </w:r>
      <w:r w:rsidR="00F43BBF">
        <w:rPr>
          <w:rFonts w:ascii="Times New Roman" w:eastAsia="Calibri" w:hAnsi="Times New Roman" w:cs="Times New Roman"/>
          <w:sz w:val="24"/>
          <w:szCs w:val="24"/>
        </w:rPr>
        <w:t xml:space="preserve"> </w:t>
      </w:r>
      <w:r w:rsidRPr="00F43BBF" w:rsidR="00F43BBF">
        <w:rPr>
          <w:rFonts w:ascii="Times New Roman" w:eastAsia="Calibri" w:hAnsi="Times New Roman" w:cs="Times New Roman"/>
          <w:sz w:val="24"/>
          <w:szCs w:val="24"/>
        </w:rPr>
        <w:t>protection relays according to specific criteria so that the relays detect and protect the grid from</w:t>
      </w:r>
      <w:r w:rsidR="005D0A85">
        <w:rPr>
          <w:rFonts w:ascii="Times New Roman" w:eastAsia="Calibri" w:hAnsi="Times New Roman" w:cs="Times New Roman"/>
          <w:sz w:val="24"/>
          <w:szCs w:val="24"/>
        </w:rPr>
        <w:t xml:space="preserve"> </w:t>
      </w:r>
      <w:r w:rsidR="00434178">
        <w:rPr>
          <w:rFonts w:ascii="Times New Roman" w:eastAsia="Calibri" w:hAnsi="Times New Roman" w:cs="Times New Roman"/>
          <w:sz w:val="24"/>
          <w:szCs w:val="24"/>
        </w:rPr>
        <w:t>fault condi</w:t>
      </w:r>
      <w:r w:rsidR="00EA7A0F">
        <w:rPr>
          <w:rFonts w:ascii="Times New Roman" w:eastAsia="Calibri" w:hAnsi="Times New Roman" w:cs="Times New Roman"/>
          <w:sz w:val="24"/>
          <w:szCs w:val="24"/>
        </w:rPr>
        <w:t xml:space="preserve">tions </w:t>
      </w:r>
      <w:r w:rsidRPr="00E96F5B" w:rsidR="00E96F5B">
        <w:rPr>
          <w:rFonts w:ascii="Times New Roman" w:eastAsia="Calibri" w:hAnsi="Times New Roman" w:cs="Times New Roman"/>
          <w:sz w:val="24"/>
          <w:szCs w:val="24"/>
        </w:rPr>
        <w:t xml:space="preserve">but do not limit transmission </w:t>
      </w:r>
      <w:r w:rsidRPr="00E96F5B" w:rsidR="00E96F5B">
        <w:rPr>
          <w:rFonts w:ascii="Times New Roman" w:eastAsia="Calibri" w:hAnsi="Times New Roman" w:cs="Times New Roman"/>
          <w:sz w:val="24"/>
          <w:szCs w:val="24"/>
        </w:rPr>
        <w:t>loadability</w:t>
      </w:r>
      <w:r w:rsidRPr="00E96F5B" w:rsidR="00E96F5B">
        <w:rPr>
          <w:rFonts w:ascii="Times New Roman" w:eastAsia="Calibri" w:hAnsi="Times New Roman" w:cs="Times New Roman"/>
          <w:sz w:val="24"/>
          <w:szCs w:val="24"/>
        </w:rPr>
        <w:t xml:space="preserve"> or interfere with system operators’ ability</w:t>
      </w:r>
      <w:r w:rsidR="00E96F5B">
        <w:rPr>
          <w:rFonts w:ascii="Times New Roman" w:eastAsia="Calibri" w:hAnsi="Times New Roman" w:cs="Times New Roman"/>
          <w:sz w:val="24"/>
          <w:szCs w:val="24"/>
        </w:rPr>
        <w:t xml:space="preserve"> </w:t>
      </w:r>
      <w:r w:rsidRPr="00D47ED3" w:rsidR="00D47ED3">
        <w:rPr>
          <w:rFonts w:ascii="Times New Roman" w:eastAsia="Calibri" w:hAnsi="Times New Roman" w:cs="Times New Roman"/>
          <w:sz w:val="24"/>
          <w:szCs w:val="24"/>
        </w:rPr>
        <w:t>to protect reliability</w:t>
      </w:r>
      <w:r w:rsidR="00C04EED">
        <w:rPr>
          <w:rFonts w:ascii="Times New Roman" w:eastAsia="Calibri" w:hAnsi="Times New Roman" w:cs="Times New Roman"/>
          <w:sz w:val="24"/>
          <w:szCs w:val="24"/>
        </w:rPr>
        <w:t xml:space="preserve">. </w:t>
      </w:r>
      <w:r w:rsidR="00380320">
        <w:rPr>
          <w:rFonts w:ascii="Times New Roman" w:eastAsia="Calibri" w:hAnsi="Times New Roman" w:cs="Times New Roman"/>
          <w:sz w:val="24"/>
          <w:szCs w:val="24"/>
        </w:rPr>
        <w:t xml:space="preserve"> </w:t>
      </w:r>
      <w:r w:rsidRPr="000619B7" w:rsidR="00FB33D9">
        <w:rPr>
          <w:rFonts w:ascii="Times New Roman" w:eastAsia="Calibri" w:hAnsi="Times New Roman" w:cs="Times New Roman"/>
          <w:sz w:val="24"/>
          <w:szCs w:val="24"/>
        </w:rPr>
        <w:t xml:space="preserve">PRC Reliability Standards were established such that the declining frequency is arrested and recovered in accordance with NPCC performance requirements.  The collection cannot be collected less frequently, as the proper targets need to be set in terms load tripping at the required frequency set points.  Over time the amount of load on will change and if not reviewed it may result in missing targeted values and cause frequency decline that would trip generation leading to widespread uncontrolled outages.  </w:t>
      </w:r>
    </w:p>
    <w:p w:rsidR="009118FF" w:rsidRPr="000619B7" w:rsidP="009118FF" w14:paraId="50D3C1C8" w14:textId="77777777">
      <w:pPr>
        <w:spacing w:after="0" w:line="240" w:lineRule="auto"/>
        <w:rPr>
          <w:rFonts w:ascii="Times New Roman" w:eastAsia="Calibri" w:hAnsi="Times New Roman" w:cs="Times New Roman"/>
          <w:sz w:val="24"/>
          <w:szCs w:val="24"/>
        </w:rPr>
      </w:pPr>
    </w:p>
    <w:p w:rsidR="00F10BD0" w:rsidRPr="00AA0135" w:rsidP="00F10BD0" w14:paraId="3AD6E58B" w14:textId="170FF99C">
      <w:pPr>
        <w:spacing w:after="0" w:line="240" w:lineRule="auto"/>
        <w:rPr>
          <w:rFonts w:ascii="Times New Roman" w:eastAsia="Calibri" w:hAnsi="Times New Roman" w:cs="Times New Roman"/>
          <w:sz w:val="24"/>
          <w:szCs w:val="24"/>
        </w:rPr>
      </w:pPr>
      <w:r w:rsidRPr="00AA0135">
        <w:rPr>
          <w:rFonts w:ascii="Times New Roman" w:eastAsia="Calibri" w:hAnsi="Times New Roman" w:cs="Times New Roman"/>
          <w:sz w:val="24"/>
          <w:szCs w:val="24"/>
        </w:rPr>
        <w:t xml:space="preserve">Each </w:t>
      </w:r>
      <w:r>
        <w:rPr>
          <w:rFonts w:ascii="Times New Roman" w:eastAsia="Calibri" w:hAnsi="Times New Roman" w:cs="Times New Roman"/>
          <w:sz w:val="24"/>
          <w:szCs w:val="24"/>
        </w:rPr>
        <w:t>t</w:t>
      </w:r>
      <w:r w:rsidRPr="00AA0135">
        <w:rPr>
          <w:rFonts w:ascii="Times New Roman" w:eastAsia="Calibri" w:hAnsi="Times New Roman" w:cs="Times New Roman"/>
          <w:sz w:val="24"/>
          <w:szCs w:val="24"/>
        </w:rPr>
        <w:t xml:space="preserve">ransmission </w:t>
      </w:r>
      <w:r>
        <w:rPr>
          <w:rFonts w:ascii="Times New Roman" w:eastAsia="Calibri" w:hAnsi="Times New Roman" w:cs="Times New Roman"/>
          <w:sz w:val="24"/>
          <w:szCs w:val="24"/>
        </w:rPr>
        <w:t>o</w:t>
      </w:r>
      <w:r w:rsidRPr="00AA0135">
        <w:rPr>
          <w:rFonts w:ascii="Times New Roman" w:eastAsia="Calibri" w:hAnsi="Times New Roman" w:cs="Times New Roman"/>
          <w:sz w:val="24"/>
          <w:szCs w:val="24"/>
        </w:rPr>
        <w:t xml:space="preserve">wner, </w:t>
      </w:r>
      <w:r>
        <w:rPr>
          <w:rFonts w:ascii="Times New Roman" w:eastAsia="Calibri" w:hAnsi="Times New Roman" w:cs="Times New Roman"/>
          <w:sz w:val="24"/>
          <w:szCs w:val="24"/>
        </w:rPr>
        <w:t>g</w:t>
      </w:r>
      <w:r w:rsidRPr="00AA0135">
        <w:rPr>
          <w:rFonts w:ascii="Times New Roman" w:eastAsia="Calibri" w:hAnsi="Times New Roman" w:cs="Times New Roman"/>
          <w:sz w:val="24"/>
          <w:szCs w:val="24"/>
        </w:rPr>
        <w:t xml:space="preserve">enerator </w:t>
      </w:r>
      <w:r>
        <w:rPr>
          <w:rFonts w:ascii="Times New Roman" w:eastAsia="Calibri" w:hAnsi="Times New Roman" w:cs="Times New Roman"/>
          <w:sz w:val="24"/>
          <w:szCs w:val="24"/>
        </w:rPr>
        <w:t>o</w:t>
      </w:r>
      <w:r w:rsidRPr="00AA0135">
        <w:rPr>
          <w:rFonts w:ascii="Times New Roman" w:eastAsia="Calibri" w:hAnsi="Times New Roman" w:cs="Times New Roman"/>
          <w:sz w:val="24"/>
          <w:szCs w:val="24"/>
        </w:rPr>
        <w:t xml:space="preserve">wner, and </w:t>
      </w:r>
      <w:r>
        <w:rPr>
          <w:rFonts w:ascii="Times New Roman" w:eastAsia="Calibri" w:hAnsi="Times New Roman" w:cs="Times New Roman"/>
          <w:sz w:val="24"/>
          <w:szCs w:val="24"/>
        </w:rPr>
        <w:t>d</w:t>
      </w:r>
      <w:r w:rsidRPr="00AA0135">
        <w:rPr>
          <w:rFonts w:ascii="Times New Roman" w:eastAsia="Calibri" w:hAnsi="Times New Roman" w:cs="Times New Roman"/>
          <w:sz w:val="24"/>
          <w:szCs w:val="24"/>
        </w:rPr>
        <w:t xml:space="preserve">istribution </w:t>
      </w:r>
      <w:r>
        <w:rPr>
          <w:rFonts w:ascii="Times New Roman" w:eastAsia="Calibri" w:hAnsi="Times New Roman" w:cs="Times New Roman"/>
          <w:sz w:val="24"/>
          <w:szCs w:val="24"/>
        </w:rPr>
        <w:t>p</w:t>
      </w:r>
      <w:r w:rsidRPr="00AA0135">
        <w:rPr>
          <w:rFonts w:ascii="Times New Roman" w:eastAsia="Calibri" w:hAnsi="Times New Roman" w:cs="Times New Roman"/>
          <w:sz w:val="24"/>
          <w:szCs w:val="24"/>
        </w:rPr>
        <w:t>rovider</w:t>
      </w:r>
    </w:p>
    <w:p w:rsidR="00AA0135" w:rsidRPr="00AA0135" w:rsidP="00AA0135" w14:paraId="27A79DF0" w14:textId="74D87EA6">
      <w:pPr>
        <w:spacing w:after="0" w:line="240" w:lineRule="auto"/>
        <w:rPr>
          <w:rFonts w:ascii="Times New Roman" w:eastAsia="Calibri" w:hAnsi="Times New Roman" w:cs="Times New Roman"/>
          <w:sz w:val="24"/>
          <w:szCs w:val="24"/>
        </w:rPr>
      </w:pPr>
      <w:r w:rsidRPr="00AA0135">
        <w:rPr>
          <w:rFonts w:ascii="Times New Roman" w:eastAsia="Calibri" w:hAnsi="Times New Roman" w:cs="Times New Roman"/>
          <w:sz w:val="24"/>
          <w:szCs w:val="24"/>
        </w:rPr>
        <w:t xml:space="preserve">shall provide its </w:t>
      </w:r>
      <w:r w:rsidR="00AB7F0A">
        <w:rPr>
          <w:rFonts w:ascii="Times New Roman" w:eastAsia="Calibri" w:hAnsi="Times New Roman" w:cs="Times New Roman"/>
          <w:sz w:val="24"/>
          <w:szCs w:val="24"/>
        </w:rPr>
        <w:t>p</w:t>
      </w:r>
      <w:r w:rsidRPr="00AA0135">
        <w:rPr>
          <w:rFonts w:ascii="Times New Roman" w:eastAsia="Calibri" w:hAnsi="Times New Roman" w:cs="Times New Roman"/>
          <w:sz w:val="24"/>
          <w:szCs w:val="24"/>
        </w:rPr>
        <w:t xml:space="preserve">lanning </w:t>
      </w:r>
      <w:r w:rsidR="00AB7F0A">
        <w:rPr>
          <w:rFonts w:ascii="Times New Roman" w:eastAsia="Calibri" w:hAnsi="Times New Roman" w:cs="Times New Roman"/>
          <w:sz w:val="24"/>
          <w:szCs w:val="24"/>
        </w:rPr>
        <w:t>c</w:t>
      </w:r>
      <w:r w:rsidRPr="00AA0135">
        <w:rPr>
          <w:rFonts w:ascii="Times New Roman" w:eastAsia="Calibri" w:hAnsi="Times New Roman" w:cs="Times New Roman"/>
          <w:sz w:val="24"/>
          <w:szCs w:val="24"/>
        </w:rPr>
        <w:t xml:space="preserve">oordinator, </w:t>
      </w:r>
      <w:r w:rsidR="00AB7F0A">
        <w:rPr>
          <w:rFonts w:ascii="Times New Roman" w:eastAsia="Calibri" w:hAnsi="Times New Roman" w:cs="Times New Roman"/>
          <w:sz w:val="24"/>
          <w:szCs w:val="24"/>
        </w:rPr>
        <w:t>t</w:t>
      </w:r>
      <w:r w:rsidRPr="00AA0135">
        <w:rPr>
          <w:rFonts w:ascii="Times New Roman" w:eastAsia="Calibri" w:hAnsi="Times New Roman" w:cs="Times New Roman"/>
          <w:sz w:val="24"/>
          <w:szCs w:val="24"/>
        </w:rPr>
        <w:t xml:space="preserve">ransmission </w:t>
      </w:r>
      <w:r w:rsidR="00AB7F0A">
        <w:rPr>
          <w:rFonts w:ascii="Times New Roman" w:eastAsia="Calibri" w:hAnsi="Times New Roman" w:cs="Times New Roman"/>
          <w:sz w:val="24"/>
          <w:szCs w:val="24"/>
        </w:rPr>
        <w:t>o</w:t>
      </w:r>
      <w:r w:rsidRPr="00AA0135">
        <w:rPr>
          <w:rFonts w:ascii="Times New Roman" w:eastAsia="Calibri" w:hAnsi="Times New Roman" w:cs="Times New Roman"/>
          <w:sz w:val="24"/>
          <w:szCs w:val="24"/>
        </w:rPr>
        <w:t xml:space="preserve">perator, and </w:t>
      </w:r>
      <w:r w:rsidR="00AB7F0A">
        <w:rPr>
          <w:rFonts w:ascii="Times New Roman" w:eastAsia="Calibri" w:hAnsi="Times New Roman" w:cs="Times New Roman"/>
          <w:sz w:val="24"/>
          <w:szCs w:val="24"/>
        </w:rPr>
        <w:t>r</w:t>
      </w:r>
      <w:r w:rsidRPr="00AA0135">
        <w:rPr>
          <w:rFonts w:ascii="Times New Roman" w:eastAsia="Calibri" w:hAnsi="Times New Roman" w:cs="Times New Roman"/>
          <w:sz w:val="24"/>
          <w:szCs w:val="24"/>
        </w:rPr>
        <w:t>eliability</w:t>
      </w:r>
    </w:p>
    <w:p w:rsidR="00AA0135" w:rsidRPr="00AA0135" w:rsidP="00AA0135" w14:paraId="6462C98A" w14:textId="7D5AD8C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c</w:t>
      </w:r>
      <w:r w:rsidRPr="00AA0135">
        <w:rPr>
          <w:rFonts w:ascii="Times New Roman" w:eastAsia="Calibri" w:hAnsi="Times New Roman" w:cs="Times New Roman"/>
          <w:sz w:val="24"/>
          <w:szCs w:val="24"/>
        </w:rPr>
        <w:t>oordinator with an updated list of circuits associated with those transmission line</w:t>
      </w:r>
    </w:p>
    <w:p w:rsidR="009118FF" w:rsidRPr="000619B7" w:rsidP="00AA0135" w14:paraId="66BDFD21" w14:textId="213C56AA">
      <w:pPr>
        <w:spacing w:after="0" w:line="240" w:lineRule="auto"/>
        <w:rPr>
          <w:rFonts w:ascii="Times New Roman" w:eastAsia="Calibri" w:hAnsi="Times New Roman" w:cs="Times New Roman"/>
          <w:sz w:val="24"/>
          <w:szCs w:val="24"/>
        </w:rPr>
      </w:pPr>
      <w:r w:rsidRPr="00AA0135">
        <w:rPr>
          <w:rFonts w:ascii="Times New Roman" w:eastAsia="Calibri" w:hAnsi="Times New Roman" w:cs="Times New Roman"/>
          <w:sz w:val="24"/>
          <w:szCs w:val="24"/>
        </w:rPr>
        <w:t xml:space="preserve">relays at least once </w:t>
      </w:r>
      <w:r w:rsidRPr="00AA0135">
        <w:rPr>
          <w:rFonts w:ascii="Times New Roman" w:eastAsia="Calibri" w:hAnsi="Times New Roman" w:cs="Times New Roman"/>
          <w:sz w:val="24"/>
          <w:szCs w:val="24"/>
        </w:rPr>
        <w:t>each calendar year</w:t>
      </w:r>
      <w:r w:rsidRPr="000619B7" w:rsidR="00FB33D9">
        <w:rPr>
          <w:rFonts w:ascii="Times New Roman" w:eastAsia="Calibri" w:hAnsi="Times New Roman" w:cs="Times New Roman"/>
          <w:sz w:val="24"/>
          <w:szCs w:val="24"/>
        </w:rPr>
        <w:t xml:space="preserve">. </w:t>
      </w:r>
    </w:p>
    <w:p w:rsidR="009118FF" w:rsidRPr="000619B7" w:rsidP="009118FF" w14:paraId="21A4D546" w14:textId="77777777">
      <w:pPr>
        <w:spacing w:after="0" w:line="240" w:lineRule="auto"/>
        <w:rPr>
          <w:rFonts w:ascii="Times New Roman" w:eastAsia="Calibri" w:hAnsi="Times New Roman" w:cs="Times New Roman"/>
          <w:sz w:val="24"/>
          <w:szCs w:val="24"/>
        </w:rPr>
      </w:pPr>
    </w:p>
    <w:p w:rsidR="009118FF" w:rsidP="009118FF" w14:paraId="4B96A2B0" w14:textId="77777777">
      <w:pPr>
        <w:spacing w:after="0" w:line="240" w:lineRule="auto"/>
        <w:rPr>
          <w:rFonts w:ascii="Times New Roman" w:hAnsi="Times New Roman" w:cs="Times New Roman"/>
          <w:b/>
          <w:sz w:val="24"/>
          <w:szCs w:val="24"/>
        </w:rPr>
      </w:pPr>
    </w:p>
    <w:p w:rsidR="00093D4A" w:rsidP="00697B0D" w14:paraId="6CEC25FB"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EXPLAIN ANY SPECIAL CIRCUMSTANCES RELATING TO THE INFORMATION COLLECTION</w:t>
      </w:r>
    </w:p>
    <w:p w:rsidR="00B64B37" w:rsidRPr="00B64B37" w:rsidP="00B64B37" w14:paraId="3A7A0B8A" w14:textId="77777777">
      <w:pPr>
        <w:spacing w:after="0" w:line="240" w:lineRule="auto"/>
        <w:rPr>
          <w:rFonts w:ascii="Times New Roman" w:hAnsi="Times New Roman" w:cs="Times New Roman"/>
          <w:b/>
          <w:sz w:val="24"/>
          <w:szCs w:val="24"/>
        </w:rPr>
      </w:pPr>
    </w:p>
    <w:p w:rsidR="00697B0D" w:rsidRPr="000619B7" w:rsidP="00B64B37" w14:paraId="7719829F" w14:textId="77777777">
      <w:pPr>
        <w:spacing w:after="0" w:line="240" w:lineRule="auto"/>
        <w:rPr>
          <w:rFonts w:ascii="Times New Roman" w:hAnsi="Times New Roman" w:cs="Times New Roman"/>
          <w:b/>
          <w:sz w:val="24"/>
          <w:szCs w:val="24"/>
        </w:rPr>
      </w:pPr>
      <w:r w:rsidRPr="000619B7">
        <w:rPr>
          <w:rFonts w:ascii="Times New Roman" w:hAnsi="Times New Roman" w:cs="Times New Roman"/>
          <w:sz w:val="24"/>
          <w:szCs w:val="24"/>
        </w:rPr>
        <w:t>FERC-725G, ha</w:t>
      </w:r>
      <w:r w:rsidRPr="000619B7" w:rsidR="00093D4A">
        <w:rPr>
          <w:rFonts w:ascii="Times New Roman" w:hAnsi="Times New Roman" w:cs="Times New Roman"/>
          <w:sz w:val="24"/>
          <w:szCs w:val="24"/>
        </w:rPr>
        <w:t>s</w:t>
      </w:r>
      <w:r w:rsidRPr="000619B7">
        <w:rPr>
          <w:rFonts w:ascii="Times New Roman" w:hAnsi="Times New Roman" w:cs="Times New Roman"/>
          <w:sz w:val="24"/>
          <w:szCs w:val="24"/>
        </w:rPr>
        <w:t xml:space="preserve"> no special circumstances associated with the information collection.</w:t>
      </w:r>
    </w:p>
    <w:p w:rsidR="00697B0D" w:rsidRPr="00697B0D" w:rsidP="00697B0D" w14:paraId="28B517A2" w14:textId="77777777">
      <w:pPr>
        <w:spacing w:after="0" w:line="240" w:lineRule="auto"/>
        <w:rPr>
          <w:rFonts w:ascii="Times New Roman" w:hAnsi="Times New Roman" w:cs="Times New Roman"/>
          <w:b/>
          <w:bCs/>
          <w:sz w:val="26"/>
          <w:szCs w:val="26"/>
        </w:rPr>
      </w:pPr>
    </w:p>
    <w:p w:rsidR="00EB3E6F" w:rsidRPr="00BD0FD5" w:rsidP="0092596C" w14:paraId="46585DB8"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 xml:space="preserve">DESCRIBE EFFORTS TO CONSULT OUTSIDE THE AGENCY: SUMMARIZE PUBLIC </w:t>
      </w:r>
      <w:r w:rsidRPr="00BD0FD5">
        <w:rPr>
          <w:rFonts w:ascii="Times New Roman" w:hAnsi="Times New Roman" w:cs="Times New Roman"/>
          <w:b/>
          <w:sz w:val="24"/>
          <w:szCs w:val="24"/>
        </w:rPr>
        <w:t>COMMENTS AND THE AGENCY’S RESPONSE</w:t>
      </w:r>
    </w:p>
    <w:p w:rsidR="00EB3E6F" w:rsidRPr="00BD0FD5" w:rsidP="0092596C" w14:paraId="47103AB4" w14:textId="77777777">
      <w:pPr>
        <w:spacing w:after="0" w:line="240" w:lineRule="auto"/>
        <w:rPr>
          <w:rFonts w:ascii="Times New Roman" w:hAnsi="Times New Roman" w:cs="Times New Roman"/>
          <w:sz w:val="24"/>
          <w:szCs w:val="24"/>
        </w:rPr>
      </w:pPr>
    </w:p>
    <w:p w:rsidR="0000315F" w:rsidRPr="000619B7" w:rsidP="0000315F" w14:paraId="54A8E395" w14:textId="3141FA7A">
      <w:pPr>
        <w:autoSpaceDE w:val="0"/>
        <w:autoSpaceDN w:val="0"/>
        <w:adjustRightInd w:val="0"/>
        <w:spacing w:after="0" w:line="240" w:lineRule="auto"/>
        <w:rPr>
          <w:rFonts w:ascii="Times New Roman" w:eastAsia="Times New Roman" w:hAnsi="Times New Roman" w:cs="Times New Roman"/>
          <w:sz w:val="24"/>
          <w:szCs w:val="24"/>
        </w:rPr>
      </w:pPr>
      <w:r w:rsidRPr="000619B7">
        <w:rPr>
          <w:rFonts w:ascii="Times New Roman" w:eastAsia="Times New Roman" w:hAnsi="Times New Roman" w:cs="Times New Roman"/>
          <w:sz w:val="24"/>
          <w:szCs w:val="24"/>
        </w:rPr>
        <w:t>The Commission published a 60-day notice</w:t>
      </w:r>
      <w:r>
        <w:rPr>
          <w:rFonts w:ascii="Times New Roman" w:eastAsia="Times New Roman" w:hAnsi="Times New Roman" w:cs="Times New Roman"/>
          <w:sz w:val="24"/>
          <w:szCs w:val="24"/>
          <w:vertAlign w:val="superscript"/>
        </w:rPr>
        <w:footnoteReference w:id="16"/>
      </w:r>
      <w:r w:rsidRPr="000619B7">
        <w:rPr>
          <w:rFonts w:ascii="Times New Roman" w:eastAsia="Times New Roman" w:hAnsi="Times New Roman" w:cs="Times New Roman"/>
          <w:sz w:val="24"/>
          <w:szCs w:val="24"/>
          <w:vertAlign w:val="superscript"/>
        </w:rPr>
        <w:t xml:space="preserve"> </w:t>
      </w:r>
      <w:r w:rsidRPr="000619B7">
        <w:rPr>
          <w:rFonts w:ascii="Times New Roman" w:eastAsia="Times New Roman" w:hAnsi="Times New Roman" w:cs="Times New Roman"/>
          <w:sz w:val="24"/>
          <w:szCs w:val="24"/>
        </w:rPr>
        <w:t xml:space="preserve">in Docket No. </w:t>
      </w:r>
      <w:r w:rsidRPr="000619B7" w:rsidR="00D929AC">
        <w:rPr>
          <w:rFonts w:ascii="Times New Roman" w:eastAsia="Times New Roman" w:hAnsi="Times New Roman" w:cs="Times New Roman"/>
          <w:sz w:val="24"/>
          <w:szCs w:val="24"/>
        </w:rPr>
        <w:t>RD2</w:t>
      </w:r>
      <w:r w:rsidR="00D2417E">
        <w:rPr>
          <w:rFonts w:ascii="Times New Roman" w:eastAsia="Times New Roman" w:hAnsi="Times New Roman" w:cs="Times New Roman"/>
          <w:sz w:val="24"/>
          <w:szCs w:val="24"/>
        </w:rPr>
        <w:t>3-5</w:t>
      </w:r>
      <w:r w:rsidRPr="000619B7">
        <w:rPr>
          <w:rFonts w:ascii="Times New Roman" w:eastAsia="Times New Roman" w:hAnsi="Times New Roman" w:cs="Times New Roman"/>
          <w:sz w:val="24"/>
          <w:szCs w:val="24"/>
        </w:rPr>
        <w:t xml:space="preserve"> in the Federal Register requesting comments. No comments were received in response to the 60-day Notice.  </w:t>
      </w:r>
    </w:p>
    <w:p w:rsidR="0000315F" w:rsidRPr="000619B7" w:rsidP="0000315F" w14:paraId="6E2F9CF3" w14:textId="77777777">
      <w:pPr>
        <w:autoSpaceDE w:val="0"/>
        <w:autoSpaceDN w:val="0"/>
        <w:adjustRightInd w:val="0"/>
        <w:spacing w:after="0" w:line="240" w:lineRule="auto"/>
        <w:rPr>
          <w:rFonts w:ascii="Times New Roman" w:eastAsia="Times New Roman" w:hAnsi="Times New Roman" w:cs="Times New Roman"/>
          <w:sz w:val="24"/>
          <w:szCs w:val="24"/>
        </w:rPr>
      </w:pPr>
    </w:p>
    <w:p w:rsidR="0030268B" w:rsidRPr="00D457D9" w:rsidP="00D457D9" w14:paraId="33A4FD9B" w14:textId="77777777">
      <w:pPr>
        <w:autoSpaceDE w:val="0"/>
        <w:autoSpaceDN w:val="0"/>
        <w:adjustRightInd w:val="0"/>
        <w:spacing w:after="0" w:line="240" w:lineRule="auto"/>
        <w:rPr>
          <w:rFonts w:ascii="Times New Roman" w:eastAsia="Times New Roman" w:hAnsi="Times New Roman" w:cs="Times New Roman"/>
          <w:sz w:val="26"/>
          <w:szCs w:val="26"/>
        </w:rPr>
      </w:pPr>
      <w:r w:rsidRPr="000619B7">
        <w:rPr>
          <w:rFonts w:ascii="Times New Roman" w:eastAsia="Times New Roman" w:hAnsi="Times New Roman" w:cs="Times New Roman"/>
          <w:sz w:val="24"/>
          <w:szCs w:val="24"/>
        </w:rPr>
        <w:t>In addition, the Commission is publishing a 30-day Notice in the Federal Register</w:t>
      </w:r>
      <w:r>
        <w:rPr>
          <w:rFonts w:ascii="Times New Roman" w:eastAsia="Times New Roman" w:hAnsi="Times New Roman" w:cs="Times New Roman"/>
          <w:b/>
          <w:sz w:val="26"/>
          <w:szCs w:val="26"/>
          <w:vertAlign w:val="superscript"/>
        </w:rPr>
        <w:footnoteReference w:id="17"/>
      </w:r>
      <w:r w:rsidRPr="0000315F">
        <w:rPr>
          <w:rFonts w:ascii="Times New Roman" w:eastAsia="Times New Roman" w:hAnsi="Times New Roman" w:cs="Times New Roman"/>
          <w:sz w:val="26"/>
          <w:szCs w:val="26"/>
        </w:rPr>
        <w:t>.</w:t>
      </w:r>
    </w:p>
    <w:p w:rsidR="00EB3E6F" w:rsidRPr="00BD0FD5" w:rsidP="0092596C" w14:paraId="5BA1E95D" w14:textId="77777777">
      <w:pPr>
        <w:spacing w:after="0" w:line="240" w:lineRule="auto"/>
        <w:rPr>
          <w:rFonts w:ascii="Times New Roman" w:hAnsi="Times New Roman" w:cs="Times New Roman"/>
          <w:sz w:val="24"/>
          <w:szCs w:val="24"/>
        </w:rPr>
      </w:pPr>
    </w:p>
    <w:p w:rsidR="00EB3E6F" w:rsidRPr="00BD0FD5" w:rsidP="0092596C" w14:paraId="6D828E9E"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EXPLAIN ANY PAYMENT OR GIFTS TO RESPONDENTS</w:t>
      </w:r>
    </w:p>
    <w:p w:rsidR="00D80FBD" w:rsidRPr="00BD0FD5" w:rsidP="0092596C" w14:paraId="44A62A93" w14:textId="77777777">
      <w:pPr>
        <w:spacing w:after="0" w:line="240" w:lineRule="auto"/>
        <w:rPr>
          <w:rFonts w:ascii="Times New Roman" w:hAnsi="Times New Roman" w:cs="Times New Roman"/>
          <w:sz w:val="24"/>
          <w:szCs w:val="24"/>
        </w:rPr>
      </w:pPr>
    </w:p>
    <w:p w:rsidR="0072126E" w:rsidRPr="00BD0FD5" w:rsidP="0092596C" w14:paraId="35BC27E3" w14:textId="77777777">
      <w:pPr>
        <w:spacing w:after="0" w:line="240" w:lineRule="auto"/>
        <w:rPr>
          <w:rFonts w:ascii="Times New Roman" w:hAnsi="Times New Roman"/>
          <w:sz w:val="24"/>
          <w:szCs w:val="24"/>
        </w:rPr>
      </w:pPr>
      <w:r w:rsidRPr="00BD0FD5">
        <w:rPr>
          <w:rFonts w:ascii="Times New Roman" w:hAnsi="Times New Roman"/>
          <w:sz w:val="24"/>
          <w:szCs w:val="24"/>
        </w:rPr>
        <w:t xml:space="preserve">The </w:t>
      </w:r>
      <w:r w:rsidRPr="00BD0FD5">
        <w:rPr>
          <w:rFonts w:ascii="Times New Roman" w:hAnsi="Times New Roman"/>
          <w:sz w:val="24"/>
          <w:szCs w:val="24"/>
        </w:rPr>
        <w:t>Commission does not make payments or provide gifts for respondents related to this collection.</w:t>
      </w:r>
    </w:p>
    <w:p w:rsidR="00D80FBD" w:rsidRPr="00BD0FD5" w:rsidP="0092596C" w14:paraId="0E530B2E" w14:textId="77777777">
      <w:pPr>
        <w:spacing w:after="0" w:line="240" w:lineRule="auto"/>
        <w:rPr>
          <w:rFonts w:ascii="Times New Roman" w:hAnsi="Times New Roman" w:cs="Times New Roman"/>
          <w:sz w:val="24"/>
          <w:szCs w:val="24"/>
        </w:rPr>
      </w:pPr>
    </w:p>
    <w:p w:rsidR="00D80FBD" w:rsidRPr="00BD0FD5" w:rsidP="0092596C" w14:paraId="22E0A3C7"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DESCRIBE ANY ASSURANCE OF CONFIDENTIALITY PROVIDED TO RESPONDENTS</w:t>
      </w:r>
    </w:p>
    <w:p w:rsidR="00182858" w:rsidRPr="00BD0FD5" w:rsidP="0092596C" w14:paraId="1EF7C863" w14:textId="77777777">
      <w:pPr>
        <w:spacing w:after="0" w:line="240" w:lineRule="auto"/>
        <w:rPr>
          <w:rFonts w:ascii="Times New Roman" w:hAnsi="Times New Roman" w:cs="Times New Roman"/>
          <w:sz w:val="24"/>
          <w:szCs w:val="24"/>
        </w:rPr>
      </w:pPr>
    </w:p>
    <w:p w:rsidR="00D80FBD" w:rsidRPr="00BD0FD5" w:rsidP="0092596C" w14:paraId="22CF2F32" w14:textId="77777777">
      <w:pPr>
        <w:spacing w:after="0" w:line="240" w:lineRule="auto"/>
        <w:rPr>
          <w:rFonts w:ascii="Times New Roman" w:hAnsi="Times New Roman" w:cs="Times New Roman"/>
          <w:sz w:val="24"/>
          <w:szCs w:val="24"/>
        </w:rPr>
      </w:pPr>
      <w:r w:rsidRPr="00BD0FD5">
        <w:rPr>
          <w:rFonts w:ascii="Times New Roman" w:hAnsi="Times New Roman" w:cs="Times New Roman"/>
          <w:sz w:val="24"/>
          <w:szCs w:val="24"/>
        </w:rPr>
        <w:t>There are no specific assurances of confidentiality mentioned to respondents.</w:t>
      </w:r>
    </w:p>
    <w:p w:rsidR="00D80FBD" w:rsidRPr="00BD0FD5" w:rsidP="0092596C" w14:paraId="0152519B" w14:textId="77777777">
      <w:pPr>
        <w:spacing w:after="0" w:line="240" w:lineRule="auto"/>
        <w:rPr>
          <w:rFonts w:ascii="Times New Roman" w:hAnsi="Times New Roman" w:cs="Times New Roman"/>
          <w:sz w:val="24"/>
          <w:szCs w:val="24"/>
        </w:rPr>
      </w:pPr>
    </w:p>
    <w:p w:rsidR="00D80FBD" w:rsidRPr="00BD0FD5" w:rsidP="0092596C" w14:paraId="4E1162E0"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 xml:space="preserve">PROVIDE </w:t>
      </w:r>
      <w:r w:rsidRPr="00BD0FD5">
        <w:rPr>
          <w:rFonts w:ascii="Times New Roman" w:hAnsi="Times New Roman" w:cs="Times New Roman"/>
          <w:b/>
          <w:sz w:val="24"/>
          <w:szCs w:val="24"/>
        </w:rPr>
        <w:t>ADDITIONAL JUSTIFICATION FOR ANY QUESTIONS OF A SENSITIVE NATURE</w:t>
      </w:r>
    </w:p>
    <w:p w:rsidR="00D80FBD" w:rsidRPr="00BD0FD5" w:rsidP="0092596C" w14:paraId="0C0B14BB" w14:textId="77777777">
      <w:pPr>
        <w:spacing w:after="0" w:line="240" w:lineRule="auto"/>
        <w:rPr>
          <w:rFonts w:ascii="Times New Roman" w:hAnsi="Times New Roman" w:cs="Times New Roman"/>
          <w:sz w:val="24"/>
          <w:szCs w:val="24"/>
        </w:rPr>
      </w:pPr>
    </w:p>
    <w:p w:rsidR="00A4336A" w:rsidRPr="00BD0FD5" w:rsidP="0092596C" w14:paraId="2026F159" w14:textId="77777777">
      <w:pPr>
        <w:spacing w:after="0" w:line="240" w:lineRule="auto"/>
        <w:rPr>
          <w:rFonts w:ascii="Times New Roman" w:hAnsi="Times New Roman"/>
          <w:sz w:val="24"/>
          <w:szCs w:val="24"/>
        </w:rPr>
      </w:pPr>
      <w:r w:rsidRPr="00BD0FD5">
        <w:rPr>
          <w:rFonts w:ascii="Times New Roman" w:hAnsi="Times New Roman"/>
          <w:sz w:val="24"/>
          <w:szCs w:val="24"/>
        </w:rPr>
        <w:t>This collection does not include any questions of a sensitive nature.</w:t>
      </w:r>
    </w:p>
    <w:p w:rsidR="00D80FBD" w:rsidRPr="00BD0FD5" w:rsidP="0092596C" w14:paraId="1105ABA4" w14:textId="77777777">
      <w:pPr>
        <w:spacing w:after="0" w:line="240" w:lineRule="auto"/>
        <w:rPr>
          <w:rFonts w:ascii="Times New Roman" w:hAnsi="Times New Roman" w:cs="Times New Roman"/>
          <w:sz w:val="24"/>
          <w:szCs w:val="24"/>
        </w:rPr>
      </w:pPr>
    </w:p>
    <w:p w:rsidR="00D80FBD" w:rsidP="0092596C" w14:paraId="219670EC"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ESTIMATED BURDEN OF COLLECTION OF INFORMATION</w:t>
      </w:r>
    </w:p>
    <w:p w:rsidR="00C96C2C" w:rsidRPr="00824795" w:rsidP="00824795" w14:paraId="2376C602" w14:textId="77777777">
      <w:pPr>
        <w:spacing w:after="0" w:line="240" w:lineRule="auto"/>
        <w:rPr>
          <w:rFonts w:ascii="Times New Roman" w:hAnsi="Times New Roman" w:cs="Times New Roman"/>
          <w:b/>
          <w:sz w:val="24"/>
          <w:szCs w:val="24"/>
        </w:rPr>
      </w:pPr>
    </w:p>
    <w:tbl>
      <w:tblPr>
        <w:tblStyle w:val="TableGrid1"/>
        <w:tblW w:w="9583" w:type="dxa"/>
        <w:tblLook w:val="04A0"/>
      </w:tblPr>
      <w:tblGrid>
        <w:gridCol w:w="1675"/>
        <w:gridCol w:w="1386"/>
        <w:gridCol w:w="1358"/>
        <w:gridCol w:w="1427"/>
        <w:gridCol w:w="1656"/>
        <w:gridCol w:w="2081"/>
      </w:tblGrid>
      <w:tr w14:paraId="219B9747" w14:textId="77777777" w:rsidTr="009823AB">
        <w:tblPrEx>
          <w:tblW w:w="9583" w:type="dxa"/>
          <w:tblLook w:val="04A0"/>
        </w:tblPrEx>
        <w:tc>
          <w:tcPr>
            <w:tcW w:w="9583" w:type="dxa"/>
            <w:gridSpan w:val="6"/>
            <w:shd w:val="clear" w:color="auto" w:fill="auto"/>
          </w:tcPr>
          <w:p w:rsidR="00F90187" w:rsidRPr="00F90187" w:rsidP="00F90187" w14:paraId="1E96FE04" w14:textId="77777777">
            <w:pPr>
              <w:spacing w:after="160" w:line="259" w:lineRule="auto"/>
              <w:rPr>
                <w:rFonts w:eastAsia="Calibri" w:cs="Times New Roman"/>
                <w:b/>
                <w:bCs/>
                <w:szCs w:val="24"/>
              </w:rPr>
            </w:pPr>
            <w:bookmarkStart w:id="1" w:name="_Hlk120790206"/>
            <w:r w:rsidRPr="00F90187">
              <w:rPr>
                <w:rFonts w:eastAsia="Calibri" w:cs="Times New Roman"/>
                <w:b/>
                <w:bCs/>
                <w:szCs w:val="24"/>
              </w:rPr>
              <w:t>Proposed Changes Due to Order in Docket No. RD23-5-000</w:t>
            </w:r>
          </w:p>
        </w:tc>
      </w:tr>
      <w:tr w14:paraId="584AD294" w14:textId="77777777" w:rsidTr="009823AB">
        <w:tblPrEx>
          <w:tblW w:w="9583" w:type="dxa"/>
          <w:tblLook w:val="04A0"/>
        </w:tblPrEx>
        <w:tc>
          <w:tcPr>
            <w:tcW w:w="1675" w:type="dxa"/>
            <w:shd w:val="clear" w:color="auto" w:fill="auto"/>
            <w:vAlign w:val="bottom"/>
          </w:tcPr>
          <w:p w:rsidR="00F90187" w:rsidRPr="00F90187" w:rsidP="00F90187" w14:paraId="69073EA1" w14:textId="77777777">
            <w:pPr>
              <w:spacing w:after="160" w:line="259" w:lineRule="auto"/>
              <w:rPr>
                <w:rFonts w:eastAsia="Calibri" w:cs="Times New Roman"/>
                <w:b/>
              </w:rPr>
            </w:pPr>
            <w:r w:rsidRPr="00F90187">
              <w:rPr>
                <w:rFonts w:eastAsia="Calibri" w:cs="Times New Roman"/>
                <w:b/>
              </w:rPr>
              <w:t>Reliability Standard &amp; Requirement</w:t>
            </w:r>
          </w:p>
        </w:tc>
        <w:tc>
          <w:tcPr>
            <w:tcW w:w="1386" w:type="dxa"/>
            <w:shd w:val="clear" w:color="auto" w:fill="auto"/>
            <w:vAlign w:val="bottom"/>
          </w:tcPr>
          <w:p w:rsidR="00F90187" w:rsidRPr="00F90187" w:rsidP="00F90187" w14:paraId="55FA9D66" w14:textId="77777777">
            <w:pPr>
              <w:spacing w:after="160" w:line="259" w:lineRule="auto"/>
              <w:rPr>
                <w:rFonts w:eastAsia="Calibri" w:cs="Times New Roman"/>
                <w:b/>
              </w:rPr>
            </w:pPr>
            <w:r w:rsidRPr="00F90187">
              <w:rPr>
                <w:rFonts w:eastAsia="Calibri" w:cs="Times New Roman"/>
                <w:b/>
              </w:rPr>
              <w:t>Type</w:t>
            </w:r>
            <w:r>
              <w:rPr>
                <w:rFonts w:eastAsia="Calibri" w:cs="Times New Roman"/>
                <w:b/>
                <w:vertAlign w:val="superscript"/>
              </w:rPr>
              <w:footnoteReference w:id="18"/>
            </w:r>
            <w:r w:rsidRPr="00F90187">
              <w:rPr>
                <w:rFonts w:eastAsia="Calibri" w:cs="Times New Roman"/>
                <w:b/>
              </w:rPr>
              <w:t xml:space="preserve"> and Number of Entity</w:t>
            </w:r>
          </w:p>
          <w:p w:rsidR="00F90187" w:rsidRPr="00F90187" w:rsidP="00F90187" w14:paraId="0A753603" w14:textId="77777777">
            <w:pPr>
              <w:spacing w:after="160" w:line="259" w:lineRule="auto"/>
              <w:rPr>
                <w:rFonts w:eastAsia="Calibri" w:cs="Times New Roman"/>
                <w:b/>
              </w:rPr>
            </w:pPr>
            <w:r w:rsidRPr="00F90187">
              <w:rPr>
                <w:rFonts w:eastAsia="Calibri" w:cs="Times New Roman"/>
              </w:rPr>
              <w:t>(1)</w:t>
            </w:r>
          </w:p>
        </w:tc>
        <w:tc>
          <w:tcPr>
            <w:tcW w:w="1358" w:type="dxa"/>
            <w:shd w:val="clear" w:color="auto" w:fill="auto"/>
            <w:vAlign w:val="bottom"/>
          </w:tcPr>
          <w:p w:rsidR="00F90187" w:rsidRPr="00F90187" w:rsidP="00F90187" w14:paraId="4DA5D067" w14:textId="77777777">
            <w:pPr>
              <w:spacing w:after="160" w:line="259" w:lineRule="auto"/>
              <w:rPr>
                <w:rFonts w:eastAsia="Calibri" w:cs="Times New Roman"/>
                <w:b/>
              </w:rPr>
            </w:pPr>
            <w:r w:rsidRPr="00F90187">
              <w:rPr>
                <w:rFonts w:eastAsia="Calibri" w:cs="Times New Roman"/>
                <w:b/>
              </w:rPr>
              <w:t>Number of Annual Responses Per Entity</w:t>
            </w:r>
          </w:p>
          <w:p w:rsidR="00F90187" w:rsidRPr="00F90187" w:rsidP="00F90187" w14:paraId="6D38EBE9" w14:textId="77777777">
            <w:pPr>
              <w:spacing w:after="160" w:line="259" w:lineRule="auto"/>
              <w:rPr>
                <w:rFonts w:eastAsia="Calibri" w:cs="Times New Roman"/>
                <w:b/>
              </w:rPr>
            </w:pPr>
            <w:r w:rsidRPr="00F90187">
              <w:rPr>
                <w:rFonts w:eastAsia="Calibri" w:cs="Times New Roman"/>
                <w:b/>
              </w:rPr>
              <w:t>(</w:t>
            </w:r>
            <w:r w:rsidRPr="00F90187">
              <w:rPr>
                <w:rFonts w:eastAsia="Calibri" w:cs="Times New Roman"/>
              </w:rPr>
              <w:t>2)</w:t>
            </w:r>
          </w:p>
        </w:tc>
        <w:tc>
          <w:tcPr>
            <w:tcW w:w="1427" w:type="dxa"/>
            <w:shd w:val="clear" w:color="auto" w:fill="auto"/>
            <w:vAlign w:val="bottom"/>
          </w:tcPr>
          <w:p w:rsidR="00F90187" w:rsidRPr="00F90187" w:rsidP="00F90187" w14:paraId="3BBF4A72" w14:textId="77777777">
            <w:pPr>
              <w:spacing w:after="160" w:line="259" w:lineRule="auto"/>
              <w:rPr>
                <w:rFonts w:eastAsia="Calibri" w:cs="Times New Roman"/>
                <w:b/>
              </w:rPr>
            </w:pPr>
            <w:r w:rsidRPr="00F90187">
              <w:rPr>
                <w:rFonts w:eastAsia="Calibri" w:cs="Times New Roman"/>
                <w:b/>
              </w:rPr>
              <w:t>Total Number of Responses</w:t>
            </w:r>
          </w:p>
          <w:p w:rsidR="00F90187" w:rsidRPr="00F90187" w:rsidP="00F90187" w14:paraId="3497DA8C" w14:textId="77777777">
            <w:pPr>
              <w:spacing w:after="160" w:line="259" w:lineRule="auto"/>
              <w:rPr>
                <w:rFonts w:eastAsia="Calibri" w:cs="Times New Roman"/>
                <w:b/>
              </w:rPr>
            </w:pPr>
            <w:r w:rsidRPr="00F90187">
              <w:rPr>
                <w:rFonts w:eastAsia="Calibri" w:cs="Times New Roman"/>
                <w:b/>
              </w:rPr>
              <w:t>(1) *(2) = (3)</w:t>
            </w:r>
          </w:p>
        </w:tc>
        <w:tc>
          <w:tcPr>
            <w:tcW w:w="1656" w:type="dxa"/>
            <w:shd w:val="clear" w:color="auto" w:fill="auto"/>
            <w:vAlign w:val="bottom"/>
          </w:tcPr>
          <w:p w:rsidR="00F90187" w:rsidRPr="00F90187" w:rsidP="00F90187" w14:paraId="40A7EC40" w14:textId="77777777">
            <w:pPr>
              <w:spacing w:after="160" w:line="259" w:lineRule="auto"/>
              <w:rPr>
                <w:rFonts w:eastAsia="Calibri" w:cs="Times New Roman"/>
                <w:b/>
              </w:rPr>
            </w:pPr>
            <w:r w:rsidRPr="00F90187">
              <w:rPr>
                <w:rFonts w:eastAsia="Calibri" w:cs="Times New Roman"/>
                <w:b/>
              </w:rPr>
              <w:t xml:space="preserve">Average </w:t>
            </w:r>
            <w:r w:rsidRPr="00F90187">
              <w:rPr>
                <w:rFonts w:eastAsia="Calibri" w:cs="Times New Roman"/>
                <w:b/>
              </w:rPr>
              <w:t>Number</w:t>
            </w:r>
            <w:r w:rsidRPr="00F90187">
              <w:rPr>
                <w:rFonts w:eastAsia="Calibri" w:cs="Times New Roman"/>
                <w:b/>
              </w:rPr>
              <w:t xml:space="preserve"> of Burden Hours per Response</w:t>
            </w:r>
            <w:r>
              <w:rPr>
                <w:rFonts w:eastAsia="Calibri" w:cs="Times New Roman"/>
                <w:szCs w:val="26"/>
                <w:vertAlign w:val="superscript"/>
              </w:rPr>
              <w:footnoteReference w:id="19"/>
            </w:r>
          </w:p>
          <w:p w:rsidR="00F90187" w:rsidRPr="00F90187" w:rsidP="00F90187" w14:paraId="051F205B" w14:textId="77777777">
            <w:pPr>
              <w:spacing w:after="160" w:line="259" w:lineRule="auto"/>
              <w:rPr>
                <w:rFonts w:eastAsia="Calibri" w:cs="Times New Roman"/>
                <w:b/>
              </w:rPr>
            </w:pPr>
            <w:r w:rsidRPr="00F90187">
              <w:rPr>
                <w:rFonts w:eastAsia="Calibri" w:cs="Times New Roman"/>
                <w:b/>
              </w:rPr>
              <w:t>(4)</w:t>
            </w:r>
          </w:p>
        </w:tc>
        <w:tc>
          <w:tcPr>
            <w:tcW w:w="2081" w:type="dxa"/>
            <w:shd w:val="clear" w:color="auto" w:fill="auto"/>
            <w:vAlign w:val="bottom"/>
          </w:tcPr>
          <w:p w:rsidR="00F90187" w:rsidRPr="00F90187" w:rsidP="00F90187" w14:paraId="1628F304" w14:textId="77777777">
            <w:pPr>
              <w:spacing w:after="160" w:line="259" w:lineRule="auto"/>
              <w:rPr>
                <w:rFonts w:eastAsia="Calibri" w:cs="Times New Roman"/>
                <w:b/>
              </w:rPr>
            </w:pPr>
            <w:r w:rsidRPr="00F90187">
              <w:rPr>
                <w:rFonts w:eastAsia="Calibri" w:cs="Times New Roman"/>
                <w:b/>
              </w:rPr>
              <w:t>Total Burden Hours</w:t>
            </w:r>
          </w:p>
          <w:p w:rsidR="00F90187" w:rsidRPr="00F90187" w:rsidP="00F90187" w14:paraId="3BFF9D85" w14:textId="77777777">
            <w:pPr>
              <w:spacing w:after="160" w:line="259" w:lineRule="auto"/>
              <w:rPr>
                <w:rFonts w:eastAsia="Calibri" w:cs="Times New Roman"/>
                <w:b/>
              </w:rPr>
            </w:pPr>
            <w:r w:rsidRPr="00F90187">
              <w:rPr>
                <w:rFonts w:eastAsia="Calibri" w:cs="Times New Roman"/>
                <w:b/>
              </w:rPr>
              <w:t>(3) *(4) = (5)</w:t>
            </w:r>
          </w:p>
        </w:tc>
      </w:tr>
      <w:tr w14:paraId="690F2933" w14:textId="77777777" w:rsidTr="009823AB">
        <w:tblPrEx>
          <w:tblW w:w="9583" w:type="dxa"/>
          <w:tblLook w:val="04A0"/>
        </w:tblPrEx>
        <w:tc>
          <w:tcPr>
            <w:tcW w:w="9583" w:type="dxa"/>
            <w:gridSpan w:val="6"/>
            <w:shd w:val="clear" w:color="auto" w:fill="auto"/>
          </w:tcPr>
          <w:p w:rsidR="00F90187" w:rsidRPr="00F90187" w:rsidP="00F90187" w14:paraId="497D5ABF" w14:textId="77777777">
            <w:pPr>
              <w:spacing w:after="160" w:line="259" w:lineRule="auto"/>
              <w:jc w:val="center"/>
              <w:rPr>
                <w:rFonts w:eastAsia="Calibri" w:cs="Times New Roman"/>
                <w:b/>
                <w:bCs/>
              </w:rPr>
            </w:pPr>
            <w:r w:rsidRPr="00F90187">
              <w:rPr>
                <w:rFonts w:eastAsia="Calibri" w:cs="Times New Roman"/>
                <w:b/>
                <w:bCs/>
              </w:rPr>
              <w:t>FERC-725G</w:t>
            </w:r>
          </w:p>
        </w:tc>
      </w:tr>
      <w:tr w14:paraId="4680245D" w14:textId="77777777" w:rsidTr="009823AB">
        <w:tblPrEx>
          <w:tblW w:w="9583" w:type="dxa"/>
          <w:tblLook w:val="04A0"/>
        </w:tblPrEx>
        <w:tc>
          <w:tcPr>
            <w:tcW w:w="9583" w:type="dxa"/>
            <w:gridSpan w:val="6"/>
            <w:shd w:val="clear" w:color="auto" w:fill="auto"/>
          </w:tcPr>
          <w:p w:rsidR="00F90187" w:rsidRPr="00F90187" w:rsidP="00F90187" w14:paraId="05AC853D" w14:textId="77777777">
            <w:pPr>
              <w:rPr>
                <w:rFonts w:eastAsia="Calibri" w:cs="Times New Roman"/>
                <w:b/>
              </w:rPr>
            </w:pPr>
            <w:r w:rsidRPr="00F90187">
              <w:rPr>
                <w:rFonts w:eastAsia="Calibri" w:cs="Times New Roman"/>
                <w:b/>
              </w:rPr>
              <w:t>PRC-023-6</w:t>
            </w:r>
          </w:p>
        </w:tc>
      </w:tr>
      <w:tr w14:paraId="3E6FBD5F" w14:textId="77777777" w:rsidTr="009823AB">
        <w:tblPrEx>
          <w:tblW w:w="9583" w:type="dxa"/>
          <w:tblLook w:val="04A0"/>
        </w:tblPrEx>
        <w:tc>
          <w:tcPr>
            <w:tcW w:w="1675" w:type="dxa"/>
            <w:shd w:val="clear" w:color="auto" w:fill="auto"/>
          </w:tcPr>
          <w:p w:rsidR="00F90187" w:rsidRPr="00F90187" w:rsidP="00F90187" w14:paraId="3CFFEE42" w14:textId="77777777">
            <w:pPr>
              <w:spacing w:after="160" w:line="259" w:lineRule="auto"/>
              <w:rPr>
                <w:rFonts w:eastAsia="Calibri" w:cs="Times New Roman"/>
              </w:rPr>
            </w:pPr>
            <w:r w:rsidRPr="00F90187">
              <w:rPr>
                <w:rFonts w:eastAsia="Calibri" w:cs="Times New Roman"/>
              </w:rPr>
              <w:t>TO</w:t>
            </w:r>
          </w:p>
        </w:tc>
        <w:tc>
          <w:tcPr>
            <w:tcW w:w="1386" w:type="dxa"/>
            <w:shd w:val="clear" w:color="auto" w:fill="auto"/>
          </w:tcPr>
          <w:p w:rsidR="00F90187" w:rsidRPr="00F90187" w:rsidP="00F90187" w14:paraId="41643816" w14:textId="77777777">
            <w:pPr>
              <w:spacing w:after="160" w:line="259" w:lineRule="auto"/>
              <w:rPr>
                <w:rFonts w:eastAsia="Calibri" w:cs="Times New Roman"/>
              </w:rPr>
            </w:pPr>
            <w:r w:rsidRPr="00F90187">
              <w:rPr>
                <w:rFonts w:eastAsia="Calibri" w:cs="Times New Roman"/>
              </w:rPr>
              <w:t>324</w:t>
            </w:r>
          </w:p>
        </w:tc>
        <w:tc>
          <w:tcPr>
            <w:tcW w:w="1358" w:type="dxa"/>
            <w:shd w:val="clear" w:color="auto" w:fill="auto"/>
          </w:tcPr>
          <w:p w:rsidR="00F90187" w:rsidRPr="00F90187" w:rsidP="00F90187" w14:paraId="3CC8833A" w14:textId="77777777">
            <w:pPr>
              <w:spacing w:after="160" w:line="259" w:lineRule="auto"/>
              <w:rPr>
                <w:rFonts w:eastAsia="Calibri" w:cs="Times New Roman"/>
              </w:rPr>
            </w:pPr>
            <w:r w:rsidRPr="00F90187">
              <w:rPr>
                <w:rFonts w:eastAsia="Calibri" w:cs="Times New Roman"/>
              </w:rPr>
              <w:t>1</w:t>
            </w:r>
          </w:p>
        </w:tc>
        <w:tc>
          <w:tcPr>
            <w:tcW w:w="1427" w:type="dxa"/>
            <w:shd w:val="clear" w:color="auto" w:fill="auto"/>
          </w:tcPr>
          <w:p w:rsidR="00F90187" w:rsidRPr="00F90187" w:rsidP="00F90187" w14:paraId="735F1CBD" w14:textId="77777777">
            <w:pPr>
              <w:spacing w:after="160" w:line="259" w:lineRule="auto"/>
              <w:rPr>
                <w:rFonts w:eastAsia="Calibri" w:cs="Times New Roman"/>
              </w:rPr>
            </w:pPr>
            <w:r w:rsidRPr="00F90187">
              <w:rPr>
                <w:rFonts w:eastAsia="Calibri" w:cs="Times New Roman"/>
              </w:rPr>
              <w:t>324</w:t>
            </w:r>
          </w:p>
        </w:tc>
        <w:tc>
          <w:tcPr>
            <w:tcW w:w="1656" w:type="dxa"/>
            <w:shd w:val="clear" w:color="auto" w:fill="auto"/>
          </w:tcPr>
          <w:p w:rsidR="00F90187" w:rsidRPr="00F90187" w:rsidP="00F90187" w14:paraId="22DE623E" w14:textId="77777777">
            <w:pPr>
              <w:spacing w:after="160" w:line="259" w:lineRule="auto"/>
              <w:rPr>
                <w:rFonts w:eastAsia="Calibri" w:cs="Times New Roman"/>
              </w:rPr>
            </w:pPr>
            <w:r w:rsidRPr="00F90187">
              <w:rPr>
                <w:rFonts w:eastAsia="Calibri" w:cs="Times New Roman"/>
              </w:rPr>
              <w:t>16 hrs.</w:t>
            </w:r>
          </w:p>
          <w:p w:rsidR="00F90187" w:rsidRPr="00F90187" w:rsidP="00F90187" w14:paraId="486BA76F" w14:textId="77777777">
            <w:pPr>
              <w:spacing w:after="160" w:line="259" w:lineRule="auto"/>
              <w:rPr>
                <w:rFonts w:eastAsia="Calibri" w:cs="Times New Roman"/>
              </w:rPr>
            </w:pPr>
            <w:r w:rsidRPr="00F90187">
              <w:rPr>
                <w:rFonts w:eastAsia="Calibri" w:cs="Times New Roman"/>
              </w:rPr>
              <w:t>$1,067.52</w:t>
            </w:r>
          </w:p>
        </w:tc>
        <w:tc>
          <w:tcPr>
            <w:tcW w:w="2081" w:type="dxa"/>
            <w:shd w:val="clear" w:color="auto" w:fill="auto"/>
          </w:tcPr>
          <w:p w:rsidR="00F90187" w:rsidRPr="00F90187" w:rsidP="00F90187" w14:paraId="65032F07" w14:textId="77777777">
            <w:pPr>
              <w:spacing w:after="160" w:line="259" w:lineRule="auto"/>
              <w:rPr>
                <w:rFonts w:eastAsia="Calibri" w:cs="Times New Roman"/>
              </w:rPr>
            </w:pPr>
            <w:r w:rsidRPr="00F90187">
              <w:rPr>
                <w:rFonts w:eastAsia="Calibri" w:cs="Times New Roman"/>
              </w:rPr>
              <w:t>5,184 hrs.</w:t>
            </w:r>
          </w:p>
          <w:p w:rsidR="00F90187" w:rsidRPr="00F90187" w:rsidP="00F90187" w14:paraId="46301A5A" w14:textId="77777777">
            <w:pPr>
              <w:spacing w:after="160" w:line="259" w:lineRule="auto"/>
              <w:rPr>
                <w:rFonts w:eastAsia="Calibri" w:cs="Times New Roman"/>
              </w:rPr>
            </w:pPr>
            <w:r w:rsidRPr="00F90187">
              <w:rPr>
                <w:rFonts w:eastAsia="Calibri" w:cs="Times New Roman"/>
              </w:rPr>
              <w:t>$345,876.48</w:t>
            </w:r>
          </w:p>
        </w:tc>
      </w:tr>
      <w:tr w14:paraId="78DFD7A3" w14:textId="77777777" w:rsidTr="009823AB">
        <w:tblPrEx>
          <w:tblW w:w="9583" w:type="dxa"/>
          <w:tblLook w:val="04A0"/>
        </w:tblPrEx>
        <w:tc>
          <w:tcPr>
            <w:tcW w:w="1675" w:type="dxa"/>
            <w:shd w:val="clear" w:color="auto" w:fill="auto"/>
          </w:tcPr>
          <w:p w:rsidR="00F90187" w:rsidRPr="00F90187" w:rsidP="00F90187" w14:paraId="5FC0B4B6" w14:textId="77777777">
            <w:pPr>
              <w:spacing w:after="160" w:line="259" w:lineRule="auto"/>
              <w:rPr>
                <w:rFonts w:eastAsia="Calibri" w:cs="Times New Roman"/>
              </w:rPr>
            </w:pPr>
            <w:r w:rsidRPr="00F90187">
              <w:rPr>
                <w:rFonts w:eastAsia="Calibri" w:cs="Times New Roman"/>
              </w:rPr>
              <w:t>GO</w:t>
            </w:r>
          </w:p>
        </w:tc>
        <w:tc>
          <w:tcPr>
            <w:tcW w:w="1386" w:type="dxa"/>
            <w:shd w:val="clear" w:color="auto" w:fill="auto"/>
          </w:tcPr>
          <w:p w:rsidR="00F90187" w:rsidRPr="00F90187" w:rsidP="00F90187" w14:paraId="7EE183BA" w14:textId="77777777">
            <w:pPr>
              <w:spacing w:after="160" w:line="259" w:lineRule="auto"/>
              <w:rPr>
                <w:rFonts w:eastAsia="Calibri" w:cs="Times New Roman"/>
              </w:rPr>
            </w:pPr>
            <w:r w:rsidRPr="00F90187">
              <w:rPr>
                <w:rFonts w:eastAsia="Calibri" w:cs="Times New Roman"/>
              </w:rPr>
              <w:t>1,173</w:t>
            </w:r>
          </w:p>
        </w:tc>
        <w:tc>
          <w:tcPr>
            <w:tcW w:w="1358" w:type="dxa"/>
            <w:shd w:val="clear" w:color="auto" w:fill="auto"/>
          </w:tcPr>
          <w:p w:rsidR="00F90187" w:rsidRPr="00F90187" w:rsidP="00F90187" w14:paraId="2C878011" w14:textId="77777777">
            <w:pPr>
              <w:spacing w:after="160" w:line="259" w:lineRule="auto"/>
              <w:rPr>
                <w:rFonts w:eastAsia="Calibri" w:cs="Times New Roman"/>
              </w:rPr>
            </w:pPr>
            <w:r w:rsidRPr="00F90187">
              <w:rPr>
                <w:rFonts w:eastAsia="Calibri" w:cs="Times New Roman"/>
              </w:rPr>
              <w:t>1</w:t>
            </w:r>
          </w:p>
        </w:tc>
        <w:tc>
          <w:tcPr>
            <w:tcW w:w="1427" w:type="dxa"/>
            <w:shd w:val="clear" w:color="auto" w:fill="auto"/>
          </w:tcPr>
          <w:p w:rsidR="00F90187" w:rsidRPr="00F90187" w:rsidP="00F90187" w14:paraId="6548CBA3" w14:textId="77777777">
            <w:pPr>
              <w:spacing w:after="160" w:line="259" w:lineRule="auto"/>
              <w:rPr>
                <w:rFonts w:eastAsia="Calibri" w:cs="Times New Roman"/>
              </w:rPr>
            </w:pPr>
            <w:r w:rsidRPr="00F90187">
              <w:rPr>
                <w:rFonts w:eastAsia="Calibri" w:cs="Times New Roman"/>
              </w:rPr>
              <w:t>1,173</w:t>
            </w:r>
          </w:p>
        </w:tc>
        <w:tc>
          <w:tcPr>
            <w:tcW w:w="1656" w:type="dxa"/>
            <w:shd w:val="clear" w:color="auto" w:fill="auto"/>
          </w:tcPr>
          <w:p w:rsidR="00F90187" w:rsidRPr="00F90187" w:rsidP="00F90187" w14:paraId="34B926A6" w14:textId="77777777">
            <w:pPr>
              <w:spacing w:after="160" w:line="259" w:lineRule="auto"/>
              <w:rPr>
                <w:rFonts w:eastAsia="Calibri" w:cs="Times New Roman"/>
              </w:rPr>
            </w:pPr>
            <w:r w:rsidRPr="00F90187">
              <w:rPr>
                <w:rFonts w:eastAsia="Calibri" w:cs="Times New Roman"/>
              </w:rPr>
              <w:t>16 hrs.</w:t>
            </w:r>
          </w:p>
          <w:p w:rsidR="00F90187" w:rsidRPr="00F90187" w:rsidP="00F90187" w14:paraId="3E0C8080" w14:textId="77777777">
            <w:pPr>
              <w:spacing w:after="160" w:line="259" w:lineRule="auto"/>
              <w:rPr>
                <w:rFonts w:eastAsia="Calibri" w:cs="Times New Roman"/>
              </w:rPr>
            </w:pPr>
            <w:r w:rsidRPr="00F90187">
              <w:rPr>
                <w:rFonts w:eastAsia="Calibri" w:cs="Times New Roman"/>
              </w:rPr>
              <w:t>$1,067.52</w:t>
            </w:r>
          </w:p>
        </w:tc>
        <w:tc>
          <w:tcPr>
            <w:tcW w:w="2081" w:type="dxa"/>
            <w:shd w:val="clear" w:color="auto" w:fill="auto"/>
          </w:tcPr>
          <w:p w:rsidR="00F90187" w:rsidRPr="00F90187" w:rsidP="00F90187" w14:paraId="00AA924F" w14:textId="77777777">
            <w:pPr>
              <w:spacing w:after="160" w:line="259" w:lineRule="auto"/>
              <w:rPr>
                <w:rFonts w:eastAsia="Calibri" w:cs="Times New Roman"/>
              </w:rPr>
            </w:pPr>
            <w:r w:rsidRPr="00F90187">
              <w:rPr>
                <w:rFonts w:eastAsia="Calibri" w:cs="Times New Roman"/>
              </w:rPr>
              <w:t>18,768 hrs.</w:t>
            </w:r>
          </w:p>
          <w:p w:rsidR="00F90187" w:rsidRPr="00F90187" w:rsidP="00F90187" w14:paraId="2ABB9214" w14:textId="77777777">
            <w:pPr>
              <w:spacing w:after="160" w:line="259" w:lineRule="auto"/>
              <w:rPr>
                <w:rFonts w:eastAsia="Calibri" w:cs="Times New Roman"/>
              </w:rPr>
            </w:pPr>
            <w:r w:rsidRPr="00F90187">
              <w:rPr>
                <w:rFonts w:eastAsia="Calibri" w:cs="Times New Roman"/>
              </w:rPr>
              <w:t>$1,252,200.96</w:t>
            </w:r>
          </w:p>
        </w:tc>
      </w:tr>
      <w:tr w14:paraId="199F597A" w14:textId="77777777" w:rsidTr="009823AB">
        <w:tblPrEx>
          <w:tblW w:w="9583" w:type="dxa"/>
          <w:tblLook w:val="04A0"/>
        </w:tblPrEx>
        <w:tc>
          <w:tcPr>
            <w:tcW w:w="1675" w:type="dxa"/>
            <w:shd w:val="clear" w:color="auto" w:fill="auto"/>
          </w:tcPr>
          <w:p w:rsidR="00F90187" w:rsidRPr="00F90187" w:rsidP="00F90187" w14:paraId="3E6093C5" w14:textId="77777777">
            <w:pPr>
              <w:spacing w:after="160" w:line="259" w:lineRule="auto"/>
              <w:rPr>
                <w:rFonts w:eastAsia="Calibri" w:cs="Times New Roman"/>
              </w:rPr>
            </w:pPr>
            <w:r w:rsidRPr="00F90187">
              <w:rPr>
                <w:rFonts w:eastAsia="Calibri" w:cs="Times New Roman"/>
              </w:rPr>
              <w:t>DP</w:t>
            </w:r>
          </w:p>
        </w:tc>
        <w:tc>
          <w:tcPr>
            <w:tcW w:w="1386" w:type="dxa"/>
            <w:shd w:val="clear" w:color="auto" w:fill="auto"/>
          </w:tcPr>
          <w:p w:rsidR="00F90187" w:rsidRPr="00F90187" w:rsidP="00F90187" w14:paraId="1A11BF11" w14:textId="77777777">
            <w:pPr>
              <w:spacing w:after="160" w:line="259" w:lineRule="auto"/>
              <w:rPr>
                <w:rFonts w:eastAsia="Calibri" w:cs="Times New Roman"/>
              </w:rPr>
            </w:pPr>
            <w:r w:rsidRPr="00F90187">
              <w:rPr>
                <w:rFonts w:eastAsia="Calibri" w:cs="Times New Roman"/>
              </w:rPr>
              <w:t>371</w:t>
            </w:r>
          </w:p>
        </w:tc>
        <w:tc>
          <w:tcPr>
            <w:tcW w:w="1358" w:type="dxa"/>
            <w:shd w:val="clear" w:color="auto" w:fill="auto"/>
          </w:tcPr>
          <w:p w:rsidR="00F90187" w:rsidRPr="00F90187" w:rsidP="00F90187" w14:paraId="35DBA221" w14:textId="77777777">
            <w:pPr>
              <w:spacing w:after="160" w:line="259" w:lineRule="auto"/>
              <w:rPr>
                <w:rFonts w:eastAsia="Calibri" w:cs="Times New Roman"/>
              </w:rPr>
            </w:pPr>
            <w:r w:rsidRPr="00F90187">
              <w:rPr>
                <w:rFonts w:eastAsia="Calibri" w:cs="Times New Roman"/>
              </w:rPr>
              <w:t>1</w:t>
            </w:r>
          </w:p>
        </w:tc>
        <w:tc>
          <w:tcPr>
            <w:tcW w:w="1427" w:type="dxa"/>
            <w:shd w:val="clear" w:color="auto" w:fill="auto"/>
          </w:tcPr>
          <w:p w:rsidR="00F90187" w:rsidRPr="00F90187" w:rsidP="00F90187" w14:paraId="45E7933F" w14:textId="77777777">
            <w:pPr>
              <w:spacing w:after="160" w:line="259" w:lineRule="auto"/>
              <w:rPr>
                <w:rFonts w:eastAsia="Calibri" w:cs="Times New Roman"/>
              </w:rPr>
            </w:pPr>
            <w:r w:rsidRPr="00F90187">
              <w:rPr>
                <w:rFonts w:eastAsia="Calibri" w:cs="Times New Roman"/>
              </w:rPr>
              <w:t>371</w:t>
            </w:r>
          </w:p>
        </w:tc>
        <w:tc>
          <w:tcPr>
            <w:tcW w:w="1656" w:type="dxa"/>
            <w:shd w:val="clear" w:color="auto" w:fill="auto"/>
          </w:tcPr>
          <w:p w:rsidR="00F90187" w:rsidRPr="00F90187" w:rsidP="00F90187" w14:paraId="6008A7C2" w14:textId="77777777">
            <w:pPr>
              <w:spacing w:after="160" w:line="259" w:lineRule="auto"/>
              <w:rPr>
                <w:rFonts w:eastAsia="Calibri" w:cs="Times New Roman"/>
              </w:rPr>
            </w:pPr>
            <w:r w:rsidRPr="00F90187">
              <w:rPr>
                <w:rFonts w:eastAsia="Calibri" w:cs="Times New Roman"/>
              </w:rPr>
              <w:t>8 hrs.</w:t>
            </w:r>
          </w:p>
          <w:p w:rsidR="00F90187" w:rsidRPr="00F90187" w:rsidP="00F90187" w14:paraId="4718AF71" w14:textId="77777777">
            <w:pPr>
              <w:spacing w:after="160" w:line="259" w:lineRule="auto"/>
              <w:rPr>
                <w:rFonts w:eastAsia="Calibri" w:cs="Times New Roman"/>
              </w:rPr>
            </w:pPr>
            <w:r w:rsidRPr="00F90187">
              <w:rPr>
                <w:rFonts w:eastAsia="Calibri" w:cs="Times New Roman"/>
              </w:rPr>
              <w:t>$533.76</w:t>
            </w:r>
          </w:p>
        </w:tc>
        <w:tc>
          <w:tcPr>
            <w:tcW w:w="2081" w:type="dxa"/>
            <w:shd w:val="clear" w:color="auto" w:fill="auto"/>
          </w:tcPr>
          <w:p w:rsidR="00F90187" w:rsidRPr="00F90187" w:rsidP="00F90187" w14:paraId="190F6675" w14:textId="77777777">
            <w:pPr>
              <w:spacing w:after="160" w:line="259" w:lineRule="auto"/>
              <w:rPr>
                <w:rFonts w:eastAsia="Calibri" w:cs="Times New Roman"/>
              </w:rPr>
            </w:pPr>
            <w:r w:rsidRPr="00F90187">
              <w:rPr>
                <w:rFonts w:eastAsia="Calibri" w:cs="Times New Roman"/>
              </w:rPr>
              <w:t>2,968 hrs.</w:t>
            </w:r>
          </w:p>
          <w:p w:rsidR="00F90187" w:rsidRPr="00F90187" w:rsidP="00F90187" w14:paraId="7EDA5943" w14:textId="77777777">
            <w:pPr>
              <w:spacing w:after="160" w:line="259" w:lineRule="auto"/>
              <w:rPr>
                <w:rFonts w:eastAsia="Calibri" w:cs="Times New Roman"/>
              </w:rPr>
            </w:pPr>
            <w:r w:rsidRPr="00F90187">
              <w:rPr>
                <w:rFonts w:eastAsia="Calibri" w:cs="Times New Roman"/>
              </w:rPr>
              <w:t>$198,024.96</w:t>
            </w:r>
          </w:p>
        </w:tc>
      </w:tr>
      <w:tr w14:paraId="61CAD8BE" w14:textId="77777777" w:rsidTr="009823AB">
        <w:tblPrEx>
          <w:tblW w:w="9583" w:type="dxa"/>
          <w:tblLook w:val="04A0"/>
        </w:tblPrEx>
        <w:tc>
          <w:tcPr>
            <w:tcW w:w="1675" w:type="dxa"/>
            <w:shd w:val="clear" w:color="auto" w:fill="auto"/>
          </w:tcPr>
          <w:p w:rsidR="00F90187" w:rsidRPr="00F90187" w:rsidP="00F90187" w14:paraId="113853CC" w14:textId="77777777">
            <w:pPr>
              <w:spacing w:after="160" w:line="259" w:lineRule="auto"/>
              <w:rPr>
                <w:rFonts w:eastAsia="Calibri" w:cs="Times New Roman"/>
              </w:rPr>
            </w:pPr>
            <w:r w:rsidRPr="00F90187">
              <w:rPr>
                <w:rFonts w:eastAsia="Calibri" w:cs="Times New Roman"/>
              </w:rPr>
              <w:t>PC</w:t>
            </w:r>
          </w:p>
        </w:tc>
        <w:tc>
          <w:tcPr>
            <w:tcW w:w="1386" w:type="dxa"/>
            <w:shd w:val="clear" w:color="auto" w:fill="auto"/>
          </w:tcPr>
          <w:p w:rsidR="00F90187" w:rsidRPr="00F90187" w:rsidP="00F90187" w14:paraId="38F36E9C" w14:textId="77777777">
            <w:pPr>
              <w:spacing w:after="160" w:line="259" w:lineRule="auto"/>
              <w:rPr>
                <w:rFonts w:eastAsia="Calibri" w:cs="Times New Roman"/>
              </w:rPr>
            </w:pPr>
            <w:r w:rsidRPr="00F90187">
              <w:rPr>
                <w:rFonts w:eastAsia="Calibri" w:cs="Times New Roman"/>
              </w:rPr>
              <w:t>62</w:t>
            </w:r>
          </w:p>
        </w:tc>
        <w:tc>
          <w:tcPr>
            <w:tcW w:w="1358" w:type="dxa"/>
            <w:shd w:val="clear" w:color="auto" w:fill="auto"/>
          </w:tcPr>
          <w:p w:rsidR="00F90187" w:rsidRPr="00F90187" w:rsidP="00F90187" w14:paraId="6DE724AB" w14:textId="77777777">
            <w:pPr>
              <w:spacing w:after="160" w:line="259" w:lineRule="auto"/>
              <w:rPr>
                <w:rFonts w:eastAsia="Calibri" w:cs="Times New Roman"/>
              </w:rPr>
            </w:pPr>
            <w:r w:rsidRPr="00F90187">
              <w:rPr>
                <w:rFonts w:eastAsia="Calibri" w:cs="Times New Roman"/>
              </w:rPr>
              <w:t>1</w:t>
            </w:r>
          </w:p>
        </w:tc>
        <w:tc>
          <w:tcPr>
            <w:tcW w:w="1427" w:type="dxa"/>
            <w:shd w:val="clear" w:color="auto" w:fill="auto"/>
          </w:tcPr>
          <w:p w:rsidR="00F90187" w:rsidRPr="00F90187" w:rsidP="00F90187" w14:paraId="5776B7B2" w14:textId="77777777">
            <w:pPr>
              <w:spacing w:after="160" w:line="259" w:lineRule="auto"/>
              <w:rPr>
                <w:rFonts w:eastAsia="Calibri" w:cs="Times New Roman"/>
              </w:rPr>
            </w:pPr>
            <w:r w:rsidRPr="00F90187">
              <w:rPr>
                <w:rFonts w:eastAsia="Calibri" w:cs="Times New Roman"/>
              </w:rPr>
              <w:t>62</w:t>
            </w:r>
          </w:p>
        </w:tc>
        <w:tc>
          <w:tcPr>
            <w:tcW w:w="1656" w:type="dxa"/>
            <w:shd w:val="clear" w:color="auto" w:fill="auto"/>
          </w:tcPr>
          <w:p w:rsidR="00F90187" w:rsidRPr="00F90187" w:rsidP="00F90187" w14:paraId="00720002" w14:textId="77777777">
            <w:pPr>
              <w:spacing w:after="160" w:line="259" w:lineRule="auto"/>
              <w:rPr>
                <w:rFonts w:eastAsia="Calibri" w:cs="Times New Roman"/>
              </w:rPr>
            </w:pPr>
            <w:r w:rsidRPr="00F90187">
              <w:rPr>
                <w:rFonts w:eastAsia="Calibri" w:cs="Times New Roman"/>
              </w:rPr>
              <w:t>8 hrs.</w:t>
            </w:r>
          </w:p>
          <w:p w:rsidR="00F90187" w:rsidRPr="00F90187" w:rsidP="00F90187" w14:paraId="3077061F" w14:textId="77777777">
            <w:pPr>
              <w:spacing w:after="160" w:line="259" w:lineRule="auto"/>
              <w:rPr>
                <w:rFonts w:eastAsia="Calibri" w:cs="Times New Roman"/>
              </w:rPr>
            </w:pPr>
            <w:r w:rsidRPr="00F90187">
              <w:rPr>
                <w:rFonts w:eastAsia="Calibri" w:cs="Times New Roman"/>
              </w:rPr>
              <w:t>$533.76</w:t>
            </w:r>
          </w:p>
        </w:tc>
        <w:tc>
          <w:tcPr>
            <w:tcW w:w="2081" w:type="dxa"/>
            <w:shd w:val="clear" w:color="auto" w:fill="auto"/>
          </w:tcPr>
          <w:p w:rsidR="00F90187" w:rsidRPr="00F90187" w:rsidP="00F90187" w14:paraId="6132B258" w14:textId="77777777">
            <w:pPr>
              <w:spacing w:after="160" w:line="259" w:lineRule="auto"/>
              <w:rPr>
                <w:rFonts w:eastAsia="Calibri" w:cs="Times New Roman"/>
              </w:rPr>
            </w:pPr>
            <w:r w:rsidRPr="00F90187">
              <w:rPr>
                <w:rFonts w:eastAsia="Calibri" w:cs="Times New Roman"/>
              </w:rPr>
              <w:t>496</w:t>
            </w:r>
          </w:p>
          <w:p w:rsidR="00F90187" w:rsidRPr="00F90187" w:rsidP="00F90187" w14:paraId="70F0D290" w14:textId="77777777">
            <w:pPr>
              <w:spacing w:after="160" w:line="259" w:lineRule="auto"/>
              <w:rPr>
                <w:rFonts w:eastAsia="Calibri" w:cs="Times New Roman"/>
              </w:rPr>
            </w:pPr>
            <w:r w:rsidRPr="00F90187">
              <w:rPr>
                <w:rFonts w:eastAsia="Calibri" w:cs="Times New Roman"/>
              </w:rPr>
              <w:t>$33,093.12</w:t>
            </w:r>
          </w:p>
        </w:tc>
      </w:tr>
      <w:tr w14:paraId="01B5AE76" w14:textId="77777777" w:rsidTr="009823AB">
        <w:tblPrEx>
          <w:tblW w:w="9583" w:type="dxa"/>
          <w:tblLook w:val="04A0"/>
        </w:tblPrEx>
        <w:tc>
          <w:tcPr>
            <w:tcW w:w="1675" w:type="dxa"/>
            <w:shd w:val="clear" w:color="auto" w:fill="auto"/>
          </w:tcPr>
          <w:p w:rsidR="00F90187" w:rsidRPr="00F90187" w:rsidP="00F90187" w14:paraId="3DE9E9BC" w14:textId="77777777">
            <w:pPr>
              <w:spacing w:after="160" w:line="259" w:lineRule="auto"/>
              <w:rPr>
                <w:rFonts w:eastAsia="Calibri" w:cs="Times New Roman"/>
                <w:b/>
              </w:rPr>
            </w:pPr>
            <w:r w:rsidRPr="00F90187">
              <w:rPr>
                <w:rFonts w:eastAsia="Calibri" w:cs="Times New Roman"/>
                <w:b/>
              </w:rPr>
              <w:t>Total for PRC-023-6</w:t>
            </w:r>
          </w:p>
          <w:p w:rsidR="00F90187" w:rsidRPr="00F90187" w:rsidP="00F90187" w14:paraId="51B89CAD" w14:textId="77777777">
            <w:pPr>
              <w:spacing w:after="160" w:line="259" w:lineRule="auto"/>
              <w:rPr>
                <w:rFonts w:eastAsia="Calibri" w:cs="Times New Roman"/>
                <w:b/>
              </w:rPr>
            </w:pPr>
            <w:r w:rsidRPr="00F90187">
              <w:rPr>
                <w:rFonts w:eastAsia="Calibri" w:cs="Times New Roman"/>
                <w:b/>
              </w:rPr>
              <w:t xml:space="preserve">One Time </w:t>
            </w:r>
            <w:r w:rsidRPr="00F90187">
              <w:rPr>
                <w:rFonts w:eastAsia="Calibri" w:cs="Times New Roman"/>
                <w:b/>
              </w:rPr>
              <w:t xml:space="preserve">Estimate - </w:t>
            </w:r>
            <w:r w:rsidRPr="00F90187">
              <w:rPr>
                <w:rFonts w:eastAsia="Calibri" w:cs="Times New Roman"/>
                <w:b/>
              </w:rPr>
              <w:t>Years 1 and 2</w:t>
            </w:r>
          </w:p>
        </w:tc>
        <w:tc>
          <w:tcPr>
            <w:tcW w:w="1386" w:type="dxa"/>
            <w:shd w:val="clear" w:color="auto" w:fill="auto"/>
          </w:tcPr>
          <w:p w:rsidR="00F90187" w:rsidRPr="00F90187" w:rsidP="00F90187" w14:paraId="325F6859" w14:textId="77777777">
            <w:pPr>
              <w:spacing w:after="160" w:line="259" w:lineRule="auto"/>
              <w:rPr>
                <w:rFonts w:eastAsia="Calibri" w:cs="Times New Roman"/>
                <w:b/>
              </w:rPr>
            </w:pPr>
          </w:p>
        </w:tc>
        <w:tc>
          <w:tcPr>
            <w:tcW w:w="1358" w:type="dxa"/>
            <w:shd w:val="clear" w:color="auto" w:fill="auto"/>
          </w:tcPr>
          <w:p w:rsidR="00F90187" w:rsidRPr="00F90187" w:rsidP="00F90187" w14:paraId="1132ED76" w14:textId="77777777">
            <w:pPr>
              <w:spacing w:after="160" w:line="259" w:lineRule="auto"/>
              <w:rPr>
                <w:rFonts w:eastAsia="Calibri" w:cs="Times New Roman"/>
              </w:rPr>
            </w:pPr>
          </w:p>
        </w:tc>
        <w:tc>
          <w:tcPr>
            <w:tcW w:w="1427" w:type="dxa"/>
            <w:shd w:val="clear" w:color="auto" w:fill="auto"/>
          </w:tcPr>
          <w:p w:rsidR="00F90187" w:rsidRPr="00F90187" w:rsidP="00F90187" w14:paraId="69CC7426" w14:textId="77777777">
            <w:pPr>
              <w:spacing w:after="160" w:line="259" w:lineRule="auto"/>
              <w:rPr>
                <w:rFonts w:eastAsia="Calibri" w:cs="Times New Roman"/>
                <w:b/>
              </w:rPr>
            </w:pPr>
            <w:r w:rsidRPr="00F90187">
              <w:rPr>
                <w:rFonts w:eastAsia="Calibri" w:cs="Times New Roman"/>
                <w:b/>
              </w:rPr>
              <w:t>1,930</w:t>
            </w:r>
          </w:p>
        </w:tc>
        <w:tc>
          <w:tcPr>
            <w:tcW w:w="1656" w:type="dxa"/>
            <w:shd w:val="clear" w:color="auto" w:fill="auto"/>
          </w:tcPr>
          <w:p w:rsidR="00F90187" w:rsidRPr="00F90187" w:rsidP="00F90187" w14:paraId="6390BD0E" w14:textId="77777777">
            <w:pPr>
              <w:rPr>
                <w:rFonts w:eastAsia="Calibri" w:cs="Times New Roman"/>
              </w:rPr>
            </w:pPr>
            <w:r w:rsidRPr="00F90187">
              <w:rPr>
                <w:rFonts w:eastAsia="Calibri" w:cs="Times New Roman"/>
              </w:rPr>
              <w:t>48 hrs.</w:t>
            </w:r>
          </w:p>
          <w:p w:rsidR="00F90187" w:rsidRPr="00F90187" w:rsidP="00F90187" w14:paraId="42B1A777" w14:textId="77777777">
            <w:pPr>
              <w:spacing w:after="160" w:line="259" w:lineRule="auto"/>
              <w:rPr>
                <w:rFonts w:eastAsia="Calibri" w:cs="Times New Roman"/>
              </w:rPr>
            </w:pPr>
            <w:r w:rsidRPr="00F90187">
              <w:rPr>
                <w:rFonts w:eastAsia="Calibri" w:cs="Times New Roman"/>
              </w:rPr>
              <w:t>$3,202.56</w:t>
            </w:r>
          </w:p>
        </w:tc>
        <w:tc>
          <w:tcPr>
            <w:tcW w:w="2081" w:type="dxa"/>
            <w:shd w:val="clear" w:color="auto" w:fill="auto"/>
          </w:tcPr>
          <w:p w:rsidR="00F90187" w:rsidRPr="00F90187" w:rsidP="00F90187" w14:paraId="347250DB" w14:textId="77777777">
            <w:pPr>
              <w:rPr>
                <w:rFonts w:eastAsia="Calibri" w:cs="Times New Roman"/>
              </w:rPr>
            </w:pPr>
            <w:r w:rsidRPr="00F90187">
              <w:rPr>
                <w:rFonts w:eastAsia="Calibri" w:cs="Times New Roman"/>
              </w:rPr>
              <w:t>27,416 hrs.</w:t>
            </w:r>
          </w:p>
          <w:p w:rsidR="00F90187" w:rsidRPr="00F90187" w:rsidP="00F90187" w14:paraId="2094A61F" w14:textId="77777777">
            <w:pPr>
              <w:spacing w:after="160" w:line="259" w:lineRule="auto"/>
              <w:rPr>
                <w:rFonts w:eastAsia="Calibri" w:cs="Times New Roman"/>
                <w:b/>
              </w:rPr>
            </w:pPr>
            <w:r w:rsidRPr="00F90187">
              <w:rPr>
                <w:rFonts w:eastAsia="Calibri" w:cs="Times New Roman"/>
                <w:bCs/>
              </w:rPr>
              <w:t>$1,829,195.52</w:t>
            </w:r>
          </w:p>
        </w:tc>
      </w:tr>
    </w:tbl>
    <w:p w:rsidR="004D1EF7" w:rsidP="004D1EF7" w14:paraId="1A0AB814"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bookmarkStart w:id="2" w:name="_Hlk126065378"/>
      <w:bookmarkEnd w:id="1"/>
    </w:p>
    <w:p w:rsidR="00F90187" w:rsidRPr="00F90187" w:rsidP="00C8643D" w14:paraId="31F28503" w14:textId="55041E49">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F90187">
        <w:rPr>
          <w:rFonts w:ascii="Times New Roman" w:eastAsia="Calibri" w:hAnsi="Times New Roman" w:cs="Times New Roman"/>
          <w:sz w:val="26"/>
          <w:szCs w:val="26"/>
        </w:rPr>
        <w:t>The one-time burden of 27,416 hours that only applies for Year 1 and 2 will be averaged over three years (27,416 hours ÷ 3 = 9,138.67 (9,138.67 – rounded) hours/year over three years). The number of responses is also averaged over three years (1,930 respon</w:t>
      </w:r>
      <w:r w:rsidRPr="00F90187">
        <w:rPr>
          <w:rFonts w:ascii="Times New Roman" w:eastAsia="Calibri" w:hAnsi="Times New Roman" w:cs="Times New Roman"/>
          <w:sz w:val="26"/>
          <w:szCs w:val="26"/>
        </w:rPr>
        <w:t>ses ÷ 3 = 643.33 (643.33 - rounded) responses/year).</w:t>
      </w:r>
    </w:p>
    <w:p w:rsidR="004D1EF7" w:rsidP="004D1EF7" w14:paraId="51A87942"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p>
    <w:p w:rsidR="00F90187" w:rsidP="004D1EF7" w14:paraId="3FE59B02" w14:textId="0B3A2BA1">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F90187">
        <w:rPr>
          <w:rFonts w:ascii="Times New Roman" w:eastAsia="Calibri" w:hAnsi="Times New Roman" w:cs="Times New Roman"/>
          <w:sz w:val="26"/>
          <w:szCs w:val="26"/>
        </w:rPr>
        <w:t>The responses and burden hours for Years 1-3 will total respectively as follows for one-time burden:</w:t>
      </w:r>
    </w:p>
    <w:p w:rsidR="004D1EF7" w:rsidRPr="00F90187" w:rsidP="00C8643D" w14:paraId="4C6057BE"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p>
    <w:p w:rsidR="00F90187" w:rsidRPr="00F90187" w:rsidP="00C8643D" w14:paraId="6678812D"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F90187">
        <w:rPr>
          <w:rFonts w:ascii="Times New Roman" w:eastAsia="Calibri" w:hAnsi="Times New Roman" w:cs="Times New Roman"/>
          <w:sz w:val="26"/>
          <w:szCs w:val="26"/>
        </w:rPr>
        <w:t>Year 1: 643.33 responses; 9,138.67 hours</w:t>
      </w:r>
    </w:p>
    <w:p w:rsidR="00F90187" w:rsidRPr="00F90187" w:rsidP="00C8643D" w14:paraId="3800994E"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F90187">
        <w:rPr>
          <w:rFonts w:ascii="Times New Roman" w:eastAsia="Calibri" w:hAnsi="Times New Roman" w:cs="Times New Roman"/>
          <w:sz w:val="26"/>
          <w:szCs w:val="26"/>
        </w:rPr>
        <w:t xml:space="preserve">Year 2: 643.33 responses; 9,138.67 hours </w:t>
      </w:r>
    </w:p>
    <w:p w:rsidR="00F90187" w:rsidRPr="00F90187" w:rsidP="00C8643D" w14:paraId="0A0605C7" w14:textId="77777777">
      <w:pPr>
        <w:tabs>
          <w:tab w:val="left" w:pos="720"/>
        </w:tabs>
        <w:autoSpaceDE w:val="0"/>
        <w:autoSpaceDN w:val="0"/>
        <w:adjustRightInd w:val="0"/>
        <w:spacing w:after="0" w:line="240" w:lineRule="auto"/>
        <w:rPr>
          <w:rFonts w:ascii="Times New Roman" w:eastAsia="Calibri" w:hAnsi="Times New Roman" w:cs="Times New Roman"/>
          <w:sz w:val="26"/>
          <w:szCs w:val="24"/>
        </w:rPr>
      </w:pPr>
      <w:r w:rsidRPr="00F90187">
        <w:rPr>
          <w:rFonts w:ascii="Times New Roman" w:eastAsia="Calibri" w:hAnsi="Times New Roman" w:cs="Times New Roman"/>
          <w:sz w:val="26"/>
          <w:szCs w:val="24"/>
        </w:rPr>
        <w:t xml:space="preserve">Year 3: 643.33 responses; 9,138.67 hours </w:t>
      </w:r>
      <w:bookmarkEnd w:id="2"/>
    </w:p>
    <w:p w:rsidR="009234F6" w:rsidRPr="009234F6" w:rsidP="009234F6" w14:paraId="24185EDD" w14:textId="77777777">
      <w:pPr>
        <w:spacing w:after="0" w:line="240" w:lineRule="auto"/>
        <w:rPr>
          <w:rFonts w:ascii="Times New Roman" w:hAnsi="Times New Roman" w:cs="Times New Roman"/>
          <w:b/>
          <w:bCs/>
          <w:sz w:val="24"/>
          <w:szCs w:val="24"/>
        </w:rPr>
      </w:pPr>
    </w:p>
    <w:p w:rsidR="00D80FBD" w:rsidRPr="00BD0FD5" w:rsidP="0092596C" w14:paraId="55FC0745"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ESTIMATE OF THE TOTAL ANNUAL COST BURDEN TO RESPONDENTS</w:t>
      </w:r>
    </w:p>
    <w:p w:rsidR="00E636D7" w:rsidRPr="00BD0FD5" w:rsidP="0092596C" w14:paraId="40AFCABE" w14:textId="77777777">
      <w:pPr>
        <w:spacing w:after="0" w:line="240" w:lineRule="auto"/>
        <w:rPr>
          <w:rFonts w:ascii="Times New Roman" w:hAnsi="Times New Roman" w:cs="Times New Roman"/>
          <w:sz w:val="24"/>
          <w:szCs w:val="24"/>
        </w:rPr>
      </w:pPr>
    </w:p>
    <w:p w:rsidR="004552E9" w:rsidRPr="00BD0FD5" w:rsidP="0092596C" w14:paraId="3301AB59" w14:textId="77777777">
      <w:pPr>
        <w:spacing w:after="0" w:line="240" w:lineRule="auto"/>
        <w:rPr>
          <w:rFonts w:ascii="Times New Roman" w:hAnsi="Times New Roman"/>
          <w:sz w:val="24"/>
          <w:szCs w:val="24"/>
        </w:rPr>
      </w:pPr>
      <w:r w:rsidRPr="00BD0FD5">
        <w:rPr>
          <w:rFonts w:ascii="Times New Roman" w:hAnsi="Times New Roman"/>
          <w:sz w:val="24"/>
          <w:szCs w:val="24"/>
        </w:rPr>
        <w:t xml:space="preserve">There is no start-up or other non-labor hour cost associated with </w:t>
      </w:r>
      <w:r w:rsidRPr="00BD0FD5" w:rsidR="006A5231">
        <w:rPr>
          <w:rFonts w:ascii="Times New Roman" w:hAnsi="Times New Roman"/>
          <w:sz w:val="24"/>
          <w:szCs w:val="24"/>
        </w:rPr>
        <w:t>this collection</w:t>
      </w:r>
      <w:r w:rsidRPr="00BD0FD5">
        <w:rPr>
          <w:rFonts w:ascii="Times New Roman" w:hAnsi="Times New Roman"/>
          <w:sz w:val="24"/>
          <w:szCs w:val="24"/>
        </w:rPr>
        <w:t xml:space="preserve">.  </w:t>
      </w:r>
    </w:p>
    <w:p w:rsidR="00E636D7" w:rsidRPr="00BD0FD5" w:rsidP="0092596C" w14:paraId="62174461" w14:textId="77777777">
      <w:pPr>
        <w:spacing w:after="0" w:line="240" w:lineRule="auto"/>
        <w:rPr>
          <w:rFonts w:ascii="Times New Roman" w:hAnsi="Times New Roman" w:cs="Times New Roman"/>
          <w:sz w:val="24"/>
          <w:szCs w:val="24"/>
        </w:rPr>
      </w:pPr>
    </w:p>
    <w:p w:rsidR="00E636D7" w:rsidRPr="00BD0FD5" w:rsidP="0092596C" w14:paraId="31A72F48"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ESTIMATED ANNUALIZED COST TO FEDERAL GOVERNMENT</w:t>
      </w:r>
    </w:p>
    <w:p w:rsidR="00A276F5" w:rsidRPr="00BD0FD5" w:rsidP="0092596C" w14:paraId="75CDA22A" w14:textId="77777777">
      <w:pPr>
        <w:spacing w:after="0" w:line="240" w:lineRule="auto"/>
        <w:rPr>
          <w:rFonts w:ascii="Times New Roman" w:hAnsi="Times New Roman" w:cs="Times New Roman"/>
          <w:sz w:val="24"/>
          <w:szCs w:val="24"/>
        </w:rPr>
      </w:pPr>
    </w:p>
    <w:p w:rsidR="001B66CF" w:rsidRPr="00E77E8F" w:rsidP="0097474C" w14:paraId="6CD30A42" w14:textId="30256311">
      <w:pPr>
        <w:spacing w:after="0" w:line="240" w:lineRule="auto"/>
        <w:rPr>
          <w:rFonts w:ascii="Times New Roman" w:eastAsia="Calibri" w:hAnsi="Times New Roman" w:cs="Times New Roman"/>
          <w:sz w:val="24"/>
          <w:szCs w:val="24"/>
        </w:rPr>
      </w:pPr>
      <w:r w:rsidRPr="113B20EC">
        <w:rPr>
          <w:rFonts w:ascii="Times New Roman" w:eastAsia="Calibri" w:hAnsi="Times New Roman" w:cs="Times New Roman"/>
          <w:sz w:val="24"/>
          <w:szCs w:val="24"/>
        </w:rPr>
        <w:t>The</w:t>
      </w:r>
      <w:r w:rsidRPr="113B20EC" w:rsidR="00FB33D9">
        <w:rPr>
          <w:rFonts w:ascii="Times New Roman" w:eastAsia="Calibri" w:hAnsi="Times New Roman" w:cs="Times New Roman"/>
          <w:sz w:val="24"/>
          <w:szCs w:val="24"/>
        </w:rPr>
        <w:t xml:space="preserve"> estimate of the cost for ‘analysis and processing of filings’</w:t>
      </w:r>
      <w:r w:rsidRPr="113B20EC" w:rsidR="00FB33D9">
        <w:rPr>
          <w:rFonts w:ascii="Times New Roman" w:eastAsia="Calibri" w:hAnsi="Times New Roman" w:cs="Times New Roman"/>
          <w:sz w:val="24"/>
          <w:szCs w:val="24"/>
          <w:vertAlign w:val="superscript"/>
        </w:rPr>
        <w:t xml:space="preserve"> </w:t>
      </w:r>
      <w:r w:rsidRPr="113B20EC" w:rsidR="00FB33D9">
        <w:rPr>
          <w:rFonts w:ascii="Times New Roman" w:eastAsia="Calibri" w:hAnsi="Times New Roman" w:cs="Times New Roman"/>
          <w:sz w:val="24"/>
          <w:szCs w:val="24"/>
        </w:rPr>
        <w:t>is based on salaries and benefits for professional and clerical support.  This estimated cost represents staff analysis, decision-making, and review of any actual filings submitted in response to the information collection</w:t>
      </w:r>
      <w:r w:rsidR="008855AE">
        <w:rPr>
          <w:rFonts w:ascii="Times New Roman" w:eastAsia="Calibri" w:hAnsi="Times New Roman" w:cs="Times New Roman"/>
          <w:sz w:val="24"/>
          <w:szCs w:val="24"/>
        </w:rPr>
        <w:t xml:space="preserve"> </w:t>
      </w:r>
      <w:r w:rsidR="008855AE">
        <w:rPr>
          <w:rFonts w:ascii="Times New Roman" w:hAnsi="Times New Roman" w:cs="Times New Roman"/>
          <w:sz w:val="24"/>
          <w:szCs w:val="24"/>
        </w:rPr>
        <w:t>a</w:t>
      </w:r>
      <w:r w:rsidRPr="113B20EC">
        <w:rPr>
          <w:rFonts w:ascii="Times New Roman" w:hAnsi="Times New Roman" w:cs="Times New Roman"/>
          <w:sz w:val="24"/>
          <w:szCs w:val="24"/>
        </w:rPr>
        <w:t>re</w:t>
      </w:r>
      <w:r w:rsidR="00A76D06">
        <w:rPr>
          <w:rFonts w:ascii="Times New Roman" w:hAnsi="Times New Roman" w:cs="Times New Roman"/>
          <w:sz w:val="24"/>
          <w:szCs w:val="24"/>
        </w:rPr>
        <w:t xml:space="preserve"> </w:t>
      </w:r>
      <w:r w:rsidRPr="113B20EC">
        <w:rPr>
          <w:rFonts w:ascii="Times New Roman" w:hAnsi="Times New Roman" w:cs="Times New Roman"/>
          <w:sz w:val="24"/>
          <w:szCs w:val="24"/>
        </w:rPr>
        <w:t xml:space="preserve">the applicable “Compliance Enforcement Authority.” As defined by Reliability Standard PRC-023-6, the Compliance Enforcement Authority means </w:t>
      </w:r>
    </w:p>
    <w:p w:rsidR="001B66CF" w:rsidRPr="00E77E8F" w:rsidP="001B66CF" w14:paraId="773D807B" w14:textId="77777777">
      <w:pPr>
        <w:spacing w:after="0" w:line="240" w:lineRule="auto"/>
        <w:rPr>
          <w:rFonts w:ascii="Times New Roman" w:eastAsia="Calibri" w:hAnsi="Times New Roman" w:cs="Times New Roman"/>
          <w:sz w:val="24"/>
          <w:szCs w:val="24"/>
        </w:rPr>
      </w:pPr>
    </w:p>
    <w:p w:rsidR="001B66CF" w:rsidRPr="00E77E8F" w:rsidP="001B66CF" w14:paraId="0D76EE4A" w14:textId="77777777">
      <w:pPr>
        <w:spacing w:after="0" w:line="240" w:lineRule="auto"/>
        <w:rPr>
          <w:rFonts w:ascii="Times New Roman" w:eastAsia="Calibri" w:hAnsi="Times New Roman" w:cs="Times New Roman"/>
          <w:sz w:val="24"/>
          <w:szCs w:val="24"/>
        </w:rPr>
      </w:pPr>
      <w:r w:rsidRPr="00E77E8F">
        <w:rPr>
          <w:rFonts w:ascii="Times New Roman" w:eastAsia="Calibri" w:hAnsi="Times New Roman" w:cs="Times New Roman"/>
          <w:sz w:val="24"/>
          <w:szCs w:val="24"/>
        </w:rPr>
        <w:t>The Paperwork Reduction Act (PRA) Administrative Cost is the average annual FERC</w:t>
      </w:r>
      <w:r w:rsidRPr="00E77E8F">
        <w:rPr>
          <w:rFonts w:ascii="Times New Roman" w:eastAsia="Calibri" w:hAnsi="Times New Roman" w:cs="Times New Roman"/>
          <w:sz w:val="24"/>
          <w:szCs w:val="24"/>
        </w:rPr>
        <w:t xml:space="preserve"> cost associated with preparing, issuing, and submitting materials necessary to comply with the PRA for rulemakings, orders, or any other vehicle used to create, modify, extend, or discontinue an information collection.  It also includes the cost of publis</w:t>
      </w:r>
      <w:r w:rsidRPr="00E77E8F">
        <w:rPr>
          <w:rFonts w:ascii="Times New Roman" w:eastAsia="Calibri" w:hAnsi="Times New Roman" w:cs="Times New Roman"/>
          <w:sz w:val="24"/>
          <w:szCs w:val="24"/>
        </w:rPr>
        <w:t>hing the necessary notices in the Federal Register.</w:t>
      </w:r>
    </w:p>
    <w:p w:rsidR="001B66CF" w:rsidRPr="00E77E8F" w:rsidP="001B66CF" w14:paraId="26A04D40" w14:textId="77777777">
      <w:pPr>
        <w:tabs>
          <w:tab w:val="left" w:pos="-1440"/>
        </w:tabs>
        <w:autoSpaceDE w:val="0"/>
        <w:autoSpaceDN w:val="0"/>
        <w:adjustRightInd w:val="0"/>
        <w:spacing w:after="0" w:line="240" w:lineRule="auto"/>
        <w:ind w:left="720" w:hanging="720"/>
        <w:rPr>
          <w:rFonts w:ascii="Times New Roman" w:eastAsia="Times New Roman" w:hAnsi="Times New Roman" w:cs="Times New Roman"/>
          <w:b/>
          <w:bCs/>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3985"/>
      </w:tblGrid>
      <w:tr w14:paraId="70A17124" w14:textId="77777777" w:rsidTr="007C5EB4">
        <w:tblPrEx>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shd w:val="clear" w:color="auto" w:fill="CCCCCC"/>
          </w:tcPr>
          <w:p w:rsidR="001B66CF" w:rsidRPr="00354626" w:rsidP="00D517AE" w14:paraId="6EC044D9" w14:textId="77777777">
            <w:pPr>
              <w:autoSpaceDE w:val="0"/>
              <w:autoSpaceDN w:val="0"/>
              <w:adjustRightInd w:val="0"/>
              <w:spacing w:after="0" w:line="240" w:lineRule="auto"/>
              <w:jc w:val="center"/>
              <w:rPr>
                <w:rFonts w:ascii="Times New Roman" w:eastAsia="Times New Roman" w:hAnsi="Times New Roman" w:cs="Times New Roman"/>
                <w:b/>
                <w:bCs/>
                <w:sz w:val="26"/>
                <w:szCs w:val="26"/>
              </w:rPr>
            </w:pPr>
            <w:r w:rsidRPr="00354626">
              <w:rPr>
                <w:rFonts w:ascii="Times New Roman" w:eastAsia="Times New Roman" w:hAnsi="Times New Roman" w:cs="Times New Roman"/>
                <w:b/>
                <w:bCs/>
                <w:sz w:val="26"/>
                <w:szCs w:val="26"/>
              </w:rPr>
              <w:t>FERC-725G</w:t>
            </w:r>
          </w:p>
        </w:tc>
        <w:tc>
          <w:tcPr>
            <w:tcW w:w="3201" w:type="dxa"/>
            <w:shd w:val="clear" w:color="auto" w:fill="CCCCCC"/>
          </w:tcPr>
          <w:p w:rsidR="001B66CF" w:rsidRPr="001B66CF" w:rsidP="001B66CF" w14:paraId="611E264D" w14:textId="77777777">
            <w:pPr>
              <w:autoSpaceDE w:val="0"/>
              <w:autoSpaceDN w:val="0"/>
              <w:adjustRightInd w:val="0"/>
              <w:spacing w:after="0" w:line="240" w:lineRule="auto"/>
              <w:rPr>
                <w:rFonts w:ascii="Times New Roman" w:eastAsia="Times New Roman" w:hAnsi="Times New Roman" w:cs="Times New Roman"/>
                <w:b/>
                <w:sz w:val="26"/>
                <w:szCs w:val="26"/>
              </w:rPr>
            </w:pPr>
            <w:r w:rsidRPr="001B66CF">
              <w:rPr>
                <w:rFonts w:ascii="Times New Roman" w:eastAsia="Times New Roman" w:hAnsi="Times New Roman" w:cs="Times New Roman"/>
                <w:b/>
                <w:sz w:val="26"/>
                <w:szCs w:val="26"/>
              </w:rPr>
              <w:t>Number of Employees (FTEs)</w:t>
            </w:r>
          </w:p>
        </w:tc>
        <w:tc>
          <w:tcPr>
            <w:tcW w:w="3985" w:type="dxa"/>
            <w:shd w:val="clear" w:color="auto" w:fill="CCCCCC"/>
          </w:tcPr>
          <w:p w:rsidR="001B66CF" w:rsidRPr="001B66CF" w:rsidP="001B66CF" w14:paraId="5CB04059" w14:textId="77777777">
            <w:pPr>
              <w:autoSpaceDE w:val="0"/>
              <w:autoSpaceDN w:val="0"/>
              <w:adjustRightInd w:val="0"/>
              <w:spacing w:after="0" w:line="240" w:lineRule="auto"/>
              <w:rPr>
                <w:rFonts w:ascii="Times New Roman" w:eastAsia="Times New Roman" w:hAnsi="Times New Roman" w:cs="Times New Roman"/>
                <w:b/>
                <w:sz w:val="26"/>
                <w:szCs w:val="26"/>
              </w:rPr>
            </w:pPr>
            <w:r w:rsidRPr="001B66CF">
              <w:rPr>
                <w:rFonts w:ascii="Times New Roman" w:eastAsia="Times New Roman" w:hAnsi="Times New Roman" w:cs="Times New Roman"/>
                <w:b/>
                <w:sz w:val="26"/>
                <w:szCs w:val="26"/>
              </w:rPr>
              <w:t>Estimated Annual Federal Cost</w:t>
            </w:r>
          </w:p>
        </w:tc>
      </w:tr>
      <w:tr w14:paraId="0836D02F" w14:textId="77777777" w:rsidTr="007C5EB4">
        <w:tblPrEx>
          <w:tblW w:w="10368" w:type="dxa"/>
          <w:tblLook w:val="01E0"/>
        </w:tblPrEx>
        <w:tc>
          <w:tcPr>
            <w:tcW w:w="3182" w:type="dxa"/>
            <w:shd w:val="clear" w:color="auto" w:fill="auto"/>
          </w:tcPr>
          <w:p w:rsidR="001B66CF" w:rsidRPr="001B66CF" w:rsidP="001B66CF" w14:paraId="7C7E77F9" w14:textId="77777777">
            <w:pPr>
              <w:autoSpaceDE w:val="0"/>
              <w:autoSpaceDN w:val="0"/>
              <w:adjustRightInd w:val="0"/>
              <w:spacing w:after="0" w:line="240" w:lineRule="auto"/>
              <w:rPr>
                <w:rFonts w:ascii="Times New Roman" w:eastAsia="Times New Roman" w:hAnsi="Times New Roman" w:cs="Times New Roman"/>
                <w:sz w:val="26"/>
                <w:szCs w:val="26"/>
              </w:rPr>
            </w:pPr>
            <w:r w:rsidRPr="001B66CF">
              <w:rPr>
                <w:rFonts w:ascii="Times New Roman" w:eastAsia="Times New Roman" w:hAnsi="Times New Roman" w:cs="Times New Roman"/>
                <w:sz w:val="26"/>
                <w:szCs w:val="26"/>
              </w:rPr>
              <w:t>Analysis and Processing of filings</w:t>
            </w:r>
          </w:p>
        </w:tc>
        <w:tc>
          <w:tcPr>
            <w:tcW w:w="3201" w:type="dxa"/>
            <w:shd w:val="clear" w:color="auto" w:fill="auto"/>
            <w:vAlign w:val="center"/>
          </w:tcPr>
          <w:p w:rsidR="001B66CF" w:rsidRPr="001B66CF" w:rsidP="001B66CF" w14:paraId="1ACD7C14" w14:textId="77777777">
            <w:pPr>
              <w:autoSpaceDE w:val="0"/>
              <w:autoSpaceDN w:val="0"/>
              <w:adjustRightInd w:val="0"/>
              <w:spacing w:after="0" w:line="240" w:lineRule="auto"/>
              <w:jc w:val="right"/>
              <w:rPr>
                <w:rFonts w:ascii="Times New Roman" w:eastAsia="Times New Roman" w:hAnsi="Times New Roman" w:cs="Times New Roman"/>
                <w:sz w:val="26"/>
                <w:szCs w:val="26"/>
              </w:rPr>
            </w:pPr>
            <w:r w:rsidRPr="001B66CF">
              <w:rPr>
                <w:rFonts w:ascii="Times New Roman" w:eastAsia="Times New Roman" w:hAnsi="Times New Roman" w:cs="Times New Roman"/>
                <w:sz w:val="26"/>
                <w:szCs w:val="26"/>
              </w:rPr>
              <w:t>0</w:t>
            </w:r>
          </w:p>
        </w:tc>
        <w:tc>
          <w:tcPr>
            <w:tcW w:w="3985" w:type="dxa"/>
            <w:shd w:val="clear" w:color="auto" w:fill="auto"/>
            <w:vAlign w:val="center"/>
          </w:tcPr>
          <w:p w:rsidR="001B66CF" w:rsidRPr="001B66CF" w:rsidP="001B66CF" w14:paraId="581DBF0A" w14:textId="77777777">
            <w:pPr>
              <w:autoSpaceDE w:val="0"/>
              <w:autoSpaceDN w:val="0"/>
              <w:adjustRightInd w:val="0"/>
              <w:spacing w:after="0" w:line="240" w:lineRule="auto"/>
              <w:jc w:val="right"/>
              <w:rPr>
                <w:rFonts w:ascii="Times New Roman" w:eastAsia="Times New Roman" w:hAnsi="Times New Roman" w:cs="Times New Roman"/>
                <w:sz w:val="26"/>
                <w:szCs w:val="26"/>
                <w:highlight w:val="yellow"/>
              </w:rPr>
            </w:pPr>
            <w:r w:rsidRPr="001B66CF">
              <w:rPr>
                <w:rFonts w:ascii="Times New Roman" w:eastAsia="Times New Roman" w:hAnsi="Times New Roman" w:cs="Times New Roman"/>
                <w:sz w:val="26"/>
                <w:szCs w:val="26"/>
              </w:rPr>
              <w:t>$0</w:t>
            </w:r>
          </w:p>
        </w:tc>
      </w:tr>
      <w:tr w14:paraId="4DB61E9A" w14:textId="77777777" w:rsidTr="007C5EB4">
        <w:tblPrEx>
          <w:tblW w:w="10368" w:type="dxa"/>
          <w:tblLook w:val="01E0"/>
        </w:tblPrEx>
        <w:tc>
          <w:tcPr>
            <w:tcW w:w="3182" w:type="dxa"/>
            <w:shd w:val="clear" w:color="auto" w:fill="auto"/>
          </w:tcPr>
          <w:p w:rsidR="001B66CF" w:rsidRPr="001B66CF" w:rsidP="001B66CF" w14:paraId="39DD3D9E" w14:textId="77777777">
            <w:pPr>
              <w:autoSpaceDE w:val="0"/>
              <w:autoSpaceDN w:val="0"/>
              <w:adjustRightInd w:val="0"/>
              <w:spacing w:after="0" w:line="240" w:lineRule="auto"/>
              <w:rPr>
                <w:rFonts w:ascii="Times New Roman" w:eastAsia="Times New Roman" w:hAnsi="Times New Roman" w:cs="Times New Roman"/>
                <w:sz w:val="26"/>
                <w:szCs w:val="26"/>
              </w:rPr>
            </w:pPr>
            <w:r w:rsidRPr="001B66CF">
              <w:rPr>
                <w:rFonts w:ascii="Times New Roman" w:eastAsia="Times New Roman" w:hAnsi="Times New Roman" w:cs="Times New Roman"/>
                <w:sz w:val="26"/>
                <w:szCs w:val="26"/>
              </w:rPr>
              <w:t>PRA Administrative Cost</w:t>
            </w:r>
          </w:p>
        </w:tc>
        <w:tc>
          <w:tcPr>
            <w:tcW w:w="3201" w:type="dxa"/>
            <w:shd w:val="clear" w:color="auto" w:fill="auto"/>
            <w:vAlign w:val="center"/>
          </w:tcPr>
          <w:p w:rsidR="001B66CF" w:rsidRPr="001B66CF" w:rsidP="001B66CF" w14:paraId="7791A61E" w14:textId="77777777">
            <w:pPr>
              <w:autoSpaceDE w:val="0"/>
              <w:autoSpaceDN w:val="0"/>
              <w:adjustRightInd w:val="0"/>
              <w:spacing w:after="0" w:line="240" w:lineRule="auto"/>
              <w:jc w:val="right"/>
              <w:rPr>
                <w:rFonts w:ascii="Times New Roman" w:eastAsia="Times New Roman" w:hAnsi="Times New Roman" w:cs="Times New Roman"/>
                <w:sz w:val="26"/>
                <w:szCs w:val="26"/>
              </w:rPr>
            </w:pPr>
          </w:p>
        </w:tc>
        <w:tc>
          <w:tcPr>
            <w:tcW w:w="3985" w:type="dxa"/>
            <w:shd w:val="clear" w:color="auto" w:fill="auto"/>
            <w:vAlign w:val="center"/>
          </w:tcPr>
          <w:p w:rsidR="001B66CF" w:rsidRPr="001B66CF" w:rsidP="001B66CF" w14:paraId="299ED74B" w14:textId="77777777">
            <w:pPr>
              <w:autoSpaceDE w:val="0"/>
              <w:autoSpaceDN w:val="0"/>
              <w:adjustRightInd w:val="0"/>
              <w:spacing w:after="0" w:line="240" w:lineRule="auto"/>
              <w:jc w:val="right"/>
              <w:rPr>
                <w:rFonts w:ascii="Times New Roman" w:eastAsia="Times New Roman" w:hAnsi="Times New Roman" w:cs="Times New Roman"/>
                <w:sz w:val="26"/>
                <w:szCs w:val="26"/>
              </w:rPr>
            </w:pPr>
            <w:r w:rsidRPr="001B66CF">
              <w:rPr>
                <w:rFonts w:ascii="Times New Roman" w:eastAsia="Times New Roman" w:hAnsi="Times New Roman" w:cs="Times New Roman"/>
                <w:sz w:val="26"/>
                <w:szCs w:val="26"/>
              </w:rPr>
              <w:t>$</w:t>
            </w:r>
            <w:r w:rsidR="00F90187">
              <w:rPr>
                <w:rFonts w:ascii="Times New Roman" w:eastAsia="Times New Roman" w:hAnsi="Times New Roman" w:cs="Times New Roman"/>
                <w:sz w:val="26"/>
                <w:szCs w:val="26"/>
              </w:rPr>
              <w:t>8,396</w:t>
            </w:r>
          </w:p>
        </w:tc>
      </w:tr>
      <w:tr w14:paraId="029F50B9" w14:textId="77777777" w:rsidTr="007C5EB4">
        <w:tblPrEx>
          <w:tblW w:w="10368" w:type="dxa"/>
          <w:tblLook w:val="01E0"/>
        </w:tblPrEx>
        <w:tc>
          <w:tcPr>
            <w:tcW w:w="3182" w:type="dxa"/>
            <w:shd w:val="clear" w:color="auto" w:fill="auto"/>
          </w:tcPr>
          <w:p w:rsidR="001B66CF" w:rsidRPr="001B66CF" w:rsidP="001B66CF" w14:paraId="5EC0E94A" w14:textId="77777777">
            <w:pPr>
              <w:autoSpaceDE w:val="0"/>
              <w:autoSpaceDN w:val="0"/>
              <w:adjustRightInd w:val="0"/>
              <w:spacing w:after="0" w:line="240" w:lineRule="auto"/>
              <w:rPr>
                <w:rFonts w:ascii="Times New Roman" w:eastAsia="Times New Roman" w:hAnsi="Times New Roman" w:cs="Times New Roman"/>
                <w:b/>
                <w:sz w:val="26"/>
                <w:szCs w:val="26"/>
              </w:rPr>
            </w:pPr>
            <w:r w:rsidRPr="001B66CF">
              <w:rPr>
                <w:rFonts w:ascii="Times New Roman" w:eastAsia="Times New Roman" w:hAnsi="Times New Roman" w:cs="Times New Roman"/>
                <w:b/>
                <w:sz w:val="26"/>
                <w:szCs w:val="26"/>
              </w:rPr>
              <w:t>FERC Total</w:t>
            </w:r>
          </w:p>
        </w:tc>
        <w:tc>
          <w:tcPr>
            <w:tcW w:w="3201" w:type="dxa"/>
            <w:shd w:val="clear" w:color="auto" w:fill="auto"/>
            <w:vAlign w:val="center"/>
          </w:tcPr>
          <w:p w:rsidR="001B66CF" w:rsidRPr="001B66CF" w:rsidP="001B66CF" w14:paraId="29C29294" w14:textId="77777777">
            <w:pPr>
              <w:autoSpaceDE w:val="0"/>
              <w:autoSpaceDN w:val="0"/>
              <w:adjustRightInd w:val="0"/>
              <w:spacing w:after="0" w:line="240" w:lineRule="auto"/>
              <w:jc w:val="right"/>
              <w:rPr>
                <w:rFonts w:ascii="Times New Roman" w:eastAsia="Times New Roman" w:hAnsi="Times New Roman" w:cs="Times New Roman"/>
                <w:sz w:val="26"/>
                <w:szCs w:val="26"/>
              </w:rPr>
            </w:pPr>
          </w:p>
        </w:tc>
        <w:tc>
          <w:tcPr>
            <w:tcW w:w="3985" w:type="dxa"/>
            <w:shd w:val="clear" w:color="auto" w:fill="auto"/>
            <w:vAlign w:val="center"/>
          </w:tcPr>
          <w:p w:rsidR="001B66CF" w:rsidRPr="001B66CF" w:rsidP="001B66CF" w14:paraId="287DF150" w14:textId="77777777">
            <w:pPr>
              <w:autoSpaceDE w:val="0"/>
              <w:autoSpaceDN w:val="0"/>
              <w:adjustRightInd w:val="0"/>
              <w:spacing w:after="0" w:line="240" w:lineRule="auto"/>
              <w:jc w:val="right"/>
              <w:rPr>
                <w:rFonts w:ascii="Times New Roman" w:eastAsia="Times New Roman" w:hAnsi="Times New Roman" w:cs="Times New Roman"/>
                <w:sz w:val="26"/>
                <w:szCs w:val="26"/>
                <w:highlight w:val="yellow"/>
              </w:rPr>
            </w:pPr>
            <w:r w:rsidRPr="001B66CF">
              <w:rPr>
                <w:rFonts w:ascii="Times New Roman" w:eastAsia="Times New Roman" w:hAnsi="Times New Roman" w:cs="Times New Roman"/>
                <w:sz w:val="26"/>
                <w:szCs w:val="26"/>
              </w:rPr>
              <w:t>$</w:t>
            </w:r>
            <w:r w:rsidR="00F90187">
              <w:rPr>
                <w:rFonts w:ascii="Times New Roman" w:eastAsia="Times New Roman" w:hAnsi="Times New Roman" w:cs="Times New Roman"/>
                <w:sz w:val="26"/>
                <w:szCs w:val="26"/>
              </w:rPr>
              <w:t>8,396</w:t>
            </w:r>
          </w:p>
        </w:tc>
      </w:tr>
    </w:tbl>
    <w:p w:rsidR="001B66CF" w:rsidRPr="001B66CF" w:rsidP="001B66CF" w14:paraId="34E887B3" w14:textId="77777777">
      <w:pPr>
        <w:autoSpaceDE w:val="0"/>
        <w:autoSpaceDN w:val="0"/>
        <w:adjustRightInd w:val="0"/>
        <w:spacing w:after="0" w:line="240" w:lineRule="auto"/>
        <w:rPr>
          <w:rFonts w:ascii="Times New Roman" w:eastAsia="Times New Roman" w:hAnsi="Times New Roman" w:cs="Times New Roman"/>
          <w:sz w:val="26"/>
          <w:szCs w:val="26"/>
        </w:rPr>
      </w:pPr>
    </w:p>
    <w:p w:rsidR="00A276F5" w:rsidP="0092596C" w14:paraId="57AAA43D"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 xml:space="preserve">REASONS FOR CHANGES IN BURDEN </w:t>
      </w:r>
      <w:r w:rsidRPr="00BD0FD5">
        <w:rPr>
          <w:rFonts w:ascii="Times New Roman" w:hAnsi="Times New Roman" w:cs="Times New Roman"/>
          <w:b/>
          <w:sz w:val="24"/>
          <w:szCs w:val="24"/>
        </w:rPr>
        <w:t>INCLUDING THE NEED FOR ANY INCREAS</w:t>
      </w:r>
      <w:r w:rsidR="007D2B60">
        <w:rPr>
          <w:rFonts w:ascii="Times New Roman" w:hAnsi="Times New Roman" w:cs="Times New Roman"/>
          <w:b/>
          <w:sz w:val="24"/>
          <w:szCs w:val="24"/>
        </w:rPr>
        <w:t>E</w:t>
      </w:r>
    </w:p>
    <w:p w:rsidR="008624F0" w:rsidP="008624F0" w14:paraId="486B8A35" w14:textId="77777777">
      <w:pPr>
        <w:pStyle w:val="ListParagraph"/>
        <w:spacing w:after="0" w:line="240" w:lineRule="auto"/>
        <w:ind w:left="360"/>
        <w:rPr>
          <w:rFonts w:ascii="Times New Roman" w:hAnsi="Times New Roman" w:cs="Times New Roman"/>
          <w:b/>
          <w:sz w:val="24"/>
          <w:szCs w:val="24"/>
        </w:rPr>
      </w:pPr>
    </w:p>
    <w:p w:rsidR="007D2B60" w:rsidRPr="008624F0" w:rsidP="008624F0" w14:paraId="60A1E91F" w14:textId="77777777">
      <w:pPr>
        <w:spacing w:after="0" w:line="240" w:lineRule="auto"/>
        <w:rPr>
          <w:rFonts w:ascii="Times New Roman" w:hAnsi="Times New Roman" w:cs="Times New Roman"/>
          <w:bCs/>
          <w:sz w:val="24"/>
          <w:szCs w:val="24"/>
        </w:rPr>
      </w:pPr>
      <w:r w:rsidRPr="008624F0">
        <w:rPr>
          <w:rFonts w:ascii="Times New Roman" w:hAnsi="Times New Roman" w:cs="Times New Roman"/>
          <w:bCs/>
          <w:sz w:val="24"/>
          <w:szCs w:val="24"/>
        </w:rPr>
        <w:t xml:space="preserve">The following table shows the total burden for the collection of information.  The format, labels, and definitions of the table follow the ROCIS submission system’s “Information Collection Request Summary of </w:t>
      </w:r>
      <w:r w:rsidRPr="008624F0">
        <w:rPr>
          <w:rFonts w:ascii="Times New Roman" w:hAnsi="Times New Roman" w:cs="Times New Roman"/>
          <w:bCs/>
          <w:sz w:val="24"/>
          <w:szCs w:val="24"/>
        </w:rPr>
        <w:t>Burden” for the metadata.</w:t>
      </w:r>
    </w:p>
    <w:p w:rsidR="007D2B60" w:rsidRPr="008624F0" w:rsidP="007D2B60" w14:paraId="3E792A3F" w14:textId="77777777">
      <w:pPr>
        <w:spacing w:after="0" w:line="240" w:lineRule="auto"/>
        <w:rPr>
          <w:rFonts w:ascii="Times New Roman" w:hAnsi="Times New Roman" w:cs="Times New Roman"/>
          <w:bCs/>
          <w:sz w:val="24"/>
          <w:szCs w:val="24"/>
        </w:rPr>
      </w:pP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5"/>
        <w:gridCol w:w="1666"/>
        <w:gridCol w:w="1386"/>
        <w:gridCol w:w="1748"/>
        <w:gridCol w:w="2311"/>
      </w:tblGrid>
      <w:tr w14:paraId="19243B74" w14:textId="77777777" w:rsidTr="2CB65026">
        <w:tblPrEx>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11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7D2B60" w:rsidRPr="007D2B60" w:rsidP="007D2B60" w14:paraId="49568083" w14:textId="77777777">
            <w:pPr>
              <w:spacing w:after="160" w:line="240" w:lineRule="auto"/>
              <w:rPr>
                <w:rFonts w:ascii="Times New Roman" w:eastAsia="Calibri" w:hAnsi="Times New Roman" w:cs="Times New Roman"/>
                <w:b/>
                <w:sz w:val="26"/>
                <w:szCs w:val="26"/>
              </w:rPr>
            </w:pPr>
            <w:r w:rsidRPr="007D2B60">
              <w:rPr>
                <w:rFonts w:ascii="Times New Roman" w:eastAsia="Calibri" w:hAnsi="Times New Roman" w:cs="Times New Roman"/>
                <w:b/>
                <w:sz w:val="26"/>
                <w:szCs w:val="26"/>
              </w:rPr>
              <w:t>FERC-725G</w:t>
            </w:r>
          </w:p>
        </w:tc>
        <w:tc>
          <w:tcPr>
            <w:tcW w:w="8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7D2B60" w:rsidRPr="007D2B60" w:rsidP="007D2B60" w14:paraId="168D0253" w14:textId="77777777">
            <w:pPr>
              <w:spacing w:after="160" w:line="240" w:lineRule="auto"/>
              <w:rPr>
                <w:rFonts w:ascii="Times New Roman" w:eastAsia="Calibri" w:hAnsi="Times New Roman" w:cs="Times New Roman"/>
                <w:b/>
                <w:sz w:val="26"/>
                <w:szCs w:val="26"/>
              </w:rPr>
            </w:pPr>
            <w:r w:rsidRPr="007D2B60">
              <w:rPr>
                <w:rFonts w:ascii="Times New Roman" w:eastAsia="Calibri" w:hAnsi="Times New Roman" w:cs="Times New Roman"/>
                <w:b/>
                <w:sz w:val="26"/>
                <w:szCs w:val="26"/>
              </w:rPr>
              <w:t>Total Request</w:t>
            </w:r>
          </w:p>
        </w:tc>
        <w:tc>
          <w:tcPr>
            <w:tcW w:w="7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7D2B60" w:rsidRPr="007D2B60" w:rsidP="007D2B60" w14:paraId="3A9EF0BC" w14:textId="77777777">
            <w:pPr>
              <w:spacing w:after="160" w:line="240" w:lineRule="auto"/>
              <w:rPr>
                <w:rFonts w:ascii="Times New Roman" w:eastAsia="Calibri" w:hAnsi="Times New Roman" w:cs="Times New Roman"/>
                <w:b/>
                <w:sz w:val="26"/>
                <w:szCs w:val="26"/>
              </w:rPr>
            </w:pPr>
            <w:r w:rsidRPr="007D2B60">
              <w:rPr>
                <w:rFonts w:ascii="Times New Roman" w:eastAsia="Calibri" w:hAnsi="Times New Roman" w:cs="Times New Roman"/>
                <w:b/>
                <w:sz w:val="26"/>
                <w:szCs w:val="26"/>
              </w:rPr>
              <w:t>Previously Approved</w:t>
            </w:r>
          </w:p>
        </w:tc>
        <w:tc>
          <w:tcPr>
            <w:tcW w:w="9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7D2B60" w:rsidRPr="007D2B60" w:rsidP="007D2B60" w14:paraId="7E863A2E" w14:textId="2BA7C125">
            <w:pPr>
              <w:spacing w:after="160" w:line="240" w:lineRule="auto"/>
              <w:rPr>
                <w:rFonts w:ascii="Times New Roman" w:eastAsia="Calibri" w:hAnsi="Times New Roman" w:cs="Times New Roman"/>
                <w:b/>
                <w:sz w:val="26"/>
                <w:szCs w:val="26"/>
                <w:highlight w:val="yellow"/>
              </w:rPr>
            </w:pPr>
            <w:r w:rsidRPr="007D2B60">
              <w:rPr>
                <w:rFonts w:ascii="Times New Roman" w:eastAsia="Calibri" w:hAnsi="Times New Roman" w:cs="Times New Roman"/>
                <w:b/>
                <w:sz w:val="26"/>
                <w:szCs w:val="26"/>
              </w:rPr>
              <w:t xml:space="preserve">Change due to </w:t>
            </w:r>
            <w:r w:rsidR="005D3070">
              <w:rPr>
                <w:rFonts w:ascii="Times New Roman" w:eastAsia="Calibri" w:hAnsi="Times New Roman" w:cs="Times New Roman"/>
                <w:b/>
                <w:sz w:val="26"/>
                <w:szCs w:val="26"/>
              </w:rPr>
              <w:t>Agency Estimate</w:t>
            </w:r>
          </w:p>
        </w:tc>
        <w:tc>
          <w:tcPr>
            <w:tcW w:w="12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7D2B60" w:rsidRPr="007D2B60" w:rsidP="007D2B60" w14:paraId="7E72E766" w14:textId="77777777">
            <w:pPr>
              <w:spacing w:after="160" w:line="240" w:lineRule="auto"/>
              <w:rPr>
                <w:rFonts w:ascii="Times New Roman" w:eastAsia="Calibri" w:hAnsi="Times New Roman" w:cs="Times New Roman"/>
                <w:b/>
                <w:sz w:val="26"/>
                <w:szCs w:val="26"/>
              </w:rPr>
            </w:pPr>
            <w:r w:rsidRPr="007D2B60">
              <w:rPr>
                <w:rFonts w:ascii="Times New Roman" w:eastAsia="Calibri" w:hAnsi="Times New Roman" w:cs="Times New Roman"/>
                <w:b/>
                <w:sz w:val="26"/>
                <w:szCs w:val="26"/>
              </w:rPr>
              <w:t>Change Due to Agency Discretion</w:t>
            </w:r>
          </w:p>
        </w:tc>
      </w:tr>
      <w:tr w14:paraId="27935E30" w14:textId="77777777" w:rsidTr="00B51776">
        <w:tblPrEx>
          <w:tblW w:w="4955" w:type="pct"/>
          <w:tblLook w:val="01E0"/>
        </w:tblPrEx>
        <w:trPr>
          <w:trHeight w:val="591"/>
        </w:trPr>
        <w:tc>
          <w:tcPr>
            <w:tcW w:w="1163"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1E098D4F" w14:textId="77777777">
            <w:pPr>
              <w:spacing w:after="160" w:line="240" w:lineRule="auto"/>
              <w:rPr>
                <w:rFonts w:ascii="Times New Roman" w:eastAsia="Calibri" w:hAnsi="Times New Roman" w:cs="Times New Roman"/>
                <w:sz w:val="26"/>
                <w:szCs w:val="26"/>
              </w:rPr>
            </w:pPr>
            <w:r w:rsidRPr="007D2B60">
              <w:rPr>
                <w:rFonts w:ascii="Times New Roman" w:eastAsia="Calibri" w:hAnsi="Times New Roman" w:cs="Times New Roman"/>
                <w:sz w:val="26"/>
                <w:szCs w:val="26"/>
              </w:rPr>
              <w:t>Annual Number of Responses</w:t>
            </w:r>
          </w:p>
        </w:tc>
        <w:tc>
          <w:tcPr>
            <w:tcW w:w="899"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6F7EE411" w14:textId="0BAF14EB">
            <w:pPr>
              <w:spacing w:after="16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1</w:t>
            </w:r>
            <w:r w:rsidR="00B51776">
              <w:rPr>
                <w:rFonts w:ascii="Times New Roman" w:eastAsia="Calibri" w:hAnsi="Times New Roman" w:cs="Times New Roman"/>
                <w:sz w:val="26"/>
                <w:szCs w:val="26"/>
              </w:rPr>
              <w:t>1,</w:t>
            </w:r>
            <w:r w:rsidR="007D6D2F">
              <w:rPr>
                <w:rFonts w:ascii="Times New Roman" w:eastAsia="Calibri" w:hAnsi="Times New Roman" w:cs="Times New Roman"/>
                <w:sz w:val="26"/>
                <w:szCs w:val="26"/>
              </w:rPr>
              <w:t>367</w:t>
            </w:r>
          </w:p>
        </w:tc>
        <w:tc>
          <w:tcPr>
            <w:tcW w:w="748"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72004E3E" w14:textId="77777777">
            <w:pPr>
              <w:spacing w:after="160" w:line="240" w:lineRule="auto"/>
              <w:jc w:val="right"/>
              <w:rPr>
                <w:rFonts w:ascii="Times New Roman" w:eastAsia="Calibri" w:hAnsi="Times New Roman" w:cs="Times New Roman"/>
                <w:sz w:val="26"/>
                <w:szCs w:val="26"/>
              </w:rPr>
            </w:pPr>
            <w:r w:rsidRPr="007D2B60">
              <w:rPr>
                <w:rFonts w:ascii="Times New Roman" w:eastAsia="Calibri" w:hAnsi="Times New Roman" w:cs="Times New Roman"/>
                <w:sz w:val="26"/>
                <w:szCs w:val="26"/>
              </w:rPr>
              <w:t>1</w:t>
            </w:r>
            <w:r w:rsidR="002D1C88">
              <w:rPr>
                <w:rFonts w:ascii="Times New Roman" w:eastAsia="Calibri" w:hAnsi="Times New Roman" w:cs="Times New Roman"/>
                <w:sz w:val="26"/>
                <w:szCs w:val="26"/>
              </w:rPr>
              <w:t>0,</w:t>
            </w:r>
            <w:r w:rsidR="00B51776">
              <w:rPr>
                <w:rFonts w:ascii="Times New Roman" w:eastAsia="Calibri" w:hAnsi="Times New Roman" w:cs="Times New Roman"/>
                <w:sz w:val="26"/>
                <w:szCs w:val="26"/>
              </w:rPr>
              <w:t>862</w:t>
            </w:r>
          </w:p>
        </w:tc>
        <w:tc>
          <w:tcPr>
            <w:tcW w:w="943"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10C69A49" w14:textId="42B2397C">
            <w:pPr>
              <w:spacing w:after="16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0</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bottom"/>
          </w:tcPr>
          <w:p w:rsidR="007D2B60" w:rsidRPr="00B51776" w:rsidP="007D2B60" w14:paraId="2E199C71" w14:textId="173530A0">
            <w:pPr>
              <w:spacing w:after="16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505</w:t>
            </w:r>
          </w:p>
        </w:tc>
      </w:tr>
      <w:tr w14:paraId="151743B7" w14:textId="77777777" w:rsidTr="2CB65026">
        <w:tblPrEx>
          <w:tblW w:w="4955" w:type="pct"/>
          <w:tblLook w:val="01E0"/>
        </w:tblPrEx>
        <w:trPr>
          <w:trHeight w:val="674"/>
        </w:trPr>
        <w:tc>
          <w:tcPr>
            <w:tcW w:w="1163"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5B9127AF" w14:textId="77777777">
            <w:pPr>
              <w:spacing w:after="160" w:line="240" w:lineRule="auto"/>
              <w:rPr>
                <w:rFonts w:ascii="Times New Roman" w:eastAsia="Calibri" w:hAnsi="Times New Roman" w:cs="Times New Roman"/>
                <w:sz w:val="26"/>
                <w:szCs w:val="26"/>
              </w:rPr>
            </w:pPr>
            <w:r w:rsidRPr="007D2B60">
              <w:rPr>
                <w:rFonts w:ascii="Times New Roman" w:eastAsia="Calibri" w:hAnsi="Times New Roman" w:cs="Times New Roman"/>
                <w:sz w:val="26"/>
                <w:szCs w:val="26"/>
              </w:rPr>
              <w:t>Annual Time Burden (Hr.)</w:t>
            </w:r>
          </w:p>
        </w:tc>
        <w:tc>
          <w:tcPr>
            <w:tcW w:w="899"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6AAC5304" w14:textId="07F89CF1">
            <w:pPr>
              <w:spacing w:after="16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7</w:t>
            </w:r>
            <w:r w:rsidR="007D6D2F">
              <w:rPr>
                <w:rFonts w:ascii="Times New Roman" w:eastAsia="Calibri" w:hAnsi="Times New Roman" w:cs="Times New Roman"/>
                <w:sz w:val="26"/>
                <w:szCs w:val="26"/>
              </w:rPr>
              <w:t>26,718</w:t>
            </w:r>
          </w:p>
        </w:tc>
        <w:tc>
          <w:tcPr>
            <w:tcW w:w="748" w:type="pct"/>
            <w:tcBorders>
              <w:top w:val="single" w:sz="4" w:space="0" w:color="auto"/>
              <w:left w:val="single" w:sz="4" w:space="0" w:color="auto"/>
              <w:bottom w:val="single" w:sz="4" w:space="0" w:color="auto"/>
              <w:right w:val="single" w:sz="4" w:space="0" w:color="auto"/>
            </w:tcBorders>
            <w:vAlign w:val="bottom"/>
          </w:tcPr>
          <w:p w:rsidR="007D2B60" w:rsidRPr="007D2B60" w:rsidP="007D2B60" w14:paraId="6FF9B69D" w14:textId="77777777">
            <w:pPr>
              <w:spacing w:after="160" w:line="240" w:lineRule="auto"/>
              <w:jc w:val="right"/>
              <w:rPr>
                <w:rFonts w:ascii="Times New Roman" w:eastAsia="Calibri" w:hAnsi="Times New Roman" w:cs="Times New Roman"/>
                <w:sz w:val="26"/>
                <w:szCs w:val="26"/>
              </w:rPr>
            </w:pPr>
            <w:r w:rsidRPr="007D2B60">
              <w:rPr>
                <w:rFonts w:ascii="Times New Roman" w:eastAsia="Calibri" w:hAnsi="Times New Roman" w:cs="Times New Roman"/>
                <w:sz w:val="26"/>
                <w:szCs w:val="26"/>
              </w:rPr>
              <w:t>7</w:t>
            </w:r>
            <w:r w:rsidR="00B51776">
              <w:rPr>
                <w:rFonts w:ascii="Times New Roman" w:eastAsia="Calibri" w:hAnsi="Times New Roman" w:cs="Times New Roman"/>
                <w:sz w:val="26"/>
                <w:szCs w:val="26"/>
              </w:rPr>
              <w:t>21,995</w:t>
            </w:r>
          </w:p>
        </w:tc>
        <w:tc>
          <w:tcPr>
            <w:tcW w:w="943" w:type="pct"/>
            <w:tcBorders>
              <w:top w:val="single" w:sz="4" w:space="0" w:color="auto"/>
              <w:left w:val="single" w:sz="4" w:space="0" w:color="auto"/>
              <w:bottom w:val="single" w:sz="4" w:space="0" w:color="auto"/>
              <w:right w:val="single" w:sz="4" w:space="0" w:color="auto"/>
            </w:tcBorders>
            <w:vAlign w:val="bottom"/>
          </w:tcPr>
          <w:p w:rsidR="007D2B60" w:rsidRPr="007D2B60" w:rsidP="007D2B60" w14:paraId="59DF9008" w14:textId="045DC1DF">
            <w:pPr>
              <w:spacing w:after="16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0</w:t>
            </w:r>
          </w:p>
        </w:tc>
        <w:tc>
          <w:tcPr>
            <w:tcW w:w="1248"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70A56B6E" w14:textId="257A9008">
            <w:pPr>
              <w:spacing w:after="16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4,723</w:t>
            </w:r>
          </w:p>
        </w:tc>
      </w:tr>
      <w:tr w14:paraId="1E6CA4D1" w14:textId="77777777" w:rsidTr="2CB65026">
        <w:tblPrEx>
          <w:tblW w:w="4955" w:type="pct"/>
          <w:tblLook w:val="01E0"/>
        </w:tblPrEx>
        <w:trPr>
          <w:trHeight w:val="295"/>
        </w:trPr>
        <w:tc>
          <w:tcPr>
            <w:tcW w:w="1163"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388D748F" w14:textId="77777777">
            <w:pPr>
              <w:spacing w:after="160" w:line="240" w:lineRule="auto"/>
              <w:rPr>
                <w:rFonts w:ascii="Times New Roman" w:eastAsia="Calibri" w:hAnsi="Times New Roman" w:cs="Times New Roman"/>
                <w:sz w:val="26"/>
                <w:szCs w:val="26"/>
              </w:rPr>
            </w:pPr>
            <w:r w:rsidRPr="007D2B60">
              <w:rPr>
                <w:rFonts w:ascii="Times New Roman" w:eastAsia="Calibri" w:hAnsi="Times New Roman" w:cs="Times New Roman"/>
                <w:sz w:val="26"/>
                <w:szCs w:val="26"/>
              </w:rPr>
              <w:t xml:space="preserve">Annual Cost Burden </w:t>
            </w:r>
            <w:r w:rsidRPr="007D2B60">
              <w:rPr>
                <w:rFonts w:ascii="Times New Roman" w:eastAsia="Calibri" w:hAnsi="Times New Roman" w:cs="Times New Roman"/>
                <w:sz w:val="26"/>
                <w:szCs w:val="26"/>
              </w:rPr>
              <w:t>($)</w:t>
            </w:r>
          </w:p>
        </w:tc>
        <w:tc>
          <w:tcPr>
            <w:tcW w:w="899"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25BD6AD1" w14:textId="77777777">
            <w:pPr>
              <w:spacing w:after="160" w:line="240" w:lineRule="auto"/>
              <w:jc w:val="right"/>
              <w:rPr>
                <w:rFonts w:ascii="Times New Roman" w:eastAsia="Calibri" w:hAnsi="Times New Roman" w:cs="Times New Roman"/>
                <w:sz w:val="26"/>
                <w:szCs w:val="26"/>
              </w:rPr>
            </w:pPr>
            <w:r w:rsidRPr="007D2B60">
              <w:rPr>
                <w:rFonts w:ascii="Times New Roman" w:eastAsia="Calibri" w:hAnsi="Times New Roman" w:cs="Times New Roman"/>
                <w:sz w:val="26"/>
                <w:szCs w:val="26"/>
              </w:rPr>
              <w:t>0</w:t>
            </w:r>
          </w:p>
        </w:tc>
        <w:tc>
          <w:tcPr>
            <w:tcW w:w="748"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6EB797BC" w14:textId="77777777">
            <w:pPr>
              <w:spacing w:after="160" w:line="240" w:lineRule="auto"/>
              <w:jc w:val="right"/>
              <w:rPr>
                <w:rFonts w:ascii="Times New Roman" w:eastAsia="Calibri" w:hAnsi="Times New Roman" w:cs="Times New Roman"/>
                <w:sz w:val="26"/>
                <w:szCs w:val="26"/>
              </w:rPr>
            </w:pPr>
            <w:r w:rsidRPr="007D2B60">
              <w:rPr>
                <w:rFonts w:ascii="Times New Roman" w:eastAsia="Calibri" w:hAnsi="Times New Roman" w:cs="Times New Roman"/>
                <w:sz w:val="26"/>
                <w:szCs w:val="26"/>
              </w:rPr>
              <w:t>0</w:t>
            </w:r>
          </w:p>
        </w:tc>
        <w:tc>
          <w:tcPr>
            <w:tcW w:w="943"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1444EFE6" w14:textId="77777777">
            <w:pPr>
              <w:spacing w:after="160" w:line="240" w:lineRule="auto"/>
              <w:jc w:val="right"/>
              <w:rPr>
                <w:rFonts w:ascii="Times New Roman" w:eastAsia="Calibri" w:hAnsi="Times New Roman" w:cs="Times New Roman"/>
                <w:sz w:val="26"/>
                <w:szCs w:val="26"/>
              </w:rPr>
            </w:pPr>
            <w:r w:rsidRPr="007D2B60">
              <w:rPr>
                <w:rFonts w:ascii="Times New Roman" w:eastAsia="Calibri" w:hAnsi="Times New Roman" w:cs="Times New Roman"/>
                <w:sz w:val="26"/>
                <w:szCs w:val="26"/>
              </w:rPr>
              <w:t>0</w:t>
            </w:r>
          </w:p>
        </w:tc>
        <w:tc>
          <w:tcPr>
            <w:tcW w:w="1248" w:type="pct"/>
            <w:tcBorders>
              <w:top w:val="single" w:sz="4" w:space="0" w:color="auto"/>
              <w:left w:val="single" w:sz="4" w:space="0" w:color="auto"/>
              <w:bottom w:val="single" w:sz="4" w:space="0" w:color="auto"/>
              <w:right w:val="single" w:sz="4" w:space="0" w:color="auto"/>
            </w:tcBorders>
            <w:vAlign w:val="bottom"/>
            <w:hideMark/>
          </w:tcPr>
          <w:p w:rsidR="007D2B60" w:rsidRPr="007D2B60" w:rsidP="007D2B60" w14:paraId="33B413E9" w14:textId="77777777">
            <w:pPr>
              <w:spacing w:after="160" w:line="240" w:lineRule="auto"/>
              <w:jc w:val="right"/>
              <w:rPr>
                <w:rFonts w:ascii="Times New Roman" w:eastAsia="Calibri" w:hAnsi="Times New Roman" w:cs="Times New Roman"/>
                <w:sz w:val="26"/>
                <w:szCs w:val="26"/>
              </w:rPr>
            </w:pPr>
            <w:r w:rsidRPr="007D2B60">
              <w:rPr>
                <w:rFonts w:ascii="Times New Roman" w:eastAsia="Calibri" w:hAnsi="Times New Roman" w:cs="Times New Roman"/>
                <w:sz w:val="26"/>
                <w:szCs w:val="26"/>
              </w:rPr>
              <w:t>0</w:t>
            </w:r>
          </w:p>
        </w:tc>
      </w:tr>
    </w:tbl>
    <w:p w:rsidR="007D2B60" w:rsidRPr="007D2B60" w:rsidP="007D2B60" w14:paraId="48FBB13A" w14:textId="77777777">
      <w:pPr>
        <w:spacing w:after="0" w:line="240" w:lineRule="auto"/>
        <w:rPr>
          <w:rFonts w:ascii="Times New Roman" w:hAnsi="Times New Roman" w:cs="Times New Roman"/>
          <w:b/>
          <w:sz w:val="24"/>
          <w:szCs w:val="24"/>
        </w:rPr>
      </w:pPr>
    </w:p>
    <w:p w:rsidR="00AB5472" w:rsidP="0092596C" w14:paraId="7ACAECF6" w14:textId="09CFF796">
      <w:pPr>
        <w:spacing w:after="0" w:line="240" w:lineRule="auto"/>
        <w:rPr>
          <w:rFonts w:ascii="Times New Roman" w:hAnsi="Times New Roman" w:cs="Times New Roman"/>
          <w:sz w:val="24"/>
          <w:szCs w:val="24"/>
        </w:rPr>
      </w:pPr>
      <w:r w:rsidRPr="00E77E8F">
        <w:rPr>
          <w:rFonts w:ascii="Times New Roman" w:hAnsi="Times New Roman" w:cs="Times New Roman"/>
          <w:sz w:val="24"/>
          <w:szCs w:val="24"/>
        </w:rPr>
        <w:t>For 725</w:t>
      </w:r>
      <w:r w:rsidRPr="00E77E8F" w:rsidR="008516B5">
        <w:rPr>
          <w:rFonts w:ascii="Times New Roman" w:hAnsi="Times New Roman" w:cs="Times New Roman"/>
          <w:sz w:val="24"/>
          <w:szCs w:val="24"/>
        </w:rPr>
        <w:t xml:space="preserve">G (PRC Reliability Standards), </w:t>
      </w:r>
      <w:r w:rsidRPr="00E77E8F" w:rsidR="00A65B66">
        <w:rPr>
          <w:rFonts w:ascii="Times New Roman" w:hAnsi="Times New Roman" w:cs="Times New Roman"/>
          <w:sz w:val="24"/>
          <w:szCs w:val="24"/>
        </w:rPr>
        <w:t xml:space="preserve">the change </w:t>
      </w:r>
      <w:r w:rsidRPr="00E77E8F" w:rsidR="00076EFD">
        <w:rPr>
          <w:rFonts w:ascii="Times New Roman" w:hAnsi="Times New Roman" w:cs="Times New Roman"/>
          <w:sz w:val="24"/>
          <w:szCs w:val="24"/>
        </w:rPr>
        <w:t>(</w:t>
      </w:r>
      <w:r w:rsidRPr="00E77E8F" w:rsidR="00475832">
        <w:rPr>
          <w:rFonts w:ascii="Times New Roman" w:hAnsi="Times New Roman" w:cs="Times New Roman"/>
          <w:sz w:val="24"/>
          <w:szCs w:val="24"/>
        </w:rPr>
        <w:t>Inc</w:t>
      </w:r>
      <w:r w:rsidRPr="00E77E8F" w:rsidR="00076EFD">
        <w:rPr>
          <w:rFonts w:ascii="Times New Roman" w:hAnsi="Times New Roman" w:cs="Times New Roman"/>
          <w:sz w:val="24"/>
          <w:szCs w:val="24"/>
        </w:rPr>
        <w:t>rease in responses an</w:t>
      </w:r>
      <w:r w:rsidR="008624F0">
        <w:rPr>
          <w:rFonts w:ascii="Times New Roman" w:hAnsi="Times New Roman" w:cs="Times New Roman"/>
          <w:sz w:val="24"/>
          <w:szCs w:val="24"/>
        </w:rPr>
        <w:t xml:space="preserve">d burden </w:t>
      </w:r>
      <w:r w:rsidRPr="00E77E8F" w:rsidR="00076EFD">
        <w:rPr>
          <w:rFonts w:ascii="Times New Roman" w:hAnsi="Times New Roman" w:cs="Times New Roman"/>
          <w:sz w:val="24"/>
          <w:szCs w:val="24"/>
        </w:rPr>
        <w:t xml:space="preserve">hours) is </w:t>
      </w:r>
      <w:r w:rsidRPr="00E77E8F" w:rsidR="00A65B66">
        <w:rPr>
          <w:rFonts w:ascii="Times New Roman" w:hAnsi="Times New Roman" w:cs="Times New Roman"/>
          <w:sz w:val="24"/>
          <w:szCs w:val="24"/>
        </w:rPr>
        <w:t>due to agency discretion</w:t>
      </w:r>
      <w:r w:rsidR="001F6F61">
        <w:rPr>
          <w:rFonts w:ascii="Times New Roman" w:hAnsi="Times New Roman" w:cs="Times New Roman"/>
          <w:sz w:val="24"/>
          <w:szCs w:val="24"/>
        </w:rPr>
        <w:t xml:space="preserve"> and due to statute</w:t>
      </w:r>
      <w:r w:rsidRPr="00E77E8F" w:rsidR="00A65B66">
        <w:rPr>
          <w:rFonts w:ascii="Times New Roman" w:hAnsi="Times New Roman" w:cs="Times New Roman"/>
          <w:sz w:val="24"/>
          <w:szCs w:val="24"/>
        </w:rPr>
        <w:t xml:space="preserve"> as we have updated the method to determine affected entities and their responses.  </w:t>
      </w:r>
    </w:p>
    <w:p w:rsidR="00F00804" w:rsidP="0092596C" w14:paraId="45FF9165" w14:textId="77777777">
      <w:pPr>
        <w:spacing w:after="0" w:line="240" w:lineRule="auto"/>
        <w:rPr>
          <w:rFonts w:ascii="Times New Roman" w:hAnsi="Times New Roman" w:cs="Times New Roman"/>
          <w:sz w:val="24"/>
          <w:szCs w:val="24"/>
        </w:rPr>
      </w:pPr>
    </w:p>
    <w:p w:rsidR="00F00804" w:rsidP="00F00804" w14:paraId="7BE1BA3B" w14:textId="77777777">
      <w:pPr>
        <w:spacing w:after="0" w:line="240" w:lineRule="auto"/>
        <w:rPr>
          <w:rFonts w:ascii="Times New Roman" w:hAnsi="Times New Roman" w:cs="Times New Roman"/>
          <w:b/>
          <w:bCs/>
          <w:sz w:val="24"/>
          <w:szCs w:val="24"/>
        </w:rPr>
      </w:pPr>
      <w:r w:rsidRPr="00BB7E75">
        <w:rPr>
          <w:rFonts w:ascii="Times New Roman" w:hAnsi="Times New Roman" w:cs="Times New Roman"/>
          <w:b/>
          <w:bCs/>
          <w:sz w:val="24"/>
          <w:szCs w:val="24"/>
        </w:rPr>
        <w:t>Program Change to Agency Discretion</w:t>
      </w:r>
    </w:p>
    <w:p w:rsidR="00FA688E" w:rsidP="0092596C" w14:paraId="55F192FA" w14:textId="77777777">
      <w:pPr>
        <w:spacing w:after="0" w:line="240" w:lineRule="auto"/>
        <w:rPr>
          <w:rFonts w:ascii="Times New Roman" w:hAnsi="Times New Roman" w:cs="Times New Roman"/>
          <w:sz w:val="24"/>
          <w:szCs w:val="24"/>
        </w:rPr>
      </w:pPr>
    </w:p>
    <w:p w:rsidR="00FA688E" w:rsidRPr="00F00804" w:rsidP="00F00804" w14:paraId="34A36400" w14:textId="27B1DB82">
      <w:pPr>
        <w:pStyle w:val="ListParagraph"/>
        <w:numPr>
          <w:ilvl w:val="0"/>
          <w:numId w:val="39"/>
        </w:numPr>
        <w:spacing w:after="0" w:line="240" w:lineRule="auto"/>
        <w:rPr>
          <w:rFonts w:ascii="Times New Roman" w:hAnsi="Times New Roman" w:cs="Times New Roman"/>
          <w:sz w:val="24"/>
          <w:szCs w:val="24"/>
        </w:rPr>
      </w:pPr>
      <w:r w:rsidRPr="00F00804">
        <w:rPr>
          <w:rFonts w:ascii="Times New Roman" w:hAnsi="Times New Roman" w:cs="Times New Roman"/>
          <w:sz w:val="24"/>
          <w:szCs w:val="24"/>
        </w:rPr>
        <w:t>PRC-0</w:t>
      </w:r>
      <w:r w:rsidRPr="00F00804" w:rsidR="00B51776">
        <w:rPr>
          <w:rFonts w:ascii="Times New Roman" w:hAnsi="Times New Roman" w:cs="Times New Roman"/>
          <w:sz w:val="24"/>
          <w:szCs w:val="24"/>
        </w:rPr>
        <w:t>23</w:t>
      </w:r>
      <w:r w:rsidRPr="00F00804" w:rsidR="00674B77">
        <w:rPr>
          <w:rFonts w:ascii="Times New Roman" w:hAnsi="Times New Roman" w:cs="Times New Roman"/>
          <w:sz w:val="24"/>
          <w:szCs w:val="24"/>
        </w:rPr>
        <w:t>-</w:t>
      </w:r>
      <w:r w:rsidRPr="00F00804" w:rsidR="00B51776">
        <w:rPr>
          <w:rFonts w:ascii="Times New Roman" w:hAnsi="Times New Roman" w:cs="Times New Roman"/>
          <w:sz w:val="24"/>
          <w:szCs w:val="24"/>
        </w:rPr>
        <w:t>6</w:t>
      </w:r>
      <w:r w:rsidRPr="00F00804">
        <w:rPr>
          <w:rFonts w:ascii="Times New Roman" w:hAnsi="Times New Roman" w:cs="Times New Roman"/>
          <w:sz w:val="24"/>
          <w:szCs w:val="24"/>
        </w:rPr>
        <w:t xml:space="preserve"> </w:t>
      </w:r>
      <w:r w:rsidRPr="00F00804" w:rsidR="001727A6">
        <w:rPr>
          <w:rFonts w:ascii="Times New Roman" w:hAnsi="Times New Roman" w:cs="Times New Roman"/>
          <w:sz w:val="24"/>
          <w:szCs w:val="24"/>
        </w:rPr>
        <w:t>Increased</w:t>
      </w:r>
      <w:r w:rsidRPr="00F00804" w:rsidR="00831068">
        <w:rPr>
          <w:rFonts w:ascii="Times New Roman" w:hAnsi="Times New Roman" w:cs="Times New Roman"/>
          <w:sz w:val="24"/>
          <w:szCs w:val="24"/>
        </w:rPr>
        <w:t xml:space="preserve"> by </w:t>
      </w:r>
      <w:r w:rsidRPr="00F00804" w:rsidR="00B51776">
        <w:rPr>
          <w:rFonts w:ascii="Times New Roman" w:hAnsi="Times New Roman" w:cs="Times New Roman"/>
          <w:sz w:val="24"/>
          <w:szCs w:val="24"/>
        </w:rPr>
        <w:t>643</w:t>
      </w:r>
      <w:r w:rsidRPr="00F00804" w:rsidR="00845C19">
        <w:rPr>
          <w:rFonts w:ascii="Times New Roman" w:hAnsi="Times New Roman" w:cs="Times New Roman"/>
          <w:sz w:val="24"/>
          <w:szCs w:val="24"/>
        </w:rPr>
        <w:t xml:space="preserve"> responses and </w:t>
      </w:r>
      <w:r w:rsidRPr="00F00804" w:rsidR="00B51776">
        <w:rPr>
          <w:rFonts w:ascii="Times New Roman" w:hAnsi="Times New Roman" w:cs="Times New Roman"/>
          <w:sz w:val="24"/>
          <w:szCs w:val="24"/>
        </w:rPr>
        <w:t>9,139 (rounded)</w:t>
      </w:r>
      <w:r w:rsidRPr="00F00804" w:rsidR="00845C19">
        <w:rPr>
          <w:rFonts w:ascii="Times New Roman" w:hAnsi="Times New Roman" w:cs="Times New Roman"/>
          <w:sz w:val="24"/>
          <w:szCs w:val="24"/>
        </w:rPr>
        <w:t xml:space="preserve"> burden hours for the One</w:t>
      </w:r>
      <w:r w:rsidRPr="00F00804" w:rsidR="00617F76">
        <w:rPr>
          <w:rFonts w:ascii="Times New Roman" w:hAnsi="Times New Roman" w:cs="Times New Roman"/>
          <w:sz w:val="24"/>
          <w:szCs w:val="24"/>
        </w:rPr>
        <w:t>-</w:t>
      </w:r>
      <w:r w:rsidRPr="00F00804" w:rsidR="00845C19">
        <w:rPr>
          <w:rFonts w:ascii="Times New Roman" w:hAnsi="Times New Roman" w:cs="Times New Roman"/>
          <w:sz w:val="24"/>
          <w:szCs w:val="24"/>
        </w:rPr>
        <w:t xml:space="preserve">time burden </w:t>
      </w:r>
      <w:r w:rsidRPr="00F00804" w:rsidR="00634602">
        <w:rPr>
          <w:rFonts w:ascii="Times New Roman" w:hAnsi="Times New Roman" w:cs="Times New Roman"/>
          <w:sz w:val="24"/>
          <w:szCs w:val="24"/>
        </w:rPr>
        <w:t>associated by the updated Reliability standard PRC-0</w:t>
      </w:r>
      <w:r w:rsidRPr="00F00804" w:rsidR="00B51776">
        <w:rPr>
          <w:rFonts w:ascii="Times New Roman" w:hAnsi="Times New Roman" w:cs="Times New Roman"/>
          <w:sz w:val="24"/>
          <w:szCs w:val="24"/>
        </w:rPr>
        <w:t>23</w:t>
      </w:r>
      <w:r w:rsidRPr="00F00804" w:rsidR="00634602">
        <w:rPr>
          <w:rFonts w:ascii="Times New Roman" w:hAnsi="Times New Roman" w:cs="Times New Roman"/>
          <w:sz w:val="24"/>
          <w:szCs w:val="24"/>
        </w:rPr>
        <w:t>-</w:t>
      </w:r>
      <w:r w:rsidRPr="00F00804" w:rsidR="00B51776">
        <w:rPr>
          <w:rFonts w:ascii="Times New Roman" w:hAnsi="Times New Roman" w:cs="Times New Roman"/>
          <w:sz w:val="24"/>
          <w:szCs w:val="24"/>
        </w:rPr>
        <w:t>6</w:t>
      </w:r>
      <w:r w:rsidRPr="00F00804" w:rsidR="008624F0">
        <w:rPr>
          <w:rFonts w:ascii="Times New Roman" w:hAnsi="Times New Roman" w:cs="Times New Roman"/>
          <w:sz w:val="24"/>
          <w:szCs w:val="24"/>
        </w:rPr>
        <w:t xml:space="preserve"> </w:t>
      </w:r>
      <w:r w:rsidRPr="00F00804">
        <w:rPr>
          <w:rFonts w:ascii="Times New Roman" w:hAnsi="Times New Roman" w:cs="Times New Roman"/>
          <w:sz w:val="24"/>
          <w:szCs w:val="24"/>
        </w:rPr>
        <w:t>(previously PRC-0</w:t>
      </w:r>
      <w:r w:rsidRPr="00F00804" w:rsidR="00B51776">
        <w:rPr>
          <w:rFonts w:ascii="Times New Roman" w:hAnsi="Times New Roman" w:cs="Times New Roman"/>
          <w:sz w:val="24"/>
          <w:szCs w:val="24"/>
        </w:rPr>
        <w:t>23</w:t>
      </w:r>
      <w:r w:rsidRPr="00F00804">
        <w:rPr>
          <w:rFonts w:ascii="Times New Roman" w:hAnsi="Times New Roman" w:cs="Times New Roman"/>
          <w:sz w:val="24"/>
          <w:szCs w:val="24"/>
        </w:rPr>
        <w:t>-</w:t>
      </w:r>
      <w:r w:rsidRPr="00F00804" w:rsidR="00B51776">
        <w:rPr>
          <w:rFonts w:ascii="Times New Roman" w:hAnsi="Times New Roman" w:cs="Times New Roman"/>
          <w:sz w:val="24"/>
          <w:szCs w:val="24"/>
        </w:rPr>
        <w:t>5</w:t>
      </w:r>
      <w:r w:rsidRPr="00F00804">
        <w:rPr>
          <w:rFonts w:ascii="Times New Roman" w:hAnsi="Times New Roman" w:cs="Times New Roman"/>
          <w:sz w:val="24"/>
          <w:szCs w:val="24"/>
        </w:rPr>
        <w:t>)</w:t>
      </w:r>
      <w:r w:rsidRPr="00F00804" w:rsidR="009C3BDB">
        <w:rPr>
          <w:rFonts w:ascii="Times New Roman" w:hAnsi="Times New Roman" w:cs="Times New Roman"/>
          <w:sz w:val="24"/>
          <w:szCs w:val="24"/>
        </w:rPr>
        <w:t>.</w:t>
      </w:r>
    </w:p>
    <w:p w:rsidR="009C3BDB" w:rsidP="0092596C" w14:paraId="6A7FC869" w14:textId="77777777">
      <w:pPr>
        <w:spacing w:after="0" w:line="240" w:lineRule="auto"/>
        <w:rPr>
          <w:rFonts w:ascii="Times New Roman" w:hAnsi="Times New Roman" w:cs="Times New Roman"/>
          <w:sz w:val="24"/>
          <w:szCs w:val="24"/>
        </w:rPr>
      </w:pPr>
    </w:p>
    <w:p w:rsidR="00BB7E75" w:rsidRPr="00F00804" w:rsidP="00F00804" w14:paraId="7274A0FF" w14:textId="60575B27">
      <w:pPr>
        <w:pStyle w:val="ListParagraph"/>
        <w:numPr>
          <w:ilvl w:val="0"/>
          <w:numId w:val="39"/>
        </w:numPr>
        <w:spacing w:after="0" w:line="240" w:lineRule="auto"/>
        <w:rPr>
          <w:rFonts w:ascii="Times New Roman" w:hAnsi="Times New Roman" w:cs="Times New Roman"/>
          <w:b/>
          <w:bCs/>
          <w:sz w:val="24"/>
          <w:szCs w:val="24"/>
        </w:rPr>
      </w:pPr>
      <w:r w:rsidRPr="00F00804">
        <w:rPr>
          <w:rFonts w:ascii="Times New Roman" w:hAnsi="Times New Roman" w:cs="Times New Roman"/>
          <w:sz w:val="24"/>
          <w:szCs w:val="24"/>
        </w:rPr>
        <w:t xml:space="preserve">The one-time burden that </w:t>
      </w:r>
      <w:r w:rsidRPr="00F00804" w:rsidR="00A70CFB">
        <w:rPr>
          <w:rFonts w:ascii="Times New Roman" w:hAnsi="Times New Roman" w:cs="Times New Roman"/>
          <w:sz w:val="24"/>
          <w:szCs w:val="24"/>
        </w:rPr>
        <w:t xml:space="preserve">increased due to revisions from </w:t>
      </w:r>
      <w:r w:rsidRPr="00F00804" w:rsidR="00471503">
        <w:rPr>
          <w:rFonts w:ascii="Times New Roman" w:hAnsi="Times New Roman" w:cs="Times New Roman"/>
          <w:sz w:val="24"/>
          <w:szCs w:val="24"/>
        </w:rPr>
        <w:t>PRC-023-5, PRC-026-2, and PRC-002-3</w:t>
      </w:r>
      <w:r w:rsidRPr="00F00804" w:rsidR="00A70CFB">
        <w:rPr>
          <w:rFonts w:ascii="Times New Roman" w:hAnsi="Times New Roman" w:cs="Times New Roman"/>
          <w:sz w:val="24"/>
          <w:szCs w:val="24"/>
        </w:rPr>
        <w:t xml:space="preserve"> in RD22-2 have ended </w:t>
      </w:r>
      <w:r w:rsidRPr="00F00804" w:rsidR="0073389D">
        <w:rPr>
          <w:rFonts w:ascii="Times New Roman" w:hAnsi="Times New Roman" w:cs="Times New Roman"/>
          <w:sz w:val="24"/>
          <w:szCs w:val="24"/>
        </w:rPr>
        <w:t>and were removed c</w:t>
      </w:r>
      <w:r w:rsidRPr="00F00804" w:rsidR="00EB09ED">
        <w:rPr>
          <w:rFonts w:ascii="Times New Roman" w:hAnsi="Times New Roman" w:cs="Times New Roman"/>
          <w:sz w:val="24"/>
          <w:szCs w:val="24"/>
        </w:rPr>
        <w:t>r</w:t>
      </w:r>
      <w:r w:rsidRPr="00F00804" w:rsidR="0073389D">
        <w:rPr>
          <w:rFonts w:ascii="Times New Roman" w:hAnsi="Times New Roman" w:cs="Times New Roman"/>
          <w:sz w:val="24"/>
          <w:szCs w:val="24"/>
        </w:rPr>
        <w:t xml:space="preserve">eating a removal of </w:t>
      </w:r>
      <w:r w:rsidRPr="00F00804" w:rsidR="00F00804">
        <w:rPr>
          <w:rFonts w:ascii="Times New Roman" w:hAnsi="Times New Roman" w:cs="Times New Roman"/>
          <w:sz w:val="24"/>
          <w:szCs w:val="24"/>
        </w:rPr>
        <w:t>-</w:t>
      </w:r>
      <w:r w:rsidRPr="00F00804" w:rsidR="0073389D">
        <w:rPr>
          <w:rFonts w:ascii="Times New Roman" w:hAnsi="Times New Roman" w:cs="Times New Roman"/>
          <w:sz w:val="24"/>
          <w:szCs w:val="24"/>
        </w:rPr>
        <w:t xml:space="preserve">138 responses and </w:t>
      </w:r>
      <w:r w:rsidRPr="00F00804" w:rsidR="00F00804">
        <w:rPr>
          <w:rFonts w:ascii="Times New Roman" w:hAnsi="Times New Roman" w:cs="Times New Roman"/>
          <w:sz w:val="24"/>
          <w:szCs w:val="24"/>
        </w:rPr>
        <w:t>-</w:t>
      </w:r>
      <w:r w:rsidRPr="00F00804" w:rsidR="0073389D">
        <w:rPr>
          <w:rFonts w:ascii="Times New Roman" w:hAnsi="Times New Roman" w:cs="Times New Roman"/>
          <w:sz w:val="24"/>
          <w:szCs w:val="24"/>
        </w:rPr>
        <w:t xml:space="preserve">4,416 </w:t>
      </w:r>
      <w:r w:rsidRPr="00F00804" w:rsidR="00B75506">
        <w:rPr>
          <w:rFonts w:ascii="Times New Roman" w:hAnsi="Times New Roman" w:cs="Times New Roman"/>
          <w:sz w:val="24"/>
          <w:szCs w:val="24"/>
        </w:rPr>
        <w:t>annual burden hours</w:t>
      </w:r>
      <w:r w:rsidR="00F00804">
        <w:rPr>
          <w:rFonts w:ascii="Times New Roman" w:hAnsi="Times New Roman" w:cs="Times New Roman"/>
          <w:sz w:val="24"/>
          <w:szCs w:val="24"/>
        </w:rPr>
        <w:t>.</w:t>
      </w:r>
    </w:p>
    <w:p w:rsidR="008516B5" w:rsidRPr="00E77E8F" w:rsidP="0092596C" w14:paraId="7B40237F" w14:textId="77777777">
      <w:pPr>
        <w:spacing w:after="0" w:line="240" w:lineRule="auto"/>
        <w:rPr>
          <w:rFonts w:ascii="Times New Roman" w:hAnsi="Times New Roman" w:cs="Times New Roman"/>
          <w:sz w:val="24"/>
          <w:szCs w:val="24"/>
        </w:rPr>
      </w:pPr>
    </w:p>
    <w:p w:rsidR="00A276F5" w:rsidRPr="00BD0FD5" w:rsidP="0092596C" w14:paraId="669EB49F"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TIME SCHEDULE FOR PUBLICATION OF DATA</w:t>
      </w:r>
    </w:p>
    <w:p w:rsidR="00826750" w:rsidRPr="00BD0FD5" w:rsidP="0092596C" w14:paraId="718430C5" w14:textId="77777777">
      <w:pPr>
        <w:spacing w:after="0" w:line="240" w:lineRule="auto"/>
        <w:rPr>
          <w:rFonts w:ascii="Times New Roman" w:hAnsi="Times New Roman" w:cs="Times New Roman"/>
          <w:sz w:val="24"/>
          <w:szCs w:val="24"/>
        </w:rPr>
      </w:pPr>
    </w:p>
    <w:p w:rsidR="00414F32" w:rsidRPr="00BD0FD5" w:rsidP="0092596C" w14:paraId="774FDCD1" w14:textId="77777777">
      <w:pPr>
        <w:spacing w:after="0" w:line="240" w:lineRule="auto"/>
        <w:rPr>
          <w:rFonts w:ascii="Times New Roman" w:hAnsi="Times New Roman" w:cs="Times New Roman"/>
          <w:sz w:val="24"/>
          <w:szCs w:val="24"/>
        </w:rPr>
      </w:pPr>
      <w:r w:rsidRPr="00BD0FD5">
        <w:rPr>
          <w:rFonts w:ascii="Times New Roman" w:hAnsi="Times New Roman" w:cs="Times New Roman"/>
          <w:sz w:val="24"/>
          <w:szCs w:val="24"/>
        </w:rPr>
        <w:t xml:space="preserve">There are no data publications as part of this </w:t>
      </w:r>
      <w:r w:rsidRPr="00BD0FD5" w:rsidR="00B51776">
        <w:rPr>
          <w:rFonts w:ascii="Times New Roman" w:hAnsi="Times New Roman" w:cs="Times New Roman"/>
          <w:sz w:val="24"/>
          <w:szCs w:val="24"/>
        </w:rPr>
        <w:t>collection.</w:t>
      </w:r>
    </w:p>
    <w:p w:rsidR="00414F32" w:rsidRPr="00BD0FD5" w:rsidP="0092596C" w14:paraId="4DD72374" w14:textId="77777777">
      <w:pPr>
        <w:spacing w:after="0" w:line="240" w:lineRule="auto"/>
        <w:rPr>
          <w:rFonts w:ascii="Times New Roman" w:hAnsi="Times New Roman" w:cs="Times New Roman"/>
          <w:sz w:val="24"/>
          <w:szCs w:val="24"/>
        </w:rPr>
      </w:pPr>
    </w:p>
    <w:p w:rsidR="00414F32" w:rsidRPr="00BD0FD5" w:rsidP="0092596C" w14:paraId="5177F7C6"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DISPLAY OF EXPIRATION DATE</w:t>
      </w:r>
    </w:p>
    <w:p w:rsidR="00414F32" w:rsidRPr="00BD0FD5" w:rsidP="0092596C" w14:paraId="02695095" w14:textId="77777777">
      <w:pPr>
        <w:spacing w:after="0" w:line="240" w:lineRule="auto"/>
        <w:rPr>
          <w:rFonts w:ascii="Times New Roman" w:hAnsi="Times New Roman" w:cs="Times New Roman"/>
          <w:sz w:val="24"/>
          <w:szCs w:val="24"/>
        </w:rPr>
      </w:pPr>
    </w:p>
    <w:p w:rsidR="00B16372" w:rsidRPr="00BD0FD5" w:rsidP="0092596C" w14:paraId="1D451BF4" w14:textId="08102280">
      <w:pPr>
        <w:spacing w:after="0" w:line="240" w:lineRule="auto"/>
        <w:rPr>
          <w:rFonts w:ascii="Times New Roman" w:hAnsi="Times New Roman" w:cs="Times New Roman"/>
          <w:sz w:val="24"/>
          <w:szCs w:val="24"/>
        </w:rPr>
      </w:pPr>
      <w:r w:rsidRPr="00BD0FD5">
        <w:rPr>
          <w:rFonts w:ascii="Times New Roman" w:hAnsi="Times New Roman" w:cs="Times New Roman"/>
          <w:sz w:val="24"/>
          <w:szCs w:val="24"/>
        </w:rPr>
        <w:t xml:space="preserve">It is not appropriate to display the expiration date because the information is not collected on a </w:t>
      </w:r>
      <w:r w:rsidRPr="00BD0FD5">
        <w:rPr>
          <w:rFonts w:ascii="Times New Roman" w:hAnsi="Times New Roman" w:cs="Times New Roman"/>
          <w:sz w:val="24"/>
          <w:szCs w:val="24"/>
        </w:rPr>
        <w:t>preformatted form</w:t>
      </w:r>
      <w:r w:rsidR="003F119D">
        <w:rPr>
          <w:rFonts w:ascii="Times New Roman" w:hAnsi="Times New Roman" w:cs="Times New Roman"/>
          <w:sz w:val="24"/>
          <w:szCs w:val="24"/>
        </w:rPr>
        <w:t xml:space="preserve"> or is part of a Reliability Standard, which do not display OMB expiration dates.</w:t>
      </w:r>
      <w:r w:rsidR="00CB1B6B">
        <w:rPr>
          <w:rFonts w:ascii="Times New Roman" w:hAnsi="Times New Roman" w:cs="Times New Roman"/>
          <w:sz w:val="24"/>
          <w:szCs w:val="24"/>
        </w:rPr>
        <w:t xml:space="preserve">  The collection associated with </w:t>
      </w:r>
      <w:r w:rsidR="0038125B">
        <w:rPr>
          <w:rFonts w:ascii="Times New Roman" w:hAnsi="Times New Roman" w:cs="Times New Roman"/>
          <w:sz w:val="24"/>
          <w:szCs w:val="24"/>
        </w:rPr>
        <w:t>PRC-</w:t>
      </w:r>
      <w:r w:rsidR="002D1DEA">
        <w:rPr>
          <w:rFonts w:ascii="Times New Roman" w:hAnsi="Times New Roman" w:cs="Times New Roman"/>
          <w:sz w:val="24"/>
          <w:szCs w:val="24"/>
        </w:rPr>
        <w:t>023-6</w:t>
      </w:r>
      <w:r w:rsidR="0038125B">
        <w:rPr>
          <w:rFonts w:ascii="Times New Roman" w:hAnsi="Times New Roman" w:cs="Times New Roman"/>
          <w:sz w:val="24"/>
          <w:szCs w:val="24"/>
        </w:rPr>
        <w:t xml:space="preserve"> will be updated on Ferc.gov at </w:t>
      </w:r>
      <w:hyperlink r:id="rId9" w:history="1">
        <w:r w:rsidRPr="005727E5" w:rsidR="005727E5">
          <w:rPr>
            <w:rFonts w:ascii="Times New Roman" w:eastAsia="Calibri" w:hAnsi="Times New Roman" w:cs="Times New Roman"/>
            <w:color w:val="0000FF"/>
            <w:sz w:val="24"/>
            <w:szCs w:val="24"/>
            <w:u w:val="single"/>
          </w:rPr>
          <w:t>https://www.ferc.gov/information-collections</w:t>
        </w:r>
      </w:hyperlink>
      <w:r w:rsidRPr="005727E5" w:rsidR="005727E5">
        <w:rPr>
          <w:rFonts w:ascii="Times New Roman" w:eastAsia="Calibri" w:hAnsi="Times New Roman" w:cs="Times New Roman"/>
          <w:color w:val="0000FF"/>
          <w:sz w:val="24"/>
          <w:szCs w:val="24"/>
          <w:u w:val="single"/>
        </w:rPr>
        <w:t>.</w:t>
      </w:r>
    </w:p>
    <w:p w:rsidR="00414F32" w:rsidRPr="00BD0FD5" w:rsidP="0092596C" w14:paraId="7F4E1F7A" w14:textId="77777777">
      <w:pPr>
        <w:spacing w:after="0" w:line="240" w:lineRule="auto"/>
        <w:rPr>
          <w:rFonts w:ascii="Times New Roman" w:hAnsi="Times New Roman" w:cs="Times New Roman"/>
          <w:sz w:val="24"/>
          <w:szCs w:val="24"/>
        </w:rPr>
      </w:pPr>
    </w:p>
    <w:p w:rsidR="00414F32" w:rsidRPr="00BD0FD5" w:rsidP="0092596C" w14:paraId="731A993B"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EXCEPTIONS TO THE CERTIFICATION STATEMENT</w:t>
      </w:r>
    </w:p>
    <w:p w:rsidR="0057700F" w:rsidRPr="00BD0FD5" w:rsidP="0092596C" w14:paraId="5E756DD5" w14:textId="77777777">
      <w:pPr>
        <w:spacing w:after="0" w:line="240" w:lineRule="auto"/>
        <w:rPr>
          <w:rFonts w:ascii="Times New Roman" w:hAnsi="Times New Roman" w:cs="Times New Roman"/>
          <w:b/>
          <w:sz w:val="24"/>
          <w:szCs w:val="24"/>
        </w:rPr>
      </w:pPr>
    </w:p>
    <w:p w:rsidR="00B16372" w:rsidP="0092596C" w14:paraId="5A0378E4" w14:textId="77777777">
      <w:pPr>
        <w:spacing w:after="0" w:line="240" w:lineRule="auto"/>
        <w:rPr>
          <w:rFonts w:ascii="Times New Roman" w:eastAsia="Calibri" w:hAnsi="Times New Roman" w:cs="Times New Roman"/>
          <w:sz w:val="24"/>
          <w:szCs w:val="24"/>
        </w:rPr>
      </w:pPr>
      <w:r w:rsidRPr="00BD0FD5">
        <w:rPr>
          <w:rFonts w:ascii="Times New Roman" w:eastAsia="Calibri" w:hAnsi="Times New Roman" w:cs="Times New Roman"/>
          <w:sz w:val="24"/>
          <w:szCs w:val="24"/>
        </w:rPr>
        <w:t>The Commission does not use statistical methods for this collection.  Therefore</w:t>
      </w:r>
      <w:r w:rsidRPr="00BD0FD5" w:rsidR="003D69FC">
        <w:rPr>
          <w:rFonts w:ascii="Times New Roman" w:eastAsia="Calibri" w:hAnsi="Times New Roman" w:cs="Times New Roman"/>
          <w:sz w:val="24"/>
          <w:szCs w:val="24"/>
        </w:rPr>
        <w:t>,</w:t>
      </w:r>
      <w:r w:rsidRPr="00BD0FD5">
        <w:rPr>
          <w:rFonts w:ascii="Times New Roman" w:eastAsia="Calibri" w:hAnsi="Times New Roman" w:cs="Times New Roman"/>
          <w:sz w:val="24"/>
          <w:szCs w:val="24"/>
        </w:rPr>
        <w:t xml:space="preserve"> the Commission does not certify that the collection uses statistical methods.</w:t>
      </w:r>
    </w:p>
    <w:p w:rsidR="000449A4" w:rsidRPr="00BD0FD5" w:rsidP="0092596C" w14:paraId="5241ADFA" w14:textId="77777777">
      <w:pPr>
        <w:spacing w:after="0" w:line="240" w:lineRule="auto"/>
        <w:rPr>
          <w:rFonts w:ascii="Times New Roman" w:hAnsi="Times New Roman" w:cs="Times New Roman"/>
          <w:sz w:val="24"/>
          <w:szCs w:val="24"/>
        </w:rPr>
      </w:pP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6411206"/>
      <w:docPartObj>
        <w:docPartGallery w:val="Page Numbers (Bottom of Page)"/>
        <w:docPartUnique/>
      </w:docPartObj>
    </w:sdtPr>
    <w:sdtEndPr>
      <w:rPr>
        <w:noProof/>
      </w:rPr>
    </w:sdtEndPr>
    <w:sdtContent>
      <w:p w:rsidR="00EE7794" w14:paraId="117881F4" w14:textId="77777777">
        <w:pPr>
          <w:pStyle w:val="Footer"/>
          <w:jc w:val="right"/>
        </w:pPr>
        <w:r w:rsidRPr="00781137">
          <w:rPr>
            <w:rFonts w:ascii="Times New Roman" w:hAnsi="Times New Roman" w:cs="Times New Roman"/>
          </w:rPr>
          <w:fldChar w:fldCharType="begin"/>
        </w:r>
        <w:r w:rsidRPr="00781137">
          <w:rPr>
            <w:rFonts w:ascii="Times New Roman" w:hAnsi="Times New Roman" w:cs="Times New Roman"/>
          </w:rPr>
          <w:instrText xml:space="preserve"> PAGE   \* MERGEFORMAT </w:instrText>
        </w:r>
        <w:r w:rsidRPr="00781137">
          <w:rPr>
            <w:rFonts w:ascii="Times New Roman" w:hAnsi="Times New Roman" w:cs="Times New Roman"/>
          </w:rPr>
          <w:fldChar w:fldCharType="separate"/>
        </w:r>
        <w:r>
          <w:rPr>
            <w:rFonts w:ascii="Times New Roman" w:hAnsi="Times New Roman" w:cs="Times New Roman"/>
            <w:noProof/>
          </w:rPr>
          <w:t>1</w:t>
        </w:r>
        <w:r w:rsidRPr="00781137">
          <w:rPr>
            <w:rFonts w:ascii="Times New Roman" w:hAnsi="Times New Roman" w:cs="Times New Roman"/>
            <w:noProof/>
          </w:rPr>
          <w:fldChar w:fldCharType="end"/>
        </w:r>
      </w:p>
    </w:sdtContent>
  </w:sdt>
  <w:p w:rsidR="00EE7794" w14:paraId="571E3B0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56381" w:rsidP="00FD66F1" w14:paraId="1FADA560" w14:textId="77777777">
      <w:pPr>
        <w:spacing w:after="0" w:line="240" w:lineRule="auto"/>
      </w:pPr>
      <w:r>
        <w:separator/>
      </w:r>
    </w:p>
  </w:footnote>
  <w:footnote w:type="continuationSeparator" w:id="1">
    <w:p w:rsidR="00A56381" w:rsidP="00FD66F1" w14:paraId="27906B88" w14:textId="77777777">
      <w:pPr>
        <w:spacing w:after="0" w:line="240" w:lineRule="auto"/>
      </w:pPr>
      <w:r>
        <w:continuationSeparator/>
      </w:r>
    </w:p>
  </w:footnote>
  <w:footnote w:type="continuationNotice" w:id="2">
    <w:p w:rsidR="00A56381" w14:paraId="6665360D" w14:textId="77777777">
      <w:pPr>
        <w:spacing w:after="0" w:line="240" w:lineRule="auto"/>
      </w:pPr>
    </w:p>
  </w:footnote>
  <w:footnote w:id="3">
    <w:p w:rsidR="00792606" w:rsidRPr="004875D5" w:rsidP="00792606" w14:paraId="3C81B758" w14:textId="77777777">
      <w:pPr>
        <w:pStyle w:val="FootnoteText"/>
        <w:rPr>
          <w:sz w:val="24"/>
          <w:szCs w:val="24"/>
        </w:rPr>
      </w:pPr>
      <w:r w:rsidRPr="00287A77">
        <w:rPr>
          <w:rStyle w:val="FootnoteReference"/>
          <w:sz w:val="24"/>
          <w:szCs w:val="24"/>
          <w:vertAlign w:val="superscript"/>
        </w:rPr>
        <w:footnoteRef/>
      </w:r>
      <w:r w:rsidRPr="00287A77">
        <w:rPr>
          <w:sz w:val="24"/>
          <w:szCs w:val="24"/>
          <w:vertAlign w:val="superscript"/>
        </w:rPr>
        <w:t xml:space="preserve"> </w:t>
      </w:r>
      <w:r w:rsidRPr="004875D5">
        <w:rPr>
          <w:sz w:val="24"/>
          <w:szCs w:val="24"/>
        </w:rPr>
        <w:t xml:space="preserve">The Energy Policy Act of 2005, Pub. L. No 109-58, Title XII, </w:t>
      </w:r>
      <w:r w:rsidRPr="004875D5">
        <w:rPr>
          <w:sz w:val="24"/>
          <w:szCs w:val="24"/>
        </w:rPr>
        <w:t>Subtitle A, 119 Stat. 594, 941 (2005), codified at 16 U.S.C. 824o (2006).</w:t>
      </w:r>
    </w:p>
  </w:footnote>
  <w:footnote w:id="4">
    <w:p w:rsidR="00792606" w:rsidRPr="00632F48" w:rsidP="00792606" w14:paraId="1F4E599F" w14:textId="77777777">
      <w:pPr>
        <w:pStyle w:val="FootnoteText"/>
        <w:rPr>
          <w:sz w:val="24"/>
          <w:szCs w:val="24"/>
        </w:rPr>
      </w:pPr>
      <w:r w:rsidRPr="00287A77">
        <w:rPr>
          <w:rStyle w:val="FootnoteReference"/>
          <w:sz w:val="24"/>
          <w:szCs w:val="24"/>
          <w:vertAlign w:val="superscript"/>
        </w:rPr>
        <w:footnoteRef/>
      </w:r>
      <w:r w:rsidRPr="00287A77">
        <w:rPr>
          <w:sz w:val="24"/>
          <w:szCs w:val="24"/>
          <w:vertAlign w:val="superscript"/>
        </w:rPr>
        <w:t xml:space="preserve"> </w:t>
      </w:r>
      <w:r w:rsidRPr="004875D5">
        <w:rPr>
          <w:sz w:val="24"/>
          <w:szCs w:val="24"/>
        </w:rPr>
        <w:t xml:space="preserve">“Electric Reliability Organization” or “ERO” means the organization certified by the </w:t>
      </w:r>
      <w:r w:rsidRPr="00632F48">
        <w:rPr>
          <w:sz w:val="24"/>
          <w:szCs w:val="24"/>
        </w:rPr>
        <w:t xml:space="preserve">Commission the purpose of which is to establish and enforce Reliability Standards for the </w:t>
      </w:r>
      <w:r w:rsidRPr="00632F48">
        <w:rPr>
          <w:sz w:val="24"/>
          <w:szCs w:val="24"/>
        </w:rPr>
        <w:t>Bulk-Power System, subject to Commission review.</w:t>
      </w:r>
    </w:p>
  </w:footnote>
  <w:footnote w:id="5">
    <w:p w:rsidR="00792606" w:rsidRPr="00632F48" w:rsidP="00792606" w14:paraId="1BD0DE43" w14:textId="77777777">
      <w:pPr>
        <w:pStyle w:val="FootnoteText"/>
        <w:rPr>
          <w:sz w:val="24"/>
          <w:szCs w:val="24"/>
        </w:rPr>
      </w:pPr>
      <w:r w:rsidRPr="00287A77">
        <w:rPr>
          <w:rStyle w:val="FootnoteReference"/>
          <w:sz w:val="24"/>
          <w:szCs w:val="24"/>
          <w:vertAlign w:val="superscript"/>
        </w:rPr>
        <w:footnoteRef/>
      </w:r>
      <w:r w:rsidRPr="00287A77">
        <w:rPr>
          <w:sz w:val="24"/>
          <w:szCs w:val="24"/>
          <w:vertAlign w:val="superscript"/>
        </w:rPr>
        <w:t xml:space="preserve"> </w:t>
      </w:r>
      <w:r w:rsidRPr="00632F48">
        <w:rPr>
          <w:i/>
          <w:sz w:val="24"/>
          <w:szCs w:val="24"/>
        </w:rPr>
        <w:t>North American Electric Reliability Corp.</w:t>
      </w:r>
      <w:r w:rsidRPr="00632F48">
        <w:rPr>
          <w:sz w:val="24"/>
          <w:szCs w:val="24"/>
        </w:rPr>
        <w:t xml:space="preserve">, 116 FERC ¶ 61,062, </w:t>
      </w:r>
      <w:r w:rsidRPr="00632F48">
        <w:rPr>
          <w:i/>
          <w:sz w:val="24"/>
          <w:szCs w:val="24"/>
        </w:rPr>
        <w:t>order on reh’g and compliance</w:t>
      </w:r>
      <w:r w:rsidRPr="00632F48">
        <w:rPr>
          <w:sz w:val="24"/>
          <w:szCs w:val="24"/>
        </w:rPr>
        <w:t xml:space="preserve">, 117 FERC ¶ 61,126 (2006), </w:t>
      </w:r>
      <w:r w:rsidRPr="00632F48">
        <w:rPr>
          <w:i/>
          <w:sz w:val="24"/>
          <w:szCs w:val="24"/>
        </w:rPr>
        <w:t>order on compliance</w:t>
      </w:r>
      <w:r w:rsidRPr="00632F48">
        <w:rPr>
          <w:sz w:val="24"/>
          <w:szCs w:val="24"/>
        </w:rPr>
        <w:t xml:space="preserve">, 118 FERC ¶ 61,190, </w:t>
      </w:r>
      <w:r w:rsidRPr="00632F48">
        <w:rPr>
          <w:i/>
          <w:sz w:val="24"/>
          <w:szCs w:val="24"/>
        </w:rPr>
        <w:t>order on reh’g</w:t>
      </w:r>
      <w:r w:rsidRPr="00632F48">
        <w:rPr>
          <w:sz w:val="24"/>
          <w:szCs w:val="24"/>
        </w:rPr>
        <w:t xml:space="preserve">, 119 FERC ¶ 61,046 (2007), </w:t>
      </w:r>
      <w:r w:rsidRPr="00632F48">
        <w:rPr>
          <w:i/>
          <w:sz w:val="24"/>
          <w:szCs w:val="24"/>
        </w:rPr>
        <w:t>aff’</w:t>
      </w:r>
      <w:r w:rsidRPr="00632F48">
        <w:rPr>
          <w:i/>
          <w:sz w:val="24"/>
          <w:szCs w:val="24"/>
        </w:rPr>
        <w:t>d sub nom. Alcoa Inc. v. FERC</w:t>
      </w:r>
      <w:r w:rsidRPr="00632F48">
        <w:rPr>
          <w:sz w:val="24"/>
          <w:szCs w:val="24"/>
        </w:rPr>
        <w:t>, 564 F.3d 1342 (D.C. Cir. 2009).</w:t>
      </w:r>
    </w:p>
  </w:footnote>
  <w:footnote w:id="6">
    <w:p w:rsidR="00792606" w:rsidRPr="000619B7" w:rsidP="00792606" w14:paraId="36EB7E57" w14:textId="77777777">
      <w:pPr>
        <w:pStyle w:val="FootnoteText"/>
        <w:rPr>
          <w:sz w:val="24"/>
          <w:szCs w:val="24"/>
        </w:rPr>
      </w:pPr>
      <w:r w:rsidRPr="00287A77">
        <w:rPr>
          <w:rStyle w:val="FootnoteReference"/>
          <w:sz w:val="24"/>
          <w:szCs w:val="24"/>
          <w:vertAlign w:val="superscript"/>
        </w:rPr>
        <w:footnoteRef/>
      </w:r>
      <w:r w:rsidRPr="00287A77">
        <w:rPr>
          <w:sz w:val="24"/>
          <w:szCs w:val="24"/>
          <w:vertAlign w:val="superscript"/>
        </w:rPr>
        <w:t xml:space="preserve"> </w:t>
      </w:r>
      <w:r w:rsidRPr="000619B7">
        <w:rPr>
          <w:sz w:val="24"/>
          <w:szCs w:val="24"/>
        </w:rPr>
        <w:t>16 U.S.C. 824o</w:t>
      </w:r>
    </w:p>
  </w:footnote>
  <w:footnote w:id="7">
    <w:p w:rsidR="00792606" w:rsidRPr="000619B7" w:rsidP="00792606" w14:paraId="035AACD2" w14:textId="77777777">
      <w:pPr>
        <w:pStyle w:val="FootnoteText"/>
        <w:rPr>
          <w:sz w:val="24"/>
          <w:szCs w:val="24"/>
          <w:lang w:val="pt-BR"/>
        </w:rPr>
      </w:pPr>
      <w:r w:rsidRPr="00287A77">
        <w:rPr>
          <w:rStyle w:val="FootnoteReference"/>
          <w:sz w:val="24"/>
          <w:szCs w:val="24"/>
          <w:vertAlign w:val="superscript"/>
        </w:rPr>
        <w:footnoteRef/>
      </w:r>
      <w:r w:rsidRPr="00287A77">
        <w:rPr>
          <w:sz w:val="24"/>
          <w:szCs w:val="24"/>
          <w:vertAlign w:val="superscript"/>
          <w:lang w:val="pt-BR"/>
        </w:rPr>
        <w:t xml:space="preserve"> </w:t>
      </w:r>
      <w:r w:rsidRPr="000619B7">
        <w:rPr>
          <w:sz w:val="24"/>
          <w:szCs w:val="24"/>
          <w:lang w:val="pt-BR"/>
        </w:rPr>
        <w:t xml:space="preserve">16 U.S.C. </w:t>
      </w:r>
      <w:r w:rsidRPr="000619B7">
        <w:rPr>
          <w:sz w:val="24"/>
          <w:szCs w:val="24"/>
          <w:lang w:val="es-ES"/>
        </w:rPr>
        <w:t xml:space="preserve">§ </w:t>
      </w:r>
      <w:r w:rsidRPr="000619B7">
        <w:rPr>
          <w:sz w:val="24"/>
          <w:szCs w:val="24"/>
          <w:lang w:val="pt-BR"/>
        </w:rPr>
        <w:t xml:space="preserve">824o(e)(4).  </w:t>
      </w:r>
      <w:r w:rsidRPr="000619B7">
        <w:rPr>
          <w:sz w:val="24"/>
          <w:szCs w:val="24"/>
        </w:rPr>
        <w:t xml:space="preserve">A Regional Entity is an entity that has been approved by the Commission to enforce Reliability Standards under delegated authority from the ERO.  </w:t>
      </w:r>
      <w:r w:rsidRPr="000619B7">
        <w:rPr>
          <w:i/>
          <w:sz w:val="24"/>
          <w:szCs w:val="24"/>
          <w:lang w:val="pt-BR"/>
        </w:rPr>
        <w:t>See</w:t>
      </w:r>
      <w:r w:rsidRPr="000619B7">
        <w:rPr>
          <w:sz w:val="24"/>
          <w:szCs w:val="24"/>
          <w:lang w:val="pt-BR"/>
        </w:rPr>
        <w:t xml:space="preserve"> 16 U.S.C. </w:t>
      </w:r>
      <w:r w:rsidRPr="000619B7">
        <w:rPr>
          <w:sz w:val="24"/>
          <w:szCs w:val="24"/>
          <w:lang w:val="es-ES"/>
        </w:rPr>
        <w:t xml:space="preserve">§ </w:t>
      </w:r>
      <w:r w:rsidRPr="000619B7">
        <w:rPr>
          <w:sz w:val="24"/>
          <w:szCs w:val="24"/>
          <w:lang w:val="pt-BR"/>
        </w:rPr>
        <w:t>824o(a)(7) and (e)(4).</w:t>
      </w:r>
    </w:p>
  </w:footnote>
  <w:footnote w:id="8">
    <w:p w:rsidR="00F90187" w:rsidP="00F90187" w14:paraId="6F8B5E75" w14:textId="3F63A088">
      <w:pPr>
        <w:pStyle w:val="FootnoteText"/>
        <w:rPr>
          <w:sz w:val="24"/>
          <w:szCs w:val="24"/>
        </w:rPr>
      </w:pPr>
      <w:r w:rsidRPr="00C8643D">
        <w:rPr>
          <w:rStyle w:val="FootnoteReference"/>
          <w:sz w:val="24"/>
          <w:szCs w:val="24"/>
          <w:vertAlign w:val="superscript"/>
        </w:rPr>
        <w:footnoteRef/>
      </w:r>
      <w:r>
        <w:rPr>
          <w:sz w:val="24"/>
          <w:szCs w:val="24"/>
        </w:rPr>
        <w:t xml:space="preserve"> NERC Petition at 1.</w:t>
      </w:r>
    </w:p>
  </w:footnote>
  <w:footnote w:id="9">
    <w:p w:rsidR="00F90187" w:rsidP="00F90187" w14:paraId="190B5E73" w14:textId="43BA1678">
      <w:pPr>
        <w:pStyle w:val="FootnoteText"/>
        <w:rPr>
          <w:sz w:val="24"/>
          <w:szCs w:val="24"/>
        </w:rPr>
      </w:pPr>
      <w:r w:rsidRPr="00C8643D">
        <w:rPr>
          <w:rStyle w:val="FootnoteReference"/>
          <w:sz w:val="24"/>
          <w:szCs w:val="24"/>
          <w:vertAlign w:val="superscript"/>
        </w:rPr>
        <w:footnoteRef/>
      </w:r>
      <w:r>
        <w:rPr>
          <w:sz w:val="24"/>
          <w:szCs w:val="24"/>
        </w:rPr>
        <w:t xml:space="preserve"> NERC Petition at 1-2.</w:t>
      </w:r>
      <w:r w:rsidR="003A1CDA">
        <w:rPr>
          <w:sz w:val="24"/>
          <w:szCs w:val="24"/>
        </w:rPr>
        <w:t xml:space="preserve">  </w:t>
      </w:r>
      <w:r w:rsidRPr="003A1CDA" w:rsidR="003A1CDA">
        <w:rPr>
          <w:sz w:val="24"/>
          <w:szCs w:val="24"/>
        </w:rPr>
        <w:t>The Commission approved Reliability Standard PRC-023-5 in March 2022.</w:t>
      </w:r>
      <w:r w:rsidR="005C35FF">
        <w:rPr>
          <w:sz w:val="24"/>
          <w:szCs w:val="24"/>
        </w:rPr>
        <w:t xml:space="preserve"> </w:t>
      </w:r>
      <w:r w:rsidRPr="003A1CDA" w:rsidR="003A1CDA">
        <w:rPr>
          <w:sz w:val="24"/>
          <w:szCs w:val="24"/>
        </w:rPr>
        <w:t xml:space="preserve"> Under the approved implementation plan, Reliability Standard PRC-023-5 </w:t>
      </w:r>
      <w:r w:rsidR="005C35FF">
        <w:rPr>
          <w:sz w:val="24"/>
          <w:szCs w:val="24"/>
        </w:rPr>
        <w:t>was</w:t>
      </w:r>
      <w:r w:rsidRPr="003A1CDA" w:rsidR="003A1CDA">
        <w:rPr>
          <w:sz w:val="24"/>
          <w:szCs w:val="24"/>
        </w:rPr>
        <w:t xml:space="preserve"> scheduled to become effective in the United States on April 1, 2024.</w:t>
      </w:r>
    </w:p>
  </w:footnote>
  <w:footnote w:id="10">
    <w:p w:rsidR="00F90187" w:rsidP="00F90187" w14:paraId="64332E34" w14:textId="77777777">
      <w:pPr>
        <w:pStyle w:val="FootnoteText"/>
        <w:rPr>
          <w:sz w:val="24"/>
          <w:szCs w:val="24"/>
        </w:rPr>
      </w:pPr>
      <w:r w:rsidRPr="00C8643D">
        <w:rPr>
          <w:rStyle w:val="FootnoteReference"/>
          <w:sz w:val="24"/>
          <w:szCs w:val="24"/>
          <w:vertAlign w:val="superscript"/>
        </w:rPr>
        <w:footnoteRef/>
      </w:r>
      <w:r>
        <w:rPr>
          <w:sz w:val="24"/>
          <w:szCs w:val="24"/>
        </w:rPr>
        <w:t xml:space="preserve"> NERC Petition at 4.</w:t>
      </w:r>
    </w:p>
  </w:footnote>
  <w:footnote w:id="11">
    <w:p w:rsidR="00F90187" w:rsidP="00F90187" w14:paraId="4AB7F780" w14:textId="6B055851">
      <w:pPr>
        <w:pStyle w:val="FootnoteText"/>
        <w:rPr>
          <w:sz w:val="24"/>
          <w:szCs w:val="24"/>
        </w:rPr>
      </w:pPr>
      <w:r w:rsidRPr="00C8643D">
        <w:rPr>
          <w:rStyle w:val="FootnoteReference"/>
          <w:sz w:val="24"/>
          <w:szCs w:val="24"/>
          <w:vertAlign w:val="superscript"/>
        </w:rPr>
        <w:footnoteRef/>
      </w:r>
      <w:r>
        <w:rPr>
          <w:sz w:val="24"/>
          <w:szCs w:val="24"/>
        </w:rPr>
        <w:t xml:space="preserve"> NERC Petition at 21.</w:t>
      </w:r>
    </w:p>
  </w:footnote>
  <w:footnote w:id="12">
    <w:p w:rsidR="00F90187" w:rsidP="00F90187" w14:paraId="0E9EC165" w14:textId="77777777">
      <w:pPr>
        <w:pStyle w:val="FootnoteText"/>
        <w:rPr>
          <w:sz w:val="24"/>
          <w:szCs w:val="24"/>
        </w:rPr>
      </w:pPr>
      <w:r w:rsidRPr="00C8643D">
        <w:rPr>
          <w:rStyle w:val="FootnoteReference"/>
          <w:sz w:val="24"/>
          <w:szCs w:val="24"/>
          <w:vertAlign w:val="superscript"/>
        </w:rPr>
        <w:footnoteRef/>
      </w:r>
      <w:r>
        <w:rPr>
          <w:sz w:val="24"/>
          <w:szCs w:val="24"/>
        </w:rPr>
        <w:t xml:space="preserve"> NERC Petition at 25-26.</w:t>
      </w:r>
    </w:p>
    <w:p w:rsidR="00F90187" w:rsidP="00F90187" w14:paraId="7B6DF5A3" w14:textId="77777777">
      <w:pPr>
        <w:pStyle w:val="FootnoteText"/>
        <w:rPr>
          <w:sz w:val="24"/>
          <w:szCs w:val="24"/>
        </w:rPr>
      </w:pPr>
    </w:p>
  </w:footnote>
  <w:footnote w:id="13">
    <w:p w:rsidR="00F90187" w:rsidP="00F90187" w14:paraId="66D7DF1A" w14:textId="24BB34C2">
      <w:pPr>
        <w:pStyle w:val="FootnoteText"/>
        <w:rPr>
          <w:sz w:val="24"/>
          <w:szCs w:val="24"/>
        </w:rPr>
      </w:pPr>
      <w:r w:rsidRPr="00C8643D">
        <w:rPr>
          <w:rStyle w:val="FootnoteReference"/>
          <w:sz w:val="24"/>
          <w:szCs w:val="24"/>
          <w:vertAlign w:val="superscript"/>
        </w:rPr>
        <w:footnoteRef/>
      </w:r>
      <w:r>
        <w:rPr>
          <w:sz w:val="24"/>
          <w:szCs w:val="24"/>
        </w:rPr>
        <w:t xml:space="preserve"> RFI at 2.</w:t>
      </w:r>
    </w:p>
  </w:footnote>
  <w:footnote w:id="14">
    <w:p w:rsidR="00F90187" w:rsidP="00F90187" w14:paraId="0296CA02" w14:textId="77777777">
      <w:pPr>
        <w:pStyle w:val="FootnoteText"/>
        <w:rPr>
          <w:rFonts w:ascii="Calibri" w:hAnsi="Calibri"/>
        </w:rPr>
      </w:pPr>
      <w:r w:rsidRPr="00C8643D">
        <w:rPr>
          <w:rStyle w:val="FootnoteReference"/>
          <w:sz w:val="24"/>
          <w:szCs w:val="24"/>
          <w:vertAlign w:val="superscript"/>
        </w:rPr>
        <w:footnoteRef/>
      </w:r>
      <w:r>
        <w:rPr>
          <w:sz w:val="24"/>
          <w:szCs w:val="24"/>
        </w:rPr>
        <w:t xml:space="preserve"> NERC Amended Petition at </w:t>
      </w:r>
      <w:r>
        <w:rPr>
          <w:sz w:val="24"/>
          <w:szCs w:val="24"/>
        </w:rPr>
        <w:t>25.</w:t>
      </w:r>
    </w:p>
  </w:footnote>
  <w:footnote w:id="15">
    <w:p w:rsidR="00EE7794" w:rsidRPr="00E77E8F" w:rsidP="007F0136" w14:paraId="6DD04EDE" w14:textId="77777777">
      <w:pPr>
        <w:pStyle w:val="FootnoteText"/>
        <w:rPr>
          <w:sz w:val="24"/>
          <w:szCs w:val="24"/>
        </w:rPr>
      </w:pPr>
      <w:r w:rsidRPr="00375A46">
        <w:rPr>
          <w:rStyle w:val="FootnoteReference"/>
          <w:sz w:val="26"/>
          <w:szCs w:val="26"/>
          <w:vertAlign w:val="superscript"/>
        </w:rPr>
        <w:footnoteRef/>
      </w:r>
      <w:r w:rsidRPr="00AE205C">
        <w:rPr>
          <w:sz w:val="26"/>
          <w:szCs w:val="26"/>
          <w:vertAlign w:val="superscript"/>
        </w:rPr>
        <w:t xml:space="preserve"> </w:t>
      </w:r>
      <w:r w:rsidRPr="000619B7">
        <w:rPr>
          <w:sz w:val="24"/>
          <w:szCs w:val="24"/>
        </w:rPr>
        <w:t>Details of the current ERO Reliability Standard processes are available on the NERC website at</w:t>
      </w:r>
      <w:r w:rsidRPr="000619B7" w:rsidR="00CE5F91">
        <w:rPr>
          <w:sz w:val="24"/>
          <w:szCs w:val="24"/>
        </w:rPr>
        <w:t xml:space="preserve"> </w:t>
      </w:r>
      <w:hyperlink r:id="rId1" w:anchor="search=Appendix%203A" w:history="1">
        <w:r w:rsidRPr="00E77E8F" w:rsidR="00CE5F91">
          <w:rPr>
            <w:rStyle w:val="Hyperlink"/>
            <w:sz w:val="24"/>
            <w:szCs w:val="24"/>
          </w:rPr>
          <w:t>https://www.nerc.com/AboutNERC/RulesOfProcedure/Appendix_3A_SPM_Clean_Mar2019.pdf#search=Appendix%203A</w:t>
        </w:r>
      </w:hyperlink>
      <w:r w:rsidRPr="00E77E8F" w:rsidR="00CE5F91">
        <w:rPr>
          <w:sz w:val="24"/>
          <w:szCs w:val="24"/>
        </w:rPr>
        <w:t xml:space="preserve"> </w:t>
      </w:r>
      <w:r w:rsidRPr="00E77E8F">
        <w:rPr>
          <w:sz w:val="24"/>
          <w:szCs w:val="24"/>
        </w:rPr>
        <w:t>.</w:t>
      </w:r>
    </w:p>
  </w:footnote>
  <w:footnote w:id="16">
    <w:p w:rsidR="00EE7794" w:rsidRPr="00D929AC" w:rsidP="0000315F" w14:paraId="6B6E97EE" w14:textId="7769C738">
      <w:pPr>
        <w:pStyle w:val="FootnoteText"/>
        <w:rPr>
          <w:sz w:val="24"/>
          <w:szCs w:val="24"/>
        </w:rPr>
      </w:pPr>
      <w:r w:rsidRPr="00E77E8F">
        <w:rPr>
          <w:sz w:val="24"/>
          <w:szCs w:val="24"/>
          <w:vertAlign w:val="superscript"/>
        </w:rPr>
        <w:footnoteRef/>
      </w:r>
      <w:r w:rsidRPr="00D929AC">
        <w:rPr>
          <w:b/>
          <w:bCs/>
          <w:vertAlign w:val="superscript"/>
        </w:rPr>
        <w:t xml:space="preserve"> </w:t>
      </w:r>
      <w:r w:rsidRPr="00D929AC" w:rsidR="00D929AC">
        <w:rPr>
          <w:sz w:val="24"/>
          <w:szCs w:val="24"/>
        </w:rPr>
        <w:t>8</w:t>
      </w:r>
      <w:r w:rsidR="00D2417E">
        <w:rPr>
          <w:sz w:val="24"/>
          <w:szCs w:val="24"/>
        </w:rPr>
        <w:t>9</w:t>
      </w:r>
      <w:r w:rsidRPr="00D929AC" w:rsidR="00D929AC">
        <w:rPr>
          <w:sz w:val="24"/>
          <w:szCs w:val="24"/>
        </w:rPr>
        <w:t xml:space="preserve"> FR </w:t>
      </w:r>
      <w:r>
        <w:rPr>
          <w:sz w:val="24"/>
          <w:szCs w:val="24"/>
        </w:rPr>
        <w:t>34236</w:t>
      </w:r>
      <w:r w:rsidR="00224FF7">
        <w:rPr>
          <w:sz w:val="24"/>
          <w:szCs w:val="24"/>
        </w:rPr>
        <w:t>,</w:t>
      </w:r>
      <w:r w:rsidRPr="00D929AC" w:rsidR="00D929AC">
        <w:rPr>
          <w:sz w:val="24"/>
          <w:szCs w:val="24"/>
        </w:rPr>
        <w:t xml:space="preserve"> </w:t>
      </w:r>
      <w:r w:rsidR="00D2417E">
        <w:rPr>
          <w:sz w:val="24"/>
          <w:szCs w:val="24"/>
        </w:rPr>
        <w:t>April</w:t>
      </w:r>
      <w:r w:rsidRPr="00D929AC" w:rsidR="00D929AC">
        <w:rPr>
          <w:sz w:val="24"/>
          <w:szCs w:val="24"/>
        </w:rPr>
        <w:t xml:space="preserve"> </w:t>
      </w:r>
      <w:r w:rsidR="00D2417E">
        <w:rPr>
          <w:sz w:val="24"/>
          <w:szCs w:val="24"/>
        </w:rPr>
        <w:t>30</w:t>
      </w:r>
      <w:r w:rsidRPr="00D929AC" w:rsidR="00D929AC">
        <w:rPr>
          <w:sz w:val="24"/>
          <w:szCs w:val="24"/>
        </w:rPr>
        <w:t>, 202</w:t>
      </w:r>
      <w:r w:rsidR="00D2417E">
        <w:rPr>
          <w:sz w:val="24"/>
          <w:szCs w:val="24"/>
        </w:rPr>
        <w:t>4</w:t>
      </w:r>
    </w:p>
  </w:footnote>
  <w:footnote w:id="17">
    <w:p w:rsidR="00EE7794" w:rsidRPr="00A317FB" w:rsidP="0000315F" w14:paraId="0CC76AFE" w14:textId="4FFD56B1">
      <w:pPr>
        <w:pStyle w:val="FootnoteText"/>
      </w:pPr>
      <w:r w:rsidRPr="00EA19D2">
        <w:rPr>
          <w:rStyle w:val="FootnoteReference"/>
          <w:sz w:val="24"/>
          <w:szCs w:val="24"/>
          <w:vertAlign w:val="superscript"/>
        </w:rPr>
        <w:footnoteRef/>
      </w:r>
      <w:r w:rsidRPr="00EA19D2">
        <w:t xml:space="preserve"> </w:t>
      </w:r>
      <w:r w:rsidRPr="00EA19D2">
        <w:rPr>
          <w:sz w:val="24"/>
          <w:szCs w:val="24"/>
        </w:rPr>
        <w:t>8</w:t>
      </w:r>
      <w:r w:rsidRPr="00EA19D2" w:rsidR="00D2417E">
        <w:rPr>
          <w:sz w:val="24"/>
          <w:szCs w:val="24"/>
        </w:rPr>
        <w:t>9</w:t>
      </w:r>
      <w:r w:rsidRPr="00EA19D2" w:rsidR="00093D4A">
        <w:rPr>
          <w:sz w:val="24"/>
          <w:szCs w:val="24"/>
        </w:rPr>
        <w:t xml:space="preserve"> </w:t>
      </w:r>
      <w:r w:rsidRPr="00EA19D2">
        <w:rPr>
          <w:sz w:val="24"/>
          <w:szCs w:val="24"/>
        </w:rPr>
        <w:t>FR</w:t>
      </w:r>
      <w:r w:rsidRPr="00EA19D2" w:rsidR="00D929AC">
        <w:rPr>
          <w:sz w:val="24"/>
          <w:szCs w:val="24"/>
        </w:rPr>
        <w:t xml:space="preserve"> </w:t>
      </w:r>
      <w:r w:rsidR="00A76D06">
        <w:rPr>
          <w:sz w:val="24"/>
          <w:szCs w:val="24"/>
        </w:rPr>
        <w:t xml:space="preserve">59733, </w:t>
      </w:r>
      <w:r w:rsidRPr="00EA19D2" w:rsidR="00093D4A">
        <w:rPr>
          <w:sz w:val="24"/>
          <w:szCs w:val="24"/>
        </w:rPr>
        <w:t>July</w:t>
      </w:r>
      <w:r w:rsidRPr="00EA19D2" w:rsidR="00607AA4">
        <w:rPr>
          <w:sz w:val="24"/>
          <w:szCs w:val="24"/>
        </w:rPr>
        <w:t xml:space="preserve"> </w:t>
      </w:r>
      <w:r w:rsidRPr="00EA19D2" w:rsidR="008679A6">
        <w:rPr>
          <w:sz w:val="24"/>
          <w:szCs w:val="24"/>
        </w:rPr>
        <w:t>23</w:t>
      </w:r>
      <w:r w:rsidRPr="00EA19D2" w:rsidR="00B64B37">
        <w:rPr>
          <w:sz w:val="24"/>
          <w:szCs w:val="24"/>
        </w:rPr>
        <w:t>,</w:t>
      </w:r>
      <w:r w:rsidRPr="00EA19D2" w:rsidR="00B3559A">
        <w:rPr>
          <w:sz w:val="24"/>
          <w:szCs w:val="24"/>
        </w:rPr>
        <w:t xml:space="preserve"> 202</w:t>
      </w:r>
      <w:r w:rsidRPr="00EA19D2" w:rsidR="00D2417E">
        <w:rPr>
          <w:sz w:val="24"/>
          <w:szCs w:val="24"/>
        </w:rPr>
        <w:t>4</w:t>
      </w:r>
    </w:p>
  </w:footnote>
  <w:footnote w:id="18">
    <w:p w:rsidR="00F90187" w:rsidRPr="00FD1ED0" w:rsidP="00F90187" w14:paraId="59604A8B" w14:textId="77777777">
      <w:pPr>
        <w:pStyle w:val="FootnoteText"/>
        <w:rPr>
          <w:sz w:val="26"/>
          <w:szCs w:val="26"/>
        </w:rPr>
      </w:pPr>
      <w:r w:rsidRPr="00FD1ED0">
        <w:rPr>
          <w:rStyle w:val="FootnoteReference"/>
        </w:rPr>
        <w:footnoteRef/>
      </w:r>
      <w:r w:rsidRPr="00FD1ED0">
        <w:rPr>
          <w:sz w:val="26"/>
          <w:szCs w:val="26"/>
        </w:rPr>
        <w:t xml:space="preserve"> TO=Transmission Owner, GO=Generator Owner</w:t>
      </w:r>
      <w:r>
        <w:rPr>
          <w:sz w:val="26"/>
          <w:szCs w:val="26"/>
        </w:rPr>
        <w:t xml:space="preserve">, DP=Distribution Provider </w:t>
      </w:r>
      <w:r w:rsidRPr="00FD1ED0">
        <w:rPr>
          <w:sz w:val="26"/>
          <w:szCs w:val="26"/>
        </w:rPr>
        <w:t xml:space="preserve">and </w:t>
      </w:r>
      <w:r>
        <w:rPr>
          <w:sz w:val="26"/>
          <w:szCs w:val="26"/>
        </w:rPr>
        <w:t>P</w:t>
      </w:r>
      <w:r w:rsidRPr="00FD1ED0">
        <w:rPr>
          <w:sz w:val="26"/>
          <w:szCs w:val="26"/>
        </w:rPr>
        <w:t>C=</w:t>
      </w:r>
      <w:r>
        <w:rPr>
          <w:sz w:val="26"/>
          <w:szCs w:val="26"/>
        </w:rPr>
        <w:t>Planning</w:t>
      </w:r>
      <w:r w:rsidRPr="00FD1ED0">
        <w:rPr>
          <w:sz w:val="26"/>
          <w:szCs w:val="26"/>
        </w:rPr>
        <w:t xml:space="preserve"> Coordinator.</w:t>
      </w:r>
    </w:p>
  </w:footnote>
  <w:footnote w:id="19">
    <w:p w:rsidR="00F90187" w:rsidP="00F90187" w14:paraId="5E18A025" w14:textId="77777777">
      <w:pPr>
        <w:pStyle w:val="FootnoteText"/>
      </w:pPr>
      <w:r w:rsidRPr="00FD1ED0">
        <w:rPr>
          <w:rStyle w:val="FootnoteReference"/>
        </w:rPr>
        <w:footnoteRef/>
      </w:r>
      <w:r w:rsidRPr="00FD1ED0">
        <w:rPr>
          <w:sz w:val="26"/>
          <w:szCs w:val="26"/>
        </w:rPr>
        <w:t xml:space="preserve"> The estimated hourly cost (salary plus benefits) derived using the following formula: Burden Hours per Response * $/hour = Cost per Response. based on the Bureau of Labor Statistics (BLS), as of </w:t>
      </w:r>
      <w:r>
        <w:rPr>
          <w:sz w:val="26"/>
          <w:szCs w:val="26"/>
        </w:rPr>
        <w:t>August</w:t>
      </w:r>
      <w:r w:rsidRPr="00FD1ED0">
        <w:rPr>
          <w:sz w:val="26"/>
          <w:szCs w:val="26"/>
        </w:rPr>
        <w:t xml:space="preserve"> 1, 2023, of an Electrical Engineer (17-2071) - $77.</w:t>
      </w:r>
      <w:r>
        <w:rPr>
          <w:sz w:val="26"/>
          <w:szCs w:val="26"/>
        </w:rPr>
        <w:t>29</w:t>
      </w:r>
      <w:r w:rsidRPr="00FD1ED0">
        <w:rPr>
          <w:sz w:val="26"/>
          <w:szCs w:val="26"/>
        </w:rPr>
        <w:t>, - and for Information and Record Clerks (43-4199) $</w:t>
      </w:r>
      <w:r>
        <w:rPr>
          <w:sz w:val="26"/>
          <w:szCs w:val="26"/>
        </w:rPr>
        <w:t>56.14</w:t>
      </w:r>
      <w:r w:rsidRPr="00FD1ED0">
        <w:rPr>
          <w:sz w:val="26"/>
          <w:szCs w:val="26"/>
        </w:rPr>
        <w:t>, The average hourly burden cost for this collection is [($77.</w:t>
      </w:r>
      <w:r>
        <w:rPr>
          <w:sz w:val="26"/>
          <w:szCs w:val="26"/>
        </w:rPr>
        <w:t>29</w:t>
      </w:r>
      <w:r w:rsidRPr="00FD1ED0">
        <w:rPr>
          <w:sz w:val="26"/>
          <w:szCs w:val="26"/>
        </w:rPr>
        <w:t xml:space="preserve"> + $</w:t>
      </w:r>
      <w:r>
        <w:rPr>
          <w:sz w:val="26"/>
          <w:szCs w:val="26"/>
        </w:rPr>
        <w:t>56.14</w:t>
      </w:r>
      <w:r w:rsidRPr="00FD1ED0">
        <w:rPr>
          <w:sz w:val="26"/>
          <w:szCs w:val="26"/>
        </w:rPr>
        <w:t>)/2 = $6</w:t>
      </w:r>
      <w:r>
        <w:rPr>
          <w:sz w:val="26"/>
          <w:szCs w:val="26"/>
        </w:rPr>
        <w:t>6</w:t>
      </w:r>
      <w:r w:rsidRPr="00FD1ED0">
        <w:rPr>
          <w:sz w:val="26"/>
          <w:szCs w:val="26"/>
        </w:rPr>
        <w:t>.</w:t>
      </w:r>
      <w:r>
        <w:rPr>
          <w:sz w:val="26"/>
          <w:szCs w:val="26"/>
        </w:rPr>
        <w:t>715</w:t>
      </w:r>
      <w:r w:rsidRPr="00FD1ED0">
        <w:rPr>
          <w:sz w:val="26"/>
          <w:szCs w:val="26"/>
        </w:rPr>
        <w:t>)] rounded to $6</w:t>
      </w:r>
      <w:r>
        <w:rPr>
          <w:sz w:val="26"/>
          <w:szCs w:val="26"/>
        </w:rPr>
        <w:t>6.72</w:t>
      </w:r>
      <w:r w:rsidRPr="00FD1ED0">
        <w:rPr>
          <w:sz w:val="26"/>
          <w:szCs w:val="26"/>
        </w:rPr>
        <w:t xml:space="preserve"> an hour.</w:t>
      </w:r>
      <w:r w:rsidRPr="00E27E3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794" w:rsidRPr="000619B7" w:rsidP="00B3407F" w14:paraId="17F17E4C" w14:textId="77777777">
    <w:pPr>
      <w:pStyle w:val="Header"/>
      <w:rPr>
        <w:rFonts w:ascii="Times New Roman" w:hAnsi="Times New Roman"/>
        <w:sz w:val="24"/>
        <w:szCs w:val="24"/>
      </w:rPr>
    </w:pPr>
    <w:r w:rsidRPr="000619B7">
      <w:rPr>
        <w:rFonts w:ascii="Times New Roman" w:eastAsia="Times New Roman" w:hAnsi="Times New Roman" w:cs="Times New Roman"/>
        <w:sz w:val="24"/>
        <w:szCs w:val="24"/>
      </w:rPr>
      <w:t>1902-0252 (FERC-725G)</w:t>
    </w:r>
  </w:p>
  <w:p w:rsidR="005C7FBA" w:rsidP="00B3407F" w14:paraId="2686F0A5" w14:textId="77777777">
    <w:pPr>
      <w:pStyle w:val="Header"/>
      <w:rPr>
        <w:rFonts w:ascii="Times New Roman" w:hAnsi="Times New Roman"/>
        <w:sz w:val="24"/>
        <w:szCs w:val="24"/>
      </w:rPr>
    </w:pPr>
    <w:r w:rsidRPr="000619B7">
      <w:rPr>
        <w:rFonts w:ascii="Times New Roman" w:hAnsi="Times New Roman"/>
        <w:sz w:val="24"/>
        <w:szCs w:val="24"/>
      </w:rPr>
      <w:t>Order in Docket No. RD2</w:t>
    </w:r>
    <w:r w:rsidRPr="000619B7" w:rsidR="00093D4A">
      <w:rPr>
        <w:rFonts w:ascii="Times New Roman" w:hAnsi="Times New Roman"/>
        <w:sz w:val="24"/>
        <w:szCs w:val="24"/>
      </w:rPr>
      <w:t>3</w:t>
    </w:r>
    <w:r w:rsidRPr="000619B7">
      <w:rPr>
        <w:rFonts w:ascii="Times New Roman" w:hAnsi="Times New Roman"/>
        <w:sz w:val="24"/>
        <w:szCs w:val="24"/>
      </w:rPr>
      <w:t>-</w:t>
    </w:r>
    <w:r w:rsidR="00F90187">
      <w:rPr>
        <w:rFonts w:ascii="Times New Roman" w:hAnsi="Times New Roman"/>
        <w:sz w:val="24"/>
        <w:szCs w:val="24"/>
      </w:rPr>
      <w:t>5</w:t>
    </w:r>
    <w:r w:rsidRPr="000619B7">
      <w:rPr>
        <w:rFonts w:ascii="Times New Roman" w:hAnsi="Times New Roman"/>
        <w:sz w:val="24"/>
        <w:szCs w:val="24"/>
      </w:rPr>
      <w:t>-000</w:t>
    </w:r>
  </w:p>
  <w:p w:rsidR="00EB245E" w:rsidRPr="000619B7" w:rsidP="00B3407F" w14:paraId="0C462901" w14:textId="423AB599">
    <w:pPr>
      <w:pStyle w:val="Header"/>
      <w:rPr>
        <w:rFonts w:ascii="Times New Roman" w:hAnsi="Times New Roman"/>
        <w:sz w:val="24"/>
        <w:szCs w:val="24"/>
      </w:rPr>
    </w:pPr>
    <w:r>
      <w:rPr>
        <w:rFonts w:ascii="Times New Roman" w:hAnsi="Times New Roman"/>
        <w:sz w:val="24"/>
        <w:szCs w:val="24"/>
      </w:rPr>
      <w:t>DLO approved 1/24/2024 for (update to PRC-23-6)</w:t>
    </w:r>
  </w:p>
  <w:p w:rsidR="00EE7794" w:rsidP="00B3407F" w14:paraId="21CAA4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DAE65B0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E44C7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D86120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CC05C60"/>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6633C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A59B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ABA118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B2FB5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A6899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FC679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4230BD"/>
    <w:multiLevelType w:val="hybridMultilevel"/>
    <w:tmpl w:val="0A802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7CA13BC"/>
    <w:multiLevelType w:val="hybridMultilevel"/>
    <w:tmpl w:val="9CC020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D616BCF"/>
    <w:multiLevelType w:val="hybridMultilevel"/>
    <w:tmpl w:val="D5E440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256264B"/>
    <w:multiLevelType w:val="hybridMultilevel"/>
    <w:tmpl w:val="64D22C7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12E80CF9"/>
    <w:multiLevelType w:val="hybridMultilevel"/>
    <w:tmpl w:val="C65E7E40"/>
    <w:lvl w:ilvl="0">
      <w:start w:val="1"/>
      <w:numFmt w:val="bullet"/>
      <w:lvlText w:val=""/>
      <w:lvlJc w:val="left"/>
      <w:pPr>
        <w:tabs>
          <w:tab w:val="num" w:pos="490"/>
        </w:tabs>
        <w:ind w:left="490" w:hanging="360"/>
      </w:pPr>
      <w:rPr>
        <w:rFonts w:ascii="Symbol" w:hAnsi="Symbol" w:hint="default"/>
      </w:rPr>
    </w:lvl>
    <w:lvl w:ilvl="1" w:tentative="1">
      <w:start w:val="1"/>
      <w:numFmt w:val="bullet"/>
      <w:lvlText w:val="o"/>
      <w:lvlJc w:val="left"/>
      <w:pPr>
        <w:tabs>
          <w:tab w:val="num" w:pos="1210"/>
        </w:tabs>
        <w:ind w:left="1210" w:hanging="360"/>
      </w:pPr>
      <w:rPr>
        <w:rFonts w:ascii="Courier New" w:hAnsi="Courier New" w:hint="default"/>
      </w:rPr>
    </w:lvl>
    <w:lvl w:ilvl="2" w:tentative="1">
      <w:start w:val="1"/>
      <w:numFmt w:val="bullet"/>
      <w:lvlText w:val=""/>
      <w:lvlJc w:val="left"/>
      <w:pPr>
        <w:tabs>
          <w:tab w:val="num" w:pos="1930"/>
        </w:tabs>
        <w:ind w:left="1930" w:hanging="360"/>
      </w:pPr>
      <w:rPr>
        <w:rFonts w:ascii="Wingdings" w:hAnsi="Wingdings" w:hint="default"/>
      </w:rPr>
    </w:lvl>
    <w:lvl w:ilvl="3" w:tentative="1">
      <w:start w:val="1"/>
      <w:numFmt w:val="bullet"/>
      <w:lvlText w:val=""/>
      <w:lvlJc w:val="left"/>
      <w:pPr>
        <w:tabs>
          <w:tab w:val="num" w:pos="2650"/>
        </w:tabs>
        <w:ind w:left="2650" w:hanging="360"/>
      </w:pPr>
      <w:rPr>
        <w:rFonts w:ascii="Symbol" w:hAnsi="Symbol" w:hint="default"/>
      </w:rPr>
    </w:lvl>
    <w:lvl w:ilvl="4" w:tentative="1">
      <w:start w:val="1"/>
      <w:numFmt w:val="bullet"/>
      <w:lvlText w:val="o"/>
      <w:lvlJc w:val="left"/>
      <w:pPr>
        <w:tabs>
          <w:tab w:val="num" w:pos="3370"/>
        </w:tabs>
        <w:ind w:left="3370" w:hanging="360"/>
      </w:pPr>
      <w:rPr>
        <w:rFonts w:ascii="Courier New" w:hAnsi="Courier New" w:hint="default"/>
      </w:rPr>
    </w:lvl>
    <w:lvl w:ilvl="5" w:tentative="1">
      <w:start w:val="1"/>
      <w:numFmt w:val="bullet"/>
      <w:lvlText w:val=""/>
      <w:lvlJc w:val="left"/>
      <w:pPr>
        <w:tabs>
          <w:tab w:val="num" w:pos="4090"/>
        </w:tabs>
        <w:ind w:left="4090" w:hanging="360"/>
      </w:pPr>
      <w:rPr>
        <w:rFonts w:ascii="Wingdings" w:hAnsi="Wingdings" w:hint="default"/>
      </w:rPr>
    </w:lvl>
    <w:lvl w:ilvl="6" w:tentative="1">
      <w:start w:val="1"/>
      <w:numFmt w:val="bullet"/>
      <w:lvlText w:val=""/>
      <w:lvlJc w:val="left"/>
      <w:pPr>
        <w:tabs>
          <w:tab w:val="num" w:pos="4810"/>
        </w:tabs>
        <w:ind w:left="4810" w:hanging="360"/>
      </w:pPr>
      <w:rPr>
        <w:rFonts w:ascii="Symbol" w:hAnsi="Symbol" w:hint="default"/>
      </w:rPr>
    </w:lvl>
    <w:lvl w:ilvl="7" w:tentative="1">
      <w:start w:val="1"/>
      <w:numFmt w:val="bullet"/>
      <w:lvlText w:val="o"/>
      <w:lvlJc w:val="left"/>
      <w:pPr>
        <w:tabs>
          <w:tab w:val="num" w:pos="5530"/>
        </w:tabs>
        <w:ind w:left="5530" w:hanging="360"/>
      </w:pPr>
      <w:rPr>
        <w:rFonts w:ascii="Courier New" w:hAnsi="Courier New" w:hint="default"/>
      </w:rPr>
    </w:lvl>
    <w:lvl w:ilvl="8" w:tentative="1">
      <w:start w:val="1"/>
      <w:numFmt w:val="bullet"/>
      <w:lvlText w:val=""/>
      <w:lvlJc w:val="left"/>
      <w:pPr>
        <w:tabs>
          <w:tab w:val="num" w:pos="6250"/>
        </w:tabs>
        <w:ind w:left="6250" w:hanging="360"/>
      </w:pPr>
      <w:rPr>
        <w:rFonts w:ascii="Wingdings" w:hAnsi="Wingdings" w:hint="default"/>
      </w:rPr>
    </w:lvl>
  </w:abstractNum>
  <w:abstractNum w:abstractNumId="15">
    <w:nsid w:val="14054910"/>
    <w:multiLevelType w:val="hybridMultilevel"/>
    <w:tmpl w:val="74069B9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821664C"/>
    <w:multiLevelType w:val="hybridMultilevel"/>
    <w:tmpl w:val="A91056FC"/>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91B4D7D"/>
    <w:multiLevelType w:val="hybridMultilevel"/>
    <w:tmpl w:val="66D473C4"/>
    <w:lvl w:ilvl="0">
      <w:start w:val="0"/>
      <w:numFmt w:val="bullet"/>
      <w:lvlText w:val=""/>
      <w:lvlJc w:val="left"/>
      <w:pPr>
        <w:ind w:left="810" w:hanging="360"/>
      </w:pPr>
      <w:rPr>
        <w:rFonts w:ascii="Times New Roman" w:hAnsi="Times New Roman" w:eastAsiaTheme="minorHAnsi" w:cs="Times New Roman"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8">
    <w:nsid w:val="1A7A736A"/>
    <w:multiLevelType w:val="hybridMultilevel"/>
    <w:tmpl w:val="F33A823C"/>
    <w:lvl w:ilvl="0">
      <w:start w:val="1"/>
      <w:numFmt w:val="bullet"/>
      <w:lvlText w:val=""/>
      <w:lvlJc w:val="left"/>
      <w:pPr>
        <w:ind w:left="720" w:hanging="360"/>
      </w:pPr>
      <w:rPr>
        <w:rFonts w:ascii="Symbol" w:hAnsi="Symbol"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E334585"/>
    <w:multiLevelType w:val="hybridMultilevel"/>
    <w:tmpl w:val="70ECB0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C3951C5"/>
    <w:multiLevelType w:val="hybridMultilevel"/>
    <w:tmpl w:val="CC068A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2">
    <w:nsid w:val="3D3844F1"/>
    <w:multiLevelType w:val="hybridMultilevel"/>
    <w:tmpl w:val="213A04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0430F52"/>
    <w:multiLevelType w:val="hybridMultilevel"/>
    <w:tmpl w:val="D004E9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B316C53"/>
    <w:multiLevelType w:val="hybridMultilevel"/>
    <w:tmpl w:val="FEF80C20"/>
    <w:lvl w:ilvl="0">
      <w:start w:val="1"/>
      <w:numFmt w:val="bullet"/>
      <w:lvlText w:val=""/>
      <w:lvlJc w:val="left"/>
      <w:pPr>
        <w:ind w:left="720" w:hanging="360"/>
      </w:pPr>
      <w:rPr>
        <w:rFonts w:ascii="Symbol" w:hAnsi="Symbol"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FCC1895"/>
    <w:multiLevelType w:val="hybridMultilevel"/>
    <w:tmpl w:val="632C2E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4B7425B"/>
    <w:multiLevelType w:val="hybridMultilevel"/>
    <w:tmpl w:val="825A398A"/>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5155789"/>
    <w:multiLevelType w:val="hybridMultilevel"/>
    <w:tmpl w:val="F5E053C4"/>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8">
    <w:nsid w:val="568B5F24"/>
    <w:multiLevelType w:val="hybridMultilevel"/>
    <w:tmpl w:val="60E217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B260868"/>
    <w:multiLevelType w:val="hybridMultilevel"/>
    <w:tmpl w:val="FF0638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E0E7BFE"/>
    <w:multiLevelType w:val="hybridMultilevel"/>
    <w:tmpl w:val="23A860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72835CA"/>
    <w:multiLevelType w:val="hybridMultilevel"/>
    <w:tmpl w:val="63342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9C03409"/>
    <w:multiLevelType w:val="hybridMultilevel"/>
    <w:tmpl w:val="0F2EB2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B5975AC"/>
    <w:multiLevelType w:val="hybridMultilevel"/>
    <w:tmpl w:val="2FFAF80A"/>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B893EE1"/>
    <w:multiLevelType w:val="hybridMultilevel"/>
    <w:tmpl w:val="FEB892DE"/>
    <w:lvl w:ilvl="0">
      <w:start w:val="1"/>
      <w:numFmt w:val="bullet"/>
      <w:lvlText w:val=""/>
      <w:lvlJc w:val="left"/>
      <w:pPr>
        <w:ind w:left="845" w:hanging="360"/>
      </w:pPr>
      <w:rPr>
        <w:rFonts w:ascii="Symbol" w:hAnsi="Symbol" w:hint="default"/>
      </w:rPr>
    </w:lvl>
    <w:lvl w:ilvl="1" w:tentative="1">
      <w:start w:val="1"/>
      <w:numFmt w:val="bullet"/>
      <w:lvlText w:val="o"/>
      <w:lvlJc w:val="left"/>
      <w:pPr>
        <w:ind w:left="1565" w:hanging="360"/>
      </w:pPr>
      <w:rPr>
        <w:rFonts w:ascii="Courier New" w:hAnsi="Courier New" w:cs="Courier New" w:hint="default"/>
      </w:rPr>
    </w:lvl>
    <w:lvl w:ilvl="2" w:tentative="1">
      <w:start w:val="1"/>
      <w:numFmt w:val="bullet"/>
      <w:lvlText w:val=""/>
      <w:lvlJc w:val="left"/>
      <w:pPr>
        <w:ind w:left="2285" w:hanging="360"/>
      </w:pPr>
      <w:rPr>
        <w:rFonts w:ascii="Wingdings" w:hAnsi="Wingdings" w:hint="default"/>
      </w:rPr>
    </w:lvl>
    <w:lvl w:ilvl="3" w:tentative="1">
      <w:start w:val="1"/>
      <w:numFmt w:val="bullet"/>
      <w:lvlText w:val=""/>
      <w:lvlJc w:val="left"/>
      <w:pPr>
        <w:ind w:left="3005" w:hanging="360"/>
      </w:pPr>
      <w:rPr>
        <w:rFonts w:ascii="Symbol" w:hAnsi="Symbol" w:hint="default"/>
      </w:rPr>
    </w:lvl>
    <w:lvl w:ilvl="4" w:tentative="1">
      <w:start w:val="1"/>
      <w:numFmt w:val="bullet"/>
      <w:lvlText w:val="o"/>
      <w:lvlJc w:val="left"/>
      <w:pPr>
        <w:ind w:left="3725" w:hanging="360"/>
      </w:pPr>
      <w:rPr>
        <w:rFonts w:ascii="Courier New" w:hAnsi="Courier New" w:cs="Courier New" w:hint="default"/>
      </w:rPr>
    </w:lvl>
    <w:lvl w:ilvl="5" w:tentative="1">
      <w:start w:val="1"/>
      <w:numFmt w:val="bullet"/>
      <w:lvlText w:val=""/>
      <w:lvlJc w:val="left"/>
      <w:pPr>
        <w:ind w:left="4445" w:hanging="360"/>
      </w:pPr>
      <w:rPr>
        <w:rFonts w:ascii="Wingdings" w:hAnsi="Wingdings" w:hint="default"/>
      </w:rPr>
    </w:lvl>
    <w:lvl w:ilvl="6" w:tentative="1">
      <w:start w:val="1"/>
      <w:numFmt w:val="bullet"/>
      <w:lvlText w:val=""/>
      <w:lvlJc w:val="left"/>
      <w:pPr>
        <w:ind w:left="5165" w:hanging="360"/>
      </w:pPr>
      <w:rPr>
        <w:rFonts w:ascii="Symbol" w:hAnsi="Symbol" w:hint="default"/>
      </w:rPr>
    </w:lvl>
    <w:lvl w:ilvl="7" w:tentative="1">
      <w:start w:val="1"/>
      <w:numFmt w:val="bullet"/>
      <w:lvlText w:val="o"/>
      <w:lvlJc w:val="left"/>
      <w:pPr>
        <w:ind w:left="5885" w:hanging="360"/>
      </w:pPr>
      <w:rPr>
        <w:rFonts w:ascii="Courier New" w:hAnsi="Courier New" w:cs="Courier New" w:hint="default"/>
      </w:rPr>
    </w:lvl>
    <w:lvl w:ilvl="8" w:tentative="1">
      <w:start w:val="1"/>
      <w:numFmt w:val="bullet"/>
      <w:lvlText w:val=""/>
      <w:lvlJc w:val="left"/>
      <w:pPr>
        <w:ind w:left="6605" w:hanging="360"/>
      </w:pPr>
      <w:rPr>
        <w:rFonts w:ascii="Wingdings" w:hAnsi="Wingdings" w:hint="default"/>
      </w:rPr>
    </w:lvl>
  </w:abstractNum>
  <w:abstractNum w:abstractNumId="35">
    <w:nsid w:val="73D16E82"/>
    <w:multiLevelType w:val="hybridMultilevel"/>
    <w:tmpl w:val="9D22A0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7460736"/>
    <w:multiLevelType w:val="hybridMultilevel"/>
    <w:tmpl w:val="804A2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88E2278"/>
    <w:multiLevelType w:val="hybridMultilevel"/>
    <w:tmpl w:val="F8A2F400"/>
    <w:lvl w:ilvl="0">
      <w:start w:val="1"/>
      <w:numFmt w:val="bullet"/>
      <w:lvlText w:val=""/>
      <w:lvlJc w:val="left"/>
      <w:pPr>
        <w:ind w:left="1440" w:hanging="360"/>
      </w:pPr>
      <w:rPr>
        <w:rFonts w:ascii="Symbol" w:hAnsi="Symbol" w:hint="default"/>
        <w:sz w:val="1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E4E4DD3"/>
    <w:multiLevelType w:val="hybridMultilevel"/>
    <w:tmpl w:val="F68E5210"/>
    <w:lvl w:ilvl="0">
      <w:start w:val="1"/>
      <w:numFmt w:val="decimal"/>
      <w:pStyle w:val="FERCparanumber"/>
      <w:lvlText w:val="%1."/>
      <w:lvlJc w:val="left"/>
      <w:pPr>
        <w:tabs>
          <w:tab w:val="num" w:pos="720"/>
        </w:tabs>
      </w:pPr>
      <w:rPr>
        <w:rFonts w:ascii="Times New Roman" w:hAnsi="Times New Roman" w:cs="Times New Roman" w:hint="default"/>
        <w:b w:val="0"/>
        <w:i w:val="0"/>
        <w:sz w:val="26"/>
        <w:szCs w:val="26"/>
      </w:rPr>
    </w:lvl>
    <w:lvl w:ilvl="1">
      <w:start w:val="1"/>
      <w:numFmt w:val="upperLetter"/>
      <w:lvlText w:val="%2."/>
      <w:lvlJc w:val="left"/>
      <w:pPr>
        <w:tabs>
          <w:tab w:val="num" w:pos="1440"/>
        </w:tabs>
        <w:ind w:left="1440" w:hanging="360"/>
      </w:pPr>
      <w:rPr>
        <w:rFonts w:cs="Times New Roman" w:hint="default"/>
        <w:u w:val="none"/>
      </w:rPr>
    </w:lvl>
    <w:lvl w:ilvl="2">
      <w:start w:val="1"/>
      <w:numFmt w:val="bullet"/>
      <w:lvlText w:val=""/>
      <w:lvlJc w:val="left"/>
      <w:pPr>
        <w:tabs>
          <w:tab w:val="num" w:pos="2340"/>
        </w:tabs>
        <w:ind w:left="2340" w:hanging="360"/>
      </w:pPr>
      <w:rPr>
        <w:rFonts w:ascii="Symbol" w:hAnsi="Symbol" w:hint="default"/>
        <w:b w:val="0"/>
      </w:rPr>
    </w:lvl>
    <w:lvl w:ilvl="3">
      <w:start w:val="1"/>
      <w:numFmt w:val="decimal"/>
      <w:lvlText w:val="(%4)"/>
      <w:lvlJc w:val="left"/>
      <w:pPr>
        <w:tabs>
          <w:tab w:val="num" w:pos="2880"/>
        </w:tabs>
        <w:ind w:left="2880" w:hanging="360"/>
      </w:pPr>
      <w:rPr>
        <w:rFonts w:cs="Times New Roman" w:hint="default"/>
        <w:b w:val="0"/>
      </w:rPr>
    </w:lvl>
    <w:lvl w:ilvl="4">
      <w:start w:val="4"/>
      <w:numFmt w:val="lowerLetter"/>
      <w:lvlText w:val="%5."/>
      <w:lvlJc w:val="left"/>
      <w:pPr>
        <w:tabs>
          <w:tab w:val="num" w:pos="3600"/>
        </w:tabs>
        <w:ind w:left="3600" w:hanging="360"/>
      </w:pPr>
      <w:rPr>
        <w:rFonts w:cs="Times New Roman" w:hint="default"/>
        <w:b/>
        <w:u w:val="single"/>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542794847">
    <w:abstractNumId w:val="25"/>
  </w:num>
  <w:num w:numId="2" w16cid:durableId="425464304">
    <w:abstractNumId w:val="21"/>
  </w:num>
  <w:num w:numId="3" w16cid:durableId="321354658">
    <w:abstractNumId w:val="29"/>
  </w:num>
  <w:num w:numId="4" w16cid:durableId="1179350152">
    <w:abstractNumId w:val="31"/>
  </w:num>
  <w:num w:numId="5" w16cid:durableId="1681853161">
    <w:abstractNumId w:val="38"/>
  </w:num>
  <w:num w:numId="6" w16cid:durableId="342978239">
    <w:abstractNumId w:val="34"/>
  </w:num>
  <w:num w:numId="7" w16cid:durableId="1216166097">
    <w:abstractNumId w:val="14"/>
  </w:num>
  <w:num w:numId="8" w16cid:durableId="1609972711">
    <w:abstractNumId w:val="30"/>
  </w:num>
  <w:num w:numId="9" w16cid:durableId="424542680">
    <w:abstractNumId w:val="9"/>
  </w:num>
  <w:num w:numId="10" w16cid:durableId="696076506">
    <w:abstractNumId w:val="7"/>
  </w:num>
  <w:num w:numId="11" w16cid:durableId="576979858">
    <w:abstractNumId w:val="6"/>
  </w:num>
  <w:num w:numId="12" w16cid:durableId="132061147">
    <w:abstractNumId w:val="5"/>
  </w:num>
  <w:num w:numId="13" w16cid:durableId="323439273">
    <w:abstractNumId w:val="4"/>
  </w:num>
  <w:num w:numId="14" w16cid:durableId="1412196842">
    <w:abstractNumId w:val="8"/>
  </w:num>
  <w:num w:numId="15" w16cid:durableId="1508207204">
    <w:abstractNumId w:val="3"/>
  </w:num>
  <w:num w:numId="16" w16cid:durableId="73743972">
    <w:abstractNumId w:val="2"/>
  </w:num>
  <w:num w:numId="17" w16cid:durableId="927231636">
    <w:abstractNumId w:val="1"/>
  </w:num>
  <w:num w:numId="18" w16cid:durableId="559292131">
    <w:abstractNumId w:val="0"/>
  </w:num>
  <w:num w:numId="19" w16cid:durableId="1154300735">
    <w:abstractNumId w:val="32"/>
  </w:num>
  <w:num w:numId="20" w16cid:durableId="1526558125">
    <w:abstractNumId w:val="20"/>
  </w:num>
  <w:num w:numId="21" w16cid:durableId="1296057409">
    <w:abstractNumId w:val="12"/>
  </w:num>
  <w:num w:numId="22" w16cid:durableId="1898587983">
    <w:abstractNumId w:val="36"/>
  </w:num>
  <w:num w:numId="23" w16cid:durableId="50466445">
    <w:abstractNumId w:val="22"/>
  </w:num>
  <w:num w:numId="24" w16cid:durableId="846677407">
    <w:abstractNumId w:val="23"/>
  </w:num>
  <w:num w:numId="25" w16cid:durableId="794252098">
    <w:abstractNumId w:val="35"/>
  </w:num>
  <w:num w:numId="26" w16cid:durableId="685669948">
    <w:abstractNumId w:val="16"/>
  </w:num>
  <w:num w:numId="27" w16cid:durableId="276563644">
    <w:abstractNumId w:val="33"/>
  </w:num>
  <w:num w:numId="28" w16cid:durableId="1719281649">
    <w:abstractNumId w:val="13"/>
  </w:num>
  <w:num w:numId="29" w16cid:durableId="568267393">
    <w:abstractNumId w:val="17"/>
  </w:num>
  <w:num w:numId="30" w16cid:durableId="1055080907">
    <w:abstractNumId w:val="27"/>
  </w:num>
  <w:num w:numId="31" w16cid:durableId="817650226">
    <w:abstractNumId w:val="28"/>
  </w:num>
  <w:num w:numId="32" w16cid:durableId="1881623686">
    <w:abstractNumId w:val="19"/>
  </w:num>
  <w:num w:numId="33" w16cid:durableId="1602255451">
    <w:abstractNumId w:val="26"/>
  </w:num>
  <w:num w:numId="34" w16cid:durableId="2051762951">
    <w:abstractNumId w:val="24"/>
  </w:num>
  <w:num w:numId="35" w16cid:durableId="1414008233">
    <w:abstractNumId w:val="18"/>
  </w:num>
  <w:num w:numId="36" w16cid:durableId="816989984">
    <w:abstractNumId w:val="37"/>
  </w:num>
  <w:num w:numId="37" w16cid:durableId="1460222947">
    <w:abstractNumId w:val="15"/>
  </w:num>
  <w:num w:numId="38" w16cid:durableId="1663241131">
    <w:abstractNumId w:val="10"/>
  </w:num>
  <w:num w:numId="39" w16cid:durableId="810318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trackedChange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F1"/>
    <w:rsid w:val="00001EC7"/>
    <w:rsid w:val="0000315F"/>
    <w:rsid w:val="000042C0"/>
    <w:rsid w:val="00004303"/>
    <w:rsid w:val="00004D85"/>
    <w:rsid w:val="00011946"/>
    <w:rsid w:val="0002242D"/>
    <w:rsid w:val="00032AB7"/>
    <w:rsid w:val="00033749"/>
    <w:rsid w:val="00035845"/>
    <w:rsid w:val="000370D4"/>
    <w:rsid w:val="0004338A"/>
    <w:rsid w:val="000449A4"/>
    <w:rsid w:val="0004709E"/>
    <w:rsid w:val="00051298"/>
    <w:rsid w:val="00052445"/>
    <w:rsid w:val="00053D64"/>
    <w:rsid w:val="00053F45"/>
    <w:rsid w:val="000541C7"/>
    <w:rsid w:val="00057A9A"/>
    <w:rsid w:val="00060F17"/>
    <w:rsid w:val="000619B7"/>
    <w:rsid w:val="0006271B"/>
    <w:rsid w:val="00071418"/>
    <w:rsid w:val="00071443"/>
    <w:rsid w:val="00071E8E"/>
    <w:rsid w:val="00076EFD"/>
    <w:rsid w:val="00081D44"/>
    <w:rsid w:val="00093D4A"/>
    <w:rsid w:val="000943D4"/>
    <w:rsid w:val="00097E56"/>
    <w:rsid w:val="000A441A"/>
    <w:rsid w:val="000B0C37"/>
    <w:rsid w:val="000B4923"/>
    <w:rsid w:val="000C3DF2"/>
    <w:rsid w:val="000C6079"/>
    <w:rsid w:val="000C7F68"/>
    <w:rsid w:val="000D1962"/>
    <w:rsid w:val="000E4604"/>
    <w:rsid w:val="000F532B"/>
    <w:rsid w:val="00101565"/>
    <w:rsid w:val="00107834"/>
    <w:rsid w:val="00132DA0"/>
    <w:rsid w:val="001372FF"/>
    <w:rsid w:val="00143103"/>
    <w:rsid w:val="001513C0"/>
    <w:rsid w:val="0015589F"/>
    <w:rsid w:val="001727A6"/>
    <w:rsid w:val="0017787C"/>
    <w:rsid w:val="00181727"/>
    <w:rsid w:val="00182858"/>
    <w:rsid w:val="00185730"/>
    <w:rsid w:val="00190012"/>
    <w:rsid w:val="001A737B"/>
    <w:rsid w:val="001A786E"/>
    <w:rsid w:val="001B66CF"/>
    <w:rsid w:val="001B6D03"/>
    <w:rsid w:val="001B706B"/>
    <w:rsid w:val="001C300E"/>
    <w:rsid w:val="001D0D91"/>
    <w:rsid w:val="001D4DBB"/>
    <w:rsid w:val="001F1AD2"/>
    <w:rsid w:val="001F4608"/>
    <w:rsid w:val="001F6F61"/>
    <w:rsid w:val="00200AAB"/>
    <w:rsid w:val="00204024"/>
    <w:rsid w:val="002051EB"/>
    <w:rsid w:val="002079D3"/>
    <w:rsid w:val="00210748"/>
    <w:rsid w:val="00210902"/>
    <w:rsid w:val="00212FCA"/>
    <w:rsid w:val="00221016"/>
    <w:rsid w:val="00223CAE"/>
    <w:rsid w:val="002249B4"/>
    <w:rsid w:val="00224FF7"/>
    <w:rsid w:val="00231EBD"/>
    <w:rsid w:val="002402E7"/>
    <w:rsid w:val="00255164"/>
    <w:rsid w:val="00260022"/>
    <w:rsid w:val="00260142"/>
    <w:rsid w:val="00261C5B"/>
    <w:rsid w:val="00263819"/>
    <w:rsid w:val="0026674D"/>
    <w:rsid w:val="0026713E"/>
    <w:rsid w:val="00270229"/>
    <w:rsid w:val="00270A73"/>
    <w:rsid w:val="00275E54"/>
    <w:rsid w:val="002800F3"/>
    <w:rsid w:val="00280C9A"/>
    <w:rsid w:val="00287A77"/>
    <w:rsid w:val="00293DD1"/>
    <w:rsid w:val="00294704"/>
    <w:rsid w:val="00296D9F"/>
    <w:rsid w:val="002A24A6"/>
    <w:rsid w:val="002A66A8"/>
    <w:rsid w:val="002B13CE"/>
    <w:rsid w:val="002B13E2"/>
    <w:rsid w:val="002B502D"/>
    <w:rsid w:val="002C7345"/>
    <w:rsid w:val="002D1C88"/>
    <w:rsid w:val="002D1DEA"/>
    <w:rsid w:val="002D57E3"/>
    <w:rsid w:val="002E48FF"/>
    <w:rsid w:val="002E6793"/>
    <w:rsid w:val="002E73DC"/>
    <w:rsid w:val="002E7D81"/>
    <w:rsid w:val="002F5268"/>
    <w:rsid w:val="002F6B13"/>
    <w:rsid w:val="0030268B"/>
    <w:rsid w:val="00311375"/>
    <w:rsid w:val="00312AD1"/>
    <w:rsid w:val="00316786"/>
    <w:rsid w:val="00324D7D"/>
    <w:rsid w:val="00330A2A"/>
    <w:rsid w:val="00333EE2"/>
    <w:rsid w:val="00354626"/>
    <w:rsid w:val="00375A46"/>
    <w:rsid w:val="00380320"/>
    <w:rsid w:val="0038125B"/>
    <w:rsid w:val="003917F7"/>
    <w:rsid w:val="00394075"/>
    <w:rsid w:val="00395BB7"/>
    <w:rsid w:val="003A1CDA"/>
    <w:rsid w:val="003A2655"/>
    <w:rsid w:val="003B25DD"/>
    <w:rsid w:val="003B6DBB"/>
    <w:rsid w:val="003C0A4F"/>
    <w:rsid w:val="003D3509"/>
    <w:rsid w:val="003D69FC"/>
    <w:rsid w:val="003D6E1B"/>
    <w:rsid w:val="003E31AC"/>
    <w:rsid w:val="003F119D"/>
    <w:rsid w:val="00406E7C"/>
    <w:rsid w:val="00413E9F"/>
    <w:rsid w:val="00414F32"/>
    <w:rsid w:val="00415C53"/>
    <w:rsid w:val="004246F5"/>
    <w:rsid w:val="00427731"/>
    <w:rsid w:val="004313BD"/>
    <w:rsid w:val="00434178"/>
    <w:rsid w:val="00434D5B"/>
    <w:rsid w:val="00437439"/>
    <w:rsid w:val="004429E8"/>
    <w:rsid w:val="00443E79"/>
    <w:rsid w:val="004552E9"/>
    <w:rsid w:val="00455F70"/>
    <w:rsid w:val="00461F64"/>
    <w:rsid w:val="00464140"/>
    <w:rsid w:val="00471503"/>
    <w:rsid w:val="00471EC4"/>
    <w:rsid w:val="00472555"/>
    <w:rsid w:val="00475832"/>
    <w:rsid w:val="004779B9"/>
    <w:rsid w:val="00485FE2"/>
    <w:rsid w:val="004875D5"/>
    <w:rsid w:val="00491AD3"/>
    <w:rsid w:val="004951E2"/>
    <w:rsid w:val="004A42D8"/>
    <w:rsid w:val="004B01EE"/>
    <w:rsid w:val="004B35F6"/>
    <w:rsid w:val="004B502E"/>
    <w:rsid w:val="004B7A8E"/>
    <w:rsid w:val="004C4C89"/>
    <w:rsid w:val="004D1EF7"/>
    <w:rsid w:val="004E1AD9"/>
    <w:rsid w:val="004E1AF9"/>
    <w:rsid w:val="004E2976"/>
    <w:rsid w:val="004F5391"/>
    <w:rsid w:val="004F6977"/>
    <w:rsid w:val="004F7A4D"/>
    <w:rsid w:val="00504E92"/>
    <w:rsid w:val="00522F69"/>
    <w:rsid w:val="00527589"/>
    <w:rsid w:val="005278BB"/>
    <w:rsid w:val="00527E87"/>
    <w:rsid w:val="00530462"/>
    <w:rsid w:val="005306EF"/>
    <w:rsid w:val="0053287C"/>
    <w:rsid w:val="005335A7"/>
    <w:rsid w:val="00541B5E"/>
    <w:rsid w:val="0055104A"/>
    <w:rsid w:val="0056728B"/>
    <w:rsid w:val="00571C5E"/>
    <w:rsid w:val="00572435"/>
    <w:rsid w:val="005727E5"/>
    <w:rsid w:val="0057700F"/>
    <w:rsid w:val="00577CC7"/>
    <w:rsid w:val="00580974"/>
    <w:rsid w:val="00583863"/>
    <w:rsid w:val="00583A79"/>
    <w:rsid w:val="005903A7"/>
    <w:rsid w:val="00591E8B"/>
    <w:rsid w:val="005A2792"/>
    <w:rsid w:val="005B4642"/>
    <w:rsid w:val="005B5AD0"/>
    <w:rsid w:val="005B5E92"/>
    <w:rsid w:val="005B74EF"/>
    <w:rsid w:val="005B77CE"/>
    <w:rsid w:val="005C35FF"/>
    <w:rsid w:val="005C7FBA"/>
    <w:rsid w:val="005D0A85"/>
    <w:rsid w:val="005D20CA"/>
    <w:rsid w:val="005D3070"/>
    <w:rsid w:val="005E122B"/>
    <w:rsid w:val="005E20E6"/>
    <w:rsid w:val="005E7290"/>
    <w:rsid w:val="005F1C3C"/>
    <w:rsid w:val="005F2922"/>
    <w:rsid w:val="005F6D6C"/>
    <w:rsid w:val="0060709A"/>
    <w:rsid w:val="00607AA4"/>
    <w:rsid w:val="00615C10"/>
    <w:rsid w:val="006166FA"/>
    <w:rsid w:val="00617F76"/>
    <w:rsid w:val="006328D5"/>
    <w:rsid w:val="00632F48"/>
    <w:rsid w:val="00634602"/>
    <w:rsid w:val="00642AEC"/>
    <w:rsid w:val="00653BD5"/>
    <w:rsid w:val="00656F55"/>
    <w:rsid w:val="00661E66"/>
    <w:rsid w:val="00664BC0"/>
    <w:rsid w:val="00673BA4"/>
    <w:rsid w:val="00674B77"/>
    <w:rsid w:val="006825A5"/>
    <w:rsid w:val="006835EB"/>
    <w:rsid w:val="00690136"/>
    <w:rsid w:val="00697B0D"/>
    <w:rsid w:val="006A5231"/>
    <w:rsid w:val="006B6DAD"/>
    <w:rsid w:val="006C42F6"/>
    <w:rsid w:val="006C701E"/>
    <w:rsid w:val="006C79AF"/>
    <w:rsid w:val="006D67DF"/>
    <w:rsid w:val="006D74D9"/>
    <w:rsid w:val="006D7EBE"/>
    <w:rsid w:val="006E33D4"/>
    <w:rsid w:val="006E4581"/>
    <w:rsid w:val="006E6BF1"/>
    <w:rsid w:val="007025DD"/>
    <w:rsid w:val="00705F66"/>
    <w:rsid w:val="007165A2"/>
    <w:rsid w:val="0072126E"/>
    <w:rsid w:val="0072324F"/>
    <w:rsid w:val="00730307"/>
    <w:rsid w:val="00730361"/>
    <w:rsid w:val="0073389D"/>
    <w:rsid w:val="0073424E"/>
    <w:rsid w:val="00734692"/>
    <w:rsid w:val="00734D39"/>
    <w:rsid w:val="00736846"/>
    <w:rsid w:val="0075361B"/>
    <w:rsid w:val="00753656"/>
    <w:rsid w:val="00762564"/>
    <w:rsid w:val="00763EAE"/>
    <w:rsid w:val="00764D4D"/>
    <w:rsid w:val="007666A8"/>
    <w:rsid w:val="00773039"/>
    <w:rsid w:val="00773AEB"/>
    <w:rsid w:val="00774AD8"/>
    <w:rsid w:val="00776623"/>
    <w:rsid w:val="00776AD1"/>
    <w:rsid w:val="00781137"/>
    <w:rsid w:val="00787670"/>
    <w:rsid w:val="00787FED"/>
    <w:rsid w:val="00792606"/>
    <w:rsid w:val="0079709F"/>
    <w:rsid w:val="007A041D"/>
    <w:rsid w:val="007A0FD5"/>
    <w:rsid w:val="007A2F92"/>
    <w:rsid w:val="007A7A19"/>
    <w:rsid w:val="007B35CF"/>
    <w:rsid w:val="007B3E16"/>
    <w:rsid w:val="007B5BD1"/>
    <w:rsid w:val="007B7B67"/>
    <w:rsid w:val="007C31D6"/>
    <w:rsid w:val="007C5EB4"/>
    <w:rsid w:val="007D1EDB"/>
    <w:rsid w:val="007D2B60"/>
    <w:rsid w:val="007D4C3D"/>
    <w:rsid w:val="007D6D2F"/>
    <w:rsid w:val="007E08EF"/>
    <w:rsid w:val="007E12BA"/>
    <w:rsid w:val="007E7C0F"/>
    <w:rsid w:val="007F0136"/>
    <w:rsid w:val="007F036B"/>
    <w:rsid w:val="007F1AC1"/>
    <w:rsid w:val="007F2CD9"/>
    <w:rsid w:val="007F38CB"/>
    <w:rsid w:val="007F4FE5"/>
    <w:rsid w:val="007F51BB"/>
    <w:rsid w:val="007F58DE"/>
    <w:rsid w:val="007F7801"/>
    <w:rsid w:val="00804051"/>
    <w:rsid w:val="0081469B"/>
    <w:rsid w:val="00824795"/>
    <w:rsid w:val="00824B30"/>
    <w:rsid w:val="00826750"/>
    <w:rsid w:val="00831068"/>
    <w:rsid w:val="00836ACB"/>
    <w:rsid w:val="00841DE0"/>
    <w:rsid w:val="00845C19"/>
    <w:rsid w:val="00845C73"/>
    <w:rsid w:val="00847190"/>
    <w:rsid w:val="008472D2"/>
    <w:rsid w:val="00847B85"/>
    <w:rsid w:val="008516B5"/>
    <w:rsid w:val="00854CF3"/>
    <w:rsid w:val="008619E1"/>
    <w:rsid w:val="008624F0"/>
    <w:rsid w:val="008679A6"/>
    <w:rsid w:val="00876F75"/>
    <w:rsid w:val="0088064C"/>
    <w:rsid w:val="008838BF"/>
    <w:rsid w:val="00883F19"/>
    <w:rsid w:val="008855AE"/>
    <w:rsid w:val="00891959"/>
    <w:rsid w:val="00896DEA"/>
    <w:rsid w:val="008A0CCC"/>
    <w:rsid w:val="008A21A4"/>
    <w:rsid w:val="008A757A"/>
    <w:rsid w:val="008B0A37"/>
    <w:rsid w:val="008B703B"/>
    <w:rsid w:val="008C1F0A"/>
    <w:rsid w:val="008C288D"/>
    <w:rsid w:val="008C4831"/>
    <w:rsid w:val="008D054A"/>
    <w:rsid w:val="008D256F"/>
    <w:rsid w:val="008D63BA"/>
    <w:rsid w:val="008D7A0E"/>
    <w:rsid w:val="008E70CD"/>
    <w:rsid w:val="008F16EE"/>
    <w:rsid w:val="008F3AD3"/>
    <w:rsid w:val="008F4A44"/>
    <w:rsid w:val="00901F2B"/>
    <w:rsid w:val="00903DD9"/>
    <w:rsid w:val="009118FF"/>
    <w:rsid w:val="00913A8B"/>
    <w:rsid w:val="009234F6"/>
    <w:rsid w:val="00924C11"/>
    <w:rsid w:val="0092596C"/>
    <w:rsid w:val="00937940"/>
    <w:rsid w:val="00954E34"/>
    <w:rsid w:val="00957C39"/>
    <w:rsid w:val="00967C99"/>
    <w:rsid w:val="00970FE4"/>
    <w:rsid w:val="00973D7D"/>
    <w:rsid w:val="0097474C"/>
    <w:rsid w:val="0098144A"/>
    <w:rsid w:val="009823AB"/>
    <w:rsid w:val="009952CF"/>
    <w:rsid w:val="009A2394"/>
    <w:rsid w:val="009A6041"/>
    <w:rsid w:val="009A6326"/>
    <w:rsid w:val="009B0E5F"/>
    <w:rsid w:val="009B3AFC"/>
    <w:rsid w:val="009C3BDB"/>
    <w:rsid w:val="009C7ADC"/>
    <w:rsid w:val="009D4D24"/>
    <w:rsid w:val="009E0863"/>
    <w:rsid w:val="009E1190"/>
    <w:rsid w:val="009E6828"/>
    <w:rsid w:val="009E68B7"/>
    <w:rsid w:val="009F2E87"/>
    <w:rsid w:val="009F358B"/>
    <w:rsid w:val="009F534F"/>
    <w:rsid w:val="009F546A"/>
    <w:rsid w:val="00A03A01"/>
    <w:rsid w:val="00A11534"/>
    <w:rsid w:val="00A124D2"/>
    <w:rsid w:val="00A25080"/>
    <w:rsid w:val="00A255AD"/>
    <w:rsid w:val="00A276F5"/>
    <w:rsid w:val="00A317FB"/>
    <w:rsid w:val="00A32B85"/>
    <w:rsid w:val="00A37A10"/>
    <w:rsid w:val="00A42006"/>
    <w:rsid w:val="00A4336A"/>
    <w:rsid w:val="00A548BE"/>
    <w:rsid w:val="00A56381"/>
    <w:rsid w:val="00A5774D"/>
    <w:rsid w:val="00A63ED6"/>
    <w:rsid w:val="00A65B66"/>
    <w:rsid w:val="00A66A1E"/>
    <w:rsid w:val="00A70CFB"/>
    <w:rsid w:val="00A72E7B"/>
    <w:rsid w:val="00A76161"/>
    <w:rsid w:val="00A76D06"/>
    <w:rsid w:val="00A770AD"/>
    <w:rsid w:val="00A9662B"/>
    <w:rsid w:val="00A968FB"/>
    <w:rsid w:val="00A96B65"/>
    <w:rsid w:val="00AA0135"/>
    <w:rsid w:val="00AA04F3"/>
    <w:rsid w:val="00AA6C5E"/>
    <w:rsid w:val="00AB3037"/>
    <w:rsid w:val="00AB5472"/>
    <w:rsid w:val="00AB7F0A"/>
    <w:rsid w:val="00AC488E"/>
    <w:rsid w:val="00AC5B54"/>
    <w:rsid w:val="00AC6459"/>
    <w:rsid w:val="00AD3A82"/>
    <w:rsid w:val="00AD3DE5"/>
    <w:rsid w:val="00AD4CC5"/>
    <w:rsid w:val="00AD5F1C"/>
    <w:rsid w:val="00AD7868"/>
    <w:rsid w:val="00AE205C"/>
    <w:rsid w:val="00AE7188"/>
    <w:rsid w:val="00AE7CB4"/>
    <w:rsid w:val="00AF32F2"/>
    <w:rsid w:val="00B04618"/>
    <w:rsid w:val="00B06088"/>
    <w:rsid w:val="00B1381C"/>
    <w:rsid w:val="00B15921"/>
    <w:rsid w:val="00B16372"/>
    <w:rsid w:val="00B23602"/>
    <w:rsid w:val="00B27313"/>
    <w:rsid w:val="00B3407F"/>
    <w:rsid w:val="00B3559A"/>
    <w:rsid w:val="00B43A6B"/>
    <w:rsid w:val="00B44058"/>
    <w:rsid w:val="00B46878"/>
    <w:rsid w:val="00B51776"/>
    <w:rsid w:val="00B5301A"/>
    <w:rsid w:val="00B5469F"/>
    <w:rsid w:val="00B57F0A"/>
    <w:rsid w:val="00B601E1"/>
    <w:rsid w:val="00B62DC2"/>
    <w:rsid w:val="00B64B37"/>
    <w:rsid w:val="00B65CC9"/>
    <w:rsid w:val="00B65D03"/>
    <w:rsid w:val="00B70D64"/>
    <w:rsid w:val="00B75506"/>
    <w:rsid w:val="00B82D54"/>
    <w:rsid w:val="00B83438"/>
    <w:rsid w:val="00B86284"/>
    <w:rsid w:val="00B862DA"/>
    <w:rsid w:val="00B87589"/>
    <w:rsid w:val="00BA1C7D"/>
    <w:rsid w:val="00BA5743"/>
    <w:rsid w:val="00BA57C6"/>
    <w:rsid w:val="00BA7C56"/>
    <w:rsid w:val="00BB7E75"/>
    <w:rsid w:val="00BC2D1E"/>
    <w:rsid w:val="00BC302C"/>
    <w:rsid w:val="00BD0FD5"/>
    <w:rsid w:val="00BD1B19"/>
    <w:rsid w:val="00BD3E39"/>
    <w:rsid w:val="00BD6349"/>
    <w:rsid w:val="00BF5B02"/>
    <w:rsid w:val="00BF7670"/>
    <w:rsid w:val="00C00D70"/>
    <w:rsid w:val="00C01698"/>
    <w:rsid w:val="00C046A3"/>
    <w:rsid w:val="00C04EED"/>
    <w:rsid w:val="00C0637D"/>
    <w:rsid w:val="00C10FDE"/>
    <w:rsid w:val="00C23E65"/>
    <w:rsid w:val="00C3435C"/>
    <w:rsid w:val="00C43015"/>
    <w:rsid w:val="00C50755"/>
    <w:rsid w:val="00C510DD"/>
    <w:rsid w:val="00C536E8"/>
    <w:rsid w:val="00C57485"/>
    <w:rsid w:val="00C60EDC"/>
    <w:rsid w:val="00C63465"/>
    <w:rsid w:val="00C66F73"/>
    <w:rsid w:val="00C722FA"/>
    <w:rsid w:val="00C74815"/>
    <w:rsid w:val="00C754A4"/>
    <w:rsid w:val="00C80365"/>
    <w:rsid w:val="00C8643D"/>
    <w:rsid w:val="00C867EB"/>
    <w:rsid w:val="00C90F06"/>
    <w:rsid w:val="00C96857"/>
    <w:rsid w:val="00C96C2C"/>
    <w:rsid w:val="00CA0CB6"/>
    <w:rsid w:val="00CA495F"/>
    <w:rsid w:val="00CA4F8C"/>
    <w:rsid w:val="00CA59C3"/>
    <w:rsid w:val="00CA6D5C"/>
    <w:rsid w:val="00CB1B6B"/>
    <w:rsid w:val="00CB5C60"/>
    <w:rsid w:val="00CB6CFB"/>
    <w:rsid w:val="00CC086F"/>
    <w:rsid w:val="00CC38D9"/>
    <w:rsid w:val="00CD061C"/>
    <w:rsid w:val="00CD5637"/>
    <w:rsid w:val="00CD7DBB"/>
    <w:rsid w:val="00CE34E4"/>
    <w:rsid w:val="00CE5F91"/>
    <w:rsid w:val="00CE648D"/>
    <w:rsid w:val="00CF734E"/>
    <w:rsid w:val="00D016CC"/>
    <w:rsid w:val="00D037AB"/>
    <w:rsid w:val="00D038B2"/>
    <w:rsid w:val="00D05648"/>
    <w:rsid w:val="00D05A7F"/>
    <w:rsid w:val="00D119C3"/>
    <w:rsid w:val="00D20588"/>
    <w:rsid w:val="00D2417E"/>
    <w:rsid w:val="00D31FF3"/>
    <w:rsid w:val="00D457D9"/>
    <w:rsid w:val="00D459FA"/>
    <w:rsid w:val="00D45F44"/>
    <w:rsid w:val="00D47ED3"/>
    <w:rsid w:val="00D517AE"/>
    <w:rsid w:val="00D53C96"/>
    <w:rsid w:val="00D545C1"/>
    <w:rsid w:val="00D60B08"/>
    <w:rsid w:val="00D64490"/>
    <w:rsid w:val="00D66D44"/>
    <w:rsid w:val="00D734E6"/>
    <w:rsid w:val="00D80FBD"/>
    <w:rsid w:val="00D855B8"/>
    <w:rsid w:val="00D900B6"/>
    <w:rsid w:val="00D91826"/>
    <w:rsid w:val="00D92171"/>
    <w:rsid w:val="00D929AC"/>
    <w:rsid w:val="00DB14A2"/>
    <w:rsid w:val="00DB22C8"/>
    <w:rsid w:val="00DB3631"/>
    <w:rsid w:val="00DB7D74"/>
    <w:rsid w:val="00DC1F81"/>
    <w:rsid w:val="00DC3363"/>
    <w:rsid w:val="00DC4E36"/>
    <w:rsid w:val="00DD0209"/>
    <w:rsid w:val="00DD1F76"/>
    <w:rsid w:val="00DD2B39"/>
    <w:rsid w:val="00DF401D"/>
    <w:rsid w:val="00DF50B3"/>
    <w:rsid w:val="00DF56DA"/>
    <w:rsid w:val="00DF5907"/>
    <w:rsid w:val="00DF739D"/>
    <w:rsid w:val="00E02DEB"/>
    <w:rsid w:val="00E05FA3"/>
    <w:rsid w:val="00E11CA6"/>
    <w:rsid w:val="00E14565"/>
    <w:rsid w:val="00E14E37"/>
    <w:rsid w:val="00E20612"/>
    <w:rsid w:val="00E23034"/>
    <w:rsid w:val="00E27E36"/>
    <w:rsid w:val="00E32FBE"/>
    <w:rsid w:val="00E37F45"/>
    <w:rsid w:val="00E53F72"/>
    <w:rsid w:val="00E57AAC"/>
    <w:rsid w:val="00E636D7"/>
    <w:rsid w:val="00E71CB8"/>
    <w:rsid w:val="00E7623D"/>
    <w:rsid w:val="00E77D58"/>
    <w:rsid w:val="00E77E8F"/>
    <w:rsid w:val="00E87A4F"/>
    <w:rsid w:val="00E920BC"/>
    <w:rsid w:val="00E96F5B"/>
    <w:rsid w:val="00EA13B1"/>
    <w:rsid w:val="00EA18FE"/>
    <w:rsid w:val="00EA19D2"/>
    <w:rsid w:val="00EA5DC5"/>
    <w:rsid w:val="00EA7A0F"/>
    <w:rsid w:val="00EB09ED"/>
    <w:rsid w:val="00EB1FF5"/>
    <w:rsid w:val="00EB245E"/>
    <w:rsid w:val="00EB3E6F"/>
    <w:rsid w:val="00EC0232"/>
    <w:rsid w:val="00ED5560"/>
    <w:rsid w:val="00ED6835"/>
    <w:rsid w:val="00ED71EC"/>
    <w:rsid w:val="00EE4C15"/>
    <w:rsid w:val="00EE67A0"/>
    <w:rsid w:val="00EE7794"/>
    <w:rsid w:val="00EF0B6E"/>
    <w:rsid w:val="00F00804"/>
    <w:rsid w:val="00F0277A"/>
    <w:rsid w:val="00F02AA8"/>
    <w:rsid w:val="00F10BD0"/>
    <w:rsid w:val="00F12DC2"/>
    <w:rsid w:val="00F152DF"/>
    <w:rsid w:val="00F15519"/>
    <w:rsid w:val="00F20473"/>
    <w:rsid w:val="00F21C1A"/>
    <w:rsid w:val="00F2590D"/>
    <w:rsid w:val="00F26017"/>
    <w:rsid w:val="00F2764E"/>
    <w:rsid w:val="00F35839"/>
    <w:rsid w:val="00F43BBF"/>
    <w:rsid w:val="00F55597"/>
    <w:rsid w:val="00F61AF6"/>
    <w:rsid w:val="00F63BAB"/>
    <w:rsid w:val="00F8199A"/>
    <w:rsid w:val="00F87B0E"/>
    <w:rsid w:val="00F90187"/>
    <w:rsid w:val="00F97E3D"/>
    <w:rsid w:val="00FA0AF5"/>
    <w:rsid w:val="00FA688E"/>
    <w:rsid w:val="00FB0397"/>
    <w:rsid w:val="00FB0BFD"/>
    <w:rsid w:val="00FB16E6"/>
    <w:rsid w:val="00FB18C4"/>
    <w:rsid w:val="00FB33D9"/>
    <w:rsid w:val="00FB482A"/>
    <w:rsid w:val="00FC1142"/>
    <w:rsid w:val="00FC3F08"/>
    <w:rsid w:val="00FC7F8F"/>
    <w:rsid w:val="00FD04EF"/>
    <w:rsid w:val="00FD1ED0"/>
    <w:rsid w:val="00FD523C"/>
    <w:rsid w:val="00FD66F1"/>
    <w:rsid w:val="00FF0862"/>
    <w:rsid w:val="113B20EC"/>
    <w:rsid w:val="24677642"/>
    <w:rsid w:val="25371663"/>
    <w:rsid w:val="2CB65026"/>
    <w:rsid w:val="4A9D968C"/>
    <w:rsid w:val="7DB429E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AA74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0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C30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C30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C30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C30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C302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C30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C302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C302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E636D7"/>
  </w:style>
  <w:style w:type="paragraph" w:styleId="FootnoteText">
    <w:name w:val="footnote text"/>
    <w:aliases w:val="Footnote Text Char Char Char Char Char,Footnote Text Char Char1 Char,Footnote Text Char1 Char Char Char,Footnote Text Char1 Char Char Char Char Char Char Char,Footnote Text Char1 Char1 Char,Footnote Text Char2 Char,Footnote Text MRP,fn,ft"/>
    <w:basedOn w:val="Normal"/>
    <w:link w:val="FootnoteTextChar1"/>
    <w:qFormat/>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Footnote Text Char Char Char Char1 Char,Footnote Text Char Char Char1,Footnote Text Char1 Char Char1,Footnote Text Char1 Char2,Footnote Text Char3 Char,Footnote Text MRP Char,fn1 Char"/>
    <w:basedOn w:val="DefaultParagraphFont"/>
    <w:uiPriority w:val="99"/>
    <w:rsid w:val="00E636D7"/>
    <w:rPr>
      <w:sz w:val="20"/>
      <w:szCs w:val="20"/>
    </w:rPr>
  </w:style>
  <w:style w:type="character" w:customStyle="1" w:styleId="FootnoteTextChar1">
    <w:name w:val="Footnote Text Char1"/>
    <w:aliases w:val="Footnote Text Char Char Char Char Char Char,Footnote Text Char Char1 Char Char,Footnote Text Char1 Char Char Char Char,Footnote Text Char1 Char Char Char Char Char Char Char Char,Footnote Text Char1 Char1 Char Char,fn Char,ft Char"/>
    <w:link w:val="FootnoteText"/>
    <w:uiPriority w:val="99"/>
    <w:rsid w:val="00E636D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7700F"/>
    <w:rPr>
      <w:sz w:val="16"/>
      <w:szCs w:val="16"/>
    </w:rPr>
  </w:style>
  <w:style w:type="paragraph" w:styleId="CommentText">
    <w:name w:val="annotation text"/>
    <w:basedOn w:val="Normal"/>
    <w:link w:val="CommentTextChar"/>
    <w:uiPriority w:val="99"/>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paragraph" w:customStyle="1" w:styleId="FERCparanumber">
    <w:name w:val="FERC paranumber"/>
    <w:basedOn w:val="Normal"/>
    <w:link w:val="FERCparanumberChar"/>
    <w:rsid w:val="00DF401D"/>
    <w:pPr>
      <w:widowControl w:val="0"/>
      <w:numPr>
        <w:numId w:val="5"/>
      </w:numPr>
      <w:autoSpaceDE w:val="0"/>
      <w:autoSpaceDN w:val="0"/>
      <w:adjustRightInd w:val="0"/>
      <w:spacing w:after="0" w:line="480" w:lineRule="auto"/>
    </w:pPr>
    <w:rPr>
      <w:rFonts w:ascii="Times New Roman" w:eastAsia="Times New Roman" w:hAnsi="Times New Roman" w:cs="Times New Roman"/>
      <w:sz w:val="26"/>
      <w:szCs w:val="24"/>
    </w:rPr>
  </w:style>
  <w:style w:type="character" w:customStyle="1" w:styleId="FERCparanumberChar">
    <w:name w:val="FERC paranumber Char"/>
    <w:link w:val="FERCparanumber"/>
    <w:uiPriority w:val="99"/>
    <w:locked/>
    <w:rsid w:val="00DF401D"/>
    <w:rPr>
      <w:rFonts w:ascii="Times New Roman" w:eastAsia="Times New Roman" w:hAnsi="Times New Roman" w:cs="Times New Roman"/>
      <w:sz w:val="26"/>
      <w:szCs w:val="24"/>
    </w:rPr>
  </w:style>
  <w:style w:type="character" w:styleId="Hyperlink">
    <w:name w:val="Hyperlink"/>
    <w:basedOn w:val="DefaultParagraphFont"/>
    <w:uiPriority w:val="99"/>
    <w:rsid w:val="0072126E"/>
    <w:rPr>
      <w:rFonts w:cs="Times New Roman"/>
      <w:color w:val="0000FF"/>
      <w:u w:val="single"/>
    </w:rPr>
  </w:style>
  <w:style w:type="character" w:styleId="FollowedHyperlink">
    <w:name w:val="FollowedHyperlink"/>
    <w:basedOn w:val="DefaultParagraphFont"/>
    <w:uiPriority w:val="99"/>
    <w:semiHidden/>
    <w:unhideWhenUsed/>
    <w:rsid w:val="0072126E"/>
    <w:rPr>
      <w:color w:val="800080" w:themeColor="followedHyperlink"/>
      <w:u w:val="single"/>
    </w:rPr>
  </w:style>
  <w:style w:type="paragraph" w:styleId="Bibliography">
    <w:name w:val="Bibliography"/>
    <w:basedOn w:val="Normal"/>
    <w:next w:val="Normal"/>
    <w:uiPriority w:val="37"/>
    <w:semiHidden/>
    <w:unhideWhenUsed/>
    <w:rsid w:val="00BC302C"/>
  </w:style>
  <w:style w:type="paragraph" w:styleId="BlockText">
    <w:name w:val="Block Text"/>
    <w:basedOn w:val="Normal"/>
    <w:uiPriority w:val="99"/>
    <w:semiHidden/>
    <w:unhideWhenUsed/>
    <w:rsid w:val="00BC302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BC302C"/>
    <w:pPr>
      <w:spacing w:after="120"/>
    </w:pPr>
  </w:style>
  <w:style w:type="character" w:customStyle="1" w:styleId="BodyTextChar">
    <w:name w:val="Body Text Char"/>
    <w:basedOn w:val="DefaultParagraphFont"/>
    <w:link w:val="BodyText"/>
    <w:uiPriority w:val="99"/>
    <w:semiHidden/>
    <w:rsid w:val="00BC302C"/>
  </w:style>
  <w:style w:type="paragraph" w:styleId="BodyText2">
    <w:name w:val="Body Text 2"/>
    <w:basedOn w:val="Normal"/>
    <w:link w:val="BodyText2Char"/>
    <w:uiPriority w:val="99"/>
    <w:semiHidden/>
    <w:unhideWhenUsed/>
    <w:rsid w:val="00BC302C"/>
    <w:pPr>
      <w:spacing w:after="120" w:line="480" w:lineRule="auto"/>
    </w:pPr>
  </w:style>
  <w:style w:type="character" w:customStyle="1" w:styleId="BodyText2Char">
    <w:name w:val="Body Text 2 Char"/>
    <w:basedOn w:val="DefaultParagraphFont"/>
    <w:link w:val="BodyText2"/>
    <w:uiPriority w:val="99"/>
    <w:semiHidden/>
    <w:rsid w:val="00BC302C"/>
  </w:style>
  <w:style w:type="paragraph" w:styleId="BodyText3">
    <w:name w:val="Body Text 3"/>
    <w:basedOn w:val="Normal"/>
    <w:link w:val="BodyText3Char"/>
    <w:uiPriority w:val="99"/>
    <w:semiHidden/>
    <w:unhideWhenUsed/>
    <w:rsid w:val="00BC302C"/>
    <w:pPr>
      <w:spacing w:after="120"/>
    </w:pPr>
    <w:rPr>
      <w:sz w:val="16"/>
      <w:szCs w:val="16"/>
    </w:rPr>
  </w:style>
  <w:style w:type="character" w:customStyle="1" w:styleId="BodyText3Char">
    <w:name w:val="Body Text 3 Char"/>
    <w:basedOn w:val="DefaultParagraphFont"/>
    <w:link w:val="BodyText3"/>
    <w:uiPriority w:val="99"/>
    <w:semiHidden/>
    <w:rsid w:val="00BC302C"/>
    <w:rPr>
      <w:sz w:val="16"/>
      <w:szCs w:val="16"/>
    </w:rPr>
  </w:style>
  <w:style w:type="paragraph" w:styleId="BodyTextFirstIndent">
    <w:name w:val="Body Text First Indent"/>
    <w:basedOn w:val="BodyText"/>
    <w:link w:val="BodyTextFirstIndentChar"/>
    <w:uiPriority w:val="99"/>
    <w:semiHidden/>
    <w:unhideWhenUsed/>
    <w:rsid w:val="00BC302C"/>
    <w:pPr>
      <w:spacing w:after="200"/>
      <w:ind w:firstLine="360"/>
    </w:pPr>
  </w:style>
  <w:style w:type="character" w:customStyle="1" w:styleId="BodyTextFirstIndentChar">
    <w:name w:val="Body Text First Indent Char"/>
    <w:basedOn w:val="BodyTextChar"/>
    <w:link w:val="BodyTextFirstIndent"/>
    <w:uiPriority w:val="99"/>
    <w:semiHidden/>
    <w:rsid w:val="00BC302C"/>
  </w:style>
  <w:style w:type="paragraph" w:styleId="BodyTextIndent">
    <w:name w:val="Body Text Indent"/>
    <w:basedOn w:val="Normal"/>
    <w:link w:val="BodyTextIndentChar"/>
    <w:uiPriority w:val="99"/>
    <w:semiHidden/>
    <w:unhideWhenUsed/>
    <w:rsid w:val="00BC302C"/>
    <w:pPr>
      <w:spacing w:after="120"/>
      <w:ind w:left="360"/>
    </w:pPr>
  </w:style>
  <w:style w:type="character" w:customStyle="1" w:styleId="BodyTextIndentChar">
    <w:name w:val="Body Text Indent Char"/>
    <w:basedOn w:val="DefaultParagraphFont"/>
    <w:link w:val="BodyTextIndent"/>
    <w:uiPriority w:val="99"/>
    <w:semiHidden/>
    <w:rsid w:val="00BC302C"/>
  </w:style>
  <w:style w:type="paragraph" w:styleId="BodyTextFirstIndent2">
    <w:name w:val="Body Text First Indent 2"/>
    <w:basedOn w:val="BodyTextIndent"/>
    <w:link w:val="BodyTextFirstIndent2Char"/>
    <w:uiPriority w:val="99"/>
    <w:semiHidden/>
    <w:unhideWhenUsed/>
    <w:rsid w:val="00BC302C"/>
    <w:pPr>
      <w:spacing w:after="200"/>
      <w:ind w:firstLine="360"/>
    </w:pPr>
  </w:style>
  <w:style w:type="character" w:customStyle="1" w:styleId="BodyTextFirstIndent2Char">
    <w:name w:val="Body Text First Indent 2 Char"/>
    <w:basedOn w:val="BodyTextIndentChar"/>
    <w:link w:val="BodyTextFirstIndent2"/>
    <w:uiPriority w:val="99"/>
    <w:semiHidden/>
    <w:rsid w:val="00BC302C"/>
  </w:style>
  <w:style w:type="paragraph" w:styleId="BodyTextIndent2">
    <w:name w:val="Body Text Indent 2"/>
    <w:basedOn w:val="Normal"/>
    <w:link w:val="BodyTextIndent2Char"/>
    <w:uiPriority w:val="99"/>
    <w:semiHidden/>
    <w:unhideWhenUsed/>
    <w:rsid w:val="00BC302C"/>
    <w:pPr>
      <w:spacing w:after="120" w:line="480" w:lineRule="auto"/>
      <w:ind w:left="360"/>
    </w:pPr>
  </w:style>
  <w:style w:type="character" w:customStyle="1" w:styleId="BodyTextIndent2Char">
    <w:name w:val="Body Text Indent 2 Char"/>
    <w:basedOn w:val="DefaultParagraphFont"/>
    <w:link w:val="BodyTextIndent2"/>
    <w:uiPriority w:val="99"/>
    <w:semiHidden/>
    <w:rsid w:val="00BC302C"/>
  </w:style>
  <w:style w:type="paragraph" w:styleId="BodyTextIndent3">
    <w:name w:val="Body Text Indent 3"/>
    <w:basedOn w:val="Normal"/>
    <w:link w:val="BodyTextIndent3Char"/>
    <w:uiPriority w:val="99"/>
    <w:semiHidden/>
    <w:unhideWhenUsed/>
    <w:rsid w:val="00BC302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302C"/>
    <w:rPr>
      <w:sz w:val="16"/>
      <w:szCs w:val="16"/>
    </w:rPr>
  </w:style>
  <w:style w:type="paragraph" w:styleId="Caption">
    <w:name w:val="caption"/>
    <w:basedOn w:val="Normal"/>
    <w:next w:val="Normal"/>
    <w:uiPriority w:val="35"/>
    <w:semiHidden/>
    <w:unhideWhenUsed/>
    <w:qFormat/>
    <w:rsid w:val="00BC302C"/>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BC302C"/>
    <w:pPr>
      <w:spacing w:after="0" w:line="240" w:lineRule="auto"/>
      <w:ind w:left="4320"/>
    </w:pPr>
  </w:style>
  <w:style w:type="character" w:customStyle="1" w:styleId="ClosingChar">
    <w:name w:val="Closing Char"/>
    <w:basedOn w:val="DefaultParagraphFont"/>
    <w:link w:val="Closing"/>
    <w:uiPriority w:val="99"/>
    <w:semiHidden/>
    <w:rsid w:val="00BC302C"/>
  </w:style>
  <w:style w:type="paragraph" w:styleId="Date">
    <w:name w:val="Date"/>
    <w:basedOn w:val="Normal"/>
    <w:next w:val="Normal"/>
    <w:link w:val="DateChar"/>
    <w:uiPriority w:val="99"/>
    <w:semiHidden/>
    <w:unhideWhenUsed/>
    <w:rsid w:val="00BC302C"/>
  </w:style>
  <w:style w:type="character" w:customStyle="1" w:styleId="DateChar">
    <w:name w:val="Date Char"/>
    <w:basedOn w:val="DefaultParagraphFont"/>
    <w:link w:val="Date"/>
    <w:uiPriority w:val="99"/>
    <w:semiHidden/>
    <w:rsid w:val="00BC302C"/>
  </w:style>
  <w:style w:type="paragraph" w:styleId="DocumentMap">
    <w:name w:val="Document Map"/>
    <w:basedOn w:val="Normal"/>
    <w:link w:val="DocumentMapChar"/>
    <w:uiPriority w:val="99"/>
    <w:semiHidden/>
    <w:unhideWhenUsed/>
    <w:rsid w:val="00BC302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C302C"/>
    <w:rPr>
      <w:rFonts w:ascii="Tahoma" w:hAnsi="Tahoma" w:cs="Tahoma"/>
      <w:sz w:val="16"/>
      <w:szCs w:val="16"/>
    </w:rPr>
  </w:style>
  <w:style w:type="paragraph" w:styleId="E-mailSignature">
    <w:name w:val="E-mail Signature"/>
    <w:basedOn w:val="Normal"/>
    <w:link w:val="E-mailSignatureChar"/>
    <w:uiPriority w:val="99"/>
    <w:semiHidden/>
    <w:unhideWhenUsed/>
    <w:rsid w:val="00BC302C"/>
    <w:pPr>
      <w:spacing w:after="0" w:line="240" w:lineRule="auto"/>
    </w:pPr>
  </w:style>
  <w:style w:type="character" w:customStyle="1" w:styleId="E-mailSignatureChar">
    <w:name w:val="E-mail Signature Char"/>
    <w:basedOn w:val="DefaultParagraphFont"/>
    <w:link w:val="E-mailSignature"/>
    <w:uiPriority w:val="99"/>
    <w:semiHidden/>
    <w:rsid w:val="00BC302C"/>
  </w:style>
  <w:style w:type="paragraph" w:styleId="EndnoteText">
    <w:name w:val="endnote text"/>
    <w:basedOn w:val="Normal"/>
    <w:link w:val="EndnoteTextChar"/>
    <w:uiPriority w:val="99"/>
    <w:semiHidden/>
    <w:unhideWhenUsed/>
    <w:rsid w:val="00BC30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302C"/>
    <w:rPr>
      <w:sz w:val="20"/>
      <w:szCs w:val="20"/>
    </w:rPr>
  </w:style>
  <w:style w:type="paragraph" w:styleId="EnvelopeAddress">
    <w:name w:val="envelope address"/>
    <w:basedOn w:val="Normal"/>
    <w:uiPriority w:val="99"/>
    <w:semiHidden/>
    <w:unhideWhenUsed/>
    <w:rsid w:val="00BC302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C302C"/>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BC30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C30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C30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C30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C30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C30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C30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C30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C302C"/>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BC302C"/>
    <w:pPr>
      <w:spacing w:after="0" w:line="240" w:lineRule="auto"/>
    </w:pPr>
    <w:rPr>
      <w:i/>
      <w:iCs/>
    </w:rPr>
  </w:style>
  <w:style w:type="character" w:customStyle="1" w:styleId="HTMLAddressChar">
    <w:name w:val="HTML Address Char"/>
    <w:basedOn w:val="DefaultParagraphFont"/>
    <w:link w:val="HTMLAddress"/>
    <w:uiPriority w:val="99"/>
    <w:semiHidden/>
    <w:rsid w:val="00BC302C"/>
    <w:rPr>
      <w:i/>
      <w:iCs/>
    </w:rPr>
  </w:style>
  <w:style w:type="paragraph" w:styleId="HTMLPreformatted">
    <w:name w:val="HTML Preformatted"/>
    <w:basedOn w:val="Normal"/>
    <w:link w:val="HTMLPreformattedChar"/>
    <w:uiPriority w:val="99"/>
    <w:semiHidden/>
    <w:unhideWhenUsed/>
    <w:rsid w:val="00BC302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302C"/>
    <w:rPr>
      <w:rFonts w:ascii="Consolas" w:hAnsi="Consolas"/>
      <w:sz w:val="20"/>
      <w:szCs w:val="20"/>
    </w:rPr>
  </w:style>
  <w:style w:type="paragraph" w:styleId="Index1">
    <w:name w:val="index 1"/>
    <w:basedOn w:val="Normal"/>
    <w:next w:val="Normal"/>
    <w:uiPriority w:val="99"/>
    <w:semiHidden/>
    <w:unhideWhenUsed/>
    <w:rsid w:val="00BC302C"/>
    <w:pPr>
      <w:spacing w:after="0" w:line="240" w:lineRule="auto"/>
      <w:ind w:left="220" w:hanging="220"/>
    </w:pPr>
  </w:style>
  <w:style w:type="paragraph" w:styleId="Index2">
    <w:name w:val="index 2"/>
    <w:basedOn w:val="Normal"/>
    <w:next w:val="Normal"/>
    <w:uiPriority w:val="99"/>
    <w:semiHidden/>
    <w:unhideWhenUsed/>
    <w:rsid w:val="00BC302C"/>
    <w:pPr>
      <w:spacing w:after="0" w:line="240" w:lineRule="auto"/>
      <w:ind w:left="440" w:hanging="220"/>
    </w:pPr>
  </w:style>
  <w:style w:type="paragraph" w:styleId="Index3">
    <w:name w:val="index 3"/>
    <w:basedOn w:val="Normal"/>
    <w:next w:val="Normal"/>
    <w:uiPriority w:val="99"/>
    <w:semiHidden/>
    <w:unhideWhenUsed/>
    <w:rsid w:val="00BC302C"/>
    <w:pPr>
      <w:spacing w:after="0" w:line="240" w:lineRule="auto"/>
      <w:ind w:left="660" w:hanging="220"/>
    </w:pPr>
  </w:style>
  <w:style w:type="paragraph" w:styleId="Index4">
    <w:name w:val="index 4"/>
    <w:basedOn w:val="Normal"/>
    <w:next w:val="Normal"/>
    <w:uiPriority w:val="99"/>
    <w:semiHidden/>
    <w:unhideWhenUsed/>
    <w:rsid w:val="00BC302C"/>
    <w:pPr>
      <w:spacing w:after="0" w:line="240" w:lineRule="auto"/>
      <w:ind w:left="880" w:hanging="220"/>
    </w:pPr>
  </w:style>
  <w:style w:type="paragraph" w:styleId="Index5">
    <w:name w:val="index 5"/>
    <w:basedOn w:val="Normal"/>
    <w:next w:val="Normal"/>
    <w:uiPriority w:val="99"/>
    <w:semiHidden/>
    <w:unhideWhenUsed/>
    <w:rsid w:val="00BC302C"/>
    <w:pPr>
      <w:spacing w:after="0" w:line="240" w:lineRule="auto"/>
      <w:ind w:left="1100" w:hanging="220"/>
    </w:pPr>
  </w:style>
  <w:style w:type="paragraph" w:styleId="Index6">
    <w:name w:val="index 6"/>
    <w:basedOn w:val="Normal"/>
    <w:next w:val="Normal"/>
    <w:uiPriority w:val="99"/>
    <w:semiHidden/>
    <w:unhideWhenUsed/>
    <w:rsid w:val="00BC302C"/>
    <w:pPr>
      <w:spacing w:after="0" w:line="240" w:lineRule="auto"/>
      <w:ind w:left="1320" w:hanging="220"/>
    </w:pPr>
  </w:style>
  <w:style w:type="paragraph" w:styleId="Index7">
    <w:name w:val="index 7"/>
    <w:basedOn w:val="Normal"/>
    <w:next w:val="Normal"/>
    <w:uiPriority w:val="99"/>
    <w:semiHidden/>
    <w:unhideWhenUsed/>
    <w:rsid w:val="00BC302C"/>
    <w:pPr>
      <w:spacing w:after="0" w:line="240" w:lineRule="auto"/>
      <w:ind w:left="1540" w:hanging="220"/>
    </w:pPr>
  </w:style>
  <w:style w:type="paragraph" w:styleId="Index8">
    <w:name w:val="index 8"/>
    <w:basedOn w:val="Normal"/>
    <w:next w:val="Normal"/>
    <w:uiPriority w:val="99"/>
    <w:semiHidden/>
    <w:unhideWhenUsed/>
    <w:rsid w:val="00BC302C"/>
    <w:pPr>
      <w:spacing w:after="0" w:line="240" w:lineRule="auto"/>
      <w:ind w:left="1760" w:hanging="220"/>
    </w:pPr>
  </w:style>
  <w:style w:type="paragraph" w:styleId="Index9">
    <w:name w:val="index 9"/>
    <w:basedOn w:val="Normal"/>
    <w:next w:val="Normal"/>
    <w:uiPriority w:val="99"/>
    <w:semiHidden/>
    <w:unhideWhenUsed/>
    <w:rsid w:val="00BC302C"/>
    <w:pPr>
      <w:spacing w:after="0" w:line="240" w:lineRule="auto"/>
      <w:ind w:left="1980" w:hanging="220"/>
    </w:pPr>
  </w:style>
  <w:style w:type="paragraph" w:styleId="IndexHeading">
    <w:name w:val="index heading"/>
    <w:basedOn w:val="Normal"/>
    <w:next w:val="Index1"/>
    <w:uiPriority w:val="99"/>
    <w:semiHidden/>
    <w:unhideWhenUsed/>
    <w:rsid w:val="00BC302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C30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C302C"/>
    <w:rPr>
      <w:b/>
      <w:bCs/>
      <w:i/>
      <w:iCs/>
      <w:color w:val="4F81BD" w:themeColor="accent1"/>
    </w:rPr>
  </w:style>
  <w:style w:type="paragraph" w:styleId="List">
    <w:name w:val="List"/>
    <w:basedOn w:val="Normal"/>
    <w:uiPriority w:val="99"/>
    <w:semiHidden/>
    <w:unhideWhenUsed/>
    <w:rsid w:val="00BC302C"/>
    <w:pPr>
      <w:ind w:left="360" w:hanging="360"/>
      <w:contextualSpacing/>
    </w:pPr>
  </w:style>
  <w:style w:type="paragraph" w:styleId="List2">
    <w:name w:val="List 2"/>
    <w:basedOn w:val="Normal"/>
    <w:uiPriority w:val="99"/>
    <w:semiHidden/>
    <w:unhideWhenUsed/>
    <w:rsid w:val="00BC302C"/>
    <w:pPr>
      <w:ind w:left="720" w:hanging="360"/>
      <w:contextualSpacing/>
    </w:pPr>
  </w:style>
  <w:style w:type="paragraph" w:styleId="List3">
    <w:name w:val="List 3"/>
    <w:basedOn w:val="Normal"/>
    <w:uiPriority w:val="99"/>
    <w:semiHidden/>
    <w:unhideWhenUsed/>
    <w:rsid w:val="00BC302C"/>
    <w:pPr>
      <w:ind w:left="1080" w:hanging="360"/>
      <w:contextualSpacing/>
    </w:pPr>
  </w:style>
  <w:style w:type="paragraph" w:styleId="List4">
    <w:name w:val="List 4"/>
    <w:basedOn w:val="Normal"/>
    <w:uiPriority w:val="99"/>
    <w:semiHidden/>
    <w:unhideWhenUsed/>
    <w:rsid w:val="00BC302C"/>
    <w:pPr>
      <w:ind w:left="1440" w:hanging="360"/>
      <w:contextualSpacing/>
    </w:pPr>
  </w:style>
  <w:style w:type="paragraph" w:styleId="List5">
    <w:name w:val="List 5"/>
    <w:basedOn w:val="Normal"/>
    <w:uiPriority w:val="99"/>
    <w:semiHidden/>
    <w:unhideWhenUsed/>
    <w:rsid w:val="00BC302C"/>
    <w:pPr>
      <w:ind w:left="1800" w:hanging="360"/>
      <w:contextualSpacing/>
    </w:pPr>
  </w:style>
  <w:style w:type="paragraph" w:styleId="ListBullet">
    <w:name w:val="List Bullet"/>
    <w:basedOn w:val="Normal"/>
    <w:uiPriority w:val="99"/>
    <w:semiHidden/>
    <w:unhideWhenUsed/>
    <w:rsid w:val="00BC302C"/>
    <w:pPr>
      <w:numPr>
        <w:numId w:val="9"/>
      </w:numPr>
      <w:contextualSpacing/>
    </w:pPr>
  </w:style>
  <w:style w:type="paragraph" w:styleId="ListBullet2">
    <w:name w:val="List Bullet 2"/>
    <w:basedOn w:val="Normal"/>
    <w:uiPriority w:val="99"/>
    <w:semiHidden/>
    <w:unhideWhenUsed/>
    <w:rsid w:val="00BC302C"/>
    <w:pPr>
      <w:numPr>
        <w:numId w:val="10"/>
      </w:numPr>
      <w:contextualSpacing/>
    </w:pPr>
  </w:style>
  <w:style w:type="paragraph" w:styleId="ListBullet3">
    <w:name w:val="List Bullet 3"/>
    <w:basedOn w:val="Normal"/>
    <w:uiPriority w:val="99"/>
    <w:semiHidden/>
    <w:unhideWhenUsed/>
    <w:rsid w:val="00BC302C"/>
    <w:pPr>
      <w:numPr>
        <w:numId w:val="11"/>
      </w:numPr>
      <w:contextualSpacing/>
    </w:pPr>
  </w:style>
  <w:style w:type="paragraph" w:styleId="ListBullet4">
    <w:name w:val="List Bullet 4"/>
    <w:basedOn w:val="Normal"/>
    <w:uiPriority w:val="99"/>
    <w:semiHidden/>
    <w:unhideWhenUsed/>
    <w:rsid w:val="00BC302C"/>
    <w:pPr>
      <w:numPr>
        <w:numId w:val="12"/>
      </w:numPr>
      <w:contextualSpacing/>
    </w:pPr>
  </w:style>
  <w:style w:type="paragraph" w:styleId="ListBullet5">
    <w:name w:val="List Bullet 5"/>
    <w:basedOn w:val="Normal"/>
    <w:uiPriority w:val="99"/>
    <w:semiHidden/>
    <w:unhideWhenUsed/>
    <w:rsid w:val="00BC302C"/>
    <w:pPr>
      <w:numPr>
        <w:numId w:val="13"/>
      </w:numPr>
      <w:contextualSpacing/>
    </w:pPr>
  </w:style>
  <w:style w:type="paragraph" w:styleId="ListContinue2">
    <w:name w:val="List Continue 2"/>
    <w:basedOn w:val="Normal"/>
    <w:uiPriority w:val="99"/>
    <w:semiHidden/>
    <w:unhideWhenUsed/>
    <w:rsid w:val="00BC302C"/>
    <w:pPr>
      <w:spacing w:after="120"/>
      <w:ind w:left="720"/>
      <w:contextualSpacing/>
    </w:pPr>
  </w:style>
  <w:style w:type="paragraph" w:styleId="ListContinue3">
    <w:name w:val="List Continue 3"/>
    <w:basedOn w:val="Normal"/>
    <w:uiPriority w:val="99"/>
    <w:semiHidden/>
    <w:unhideWhenUsed/>
    <w:rsid w:val="00BC302C"/>
    <w:pPr>
      <w:spacing w:after="120"/>
      <w:ind w:left="1080"/>
      <w:contextualSpacing/>
    </w:pPr>
  </w:style>
  <w:style w:type="paragraph" w:styleId="ListContinue4">
    <w:name w:val="List Continue 4"/>
    <w:basedOn w:val="Normal"/>
    <w:uiPriority w:val="99"/>
    <w:semiHidden/>
    <w:unhideWhenUsed/>
    <w:rsid w:val="00BC302C"/>
    <w:pPr>
      <w:spacing w:after="120"/>
      <w:ind w:left="1440"/>
      <w:contextualSpacing/>
    </w:pPr>
  </w:style>
  <w:style w:type="paragraph" w:styleId="ListContinue5">
    <w:name w:val="List Continue 5"/>
    <w:basedOn w:val="Normal"/>
    <w:uiPriority w:val="99"/>
    <w:semiHidden/>
    <w:unhideWhenUsed/>
    <w:rsid w:val="00BC302C"/>
    <w:pPr>
      <w:spacing w:after="120"/>
      <w:ind w:left="1800"/>
      <w:contextualSpacing/>
    </w:pPr>
  </w:style>
  <w:style w:type="paragraph" w:styleId="ListNumber">
    <w:name w:val="List Number"/>
    <w:basedOn w:val="Normal"/>
    <w:uiPriority w:val="99"/>
    <w:semiHidden/>
    <w:unhideWhenUsed/>
    <w:rsid w:val="00BC302C"/>
    <w:pPr>
      <w:numPr>
        <w:numId w:val="14"/>
      </w:numPr>
      <w:contextualSpacing/>
    </w:pPr>
  </w:style>
  <w:style w:type="paragraph" w:styleId="ListNumber2">
    <w:name w:val="List Number 2"/>
    <w:basedOn w:val="Normal"/>
    <w:uiPriority w:val="99"/>
    <w:semiHidden/>
    <w:unhideWhenUsed/>
    <w:rsid w:val="00BC302C"/>
    <w:pPr>
      <w:numPr>
        <w:numId w:val="15"/>
      </w:numPr>
      <w:contextualSpacing/>
    </w:pPr>
  </w:style>
  <w:style w:type="paragraph" w:styleId="ListNumber3">
    <w:name w:val="List Number 3"/>
    <w:basedOn w:val="Normal"/>
    <w:uiPriority w:val="99"/>
    <w:semiHidden/>
    <w:unhideWhenUsed/>
    <w:rsid w:val="00BC302C"/>
    <w:pPr>
      <w:numPr>
        <w:numId w:val="16"/>
      </w:numPr>
      <w:contextualSpacing/>
    </w:pPr>
  </w:style>
  <w:style w:type="paragraph" w:styleId="ListNumber4">
    <w:name w:val="List Number 4"/>
    <w:basedOn w:val="Normal"/>
    <w:uiPriority w:val="99"/>
    <w:semiHidden/>
    <w:unhideWhenUsed/>
    <w:rsid w:val="00BC302C"/>
    <w:pPr>
      <w:numPr>
        <w:numId w:val="17"/>
      </w:numPr>
      <w:contextualSpacing/>
    </w:pPr>
  </w:style>
  <w:style w:type="paragraph" w:styleId="ListNumber5">
    <w:name w:val="List Number 5"/>
    <w:basedOn w:val="Normal"/>
    <w:uiPriority w:val="99"/>
    <w:semiHidden/>
    <w:unhideWhenUsed/>
    <w:rsid w:val="00BC302C"/>
    <w:pPr>
      <w:numPr>
        <w:numId w:val="18"/>
      </w:numPr>
      <w:contextualSpacing/>
    </w:pPr>
  </w:style>
  <w:style w:type="paragraph" w:styleId="Macro">
    <w:name w:val="macro"/>
    <w:link w:val="MacroTextChar"/>
    <w:uiPriority w:val="99"/>
    <w:semiHidden/>
    <w:unhideWhenUsed/>
    <w:rsid w:val="00BC302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semiHidden/>
    <w:rsid w:val="00BC302C"/>
    <w:rPr>
      <w:rFonts w:ascii="Consolas" w:hAnsi="Consolas"/>
      <w:sz w:val="20"/>
      <w:szCs w:val="20"/>
    </w:rPr>
  </w:style>
  <w:style w:type="paragraph" w:styleId="MessageHeader">
    <w:name w:val="Message Header"/>
    <w:basedOn w:val="Normal"/>
    <w:link w:val="MessageHeaderChar"/>
    <w:uiPriority w:val="99"/>
    <w:semiHidden/>
    <w:unhideWhenUsed/>
    <w:rsid w:val="00BC302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C302C"/>
    <w:rPr>
      <w:rFonts w:asciiTheme="majorHAnsi" w:eastAsiaTheme="majorEastAsia" w:hAnsiTheme="majorHAnsi" w:cstheme="majorBidi"/>
      <w:sz w:val="24"/>
      <w:szCs w:val="24"/>
      <w:shd w:val="pct20" w:color="auto" w:fill="auto"/>
    </w:rPr>
  </w:style>
  <w:style w:type="paragraph" w:styleId="NoSpacing">
    <w:name w:val="No Spacing"/>
    <w:uiPriority w:val="1"/>
    <w:qFormat/>
    <w:rsid w:val="00BC302C"/>
    <w:pPr>
      <w:spacing w:after="0" w:line="240" w:lineRule="auto"/>
    </w:pPr>
  </w:style>
  <w:style w:type="paragraph" w:styleId="NormalWeb">
    <w:name w:val="Normal (Web)"/>
    <w:basedOn w:val="Normal"/>
    <w:uiPriority w:val="99"/>
    <w:semiHidden/>
    <w:unhideWhenUsed/>
    <w:rsid w:val="00BC302C"/>
    <w:rPr>
      <w:rFonts w:ascii="Times New Roman" w:hAnsi="Times New Roman" w:cs="Times New Roman"/>
      <w:sz w:val="24"/>
      <w:szCs w:val="24"/>
    </w:rPr>
  </w:style>
  <w:style w:type="paragraph" w:styleId="NormalIndent">
    <w:name w:val="Normal Indent"/>
    <w:basedOn w:val="Normal"/>
    <w:uiPriority w:val="99"/>
    <w:semiHidden/>
    <w:unhideWhenUsed/>
    <w:rsid w:val="00BC302C"/>
    <w:pPr>
      <w:ind w:left="720"/>
    </w:pPr>
  </w:style>
  <w:style w:type="paragraph" w:styleId="NoteHeading">
    <w:name w:val="Note Heading"/>
    <w:basedOn w:val="Normal"/>
    <w:next w:val="Normal"/>
    <w:link w:val="NoteHeadingChar"/>
    <w:uiPriority w:val="99"/>
    <w:semiHidden/>
    <w:unhideWhenUsed/>
    <w:rsid w:val="00BC302C"/>
    <w:pPr>
      <w:spacing w:after="0" w:line="240" w:lineRule="auto"/>
    </w:pPr>
  </w:style>
  <w:style w:type="character" w:customStyle="1" w:styleId="NoteHeadingChar">
    <w:name w:val="Note Heading Char"/>
    <w:basedOn w:val="DefaultParagraphFont"/>
    <w:link w:val="NoteHeading"/>
    <w:uiPriority w:val="99"/>
    <w:semiHidden/>
    <w:rsid w:val="00BC302C"/>
  </w:style>
  <w:style w:type="paragraph" w:styleId="PlainText">
    <w:name w:val="Plain Text"/>
    <w:basedOn w:val="Normal"/>
    <w:link w:val="PlainTextChar"/>
    <w:uiPriority w:val="99"/>
    <w:semiHidden/>
    <w:unhideWhenUsed/>
    <w:rsid w:val="00BC302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C302C"/>
    <w:rPr>
      <w:rFonts w:ascii="Consolas" w:hAnsi="Consolas"/>
      <w:sz w:val="21"/>
      <w:szCs w:val="21"/>
    </w:rPr>
  </w:style>
  <w:style w:type="paragraph" w:styleId="Quote">
    <w:name w:val="Quote"/>
    <w:basedOn w:val="Normal"/>
    <w:next w:val="Normal"/>
    <w:link w:val="QuoteChar"/>
    <w:uiPriority w:val="29"/>
    <w:qFormat/>
    <w:rsid w:val="00BC302C"/>
    <w:rPr>
      <w:i/>
      <w:iCs/>
      <w:color w:val="000000" w:themeColor="text1"/>
    </w:rPr>
  </w:style>
  <w:style w:type="character" w:customStyle="1" w:styleId="QuoteChar">
    <w:name w:val="Quote Char"/>
    <w:basedOn w:val="DefaultParagraphFont"/>
    <w:link w:val="Quote"/>
    <w:uiPriority w:val="29"/>
    <w:rsid w:val="00BC302C"/>
    <w:rPr>
      <w:i/>
      <w:iCs/>
      <w:color w:val="000000" w:themeColor="text1"/>
    </w:rPr>
  </w:style>
  <w:style w:type="paragraph" w:styleId="Salutation">
    <w:name w:val="Salutation"/>
    <w:basedOn w:val="Normal"/>
    <w:next w:val="Normal"/>
    <w:link w:val="SalutationChar"/>
    <w:uiPriority w:val="99"/>
    <w:semiHidden/>
    <w:unhideWhenUsed/>
    <w:rsid w:val="00BC302C"/>
  </w:style>
  <w:style w:type="character" w:customStyle="1" w:styleId="SalutationChar">
    <w:name w:val="Salutation Char"/>
    <w:basedOn w:val="DefaultParagraphFont"/>
    <w:link w:val="Salutation"/>
    <w:uiPriority w:val="99"/>
    <w:semiHidden/>
    <w:rsid w:val="00BC302C"/>
  </w:style>
  <w:style w:type="paragraph" w:styleId="Signature">
    <w:name w:val="Signature"/>
    <w:basedOn w:val="Normal"/>
    <w:link w:val="SignatureChar"/>
    <w:uiPriority w:val="99"/>
    <w:semiHidden/>
    <w:unhideWhenUsed/>
    <w:rsid w:val="00BC302C"/>
    <w:pPr>
      <w:spacing w:after="0" w:line="240" w:lineRule="auto"/>
      <w:ind w:left="4320"/>
    </w:pPr>
  </w:style>
  <w:style w:type="character" w:customStyle="1" w:styleId="SignatureChar">
    <w:name w:val="Signature Char"/>
    <w:basedOn w:val="DefaultParagraphFont"/>
    <w:link w:val="Signature"/>
    <w:uiPriority w:val="99"/>
    <w:semiHidden/>
    <w:rsid w:val="00BC302C"/>
  </w:style>
  <w:style w:type="paragraph" w:styleId="Subtitle">
    <w:name w:val="Subtitle"/>
    <w:basedOn w:val="Normal"/>
    <w:next w:val="Normal"/>
    <w:link w:val="SubtitleChar"/>
    <w:uiPriority w:val="11"/>
    <w:qFormat/>
    <w:rsid w:val="00BC30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C302C"/>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BC302C"/>
    <w:pPr>
      <w:spacing w:after="0"/>
      <w:ind w:left="220" w:hanging="220"/>
    </w:pPr>
  </w:style>
  <w:style w:type="paragraph" w:styleId="TableofFigures">
    <w:name w:val="table of figures"/>
    <w:basedOn w:val="Normal"/>
    <w:next w:val="Normal"/>
    <w:uiPriority w:val="99"/>
    <w:semiHidden/>
    <w:unhideWhenUsed/>
    <w:rsid w:val="00BC302C"/>
    <w:pPr>
      <w:spacing w:after="0"/>
    </w:pPr>
  </w:style>
  <w:style w:type="paragraph" w:styleId="Title">
    <w:name w:val="Title"/>
    <w:basedOn w:val="Normal"/>
    <w:next w:val="Normal"/>
    <w:link w:val="TitleChar"/>
    <w:uiPriority w:val="10"/>
    <w:qFormat/>
    <w:rsid w:val="00BC30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C302C"/>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C302C"/>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BC302C"/>
    <w:pPr>
      <w:spacing w:after="100"/>
    </w:pPr>
  </w:style>
  <w:style w:type="paragraph" w:styleId="TOC2">
    <w:name w:val="toc 2"/>
    <w:basedOn w:val="Normal"/>
    <w:next w:val="Normal"/>
    <w:uiPriority w:val="39"/>
    <w:semiHidden/>
    <w:unhideWhenUsed/>
    <w:rsid w:val="00BC302C"/>
    <w:pPr>
      <w:spacing w:after="100"/>
      <w:ind w:left="220"/>
    </w:pPr>
  </w:style>
  <w:style w:type="paragraph" w:styleId="TOC3">
    <w:name w:val="toc 3"/>
    <w:basedOn w:val="Normal"/>
    <w:next w:val="Normal"/>
    <w:uiPriority w:val="39"/>
    <w:semiHidden/>
    <w:unhideWhenUsed/>
    <w:rsid w:val="00BC302C"/>
    <w:pPr>
      <w:spacing w:after="100"/>
      <w:ind w:left="440"/>
    </w:pPr>
  </w:style>
  <w:style w:type="paragraph" w:styleId="TOC4">
    <w:name w:val="toc 4"/>
    <w:basedOn w:val="Normal"/>
    <w:next w:val="Normal"/>
    <w:uiPriority w:val="39"/>
    <w:semiHidden/>
    <w:unhideWhenUsed/>
    <w:rsid w:val="00BC302C"/>
    <w:pPr>
      <w:spacing w:after="100"/>
      <w:ind w:left="660"/>
    </w:pPr>
  </w:style>
  <w:style w:type="paragraph" w:styleId="TOC5">
    <w:name w:val="toc 5"/>
    <w:basedOn w:val="Normal"/>
    <w:next w:val="Normal"/>
    <w:uiPriority w:val="39"/>
    <w:semiHidden/>
    <w:unhideWhenUsed/>
    <w:rsid w:val="00BC302C"/>
    <w:pPr>
      <w:spacing w:after="100"/>
      <w:ind w:left="880"/>
    </w:pPr>
  </w:style>
  <w:style w:type="paragraph" w:styleId="TOC6">
    <w:name w:val="toc 6"/>
    <w:basedOn w:val="Normal"/>
    <w:next w:val="Normal"/>
    <w:uiPriority w:val="39"/>
    <w:semiHidden/>
    <w:unhideWhenUsed/>
    <w:rsid w:val="00BC302C"/>
    <w:pPr>
      <w:spacing w:after="100"/>
      <w:ind w:left="1100"/>
    </w:pPr>
  </w:style>
  <w:style w:type="paragraph" w:styleId="TOC7">
    <w:name w:val="toc 7"/>
    <w:basedOn w:val="Normal"/>
    <w:next w:val="Normal"/>
    <w:uiPriority w:val="39"/>
    <w:semiHidden/>
    <w:unhideWhenUsed/>
    <w:rsid w:val="00BC302C"/>
    <w:pPr>
      <w:spacing w:after="100"/>
      <w:ind w:left="1320"/>
    </w:pPr>
  </w:style>
  <w:style w:type="paragraph" w:styleId="TOC8">
    <w:name w:val="toc 8"/>
    <w:basedOn w:val="Normal"/>
    <w:next w:val="Normal"/>
    <w:uiPriority w:val="39"/>
    <w:semiHidden/>
    <w:unhideWhenUsed/>
    <w:rsid w:val="00BC302C"/>
    <w:pPr>
      <w:spacing w:after="100"/>
      <w:ind w:left="1540"/>
    </w:pPr>
  </w:style>
  <w:style w:type="paragraph" w:styleId="TOC9">
    <w:name w:val="toc 9"/>
    <w:basedOn w:val="Normal"/>
    <w:next w:val="Normal"/>
    <w:uiPriority w:val="39"/>
    <w:semiHidden/>
    <w:unhideWhenUsed/>
    <w:rsid w:val="00BC302C"/>
    <w:pPr>
      <w:spacing w:after="100"/>
      <w:ind w:left="1760"/>
    </w:pPr>
  </w:style>
  <w:style w:type="paragraph" w:styleId="TOCHeading">
    <w:name w:val="TOC Heading"/>
    <w:basedOn w:val="Heading1"/>
    <w:next w:val="Normal"/>
    <w:uiPriority w:val="39"/>
    <w:semiHidden/>
    <w:unhideWhenUsed/>
    <w:qFormat/>
    <w:rsid w:val="00BC302C"/>
    <w:pPr>
      <w:outlineLvl w:val="9"/>
    </w:pPr>
  </w:style>
  <w:style w:type="character" w:customStyle="1" w:styleId="FERCparanumberChar1">
    <w:name w:val="FERC paranumber Char1"/>
    <w:rsid w:val="007B3E16"/>
    <w:rPr>
      <w:sz w:val="26"/>
      <w:szCs w:val="24"/>
    </w:rPr>
  </w:style>
  <w:style w:type="numbering" w:customStyle="1" w:styleId="NoList1">
    <w:name w:val="No List1"/>
    <w:next w:val="NoList"/>
    <w:uiPriority w:val="99"/>
    <w:semiHidden/>
    <w:unhideWhenUsed/>
    <w:rsid w:val="00FB482A"/>
  </w:style>
  <w:style w:type="table" w:styleId="TableGrid">
    <w:name w:val="Table Grid"/>
    <w:basedOn w:val="TableNormal"/>
    <w:uiPriority w:val="39"/>
    <w:rsid w:val="00923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96C2C"/>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E5F91"/>
    <w:rPr>
      <w:color w:val="605E5C"/>
      <w:shd w:val="clear" w:color="auto" w:fill="E1DFDD"/>
    </w:rPr>
  </w:style>
  <w:style w:type="paragraph" w:styleId="Revision">
    <w:name w:val="Revision"/>
    <w:hidden/>
    <w:uiPriority w:val="99"/>
    <w:semiHidden/>
    <w:rsid w:val="00C722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information-collection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erc.com/AboutNERC/RulesOfProcedure/Appendix_3A_SPM_Clean_Mar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5" ma:contentTypeDescription="Create a new document." ma:contentTypeScope="" ma:versionID="082e90d60dd37ab01e90c34fab6c37c5">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e466ebfd94c05f1c89097b3b18a86adf"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ulemaking_x0020_Document_x0020_Type xmlns="d6eefc7d-9817-4fa6-84d5-3bc009be21b8">None</Rulemaking_x0020_Document_x0020_Type>
    <Status xmlns="d6eefc7d-9817-4fa6-84d5-3bc009be21b8">None</Status>
    <lcf76f155ced4ddcb4097134ff3c332f xmlns="e029e753-062b-49ce-baa7-feb352134f8f">
      <Terms xmlns="http://schemas.microsoft.com/office/infopath/2007/PartnerControls"/>
    </lcf76f155ced4ddcb4097134ff3c332f>
    <TaxCatchAll xmlns="5a7c6213-c3f8-4376-93f2-dc58e5c51d54" xsi:nil="true"/>
    <Date xmlns="d6eefc7d-9817-4fa6-84d5-3bc009be21b8">2023-06-15T04:00:00+00:00</Date>
    <Renewal_x0020_Document_x0020_Type xmlns="d6eefc7d-9817-4fa6-84d5-3bc009be21b8">OMB Supporting Statement</Renewal_x0020_Document_x0020_Type>
    <_x0031__x002e__x0020_Docket_x0020_Number xmlns="d6eefc7d-9817-4fa6-84d5-3bc009be21b8">RD23-4</_x0031__x002e__x0020_Docket_x0020_Number>
    <_x0033__x002e__x0020_Docket_x0020_Number xmlns="d6eefc7d-9817-4fa6-84d5-3bc009be21b8" xsi:nil="true"/>
    <_x0033__x002e__x0020_Collection_x0020_Number xmlns="d6eefc7d-9817-4fa6-84d5-3bc009be21b8" xsi:nil="true"/>
    <_x0031__x002e__x0020_Collection_x0020_Number xmlns="d6eefc7d-9817-4fa6-84d5-3bc009be21b8">725G</_x0031__x002e__x0020_Collection_x0020_Number>
    <_x0032__x002e__x0020_Collection_x0020_Number xmlns="d6eefc7d-9817-4fa6-84d5-3bc009be21b8" xsi:nil="true"/>
    <_x0032__x002e__x0020_Docket_x0020_Number xmlns="d6eefc7d-9817-4fa6-84d5-3bc009be21b8" xsi:nil="true"/>
  </documentManagement>
</p:properties>
</file>

<file path=customXml/itemProps1.xml><?xml version="1.0" encoding="utf-8"?>
<ds:datastoreItem xmlns:ds="http://schemas.openxmlformats.org/officeDocument/2006/customXml" ds:itemID="{4900ABF7-0EDA-4182-886B-35E54A1426A4}">
  <ds:schemaRefs>
    <ds:schemaRef ds:uri="http://schemas.microsoft.com/sharepoint/v3/contenttype/forms"/>
  </ds:schemaRefs>
</ds:datastoreItem>
</file>

<file path=customXml/itemProps2.xml><?xml version="1.0" encoding="utf-8"?>
<ds:datastoreItem xmlns:ds="http://schemas.openxmlformats.org/officeDocument/2006/customXml" ds:itemID="{BBF336C4-AFE9-4DAA-83C0-EBE86ED04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07F3B-4487-46B2-97E6-F3EB0E4B447A}">
  <ds:schemaRefs>
    <ds:schemaRef ds:uri="http://schemas.openxmlformats.org/officeDocument/2006/bibliography"/>
  </ds:schemaRefs>
</ds:datastoreItem>
</file>

<file path=customXml/itemProps4.xml><?xml version="1.0" encoding="utf-8"?>
<ds:datastoreItem xmlns:ds="http://schemas.openxmlformats.org/officeDocument/2006/customXml" ds:itemID="{6A45BE76-3372-4673-A1C7-B4AA2E246137}">
  <ds:schemaRefs>
    <ds:schemaRef ds:uri="http://schemas.openxmlformats.org/package/2006/metadata/core-properties"/>
    <ds:schemaRef ds:uri="http://purl.org/dc/terms/"/>
    <ds:schemaRef ds:uri="http://www.w3.org/XML/1998/namespace"/>
    <ds:schemaRef ds:uri="5a7c6213-c3f8-4376-93f2-dc58e5c51d54"/>
    <ds:schemaRef ds:uri="http://schemas.microsoft.com/office/2006/documentManagement/types"/>
    <ds:schemaRef ds:uri="http://schemas.microsoft.com/office/2006/metadata/properties"/>
    <ds:schemaRef ds:uri="http://purl.org/dc/elements/1.1/"/>
    <ds:schemaRef ds:uri="d6eefc7d-9817-4fa6-84d5-3bc009be21b8"/>
    <ds:schemaRef ds:uri="http://schemas.microsoft.com/office/infopath/2007/PartnerControls"/>
    <ds:schemaRef ds:uri="e029e753-062b-49ce-baa7-feb352134f8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3852</Words>
  <Characters>21958</Characters>
  <Application>Microsoft Office Word</Application>
  <DocSecurity>0</DocSecurity>
  <Lines>182</Lines>
  <Paragraphs>51</Paragraphs>
  <ScaleCrop>false</ScaleCrop>
  <Company/>
  <LinksUpToDate>false</LinksUpToDate>
  <CharactersWithSpaces>25759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2024-09-04T20:39:00Z</dcterms:created>
  <dcterms:modified xsi:type="dcterms:W3CDTF">2024-09-04T20:39:00Z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6155a89b-0f08-4a93-8ea2-8a916d6643b5_ActionId">
    <vt:lpwstr>b4c1d63c-a27d-442a-bdaa-b081c107d917</vt:lpwstr>
  </property>
  <property fmtid="{D5CDD505-2E9C-101B-9397-08002B2CF9AE}" pid="5" name="MSIP_Label_6155a89b-0f08-4a93-8ea2-8a916d6643b5_ContentBits">
    <vt:lpwstr>0</vt:lpwstr>
  </property>
  <property fmtid="{D5CDD505-2E9C-101B-9397-08002B2CF9AE}" pid="6" name="MSIP_Label_6155a89b-0f08-4a93-8ea2-8a916d6643b5_Enabled">
    <vt:lpwstr>true</vt:lpwstr>
  </property>
  <property fmtid="{D5CDD505-2E9C-101B-9397-08002B2CF9AE}" pid="7" name="MSIP_Label_6155a89b-0f08-4a93-8ea2-8a916d6643b5_Method">
    <vt:lpwstr>Privileged</vt:lpwstr>
  </property>
  <property fmtid="{D5CDD505-2E9C-101B-9397-08002B2CF9AE}" pid="8" name="MSIP_Label_6155a89b-0f08-4a93-8ea2-8a916d6643b5_Name">
    <vt:lpwstr>6155a89b-0f08-4a93-8ea2-8a916d6643b5</vt:lpwstr>
  </property>
  <property fmtid="{D5CDD505-2E9C-101B-9397-08002B2CF9AE}" pid="9" name="MSIP_Label_6155a89b-0f08-4a93-8ea2-8a916d6643b5_SetDate">
    <vt:lpwstr>2023-04-28T20:11:48Z</vt:lpwstr>
  </property>
  <property fmtid="{D5CDD505-2E9C-101B-9397-08002B2CF9AE}" pid="10" name="MSIP_Label_6155a89b-0f08-4a93-8ea2-8a916d6643b5_SiteId">
    <vt:lpwstr>19caa9e9-04ff-43fa-885f-d77fac387903</vt:lpwstr>
  </property>
  <property fmtid="{D5CDD505-2E9C-101B-9397-08002B2CF9AE}" pid="11" name="_NewReviewCycle">
    <vt:lpwstr/>
  </property>
</Properties>
</file>