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44E8076E">
      <w:pPr>
        <w:jc w:val="center"/>
      </w:pPr>
      <w:r>
        <w:t>UNITED STATES OF AMERICA</w:t>
      </w:r>
    </w:p>
    <w:p w:rsidR="00A2604E" w:rsidP="00A2604E" w14:paraId="273661E3" w14:textId="77777777">
      <w:pPr>
        <w:jc w:val="center"/>
      </w:pPr>
      <w:r>
        <w:t>FEDERAL ENERGY REGULATORY COMMISSION</w:t>
      </w:r>
    </w:p>
    <w:p w:rsidR="00A2604E" w:rsidP="00A2604E" w14:paraId="6C561934" w14:textId="77777777"/>
    <w:p w:rsidR="00A2604E" w:rsidP="00A2604E" w14:paraId="3E11D4A1" w14:textId="73251535">
      <w:pPr>
        <w:jc w:val="center"/>
      </w:pPr>
      <w:r w:rsidRPr="00980E58">
        <w:t>[</w:t>
      </w:r>
      <w:r w:rsidRPr="007633DD">
        <w:t>Docket No</w:t>
      </w:r>
      <w:r w:rsidRPr="00413FDE">
        <w:t xml:space="preserve">. </w:t>
      </w:r>
      <w:r w:rsidR="007941E4">
        <w:t>RD23-</w:t>
      </w:r>
      <w:r w:rsidR="00FF5DF4">
        <w:t>5</w:t>
      </w:r>
      <w:r w:rsidRPr="00413FDE" w:rsidR="00613169">
        <w:t>-000</w:t>
      </w:r>
      <w:r w:rsidRPr="00413FDE">
        <w:t>]</w:t>
      </w:r>
    </w:p>
    <w:p w:rsidR="00A2604E" w:rsidP="00A2604E" w14:paraId="4D16FE54" w14:textId="77777777"/>
    <w:p w:rsidR="00A2604E" w:rsidP="00A2604E" w14:paraId="0627AE31" w14:textId="0B7F896E">
      <w:pPr>
        <w:jc w:val="center"/>
      </w:pPr>
      <w:r>
        <w:t>COMMISSION INFORMATION COLLECTION ACTIVITIES</w:t>
      </w:r>
    </w:p>
    <w:p w:rsidR="00A2604E" w:rsidP="00A2604E" w14:paraId="3B5240D4" w14:textId="40EFF4A8">
      <w:pPr>
        <w:jc w:val="center"/>
      </w:pPr>
      <w:r>
        <w:t xml:space="preserve">COMMENT REQUEST; </w:t>
      </w:r>
      <w:r w:rsidR="00A43B99">
        <w:t>REVISION</w:t>
      </w:r>
    </w:p>
    <w:p w:rsidR="00881405" w:rsidP="00A2604E" w14:paraId="5D8DD33D" w14:textId="77777777">
      <w:pPr>
        <w:jc w:val="center"/>
      </w:pPr>
    </w:p>
    <w:p w:rsidR="00EE33B9" w:rsidP="00FB5C7E" w14:paraId="4F4A1DEC" w14:textId="51888A02">
      <w:pPr>
        <w:jc w:val="center"/>
      </w:pPr>
      <w:r w:rsidRPr="00FB5C7E">
        <w:t>(July 16, 2024)</w:t>
      </w:r>
    </w:p>
    <w:p w:rsidR="00FB5C7E" w:rsidRPr="00FB5C7E" w:rsidP="00FB5C7E" w14:paraId="2D165828" w14:textId="77777777"/>
    <w:p w:rsidR="00651CE5" w:rsidP="00651CE5" w14:paraId="5DE1B7EA" w14:textId="77777777">
      <w:r w:rsidRPr="00AB4DBF">
        <w:rPr>
          <w:b/>
        </w:rPr>
        <w:t>AGENCY:</w:t>
      </w:r>
      <w:r w:rsidRPr="00AB4DBF">
        <w:t xml:space="preserve">  Federal Energy Regulatory Commission.</w:t>
      </w:r>
    </w:p>
    <w:p w:rsidR="00651CE5" w:rsidRPr="00AB4DBF" w:rsidP="00651CE5" w14:paraId="3759706A" w14:textId="77777777"/>
    <w:p w:rsidR="00651CE5" w:rsidP="00651CE5" w14:paraId="7D3A5544"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651CE5" w:rsidRPr="009907E2" w:rsidP="00651CE5" w14:paraId="41E60BD6" w14:textId="2E30EB3A">
      <w:pPr>
        <w:spacing w:after="160" w:line="480" w:lineRule="auto"/>
      </w:pPr>
      <w:r w:rsidRPr="00CE64F2">
        <w:rPr>
          <w:b/>
        </w:rPr>
        <w:t>SUMMARY:</w:t>
      </w:r>
      <w:r>
        <w:t xml:space="preserve">  </w:t>
      </w:r>
      <w:bookmarkStart w:id="1" w:name="_Hlk102460280"/>
      <w:r w:rsidRPr="007941E4" w:rsidR="007941E4">
        <w:t xml:space="preserve">In compliance with the requirements of the Paperwork Reduction Act of 1995, the Federal Energy Regulatory Commission (Commission or FERC) is soliciting public comment on proposed revisions of the currently approved information </w:t>
      </w:r>
      <w:r w:rsidRPr="007941E4" w:rsidR="000231B6">
        <w:t>collection,</w:t>
      </w:r>
      <w:r w:rsidR="000231B6">
        <w:t xml:space="preserve"> FERC-725G, </w:t>
      </w:r>
      <w:r w:rsidRPr="000231B6" w:rsidR="000231B6">
        <w:t>(Mandatory Reliability Standards for the Bulk-Power System</w:t>
      </w:r>
      <w:r w:rsidR="00CF7C86">
        <w:t>)</w:t>
      </w:r>
      <w:r w:rsidRPr="000231B6" w:rsidR="000231B6">
        <w:t xml:space="preserve"> Approval of PRC Reliability Standard PRC-023-6</w:t>
      </w:r>
      <w:r w:rsidR="000231B6">
        <w:t xml:space="preserve">. </w:t>
      </w:r>
      <w:r w:rsidRPr="007941E4" w:rsidR="007941E4">
        <w:t xml:space="preserve">The 60-day notice comment period ended on </w:t>
      </w:r>
      <w:r w:rsidR="00D95BD7">
        <w:t>July 1, 2024</w:t>
      </w:r>
      <w:r w:rsidR="004E3742">
        <w:t>.</w:t>
      </w:r>
      <w:r w:rsidRPr="007941E4" w:rsidR="004E3742">
        <w:t xml:space="preserve"> </w:t>
      </w:r>
    </w:p>
    <w:bookmarkEnd w:id="1"/>
    <w:p w:rsidR="00651CE5" w:rsidRPr="00524164" w:rsidP="00651CE5" w14:paraId="3160ED94" w14:textId="77777777">
      <w:pPr>
        <w:spacing w:line="480" w:lineRule="auto"/>
      </w:pPr>
      <w:r w:rsidRPr="00CE64F2">
        <w:rPr>
          <w:b/>
        </w:rPr>
        <w:t>DATES:</w:t>
      </w:r>
      <w:r>
        <w:t xml:space="preserve">  Comments on the collection of information are </w:t>
      </w:r>
      <w:r w:rsidRPr="00B24588">
        <w:t>due [</w:t>
      </w:r>
      <w:r>
        <w:rPr>
          <w:b/>
        </w:rPr>
        <w:t>INSERT DATE</w:t>
      </w:r>
      <w:r w:rsidRPr="00A07154">
        <w:rPr>
          <w:b/>
        </w:rPr>
        <w:t xml:space="preserve"> </w:t>
      </w:r>
      <w:r>
        <w:rPr>
          <w:b/>
        </w:rPr>
        <w:t>3</w:t>
      </w:r>
      <w:r w:rsidRPr="00A07154">
        <w:rPr>
          <w:b/>
        </w:rPr>
        <w:t>0 days after date of publication in the Federal Register</w:t>
      </w:r>
      <w:r w:rsidRPr="00524164">
        <w:t xml:space="preserve">]. </w:t>
      </w:r>
    </w:p>
    <w:p w:rsidR="00651CE5" w:rsidRPr="00BB5EF5" w:rsidP="00651CE5" w14:paraId="6E8722A0" w14:textId="68E580B2">
      <w:pPr>
        <w:spacing w:line="480" w:lineRule="auto"/>
      </w:pPr>
      <w:r w:rsidRPr="00524164">
        <w:rPr>
          <w:b/>
        </w:rPr>
        <w:t>ADDRESSES:</w:t>
      </w:r>
      <w:r w:rsidRPr="00524164">
        <w:t xml:space="preserve"> </w:t>
      </w:r>
      <w:r w:rsidRPr="00BB5EF5">
        <w:rPr>
          <w:iCs/>
        </w:rPr>
        <w:t>Send written comments on FERC-</w:t>
      </w:r>
      <w:r w:rsidR="007941E4">
        <w:t>725</w:t>
      </w:r>
      <w:r w:rsidR="000231B6">
        <w:t>G (1902-0252)</w:t>
      </w:r>
      <w:r>
        <w:t xml:space="preserve"> </w:t>
      </w:r>
      <w:r w:rsidRPr="00BB5EF5">
        <w:rPr>
          <w:iCs/>
        </w:rPr>
        <w:t xml:space="preserve">to OMB through </w:t>
      </w:r>
      <w:hyperlink r:id="rId10">
        <w:r w:rsidRPr="3D33D731">
          <w:rPr>
            <w:rStyle w:val="Hyperlink"/>
          </w:rPr>
          <w:t>www.reginfo.gov/public/do/PRAMain</w:t>
        </w:r>
      </w:hyperlink>
      <w:r>
        <w:t>.</w:t>
      </w:r>
      <w:r w:rsidRPr="00BB5EF5">
        <w:rPr>
          <w:iCs/>
        </w:rPr>
        <w:t xml:space="preserve">  Attention:  Federal Energy Regulatory Commission Desk Officer.  Please identify the OMB Control Number</w:t>
      </w:r>
      <w:r w:rsidR="00575368">
        <w:rPr>
          <w:iCs/>
        </w:rPr>
        <w:t xml:space="preserve">s </w:t>
      </w:r>
      <w:r w:rsidRPr="00BB5EF5">
        <w:rPr>
          <w:iCs/>
        </w:rPr>
        <w:t>in the subject line of your comments.  Comments</w:t>
      </w:r>
      <w:r w:rsidRPr="00BB5EF5">
        <w:t xml:space="preserve"> should be sent </w:t>
      </w:r>
      <w:bookmarkStart w:id="2" w:name="_Hlk35891527"/>
      <w:r w:rsidRPr="00BB5EF5">
        <w:t xml:space="preserve">within 30 days of publication of this notice to </w:t>
      </w:r>
      <w:bookmarkStart w:id="3" w:name="_Hlk38028221"/>
      <w:hyperlink r:id="rId10" w:history="1">
        <w:r w:rsidRPr="00BB5EF5">
          <w:rPr>
            <w:rStyle w:val="Hyperlink"/>
          </w:rPr>
          <w:t>www.reginfo.gov/public/do/PRAMain</w:t>
        </w:r>
      </w:hyperlink>
      <w:r w:rsidRPr="00BB5EF5">
        <w:t>.</w:t>
      </w:r>
      <w:bookmarkEnd w:id="2"/>
      <w:bookmarkEnd w:id="3"/>
    </w:p>
    <w:p w:rsidR="00651CE5" w:rsidRPr="00BB5EF5" w:rsidP="00651CE5" w14:paraId="5148487D" w14:textId="1275E566">
      <w:pPr>
        <w:spacing w:line="480" w:lineRule="auto"/>
      </w:pPr>
      <w:r>
        <w:t xml:space="preserve">Please submit copies of your comments to the Commission.  You may submit copies of your comments (identified by Docket No. </w:t>
      </w:r>
      <w:r w:rsidR="00385B9A">
        <w:t>RD23-</w:t>
      </w:r>
      <w:r w:rsidR="00FF5DF4">
        <w:t>5</w:t>
      </w:r>
      <w:r>
        <w:t>-000) by one of the following methods:</w:t>
      </w:r>
    </w:p>
    <w:p w:rsidR="00651CE5" w:rsidRPr="00BB5EF5" w:rsidP="00651CE5" w14:paraId="5D11C0B2" w14:textId="77777777">
      <w:pPr>
        <w:spacing w:line="480" w:lineRule="auto"/>
      </w:pPr>
      <w:r>
        <w:t xml:space="preserve">Electronic filing through </w:t>
      </w:r>
      <w:hyperlink r:id="rId11" w:history="1">
        <w:r w:rsidRPr="00FC39BA">
          <w:rPr>
            <w:rStyle w:val="Hyperlink"/>
          </w:rPr>
          <w:t>https://www.ferc.gov</w:t>
        </w:r>
      </w:hyperlink>
      <w:r>
        <w:t>, is preferred.</w:t>
      </w:r>
    </w:p>
    <w:p w:rsidR="00651CE5" w:rsidRPr="00BB5EF5" w:rsidP="00651CE5" w14:paraId="0D1A4BFA" w14:textId="77777777">
      <w:pPr>
        <w:numPr>
          <w:ilvl w:val="0"/>
          <w:numId w:val="6"/>
        </w:numPr>
        <w:spacing w:line="480" w:lineRule="auto"/>
      </w:pPr>
      <w:r w:rsidRPr="00BB5EF5">
        <w:t xml:space="preserve">Electronic Filing: Documents must be filed in acceptable native applications and print-to-PDF, but not in scanned or picture format. </w:t>
      </w:r>
    </w:p>
    <w:p w:rsidR="00651CE5" w:rsidRPr="00BB5EF5" w:rsidP="00651CE5" w14:paraId="44E16B18" w14:textId="77777777">
      <w:pPr>
        <w:numPr>
          <w:ilvl w:val="0"/>
          <w:numId w:val="6"/>
        </w:numPr>
        <w:spacing w:line="480" w:lineRule="auto"/>
      </w:pPr>
      <w:r w:rsidRPr="00BB5EF5">
        <w:t>For those unable to file electronically, comments may be filed by USPS mail or by hand (including courier) delivery.</w:t>
      </w:r>
    </w:p>
    <w:p w:rsidR="00651CE5" w:rsidRPr="00BB5EF5" w:rsidP="00651CE5" w14:paraId="16D6572E" w14:textId="77777777">
      <w:pPr>
        <w:numPr>
          <w:ilvl w:val="1"/>
          <w:numId w:val="6"/>
        </w:numPr>
        <w:spacing w:line="480" w:lineRule="auto"/>
      </w:pPr>
      <w:r w:rsidRPr="00BB5EF5">
        <w:t>Mail via U.S. Postal Service Only: Addressed to: Federal Energy Regulatory Commission, Secretary of the Commission, 888 First Street, N.E., Washington, DC 20426.</w:t>
      </w:r>
    </w:p>
    <w:p w:rsidR="00651CE5" w:rsidRPr="00BB5EF5" w:rsidP="00651CE5" w14:paraId="37DB42EC" w14:textId="77777777">
      <w:pPr>
        <w:numPr>
          <w:ilvl w:val="1"/>
          <w:numId w:val="6"/>
        </w:numPr>
        <w:spacing w:line="480" w:lineRule="auto"/>
      </w:pPr>
      <w:r w:rsidRPr="00BB5EF5">
        <w:t xml:space="preserve">Hand (including courier) delivery: Deliver to: Federal Energy Regulatory Commission, </w:t>
      </w:r>
      <w:r>
        <w:t xml:space="preserve">Secretary of the Commission, </w:t>
      </w:r>
      <w:r w:rsidRPr="00BB5EF5">
        <w:t>12225 Wilkins Avenue, Rockville, MD 20852.</w:t>
      </w:r>
    </w:p>
    <w:p w:rsidR="00651CE5" w:rsidRPr="00BB5EF5" w:rsidP="00651CE5" w14:paraId="71A32EF3" w14:textId="77777777">
      <w:pPr>
        <w:spacing w:line="480" w:lineRule="auto"/>
      </w:pPr>
      <w:bookmarkStart w:id="4" w:name="OLE_LINK1"/>
      <w:r w:rsidRPr="00BB5EF5">
        <w:rPr>
          <w:i/>
        </w:rPr>
        <w:t>Instructions</w:t>
      </w:r>
      <w:r w:rsidRPr="00BB5EF5">
        <w:rPr>
          <w:iCs/>
        </w:rPr>
        <w:t>:</w:t>
      </w:r>
      <w:r w:rsidRPr="00BB5EF5">
        <w:rPr>
          <w:i/>
        </w:rPr>
        <w:t xml:space="preserve">  </w:t>
      </w:r>
      <w:r w:rsidRPr="00BB5EF5">
        <w:rPr>
          <w:iCs/>
        </w:rPr>
        <w:t xml:space="preserve">OMB submissions </w:t>
      </w:r>
      <w:r w:rsidRPr="00BB5EF5">
        <w:t>must be formatted and filed in accordance with submission guidelines at</w:t>
      </w:r>
      <w:r w:rsidRPr="00BB5EF5">
        <w:rPr>
          <w:i/>
        </w:rPr>
        <w:t xml:space="preserve"> </w:t>
      </w:r>
      <w:hyperlink r:id="rId10" w:history="1">
        <w:r w:rsidRPr="00BB5EF5">
          <w:rPr>
            <w:rStyle w:val="Hyperlink"/>
          </w:rPr>
          <w:t>www.reginfo.gov/public/do/PRAMain</w:t>
        </w:r>
      </w:hyperlink>
      <w:r w:rsidRPr="00BB5EF5">
        <w:rPr>
          <w:u w:val="single"/>
        </w:rPr>
        <w:t>.</w:t>
      </w:r>
      <w:r w:rsidRPr="00BB5EF5">
        <w:t xml:space="preserve">  Using the search function under the “Currently Under Review” field, select Federal Energy Regulatory Commission; click “submit,” and select “comment” to the right of the subject collection.</w:t>
      </w:r>
    </w:p>
    <w:p w:rsidR="00651CE5" w:rsidRPr="00BB5EF5" w:rsidP="00651CE5" w14:paraId="1C4D0A9A" w14:textId="77777777">
      <w:pPr>
        <w:spacing w:line="480" w:lineRule="auto"/>
      </w:pPr>
      <w:r w:rsidRPr="128FFB1D">
        <w:rPr>
          <w:i/>
          <w:iCs/>
        </w:rPr>
        <w:t>FERC submissions</w:t>
      </w:r>
      <w:r>
        <w:t xml:space="preserve"> </w:t>
      </w:r>
      <w:bookmarkStart w:id="5" w:name="_Hlk38028397"/>
      <w:r>
        <w:t>must be formatted and filed in accordance with submission guidelines at</w:t>
      </w:r>
      <w:bookmarkEnd w:id="5"/>
      <w:r>
        <w:t xml:space="preserve">: </w:t>
      </w:r>
      <w:hyperlink r:id="rId11" w:history="1">
        <w:r w:rsidRPr="00FC39BA">
          <w:rPr>
            <w:rStyle w:val="Hyperlink"/>
          </w:rPr>
          <w:t>https://www.ferc.gov</w:t>
        </w:r>
      </w:hyperlink>
      <w:r>
        <w:t>.  For user assistance, contact FERC Online Support by e-mail at ferconlinesupport@ferc.gov, or by phone at: (866) 208-3676 (toll-free).</w:t>
      </w:r>
    </w:p>
    <w:p w:rsidR="00651CE5" w:rsidRPr="00BB5EF5" w:rsidP="00651CE5" w14:paraId="529C8631" w14:textId="77777777">
      <w:pPr>
        <w:spacing w:line="480" w:lineRule="auto"/>
      </w:pPr>
      <w:r w:rsidRPr="00BB5EF5">
        <w:rPr>
          <w:i/>
        </w:rPr>
        <w:t>Docket</w:t>
      </w:r>
      <w:r w:rsidRPr="00BB5EF5">
        <w:rPr>
          <w:iCs/>
        </w:rPr>
        <w:t xml:space="preserve">:  </w:t>
      </w:r>
      <w:r w:rsidRPr="00BB5EF5">
        <w:t xml:space="preserve">Users interested in receiving automatic notification of activity in this docket or in viewing/downloading comments and issuances in this docket may do so at </w:t>
      </w:r>
      <w:hyperlink r:id="rId12" w:history="1">
        <w:r w:rsidRPr="00BB5EF5">
          <w:rPr>
            <w:rStyle w:val="Hyperlink"/>
          </w:rPr>
          <w:t>https://www.ferc.gov/ferc-online/overview</w:t>
        </w:r>
      </w:hyperlink>
      <w:r w:rsidRPr="00BB5EF5">
        <w:t xml:space="preserve">. </w:t>
      </w:r>
    </w:p>
    <w:bookmarkEnd w:id="4"/>
    <w:p w:rsidR="00651CE5" w:rsidRPr="00651CE5" w:rsidP="00206037" w14:paraId="3014A5B0" w14:textId="739C109B">
      <w:pPr>
        <w:spacing w:line="480" w:lineRule="auto"/>
      </w:pPr>
      <w:r w:rsidRPr="00BB5EF5">
        <w:rPr>
          <w:b/>
        </w:rPr>
        <w:t>FOR FURTHER INFORMATION CONTACT:</w:t>
      </w:r>
      <w:r w:rsidRPr="00BB5EF5">
        <w:t xml:space="preserve">  </w:t>
      </w:r>
      <w:r w:rsidR="001E6BA7">
        <w:t>Jean Sonneman</w:t>
      </w:r>
      <w:r w:rsidRPr="00BB5EF5">
        <w:t xml:space="preserve"> may be reached by e-mail at </w:t>
      </w:r>
      <w:r>
        <w:fldChar w:fldCharType="begin"/>
      </w:r>
      <w:r w:rsidRPr="4B4230D7">
        <w:rPr>
          <w:rStyle w:val="Hyperlink"/>
        </w:rPr>
        <w:instrText xml:space="preserve"> HYPERLINK "mailto:DataClearance@FERC.gov"  \h </w:instrText>
      </w:r>
      <w:r>
        <w:fldChar w:fldCharType="separate"/>
      </w:r>
      <w:r w:rsidRPr="4B4230D7">
        <w:rPr>
          <w:rStyle w:val="Hyperlink"/>
        </w:rPr>
        <w:t>DataClearance@FERC.gov</w:t>
      </w:r>
      <w:r>
        <w:fldChar w:fldCharType="end"/>
      </w:r>
      <w:r w:rsidRPr="00BB5EF5">
        <w:t>, telephone at (202) 502-</w:t>
      </w:r>
      <w:r w:rsidR="001E6BA7">
        <w:t>6362</w:t>
      </w:r>
      <w:r w:rsidRPr="00BB5EF5">
        <w:t>.</w:t>
      </w:r>
      <w:r w:rsidRPr="00524164">
        <w:t xml:space="preserve"> </w:t>
      </w:r>
    </w:p>
    <w:p w:rsidR="00575368" w:rsidRPr="000F3BC3" w:rsidP="00575368" w14:paraId="36B5AAEA" w14:textId="77777777">
      <w:pPr>
        <w:spacing w:line="480" w:lineRule="auto"/>
        <w:rPr>
          <w:szCs w:val="26"/>
        </w:rPr>
      </w:pPr>
      <w:r w:rsidRPr="000F3BC3">
        <w:rPr>
          <w:b/>
          <w:szCs w:val="26"/>
        </w:rPr>
        <w:t>SUPPLEMENTARY INFORMATION:</w:t>
      </w:r>
      <w:r w:rsidRPr="000F3BC3">
        <w:rPr>
          <w:szCs w:val="26"/>
        </w:rPr>
        <w:t xml:space="preserve">  </w:t>
      </w:r>
    </w:p>
    <w:p w:rsidR="000231B6" w:rsidRPr="000F3BC3" w:rsidP="000231B6" w14:paraId="2E99CDA2" w14:textId="77777777">
      <w:pPr>
        <w:spacing w:line="480" w:lineRule="auto"/>
        <w:rPr>
          <w:rFonts w:eastAsiaTheme="minorEastAsia"/>
        </w:rPr>
      </w:pPr>
      <w:bookmarkStart w:id="6" w:name="_Hlk161413454"/>
      <w:r w:rsidRPr="6D52CCCC">
        <w:rPr>
          <w:i/>
          <w:iCs/>
        </w:rPr>
        <w:t xml:space="preserve">Title: </w:t>
      </w:r>
      <w:r>
        <w:t xml:space="preserve">FERC-725G </w:t>
      </w:r>
      <w:bookmarkStart w:id="7" w:name="_Hlk169046908"/>
      <w:r>
        <w:t>(</w:t>
      </w:r>
      <w:r w:rsidRPr="6D52CCCC">
        <w:rPr>
          <w:rFonts w:eastAsiaTheme="minorEastAsia"/>
        </w:rPr>
        <w:t>Mandatory Reliability Standards for the Bulk-Power System: Approval of PRC Reliability Standard PRC-02</w:t>
      </w:r>
      <w:r>
        <w:rPr>
          <w:rFonts w:eastAsiaTheme="minorEastAsia"/>
        </w:rPr>
        <w:t>3</w:t>
      </w:r>
      <w:r w:rsidRPr="6D52CCCC">
        <w:rPr>
          <w:rFonts w:eastAsiaTheme="minorEastAsia"/>
        </w:rPr>
        <w:t>-</w:t>
      </w:r>
      <w:r>
        <w:rPr>
          <w:rFonts w:eastAsiaTheme="minorEastAsia"/>
        </w:rPr>
        <w:t>6</w:t>
      </w:r>
      <w:bookmarkEnd w:id="7"/>
      <w:r w:rsidRPr="6D52CCCC">
        <w:rPr>
          <w:rFonts w:eastAsiaTheme="minorEastAsia"/>
        </w:rPr>
        <w:t>.</w:t>
      </w:r>
    </w:p>
    <w:p w:rsidR="000231B6" w:rsidRPr="000F3BC3" w:rsidP="000231B6" w14:paraId="5D729292" w14:textId="77777777">
      <w:pPr>
        <w:spacing w:line="480" w:lineRule="auto"/>
        <w:rPr>
          <w:rFonts w:eastAsiaTheme="minorEastAsia"/>
        </w:rPr>
      </w:pPr>
      <w:r w:rsidRPr="6D52CCCC">
        <w:rPr>
          <w:i/>
          <w:iCs/>
        </w:rPr>
        <w:t xml:space="preserve">OMB Control No.: </w:t>
      </w:r>
      <w:r>
        <w:t>1902-0252</w:t>
      </w:r>
    </w:p>
    <w:p w:rsidR="000231B6" w:rsidP="000231B6" w14:paraId="0F6DD943" w14:textId="77777777">
      <w:pPr>
        <w:spacing w:line="480" w:lineRule="auto"/>
      </w:pPr>
      <w:r w:rsidRPr="6D52CCCC">
        <w:rPr>
          <w:i/>
          <w:iCs/>
        </w:rPr>
        <w:t>Type of Request:</w:t>
      </w:r>
      <w:r>
        <w:t xml:space="preserve"> </w:t>
      </w:r>
      <w:r w:rsidRPr="6D52CCCC">
        <w:rPr>
          <w:rFonts w:eastAsiaTheme="minorEastAsia"/>
        </w:rPr>
        <w:t>Approval of FERC-725G information collection requirements associated with proposed PRC Reliability Standard PRC-02</w:t>
      </w:r>
      <w:r>
        <w:rPr>
          <w:rFonts w:eastAsiaTheme="minorEastAsia"/>
        </w:rPr>
        <w:t>3</w:t>
      </w:r>
      <w:r w:rsidRPr="6D52CCCC">
        <w:rPr>
          <w:rFonts w:eastAsiaTheme="minorEastAsia"/>
        </w:rPr>
        <w:t>-</w:t>
      </w:r>
      <w:r>
        <w:rPr>
          <w:rFonts w:eastAsiaTheme="minorEastAsia"/>
        </w:rPr>
        <w:t>6</w:t>
      </w:r>
      <w:r w:rsidRPr="6D52CCCC">
        <w:rPr>
          <w:rFonts w:eastAsiaTheme="minorEastAsia"/>
        </w:rPr>
        <w:t>.</w:t>
      </w:r>
      <w:r>
        <w:t xml:space="preserve"> </w:t>
      </w:r>
    </w:p>
    <w:p w:rsidR="000231B6" w:rsidRPr="00132785" w:rsidP="000231B6" w14:paraId="710DC0CB" w14:textId="530E9E8E">
      <w:pPr>
        <w:spacing w:line="480" w:lineRule="auto"/>
        <w:rPr>
          <w:rFonts w:eastAsia="Calibri"/>
          <w:szCs w:val="26"/>
        </w:rPr>
      </w:pPr>
      <w:r w:rsidRPr="02DEA4E6">
        <w:rPr>
          <w:i/>
          <w:iCs/>
        </w:rPr>
        <w:t>Abstract:</w:t>
      </w:r>
      <w:r>
        <w:t xml:space="preserve"> </w:t>
      </w:r>
      <w:r w:rsidRPr="02DEA4E6">
        <w:rPr>
          <w:szCs w:val="26"/>
        </w:rPr>
        <w:t xml:space="preserve"> </w:t>
      </w:r>
      <w:r w:rsidRPr="00132785">
        <w:rPr>
          <w:szCs w:val="26"/>
        </w:rPr>
        <w:t xml:space="preserve">This Notice pertains to the </w:t>
      </w:r>
      <w:r w:rsidRPr="00132785">
        <w:rPr>
          <w:rFonts w:eastAsiaTheme="minorEastAsia"/>
          <w:szCs w:val="26"/>
        </w:rPr>
        <w:t xml:space="preserve">FERC-725G information collection requirements associated </w:t>
      </w:r>
      <w:r w:rsidR="00A32F06">
        <w:rPr>
          <w:rFonts w:eastAsiaTheme="minorEastAsia"/>
          <w:szCs w:val="26"/>
        </w:rPr>
        <w:t xml:space="preserve">with </w:t>
      </w:r>
      <w:r w:rsidRPr="00132785">
        <w:rPr>
          <w:rFonts w:eastAsiaTheme="minorEastAsia"/>
          <w:szCs w:val="26"/>
        </w:rPr>
        <w:t xml:space="preserve">Reliability Standard PRC-023-6 (Transmission Relay </w:t>
      </w:r>
      <w:r w:rsidRPr="00132785">
        <w:rPr>
          <w:rFonts w:eastAsiaTheme="minorEastAsia"/>
          <w:szCs w:val="26"/>
        </w:rPr>
        <w:t>Loadability</w:t>
      </w:r>
      <w:r w:rsidRPr="00132785">
        <w:rPr>
          <w:rFonts w:eastAsiaTheme="minorEastAsia"/>
          <w:szCs w:val="26"/>
        </w:rPr>
        <w:t xml:space="preserve">), the associated proposed implementation plan, and violation risk factors and violation severity levels. </w:t>
      </w:r>
      <w:r w:rsidRPr="00132785">
        <w:rPr>
          <w:rFonts w:eastAsia="Calibri"/>
          <w:szCs w:val="26"/>
        </w:rPr>
        <w:t xml:space="preserve">On March 2, 2023, the North American Electric Reliability Corporation (NERC) filed a petition seeking approval of proposed </w:t>
      </w:r>
      <w:bookmarkStart w:id="8" w:name="_Hlk158215303"/>
      <w:r w:rsidRPr="00132785">
        <w:rPr>
          <w:rFonts w:eastAsia="Calibri"/>
          <w:szCs w:val="26"/>
        </w:rPr>
        <w:t xml:space="preserve">Reliability Standard PRC-023-6 (Transmission Relay </w:t>
      </w:r>
      <w:r w:rsidRPr="00132785">
        <w:rPr>
          <w:rFonts w:eastAsia="Calibri"/>
          <w:szCs w:val="26"/>
        </w:rPr>
        <w:t>Loadability</w:t>
      </w:r>
      <w:r w:rsidRPr="00132785">
        <w:rPr>
          <w:rFonts w:eastAsia="Calibri"/>
          <w:szCs w:val="26"/>
        </w:rPr>
        <w:t>), the associated proposed implementation plan, and violation risk factors and violation severity levels</w:t>
      </w:r>
      <w:bookmarkEnd w:id="8"/>
      <w:r w:rsidRPr="00132785">
        <w:rPr>
          <w:rFonts w:eastAsia="Calibri"/>
          <w:szCs w:val="26"/>
        </w:rPr>
        <w:t>.</w:t>
      </w:r>
      <w:r>
        <w:rPr>
          <w:rFonts w:eastAsia="Calibri"/>
          <w:szCs w:val="26"/>
          <w:vertAlign w:val="superscript"/>
        </w:rPr>
        <w:footnoteReference w:id="3"/>
      </w:r>
      <w:r w:rsidRPr="00132785">
        <w:rPr>
          <w:rFonts w:eastAsia="Calibri"/>
          <w:szCs w:val="26"/>
        </w:rPr>
        <w:t xml:space="preserve">  NERC also requested the Commission’s approval of the retirement of the version of Reliability Standard PRC-023 </w:t>
      </w:r>
      <w:r w:rsidRPr="00132785">
        <w:rPr>
          <w:rFonts w:eastAsia="Calibri"/>
          <w:szCs w:val="26"/>
        </w:rPr>
        <w:t>that would be in effect (i.e., currently effective Reliability Standard PRC-023-4 or the approved but not yet effective Reliability Standard PRC-023-5).</w:t>
      </w:r>
      <w:r>
        <w:rPr>
          <w:rFonts w:eastAsia="Calibri"/>
          <w:szCs w:val="26"/>
          <w:vertAlign w:val="superscript"/>
        </w:rPr>
        <w:footnoteReference w:id="4"/>
      </w:r>
    </w:p>
    <w:p w:rsidR="000231B6" w:rsidRPr="00132785" w:rsidP="000231B6" w14:paraId="12AD65C2" w14:textId="55A095B0">
      <w:pPr>
        <w:spacing w:line="480" w:lineRule="auto"/>
        <w:rPr>
          <w:rFonts w:eastAsia="Calibri"/>
          <w:szCs w:val="26"/>
        </w:rPr>
      </w:pPr>
      <w:r w:rsidRPr="00132785">
        <w:rPr>
          <w:rFonts w:eastAsia="Calibri"/>
          <w:szCs w:val="26"/>
        </w:rPr>
        <w:tab/>
        <w:t>NERC explains that the proposed Reliability Standard would advance Bulk-Power System reliability by removing certain redundant and unnecessary language from the Standard related to the setting of out-of-step blocking relays.  To achieve this, NERC proposes to retire the Reliability Standard’s Requirement R2 related to setting out-of-step blocking schemes to allow tripping of phase protective relays and remove the Attachment A, Item 2.3 exclusion for protection systems intended for protection during stable power swings.</w:t>
      </w:r>
      <w:r>
        <w:rPr>
          <w:rFonts w:eastAsia="Calibri"/>
          <w:szCs w:val="26"/>
          <w:vertAlign w:val="superscript"/>
        </w:rPr>
        <w:footnoteReference w:id="5"/>
      </w:r>
      <w:r w:rsidRPr="00132785">
        <w:rPr>
          <w:rFonts w:eastAsia="Calibri"/>
          <w:szCs w:val="26"/>
        </w:rPr>
        <w:t xml:space="preserve">  NERC states that Requirement R2 is redundant because the fault condition addressed by Requirement R2 is addressed by Requirement R1 and requires the same compliance activity by the entity.</w:t>
      </w:r>
      <w:r>
        <w:rPr>
          <w:rFonts w:eastAsia="Calibri"/>
          <w:szCs w:val="26"/>
          <w:vertAlign w:val="superscript"/>
        </w:rPr>
        <w:footnoteReference w:id="6"/>
      </w:r>
      <w:r w:rsidRPr="00132785">
        <w:rPr>
          <w:rFonts w:eastAsia="Calibri"/>
          <w:szCs w:val="26"/>
        </w:rPr>
        <w:t xml:space="preserve">  NERC explains, thus, that Requirement R2 is not needed for reliability.  Further, NERC explains that the exclusion in Attachment A, Item 2.3 is no longer necessary due to system changes.</w:t>
      </w:r>
      <w:r>
        <w:rPr>
          <w:rFonts w:eastAsia="Calibri"/>
          <w:szCs w:val="26"/>
          <w:vertAlign w:val="superscript"/>
        </w:rPr>
        <w:footnoteReference w:id="7"/>
      </w:r>
    </w:p>
    <w:p w:rsidR="000231B6" w:rsidRPr="00132785" w:rsidP="000231B6" w14:paraId="38733C3B" w14:textId="422C836D">
      <w:pPr>
        <w:spacing w:line="480" w:lineRule="auto"/>
        <w:rPr>
          <w:rFonts w:eastAsia="Calibri"/>
          <w:szCs w:val="26"/>
        </w:rPr>
      </w:pPr>
      <w:r w:rsidRPr="00132785">
        <w:rPr>
          <w:rFonts w:eastAsia="Calibri"/>
          <w:szCs w:val="26"/>
        </w:rPr>
        <w:tab/>
        <w:t xml:space="preserve">On October 10, 2023, the </w:t>
      </w:r>
      <w:r w:rsidR="00B55158">
        <w:rPr>
          <w:rFonts w:eastAsia="Calibri"/>
          <w:szCs w:val="26"/>
        </w:rPr>
        <w:t xml:space="preserve">Commission’s </w:t>
      </w:r>
      <w:r w:rsidRPr="00132785">
        <w:rPr>
          <w:rFonts w:eastAsia="Calibri"/>
          <w:szCs w:val="26"/>
        </w:rPr>
        <w:t xml:space="preserve">Office of Electric Reliability issued a letter requesting that NERC provide additional information to explain how Requirement R2 of Reliability Standard PRC-023 is redundant to Requirement R1 and confirm whether the existing obligations in Requirement R2 would be enforced and audited under </w:t>
      </w:r>
      <w:r w:rsidRPr="00132785">
        <w:rPr>
          <w:rFonts w:eastAsia="Calibri"/>
          <w:szCs w:val="26"/>
        </w:rPr>
        <w:t>Requirement R1.</w:t>
      </w:r>
      <w:r>
        <w:rPr>
          <w:rFonts w:eastAsia="Calibri"/>
          <w:szCs w:val="26"/>
          <w:vertAlign w:val="superscript"/>
        </w:rPr>
        <w:footnoteReference w:id="8"/>
      </w:r>
      <w:r w:rsidRPr="00132785">
        <w:rPr>
          <w:rFonts w:eastAsia="Calibri"/>
          <w:szCs w:val="26"/>
        </w:rPr>
        <w:t xml:space="preserve">  NERC filed its amended petition on November 3, 2023.  In its amended petition, NERC confirms that because Requirement R2 is redundant to Requirement R1, any entity noncompliance with existing obligations of Requirement R2 would be assessed under Requirement R1.</w:t>
      </w:r>
      <w:r>
        <w:rPr>
          <w:rFonts w:eastAsia="Calibri"/>
          <w:szCs w:val="26"/>
          <w:vertAlign w:val="superscript"/>
        </w:rPr>
        <w:footnoteReference w:id="9"/>
      </w:r>
    </w:p>
    <w:p w:rsidR="000231B6" w:rsidRPr="00132785" w:rsidP="000231B6" w14:paraId="541E96F0" w14:textId="6D3FE943">
      <w:pPr>
        <w:spacing w:line="480" w:lineRule="auto"/>
        <w:rPr>
          <w:rFonts w:eastAsia="Calibri"/>
          <w:szCs w:val="26"/>
        </w:rPr>
      </w:pPr>
      <w:r w:rsidRPr="00132785">
        <w:rPr>
          <w:rFonts w:eastAsia="Calibri"/>
          <w:szCs w:val="26"/>
        </w:rPr>
        <w:tab/>
        <w:t xml:space="preserve">The petition was noticed on March 22, 2023, with interventions, comments, and protests due on or before April 21, 2023.  No interventions, comments, or protests were filed. </w:t>
      </w:r>
    </w:p>
    <w:p w:rsidR="000231B6" w:rsidRPr="00132785" w:rsidP="000231B6" w14:paraId="45B12FCB" w14:textId="78404EB9">
      <w:pPr>
        <w:spacing w:line="480" w:lineRule="auto"/>
        <w:rPr>
          <w:rFonts w:eastAsia="Calibri"/>
          <w:szCs w:val="26"/>
        </w:rPr>
      </w:pPr>
      <w:r w:rsidRPr="00132785">
        <w:rPr>
          <w:rFonts w:eastAsia="Calibri"/>
          <w:szCs w:val="26"/>
        </w:rPr>
        <w:tab/>
        <w:t>Due to NERC’s confirmation that any entity</w:t>
      </w:r>
      <w:r w:rsidR="00904F46">
        <w:rPr>
          <w:rFonts w:eastAsia="Calibri"/>
          <w:szCs w:val="26"/>
        </w:rPr>
        <w:t>’s</w:t>
      </w:r>
      <w:r w:rsidRPr="00132785">
        <w:rPr>
          <w:rFonts w:eastAsia="Calibri"/>
          <w:szCs w:val="26"/>
        </w:rPr>
        <w:t xml:space="preserve"> noncompliance with existing obligations under Requirement R2 (i.e., the proper setting out out-of-step blocking relays) can be assessed under Requirement R1 if R2 is retired, NERC’s uncontested filing is hereby approved pursuant to the relevant authority delegated to the Director, Office of Electric Reliability under 18 C.F.R. § 375.303, effective as of the date of this order. </w:t>
      </w:r>
    </w:p>
    <w:p w:rsidR="000231B6" w:rsidRPr="00132785" w:rsidP="00FF5DF4" w14:paraId="7DCDB0F7" w14:textId="47E48F2C">
      <w:pPr>
        <w:spacing w:line="480" w:lineRule="auto"/>
        <w:ind w:firstLine="720"/>
        <w:rPr>
          <w:rFonts w:eastAsia="Calibri"/>
          <w:szCs w:val="26"/>
        </w:rPr>
      </w:pPr>
      <w:r w:rsidRPr="00132785">
        <w:rPr>
          <w:rFonts w:eastAsia="Calibri"/>
          <w:szCs w:val="26"/>
        </w:rPr>
        <w:t xml:space="preserve">This action shall not be construed as approving any other application, including proposed revisions of Electric Reliability Organization or Regional Entity rules or procedures pursuant to 18 C.F.R. § 375.303(a)(2)(i). Such action shall not be deemed as recognition of any claimed right or obligation associated therewith and such action is without prejudice to any findings or orders that have been or may hereafter be made by the Commission in any proceeding now pending or hereafter instituted by or against the Electric Reliability Organization or any Regional Entity. </w:t>
      </w:r>
    </w:p>
    <w:p w:rsidR="000231B6" w:rsidRPr="000231B6" w:rsidP="000231B6" w14:paraId="5812229B" w14:textId="7791EDD7">
      <w:pPr>
        <w:spacing w:line="480" w:lineRule="auto"/>
        <w:ind w:firstLine="720"/>
        <w:rPr>
          <w:rFonts w:eastAsia="Calibri"/>
          <w:szCs w:val="26"/>
        </w:rPr>
      </w:pPr>
      <w:r w:rsidRPr="00132785">
        <w:rPr>
          <w:rFonts w:eastAsia="Calibri"/>
          <w:szCs w:val="26"/>
        </w:rPr>
        <w:t>This order constitutes final agency action. Requests for rehearing by the Commission may be filed within 30 days of the date of issuance of this order, pursuant to 18 C.F.R. § 385.713.  The revisions to PRC-023-6 will result in a change in how relay settings will be assessed under Requirement R1 of out-of-step blocking elements but will not result in reporting or recordkeeping requirements or burden.  As of February 2024, there are 324 transmission owner</w:t>
      </w:r>
      <w:r w:rsidR="007931A5">
        <w:rPr>
          <w:rFonts w:eastAsia="Calibri"/>
          <w:szCs w:val="26"/>
        </w:rPr>
        <w:t>s</w:t>
      </w:r>
      <w:r w:rsidRPr="00132785">
        <w:rPr>
          <w:rFonts w:eastAsia="Calibri"/>
          <w:szCs w:val="26"/>
        </w:rPr>
        <w:t xml:space="preserve">, 1,173 generator owners, 371 distribution providers and 62 planning coordinators registered with NERC.  These registered entities will have to comply </w:t>
      </w:r>
      <w:r w:rsidR="00E723CB">
        <w:rPr>
          <w:rFonts w:eastAsia="Calibri"/>
          <w:szCs w:val="26"/>
        </w:rPr>
        <w:t xml:space="preserve">with </w:t>
      </w:r>
      <w:r w:rsidRPr="00132785">
        <w:rPr>
          <w:rFonts w:eastAsia="Calibri"/>
          <w:szCs w:val="26"/>
        </w:rPr>
        <w:t>requirements in the Reliability Standard PRC-023-6.</w:t>
      </w:r>
    </w:p>
    <w:tbl>
      <w:tblPr>
        <w:tblStyle w:val="TableGrid1"/>
        <w:tblW w:w="9583" w:type="dxa"/>
        <w:tblLook w:val="04A0"/>
      </w:tblPr>
      <w:tblGrid>
        <w:gridCol w:w="1675"/>
        <w:gridCol w:w="1386"/>
        <w:gridCol w:w="1358"/>
        <w:gridCol w:w="1427"/>
        <w:gridCol w:w="1656"/>
        <w:gridCol w:w="2081"/>
      </w:tblGrid>
      <w:tr w14:paraId="39F813EB" w14:textId="77777777" w:rsidTr="00C1469D">
        <w:tblPrEx>
          <w:tblW w:w="9583" w:type="dxa"/>
          <w:tblLook w:val="04A0"/>
        </w:tblPrEx>
        <w:tc>
          <w:tcPr>
            <w:tcW w:w="9583" w:type="dxa"/>
            <w:gridSpan w:val="6"/>
            <w:shd w:val="clear" w:color="auto" w:fill="auto"/>
          </w:tcPr>
          <w:p w:rsidR="000231B6" w:rsidRPr="00132785" w:rsidP="00C1469D" w14:paraId="4AC6715F" w14:textId="77777777">
            <w:pPr>
              <w:spacing w:after="160" w:line="259" w:lineRule="auto"/>
              <w:rPr>
                <w:rFonts w:eastAsia="Calibri"/>
                <w:b/>
                <w:bCs/>
              </w:rPr>
            </w:pPr>
            <w:bookmarkStart w:id="9" w:name="_Hlk120790206"/>
            <w:r w:rsidRPr="00132785">
              <w:rPr>
                <w:rFonts w:eastAsia="Calibri"/>
                <w:b/>
                <w:bCs/>
              </w:rPr>
              <w:t>Proposed Changes Due to Order in Docket No. RD23-5-000</w:t>
            </w:r>
          </w:p>
        </w:tc>
      </w:tr>
      <w:tr w14:paraId="293B554C" w14:textId="77777777" w:rsidTr="00C1469D">
        <w:tblPrEx>
          <w:tblW w:w="9583" w:type="dxa"/>
          <w:tblLook w:val="04A0"/>
        </w:tblPrEx>
        <w:tc>
          <w:tcPr>
            <w:tcW w:w="1675" w:type="dxa"/>
            <w:shd w:val="clear" w:color="auto" w:fill="auto"/>
            <w:vAlign w:val="bottom"/>
          </w:tcPr>
          <w:p w:rsidR="000231B6" w:rsidRPr="00132785" w:rsidP="00C1469D" w14:paraId="7D20E001" w14:textId="77777777">
            <w:pPr>
              <w:spacing w:after="160" w:line="259" w:lineRule="auto"/>
              <w:rPr>
                <w:rFonts w:eastAsia="Calibri"/>
                <w:b/>
                <w:szCs w:val="22"/>
              </w:rPr>
            </w:pPr>
            <w:r w:rsidRPr="00132785">
              <w:rPr>
                <w:rFonts w:eastAsia="Calibri"/>
                <w:b/>
                <w:szCs w:val="22"/>
              </w:rPr>
              <w:t>Reliability Standard &amp; Requirement</w:t>
            </w:r>
          </w:p>
        </w:tc>
        <w:tc>
          <w:tcPr>
            <w:tcW w:w="1386" w:type="dxa"/>
            <w:shd w:val="clear" w:color="auto" w:fill="auto"/>
            <w:vAlign w:val="bottom"/>
          </w:tcPr>
          <w:p w:rsidR="000231B6" w:rsidRPr="00132785" w:rsidP="00C1469D" w14:paraId="713E8B0F" w14:textId="77777777">
            <w:pPr>
              <w:spacing w:after="160" w:line="259" w:lineRule="auto"/>
              <w:rPr>
                <w:rFonts w:eastAsia="Calibri"/>
                <w:b/>
                <w:szCs w:val="22"/>
              </w:rPr>
            </w:pPr>
            <w:r w:rsidRPr="00132785">
              <w:rPr>
                <w:rFonts w:eastAsia="Calibri"/>
                <w:b/>
                <w:szCs w:val="22"/>
              </w:rPr>
              <w:t>Type</w:t>
            </w:r>
            <w:r>
              <w:rPr>
                <w:rFonts w:eastAsia="Calibri"/>
                <w:b/>
                <w:szCs w:val="22"/>
                <w:vertAlign w:val="superscript"/>
              </w:rPr>
              <w:footnoteReference w:id="10"/>
            </w:r>
            <w:r w:rsidRPr="00132785">
              <w:rPr>
                <w:rFonts w:eastAsia="Calibri"/>
                <w:b/>
                <w:szCs w:val="22"/>
              </w:rPr>
              <w:t xml:space="preserve"> and Number of Entity</w:t>
            </w:r>
          </w:p>
          <w:p w:rsidR="000231B6" w:rsidRPr="00132785" w:rsidP="00C1469D" w14:paraId="0769B2AB" w14:textId="77777777">
            <w:pPr>
              <w:spacing w:after="160" w:line="259" w:lineRule="auto"/>
              <w:rPr>
                <w:rFonts w:eastAsia="Calibri"/>
                <w:b/>
                <w:szCs w:val="22"/>
              </w:rPr>
            </w:pPr>
            <w:r w:rsidRPr="00132785">
              <w:rPr>
                <w:rFonts w:eastAsia="Calibri"/>
                <w:szCs w:val="22"/>
              </w:rPr>
              <w:t>(1)</w:t>
            </w:r>
          </w:p>
        </w:tc>
        <w:tc>
          <w:tcPr>
            <w:tcW w:w="1358" w:type="dxa"/>
            <w:shd w:val="clear" w:color="auto" w:fill="auto"/>
            <w:vAlign w:val="bottom"/>
          </w:tcPr>
          <w:p w:rsidR="000231B6" w:rsidRPr="00132785" w:rsidP="00C1469D" w14:paraId="7CF7F31A" w14:textId="77777777">
            <w:pPr>
              <w:spacing w:after="160" w:line="259" w:lineRule="auto"/>
              <w:rPr>
                <w:rFonts w:eastAsia="Calibri"/>
                <w:b/>
                <w:szCs w:val="22"/>
              </w:rPr>
            </w:pPr>
            <w:r w:rsidRPr="00132785">
              <w:rPr>
                <w:rFonts w:eastAsia="Calibri"/>
                <w:b/>
                <w:szCs w:val="22"/>
              </w:rPr>
              <w:t>Number of Annual Responses Per Entity</w:t>
            </w:r>
          </w:p>
          <w:p w:rsidR="000231B6" w:rsidRPr="00132785" w:rsidP="00C1469D" w14:paraId="4F363A5C" w14:textId="77777777">
            <w:pPr>
              <w:spacing w:after="160" w:line="259" w:lineRule="auto"/>
              <w:rPr>
                <w:rFonts w:eastAsia="Calibri"/>
                <w:b/>
                <w:szCs w:val="22"/>
              </w:rPr>
            </w:pPr>
            <w:r w:rsidRPr="00132785">
              <w:rPr>
                <w:rFonts w:eastAsia="Calibri"/>
                <w:b/>
                <w:szCs w:val="22"/>
              </w:rPr>
              <w:t>(</w:t>
            </w:r>
            <w:r w:rsidRPr="00132785">
              <w:rPr>
                <w:rFonts w:eastAsia="Calibri"/>
                <w:szCs w:val="22"/>
              </w:rPr>
              <w:t>2)</w:t>
            </w:r>
          </w:p>
        </w:tc>
        <w:tc>
          <w:tcPr>
            <w:tcW w:w="1427" w:type="dxa"/>
            <w:shd w:val="clear" w:color="auto" w:fill="auto"/>
            <w:vAlign w:val="bottom"/>
          </w:tcPr>
          <w:p w:rsidR="000231B6" w:rsidRPr="00132785" w:rsidP="00C1469D" w14:paraId="6E69B675" w14:textId="77777777">
            <w:pPr>
              <w:spacing w:after="160" w:line="259" w:lineRule="auto"/>
              <w:rPr>
                <w:rFonts w:eastAsia="Calibri"/>
                <w:b/>
                <w:szCs w:val="22"/>
              </w:rPr>
            </w:pPr>
            <w:r w:rsidRPr="00132785">
              <w:rPr>
                <w:rFonts w:eastAsia="Calibri"/>
                <w:b/>
                <w:szCs w:val="22"/>
              </w:rPr>
              <w:t>Total Number of Responses</w:t>
            </w:r>
          </w:p>
          <w:p w:rsidR="000231B6" w:rsidRPr="00132785" w:rsidP="00C1469D" w14:paraId="68899AF1" w14:textId="77777777">
            <w:pPr>
              <w:spacing w:after="160" w:line="259" w:lineRule="auto"/>
              <w:rPr>
                <w:rFonts w:eastAsia="Calibri"/>
                <w:b/>
                <w:szCs w:val="22"/>
              </w:rPr>
            </w:pPr>
            <w:r w:rsidRPr="00132785">
              <w:rPr>
                <w:rFonts w:eastAsia="Calibri"/>
                <w:b/>
                <w:szCs w:val="22"/>
              </w:rPr>
              <w:t>(1) *(2) = (3)</w:t>
            </w:r>
          </w:p>
        </w:tc>
        <w:tc>
          <w:tcPr>
            <w:tcW w:w="1656" w:type="dxa"/>
            <w:shd w:val="clear" w:color="auto" w:fill="auto"/>
            <w:vAlign w:val="bottom"/>
          </w:tcPr>
          <w:p w:rsidR="000231B6" w:rsidRPr="00132785" w:rsidP="00C1469D" w14:paraId="0209F3E2" w14:textId="77777777">
            <w:pPr>
              <w:spacing w:after="160" w:line="259" w:lineRule="auto"/>
              <w:rPr>
                <w:rFonts w:eastAsia="Calibri"/>
                <w:b/>
                <w:szCs w:val="22"/>
              </w:rPr>
            </w:pPr>
            <w:r w:rsidRPr="00132785">
              <w:rPr>
                <w:rFonts w:eastAsia="Calibri"/>
                <w:b/>
                <w:szCs w:val="22"/>
              </w:rPr>
              <w:t xml:space="preserve">Average </w:t>
            </w:r>
            <w:r w:rsidRPr="00132785">
              <w:rPr>
                <w:rFonts w:eastAsia="Calibri"/>
                <w:b/>
                <w:szCs w:val="22"/>
              </w:rPr>
              <w:t>Number</w:t>
            </w:r>
            <w:r w:rsidRPr="00132785">
              <w:rPr>
                <w:rFonts w:eastAsia="Calibri"/>
                <w:b/>
                <w:szCs w:val="22"/>
              </w:rPr>
              <w:t xml:space="preserve"> of Burden Hours per Response</w:t>
            </w:r>
            <w:r>
              <w:rPr>
                <w:rFonts w:eastAsia="Calibri"/>
                <w:szCs w:val="26"/>
                <w:vertAlign w:val="superscript"/>
              </w:rPr>
              <w:footnoteReference w:id="11"/>
            </w:r>
          </w:p>
          <w:p w:rsidR="000231B6" w:rsidRPr="00132785" w:rsidP="00C1469D" w14:paraId="52DDE0E5" w14:textId="77777777">
            <w:pPr>
              <w:spacing w:after="160" w:line="259" w:lineRule="auto"/>
              <w:rPr>
                <w:rFonts w:eastAsia="Calibri"/>
                <w:b/>
                <w:szCs w:val="22"/>
              </w:rPr>
            </w:pPr>
            <w:r w:rsidRPr="00132785">
              <w:rPr>
                <w:rFonts w:eastAsia="Calibri"/>
                <w:b/>
                <w:szCs w:val="22"/>
              </w:rPr>
              <w:t>(4)</w:t>
            </w:r>
          </w:p>
        </w:tc>
        <w:tc>
          <w:tcPr>
            <w:tcW w:w="2081" w:type="dxa"/>
            <w:shd w:val="clear" w:color="auto" w:fill="auto"/>
            <w:vAlign w:val="bottom"/>
          </w:tcPr>
          <w:p w:rsidR="000231B6" w:rsidRPr="00132785" w:rsidP="00C1469D" w14:paraId="25098916" w14:textId="77777777">
            <w:pPr>
              <w:spacing w:after="160" w:line="259" w:lineRule="auto"/>
              <w:rPr>
                <w:rFonts w:eastAsia="Calibri"/>
                <w:b/>
                <w:szCs w:val="22"/>
              </w:rPr>
            </w:pPr>
            <w:r w:rsidRPr="00132785">
              <w:rPr>
                <w:rFonts w:eastAsia="Calibri"/>
                <w:b/>
                <w:szCs w:val="22"/>
              </w:rPr>
              <w:t>Total Burden Hours</w:t>
            </w:r>
          </w:p>
          <w:p w:rsidR="000231B6" w:rsidRPr="00132785" w:rsidP="00C1469D" w14:paraId="79DCDDF1" w14:textId="77777777">
            <w:pPr>
              <w:spacing w:after="160" w:line="259" w:lineRule="auto"/>
              <w:rPr>
                <w:rFonts w:eastAsia="Calibri"/>
                <w:b/>
                <w:szCs w:val="22"/>
              </w:rPr>
            </w:pPr>
            <w:r w:rsidRPr="00132785">
              <w:rPr>
                <w:rFonts w:eastAsia="Calibri"/>
                <w:b/>
                <w:szCs w:val="22"/>
              </w:rPr>
              <w:t>(3) *(4) = (5)</w:t>
            </w:r>
          </w:p>
        </w:tc>
      </w:tr>
      <w:tr w14:paraId="214316A1" w14:textId="77777777" w:rsidTr="00C1469D">
        <w:tblPrEx>
          <w:tblW w:w="9583" w:type="dxa"/>
          <w:tblLook w:val="04A0"/>
        </w:tblPrEx>
        <w:tc>
          <w:tcPr>
            <w:tcW w:w="9583" w:type="dxa"/>
            <w:gridSpan w:val="6"/>
            <w:shd w:val="clear" w:color="auto" w:fill="auto"/>
          </w:tcPr>
          <w:p w:rsidR="000231B6" w:rsidRPr="00132785" w:rsidP="00C1469D" w14:paraId="64440A11" w14:textId="77777777">
            <w:pPr>
              <w:spacing w:after="160" w:line="259" w:lineRule="auto"/>
              <w:jc w:val="center"/>
              <w:rPr>
                <w:rFonts w:eastAsia="Calibri"/>
                <w:b/>
                <w:bCs/>
                <w:szCs w:val="22"/>
              </w:rPr>
            </w:pPr>
            <w:r w:rsidRPr="00132785">
              <w:rPr>
                <w:rFonts w:eastAsia="Calibri"/>
                <w:b/>
                <w:bCs/>
                <w:szCs w:val="22"/>
              </w:rPr>
              <w:t>FERC-725G</w:t>
            </w:r>
          </w:p>
        </w:tc>
      </w:tr>
      <w:tr w14:paraId="7EFF74B1" w14:textId="77777777" w:rsidTr="00C1469D">
        <w:tblPrEx>
          <w:tblW w:w="9583" w:type="dxa"/>
          <w:tblLook w:val="04A0"/>
        </w:tblPrEx>
        <w:tc>
          <w:tcPr>
            <w:tcW w:w="9583" w:type="dxa"/>
            <w:gridSpan w:val="6"/>
            <w:shd w:val="clear" w:color="auto" w:fill="auto"/>
          </w:tcPr>
          <w:p w:rsidR="000231B6" w:rsidRPr="00132785" w:rsidP="00C1469D" w14:paraId="25C7D9E9" w14:textId="77777777">
            <w:pPr>
              <w:rPr>
                <w:rFonts w:eastAsia="Calibri"/>
                <w:b/>
                <w:szCs w:val="22"/>
              </w:rPr>
            </w:pPr>
            <w:r w:rsidRPr="00132785">
              <w:rPr>
                <w:rFonts w:eastAsia="Calibri"/>
                <w:b/>
                <w:szCs w:val="22"/>
              </w:rPr>
              <w:t>PRC-023-6</w:t>
            </w:r>
          </w:p>
        </w:tc>
      </w:tr>
      <w:tr w14:paraId="53CD8D5D" w14:textId="77777777" w:rsidTr="00C1469D">
        <w:tblPrEx>
          <w:tblW w:w="9583" w:type="dxa"/>
          <w:tblLook w:val="04A0"/>
        </w:tblPrEx>
        <w:tc>
          <w:tcPr>
            <w:tcW w:w="1675" w:type="dxa"/>
            <w:shd w:val="clear" w:color="auto" w:fill="auto"/>
          </w:tcPr>
          <w:p w:rsidR="000231B6" w:rsidRPr="00132785" w:rsidP="00C1469D" w14:paraId="292C9B38" w14:textId="77777777">
            <w:pPr>
              <w:spacing w:after="160" w:line="259" w:lineRule="auto"/>
              <w:rPr>
                <w:rFonts w:eastAsia="Calibri"/>
                <w:szCs w:val="22"/>
              </w:rPr>
            </w:pPr>
            <w:r w:rsidRPr="00132785">
              <w:rPr>
                <w:rFonts w:eastAsia="Calibri"/>
                <w:szCs w:val="22"/>
              </w:rPr>
              <w:t>TO</w:t>
            </w:r>
          </w:p>
        </w:tc>
        <w:tc>
          <w:tcPr>
            <w:tcW w:w="1386" w:type="dxa"/>
            <w:shd w:val="clear" w:color="auto" w:fill="auto"/>
          </w:tcPr>
          <w:p w:rsidR="000231B6" w:rsidRPr="00132785" w:rsidP="00C1469D" w14:paraId="2F4B82FE" w14:textId="77777777">
            <w:pPr>
              <w:spacing w:after="160" w:line="259" w:lineRule="auto"/>
              <w:rPr>
                <w:rFonts w:eastAsia="Calibri"/>
                <w:szCs w:val="22"/>
              </w:rPr>
            </w:pPr>
            <w:r w:rsidRPr="00132785">
              <w:rPr>
                <w:rFonts w:eastAsia="Calibri"/>
                <w:szCs w:val="22"/>
              </w:rPr>
              <w:t>324</w:t>
            </w:r>
          </w:p>
        </w:tc>
        <w:tc>
          <w:tcPr>
            <w:tcW w:w="1358" w:type="dxa"/>
            <w:shd w:val="clear" w:color="auto" w:fill="auto"/>
          </w:tcPr>
          <w:p w:rsidR="000231B6" w:rsidRPr="00132785" w:rsidP="00C1469D" w14:paraId="7EED2755" w14:textId="77777777">
            <w:pPr>
              <w:spacing w:after="160" w:line="259" w:lineRule="auto"/>
              <w:rPr>
                <w:rFonts w:eastAsia="Calibri"/>
                <w:szCs w:val="22"/>
              </w:rPr>
            </w:pPr>
            <w:r w:rsidRPr="00132785">
              <w:rPr>
                <w:rFonts w:eastAsia="Calibri"/>
                <w:szCs w:val="22"/>
              </w:rPr>
              <w:t>1</w:t>
            </w:r>
          </w:p>
        </w:tc>
        <w:tc>
          <w:tcPr>
            <w:tcW w:w="1427" w:type="dxa"/>
            <w:shd w:val="clear" w:color="auto" w:fill="auto"/>
          </w:tcPr>
          <w:p w:rsidR="000231B6" w:rsidRPr="00132785" w:rsidP="00C1469D" w14:paraId="6B0AD8A5" w14:textId="77777777">
            <w:pPr>
              <w:spacing w:after="160" w:line="259" w:lineRule="auto"/>
              <w:rPr>
                <w:rFonts w:eastAsia="Calibri"/>
                <w:szCs w:val="22"/>
              </w:rPr>
            </w:pPr>
            <w:r w:rsidRPr="00132785">
              <w:rPr>
                <w:rFonts w:eastAsia="Calibri"/>
                <w:szCs w:val="22"/>
              </w:rPr>
              <w:t>324</w:t>
            </w:r>
          </w:p>
        </w:tc>
        <w:tc>
          <w:tcPr>
            <w:tcW w:w="1656" w:type="dxa"/>
            <w:shd w:val="clear" w:color="auto" w:fill="auto"/>
          </w:tcPr>
          <w:p w:rsidR="000231B6" w:rsidRPr="00132785" w:rsidP="00C1469D" w14:paraId="1A261A05" w14:textId="77777777">
            <w:pPr>
              <w:spacing w:after="160" w:line="259" w:lineRule="auto"/>
              <w:rPr>
                <w:rFonts w:eastAsia="Calibri"/>
                <w:szCs w:val="22"/>
              </w:rPr>
            </w:pPr>
            <w:r w:rsidRPr="00132785">
              <w:rPr>
                <w:rFonts w:eastAsia="Calibri"/>
                <w:szCs w:val="22"/>
              </w:rPr>
              <w:t>16 hrs.</w:t>
            </w:r>
          </w:p>
          <w:p w:rsidR="000231B6" w:rsidRPr="00132785" w:rsidP="00C1469D" w14:paraId="42C0F0D5" w14:textId="77777777">
            <w:pPr>
              <w:spacing w:after="160" w:line="259" w:lineRule="auto"/>
              <w:rPr>
                <w:rFonts w:eastAsia="Calibri"/>
                <w:szCs w:val="22"/>
              </w:rPr>
            </w:pPr>
            <w:r w:rsidRPr="00132785">
              <w:rPr>
                <w:rFonts w:eastAsia="Calibri"/>
                <w:szCs w:val="22"/>
              </w:rPr>
              <w:t>$</w:t>
            </w:r>
            <w:r>
              <w:rPr>
                <w:rFonts w:eastAsia="Calibri"/>
                <w:szCs w:val="22"/>
              </w:rPr>
              <w:t>1,067.52</w:t>
            </w:r>
          </w:p>
        </w:tc>
        <w:tc>
          <w:tcPr>
            <w:tcW w:w="2081" w:type="dxa"/>
            <w:shd w:val="clear" w:color="auto" w:fill="auto"/>
          </w:tcPr>
          <w:p w:rsidR="000231B6" w:rsidRPr="00132785" w:rsidP="00C1469D" w14:paraId="7EE3EC00" w14:textId="77777777">
            <w:pPr>
              <w:spacing w:after="160" w:line="259" w:lineRule="auto"/>
              <w:rPr>
                <w:rFonts w:eastAsia="Calibri"/>
                <w:szCs w:val="22"/>
              </w:rPr>
            </w:pPr>
            <w:r w:rsidRPr="00132785">
              <w:rPr>
                <w:rFonts w:eastAsia="Calibri"/>
                <w:szCs w:val="22"/>
              </w:rPr>
              <w:t>5,</w:t>
            </w:r>
            <w:r>
              <w:rPr>
                <w:rFonts w:eastAsia="Calibri"/>
                <w:szCs w:val="22"/>
              </w:rPr>
              <w:t>184</w:t>
            </w:r>
            <w:r w:rsidRPr="00132785">
              <w:rPr>
                <w:rFonts w:eastAsia="Calibri"/>
                <w:szCs w:val="22"/>
              </w:rPr>
              <w:t xml:space="preserve"> hrs.</w:t>
            </w:r>
          </w:p>
          <w:p w:rsidR="000231B6" w:rsidRPr="00132785" w:rsidP="00C1469D" w14:paraId="08E1A6ED" w14:textId="77777777">
            <w:pPr>
              <w:spacing w:after="160" w:line="259" w:lineRule="auto"/>
              <w:rPr>
                <w:rFonts w:eastAsia="Calibri"/>
                <w:szCs w:val="22"/>
              </w:rPr>
            </w:pPr>
            <w:r w:rsidRPr="00132785">
              <w:rPr>
                <w:rFonts w:eastAsia="Calibri"/>
                <w:szCs w:val="22"/>
              </w:rPr>
              <w:t>$3</w:t>
            </w:r>
            <w:r>
              <w:rPr>
                <w:rFonts w:eastAsia="Calibri"/>
                <w:szCs w:val="22"/>
              </w:rPr>
              <w:t>45,876.48</w:t>
            </w:r>
          </w:p>
        </w:tc>
      </w:tr>
      <w:tr w14:paraId="58A3E6F8" w14:textId="77777777" w:rsidTr="00C1469D">
        <w:tblPrEx>
          <w:tblW w:w="9583" w:type="dxa"/>
          <w:tblLook w:val="04A0"/>
        </w:tblPrEx>
        <w:tc>
          <w:tcPr>
            <w:tcW w:w="1675" w:type="dxa"/>
            <w:shd w:val="clear" w:color="auto" w:fill="auto"/>
          </w:tcPr>
          <w:p w:rsidR="000231B6" w:rsidRPr="00132785" w:rsidP="00C1469D" w14:paraId="0FB51CA1" w14:textId="77777777">
            <w:pPr>
              <w:spacing w:after="160" w:line="259" w:lineRule="auto"/>
              <w:rPr>
                <w:rFonts w:eastAsia="Calibri"/>
                <w:szCs w:val="22"/>
              </w:rPr>
            </w:pPr>
            <w:r w:rsidRPr="00132785">
              <w:rPr>
                <w:rFonts w:eastAsia="Calibri"/>
                <w:szCs w:val="22"/>
              </w:rPr>
              <w:t>GO</w:t>
            </w:r>
          </w:p>
        </w:tc>
        <w:tc>
          <w:tcPr>
            <w:tcW w:w="1386" w:type="dxa"/>
            <w:shd w:val="clear" w:color="auto" w:fill="auto"/>
          </w:tcPr>
          <w:p w:rsidR="000231B6" w:rsidRPr="00132785" w:rsidP="00C1469D" w14:paraId="3217F8EC" w14:textId="77777777">
            <w:pPr>
              <w:spacing w:after="160" w:line="259" w:lineRule="auto"/>
              <w:rPr>
                <w:rFonts w:eastAsia="Calibri"/>
                <w:szCs w:val="22"/>
              </w:rPr>
            </w:pPr>
            <w:r w:rsidRPr="00132785">
              <w:rPr>
                <w:rFonts w:eastAsia="Calibri"/>
                <w:szCs w:val="22"/>
              </w:rPr>
              <w:t>1,173</w:t>
            </w:r>
          </w:p>
        </w:tc>
        <w:tc>
          <w:tcPr>
            <w:tcW w:w="1358" w:type="dxa"/>
            <w:shd w:val="clear" w:color="auto" w:fill="auto"/>
          </w:tcPr>
          <w:p w:rsidR="000231B6" w:rsidRPr="00132785" w:rsidP="00C1469D" w14:paraId="5CB5448F" w14:textId="77777777">
            <w:pPr>
              <w:spacing w:after="160" w:line="259" w:lineRule="auto"/>
              <w:rPr>
                <w:rFonts w:eastAsia="Calibri"/>
                <w:szCs w:val="22"/>
              </w:rPr>
            </w:pPr>
            <w:r w:rsidRPr="00132785">
              <w:rPr>
                <w:rFonts w:eastAsia="Calibri"/>
                <w:szCs w:val="22"/>
              </w:rPr>
              <w:t>1</w:t>
            </w:r>
          </w:p>
        </w:tc>
        <w:tc>
          <w:tcPr>
            <w:tcW w:w="1427" w:type="dxa"/>
            <w:shd w:val="clear" w:color="auto" w:fill="auto"/>
          </w:tcPr>
          <w:p w:rsidR="000231B6" w:rsidRPr="00132785" w:rsidP="00C1469D" w14:paraId="3113FF16" w14:textId="77777777">
            <w:pPr>
              <w:spacing w:after="160" w:line="259" w:lineRule="auto"/>
              <w:rPr>
                <w:rFonts w:eastAsia="Calibri"/>
                <w:szCs w:val="22"/>
              </w:rPr>
            </w:pPr>
            <w:r w:rsidRPr="00132785">
              <w:rPr>
                <w:rFonts w:eastAsia="Calibri"/>
                <w:szCs w:val="22"/>
              </w:rPr>
              <w:t>1,173</w:t>
            </w:r>
          </w:p>
        </w:tc>
        <w:tc>
          <w:tcPr>
            <w:tcW w:w="1656" w:type="dxa"/>
            <w:shd w:val="clear" w:color="auto" w:fill="auto"/>
          </w:tcPr>
          <w:p w:rsidR="000231B6" w:rsidRPr="00132785" w:rsidP="00C1469D" w14:paraId="672DC05D" w14:textId="77777777">
            <w:pPr>
              <w:spacing w:after="160" w:line="259" w:lineRule="auto"/>
              <w:rPr>
                <w:rFonts w:eastAsia="Calibri"/>
                <w:szCs w:val="22"/>
              </w:rPr>
            </w:pPr>
            <w:r w:rsidRPr="00132785">
              <w:rPr>
                <w:rFonts w:eastAsia="Calibri"/>
                <w:szCs w:val="22"/>
              </w:rPr>
              <w:t>16 hrs.</w:t>
            </w:r>
          </w:p>
          <w:p w:rsidR="000231B6" w:rsidRPr="00132785" w:rsidP="00C1469D" w14:paraId="613993AA" w14:textId="77777777">
            <w:pPr>
              <w:spacing w:after="160" w:line="259" w:lineRule="auto"/>
              <w:rPr>
                <w:rFonts w:eastAsia="Calibri"/>
                <w:szCs w:val="22"/>
              </w:rPr>
            </w:pPr>
            <w:r w:rsidRPr="00132785">
              <w:rPr>
                <w:rFonts w:eastAsia="Calibri"/>
                <w:szCs w:val="22"/>
              </w:rPr>
              <w:t>$</w:t>
            </w:r>
            <w:r>
              <w:rPr>
                <w:rFonts w:eastAsia="Calibri"/>
                <w:szCs w:val="22"/>
              </w:rPr>
              <w:t>1,067.52</w:t>
            </w:r>
          </w:p>
        </w:tc>
        <w:tc>
          <w:tcPr>
            <w:tcW w:w="2081" w:type="dxa"/>
            <w:shd w:val="clear" w:color="auto" w:fill="auto"/>
          </w:tcPr>
          <w:p w:rsidR="000231B6" w:rsidRPr="00132785" w:rsidP="00C1469D" w14:paraId="78E2BF77" w14:textId="77777777">
            <w:pPr>
              <w:spacing w:after="160" w:line="259" w:lineRule="auto"/>
              <w:rPr>
                <w:rFonts w:eastAsia="Calibri"/>
                <w:szCs w:val="22"/>
              </w:rPr>
            </w:pPr>
            <w:r w:rsidRPr="00132785">
              <w:rPr>
                <w:rFonts w:eastAsia="Calibri"/>
                <w:szCs w:val="22"/>
              </w:rPr>
              <w:t>1</w:t>
            </w:r>
            <w:r>
              <w:rPr>
                <w:rFonts w:eastAsia="Calibri"/>
                <w:szCs w:val="22"/>
              </w:rPr>
              <w:t>8,768</w:t>
            </w:r>
            <w:r w:rsidRPr="00132785">
              <w:rPr>
                <w:rFonts w:eastAsia="Calibri"/>
                <w:szCs w:val="22"/>
              </w:rPr>
              <w:t xml:space="preserve"> hrs.</w:t>
            </w:r>
          </w:p>
          <w:p w:rsidR="000231B6" w:rsidRPr="00132785" w:rsidP="00C1469D" w14:paraId="2DD828D9" w14:textId="77777777">
            <w:pPr>
              <w:spacing w:after="160" w:line="259" w:lineRule="auto"/>
              <w:rPr>
                <w:rFonts w:eastAsia="Calibri"/>
                <w:szCs w:val="22"/>
              </w:rPr>
            </w:pPr>
            <w:r w:rsidRPr="00132785">
              <w:rPr>
                <w:rFonts w:eastAsia="Calibri"/>
                <w:szCs w:val="22"/>
              </w:rPr>
              <w:t>$1,</w:t>
            </w:r>
            <w:r>
              <w:rPr>
                <w:rFonts w:eastAsia="Calibri"/>
                <w:szCs w:val="22"/>
              </w:rPr>
              <w:t>252,200.96</w:t>
            </w:r>
          </w:p>
        </w:tc>
      </w:tr>
      <w:tr w14:paraId="0CEF4891" w14:textId="77777777" w:rsidTr="00C1469D">
        <w:tblPrEx>
          <w:tblW w:w="9583" w:type="dxa"/>
          <w:tblLook w:val="04A0"/>
        </w:tblPrEx>
        <w:tc>
          <w:tcPr>
            <w:tcW w:w="1675" w:type="dxa"/>
            <w:shd w:val="clear" w:color="auto" w:fill="auto"/>
          </w:tcPr>
          <w:p w:rsidR="000231B6" w:rsidRPr="00132785" w:rsidP="00C1469D" w14:paraId="22E0A5A4" w14:textId="77777777">
            <w:pPr>
              <w:spacing w:after="160" w:line="259" w:lineRule="auto"/>
              <w:rPr>
                <w:rFonts w:eastAsia="Calibri"/>
                <w:szCs w:val="22"/>
              </w:rPr>
            </w:pPr>
            <w:r w:rsidRPr="00132785">
              <w:rPr>
                <w:rFonts w:eastAsia="Calibri"/>
                <w:szCs w:val="22"/>
              </w:rPr>
              <w:t>DP</w:t>
            </w:r>
          </w:p>
        </w:tc>
        <w:tc>
          <w:tcPr>
            <w:tcW w:w="1386" w:type="dxa"/>
            <w:shd w:val="clear" w:color="auto" w:fill="auto"/>
          </w:tcPr>
          <w:p w:rsidR="000231B6" w:rsidRPr="00132785" w:rsidP="00C1469D" w14:paraId="1F3F4D7C" w14:textId="77777777">
            <w:pPr>
              <w:spacing w:after="160" w:line="259" w:lineRule="auto"/>
              <w:rPr>
                <w:rFonts w:eastAsia="Calibri"/>
                <w:szCs w:val="22"/>
              </w:rPr>
            </w:pPr>
            <w:r w:rsidRPr="00132785">
              <w:rPr>
                <w:rFonts w:eastAsia="Calibri"/>
                <w:szCs w:val="22"/>
              </w:rPr>
              <w:t>371</w:t>
            </w:r>
          </w:p>
        </w:tc>
        <w:tc>
          <w:tcPr>
            <w:tcW w:w="1358" w:type="dxa"/>
            <w:shd w:val="clear" w:color="auto" w:fill="auto"/>
          </w:tcPr>
          <w:p w:rsidR="000231B6" w:rsidRPr="00132785" w:rsidP="00C1469D" w14:paraId="5A8C5DC5" w14:textId="77777777">
            <w:pPr>
              <w:spacing w:after="160" w:line="259" w:lineRule="auto"/>
              <w:rPr>
                <w:rFonts w:eastAsia="Calibri"/>
                <w:szCs w:val="22"/>
              </w:rPr>
            </w:pPr>
            <w:r w:rsidRPr="00132785">
              <w:rPr>
                <w:rFonts w:eastAsia="Calibri"/>
                <w:szCs w:val="22"/>
              </w:rPr>
              <w:t>1</w:t>
            </w:r>
          </w:p>
        </w:tc>
        <w:tc>
          <w:tcPr>
            <w:tcW w:w="1427" w:type="dxa"/>
            <w:shd w:val="clear" w:color="auto" w:fill="auto"/>
          </w:tcPr>
          <w:p w:rsidR="000231B6" w:rsidRPr="00132785" w:rsidP="00C1469D" w14:paraId="55F63298" w14:textId="77777777">
            <w:pPr>
              <w:spacing w:after="160" w:line="259" w:lineRule="auto"/>
              <w:rPr>
                <w:rFonts w:eastAsia="Calibri"/>
                <w:szCs w:val="22"/>
              </w:rPr>
            </w:pPr>
            <w:r w:rsidRPr="00132785">
              <w:rPr>
                <w:rFonts w:eastAsia="Calibri"/>
                <w:szCs w:val="22"/>
              </w:rPr>
              <w:t>371</w:t>
            </w:r>
          </w:p>
        </w:tc>
        <w:tc>
          <w:tcPr>
            <w:tcW w:w="1656" w:type="dxa"/>
            <w:shd w:val="clear" w:color="auto" w:fill="auto"/>
          </w:tcPr>
          <w:p w:rsidR="000231B6" w:rsidRPr="00132785" w:rsidP="00C1469D" w14:paraId="52EF4FA9" w14:textId="4D62EC3E">
            <w:pPr>
              <w:spacing w:after="160" w:line="259" w:lineRule="auto"/>
              <w:rPr>
                <w:rFonts w:eastAsia="Calibri"/>
                <w:szCs w:val="22"/>
              </w:rPr>
            </w:pPr>
            <w:r w:rsidRPr="00132785">
              <w:rPr>
                <w:rFonts w:eastAsia="Calibri"/>
                <w:szCs w:val="22"/>
              </w:rPr>
              <w:t>8 hrs.$</w:t>
            </w:r>
            <w:r>
              <w:rPr>
                <w:rFonts w:eastAsia="Calibri"/>
                <w:szCs w:val="22"/>
              </w:rPr>
              <w:t>533.76</w:t>
            </w:r>
          </w:p>
        </w:tc>
        <w:tc>
          <w:tcPr>
            <w:tcW w:w="2081" w:type="dxa"/>
            <w:shd w:val="clear" w:color="auto" w:fill="auto"/>
          </w:tcPr>
          <w:p w:rsidR="000231B6" w:rsidRPr="00132785" w:rsidP="00C1469D" w14:paraId="41CFE135" w14:textId="77777777">
            <w:pPr>
              <w:spacing w:after="160" w:line="259" w:lineRule="auto"/>
              <w:rPr>
                <w:rFonts w:eastAsia="Calibri"/>
                <w:szCs w:val="22"/>
              </w:rPr>
            </w:pPr>
            <w:r>
              <w:rPr>
                <w:rFonts w:eastAsia="Calibri"/>
                <w:szCs w:val="22"/>
              </w:rPr>
              <w:t>2,968</w:t>
            </w:r>
            <w:r w:rsidRPr="00132785">
              <w:rPr>
                <w:rFonts w:eastAsia="Calibri"/>
                <w:szCs w:val="22"/>
              </w:rPr>
              <w:t xml:space="preserve"> hrs.</w:t>
            </w:r>
          </w:p>
          <w:p w:rsidR="000231B6" w:rsidRPr="00132785" w:rsidP="00C1469D" w14:paraId="5EFF8DC9" w14:textId="77777777">
            <w:pPr>
              <w:spacing w:after="160" w:line="259" w:lineRule="auto"/>
              <w:rPr>
                <w:rFonts w:eastAsia="Calibri"/>
                <w:szCs w:val="22"/>
              </w:rPr>
            </w:pPr>
            <w:r w:rsidRPr="00132785">
              <w:rPr>
                <w:rFonts w:eastAsia="Calibri"/>
                <w:szCs w:val="22"/>
              </w:rPr>
              <w:t>$</w:t>
            </w:r>
            <w:r>
              <w:rPr>
                <w:rFonts w:eastAsia="Calibri"/>
                <w:szCs w:val="22"/>
              </w:rPr>
              <w:t>198,024.96</w:t>
            </w:r>
          </w:p>
        </w:tc>
      </w:tr>
      <w:tr w14:paraId="7B1F5125" w14:textId="77777777" w:rsidTr="00C1469D">
        <w:tblPrEx>
          <w:tblW w:w="9583" w:type="dxa"/>
          <w:tblLook w:val="04A0"/>
        </w:tblPrEx>
        <w:tc>
          <w:tcPr>
            <w:tcW w:w="1675" w:type="dxa"/>
            <w:shd w:val="clear" w:color="auto" w:fill="auto"/>
          </w:tcPr>
          <w:p w:rsidR="000231B6" w:rsidRPr="00132785" w:rsidP="00C1469D" w14:paraId="52BF8F68" w14:textId="77777777">
            <w:pPr>
              <w:spacing w:after="160" w:line="259" w:lineRule="auto"/>
              <w:rPr>
                <w:rFonts w:eastAsia="Calibri"/>
                <w:szCs w:val="22"/>
              </w:rPr>
            </w:pPr>
            <w:r w:rsidRPr="00132785">
              <w:rPr>
                <w:rFonts w:eastAsia="Calibri"/>
                <w:szCs w:val="22"/>
              </w:rPr>
              <w:t>PC</w:t>
            </w:r>
          </w:p>
        </w:tc>
        <w:tc>
          <w:tcPr>
            <w:tcW w:w="1386" w:type="dxa"/>
            <w:shd w:val="clear" w:color="auto" w:fill="auto"/>
          </w:tcPr>
          <w:p w:rsidR="000231B6" w:rsidRPr="00132785" w:rsidP="00C1469D" w14:paraId="19ED737B" w14:textId="77777777">
            <w:pPr>
              <w:spacing w:after="160" w:line="259" w:lineRule="auto"/>
              <w:rPr>
                <w:rFonts w:eastAsia="Calibri"/>
                <w:szCs w:val="22"/>
              </w:rPr>
            </w:pPr>
            <w:r w:rsidRPr="00132785">
              <w:rPr>
                <w:rFonts w:eastAsia="Calibri"/>
                <w:szCs w:val="22"/>
              </w:rPr>
              <w:t>62</w:t>
            </w:r>
          </w:p>
        </w:tc>
        <w:tc>
          <w:tcPr>
            <w:tcW w:w="1358" w:type="dxa"/>
            <w:shd w:val="clear" w:color="auto" w:fill="auto"/>
          </w:tcPr>
          <w:p w:rsidR="000231B6" w:rsidRPr="00132785" w:rsidP="00C1469D" w14:paraId="45740256" w14:textId="77777777">
            <w:pPr>
              <w:spacing w:after="160" w:line="259" w:lineRule="auto"/>
              <w:rPr>
                <w:rFonts w:eastAsia="Calibri"/>
                <w:szCs w:val="22"/>
              </w:rPr>
            </w:pPr>
            <w:r w:rsidRPr="00132785">
              <w:rPr>
                <w:rFonts w:eastAsia="Calibri"/>
                <w:szCs w:val="22"/>
              </w:rPr>
              <w:t>1</w:t>
            </w:r>
          </w:p>
        </w:tc>
        <w:tc>
          <w:tcPr>
            <w:tcW w:w="1427" w:type="dxa"/>
            <w:shd w:val="clear" w:color="auto" w:fill="auto"/>
          </w:tcPr>
          <w:p w:rsidR="000231B6" w:rsidRPr="00132785" w:rsidP="00C1469D" w14:paraId="0E8A701E" w14:textId="77777777">
            <w:pPr>
              <w:spacing w:after="160" w:line="259" w:lineRule="auto"/>
              <w:rPr>
                <w:rFonts w:eastAsia="Calibri"/>
                <w:szCs w:val="22"/>
              </w:rPr>
            </w:pPr>
            <w:r w:rsidRPr="00132785">
              <w:rPr>
                <w:rFonts w:eastAsia="Calibri"/>
                <w:szCs w:val="22"/>
              </w:rPr>
              <w:t>62</w:t>
            </w:r>
          </w:p>
        </w:tc>
        <w:tc>
          <w:tcPr>
            <w:tcW w:w="1656" w:type="dxa"/>
            <w:shd w:val="clear" w:color="auto" w:fill="auto"/>
          </w:tcPr>
          <w:p w:rsidR="000231B6" w:rsidRPr="00132785" w:rsidP="00C1469D" w14:paraId="6FFBDE53" w14:textId="77777777">
            <w:pPr>
              <w:spacing w:after="160" w:line="259" w:lineRule="auto"/>
              <w:rPr>
                <w:rFonts w:eastAsia="Calibri"/>
                <w:szCs w:val="22"/>
              </w:rPr>
            </w:pPr>
            <w:r w:rsidRPr="00132785">
              <w:rPr>
                <w:rFonts w:eastAsia="Calibri"/>
                <w:szCs w:val="22"/>
              </w:rPr>
              <w:t>8 hrs.</w:t>
            </w:r>
          </w:p>
          <w:p w:rsidR="000231B6" w:rsidRPr="00132785" w:rsidP="00C1469D" w14:paraId="2C8D1588" w14:textId="77777777">
            <w:pPr>
              <w:spacing w:after="160" w:line="259" w:lineRule="auto"/>
              <w:rPr>
                <w:rFonts w:eastAsia="Calibri"/>
                <w:szCs w:val="22"/>
              </w:rPr>
            </w:pPr>
            <w:r w:rsidRPr="00132785">
              <w:rPr>
                <w:rFonts w:eastAsia="Calibri"/>
                <w:szCs w:val="22"/>
              </w:rPr>
              <w:t>$</w:t>
            </w:r>
            <w:r>
              <w:rPr>
                <w:rFonts w:eastAsia="Calibri"/>
                <w:szCs w:val="22"/>
              </w:rPr>
              <w:t>533.76</w:t>
            </w:r>
          </w:p>
        </w:tc>
        <w:tc>
          <w:tcPr>
            <w:tcW w:w="2081" w:type="dxa"/>
            <w:shd w:val="clear" w:color="auto" w:fill="auto"/>
          </w:tcPr>
          <w:p w:rsidR="000231B6" w:rsidRPr="00132785" w:rsidP="00C1469D" w14:paraId="3B7FD427" w14:textId="77777777">
            <w:pPr>
              <w:spacing w:after="160" w:line="259" w:lineRule="auto"/>
              <w:rPr>
                <w:rFonts w:eastAsia="Calibri"/>
                <w:szCs w:val="22"/>
              </w:rPr>
            </w:pPr>
            <w:r>
              <w:rPr>
                <w:rFonts w:eastAsia="Calibri"/>
                <w:szCs w:val="22"/>
              </w:rPr>
              <w:t>496</w:t>
            </w:r>
          </w:p>
          <w:p w:rsidR="000231B6" w:rsidRPr="00132785" w:rsidP="00C1469D" w14:paraId="31FABC87" w14:textId="77777777">
            <w:pPr>
              <w:spacing w:after="160" w:line="259" w:lineRule="auto"/>
              <w:rPr>
                <w:rFonts w:eastAsia="Calibri"/>
                <w:szCs w:val="22"/>
              </w:rPr>
            </w:pPr>
            <w:r w:rsidRPr="00132785">
              <w:rPr>
                <w:rFonts w:eastAsia="Calibri"/>
                <w:szCs w:val="22"/>
              </w:rPr>
              <w:t>$</w:t>
            </w:r>
            <w:r>
              <w:rPr>
                <w:rFonts w:eastAsia="Calibri"/>
                <w:szCs w:val="22"/>
              </w:rPr>
              <w:t>33,093.12</w:t>
            </w:r>
          </w:p>
        </w:tc>
      </w:tr>
      <w:tr w14:paraId="6D65BCFA" w14:textId="77777777" w:rsidTr="00C1469D">
        <w:tblPrEx>
          <w:tblW w:w="9583" w:type="dxa"/>
          <w:tblLook w:val="04A0"/>
        </w:tblPrEx>
        <w:tc>
          <w:tcPr>
            <w:tcW w:w="1675" w:type="dxa"/>
            <w:shd w:val="clear" w:color="auto" w:fill="auto"/>
          </w:tcPr>
          <w:p w:rsidR="000231B6" w:rsidRPr="00132785" w:rsidP="00C1469D" w14:paraId="7B78EAEE" w14:textId="77777777">
            <w:pPr>
              <w:spacing w:after="160" w:line="259" w:lineRule="auto"/>
              <w:rPr>
                <w:rFonts w:eastAsia="Calibri"/>
                <w:b/>
                <w:szCs w:val="22"/>
              </w:rPr>
            </w:pPr>
            <w:r w:rsidRPr="00132785">
              <w:rPr>
                <w:rFonts w:eastAsia="Calibri"/>
                <w:b/>
                <w:szCs w:val="22"/>
              </w:rPr>
              <w:t>Total for PRC-023-6</w:t>
            </w:r>
          </w:p>
          <w:p w:rsidR="000231B6" w:rsidRPr="00132785" w:rsidP="00C1469D" w14:paraId="68D99B47" w14:textId="77777777">
            <w:pPr>
              <w:spacing w:after="160" w:line="259" w:lineRule="auto"/>
              <w:rPr>
                <w:rFonts w:eastAsia="Calibri"/>
                <w:b/>
                <w:szCs w:val="22"/>
              </w:rPr>
            </w:pPr>
            <w:r w:rsidRPr="00132785">
              <w:rPr>
                <w:rFonts w:eastAsia="Calibri"/>
                <w:b/>
                <w:szCs w:val="22"/>
              </w:rPr>
              <w:t>One Time Estimate - Years 1 and 2</w:t>
            </w:r>
          </w:p>
        </w:tc>
        <w:tc>
          <w:tcPr>
            <w:tcW w:w="1386" w:type="dxa"/>
            <w:shd w:val="clear" w:color="auto" w:fill="auto"/>
          </w:tcPr>
          <w:p w:rsidR="000231B6" w:rsidRPr="00132785" w:rsidP="00C1469D" w14:paraId="7F26E581" w14:textId="77777777">
            <w:pPr>
              <w:spacing w:after="160" w:line="259" w:lineRule="auto"/>
              <w:rPr>
                <w:rFonts w:eastAsia="Calibri"/>
                <w:b/>
                <w:szCs w:val="22"/>
              </w:rPr>
            </w:pPr>
          </w:p>
        </w:tc>
        <w:tc>
          <w:tcPr>
            <w:tcW w:w="1358" w:type="dxa"/>
            <w:shd w:val="clear" w:color="auto" w:fill="auto"/>
          </w:tcPr>
          <w:p w:rsidR="000231B6" w:rsidRPr="00132785" w:rsidP="00C1469D" w14:paraId="123F8997" w14:textId="77777777">
            <w:pPr>
              <w:spacing w:after="160" w:line="259" w:lineRule="auto"/>
              <w:rPr>
                <w:rFonts w:eastAsia="Calibri"/>
                <w:szCs w:val="22"/>
              </w:rPr>
            </w:pPr>
          </w:p>
        </w:tc>
        <w:tc>
          <w:tcPr>
            <w:tcW w:w="1427" w:type="dxa"/>
            <w:shd w:val="clear" w:color="auto" w:fill="auto"/>
          </w:tcPr>
          <w:p w:rsidR="000231B6" w:rsidRPr="00132785" w:rsidP="00C1469D" w14:paraId="2A8E25EC" w14:textId="77777777">
            <w:pPr>
              <w:spacing w:after="160" w:line="259" w:lineRule="auto"/>
              <w:rPr>
                <w:rFonts w:eastAsia="Calibri"/>
                <w:b/>
                <w:szCs w:val="22"/>
              </w:rPr>
            </w:pPr>
            <w:r w:rsidRPr="00132785">
              <w:rPr>
                <w:rFonts w:eastAsia="Calibri"/>
                <w:b/>
                <w:szCs w:val="22"/>
              </w:rPr>
              <w:t>1,930</w:t>
            </w:r>
          </w:p>
        </w:tc>
        <w:tc>
          <w:tcPr>
            <w:tcW w:w="1656" w:type="dxa"/>
            <w:shd w:val="clear" w:color="auto" w:fill="auto"/>
          </w:tcPr>
          <w:p w:rsidR="000231B6" w:rsidRPr="00132785" w:rsidP="00C1469D" w14:paraId="2A518DD3" w14:textId="77777777">
            <w:pPr>
              <w:rPr>
                <w:rFonts w:eastAsia="Calibri"/>
                <w:szCs w:val="22"/>
              </w:rPr>
            </w:pPr>
            <w:r w:rsidRPr="00132785">
              <w:rPr>
                <w:rFonts w:eastAsia="Calibri"/>
                <w:szCs w:val="22"/>
              </w:rPr>
              <w:t>4</w:t>
            </w:r>
            <w:r>
              <w:rPr>
                <w:rFonts w:eastAsia="Calibri"/>
                <w:szCs w:val="22"/>
              </w:rPr>
              <w:t>8</w:t>
            </w:r>
            <w:r w:rsidRPr="00132785">
              <w:rPr>
                <w:rFonts w:eastAsia="Calibri"/>
                <w:szCs w:val="22"/>
              </w:rPr>
              <w:t xml:space="preserve"> hrs.</w:t>
            </w:r>
          </w:p>
          <w:p w:rsidR="000231B6" w:rsidRPr="00132785" w:rsidP="00C1469D" w14:paraId="15BAAF3F" w14:textId="77777777">
            <w:pPr>
              <w:spacing w:after="160" w:line="259" w:lineRule="auto"/>
              <w:rPr>
                <w:rFonts w:eastAsia="Calibri"/>
                <w:szCs w:val="22"/>
              </w:rPr>
            </w:pPr>
            <w:r w:rsidRPr="00132785">
              <w:rPr>
                <w:rFonts w:eastAsia="Calibri"/>
                <w:szCs w:val="22"/>
              </w:rPr>
              <w:t>$</w:t>
            </w:r>
            <w:r>
              <w:rPr>
                <w:rFonts w:eastAsia="Calibri"/>
                <w:szCs w:val="22"/>
              </w:rPr>
              <w:t>3,202.56</w:t>
            </w:r>
          </w:p>
        </w:tc>
        <w:tc>
          <w:tcPr>
            <w:tcW w:w="2081" w:type="dxa"/>
            <w:shd w:val="clear" w:color="auto" w:fill="auto"/>
          </w:tcPr>
          <w:p w:rsidR="000231B6" w:rsidRPr="00132785" w:rsidP="00C1469D" w14:paraId="35E1C453" w14:textId="77777777">
            <w:pPr>
              <w:rPr>
                <w:rFonts w:eastAsia="Calibri"/>
                <w:szCs w:val="22"/>
              </w:rPr>
            </w:pPr>
            <w:r w:rsidRPr="00132785">
              <w:rPr>
                <w:rFonts w:eastAsia="Calibri"/>
                <w:szCs w:val="22"/>
              </w:rPr>
              <w:t>2</w:t>
            </w:r>
            <w:r>
              <w:rPr>
                <w:rFonts w:eastAsia="Calibri"/>
                <w:szCs w:val="22"/>
              </w:rPr>
              <w:t>7,416</w:t>
            </w:r>
            <w:r w:rsidRPr="00132785">
              <w:rPr>
                <w:rFonts w:eastAsia="Calibri"/>
                <w:szCs w:val="22"/>
              </w:rPr>
              <w:t xml:space="preserve"> hrs.</w:t>
            </w:r>
          </w:p>
          <w:p w:rsidR="000231B6" w:rsidRPr="00A2075F" w:rsidP="00C1469D" w14:paraId="31358616" w14:textId="77777777">
            <w:pPr>
              <w:spacing w:after="160" w:line="259" w:lineRule="auto"/>
              <w:rPr>
                <w:rFonts w:eastAsia="Calibri"/>
                <w:b/>
                <w:szCs w:val="22"/>
              </w:rPr>
            </w:pPr>
            <w:r w:rsidRPr="00132785">
              <w:rPr>
                <w:rFonts w:eastAsia="Calibri"/>
                <w:bCs/>
                <w:szCs w:val="22"/>
              </w:rPr>
              <w:t>$1,</w:t>
            </w:r>
            <w:r>
              <w:rPr>
                <w:rFonts w:eastAsia="Calibri"/>
                <w:bCs/>
                <w:szCs w:val="22"/>
              </w:rPr>
              <w:t>829,195.52</w:t>
            </w:r>
          </w:p>
        </w:tc>
      </w:tr>
    </w:tbl>
    <w:p w:rsidR="000231B6" w:rsidRPr="00132785" w:rsidP="000231B6" w14:paraId="730FAB7E" w14:textId="6299FC2B">
      <w:pPr>
        <w:tabs>
          <w:tab w:val="left" w:pos="720"/>
        </w:tabs>
        <w:autoSpaceDE w:val="0"/>
        <w:autoSpaceDN w:val="0"/>
        <w:adjustRightInd w:val="0"/>
        <w:spacing w:line="480" w:lineRule="auto"/>
        <w:rPr>
          <w:rFonts w:eastAsia="Calibri"/>
          <w:szCs w:val="26"/>
        </w:rPr>
      </w:pPr>
      <w:bookmarkStart w:id="10" w:name="_Hlk126065378"/>
      <w:bookmarkEnd w:id="9"/>
      <w:r w:rsidRPr="00132785">
        <w:rPr>
          <w:rFonts w:eastAsia="Calibri"/>
          <w:szCs w:val="26"/>
        </w:rPr>
        <w:t>The one-time burden of 2</w:t>
      </w:r>
      <w:r>
        <w:rPr>
          <w:rFonts w:eastAsia="Calibri"/>
          <w:szCs w:val="26"/>
        </w:rPr>
        <w:t>7,416</w:t>
      </w:r>
      <w:r w:rsidRPr="00132785">
        <w:rPr>
          <w:rFonts w:eastAsia="Calibri"/>
          <w:szCs w:val="26"/>
        </w:rPr>
        <w:t xml:space="preserve"> hours that only applies for Year 1 and 2 will be averaged over three years (2</w:t>
      </w:r>
      <w:r>
        <w:rPr>
          <w:rFonts w:eastAsia="Calibri"/>
          <w:szCs w:val="26"/>
        </w:rPr>
        <w:t>7,416</w:t>
      </w:r>
      <w:r w:rsidRPr="00132785">
        <w:rPr>
          <w:rFonts w:eastAsia="Calibri"/>
          <w:szCs w:val="26"/>
        </w:rPr>
        <w:t xml:space="preserve"> hours ÷ 3 = </w:t>
      </w:r>
      <w:r>
        <w:rPr>
          <w:rFonts w:eastAsia="Calibri"/>
          <w:szCs w:val="26"/>
        </w:rPr>
        <w:t>9,138.67</w:t>
      </w:r>
      <w:r w:rsidRPr="00132785">
        <w:rPr>
          <w:rFonts w:eastAsia="Calibri"/>
          <w:szCs w:val="26"/>
        </w:rPr>
        <w:t xml:space="preserve"> hours/year over three years). The number of responses is also averaged over three years (1,</w:t>
      </w:r>
      <w:r>
        <w:rPr>
          <w:rFonts w:eastAsia="Calibri"/>
          <w:szCs w:val="26"/>
        </w:rPr>
        <w:t xml:space="preserve">930 </w:t>
      </w:r>
      <w:r w:rsidRPr="00132785">
        <w:rPr>
          <w:rFonts w:eastAsia="Calibri"/>
          <w:szCs w:val="26"/>
        </w:rPr>
        <w:t xml:space="preserve">responses ÷ 3 = </w:t>
      </w:r>
      <w:r>
        <w:rPr>
          <w:rFonts w:eastAsia="Calibri"/>
          <w:szCs w:val="26"/>
        </w:rPr>
        <w:t>643.33</w:t>
      </w:r>
      <w:r w:rsidRPr="00132785">
        <w:rPr>
          <w:rFonts w:eastAsia="Calibri"/>
          <w:szCs w:val="26"/>
        </w:rPr>
        <w:t xml:space="preserve"> responses/year).</w:t>
      </w:r>
    </w:p>
    <w:p w:rsidR="000231B6" w:rsidRPr="00132785" w:rsidP="000231B6" w14:paraId="3B32F789" w14:textId="77777777">
      <w:pPr>
        <w:tabs>
          <w:tab w:val="left" w:pos="720"/>
        </w:tabs>
        <w:autoSpaceDE w:val="0"/>
        <w:autoSpaceDN w:val="0"/>
        <w:adjustRightInd w:val="0"/>
        <w:spacing w:line="480" w:lineRule="auto"/>
        <w:rPr>
          <w:rFonts w:eastAsia="Calibri"/>
          <w:szCs w:val="26"/>
        </w:rPr>
      </w:pPr>
      <w:r w:rsidRPr="00132785">
        <w:rPr>
          <w:rFonts w:eastAsia="Calibri"/>
          <w:szCs w:val="26"/>
        </w:rPr>
        <w:t>The responses and burden hours for Years 1-3 will total respectively as follows for Year 1 one-time burden:</w:t>
      </w:r>
    </w:p>
    <w:p w:rsidR="000231B6" w:rsidRPr="00132785" w:rsidP="000231B6" w14:paraId="2D4F18DD" w14:textId="77777777">
      <w:pPr>
        <w:tabs>
          <w:tab w:val="left" w:pos="720"/>
        </w:tabs>
        <w:autoSpaceDE w:val="0"/>
        <w:autoSpaceDN w:val="0"/>
        <w:adjustRightInd w:val="0"/>
        <w:spacing w:line="480" w:lineRule="auto"/>
        <w:ind w:left="720"/>
        <w:rPr>
          <w:rFonts w:eastAsia="Calibri"/>
          <w:szCs w:val="26"/>
        </w:rPr>
      </w:pPr>
      <w:r w:rsidRPr="00132785">
        <w:rPr>
          <w:rFonts w:eastAsia="Calibri"/>
          <w:szCs w:val="26"/>
        </w:rPr>
        <w:t xml:space="preserve">Year 1: </w:t>
      </w:r>
      <w:r>
        <w:rPr>
          <w:rFonts w:eastAsia="Calibri"/>
          <w:szCs w:val="26"/>
        </w:rPr>
        <w:t>643.33</w:t>
      </w:r>
      <w:r w:rsidRPr="00132785">
        <w:rPr>
          <w:rFonts w:eastAsia="Calibri"/>
          <w:szCs w:val="26"/>
        </w:rPr>
        <w:t xml:space="preserve"> responses; </w:t>
      </w:r>
      <w:r>
        <w:rPr>
          <w:rFonts w:eastAsia="Calibri"/>
          <w:szCs w:val="26"/>
        </w:rPr>
        <w:t>9,138</w:t>
      </w:r>
      <w:r w:rsidRPr="00132785">
        <w:rPr>
          <w:rFonts w:eastAsia="Calibri"/>
          <w:szCs w:val="26"/>
        </w:rPr>
        <w:t>.67 hours</w:t>
      </w:r>
    </w:p>
    <w:p w:rsidR="000231B6" w:rsidRPr="00132785" w:rsidP="000231B6" w14:paraId="4E79A4CF" w14:textId="77777777">
      <w:pPr>
        <w:tabs>
          <w:tab w:val="left" w:pos="720"/>
        </w:tabs>
        <w:autoSpaceDE w:val="0"/>
        <w:autoSpaceDN w:val="0"/>
        <w:adjustRightInd w:val="0"/>
        <w:spacing w:line="480" w:lineRule="auto"/>
        <w:ind w:left="720"/>
        <w:rPr>
          <w:rFonts w:eastAsia="Calibri"/>
          <w:szCs w:val="26"/>
        </w:rPr>
      </w:pPr>
      <w:r w:rsidRPr="00132785">
        <w:rPr>
          <w:rFonts w:eastAsia="Calibri"/>
          <w:szCs w:val="26"/>
        </w:rPr>
        <w:t xml:space="preserve">Year 2: </w:t>
      </w:r>
      <w:r>
        <w:rPr>
          <w:rFonts w:eastAsia="Calibri"/>
          <w:szCs w:val="26"/>
        </w:rPr>
        <w:t>643.33</w:t>
      </w:r>
      <w:r w:rsidRPr="00132785">
        <w:rPr>
          <w:rFonts w:eastAsia="Calibri"/>
          <w:szCs w:val="26"/>
        </w:rPr>
        <w:t xml:space="preserve"> responses; </w:t>
      </w:r>
      <w:r>
        <w:rPr>
          <w:rFonts w:eastAsia="Calibri"/>
          <w:szCs w:val="26"/>
        </w:rPr>
        <w:t>9,138</w:t>
      </w:r>
      <w:r w:rsidRPr="00132785">
        <w:rPr>
          <w:rFonts w:eastAsia="Calibri"/>
          <w:szCs w:val="26"/>
        </w:rPr>
        <w:t xml:space="preserve">.67 hours </w:t>
      </w:r>
    </w:p>
    <w:p w:rsidR="00AB1C87" w:rsidRPr="000231B6" w:rsidP="000231B6" w14:paraId="366642C7" w14:textId="761E6FFF">
      <w:pPr>
        <w:tabs>
          <w:tab w:val="left" w:pos="720"/>
        </w:tabs>
        <w:autoSpaceDE w:val="0"/>
        <w:autoSpaceDN w:val="0"/>
        <w:adjustRightInd w:val="0"/>
        <w:spacing w:line="480" w:lineRule="auto"/>
        <w:ind w:left="720"/>
        <w:rPr>
          <w:rFonts w:eastAsia="Calibri"/>
        </w:rPr>
      </w:pPr>
      <w:r w:rsidRPr="00132785">
        <w:rPr>
          <w:rFonts w:eastAsia="Calibri"/>
        </w:rPr>
        <w:t xml:space="preserve">Year 3: </w:t>
      </w:r>
      <w:r>
        <w:rPr>
          <w:rFonts w:eastAsia="Calibri"/>
        </w:rPr>
        <w:t>643.33</w:t>
      </w:r>
      <w:r w:rsidRPr="00132785">
        <w:rPr>
          <w:rFonts w:eastAsia="Calibri"/>
        </w:rPr>
        <w:t xml:space="preserve"> responses; </w:t>
      </w:r>
      <w:r>
        <w:rPr>
          <w:rFonts w:eastAsia="Calibri"/>
        </w:rPr>
        <w:t>9,138</w:t>
      </w:r>
      <w:r w:rsidRPr="00132785">
        <w:rPr>
          <w:rFonts w:eastAsia="Calibri"/>
        </w:rPr>
        <w:t xml:space="preserve">.67 hours </w:t>
      </w:r>
      <w:bookmarkEnd w:id="6"/>
      <w:bookmarkEnd w:id="10"/>
    </w:p>
    <w:p w:rsidR="00881405" w:rsidP="002906E5" w14:paraId="40735770" w14:textId="70C4510D">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FF4CC0" w14:paraId="23EE29AC" w14:textId="012A3882">
      <w:pPr>
        <w:spacing w:line="480" w:lineRule="auto"/>
      </w:pPr>
      <w:r>
        <w:t xml:space="preserve">collection of information on those who are to respond, including the use of automated collection techniques or other forms of information technology.  </w:t>
      </w:r>
    </w:p>
    <w:p w:rsidR="00874049" w:rsidP="000231B6" w14:paraId="5AB6C29E" w14:textId="7CFE403E">
      <w:pPr>
        <w:spacing w:line="480" w:lineRule="auto"/>
        <w:ind w:firstLine="720"/>
      </w:pPr>
      <w:r w:rsidRPr="00FF4CC0">
        <w:t xml:space="preserve">The Commission’s Office of Public Participation (OPP) supports meaningful public engagement and participation in Commission proceedings.  OPP can help members of the public, including landowners, environmental justice communities, Tribal members and others, access publicly available information and navigate Commission processes.  For public inquiries and assistance with making filings such as interventions, comments, or requests for rehearing, the public is encouraged to contact OPP at (202) 502-6595 or </w:t>
      </w:r>
      <w:hyperlink r:id="rId13" w:history="1">
        <w:r w:rsidRPr="00FF4CC0">
          <w:rPr>
            <w:rStyle w:val="Hyperlink"/>
          </w:rPr>
          <w:t>OPP@ferc.gov</w:t>
        </w:r>
      </w:hyperlink>
      <w:r w:rsidRPr="00FF4CC0">
        <w:t>.</w:t>
      </w:r>
    </w:p>
    <w:p w:rsidR="00874049" w14:paraId="202ADD9E" w14:textId="77777777">
      <w:pPr>
        <w:spacing w:after="160" w:line="259" w:lineRule="auto"/>
      </w:pPr>
    </w:p>
    <w:p w:rsidR="00E914B2" w14:paraId="77CBC77B" w14:textId="77777777">
      <w:pPr>
        <w:spacing w:after="160" w:line="259" w:lineRule="auto"/>
      </w:pPr>
    </w:p>
    <w:p w:rsidR="00E914B2" w14:paraId="7D470EAA" w14:textId="77777777">
      <w:pPr>
        <w:spacing w:after="160" w:line="259" w:lineRule="auto"/>
      </w:pPr>
    </w:p>
    <w:p w:rsidR="00E914B2" w:rsidRPr="00E914B2" w:rsidP="00E914B2" w14:paraId="0DA6E3BA" w14:textId="5803A5D6">
      <w:pPr>
        <w:ind w:firstLine="2606"/>
        <w:jc w:val="center"/>
      </w:pPr>
      <w:r w:rsidRPr="00E914B2">
        <w:t>Debbie-Anne A. Reese,</w:t>
      </w:r>
    </w:p>
    <w:p w:rsidR="00E914B2" w:rsidRPr="00E914B2" w:rsidP="00E914B2" w14:paraId="2A44D74A" w14:textId="1EFDDBE9">
      <w:pPr>
        <w:ind w:firstLine="2606"/>
        <w:jc w:val="center"/>
      </w:pPr>
      <w:r w:rsidRPr="00E914B2">
        <w:t>Acting Secretary.</w:t>
      </w:r>
    </w:p>
    <w:p w:rsidR="00E914B2" w14:paraId="48B47250" w14:textId="77777777">
      <w:pPr>
        <w:spacing w:after="160" w:line="259" w:lineRule="auto"/>
      </w:pPr>
    </w:p>
    <w:sectPr w:rsidSect="00BF2D74">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024E" w:rsidP="00B01B16" w14:paraId="2BBF7C8E" w14:textId="77777777">
      <w:r>
        <w:separator/>
      </w:r>
    </w:p>
  </w:footnote>
  <w:footnote w:type="continuationSeparator" w:id="1">
    <w:p w:rsidR="002B024E" w:rsidP="00B01B16" w14:paraId="41426ECF" w14:textId="77777777">
      <w:r>
        <w:continuationSeparator/>
      </w:r>
    </w:p>
  </w:footnote>
  <w:footnote w:type="continuationNotice" w:id="2">
    <w:p w:rsidR="002B024E" w14:paraId="59371E21" w14:textId="77777777"/>
  </w:footnote>
  <w:footnote w:id="3">
    <w:p w:rsidR="000231B6" w:rsidP="000231B6" w14:paraId="46BF0082" w14:textId="77777777">
      <w:pPr>
        <w:pStyle w:val="FootnoteText"/>
        <w:rPr>
          <w:sz w:val="24"/>
          <w:szCs w:val="24"/>
        </w:rPr>
      </w:pPr>
      <w:r>
        <w:rPr>
          <w:rStyle w:val="FootnoteReference"/>
          <w:sz w:val="24"/>
          <w:szCs w:val="24"/>
        </w:rPr>
        <w:footnoteRef/>
      </w:r>
      <w:r>
        <w:rPr>
          <w:sz w:val="24"/>
          <w:szCs w:val="24"/>
        </w:rPr>
        <w:t xml:space="preserve"> NERC Petition at 1.</w:t>
      </w:r>
    </w:p>
    <w:p w:rsidR="000231B6" w:rsidP="000231B6" w14:paraId="28835D9C" w14:textId="77777777">
      <w:pPr>
        <w:pStyle w:val="FootnoteText"/>
        <w:rPr>
          <w:sz w:val="24"/>
          <w:szCs w:val="24"/>
        </w:rPr>
      </w:pPr>
    </w:p>
  </w:footnote>
  <w:footnote w:id="4">
    <w:p w:rsidR="000231B6" w:rsidP="000231B6" w14:paraId="52AAF01B" w14:textId="77777777">
      <w:pPr>
        <w:pStyle w:val="FootnoteText"/>
        <w:rPr>
          <w:sz w:val="24"/>
          <w:szCs w:val="24"/>
        </w:rPr>
      </w:pPr>
      <w:r>
        <w:rPr>
          <w:rStyle w:val="FootnoteReference"/>
          <w:sz w:val="24"/>
          <w:szCs w:val="24"/>
        </w:rPr>
        <w:footnoteRef/>
      </w:r>
      <w:r>
        <w:rPr>
          <w:sz w:val="24"/>
          <w:szCs w:val="24"/>
        </w:rPr>
        <w:t xml:space="preserve"> NERC Petition at 1-2.</w:t>
      </w:r>
    </w:p>
    <w:p w:rsidR="000231B6" w:rsidP="000231B6" w14:paraId="02CA0BC3" w14:textId="77777777">
      <w:pPr>
        <w:pStyle w:val="FootnoteText"/>
        <w:rPr>
          <w:sz w:val="24"/>
          <w:szCs w:val="24"/>
        </w:rPr>
      </w:pPr>
    </w:p>
  </w:footnote>
  <w:footnote w:id="5">
    <w:p w:rsidR="000231B6" w:rsidP="000231B6" w14:paraId="1C31E40D" w14:textId="77777777">
      <w:pPr>
        <w:pStyle w:val="FootnoteText"/>
        <w:rPr>
          <w:sz w:val="24"/>
          <w:szCs w:val="24"/>
        </w:rPr>
      </w:pPr>
      <w:r>
        <w:rPr>
          <w:rStyle w:val="FootnoteReference"/>
          <w:sz w:val="24"/>
          <w:szCs w:val="24"/>
        </w:rPr>
        <w:footnoteRef/>
      </w:r>
      <w:r>
        <w:rPr>
          <w:sz w:val="24"/>
          <w:szCs w:val="24"/>
        </w:rPr>
        <w:t xml:space="preserve"> NERC Petition at 4.</w:t>
      </w:r>
    </w:p>
    <w:p w:rsidR="00BC3CC2" w:rsidP="000231B6" w14:paraId="22119780" w14:textId="77777777">
      <w:pPr>
        <w:pStyle w:val="FootnoteText"/>
        <w:rPr>
          <w:sz w:val="24"/>
          <w:szCs w:val="24"/>
        </w:rPr>
      </w:pPr>
    </w:p>
  </w:footnote>
  <w:footnote w:id="6">
    <w:p w:rsidR="000231B6" w:rsidP="000231B6" w14:paraId="410680A5" w14:textId="77777777">
      <w:pPr>
        <w:pStyle w:val="FootnoteText"/>
        <w:rPr>
          <w:sz w:val="24"/>
          <w:szCs w:val="24"/>
        </w:rPr>
      </w:pPr>
      <w:r>
        <w:rPr>
          <w:rStyle w:val="FootnoteReference"/>
          <w:sz w:val="24"/>
          <w:szCs w:val="24"/>
        </w:rPr>
        <w:footnoteRef/>
      </w:r>
      <w:r>
        <w:rPr>
          <w:sz w:val="24"/>
          <w:szCs w:val="24"/>
        </w:rPr>
        <w:t xml:space="preserve"> NERC Petition at 21.</w:t>
      </w:r>
    </w:p>
    <w:p w:rsidR="000231B6" w:rsidP="000231B6" w14:paraId="31821415" w14:textId="77777777">
      <w:pPr>
        <w:pStyle w:val="FootnoteText"/>
        <w:rPr>
          <w:sz w:val="24"/>
          <w:szCs w:val="24"/>
        </w:rPr>
      </w:pPr>
    </w:p>
  </w:footnote>
  <w:footnote w:id="7">
    <w:p w:rsidR="000231B6" w:rsidP="000231B6" w14:paraId="664930CF" w14:textId="77777777">
      <w:pPr>
        <w:pStyle w:val="FootnoteText"/>
        <w:rPr>
          <w:sz w:val="24"/>
          <w:szCs w:val="24"/>
        </w:rPr>
      </w:pPr>
      <w:r>
        <w:rPr>
          <w:rStyle w:val="FootnoteReference"/>
          <w:sz w:val="24"/>
          <w:szCs w:val="24"/>
        </w:rPr>
        <w:footnoteRef/>
      </w:r>
      <w:r>
        <w:rPr>
          <w:sz w:val="24"/>
          <w:szCs w:val="24"/>
        </w:rPr>
        <w:t xml:space="preserve"> NERC Petition at 25-26.</w:t>
      </w:r>
    </w:p>
    <w:p w:rsidR="000231B6" w:rsidP="000231B6" w14:paraId="20E26478" w14:textId="77777777">
      <w:pPr>
        <w:pStyle w:val="FootnoteText"/>
        <w:rPr>
          <w:sz w:val="24"/>
          <w:szCs w:val="24"/>
        </w:rPr>
      </w:pPr>
    </w:p>
  </w:footnote>
  <w:footnote w:id="8">
    <w:p w:rsidR="000231B6" w:rsidP="000231B6" w14:paraId="28351F52" w14:textId="77777777">
      <w:pPr>
        <w:pStyle w:val="FootnoteText"/>
        <w:rPr>
          <w:sz w:val="24"/>
          <w:szCs w:val="24"/>
        </w:rPr>
      </w:pPr>
      <w:r>
        <w:rPr>
          <w:rStyle w:val="FootnoteReference"/>
          <w:sz w:val="24"/>
          <w:szCs w:val="24"/>
        </w:rPr>
        <w:footnoteRef/>
      </w:r>
      <w:r>
        <w:rPr>
          <w:sz w:val="24"/>
          <w:szCs w:val="24"/>
        </w:rPr>
        <w:t xml:space="preserve"> RFI at 2.</w:t>
      </w:r>
    </w:p>
    <w:p w:rsidR="000231B6" w:rsidP="000231B6" w14:paraId="18FF4A75" w14:textId="77777777">
      <w:pPr>
        <w:pStyle w:val="FootnoteText"/>
        <w:rPr>
          <w:sz w:val="24"/>
          <w:szCs w:val="24"/>
        </w:rPr>
      </w:pPr>
    </w:p>
  </w:footnote>
  <w:footnote w:id="9">
    <w:p w:rsidR="000231B6" w:rsidP="000231B6" w14:paraId="14D830CA" w14:textId="77777777">
      <w:pPr>
        <w:pStyle w:val="FootnoteText"/>
        <w:rPr>
          <w:rFonts w:ascii="Calibri" w:hAnsi="Calibri"/>
          <w:sz w:val="20"/>
        </w:rPr>
      </w:pPr>
      <w:r>
        <w:rPr>
          <w:rStyle w:val="FootnoteReference"/>
          <w:sz w:val="24"/>
          <w:szCs w:val="24"/>
        </w:rPr>
        <w:footnoteRef/>
      </w:r>
      <w:r>
        <w:rPr>
          <w:sz w:val="24"/>
          <w:szCs w:val="24"/>
        </w:rPr>
        <w:t xml:space="preserve"> NERC Amended Petition at 25.</w:t>
      </w:r>
    </w:p>
  </w:footnote>
  <w:footnote w:id="10">
    <w:p w:rsidR="000231B6" w:rsidRPr="00FD1ED0" w:rsidP="000231B6" w14:paraId="44D47765" w14:textId="77777777">
      <w:pPr>
        <w:pStyle w:val="FootnoteText"/>
        <w:rPr>
          <w:sz w:val="26"/>
          <w:szCs w:val="26"/>
        </w:rPr>
      </w:pPr>
      <w:r w:rsidRPr="00FD1ED0">
        <w:rPr>
          <w:rStyle w:val="FootnoteReference"/>
        </w:rPr>
        <w:footnoteRef/>
      </w:r>
      <w:r w:rsidRPr="00FD1ED0">
        <w:rPr>
          <w:sz w:val="26"/>
          <w:szCs w:val="26"/>
        </w:rPr>
        <w:t xml:space="preserve"> TO=Transmission Owner, GO=Generator Owner</w:t>
      </w:r>
      <w:r>
        <w:rPr>
          <w:sz w:val="26"/>
          <w:szCs w:val="26"/>
        </w:rPr>
        <w:t xml:space="preserve">, DP=Distribution Provider </w:t>
      </w:r>
      <w:r w:rsidRPr="00FD1ED0">
        <w:rPr>
          <w:sz w:val="26"/>
          <w:szCs w:val="26"/>
        </w:rPr>
        <w:t xml:space="preserve">and </w:t>
      </w:r>
      <w:r>
        <w:rPr>
          <w:sz w:val="26"/>
          <w:szCs w:val="26"/>
        </w:rPr>
        <w:t>P</w:t>
      </w:r>
      <w:r w:rsidRPr="00FD1ED0">
        <w:rPr>
          <w:sz w:val="26"/>
          <w:szCs w:val="26"/>
        </w:rPr>
        <w:t>C=</w:t>
      </w:r>
      <w:r>
        <w:rPr>
          <w:sz w:val="26"/>
          <w:szCs w:val="26"/>
        </w:rPr>
        <w:t>Planning</w:t>
      </w:r>
      <w:r w:rsidRPr="00FD1ED0">
        <w:rPr>
          <w:sz w:val="26"/>
          <w:szCs w:val="26"/>
        </w:rPr>
        <w:t xml:space="preserve"> Coordinator.</w:t>
      </w:r>
    </w:p>
  </w:footnote>
  <w:footnote w:id="11">
    <w:p w:rsidR="000231B6" w:rsidP="000231B6" w14:paraId="25F53882" w14:textId="77777777">
      <w:pPr>
        <w:pStyle w:val="FootnoteText"/>
      </w:pPr>
      <w:r w:rsidRPr="00FD1ED0">
        <w:rPr>
          <w:rStyle w:val="FootnoteReference"/>
        </w:rPr>
        <w:footnoteRef/>
      </w:r>
      <w:r w:rsidRPr="00FD1ED0">
        <w:rPr>
          <w:sz w:val="26"/>
          <w:szCs w:val="26"/>
        </w:rPr>
        <w:t xml:space="preserve"> The estimated hourly cost (salary plus benefits) derived using the following formula: Burden Hours per Response * $/hour = Cost per Response. based on the Bureau of Labor Statistics (BLS), as of </w:t>
      </w:r>
      <w:r>
        <w:rPr>
          <w:sz w:val="26"/>
          <w:szCs w:val="26"/>
        </w:rPr>
        <w:t>August</w:t>
      </w:r>
      <w:r w:rsidRPr="00FD1ED0">
        <w:rPr>
          <w:sz w:val="26"/>
          <w:szCs w:val="26"/>
        </w:rPr>
        <w:t xml:space="preserve"> 1, 2023, of an Electrical Engineer (17-2071) - $77.</w:t>
      </w:r>
      <w:r>
        <w:rPr>
          <w:sz w:val="26"/>
          <w:szCs w:val="26"/>
        </w:rPr>
        <w:t>29</w:t>
      </w:r>
      <w:r w:rsidRPr="00FD1ED0">
        <w:rPr>
          <w:sz w:val="26"/>
          <w:szCs w:val="26"/>
        </w:rPr>
        <w:t>, - and for Information and Record Clerks (43-4199) $</w:t>
      </w:r>
      <w:r>
        <w:rPr>
          <w:sz w:val="26"/>
          <w:szCs w:val="26"/>
        </w:rPr>
        <w:t>56.14</w:t>
      </w:r>
      <w:r w:rsidRPr="00FD1ED0">
        <w:rPr>
          <w:sz w:val="26"/>
          <w:szCs w:val="26"/>
        </w:rPr>
        <w:t>, The average hourly burden cost for this collection is [($77.</w:t>
      </w:r>
      <w:r>
        <w:rPr>
          <w:sz w:val="26"/>
          <w:szCs w:val="26"/>
        </w:rPr>
        <w:t>29</w:t>
      </w:r>
      <w:r w:rsidRPr="00FD1ED0">
        <w:rPr>
          <w:sz w:val="26"/>
          <w:szCs w:val="26"/>
        </w:rPr>
        <w:t xml:space="preserve"> + $</w:t>
      </w:r>
      <w:r>
        <w:rPr>
          <w:sz w:val="26"/>
          <w:szCs w:val="26"/>
        </w:rPr>
        <w:t>56.14</w:t>
      </w:r>
      <w:r w:rsidRPr="00FD1ED0">
        <w:rPr>
          <w:sz w:val="26"/>
          <w:szCs w:val="26"/>
        </w:rPr>
        <w:t>)/2 = $6</w:t>
      </w:r>
      <w:r>
        <w:rPr>
          <w:sz w:val="26"/>
          <w:szCs w:val="26"/>
        </w:rPr>
        <w:t>6</w:t>
      </w:r>
      <w:r w:rsidRPr="00FD1ED0">
        <w:rPr>
          <w:sz w:val="26"/>
          <w:szCs w:val="26"/>
        </w:rPr>
        <w:t>.</w:t>
      </w:r>
      <w:r>
        <w:rPr>
          <w:sz w:val="26"/>
          <w:szCs w:val="26"/>
        </w:rPr>
        <w:t>715</w:t>
      </w:r>
      <w:r w:rsidRPr="00FD1ED0">
        <w:rPr>
          <w:sz w:val="26"/>
          <w:szCs w:val="26"/>
        </w:rPr>
        <w:t>)] rounded to $6</w:t>
      </w:r>
      <w:r>
        <w:rPr>
          <w:sz w:val="26"/>
          <w:szCs w:val="26"/>
        </w:rPr>
        <w:t>6.72</w:t>
      </w:r>
      <w:r w:rsidRPr="00FD1ED0">
        <w:rPr>
          <w:sz w:val="26"/>
          <w:szCs w:val="26"/>
        </w:rPr>
        <w:t xml:space="preserve"> an hour.</w:t>
      </w:r>
      <w:r w:rsidRPr="00E27E3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2F19D89B">
        <w:pPr>
          <w:pStyle w:val="Header"/>
        </w:pPr>
        <w:r w:rsidRPr="00D954AE">
          <w:t xml:space="preserve">Docket No. </w:t>
        </w:r>
        <w:r w:rsidR="007941E4">
          <w:t>RD23-</w:t>
        </w:r>
        <w:r w:rsidR="00FF5DF4">
          <w:t>5</w:t>
        </w:r>
        <w:r w:rsidR="007941E4">
          <w:t>-000</w:t>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C81407">
          <w:rPr>
            <w:noProof/>
          </w:rPr>
          <w:t>4</w:t>
        </w:r>
        <w:r>
          <w:rPr>
            <w:noProof/>
            <w:color w:val="2B579A"/>
            <w:shd w:val="clear" w:color="auto" w:fill="E6E6E6"/>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27EA7F6E"/>
    <w:multiLevelType w:val="hybridMultilevel"/>
    <w:tmpl w:val="D786B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9">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8268703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289615">
    <w:abstractNumId w:val="4"/>
  </w:num>
  <w:num w:numId="3" w16cid:durableId="1999458098">
    <w:abstractNumId w:val="10"/>
  </w:num>
  <w:num w:numId="4" w16cid:durableId="1220245001">
    <w:abstractNumId w:val="7"/>
  </w:num>
  <w:num w:numId="5" w16cid:durableId="1296061172">
    <w:abstractNumId w:val="15"/>
  </w:num>
  <w:num w:numId="6" w16cid:durableId="700517710">
    <w:abstractNumId w:val="2"/>
  </w:num>
  <w:num w:numId="7" w16cid:durableId="743530515">
    <w:abstractNumId w:val="11"/>
  </w:num>
  <w:num w:numId="8" w16cid:durableId="130486807">
    <w:abstractNumId w:val="1"/>
  </w:num>
  <w:num w:numId="9" w16cid:durableId="387070222">
    <w:abstractNumId w:val="9"/>
  </w:num>
  <w:num w:numId="10" w16cid:durableId="699210254">
    <w:abstractNumId w:val="14"/>
  </w:num>
  <w:num w:numId="11" w16cid:durableId="168524488">
    <w:abstractNumId w:val="3"/>
  </w:num>
  <w:num w:numId="12" w16cid:durableId="1962495118">
    <w:abstractNumId w:val="12"/>
  </w:num>
  <w:num w:numId="13" w16cid:durableId="769161136">
    <w:abstractNumId w:val="0"/>
  </w:num>
  <w:num w:numId="14" w16cid:durableId="1564872408">
    <w:abstractNumId w:val="13"/>
  </w:num>
  <w:num w:numId="15" w16cid:durableId="1819686678">
    <w:abstractNumId w:val="8"/>
  </w:num>
  <w:num w:numId="16" w16cid:durableId="1729111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F5C"/>
    <w:rsid w:val="0000758F"/>
    <w:rsid w:val="00014343"/>
    <w:rsid w:val="000231B6"/>
    <w:rsid w:val="00023B2D"/>
    <w:rsid w:val="00026C2D"/>
    <w:rsid w:val="000379D6"/>
    <w:rsid w:val="00042F33"/>
    <w:rsid w:val="00043CEF"/>
    <w:rsid w:val="000459B6"/>
    <w:rsid w:val="0005167F"/>
    <w:rsid w:val="00052169"/>
    <w:rsid w:val="000578D5"/>
    <w:rsid w:val="0006114E"/>
    <w:rsid w:val="00062427"/>
    <w:rsid w:val="0006681D"/>
    <w:rsid w:val="00066EF4"/>
    <w:rsid w:val="00072E34"/>
    <w:rsid w:val="00073427"/>
    <w:rsid w:val="00082413"/>
    <w:rsid w:val="00083EBA"/>
    <w:rsid w:val="00084E3D"/>
    <w:rsid w:val="0008692A"/>
    <w:rsid w:val="00086BAE"/>
    <w:rsid w:val="00097607"/>
    <w:rsid w:val="000A0250"/>
    <w:rsid w:val="000A2903"/>
    <w:rsid w:val="000A3078"/>
    <w:rsid w:val="000A3C2F"/>
    <w:rsid w:val="000A6164"/>
    <w:rsid w:val="000A6F37"/>
    <w:rsid w:val="000A7E68"/>
    <w:rsid w:val="000B431B"/>
    <w:rsid w:val="000B5B66"/>
    <w:rsid w:val="000B5C78"/>
    <w:rsid w:val="000B62BA"/>
    <w:rsid w:val="000C5E3A"/>
    <w:rsid w:val="000D2970"/>
    <w:rsid w:val="000D318C"/>
    <w:rsid w:val="000D6969"/>
    <w:rsid w:val="000E1256"/>
    <w:rsid w:val="000E2568"/>
    <w:rsid w:val="000E4C61"/>
    <w:rsid w:val="000F23F7"/>
    <w:rsid w:val="000F3BC3"/>
    <w:rsid w:val="000F606E"/>
    <w:rsid w:val="00112B6B"/>
    <w:rsid w:val="00116326"/>
    <w:rsid w:val="00117A32"/>
    <w:rsid w:val="00121E32"/>
    <w:rsid w:val="00125991"/>
    <w:rsid w:val="00126EEE"/>
    <w:rsid w:val="001309CE"/>
    <w:rsid w:val="0013255C"/>
    <w:rsid w:val="00132785"/>
    <w:rsid w:val="00135FC5"/>
    <w:rsid w:val="00137823"/>
    <w:rsid w:val="00150CBC"/>
    <w:rsid w:val="0015445B"/>
    <w:rsid w:val="00156BBB"/>
    <w:rsid w:val="001600DF"/>
    <w:rsid w:val="00164215"/>
    <w:rsid w:val="0017164F"/>
    <w:rsid w:val="00171725"/>
    <w:rsid w:val="0017441E"/>
    <w:rsid w:val="00176042"/>
    <w:rsid w:val="0017684C"/>
    <w:rsid w:val="00177704"/>
    <w:rsid w:val="00181BF7"/>
    <w:rsid w:val="00182110"/>
    <w:rsid w:val="001841BB"/>
    <w:rsid w:val="00184A26"/>
    <w:rsid w:val="00184B43"/>
    <w:rsid w:val="0018602B"/>
    <w:rsid w:val="00187FF1"/>
    <w:rsid w:val="0019402A"/>
    <w:rsid w:val="001971AD"/>
    <w:rsid w:val="00197435"/>
    <w:rsid w:val="001974A9"/>
    <w:rsid w:val="001A2DAA"/>
    <w:rsid w:val="001A4D96"/>
    <w:rsid w:val="001A6645"/>
    <w:rsid w:val="001A6AD6"/>
    <w:rsid w:val="001B0BD2"/>
    <w:rsid w:val="001B619F"/>
    <w:rsid w:val="001B78B8"/>
    <w:rsid w:val="001C543C"/>
    <w:rsid w:val="001C7064"/>
    <w:rsid w:val="001D0BC7"/>
    <w:rsid w:val="001D578A"/>
    <w:rsid w:val="001D5F38"/>
    <w:rsid w:val="001E3237"/>
    <w:rsid w:val="001E58E6"/>
    <w:rsid w:val="001E6BA7"/>
    <w:rsid w:val="001F00EE"/>
    <w:rsid w:val="001F1CDF"/>
    <w:rsid w:val="001F5A3B"/>
    <w:rsid w:val="00202E41"/>
    <w:rsid w:val="0020446B"/>
    <w:rsid w:val="00206037"/>
    <w:rsid w:val="00207AE7"/>
    <w:rsid w:val="00211105"/>
    <w:rsid w:val="002131D0"/>
    <w:rsid w:val="00213696"/>
    <w:rsid w:val="00213A4D"/>
    <w:rsid w:val="00223204"/>
    <w:rsid w:val="00224BF8"/>
    <w:rsid w:val="00224DD2"/>
    <w:rsid w:val="0023227F"/>
    <w:rsid w:val="00237AB9"/>
    <w:rsid w:val="00241AC6"/>
    <w:rsid w:val="0024271E"/>
    <w:rsid w:val="0024309C"/>
    <w:rsid w:val="0024309D"/>
    <w:rsid w:val="00253F98"/>
    <w:rsid w:val="00257CC2"/>
    <w:rsid w:val="0026135A"/>
    <w:rsid w:val="00262096"/>
    <w:rsid w:val="00265B23"/>
    <w:rsid w:val="00266431"/>
    <w:rsid w:val="002673C4"/>
    <w:rsid w:val="00270ED7"/>
    <w:rsid w:val="002721E8"/>
    <w:rsid w:val="00272AAF"/>
    <w:rsid w:val="00274ABD"/>
    <w:rsid w:val="00277C38"/>
    <w:rsid w:val="002906E5"/>
    <w:rsid w:val="00292A4C"/>
    <w:rsid w:val="00297211"/>
    <w:rsid w:val="002A60BB"/>
    <w:rsid w:val="002B024E"/>
    <w:rsid w:val="002B5874"/>
    <w:rsid w:val="002C2C8B"/>
    <w:rsid w:val="002C3223"/>
    <w:rsid w:val="002C3579"/>
    <w:rsid w:val="002C5E0E"/>
    <w:rsid w:val="002C7524"/>
    <w:rsid w:val="002D17E5"/>
    <w:rsid w:val="002D57E8"/>
    <w:rsid w:val="002E06A0"/>
    <w:rsid w:val="002E1C29"/>
    <w:rsid w:val="002E68D4"/>
    <w:rsid w:val="002E6DAA"/>
    <w:rsid w:val="002E7818"/>
    <w:rsid w:val="002F1BDD"/>
    <w:rsid w:val="002F4401"/>
    <w:rsid w:val="002F708A"/>
    <w:rsid w:val="00301E3D"/>
    <w:rsid w:val="00303516"/>
    <w:rsid w:val="00306318"/>
    <w:rsid w:val="00311D90"/>
    <w:rsid w:val="00314219"/>
    <w:rsid w:val="003149BC"/>
    <w:rsid w:val="003168A9"/>
    <w:rsid w:val="00324CB3"/>
    <w:rsid w:val="0033092C"/>
    <w:rsid w:val="0033340D"/>
    <w:rsid w:val="00336AD9"/>
    <w:rsid w:val="00340D3C"/>
    <w:rsid w:val="0034294E"/>
    <w:rsid w:val="00353270"/>
    <w:rsid w:val="00365468"/>
    <w:rsid w:val="003658A2"/>
    <w:rsid w:val="003673EC"/>
    <w:rsid w:val="00373A2E"/>
    <w:rsid w:val="003758CE"/>
    <w:rsid w:val="00376525"/>
    <w:rsid w:val="00385B9A"/>
    <w:rsid w:val="00397ABE"/>
    <w:rsid w:val="003A2C3F"/>
    <w:rsid w:val="003A32E7"/>
    <w:rsid w:val="003A7F98"/>
    <w:rsid w:val="003B435C"/>
    <w:rsid w:val="003B5B0B"/>
    <w:rsid w:val="003C08DE"/>
    <w:rsid w:val="003C3E7A"/>
    <w:rsid w:val="003C546A"/>
    <w:rsid w:val="003D0BB4"/>
    <w:rsid w:val="003D28D2"/>
    <w:rsid w:val="003D361D"/>
    <w:rsid w:val="003D5AEC"/>
    <w:rsid w:val="003E1657"/>
    <w:rsid w:val="003E1B25"/>
    <w:rsid w:val="003E1B5A"/>
    <w:rsid w:val="003E40B2"/>
    <w:rsid w:val="003E44AD"/>
    <w:rsid w:val="003F0FE7"/>
    <w:rsid w:val="003F2E32"/>
    <w:rsid w:val="003F2EC7"/>
    <w:rsid w:val="003F50FD"/>
    <w:rsid w:val="003F570B"/>
    <w:rsid w:val="003F6466"/>
    <w:rsid w:val="003F7A51"/>
    <w:rsid w:val="00407BCE"/>
    <w:rsid w:val="00410A8B"/>
    <w:rsid w:val="00411B62"/>
    <w:rsid w:val="00413AA8"/>
    <w:rsid w:val="00413FDE"/>
    <w:rsid w:val="004177CD"/>
    <w:rsid w:val="00421E33"/>
    <w:rsid w:val="0042688C"/>
    <w:rsid w:val="0042765E"/>
    <w:rsid w:val="00427AE5"/>
    <w:rsid w:val="00433F15"/>
    <w:rsid w:val="004417C4"/>
    <w:rsid w:val="00441F16"/>
    <w:rsid w:val="00443282"/>
    <w:rsid w:val="00447C9E"/>
    <w:rsid w:val="004509A3"/>
    <w:rsid w:val="00450D64"/>
    <w:rsid w:val="004562F1"/>
    <w:rsid w:val="00456DDE"/>
    <w:rsid w:val="004628F2"/>
    <w:rsid w:val="00465456"/>
    <w:rsid w:val="00471921"/>
    <w:rsid w:val="00480D2D"/>
    <w:rsid w:val="00491543"/>
    <w:rsid w:val="00492E7E"/>
    <w:rsid w:val="00496F03"/>
    <w:rsid w:val="00497A62"/>
    <w:rsid w:val="004A2FEC"/>
    <w:rsid w:val="004A661D"/>
    <w:rsid w:val="004A6FC8"/>
    <w:rsid w:val="004B7463"/>
    <w:rsid w:val="004C0BC3"/>
    <w:rsid w:val="004C70C8"/>
    <w:rsid w:val="004D7E8A"/>
    <w:rsid w:val="004E3742"/>
    <w:rsid w:val="004E44F8"/>
    <w:rsid w:val="004E683E"/>
    <w:rsid w:val="004F44BD"/>
    <w:rsid w:val="004F56E3"/>
    <w:rsid w:val="00506F3A"/>
    <w:rsid w:val="00524164"/>
    <w:rsid w:val="00527733"/>
    <w:rsid w:val="00531000"/>
    <w:rsid w:val="005401E0"/>
    <w:rsid w:val="00544424"/>
    <w:rsid w:val="005452CC"/>
    <w:rsid w:val="0054746C"/>
    <w:rsid w:val="00551A3C"/>
    <w:rsid w:val="0055326E"/>
    <w:rsid w:val="00561908"/>
    <w:rsid w:val="00565830"/>
    <w:rsid w:val="00565B5E"/>
    <w:rsid w:val="00566B5F"/>
    <w:rsid w:val="00567315"/>
    <w:rsid w:val="005739F7"/>
    <w:rsid w:val="005749DE"/>
    <w:rsid w:val="00575368"/>
    <w:rsid w:val="0058195F"/>
    <w:rsid w:val="00582191"/>
    <w:rsid w:val="00584A11"/>
    <w:rsid w:val="00587D1F"/>
    <w:rsid w:val="00592484"/>
    <w:rsid w:val="0059421A"/>
    <w:rsid w:val="005953A1"/>
    <w:rsid w:val="00596526"/>
    <w:rsid w:val="00597970"/>
    <w:rsid w:val="005A0B82"/>
    <w:rsid w:val="005A0D62"/>
    <w:rsid w:val="005A1E8A"/>
    <w:rsid w:val="005A2F24"/>
    <w:rsid w:val="005A5AB9"/>
    <w:rsid w:val="005A6119"/>
    <w:rsid w:val="005B0254"/>
    <w:rsid w:val="005B46F0"/>
    <w:rsid w:val="005B4DA4"/>
    <w:rsid w:val="005B7231"/>
    <w:rsid w:val="005C09F1"/>
    <w:rsid w:val="005C12CF"/>
    <w:rsid w:val="005C180F"/>
    <w:rsid w:val="005C77BE"/>
    <w:rsid w:val="005D0259"/>
    <w:rsid w:val="005D0FDC"/>
    <w:rsid w:val="005D238D"/>
    <w:rsid w:val="005D4628"/>
    <w:rsid w:val="005D580E"/>
    <w:rsid w:val="005E0B1A"/>
    <w:rsid w:val="005E410C"/>
    <w:rsid w:val="005E45C6"/>
    <w:rsid w:val="005E68E7"/>
    <w:rsid w:val="005F7CE1"/>
    <w:rsid w:val="00602995"/>
    <w:rsid w:val="006128A5"/>
    <w:rsid w:val="00613169"/>
    <w:rsid w:val="0062572C"/>
    <w:rsid w:val="00630E07"/>
    <w:rsid w:val="0063784F"/>
    <w:rsid w:val="00637F43"/>
    <w:rsid w:val="00641F0D"/>
    <w:rsid w:val="00643772"/>
    <w:rsid w:val="006439E7"/>
    <w:rsid w:val="00644A1B"/>
    <w:rsid w:val="00647721"/>
    <w:rsid w:val="00650E6C"/>
    <w:rsid w:val="00651CE5"/>
    <w:rsid w:val="006536D8"/>
    <w:rsid w:val="00654399"/>
    <w:rsid w:val="00654BA4"/>
    <w:rsid w:val="0066195A"/>
    <w:rsid w:val="0066281B"/>
    <w:rsid w:val="00663FBE"/>
    <w:rsid w:val="00664931"/>
    <w:rsid w:val="006670C8"/>
    <w:rsid w:val="00672790"/>
    <w:rsid w:val="006841A7"/>
    <w:rsid w:val="00687348"/>
    <w:rsid w:val="00691D3A"/>
    <w:rsid w:val="00693721"/>
    <w:rsid w:val="00694C22"/>
    <w:rsid w:val="006960DD"/>
    <w:rsid w:val="006963BC"/>
    <w:rsid w:val="006970F4"/>
    <w:rsid w:val="006A2E15"/>
    <w:rsid w:val="006A4398"/>
    <w:rsid w:val="006B3479"/>
    <w:rsid w:val="006B3A1E"/>
    <w:rsid w:val="006C73D0"/>
    <w:rsid w:val="006D5669"/>
    <w:rsid w:val="006E7CBB"/>
    <w:rsid w:val="006E7EBE"/>
    <w:rsid w:val="006F5B4E"/>
    <w:rsid w:val="006F7028"/>
    <w:rsid w:val="006F749E"/>
    <w:rsid w:val="00701428"/>
    <w:rsid w:val="007024F1"/>
    <w:rsid w:val="00707D60"/>
    <w:rsid w:val="00713417"/>
    <w:rsid w:val="007142E3"/>
    <w:rsid w:val="00714EDD"/>
    <w:rsid w:val="0071596F"/>
    <w:rsid w:val="00723505"/>
    <w:rsid w:val="007263B9"/>
    <w:rsid w:val="007352F2"/>
    <w:rsid w:val="007432C3"/>
    <w:rsid w:val="0075009F"/>
    <w:rsid w:val="00752A48"/>
    <w:rsid w:val="00757503"/>
    <w:rsid w:val="00757707"/>
    <w:rsid w:val="00761148"/>
    <w:rsid w:val="007633DD"/>
    <w:rsid w:val="007755E3"/>
    <w:rsid w:val="00775977"/>
    <w:rsid w:val="00781E6A"/>
    <w:rsid w:val="007931A5"/>
    <w:rsid w:val="007941E4"/>
    <w:rsid w:val="007A5C0A"/>
    <w:rsid w:val="007B1F57"/>
    <w:rsid w:val="007B370F"/>
    <w:rsid w:val="007B4938"/>
    <w:rsid w:val="007B71AB"/>
    <w:rsid w:val="007D02D8"/>
    <w:rsid w:val="007E3706"/>
    <w:rsid w:val="007F4CD3"/>
    <w:rsid w:val="007F61C2"/>
    <w:rsid w:val="007F7B74"/>
    <w:rsid w:val="00800590"/>
    <w:rsid w:val="00801456"/>
    <w:rsid w:val="008018DB"/>
    <w:rsid w:val="00802851"/>
    <w:rsid w:val="008037D8"/>
    <w:rsid w:val="00803CA2"/>
    <w:rsid w:val="00807CAC"/>
    <w:rsid w:val="008115BF"/>
    <w:rsid w:val="008143B0"/>
    <w:rsid w:val="00816942"/>
    <w:rsid w:val="008212DA"/>
    <w:rsid w:val="00823681"/>
    <w:rsid w:val="00824D81"/>
    <w:rsid w:val="0082638F"/>
    <w:rsid w:val="00835322"/>
    <w:rsid w:val="008376AE"/>
    <w:rsid w:val="008416FD"/>
    <w:rsid w:val="00845FCF"/>
    <w:rsid w:val="008507FE"/>
    <w:rsid w:val="00851F24"/>
    <w:rsid w:val="00853ABC"/>
    <w:rsid w:val="00863E08"/>
    <w:rsid w:val="00871D53"/>
    <w:rsid w:val="00871DCE"/>
    <w:rsid w:val="00874049"/>
    <w:rsid w:val="008755D6"/>
    <w:rsid w:val="00880340"/>
    <w:rsid w:val="00881405"/>
    <w:rsid w:val="00882BFE"/>
    <w:rsid w:val="00883F45"/>
    <w:rsid w:val="00886E29"/>
    <w:rsid w:val="0089069F"/>
    <w:rsid w:val="0089298D"/>
    <w:rsid w:val="00893C9F"/>
    <w:rsid w:val="0089501F"/>
    <w:rsid w:val="00895B40"/>
    <w:rsid w:val="00895DA2"/>
    <w:rsid w:val="00897359"/>
    <w:rsid w:val="008A050A"/>
    <w:rsid w:val="008A1C9C"/>
    <w:rsid w:val="008A55FC"/>
    <w:rsid w:val="008A7371"/>
    <w:rsid w:val="008B3777"/>
    <w:rsid w:val="008B7EC5"/>
    <w:rsid w:val="008D25B7"/>
    <w:rsid w:val="008D5479"/>
    <w:rsid w:val="008E0DC0"/>
    <w:rsid w:val="008E0DF5"/>
    <w:rsid w:val="008E3273"/>
    <w:rsid w:val="008F0C45"/>
    <w:rsid w:val="00904B00"/>
    <w:rsid w:val="00904F46"/>
    <w:rsid w:val="009112D0"/>
    <w:rsid w:val="00914C88"/>
    <w:rsid w:val="00920472"/>
    <w:rsid w:val="009330C3"/>
    <w:rsid w:val="00940C0F"/>
    <w:rsid w:val="00944E3A"/>
    <w:rsid w:val="00951DA7"/>
    <w:rsid w:val="00951DC3"/>
    <w:rsid w:val="0095548F"/>
    <w:rsid w:val="009562A5"/>
    <w:rsid w:val="00957820"/>
    <w:rsid w:val="009744C8"/>
    <w:rsid w:val="00974530"/>
    <w:rsid w:val="00974659"/>
    <w:rsid w:val="00976F19"/>
    <w:rsid w:val="00980E58"/>
    <w:rsid w:val="009815BD"/>
    <w:rsid w:val="00981886"/>
    <w:rsid w:val="00990102"/>
    <w:rsid w:val="009907E2"/>
    <w:rsid w:val="00990FEC"/>
    <w:rsid w:val="0099154B"/>
    <w:rsid w:val="00992257"/>
    <w:rsid w:val="009928CD"/>
    <w:rsid w:val="009949AA"/>
    <w:rsid w:val="00995921"/>
    <w:rsid w:val="009A1B08"/>
    <w:rsid w:val="009B0524"/>
    <w:rsid w:val="009B166F"/>
    <w:rsid w:val="009B3667"/>
    <w:rsid w:val="009C3CB9"/>
    <w:rsid w:val="009C4A13"/>
    <w:rsid w:val="009C745D"/>
    <w:rsid w:val="009D2BE4"/>
    <w:rsid w:val="009D50C1"/>
    <w:rsid w:val="009E2D84"/>
    <w:rsid w:val="009F279E"/>
    <w:rsid w:val="009F7DE3"/>
    <w:rsid w:val="00A00123"/>
    <w:rsid w:val="00A04C8E"/>
    <w:rsid w:val="00A07154"/>
    <w:rsid w:val="00A10671"/>
    <w:rsid w:val="00A11868"/>
    <w:rsid w:val="00A127D3"/>
    <w:rsid w:val="00A1386C"/>
    <w:rsid w:val="00A14335"/>
    <w:rsid w:val="00A14B43"/>
    <w:rsid w:val="00A166E7"/>
    <w:rsid w:val="00A178B0"/>
    <w:rsid w:val="00A2075F"/>
    <w:rsid w:val="00A23612"/>
    <w:rsid w:val="00A2604E"/>
    <w:rsid w:val="00A26D4A"/>
    <w:rsid w:val="00A27C67"/>
    <w:rsid w:val="00A32860"/>
    <w:rsid w:val="00A32F06"/>
    <w:rsid w:val="00A334E0"/>
    <w:rsid w:val="00A40F6E"/>
    <w:rsid w:val="00A417A2"/>
    <w:rsid w:val="00A43B99"/>
    <w:rsid w:val="00A52189"/>
    <w:rsid w:val="00A57463"/>
    <w:rsid w:val="00A664DF"/>
    <w:rsid w:val="00A71219"/>
    <w:rsid w:val="00A713D0"/>
    <w:rsid w:val="00A722D4"/>
    <w:rsid w:val="00A75AAA"/>
    <w:rsid w:val="00A82A29"/>
    <w:rsid w:val="00A862E4"/>
    <w:rsid w:val="00A86B6F"/>
    <w:rsid w:val="00A9486B"/>
    <w:rsid w:val="00A959E1"/>
    <w:rsid w:val="00AA516A"/>
    <w:rsid w:val="00AA5B0E"/>
    <w:rsid w:val="00AA6A4A"/>
    <w:rsid w:val="00AB1C87"/>
    <w:rsid w:val="00AB4DBF"/>
    <w:rsid w:val="00AC0504"/>
    <w:rsid w:val="00AC1DB7"/>
    <w:rsid w:val="00AC381D"/>
    <w:rsid w:val="00AC3A7C"/>
    <w:rsid w:val="00AC62A6"/>
    <w:rsid w:val="00AC664F"/>
    <w:rsid w:val="00AC750B"/>
    <w:rsid w:val="00AD1E15"/>
    <w:rsid w:val="00AD4E71"/>
    <w:rsid w:val="00AD6937"/>
    <w:rsid w:val="00AE1F12"/>
    <w:rsid w:val="00AE24CC"/>
    <w:rsid w:val="00AE2B18"/>
    <w:rsid w:val="00AE4155"/>
    <w:rsid w:val="00AE4B7C"/>
    <w:rsid w:val="00AE66F6"/>
    <w:rsid w:val="00AF17CE"/>
    <w:rsid w:val="00AF336D"/>
    <w:rsid w:val="00AF349B"/>
    <w:rsid w:val="00AF60E7"/>
    <w:rsid w:val="00AF65F0"/>
    <w:rsid w:val="00B009E9"/>
    <w:rsid w:val="00B01711"/>
    <w:rsid w:val="00B01B16"/>
    <w:rsid w:val="00B04635"/>
    <w:rsid w:val="00B062D0"/>
    <w:rsid w:val="00B11D16"/>
    <w:rsid w:val="00B1325E"/>
    <w:rsid w:val="00B17A95"/>
    <w:rsid w:val="00B20043"/>
    <w:rsid w:val="00B20A44"/>
    <w:rsid w:val="00B24588"/>
    <w:rsid w:val="00B274AE"/>
    <w:rsid w:val="00B30F2D"/>
    <w:rsid w:val="00B34928"/>
    <w:rsid w:val="00B35B74"/>
    <w:rsid w:val="00B403F1"/>
    <w:rsid w:val="00B40AB8"/>
    <w:rsid w:val="00B4163B"/>
    <w:rsid w:val="00B447D7"/>
    <w:rsid w:val="00B51621"/>
    <w:rsid w:val="00B55158"/>
    <w:rsid w:val="00B556C9"/>
    <w:rsid w:val="00B57033"/>
    <w:rsid w:val="00B60113"/>
    <w:rsid w:val="00B6081E"/>
    <w:rsid w:val="00B61016"/>
    <w:rsid w:val="00B624EB"/>
    <w:rsid w:val="00B65D21"/>
    <w:rsid w:val="00B71BAA"/>
    <w:rsid w:val="00B76A1F"/>
    <w:rsid w:val="00B806DD"/>
    <w:rsid w:val="00B82F8C"/>
    <w:rsid w:val="00B8460F"/>
    <w:rsid w:val="00B84D34"/>
    <w:rsid w:val="00B95303"/>
    <w:rsid w:val="00B95477"/>
    <w:rsid w:val="00B96886"/>
    <w:rsid w:val="00B978A7"/>
    <w:rsid w:val="00BA1D81"/>
    <w:rsid w:val="00BA258F"/>
    <w:rsid w:val="00BA7130"/>
    <w:rsid w:val="00BB436B"/>
    <w:rsid w:val="00BB5EF5"/>
    <w:rsid w:val="00BC3CC2"/>
    <w:rsid w:val="00BC58DF"/>
    <w:rsid w:val="00BC6431"/>
    <w:rsid w:val="00BD205B"/>
    <w:rsid w:val="00BD74AE"/>
    <w:rsid w:val="00BE16BC"/>
    <w:rsid w:val="00BE35F6"/>
    <w:rsid w:val="00BE3971"/>
    <w:rsid w:val="00BE3FE7"/>
    <w:rsid w:val="00BE6EDF"/>
    <w:rsid w:val="00BF2922"/>
    <w:rsid w:val="00BF2D74"/>
    <w:rsid w:val="00BF4CC8"/>
    <w:rsid w:val="00BF51ED"/>
    <w:rsid w:val="00BF75B6"/>
    <w:rsid w:val="00C02547"/>
    <w:rsid w:val="00C025C8"/>
    <w:rsid w:val="00C04E54"/>
    <w:rsid w:val="00C058D5"/>
    <w:rsid w:val="00C1124F"/>
    <w:rsid w:val="00C1469D"/>
    <w:rsid w:val="00C14903"/>
    <w:rsid w:val="00C1686C"/>
    <w:rsid w:val="00C168F3"/>
    <w:rsid w:val="00C170F3"/>
    <w:rsid w:val="00C27F05"/>
    <w:rsid w:val="00C30486"/>
    <w:rsid w:val="00C30740"/>
    <w:rsid w:val="00C30A20"/>
    <w:rsid w:val="00C30DED"/>
    <w:rsid w:val="00C367A6"/>
    <w:rsid w:val="00C37BFF"/>
    <w:rsid w:val="00C42500"/>
    <w:rsid w:val="00C43470"/>
    <w:rsid w:val="00C45F17"/>
    <w:rsid w:val="00C47B34"/>
    <w:rsid w:val="00C50BD5"/>
    <w:rsid w:val="00C50EB1"/>
    <w:rsid w:val="00C51458"/>
    <w:rsid w:val="00C51E5F"/>
    <w:rsid w:val="00C52E2C"/>
    <w:rsid w:val="00C53580"/>
    <w:rsid w:val="00C55838"/>
    <w:rsid w:val="00C56745"/>
    <w:rsid w:val="00C57DC6"/>
    <w:rsid w:val="00C60DEF"/>
    <w:rsid w:val="00C63C66"/>
    <w:rsid w:val="00C70729"/>
    <w:rsid w:val="00C71475"/>
    <w:rsid w:val="00C76958"/>
    <w:rsid w:val="00C77EF7"/>
    <w:rsid w:val="00C80D25"/>
    <w:rsid w:val="00C81407"/>
    <w:rsid w:val="00C82053"/>
    <w:rsid w:val="00C820F1"/>
    <w:rsid w:val="00C822C1"/>
    <w:rsid w:val="00C859F7"/>
    <w:rsid w:val="00C85A38"/>
    <w:rsid w:val="00C87CCA"/>
    <w:rsid w:val="00C91512"/>
    <w:rsid w:val="00C93B03"/>
    <w:rsid w:val="00C94A53"/>
    <w:rsid w:val="00C94AD8"/>
    <w:rsid w:val="00CA0DEC"/>
    <w:rsid w:val="00CA2DE2"/>
    <w:rsid w:val="00CA3A85"/>
    <w:rsid w:val="00CA6636"/>
    <w:rsid w:val="00CA6D76"/>
    <w:rsid w:val="00CA7FBE"/>
    <w:rsid w:val="00CB148F"/>
    <w:rsid w:val="00CB51CC"/>
    <w:rsid w:val="00CC0389"/>
    <w:rsid w:val="00CC0C31"/>
    <w:rsid w:val="00CC1A72"/>
    <w:rsid w:val="00CC3633"/>
    <w:rsid w:val="00CC5692"/>
    <w:rsid w:val="00CC65F3"/>
    <w:rsid w:val="00CD0783"/>
    <w:rsid w:val="00CD09E8"/>
    <w:rsid w:val="00CD56E5"/>
    <w:rsid w:val="00CD6896"/>
    <w:rsid w:val="00CE0C1B"/>
    <w:rsid w:val="00CE64F2"/>
    <w:rsid w:val="00CF0C67"/>
    <w:rsid w:val="00CF0F40"/>
    <w:rsid w:val="00CF1025"/>
    <w:rsid w:val="00CF3AED"/>
    <w:rsid w:val="00CF4753"/>
    <w:rsid w:val="00CF7C86"/>
    <w:rsid w:val="00D0083B"/>
    <w:rsid w:val="00D04DF4"/>
    <w:rsid w:val="00D15403"/>
    <w:rsid w:val="00D172D8"/>
    <w:rsid w:val="00D26488"/>
    <w:rsid w:val="00D30B56"/>
    <w:rsid w:val="00D3231A"/>
    <w:rsid w:val="00D35B2D"/>
    <w:rsid w:val="00D44183"/>
    <w:rsid w:val="00D44A55"/>
    <w:rsid w:val="00D46678"/>
    <w:rsid w:val="00D47931"/>
    <w:rsid w:val="00D47B74"/>
    <w:rsid w:val="00D47F3F"/>
    <w:rsid w:val="00D5276C"/>
    <w:rsid w:val="00D61B79"/>
    <w:rsid w:val="00D62C84"/>
    <w:rsid w:val="00D6384D"/>
    <w:rsid w:val="00D653F3"/>
    <w:rsid w:val="00D65EC2"/>
    <w:rsid w:val="00D66B24"/>
    <w:rsid w:val="00D67237"/>
    <w:rsid w:val="00D67307"/>
    <w:rsid w:val="00D75AC7"/>
    <w:rsid w:val="00D808E3"/>
    <w:rsid w:val="00D85E13"/>
    <w:rsid w:val="00D86288"/>
    <w:rsid w:val="00D872BC"/>
    <w:rsid w:val="00D954AE"/>
    <w:rsid w:val="00D95BD7"/>
    <w:rsid w:val="00D96929"/>
    <w:rsid w:val="00DA1B6F"/>
    <w:rsid w:val="00DA529F"/>
    <w:rsid w:val="00DA59A2"/>
    <w:rsid w:val="00DB5AAE"/>
    <w:rsid w:val="00DB62D5"/>
    <w:rsid w:val="00DB636B"/>
    <w:rsid w:val="00DB6882"/>
    <w:rsid w:val="00DC4B63"/>
    <w:rsid w:val="00DC5017"/>
    <w:rsid w:val="00DC5129"/>
    <w:rsid w:val="00DC68A9"/>
    <w:rsid w:val="00DD01A0"/>
    <w:rsid w:val="00DD7F1B"/>
    <w:rsid w:val="00DE1A87"/>
    <w:rsid w:val="00DE451F"/>
    <w:rsid w:val="00DE61E1"/>
    <w:rsid w:val="00E03D2D"/>
    <w:rsid w:val="00E12A7A"/>
    <w:rsid w:val="00E21B31"/>
    <w:rsid w:val="00E27E36"/>
    <w:rsid w:val="00E27FD6"/>
    <w:rsid w:val="00E36A0F"/>
    <w:rsid w:val="00E36F8A"/>
    <w:rsid w:val="00E400C7"/>
    <w:rsid w:val="00E40322"/>
    <w:rsid w:val="00E40CB4"/>
    <w:rsid w:val="00E41DB9"/>
    <w:rsid w:val="00E43B83"/>
    <w:rsid w:val="00E4627E"/>
    <w:rsid w:val="00E47C92"/>
    <w:rsid w:val="00E56612"/>
    <w:rsid w:val="00E67CB0"/>
    <w:rsid w:val="00E71CC0"/>
    <w:rsid w:val="00E723CB"/>
    <w:rsid w:val="00E731AE"/>
    <w:rsid w:val="00E73797"/>
    <w:rsid w:val="00E74310"/>
    <w:rsid w:val="00E762BB"/>
    <w:rsid w:val="00E865C8"/>
    <w:rsid w:val="00E8661B"/>
    <w:rsid w:val="00E9084E"/>
    <w:rsid w:val="00E914B2"/>
    <w:rsid w:val="00E9567A"/>
    <w:rsid w:val="00E962E6"/>
    <w:rsid w:val="00E97D7C"/>
    <w:rsid w:val="00EA1793"/>
    <w:rsid w:val="00EA689F"/>
    <w:rsid w:val="00EB5157"/>
    <w:rsid w:val="00EC1434"/>
    <w:rsid w:val="00EC72B0"/>
    <w:rsid w:val="00EC77B3"/>
    <w:rsid w:val="00ED0142"/>
    <w:rsid w:val="00ED74AF"/>
    <w:rsid w:val="00EE18F2"/>
    <w:rsid w:val="00EE33B9"/>
    <w:rsid w:val="00EE365D"/>
    <w:rsid w:val="00EF33BE"/>
    <w:rsid w:val="00EF4F97"/>
    <w:rsid w:val="00F05673"/>
    <w:rsid w:val="00F05B5B"/>
    <w:rsid w:val="00F061C4"/>
    <w:rsid w:val="00F126FC"/>
    <w:rsid w:val="00F12983"/>
    <w:rsid w:val="00F15359"/>
    <w:rsid w:val="00F175C4"/>
    <w:rsid w:val="00F23714"/>
    <w:rsid w:val="00F245A2"/>
    <w:rsid w:val="00F309CB"/>
    <w:rsid w:val="00F33EED"/>
    <w:rsid w:val="00F33EEE"/>
    <w:rsid w:val="00F3751C"/>
    <w:rsid w:val="00F37677"/>
    <w:rsid w:val="00F37B05"/>
    <w:rsid w:val="00F44A0E"/>
    <w:rsid w:val="00F4763C"/>
    <w:rsid w:val="00F51559"/>
    <w:rsid w:val="00F540BA"/>
    <w:rsid w:val="00F570C8"/>
    <w:rsid w:val="00F570F0"/>
    <w:rsid w:val="00F60E60"/>
    <w:rsid w:val="00F64069"/>
    <w:rsid w:val="00F64D6D"/>
    <w:rsid w:val="00F654D4"/>
    <w:rsid w:val="00F66182"/>
    <w:rsid w:val="00F71399"/>
    <w:rsid w:val="00F82EE1"/>
    <w:rsid w:val="00F90A66"/>
    <w:rsid w:val="00F93134"/>
    <w:rsid w:val="00FA3E17"/>
    <w:rsid w:val="00FB078F"/>
    <w:rsid w:val="00FB0E5A"/>
    <w:rsid w:val="00FB3586"/>
    <w:rsid w:val="00FB5C7E"/>
    <w:rsid w:val="00FC128B"/>
    <w:rsid w:val="00FC39BA"/>
    <w:rsid w:val="00FC3F00"/>
    <w:rsid w:val="00FC750D"/>
    <w:rsid w:val="00FD04A0"/>
    <w:rsid w:val="00FD0EA3"/>
    <w:rsid w:val="00FD1ED0"/>
    <w:rsid w:val="00FD7619"/>
    <w:rsid w:val="00FE34E4"/>
    <w:rsid w:val="00FF1D71"/>
    <w:rsid w:val="00FF4CC0"/>
    <w:rsid w:val="00FF5141"/>
    <w:rsid w:val="00FF5DF4"/>
    <w:rsid w:val="00FF74B3"/>
    <w:rsid w:val="02DEA4E6"/>
    <w:rsid w:val="128FFB1D"/>
    <w:rsid w:val="2B7BEA93"/>
    <w:rsid w:val="2C5D4E46"/>
    <w:rsid w:val="35D2C7CD"/>
    <w:rsid w:val="3D33D731"/>
    <w:rsid w:val="4B4230D7"/>
    <w:rsid w:val="5F4054FE"/>
    <w:rsid w:val="63988364"/>
    <w:rsid w:val="655BEAE6"/>
    <w:rsid w:val="6D52CCCC"/>
    <w:rsid w:val="6E7C09D0"/>
    <w:rsid w:val="793EF6C8"/>
    <w:rsid w:val="7F2CD9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F4B8ED87-9E93-4B9C-9898-66CDFCAB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Char,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2BE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1">
    <w:name w:val="Table Grid1"/>
    <w:basedOn w:val="TableNormal"/>
    <w:next w:val="TableGrid"/>
    <w:uiPriority w:val="39"/>
    <w:rsid w:val="00575368"/>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reginfo.gov/public/do/PRAMain" TargetMode="External" /><Relationship Id="rId11" Type="http://schemas.openxmlformats.org/officeDocument/2006/relationships/hyperlink" Target="https://www.ferc.gov" TargetMode="External" /><Relationship Id="rId12" Type="http://schemas.openxmlformats.org/officeDocument/2006/relationships/hyperlink" Target="https://www.ferc.gov/ferc-online/overview" TargetMode="External" /><Relationship Id="rId13" Type="http://schemas.openxmlformats.org/officeDocument/2006/relationships/hyperlink" Target="mailto:OPP@ferc.gov"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817D92B8-BC5D-447D-AAD8-A66F000D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DB62FF2E-FA4A-42BE-AA47-8BC2AF677562}">
  <ds:schemaRefs>
    <ds:schemaRef ds:uri="Microsoft.SharePoint.Taxonomy.ContentTypeSync"/>
  </ds:schemaRefs>
</ds:datastoreItem>
</file>

<file path=customXml/itemProps5.xml><?xml version="1.0" encoding="utf-8"?>
<ds:datastoreItem xmlns:ds="http://schemas.openxmlformats.org/officeDocument/2006/customXml" ds:itemID="{5BBB1DD4-8130-4FE7-964C-24C804F058DC}">
  <ds:schemaRefs>
    <ds:schemaRef ds:uri="5e8733a2-e908-454b-85cf-c9d17e1d094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30-day Notice for FERC-516H</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2016-12-20T16:40:00Z</cp:lastPrinted>
  <dcterms:created xsi:type="dcterms:W3CDTF">2024-09-04T17:32:00Z</dcterms:created>
  <dcterms:modified xsi:type="dcterms:W3CDTF">2024-09-04T17:32:00Z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ebddd57e-1b59-4e23-b85f-4f2a5725d916</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2024-09-04T17:31:11Z</vt:lpwstr>
  </property>
  <property fmtid="{D5CDD505-2E9C-101B-9397-08002B2CF9AE}" pid="8" name="MSIP_Label_6155a89b-0f08-4a93-8ea2-8a916d6643b5_SiteId">
    <vt:lpwstr>19caa9e9-04ff-43fa-885f-d77fac387903</vt:lpwstr>
  </property>
</Properties>
</file>