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6204" w:rsidRPr="00B17B50" w14:paraId="5EADE1C4" w14:textId="77777777">
      <w:pPr>
        <w:spacing w:after="9" w:line="250" w:lineRule="auto"/>
        <w:jc w:val="center"/>
      </w:pPr>
      <w:r w:rsidRPr="00B17B50">
        <w:t>UNITED STATES OF AMERICA</w:t>
      </w:r>
    </w:p>
    <w:p w:rsidR="00CF6204" w:rsidRPr="00B17B50" w14:paraId="4FBB05B4" w14:textId="77777777">
      <w:pPr>
        <w:spacing w:after="283" w:line="250" w:lineRule="auto"/>
        <w:ind w:right="10"/>
        <w:jc w:val="center"/>
      </w:pPr>
      <w:r w:rsidRPr="00B17B50">
        <w:t>FEDERAL ENERGY REGULATORY COMMISSION</w:t>
      </w:r>
    </w:p>
    <w:p w:rsidR="00CF6204" w:rsidRPr="00B17B50" w14:paraId="54D69AA3" w14:textId="461488E8">
      <w:pPr>
        <w:spacing w:after="283" w:line="250" w:lineRule="auto"/>
        <w:ind w:right="9"/>
        <w:jc w:val="center"/>
      </w:pPr>
      <w:r w:rsidRPr="00B17B50">
        <w:t xml:space="preserve">[Docket No. </w:t>
      </w:r>
      <w:r w:rsidRPr="00B17B50" w:rsidR="0085395A">
        <w:rPr>
          <w:szCs w:val="26"/>
        </w:rPr>
        <w:t>RD24-3-000</w:t>
      </w:r>
      <w:r w:rsidRPr="00B17B50">
        <w:t>]</w:t>
      </w:r>
    </w:p>
    <w:p w:rsidR="00CF6204" w:rsidRPr="00B17B50" w14:paraId="47F74DA9" w14:textId="47EA2ED7">
      <w:pPr>
        <w:spacing w:after="283" w:line="250" w:lineRule="auto"/>
        <w:ind w:right="9"/>
        <w:jc w:val="center"/>
      </w:pPr>
      <w:r w:rsidRPr="00B17B50">
        <w:t>COMMISSION INFORMATION COLLECTION ACTIVITIES (FERC-725B); COMMENT REQUEST; EXTENSION</w:t>
      </w:r>
    </w:p>
    <w:p w:rsidR="00CF6204" w:rsidRPr="00B17B50" w14:paraId="5D5D7982" w14:textId="3648AE72">
      <w:pPr>
        <w:spacing w:line="480" w:lineRule="auto"/>
        <w:ind w:left="-15" w:right="2549" w:firstLine="3763"/>
      </w:pPr>
      <w:r w:rsidRPr="00B17B50">
        <w:t>(</w:t>
      </w:r>
      <w:r w:rsidR="00B17B50">
        <w:t>August 14, 2024</w:t>
      </w:r>
      <w:r w:rsidRPr="00B17B50">
        <w:t xml:space="preserve">) </w:t>
      </w:r>
    </w:p>
    <w:p w:rsidR="00CF6204" w:rsidP="00F00E00" w14:paraId="756B1C31" w14:textId="1145BC41">
      <w:pPr>
        <w:spacing w:after="0" w:line="480" w:lineRule="auto"/>
        <w:ind w:left="0" w:firstLine="0"/>
      </w:pPr>
      <w:r w:rsidRPr="0D66A6E2">
        <w:rPr>
          <w:b/>
          <w:bCs/>
        </w:rPr>
        <w:t>AGENCY:</w:t>
      </w:r>
      <w:r>
        <w:t xml:space="preserve">  Federal Energy</w:t>
      </w:r>
      <w:r w:rsidR="60A90BAD">
        <w:t xml:space="preserve"> </w:t>
      </w:r>
      <w:r>
        <w:t>Regulatory Commission.</w:t>
      </w:r>
    </w:p>
    <w:p w:rsidR="00CF6204" w:rsidP="00F00E00" w14:paraId="29256ECD" w14:textId="77777777">
      <w:pPr>
        <w:spacing w:after="0" w:line="480" w:lineRule="auto"/>
        <w:ind w:left="0" w:firstLine="0"/>
      </w:pPr>
      <w:r w:rsidRPr="0D66A6E2">
        <w:rPr>
          <w:b/>
          <w:bCs/>
        </w:rPr>
        <w:t>ACTION:</w:t>
      </w:r>
      <w:r>
        <w:t xml:space="preserve">  Notice of information collection and request for comments.</w:t>
      </w:r>
    </w:p>
    <w:p w:rsidR="00CF6204" w:rsidP="00F00E00" w14:paraId="1C1870A3" w14:textId="560A562F">
      <w:pPr>
        <w:spacing w:after="0" w:line="480" w:lineRule="auto"/>
        <w:ind w:left="0"/>
      </w:pPr>
      <w:r w:rsidRPr="0D66A6E2">
        <w:rPr>
          <w:b/>
          <w:bCs/>
        </w:rPr>
        <w:t>SUMMARY:</w:t>
      </w:r>
      <w:r>
        <w:t xml:space="preserve">  In compliance with the requirements of the Paperwork Reduction Act of 1995, the Federal Energy Regulatory Commission (Commission or FERC) is soliciting public comment on the currently approved information collection, FERC-725B, </w:t>
      </w:r>
    </w:p>
    <w:p w:rsidR="00CF6204" w:rsidP="00F00E00" w14:paraId="70A5DF99" w14:textId="4EB0895F">
      <w:pPr>
        <w:spacing w:after="0" w:line="480" w:lineRule="auto"/>
        <w:ind w:left="0"/>
      </w:pPr>
      <w:r>
        <w:t>Mandatory Reliability Standards, Critical Infrastructure Protection</w:t>
      </w:r>
      <w:r w:rsidR="00D47368">
        <w:t xml:space="preserve"> (CIP)</w:t>
      </w:r>
      <w:r>
        <w:t xml:space="preserve"> (</w:t>
      </w:r>
      <w:r w:rsidR="00D47368">
        <w:t xml:space="preserve">Update for </w:t>
      </w:r>
      <w:r>
        <w:t>CIP-0</w:t>
      </w:r>
      <w:r w:rsidR="5690C614">
        <w:t>1</w:t>
      </w:r>
      <w:r w:rsidR="00D47368">
        <w:t>2-1 to version CIP-012-02</w:t>
      </w:r>
      <w:r>
        <w:t>)</w:t>
      </w:r>
      <w:r w:rsidR="5690C614">
        <w:t xml:space="preserve"> Cyber Security – Communications between Control Centers</w:t>
      </w:r>
      <w:r w:rsidR="00832C65">
        <w:t>.</w:t>
      </w:r>
      <w:r w:rsidR="00BF4869">
        <w:t xml:space="preserve"> The 60-day notice comment period ended on July </w:t>
      </w:r>
      <w:r w:rsidR="007A1EBA">
        <w:t>23, 2024</w:t>
      </w:r>
      <w:r w:rsidR="004D0FA7">
        <w:t>,</w:t>
      </w:r>
      <w:r w:rsidR="00F36F08">
        <w:t xml:space="preserve"> with no </w:t>
      </w:r>
      <w:r w:rsidR="006A5E02">
        <w:t>comments received</w:t>
      </w:r>
      <w:r w:rsidR="007A1EBA">
        <w:t>.</w:t>
      </w:r>
    </w:p>
    <w:p w:rsidR="00CF6204" w:rsidP="00F00E00" w14:paraId="14E3652B" w14:textId="0E759378">
      <w:pPr>
        <w:spacing w:after="0" w:line="480" w:lineRule="auto"/>
        <w:ind w:left="14" w:hanging="14"/>
      </w:pPr>
      <w:r>
        <w:rPr>
          <w:b/>
        </w:rPr>
        <w:t>DATES:</w:t>
      </w:r>
      <w:r>
        <w:t xml:space="preserve">  Comments on the collection of information are due [</w:t>
      </w:r>
      <w:r>
        <w:rPr>
          <w:b/>
        </w:rPr>
        <w:t xml:space="preserve">INSERT DATE </w:t>
      </w:r>
      <w:r w:rsidR="001276DF">
        <w:rPr>
          <w:b/>
        </w:rPr>
        <w:t>30</w:t>
      </w:r>
      <w:r>
        <w:rPr>
          <w:b/>
        </w:rPr>
        <w:t xml:space="preserve"> days after date of publication in the Federal Register</w:t>
      </w:r>
      <w:r>
        <w:t>].</w:t>
      </w:r>
    </w:p>
    <w:p w:rsidR="00822279" w:rsidRPr="00BB5EF5" w:rsidP="00822279" w14:paraId="6543E2F4" w14:textId="438629BE">
      <w:pPr>
        <w:spacing w:line="480" w:lineRule="auto"/>
      </w:pPr>
      <w:r w:rsidRPr="00524164">
        <w:rPr>
          <w:b/>
        </w:rPr>
        <w:t>ADDRESSES:</w:t>
      </w:r>
      <w:r w:rsidRPr="00524164">
        <w:t xml:space="preserve"> </w:t>
      </w:r>
      <w:r w:rsidRPr="00BB5EF5">
        <w:rPr>
          <w:iCs/>
        </w:rPr>
        <w:t>Send written comments on FERC-</w:t>
      </w:r>
      <w:r>
        <w:t xml:space="preserve">725B (1902-0248) </w:t>
      </w:r>
      <w:r w:rsidRPr="00BB5EF5">
        <w:rPr>
          <w:iCs/>
        </w:rPr>
        <w:t xml:space="preserve">to OMB through </w:t>
      </w:r>
      <w:hyperlink r:id="rId11">
        <w:r w:rsidRPr="3D33D731">
          <w:rPr>
            <w:rStyle w:val="Hyperlink"/>
          </w:rPr>
          <w:t>www.reginfo.gov/public/do/PRAMain</w:t>
        </w:r>
      </w:hyperlink>
      <w:r>
        <w:t>.</w:t>
      </w:r>
      <w:r w:rsidRPr="00BB5EF5">
        <w:rPr>
          <w:iCs/>
        </w:rPr>
        <w:t xml:space="preserve">  Attention:  Federal Energy Regulatory Commission Desk Officer.  Please identify the OMB Control Number</w:t>
      </w:r>
      <w:r>
        <w:rPr>
          <w:iCs/>
        </w:rPr>
        <w:t xml:space="preserve">s </w:t>
      </w:r>
      <w:r w:rsidRPr="00BB5EF5">
        <w:rPr>
          <w:iCs/>
        </w:rPr>
        <w:t>in the subject line of your comments.  Comments</w:t>
      </w:r>
      <w:r w:rsidRPr="00BB5EF5">
        <w:t xml:space="preserve"> should be sent </w:t>
      </w:r>
      <w:bookmarkStart w:id="0" w:name="_Hlk35891527"/>
      <w:r w:rsidRPr="00BB5EF5">
        <w:t xml:space="preserve">within 30 days of publication of this notice to </w:t>
      </w:r>
      <w:bookmarkStart w:id="1" w:name="_Hlk38028221"/>
      <w:hyperlink r:id="rId11" w:history="1">
        <w:r w:rsidRPr="00BB5EF5">
          <w:rPr>
            <w:rStyle w:val="Hyperlink"/>
          </w:rPr>
          <w:t>www.reginfo.gov/public/do/PRAMain</w:t>
        </w:r>
      </w:hyperlink>
      <w:r w:rsidRPr="00BB5EF5">
        <w:t>.</w:t>
      </w:r>
      <w:bookmarkEnd w:id="0"/>
      <w:bookmarkEnd w:id="1"/>
    </w:p>
    <w:p w:rsidR="00822279" w:rsidRPr="00BB5EF5" w:rsidP="00822279" w14:paraId="7866A1A0" w14:textId="00010A50">
      <w:pPr>
        <w:spacing w:line="480" w:lineRule="auto"/>
      </w:pPr>
      <w:r>
        <w:t>Please submit copies of your comments to the Commission.  You may submit copies of your comments (identified by Docket No. RD24-3-000) by one of the following methods:</w:t>
      </w:r>
    </w:p>
    <w:p w:rsidR="00822279" w:rsidRPr="00BB5EF5" w:rsidP="00822279" w14:paraId="1453620D" w14:textId="77777777">
      <w:pPr>
        <w:spacing w:line="480" w:lineRule="auto"/>
      </w:pPr>
      <w:r>
        <w:t xml:space="preserve">Electronic filing through </w:t>
      </w:r>
      <w:hyperlink r:id="rId12" w:history="1">
        <w:r w:rsidRPr="00FC39BA">
          <w:rPr>
            <w:rStyle w:val="Hyperlink"/>
          </w:rPr>
          <w:t>https://www.ferc.gov</w:t>
        </w:r>
      </w:hyperlink>
      <w:r>
        <w:t>, is preferred.</w:t>
      </w:r>
    </w:p>
    <w:p w:rsidR="00822279" w:rsidRPr="00BB5EF5" w:rsidP="00822279" w14:paraId="5DE547FD" w14:textId="77777777">
      <w:pPr>
        <w:numPr>
          <w:ilvl w:val="0"/>
          <w:numId w:val="6"/>
        </w:numPr>
        <w:spacing w:after="0" w:line="480" w:lineRule="auto"/>
      </w:pPr>
      <w:r w:rsidRPr="00BB5EF5">
        <w:t xml:space="preserve">Electronic Filing: Documents must be filed in acceptable native applications and print-to-PDF, but not in scanned or picture format. </w:t>
      </w:r>
    </w:p>
    <w:p w:rsidR="00822279" w:rsidRPr="00BB5EF5" w:rsidP="00822279" w14:paraId="4007A8C0" w14:textId="77777777">
      <w:pPr>
        <w:numPr>
          <w:ilvl w:val="0"/>
          <w:numId w:val="6"/>
        </w:numPr>
        <w:spacing w:after="0" w:line="480" w:lineRule="auto"/>
      </w:pPr>
      <w:r w:rsidRPr="00BB5EF5">
        <w:t>For those unable to file electronically, comments may be filed by USPS mail or by hand (including courier) delivery.</w:t>
      </w:r>
    </w:p>
    <w:p w:rsidR="00822279" w:rsidRPr="00BB5EF5" w:rsidP="00822279" w14:paraId="00E1A08D" w14:textId="77777777">
      <w:pPr>
        <w:numPr>
          <w:ilvl w:val="1"/>
          <w:numId w:val="6"/>
        </w:numPr>
        <w:spacing w:after="0" w:line="480" w:lineRule="auto"/>
      </w:pPr>
      <w:r w:rsidRPr="00BB5EF5">
        <w:t>Mail via U.S. Postal Service Only: Addressed to: Federal Energy Regulatory Commission, Secretary of the Commission, 888 First Street, N.E., Washington, DC 20426.</w:t>
      </w:r>
    </w:p>
    <w:p w:rsidR="00822279" w:rsidRPr="00BB5EF5" w:rsidP="00822279" w14:paraId="6AD8E9AF" w14:textId="77777777">
      <w:pPr>
        <w:numPr>
          <w:ilvl w:val="1"/>
          <w:numId w:val="6"/>
        </w:numPr>
        <w:spacing w:after="0" w:line="480" w:lineRule="auto"/>
      </w:pPr>
      <w:r w:rsidRPr="00BB5EF5">
        <w:t xml:space="preserve">Hand (including courier) delivery: Deliver to: Federal Energy Regulatory Commission, </w:t>
      </w:r>
      <w:r>
        <w:t xml:space="preserve">Secretary of the Commission, </w:t>
      </w:r>
      <w:r w:rsidRPr="00BB5EF5">
        <w:t>12225 Wilkins Avenue, Rockville, MD 20852.</w:t>
      </w:r>
    </w:p>
    <w:p w:rsidR="00822279" w:rsidRPr="00BB5EF5" w:rsidP="00822279" w14:paraId="1E89BBB7" w14:textId="77777777">
      <w:pPr>
        <w:spacing w:line="480" w:lineRule="auto"/>
      </w:pPr>
      <w:bookmarkStart w:id="2" w:name="OLE_LINK1"/>
      <w:r w:rsidRPr="00BB5EF5">
        <w:rPr>
          <w:i/>
        </w:rPr>
        <w:t>Instructions</w:t>
      </w:r>
      <w:r w:rsidRPr="00BB5EF5">
        <w:rPr>
          <w:iCs/>
        </w:rPr>
        <w:t>:</w:t>
      </w:r>
      <w:r w:rsidRPr="00BB5EF5">
        <w:rPr>
          <w:i/>
        </w:rPr>
        <w:t xml:space="preserve">  </w:t>
      </w:r>
      <w:r w:rsidRPr="00BB5EF5">
        <w:rPr>
          <w:iCs/>
        </w:rPr>
        <w:t xml:space="preserve">OMB submissions </w:t>
      </w:r>
      <w:r w:rsidRPr="00BB5EF5">
        <w:t>must be formatted and filed in accordance with submission guidelines at</w:t>
      </w:r>
      <w:r w:rsidRPr="00BB5EF5">
        <w:rPr>
          <w:i/>
        </w:rPr>
        <w:t xml:space="preserve"> </w:t>
      </w:r>
      <w:hyperlink r:id="rId11" w:history="1">
        <w:r w:rsidRPr="00BB5EF5">
          <w:rPr>
            <w:rStyle w:val="Hyperlink"/>
          </w:rPr>
          <w:t>www.reginfo.gov/public/do/PRAMain</w:t>
        </w:r>
      </w:hyperlink>
      <w:r w:rsidRPr="00BB5EF5">
        <w:rPr>
          <w:u w:val="single"/>
        </w:rPr>
        <w:t>.</w:t>
      </w:r>
      <w:r w:rsidRPr="00BB5EF5">
        <w:t xml:space="preserve">  Using the search function under the “Currently Under Review” field, select Federal Energy Regulatory Commission; click “submit,” and select “comment” to the right of the subject collection.</w:t>
      </w:r>
    </w:p>
    <w:p w:rsidR="00822279" w:rsidRPr="00BB5EF5" w:rsidP="00822279" w14:paraId="24F3121B" w14:textId="77777777">
      <w:pPr>
        <w:spacing w:line="480" w:lineRule="auto"/>
      </w:pPr>
      <w:r w:rsidRPr="128FFB1D">
        <w:rPr>
          <w:i/>
          <w:iCs/>
        </w:rPr>
        <w:t>FERC submissions</w:t>
      </w:r>
      <w:r>
        <w:t xml:space="preserve"> </w:t>
      </w:r>
      <w:bookmarkStart w:id="3" w:name="_Hlk38028397"/>
      <w:r>
        <w:t>must be formatted and filed in accordance with submission guidelines at</w:t>
      </w:r>
      <w:bookmarkEnd w:id="3"/>
      <w:r>
        <w:t xml:space="preserve">: </w:t>
      </w:r>
      <w:hyperlink r:id="rId12" w:history="1">
        <w:r w:rsidRPr="00FC39BA">
          <w:rPr>
            <w:rStyle w:val="Hyperlink"/>
          </w:rPr>
          <w:t>https://www.ferc.gov</w:t>
        </w:r>
      </w:hyperlink>
      <w:r>
        <w:t>.  For user assistance, contact FERC Online Support by e-mail at ferconlinesupport@ferc.gov, or by phone at: (866) 208-3676 (toll-free).</w:t>
      </w:r>
    </w:p>
    <w:p w:rsidR="00822279" w:rsidP="00822279" w14:paraId="18D7095C" w14:textId="1E2DAEC6">
      <w:pPr>
        <w:spacing w:line="480" w:lineRule="auto"/>
      </w:pPr>
      <w:r w:rsidRPr="00BB5EF5">
        <w:rPr>
          <w:i/>
        </w:rPr>
        <w:t>Docket</w:t>
      </w:r>
      <w:r w:rsidRPr="00BB5EF5">
        <w:rPr>
          <w:iCs/>
        </w:rPr>
        <w:t xml:space="preserve">:  </w:t>
      </w:r>
      <w:r w:rsidRPr="00BB5EF5">
        <w:t xml:space="preserve">Users interested in receiving automatic notification of activity in this docket or in viewing/downloading comments and issuances in this docket may do so at </w:t>
      </w:r>
      <w:hyperlink r:id="rId13" w:history="1">
        <w:r w:rsidRPr="00BB5EF5">
          <w:rPr>
            <w:rStyle w:val="Hyperlink"/>
          </w:rPr>
          <w:t>https://www.ferc.gov/ferc-online/overview</w:t>
        </w:r>
      </w:hyperlink>
      <w:r w:rsidRPr="00BB5EF5">
        <w:t xml:space="preserve">. </w:t>
      </w:r>
      <w:bookmarkEnd w:id="2"/>
    </w:p>
    <w:p w:rsidR="005C2536" w:rsidRPr="00761384" w:rsidP="00F00E00" w14:paraId="78018B03" w14:textId="7511AD12">
      <w:pPr>
        <w:spacing w:after="0" w:line="480" w:lineRule="auto"/>
        <w:ind w:left="0" w:firstLine="0"/>
      </w:pPr>
      <w:r w:rsidRPr="517C4A6C">
        <w:rPr>
          <w:b/>
          <w:bCs/>
        </w:rPr>
        <w:t>FOR FURTHER INFORMATION:</w:t>
      </w:r>
      <w:r>
        <w:t xml:space="preserve">  </w:t>
      </w:r>
      <w:r w:rsidR="087E1A46">
        <w:t>Kayla Williams</w:t>
      </w:r>
      <w:r>
        <w:t xml:space="preserve"> may be reached by e-mail at </w:t>
      </w:r>
      <w:hyperlink r:id="rId14">
        <w:r w:rsidRPr="517C4A6C">
          <w:rPr>
            <w:rStyle w:val="Hyperlink"/>
          </w:rPr>
          <w:t>DataClearance@FERC.gov</w:t>
        </w:r>
      </w:hyperlink>
      <w:r>
        <w:t>, telephone at (202) 502-6</w:t>
      </w:r>
      <w:r w:rsidR="16E8E43B">
        <w:t>46</w:t>
      </w:r>
      <w:r w:rsidR="087850AF">
        <w:t>8</w:t>
      </w:r>
      <w:r>
        <w:t>.</w:t>
      </w:r>
    </w:p>
    <w:p w:rsidR="00CF6204" w:rsidP="00F00E00" w14:paraId="655CBD84" w14:textId="77777777">
      <w:pPr>
        <w:spacing w:after="0" w:line="480" w:lineRule="auto"/>
        <w:ind w:left="0" w:firstLine="0"/>
      </w:pPr>
      <w:r>
        <w:rPr>
          <w:b/>
        </w:rPr>
        <w:t>SUPPLEMENTARY INFORMATION:</w:t>
      </w:r>
      <w:r>
        <w:t xml:space="preserve">  </w:t>
      </w:r>
    </w:p>
    <w:p w:rsidR="005E284C" w:rsidP="00F00E00" w14:paraId="39AD08E2" w14:textId="0AAAB79B">
      <w:pPr>
        <w:spacing w:after="0" w:line="480" w:lineRule="auto"/>
        <w:ind w:left="0"/>
      </w:pPr>
      <w:r>
        <w:rPr>
          <w:i/>
        </w:rPr>
        <w:t xml:space="preserve">Title: </w:t>
      </w:r>
      <w:r>
        <w:t>FERC-725B</w:t>
      </w:r>
      <w:r w:rsidR="00112800">
        <w:t>,</w:t>
      </w:r>
      <w:r>
        <w:t xml:space="preserve"> Mandatory Reliability Standards, Critical Infrastructure Protection </w:t>
      </w:r>
      <w:r>
        <w:t>(CIP)</w:t>
      </w:r>
      <w:r w:rsidR="00112800">
        <w:t xml:space="preserve"> </w:t>
      </w:r>
      <w:r>
        <w:t>(</w:t>
      </w:r>
      <w:r>
        <w:t xml:space="preserve">Update to </w:t>
      </w:r>
      <w:r>
        <w:t>CIP-0</w:t>
      </w:r>
      <w:r w:rsidR="0085395A">
        <w:t>12</w:t>
      </w:r>
      <w:r>
        <w:t>-</w:t>
      </w:r>
      <w:r w:rsidR="0085395A">
        <w:t>2</w:t>
      </w:r>
      <w:r>
        <w:t>)</w:t>
      </w:r>
    </w:p>
    <w:p w:rsidR="005E284C" w:rsidP="00F00E00" w14:paraId="4C97D5DC" w14:textId="3E3AA689">
      <w:pPr>
        <w:spacing w:after="0" w:line="480" w:lineRule="auto"/>
        <w:ind w:left="0"/>
      </w:pPr>
      <w:r>
        <w:rPr>
          <w:i/>
        </w:rPr>
        <w:t xml:space="preserve">OMB Control No.: </w:t>
      </w:r>
      <w:r>
        <w:t>1902-</w:t>
      </w:r>
      <w:r w:rsidR="005C2536">
        <w:t>0248</w:t>
      </w:r>
    </w:p>
    <w:p w:rsidR="00CF6204" w:rsidP="00F00E00" w14:paraId="34124FB6" w14:textId="5252693C">
      <w:pPr>
        <w:spacing w:after="0" w:line="480" w:lineRule="auto"/>
        <w:ind w:left="0"/>
      </w:pPr>
      <w:r>
        <w:rPr>
          <w:i/>
        </w:rPr>
        <w:t xml:space="preserve">Type of Request: </w:t>
      </w:r>
      <w:r w:rsidR="005C2536">
        <w:t xml:space="preserve">Revision of a currently approved </w:t>
      </w:r>
      <w:r>
        <w:t>FERC-725B information collection requirements with changes to the reporting requirements.</w:t>
      </w:r>
    </w:p>
    <w:p w:rsidR="00CF6204" w:rsidP="00F00E00" w14:paraId="3D88D13C" w14:textId="6A89C7A9">
      <w:pPr>
        <w:spacing w:after="0" w:line="480" w:lineRule="auto"/>
        <w:ind w:left="0"/>
      </w:pPr>
      <w:r>
        <w:rPr>
          <w:i/>
        </w:rPr>
        <w:t xml:space="preserve">Abstract: </w:t>
      </w:r>
      <w:r>
        <w:t>On August 8, 2005, Congress enacted the Energy Policy Act of 2005.</w:t>
      </w:r>
      <w:r>
        <w:rPr>
          <w:rStyle w:val="FootnoteReference"/>
        </w:rPr>
        <w:footnoteReference w:id="3"/>
      </w:r>
      <w:r>
        <w:t xml:space="preserve">  The Energy Policy Act of 2005 added a new section 215 to the Federal Power Act (FPA),</w:t>
      </w:r>
      <w:r>
        <w:rPr>
          <w:rStyle w:val="FootnoteReference"/>
        </w:rPr>
        <w:footnoteReference w:id="4"/>
      </w:r>
      <w:r>
        <w:rPr>
          <w:b/>
          <w:vertAlign w:val="superscript"/>
        </w:rPr>
        <w:t xml:space="preserve"> </w:t>
      </w:r>
      <w:r>
        <w:t>which requires a Commission-certified Electric Reliability Organization to develop mandatory and enforceable Reliability Standards,</w:t>
      </w:r>
      <w:r>
        <w:rPr>
          <w:rStyle w:val="FootnoteReference"/>
        </w:rPr>
        <w:footnoteReference w:id="5"/>
      </w:r>
      <w:r>
        <w:rPr>
          <w:b/>
          <w:vertAlign w:val="superscript"/>
        </w:rPr>
        <w:t xml:space="preserve"> </w:t>
      </w:r>
      <w:r>
        <w:t xml:space="preserve">including requirements for cybersecurity protection, which are subject to Commission review and approval.  Once </w:t>
      </w:r>
      <w:r>
        <w:t>approved, the Reliability Standards may be enforced by the Electric Reliability Organization subject to Commission oversight, or the Commission can independently enforce Reliability Standards.</w:t>
      </w:r>
    </w:p>
    <w:p w:rsidR="00CF6204" w:rsidP="00F00E00" w14:paraId="44CFB5A6" w14:textId="4520F35C">
      <w:pPr>
        <w:spacing w:after="0" w:line="480" w:lineRule="auto"/>
        <w:ind w:left="0"/>
      </w:pPr>
      <w:r>
        <w:t>On February 3, 2006, the Commission issued Order No. 672,</w:t>
      </w:r>
      <w:r>
        <w:rPr>
          <w:rStyle w:val="FootnoteReference"/>
        </w:rPr>
        <w:footnoteReference w:id="6"/>
      </w:r>
      <w:r>
        <w:rPr>
          <w:b/>
          <w:vertAlign w:val="superscript"/>
        </w:rPr>
        <w:t xml:space="preserve"> </w:t>
      </w:r>
      <w:r>
        <w:t xml:space="preserve">implementing FPA </w:t>
      </w:r>
      <w:r w:rsidR="005E284C">
        <w:t>S</w:t>
      </w:r>
      <w:r>
        <w:t xml:space="preserve">ection </w:t>
      </w:r>
    </w:p>
    <w:p w:rsidR="00070163" w:rsidP="00F00E00" w14:paraId="39E43D77" w14:textId="1F4302A8">
      <w:pPr>
        <w:spacing w:after="0" w:line="480" w:lineRule="auto"/>
        <w:ind w:left="0"/>
      </w:pPr>
      <w:r>
        <w:t>215.  The Commission subsequently certified the North American Electric Reliability Corporation (NERC) as the Electric Reliability Organization.  The Reliability Standards developed by NERC become mandatory and enforceable after Commission approval and apply to users, owners, and operators of the Bulk-Power System, as set forth in each Reliability Standard.</w:t>
      </w:r>
      <w:r>
        <w:rPr>
          <w:rStyle w:val="FootnoteReference"/>
        </w:rPr>
        <w:footnoteReference w:id="7"/>
      </w:r>
      <w:r>
        <w:t xml:space="preserve">  The CIP Reliability Standards require entities to comply with specific requirements to safeguard bulk electric system (BES) Cyber Systems</w:t>
      </w:r>
      <w:r>
        <w:rPr>
          <w:rStyle w:val="FootnoteReference"/>
        </w:rPr>
        <w:footnoteReference w:id="8"/>
      </w:r>
      <w:r>
        <w:rPr>
          <w:b/>
          <w:vertAlign w:val="superscript"/>
        </w:rPr>
        <w:t xml:space="preserve"> </w:t>
      </w:r>
      <w:r>
        <w:t xml:space="preserve">and their </w:t>
      </w:r>
      <w:r>
        <w:t>associated BES Cyber Assets.  These standards are results-based and do not specify a technology or method to achieve compliance, instead leaving it up to the entity to decide how best to comply.</w:t>
      </w:r>
    </w:p>
    <w:p w:rsidR="00B50F2E" w:rsidP="00F00E00" w14:paraId="4A3D3291" w14:textId="4B5FC4AA">
      <w:pPr>
        <w:spacing w:after="0" w:line="480" w:lineRule="auto"/>
        <w:ind w:left="14" w:hanging="14"/>
      </w:pPr>
      <w:r>
        <w:t xml:space="preserve">The Commission has approved multiple versions of the CIP Reliability Standards submitted by NERC, partly to address the evolving nature of cyber-related threats to the Bulk-Power System.  </w:t>
      </w:r>
      <w:r w:rsidR="00D47368">
        <w:t>High impact</w:t>
      </w:r>
      <w:r>
        <w:t xml:space="preserve"> systems include large control centers.  Medium impact systems include smaller control centers, ultra-high voltage transmission</w:t>
      </w:r>
      <w:r w:rsidR="00341E52">
        <w:t xml:space="preserve"> lines</w:t>
      </w:r>
      <w:r>
        <w:t>, large substations</w:t>
      </w:r>
      <w:r w:rsidR="00341E52">
        <w:t>,</w:t>
      </w:r>
      <w:r>
        <w:t xml:space="preserve"> and generating facilities.  The remainder of the BES Cyber Systems are categorized as </w:t>
      </w:r>
      <w:r w:rsidR="00D47368">
        <w:t>low impact</w:t>
      </w:r>
      <w:r>
        <w:t xml:space="preserve"> systems.  Most requirements in the CIP Reliability Standards apply to high and medium</w:t>
      </w:r>
      <w:r w:rsidR="00D47368">
        <w:t xml:space="preserve"> </w:t>
      </w:r>
      <w:r>
        <w:t>impact systems; however, a technical controls requirement in Reliability standard CIP-0</w:t>
      </w:r>
      <w:r w:rsidR="0085395A">
        <w:t>12</w:t>
      </w:r>
      <w:r>
        <w:t xml:space="preserve">, described below, applies to </w:t>
      </w:r>
      <w:r w:rsidR="0085395A">
        <w:t xml:space="preserve">all (low, </w:t>
      </w:r>
      <w:r w:rsidR="0085395A">
        <w:t>medium</w:t>
      </w:r>
      <w:r w:rsidR="0085395A">
        <w:t xml:space="preserve"> and high) impact Control Centers</w:t>
      </w:r>
      <w:r>
        <w:t xml:space="preserve">. </w:t>
      </w:r>
    </w:p>
    <w:p w:rsidR="00C73C91" w:rsidP="00F00E00" w14:paraId="607BF8AD" w14:textId="32ACD7AA">
      <w:pPr>
        <w:spacing w:after="0" w:line="480" w:lineRule="auto"/>
        <w:ind w:left="14" w:hanging="14"/>
      </w:pPr>
      <w:r>
        <w:t xml:space="preserve">The FERC-725B information collection requirements are subject to review by the Office of Management and Budget (OMB) under section 3507(d) of the Paperwork Reduction </w:t>
      </w:r>
      <w:r>
        <w:t>Act of 1995.</w:t>
      </w:r>
      <w:r>
        <w:rPr>
          <w:rStyle w:val="FootnoteReference"/>
        </w:rPr>
        <w:footnoteReference w:id="9"/>
      </w:r>
      <w:r>
        <w:t xml:space="preserve">  OMB’s regulations require approval of certain information collection requirements imposed by agency rules.</w:t>
      </w:r>
      <w:r>
        <w:rPr>
          <w:rStyle w:val="FootnoteReference"/>
        </w:rPr>
        <w:footnoteReference w:id="10"/>
      </w:r>
      <w:r>
        <w:t xml:space="preserve">  Upon approval of a collection of information, OMB will assign an OMB control number and expiration date.  Respondents subject to the filing requirements will not be penalized for failing to respond to these collections of information unless the collections of information display a valid OMB control number.  The Commission solicits comments on the Commission’s need for this information, whether the information will have practical utility, the accuracy of the burden estimates, ways to enhance the quality, utility, and clarity of the information to be collected or retained, and any suggested methods for minimizing respondents’ burden, including the use of automated information techniques.</w:t>
      </w:r>
    </w:p>
    <w:p w:rsidR="008C763E" w:rsidP="00F00E00" w14:paraId="123DF717" w14:textId="2BDA71D2">
      <w:pPr>
        <w:spacing w:after="0" w:line="480" w:lineRule="auto"/>
        <w:ind w:left="14" w:hanging="14"/>
        <w:rPr>
          <w:i/>
        </w:rPr>
      </w:pPr>
      <w:r>
        <w:t>Reliability Standard CIP-0</w:t>
      </w:r>
      <w:r w:rsidR="00C73C91">
        <w:t>12</w:t>
      </w:r>
      <w:r>
        <w:t>-</w:t>
      </w:r>
      <w:r w:rsidR="00C73C91">
        <w:t>2</w:t>
      </w:r>
      <w:r w:rsidR="00F01D4A">
        <w:t xml:space="preserve"> </w:t>
      </w:r>
      <w:r w:rsidRPr="00F01D4A" w:rsidR="00F01D4A">
        <w:t>– Communications between Control Centers</w:t>
      </w:r>
      <w:r>
        <w:t xml:space="preserve">:  requires entities to </w:t>
      </w:r>
      <w:r w:rsidR="00105DB2">
        <w:t>protect the confidentiality, integrity, and availability and integrity of data transmitted between Control Centers</w:t>
      </w:r>
      <w:r w:rsidR="003A6B39">
        <w:t xml:space="preserve"> </w:t>
      </w:r>
      <w:r>
        <w:t>that could lead to mis-operation or instability on the Bulk-Power System.  Specifically, the Reliability Standard CIP-0</w:t>
      </w:r>
      <w:r w:rsidR="0085395A">
        <w:t>12</w:t>
      </w:r>
      <w:r>
        <w:t>-</w:t>
      </w:r>
      <w:r w:rsidR="0085395A">
        <w:t>2</w:t>
      </w:r>
      <w:r>
        <w:t xml:space="preserve"> is revised to add requirements for entities</w:t>
      </w:r>
      <w:r w:rsidR="00355FD6">
        <w:t xml:space="preserve"> to provide protections of the availability of communication links and sensitive data transmitted between BES Control Centers</w:t>
      </w:r>
      <w:r>
        <w:t>.  It is part of the implementation of the Congressional mandate of the Energy Policy Act of 2005 to develop mandatory and enforceable Reliability Standards to better ensure the reliability of the nation’s Bulk-Power System.</w:t>
      </w:r>
    </w:p>
    <w:p w:rsidR="00CF6204" w:rsidRPr="008C763E" w:rsidP="00F00E00" w14:paraId="63596B1D" w14:textId="12925119">
      <w:pPr>
        <w:spacing w:after="0" w:line="480" w:lineRule="auto"/>
        <w:ind w:left="14" w:hanging="14"/>
        <w:rPr>
          <w:i/>
        </w:rPr>
      </w:pPr>
      <w:r>
        <w:rPr>
          <w:i/>
        </w:rPr>
        <w:t>Type of Respondents</w:t>
      </w:r>
      <w:r>
        <w:t>: Business or other for profit, and not for profit institutions.</w:t>
      </w:r>
    </w:p>
    <w:p w:rsidR="00CF6204" w:rsidP="00F00E00" w14:paraId="5C5B6F1C" w14:textId="0EF7214E">
      <w:pPr>
        <w:spacing w:after="0" w:line="480" w:lineRule="auto"/>
        <w:ind w:left="0" w:firstLine="0"/>
      </w:pPr>
      <w:r>
        <w:rPr>
          <w:i/>
        </w:rPr>
        <w:t>Estimate of Annual Burden:</w:t>
      </w:r>
      <w:r>
        <w:rPr>
          <w:b/>
          <w:vertAlign w:val="superscript"/>
        </w:rPr>
        <w:footnoteReference w:id="11"/>
      </w:r>
      <w:r w:rsidR="00F452DA">
        <w:rPr>
          <w:i/>
        </w:rPr>
        <w:t xml:space="preserve"> </w:t>
      </w:r>
      <w:r>
        <w:t>The Commission bases its paperwork burden estimates on the changes in paperwork burden presented by the proposed revision to CIP Reliability Standard CIP-0</w:t>
      </w:r>
      <w:r w:rsidR="0085395A">
        <w:t>12</w:t>
      </w:r>
      <w:r>
        <w:t>-</w:t>
      </w:r>
      <w:r w:rsidR="0085395A">
        <w:t>2</w:t>
      </w:r>
      <w:r>
        <w:t xml:space="preserve"> as compared to the current Commission-approved Reliability Standard CIP-0</w:t>
      </w:r>
      <w:r w:rsidR="0085395A">
        <w:t>12</w:t>
      </w:r>
      <w:r>
        <w:t>-</w:t>
      </w:r>
      <w:r w:rsidR="0085395A">
        <w:t>1</w:t>
      </w:r>
      <w:r>
        <w:t xml:space="preserve">.  As discussed above, the immediate order addresses the area of modification to the CIP Reliability Standards:  </w:t>
      </w:r>
      <w:r w:rsidR="004F1EF8">
        <w:t>modifications to provide protections of the availability of communication links and sensitive data transmitted between BES Control Centers</w:t>
      </w:r>
      <w:r>
        <w:t>.</w:t>
      </w:r>
    </w:p>
    <w:p w:rsidR="00CF6204" w:rsidP="00F00E00" w14:paraId="3AC2629C" w14:textId="475F5019">
      <w:pPr>
        <w:spacing w:after="0" w:line="480" w:lineRule="auto"/>
        <w:ind w:left="14" w:hanging="14"/>
      </w:pPr>
      <w:r>
        <w:t>The CIP Reliability Standards, viewed as a whole, implement a defense-in-depth approach to protecting the security of BES Cyber Systems at all impact levels.</w:t>
      </w:r>
      <w:r>
        <w:rPr>
          <w:rStyle w:val="FootnoteReference"/>
        </w:rPr>
        <w:footnoteReference w:id="12"/>
      </w:r>
      <w:r>
        <w:t xml:space="preserve">  The CIP </w:t>
      </w:r>
    </w:p>
    <w:p w:rsidR="00C96BC4" w:rsidP="000B5B70" w14:paraId="0088AA0A" w14:textId="300E8D56">
      <w:pPr>
        <w:pStyle w:val="FERCparanumber"/>
        <w:numPr>
          <w:ilvl w:val="0"/>
          <w:numId w:val="0"/>
        </w:numPr>
      </w:pPr>
      <w:r>
        <w:t>Reliability Standards are objective-based and allow entities to choose compliance approaches best tailored to their systems.</w:t>
      </w:r>
      <w:r>
        <w:rPr>
          <w:rStyle w:val="FootnoteReference"/>
        </w:rPr>
        <w:footnoteReference w:id="13"/>
      </w:r>
      <w:r w:rsidRPr="5D1D2367">
        <w:rPr>
          <w:b/>
          <w:bCs/>
          <w:vertAlign w:val="superscript"/>
        </w:rPr>
        <w:t xml:space="preserve"> </w:t>
      </w:r>
      <w:r w:rsidRPr="00AF5F22" w:rsidR="0BB1CE20">
        <w:t>The NERC Compliance Registry</w:t>
      </w:r>
      <w:r w:rsidR="0BB1CE20">
        <w:t>,</w:t>
      </w:r>
      <w:r w:rsidRPr="00AF5F22" w:rsidR="0BB1CE20">
        <w:t xml:space="preserve"> as of </w:t>
      </w:r>
      <w:r w:rsidR="45EBD496">
        <w:t>March 15, 2024</w:t>
      </w:r>
      <w:r w:rsidR="0BB1CE20">
        <w:t>, identifies</w:t>
      </w:r>
      <w:r w:rsidRPr="00933D1C" w:rsidR="0BB1CE20">
        <w:t xml:space="preserve"> </w:t>
      </w:r>
      <w:r w:rsidRPr="005E284C" w:rsidR="0BB1CE20">
        <w:t>approximately 1,</w:t>
      </w:r>
      <w:r w:rsidRPr="005E284C" w:rsidR="7CE46391">
        <w:t>6</w:t>
      </w:r>
      <w:r w:rsidRPr="005E284C" w:rsidR="00E453C3">
        <w:t>10</w:t>
      </w:r>
      <w:r w:rsidR="0BB1CE20">
        <w:t xml:space="preserve"> unique</w:t>
      </w:r>
      <w:r w:rsidRPr="00933D1C" w:rsidR="0BB1CE20">
        <w:t xml:space="preserve"> </w:t>
      </w:r>
      <w:r w:rsidR="0BB1CE20">
        <w:t>U.S. entities that are</w:t>
      </w:r>
      <w:r w:rsidRPr="00933D1C" w:rsidR="0BB1CE20">
        <w:t xml:space="preserve"> </w:t>
      </w:r>
      <w:r w:rsidR="0BB1CE20">
        <w:t xml:space="preserve">subject to mandatory </w:t>
      </w:r>
      <w:r w:rsidRPr="00933D1C" w:rsidR="0BB1CE20">
        <w:t>compliance</w:t>
      </w:r>
      <w:r w:rsidR="0BB1CE20">
        <w:t xml:space="preserve"> </w:t>
      </w:r>
      <w:r w:rsidRPr="005E284C" w:rsidR="0BB1CE20">
        <w:t xml:space="preserve">with </w:t>
      </w:r>
      <w:r w:rsidRPr="005E284C" w:rsidR="5E5DA89C">
        <w:t>CIP</w:t>
      </w:r>
      <w:r w:rsidR="5E5DA89C">
        <w:t xml:space="preserve"> </w:t>
      </w:r>
      <w:r w:rsidR="0BB1CE20">
        <w:t xml:space="preserve">Reliability Standards.  Of this total, we estimate that </w:t>
      </w:r>
      <w:r w:rsidRPr="005E284C" w:rsidR="0B756785">
        <w:t>730</w:t>
      </w:r>
      <w:r w:rsidR="0BB1CE20">
        <w:t xml:space="preserve"> entities will face an increased paperwork burden under proposed Reliability Standard CIP-012-</w:t>
      </w:r>
      <w:r w:rsidR="35537E2A">
        <w:t>2</w:t>
      </w:r>
      <w:r w:rsidR="0BB1CE20">
        <w:t xml:space="preserve">.  Based on these assumptions, </w:t>
      </w:r>
      <w:r w:rsidR="53186666">
        <w:t>we</w:t>
      </w:r>
      <w:r w:rsidR="0BB1CE20">
        <w:t xml:space="preserve"> estimate the</w:t>
      </w:r>
      <w:r w:rsidR="53186666">
        <w:t xml:space="preserve"> following reporting burden</w:t>
      </w:r>
      <w:r w:rsidR="5CAFDBC7">
        <w:t>s</w:t>
      </w:r>
      <w:r w:rsidR="0BB1CE20">
        <w:t xml:space="preserve">: </w:t>
      </w:r>
    </w:p>
    <w:tbl>
      <w:tblPr>
        <w:tblW w:w="10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1197"/>
        <w:gridCol w:w="1695"/>
        <w:gridCol w:w="1515"/>
        <w:gridCol w:w="1439"/>
        <w:gridCol w:w="2360"/>
      </w:tblGrid>
      <w:tr w14:paraId="327E1AA1" w14:textId="77777777" w:rsidTr="0D66A6E2">
        <w:tblPrEx>
          <w:tblW w:w="101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41"/>
          <w:tblHeader/>
          <w:jc w:val="right"/>
        </w:trPr>
        <w:tc>
          <w:tcPr>
            <w:tcW w:w="10156" w:type="dxa"/>
            <w:gridSpan w:val="6"/>
            <w:tcBorders>
              <w:bottom w:val="single" w:sz="4" w:space="0" w:color="auto"/>
            </w:tcBorders>
            <w:shd w:val="clear" w:color="auto" w:fill="D9D9D9" w:themeFill="background1" w:themeFillShade="D9"/>
          </w:tcPr>
          <w:p w:rsidR="00C96BC4" w:rsidRPr="002173A7" w:rsidP="00F7256A" w14:paraId="15EFFB08" w14:textId="441E82A6">
            <w:pPr>
              <w:pStyle w:val="FERCparanumber"/>
              <w:numPr>
                <w:ilvl w:val="0"/>
                <w:numId w:val="0"/>
              </w:numPr>
              <w:ind w:left="270"/>
              <w:jc w:val="center"/>
              <w:rPr>
                <w:b/>
                <w:szCs w:val="26"/>
              </w:rPr>
            </w:pPr>
            <w:r>
              <w:rPr>
                <w:b/>
                <w:szCs w:val="26"/>
              </w:rPr>
              <w:t xml:space="preserve">FERC-725B, Modifications </w:t>
            </w:r>
            <w:r w:rsidRPr="002173A7">
              <w:rPr>
                <w:b/>
                <w:szCs w:val="26"/>
              </w:rPr>
              <w:t>in Docket No. R</w:t>
            </w:r>
            <w:r w:rsidR="00C51B32">
              <w:rPr>
                <w:b/>
                <w:szCs w:val="26"/>
              </w:rPr>
              <w:t>D24-</w:t>
            </w:r>
            <w:r w:rsidR="006A7083">
              <w:rPr>
                <w:b/>
                <w:szCs w:val="26"/>
              </w:rPr>
              <w:t>3</w:t>
            </w:r>
            <w:r w:rsidRPr="002173A7">
              <w:rPr>
                <w:b/>
                <w:szCs w:val="26"/>
              </w:rPr>
              <w:t>-000</w:t>
            </w:r>
          </w:p>
        </w:tc>
      </w:tr>
      <w:tr w14:paraId="3701CF64" w14:textId="77777777" w:rsidTr="00614B06">
        <w:tblPrEx>
          <w:tblW w:w="10156" w:type="dxa"/>
          <w:jc w:val="right"/>
          <w:tblLayout w:type="fixed"/>
          <w:tblLook w:val="01E0"/>
        </w:tblPrEx>
        <w:trPr>
          <w:cantSplit/>
          <w:trHeight w:val="1808"/>
          <w:tblHeader/>
          <w:jc w:val="right"/>
        </w:trPr>
        <w:tc>
          <w:tcPr>
            <w:tcW w:w="1950" w:type="dxa"/>
            <w:shd w:val="clear" w:color="auto" w:fill="D9D9D9" w:themeFill="background1" w:themeFillShade="D9"/>
          </w:tcPr>
          <w:p w:rsidR="00C96BC4" w:rsidRPr="002173A7" w:rsidP="00F7256A" w14:paraId="2AD064B9" w14:textId="77777777">
            <w:pPr>
              <w:jc w:val="center"/>
              <w:rPr>
                <w:b/>
                <w:szCs w:val="26"/>
              </w:rPr>
            </w:pPr>
          </w:p>
        </w:tc>
        <w:tc>
          <w:tcPr>
            <w:tcW w:w="1197" w:type="dxa"/>
            <w:shd w:val="clear" w:color="auto" w:fill="D9D9D9" w:themeFill="background1" w:themeFillShade="D9"/>
            <w:vAlign w:val="bottom"/>
          </w:tcPr>
          <w:p w:rsidR="00C96BC4" w:rsidRPr="002173A7" w:rsidP="00F7256A" w14:paraId="17B4E151" w14:textId="77777777">
            <w:pPr>
              <w:jc w:val="center"/>
              <w:rPr>
                <w:b/>
                <w:szCs w:val="26"/>
              </w:rPr>
            </w:pPr>
            <w:r w:rsidRPr="002173A7">
              <w:rPr>
                <w:b/>
                <w:szCs w:val="26"/>
              </w:rPr>
              <w:t>No. of Respondents</w:t>
            </w:r>
          </w:p>
          <w:p w:rsidR="00C96BC4" w:rsidRPr="002173A7" w:rsidP="00F7256A" w14:paraId="1134A2EE" w14:textId="77777777">
            <w:pPr>
              <w:jc w:val="center"/>
              <w:rPr>
                <w:b/>
                <w:szCs w:val="26"/>
              </w:rPr>
            </w:pPr>
            <w:r w:rsidRPr="002173A7">
              <w:rPr>
                <w:b/>
                <w:szCs w:val="26"/>
              </w:rPr>
              <w:t>(1)</w:t>
            </w:r>
          </w:p>
        </w:tc>
        <w:tc>
          <w:tcPr>
            <w:tcW w:w="1695" w:type="dxa"/>
            <w:shd w:val="clear" w:color="auto" w:fill="D9D9D9" w:themeFill="background1" w:themeFillShade="D9"/>
            <w:vAlign w:val="bottom"/>
          </w:tcPr>
          <w:p w:rsidR="00C96BC4" w:rsidRPr="002173A7" w:rsidP="00F7256A" w14:paraId="2B5B2CA9" w14:textId="77777777">
            <w:pPr>
              <w:jc w:val="center"/>
              <w:rPr>
                <w:b/>
                <w:szCs w:val="26"/>
              </w:rPr>
            </w:pPr>
            <w:r w:rsidRPr="002173A7">
              <w:rPr>
                <w:b/>
                <w:szCs w:val="26"/>
              </w:rPr>
              <w:t>No. of Responses</w:t>
            </w:r>
            <w:r>
              <w:rPr>
                <w:b/>
                <w:szCs w:val="26"/>
                <w:vertAlign w:val="superscript"/>
              </w:rPr>
              <w:footnoteReference w:id="14"/>
            </w:r>
            <w:r w:rsidRPr="002173A7">
              <w:rPr>
                <w:b/>
                <w:szCs w:val="26"/>
              </w:rPr>
              <w:t xml:space="preserve"> per Respondent</w:t>
            </w:r>
          </w:p>
          <w:p w:rsidR="00C96BC4" w:rsidRPr="002173A7" w:rsidP="00F7256A" w14:paraId="63CD2752" w14:textId="77777777">
            <w:pPr>
              <w:jc w:val="center"/>
              <w:rPr>
                <w:b/>
                <w:szCs w:val="26"/>
              </w:rPr>
            </w:pPr>
            <w:r w:rsidRPr="002173A7">
              <w:rPr>
                <w:b/>
                <w:szCs w:val="26"/>
              </w:rPr>
              <w:t>(2)</w:t>
            </w:r>
          </w:p>
        </w:tc>
        <w:tc>
          <w:tcPr>
            <w:tcW w:w="1515" w:type="dxa"/>
            <w:shd w:val="clear" w:color="auto" w:fill="D9D9D9" w:themeFill="background1" w:themeFillShade="D9"/>
            <w:vAlign w:val="bottom"/>
          </w:tcPr>
          <w:p w:rsidR="00C96BC4" w:rsidRPr="002173A7" w:rsidP="00F7256A" w14:paraId="506A67C4" w14:textId="77777777">
            <w:pPr>
              <w:jc w:val="center"/>
              <w:rPr>
                <w:b/>
                <w:szCs w:val="26"/>
              </w:rPr>
            </w:pPr>
            <w:r w:rsidRPr="002173A7">
              <w:rPr>
                <w:b/>
                <w:szCs w:val="26"/>
              </w:rPr>
              <w:t>Total No. of Responses</w:t>
            </w:r>
          </w:p>
          <w:p w:rsidR="00C96BC4" w:rsidRPr="002173A7" w:rsidP="00F7256A" w14:paraId="1D1BACD0" w14:textId="77777777">
            <w:pPr>
              <w:jc w:val="center"/>
              <w:rPr>
                <w:b/>
                <w:szCs w:val="26"/>
              </w:rPr>
            </w:pPr>
            <w:r w:rsidRPr="002173A7">
              <w:rPr>
                <w:b/>
                <w:szCs w:val="26"/>
              </w:rPr>
              <w:t>(1)X(2)=(3)</w:t>
            </w:r>
          </w:p>
        </w:tc>
        <w:tc>
          <w:tcPr>
            <w:tcW w:w="1439" w:type="dxa"/>
            <w:shd w:val="clear" w:color="auto" w:fill="D9D9D9" w:themeFill="background1" w:themeFillShade="D9"/>
            <w:vAlign w:val="bottom"/>
          </w:tcPr>
          <w:p w:rsidR="00C96BC4" w:rsidRPr="00614B06" w:rsidP="00F7256A" w14:paraId="49C15C89" w14:textId="5E389C2B">
            <w:pPr>
              <w:jc w:val="center"/>
              <w:rPr>
                <w:b/>
                <w:szCs w:val="26"/>
              </w:rPr>
            </w:pPr>
            <w:r w:rsidRPr="002173A7">
              <w:rPr>
                <w:b/>
                <w:szCs w:val="26"/>
              </w:rPr>
              <w:t>Avg. Burden Hrs. &amp; Cost Per Response</w:t>
            </w:r>
            <w:r>
              <w:rPr>
                <w:rStyle w:val="FootnoteReference"/>
                <w:bCs/>
              </w:rPr>
              <w:footnoteReference w:id="15"/>
            </w:r>
          </w:p>
          <w:p w:rsidR="00C96BC4" w:rsidRPr="002173A7" w:rsidP="00F7256A" w14:paraId="1A07DDB9" w14:textId="77777777">
            <w:pPr>
              <w:jc w:val="center"/>
              <w:rPr>
                <w:b/>
                <w:szCs w:val="26"/>
              </w:rPr>
            </w:pPr>
          </w:p>
          <w:p w:rsidR="00C96BC4" w:rsidRPr="002173A7" w:rsidP="00F7256A" w14:paraId="3AD1AF8A" w14:textId="77777777">
            <w:pPr>
              <w:jc w:val="center"/>
              <w:rPr>
                <w:b/>
                <w:szCs w:val="26"/>
              </w:rPr>
            </w:pPr>
            <w:r w:rsidRPr="002173A7">
              <w:rPr>
                <w:b/>
                <w:szCs w:val="26"/>
              </w:rPr>
              <w:t>(4)</w:t>
            </w:r>
          </w:p>
        </w:tc>
        <w:tc>
          <w:tcPr>
            <w:tcW w:w="2360" w:type="dxa"/>
            <w:shd w:val="clear" w:color="auto" w:fill="D9D9D9" w:themeFill="background1" w:themeFillShade="D9"/>
            <w:vAlign w:val="bottom"/>
          </w:tcPr>
          <w:p w:rsidR="00C96BC4" w:rsidRPr="002173A7" w:rsidP="00F7256A" w14:paraId="194816DA" w14:textId="77777777">
            <w:pPr>
              <w:jc w:val="center"/>
              <w:rPr>
                <w:b/>
                <w:szCs w:val="26"/>
              </w:rPr>
            </w:pPr>
            <w:r w:rsidRPr="002173A7">
              <w:rPr>
                <w:b/>
                <w:szCs w:val="26"/>
              </w:rPr>
              <w:t>Total Annual Burden Hours &amp; Total Annual Cost</w:t>
            </w:r>
          </w:p>
          <w:p w:rsidR="00C96BC4" w:rsidRPr="002173A7" w:rsidP="00F7256A" w14:paraId="7DA17B3D" w14:textId="77777777">
            <w:pPr>
              <w:jc w:val="center"/>
              <w:rPr>
                <w:b/>
                <w:szCs w:val="26"/>
              </w:rPr>
            </w:pPr>
            <w:r w:rsidRPr="002173A7">
              <w:rPr>
                <w:b/>
                <w:szCs w:val="26"/>
              </w:rPr>
              <w:t>(3)X(4)=5</w:t>
            </w:r>
          </w:p>
        </w:tc>
      </w:tr>
      <w:tr w14:paraId="10060B6B" w14:textId="77777777" w:rsidTr="0D66A6E2">
        <w:tblPrEx>
          <w:tblW w:w="10156" w:type="dxa"/>
          <w:jc w:val="right"/>
          <w:tblLayout w:type="fixed"/>
          <w:tblLook w:val="01E0"/>
        </w:tblPrEx>
        <w:trPr>
          <w:cantSplit/>
          <w:trHeight w:val="241"/>
          <w:tblHeader/>
          <w:jc w:val="right"/>
        </w:trPr>
        <w:tc>
          <w:tcPr>
            <w:tcW w:w="1950" w:type="dxa"/>
          </w:tcPr>
          <w:p w:rsidR="00C96BC4" w:rsidRPr="002173A7" w:rsidP="00F7256A" w14:paraId="5B7E0F76" w14:textId="77777777">
            <w:pPr>
              <w:rPr>
                <w:szCs w:val="26"/>
              </w:rPr>
            </w:pPr>
            <w:r>
              <w:rPr>
                <w:szCs w:val="26"/>
              </w:rPr>
              <w:t>Implementation of Documented Plan(s) (Requirement R1)</w:t>
            </w:r>
            <w:bookmarkStart w:id="4" w:name="_Ref4504685"/>
            <w:r>
              <w:rPr>
                <w:rStyle w:val="FootnoteReference"/>
              </w:rPr>
              <w:footnoteReference w:id="16"/>
            </w:r>
            <w:bookmarkEnd w:id="4"/>
          </w:p>
        </w:tc>
        <w:tc>
          <w:tcPr>
            <w:tcW w:w="1197" w:type="dxa"/>
            <w:vAlign w:val="bottom"/>
          </w:tcPr>
          <w:p w:rsidR="00C96BC4" w:rsidRPr="002173A7" w:rsidP="00F7256A" w14:paraId="0E23FD6F" w14:textId="7F5105FD">
            <w:pPr>
              <w:jc w:val="right"/>
              <w:rPr>
                <w:szCs w:val="26"/>
              </w:rPr>
            </w:pPr>
            <w:r>
              <w:rPr>
                <w:szCs w:val="26"/>
              </w:rPr>
              <w:t>730</w:t>
            </w:r>
          </w:p>
        </w:tc>
        <w:tc>
          <w:tcPr>
            <w:tcW w:w="1695" w:type="dxa"/>
            <w:vAlign w:val="bottom"/>
          </w:tcPr>
          <w:p w:rsidR="00C96BC4" w:rsidRPr="002173A7" w:rsidP="00F7256A" w14:paraId="15BE3D74" w14:textId="77777777">
            <w:pPr>
              <w:jc w:val="right"/>
              <w:rPr>
                <w:szCs w:val="26"/>
              </w:rPr>
            </w:pPr>
            <w:r w:rsidRPr="002173A7">
              <w:rPr>
                <w:szCs w:val="26"/>
              </w:rPr>
              <w:t>1</w:t>
            </w:r>
          </w:p>
        </w:tc>
        <w:tc>
          <w:tcPr>
            <w:tcW w:w="1515" w:type="dxa"/>
            <w:vAlign w:val="bottom"/>
          </w:tcPr>
          <w:p w:rsidR="00C96BC4" w:rsidRPr="002173A7" w:rsidP="00F7256A" w14:paraId="3E485279" w14:textId="0F751FBC">
            <w:pPr>
              <w:jc w:val="right"/>
              <w:rPr>
                <w:szCs w:val="26"/>
              </w:rPr>
            </w:pPr>
            <w:r>
              <w:rPr>
                <w:szCs w:val="26"/>
              </w:rPr>
              <w:t>730</w:t>
            </w:r>
          </w:p>
        </w:tc>
        <w:tc>
          <w:tcPr>
            <w:tcW w:w="1439" w:type="dxa"/>
            <w:vAlign w:val="bottom"/>
          </w:tcPr>
          <w:p w:rsidR="00C96BC4" w:rsidP="00F7256A" w14:paraId="7790C2CC" w14:textId="228C224D">
            <w:pPr>
              <w:jc w:val="right"/>
              <w:rPr>
                <w:szCs w:val="26"/>
              </w:rPr>
            </w:pPr>
            <w:r>
              <w:rPr>
                <w:szCs w:val="26"/>
              </w:rPr>
              <w:t>42</w:t>
            </w:r>
            <w:r>
              <w:rPr>
                <w:szCs w:val="26"/>
              </w:rPr>
              <w:t xml:space="preserve"> </w:t>
            </w:r>
            <w:r>
              <w:rPr>
                <w:szCs w:val="26"/>
              </w:rPr>
              <w:t>hrs.;</w:t>
            </w:r>
          </w:p>
          <w:p w:rsidR="00C96BC4" w:rsidRPr="002173A7" w:rsidP="00F7256A" w14:paraId="078DF9F5" w14:textId="5B6D4B76">
            <w:pPr>
              <w:jc w:val="right"/>
              <w:rPr>
                <w:szCs w:val="26"/>
              </w:rPr>
            </w:pPr>
            <w:r w:rsidRPr="001A1887">
              <w:rPr>
                <w:szCs w:val="26"/>
              </w:rPr>
              <w:t>$</w:t>
            </w:r>
            <w:r w:rsidR="00E01ACE">
              <w:rPr>
                <w:szCs w:val="26"/>
              </w:rPr>
              <w:t>4,493.16</w:t>
            </w:r>
          </w:p>
        </w:tc>
        <w:tc>
          <w:tcPr>
            <w:tcW w:w="2360" w:type="dxa"/>
            <w:vAlign w:val="bottom"/>
          </w:tcPr>
          <w:p w:rsidR="00C96BC4" w:rsidRPr="009D323B" w:rsidP="00F7256A" w14:paraId="6CBAEA91" w14:textId="20CC33E0">
            <w:pPr>
              <w:jc w:val="right"/>
              <w:rPr>
                <w:szCs w:val="26"/>
              </w:rPr>
            </w:pPr>
            <w:r w:rsidRPr="009D323B">
              <w:rPr>
                <w:szCs w:val="26"/>
              </w:rPr>
              <w:t>30</w:t>
            </w:r>
            <w:r w:rsidRPr="009D323B">
              <w:rPr>
                <w:szCs w:val="26"/>
              </w:rPr>
              <w:t>,</w:t>
            </w:r>
            <w:r w:rsidRPr="009D323B">
              <w:rPr>
                <w:szCs w:val="26"/>
              </w:rPr>
              <w:t>660</w:t>
            </w:r>
            <w:r w:rsidRPr="009D323B">
              <w:rPr>
                <w:szCs w:val="26"/>
              </w:rPr>
              <w:t xml:space="preserve"> </w:t>
            </w:r>
            <w:r w:rsidRPr="009D323B">
              <w:rPr>
                <w:szCs w:val="26"/>
              </w:rPr>
              <w:t>hrs.;</w:t>
            </w:r>
          </w:p>
          <w:p w:rsidR="00C96BC4" w:rsidRPr="002173A7" w:rsidP="00F7256A" w14:paraId="59C5B037" w14:textId="5C792955">
            <w:pPr>
              <w:jc w:val="right"/>
              <w:rPr>
                <w:szCs w:val="26"/>
              </w:rPr>
            </w:pPr>
            <w:r w:rsidRPr="009D323B">
              <w:rPr>
                <w:szCs w:val="26"/>
              </w:rPr>
              <w:t>$</w:t>
            </w:r>
            <w:r w:rsidR="00E01ACE">
              <w:rPr>
                <w:szCs w:val="26"/>
              </w:rPr>
              <w:t>3,280,006.80</w:t>
            </w:r>
          </w:p>
        </w:tc>
      </w:tr>
      <w:tr w14:paraId="4B09CD71" w14:textId="77777777" w:rsidTr="0D66A6E2">
        <w:tblPrEx>
          <w:tblW w:w="10156" w:type="dxa"/>
          <w:jc w:val="right"/>
          <w:tblLayout w:type="fixed"/>
          <w:tblLook w:val="01E0"/>
        </w:tblPrEx>
        <w:trPr>
          <w:cantSplit/>
          <w:trHeight w:val="241"/>
          <w:tblHeader/>
          <w:jc w:val="right"/>
        </w:trPr>
        <w:tc>
          <w:tcPr>
            <w:tcW w:w="1950" w:type="dxa"/>
          </w:tcPr>
          <w:p w:rsidR="00227481" w:rsidRPr="00227481" w:rsidP="00227481" w14:paraId="432A754D" w14:textId="127DF3D1">
            <w:pPr>
              <w:rPr>
                <w:szCs w:val="26"/>
              </w:rPr>
            </w:pPr>
            <w:r>
              <w:rPr>
                <w:szCs w:val="26"/>
              </w:rPr>
              <w:t xml:space="preserve">Document Identification of </w:t>
            </w:r>
            <w:r w:rsidR="001830F7">
              <w:rPr>
                <w:szCs w:val="26"/>
              </w:rPr>
              <w:t>methods</w:t>
            </w:r>
            <w:r>
              <w:rPr>
                <w:szCs w:val="26"/>
              </w:rPr>
              <w:t xml:space="preserve"> to </w:t>
            </w:r>
            <w:r w:rsidRPr="00227481">
              <w:rPr>
                <w:szCs w:val="26"/>
              </w:rPr>
              <w:t xml:space="preserve">mitigate the risk(s) posed </w:t>
            </w:r>
          </w:p>
          <w:p w:rsidR="00C96BC4" w:rsidP="00227481" w14:paraId="52F0CEC1" w14:textId="30F024B4">
            <w:pPr>
              <w:rPr>
                <w:szCs w:val="26"/>
              </w:rPr>
            </w:pPr>
            <w:r w:rsidRPr="00227481">
              <w:rPr>
                <w:szCs w:val="26"/>
              </w:rPr>
              <w:t xml:space="preserve">by unauthorized disclosure and unauthorized </w:t>
            </w:r>
            <w:r w:rsidRPr="00227481" w:rsidR="005E284C">
              <w:rPr>
                <w:szCs w:val="26"/>
              </w:rPr>
              <w:t>modification</w:t>
            </w:r>
            <w:r w:rsidR="005E284C">
              <w:rPr>
                <w:szCs w:val="26"/>
              </w:rPr>
              <w:t xml:space="preserve"> (</w:t>
            </w:r>
            <w:r>
              <w:rPr>
                <w:szCs w:val="26"/>
              </w:rPr>
              <w:t>Requirement R1.1)</w:t>
            </w:r>
            <w:r w:rsidR="001144F3">
              <w:rPr>
                <w:b/>
                <w:szCs w:val="26"/>
                <w:vertAlign w:val="superscript"/>
              </w:rPr>
              <w:t>14</w:t>
            </w:r>
          </w:p>
        </w:tc>
        <w:tc>
          <w:tcPr>
            <w:tcW w:w="1197" w:type="dxa"/>
            <w:vAlign w:val="bottom"/>
          </w:tcPr>
          <w:p w:rsidR="00C96BC4" w:rsidRPr="002173A7" w:rsidP="00F7256A" w14:paraId="7B389581" w14:textId="3AECAA52">
            <w:pPr>
              <w:jc w:val="right"/>
              <w:rPr>
                <w:szCs w:val="26"/>
              </w:rPr>
            </w:pPr>
            <w:r>
              <w:rPr>
                <w:szCs w:val="26"/>
              </w:rPr>
              <w:t>730</w:t>
            </w:r>
          </w:p>
        </w:tc>
        <w:tc>
          <w:tcPr>
            <w:tcW w:w="1695" w:type="dxa"/>
            <w:vAlign w:val="bottom"/>
          </w:tcPr>
          <w:p w:rsidR="00C96BC4" w:rsidRPr="002173A7" w:rsidP="00F7256A" w14:paraId="44CC7C6F" w14:textId="77777777">
            <w:pPr>
              <w:jc w:val="right"/>
              <w:rPr>
                <w:szCs w:val="26"/>
              </w:rPr>
            </w:pPr>
            <w:r>
              <w:rPr>
                <w:szCs w:val="26"/>
              </w:rPr>
              <w:t>1</w:t>
            </w:r>
          </w:p>
        </w:tc>
        <w:tc>
          <w:tcPr>
            <w:tcW w:w="1515" w:type="dxa"/>
            <w:vAlign w:val="bottom"/>
          </w:tcPr>
          <w:p w:rsidR="00C96BC4" w:rsidRPr="002173A7" w:rsidP="00F7256A" w14:paraId="73CE90DA" w14:textId="35762AB7">
            <w:pPr>
              <w:jc w:val="right"/>
              <w:rPr>
                <w:szCs w:val="26"/>
              </w:rPr>
            </w:pPr>
            <w:r>
              <w:rPr>
                <w:szCs w:val="26"/>
              </w:rPr>
              <w:t>730</w:t>
            </w:r>
          </w:p>
        </w:tc>
        <w:tc>
          <w:tcPr>
            <w:tcW w:w="1439" w:type="dxa"/>
            <w:vAlign w:val="bottom"/>
          </w:tcPr>
          <w:p w:rsidR="00C96BC4" w:rsidRPr="00F734F2" w:rsidP="00F7256A" w14:paraId="5697F5ED" w14:textId="749CE882">
            <w:pPr>
              <w:jc w:val="right"/>
              <w:rPr>
                <w:szCs w:val="26"/>
              </w:rPr>
            </w:pPr>
            <w:r w:rsidRPr="00F734F2">
              <w:rPr>
                <w:szCs w:val="26"/>
              </w:rPr>
              <w:t>20</w:t>
            </w:r>
            <w:r w:rsidRPr="00F734F2">
              <w:rPr>
                <w:szCs w:val="26"/>
              </w:rPr>
              <w:t xml:space="preserve"> </w:t>
            </w:r>
            <w:r w:rsidRPr="00F734F2">
              <w:rPr>
                <w:szCs w:val="26"/>
              </w:rPr>
              <w:t>hrs.;</w:t>
            </w:r>
          </w:p>
          <w:p w:rsidR="00C96BC4" w:rsidRPr="00F734F2" w:rsidP="00F7256A" w14:paraId="1EC27352" w14:textId="1DD5699A">
            <w:pPr>
              <w:jc w:val="right"/>
              <w:rPr>
                <w:szCs w:val="26"/>
              </w:rPr>
            </w:pPr>
            <w:r w:rsidRPr="00F734F2">
              <w:rPr>
                <w:szCs w:val="26"/>
              </w:rPr>
              <w:t>$</w:t>
            </w:r>
            <w:r w:rsidR="00E01ACE">
              <w:rPr>
                <w:szCs w:val="26"/>
              </w:rPr>
              <w:t>2,139.60</w:t>
            </w:r>
          </w:p>
        </w:tc>
        <w:tc>
          <w:tcPr>
            <w:tcW w:w="2360" w:type="dxa"/>
            <w:vAlign w:val="bottom"/>
          </w:tcPr>
          <w:p w:rsidR="00C96BC4" w:rsidRPr="00F734F2" w:rsidP="00F7256A" w14:paraId="24CECBAF" w14:textId="0C0DDD2D">
            <w:pPr>
              <w:jc w:val="right"/>
              <w:rPr>
                <w:szCs w:val="26"/>
              </w:rPr>
            </w:pPr>
            <w:r w:rsidRPr="00F734F2">
              <w:rPr>
                <w:szCs w:val="26"/>
              </w:rPr>
              <w:t>14</w:t>
            </w:r>
            <w:r w:rsidRPr="00F734F2">
              <w:rPr>
                <w:szCs w:val="26"/>
              </w:rPr>
              <w:t>,</w:t>
            </w:r>
            <w:r w:rsidRPr="00F734F2">
              <w:rPr>
                <w:szCs w:val="26"/>
              </w:rPr>
              <w:t>600</w:t>
            </w:r>
            <w:r w:rsidRPr="00F734F2">
              <w:rPr>
                <w:szCs w:val="26"/>
              </w:rPr>
              <w:t xml:space="preserve"> </w:t>
            </w:r>
            <w:r w:rsidRPr="00F734F2">
              <w:rPr>
                <w:szCs w:val="26"/>
              </w:rPr>
              <w:t>hrs.;</w:t>
            </w:r>
          </w:p>
          <w:p w:rsidR="00C96BC4" w:rsidRPr="00F734F2" w:rsidP="00F7256A" w14:paraId="2C68C993" w14:textId="2E45E6E3">
            <w:pPr>
              <w:jc w:val="right"/>
              <w:rPr>
                <w:szCs w:val="26"/>
              </w:rPr>
            </w:pPr>
            <w:r w:rsidRPr="00F734F2">
              <w:rPr>
                <w:szCs w:val="26"/>
              </w:rPr>
              <w:t>$</w:t>
            </w:r>
            <w:r w:rsidR="00E01ACE">
              <w:rPr>
                <w:szCs w:val="26"/>
              </w:rPr>
              <w:t>1,561,908</w:t>
            </w:r>
          </w:p>
        </w:tc>
      </w:tr>
      <w:tr w14:paraId="10E6E9E9" w14:textId="77777777" w:rsidTr="0D66A6E2">
        <w:tblPrEx>
          <w:tblW w:w="10156" w:type="dxa"/>
          <w:jc w:val="right"/>
          <w:tblLayout w:type="fixed"/>
          <w:tblLook w:val="01E0"/>
        </w:tblPrEx>
        <w:trPr>
          <w:cantSplit/>
          <w:trHeight w:val="179"/>
          <w:tblHeader/>
          <w:jc w:val="right"/>
        </w:trPr>
        <w:tc>
          <w:tcPr>
            <w:tcW w:w="1950" w:type="dxa"/>
          </w:tcPr>
          <w:p w:rsidR="00227481" w:rsidRPr="00227481" w:rsidP="00227481" w14:paraId="0E205FB3" w14:textId="64AD8DB8">
            <w:pPr>
              <w:rPr>
                <w:szCs w:val="26"/>
              </w:rPr>
            </w:pPr>
            <w:r>
              <w:rPr>
                <w:szCs w:val="26"/>
              </w:rPr>
              <w:t xml:space="preserve">Document </w:t>
            </w:r>
            <w:r w:rsidR="00C96BC4">
              <w:rPr>
                <w:szCs w:val="26"/>
              </w:rPr>
              <w:t xml:space="preserve">Identification </w:t>
            </w:r>
            <w:r>
              <w:rPr>
                <w:szCs w:val="26"/>
              </w:rPr>
              <w:t xml:space="preserve">of methods to </w:t>
            </w:r>
            <w:r w:rsidRPr="00227481">
              <w:rPr>
                <w:szCs w:val="26"/>
              </w:rPr>
              <w:t>mitigate the risk(s)</w:t>
            </w:r>
            <w:r w:rsidR="005E284C">
              <w:rPr>
                <w:szCs w:val="26"/>
              </w:rPr>
              <w:t xml:space="preserve"> posed</w:t>
            </w:r>
          </w:p>
          <w:p w:rsidR="00C96BC4" w:rsidRPr="002173A7" w:rsidP="00227481" w14:paraId="521B3500" w14:textId="665413CA">
            <w:pPr>
              <w:rPr>
                <w:szCs w:val="26"/>
              </w:rPr>
            </w:pPr>
            <w:r w:rsidRPr="00227481">
              <w:rPr>
                <w:szCs w:val="26"/>
              </w:rPr>
              <w:t xml:space="preserve">by </w:t>
            </w:r>
            <w:r w:rsidRPr="008350BE" w:rsidR="008350BE">
              <w:rPr>
                <w:szCs w:val="26"/>
              </w:rPr>
              <w:t xml:space="preserve">loss of the ability to communicate </w:t>
            </w:r>
            <w:r>
              <w:rPr>
                <w:szCs w:val="26"/>
              </w:rPr>
              <w:t>(Requirement R1.2)</w:t>
            </w:r>
            <w:r w:rsidR="001144F3">
              <w:rPr>
                <w:b/>
                <w:szCs w:val="26"/>
                <w:vertAlign w:val="superscript"/>
              </w:rPr>
              <w:t>14</w:t>
            </w:r>
          </w:p>
        </w:tc>
        <w:tc>
          <w:tcPr>
            <w:tcW w:w="1197" w:type="dxa"/>
            <w:vAlign w:val="bottom"/>
          </w:tcPr>
          <w:p w:rsidR="00C96BC4" w:rsidRPr="002173A7" w:rsidP="00F7256A" w14:paraId="78CD2FBE" w14:textId="3A6EB7A3">
            <w:pPr>
              <w:jc w:val="right"/>
              <w:rPr>
                <w:szCs w:val="26"/>
              </w:rPr>
            </w:pPr>
            <w:r>
              <w:rPr>
                <w:szCs w:val="26"/>
              </w:rPr>
              <w:t>730</w:t>
            </w:r>
          </w:p>
        </w:tc>
        <w:tc>
          <w:tcPr>
            <w:tcW w:w="1695" w:type="dxa"/>
            <w:vAlign w:val="bottom"/>
          </w:tcPr>
          <w:p w:rsidR="00C96BC4" w:rsidRPr="002173A7" w:rsidP="00F7256A" w14:paraId="72AD77B1" w14:textId="77777777">
            <w:pPr>
              <w:jc w:val="right"/>
              <w:rPr>
                <w:szCs w:val="26"/>
              </w:rPr>
            </w:pPr>
            <w:r>
              <w:rPr>
                <w:szCs w:val="26"/>
              </w:rPr>
              <w:t>1</w:t>
            </w:r>
          </w:p>
        </w:tc>
        <w:tc>
          <w:tcPr>
            <w:tcW w:w="1515" w:type="dxa"/>
            <w:vAlign w:val="bottom"/>
          </w:tcPr>
          <w:p w:rsidR="00C96BC4" w:rsidRPr="002173A7" w:rsidP="00F7256A" w14:paraId="03D5C242" w14:textId="16AECA1E">
            <w:pPr>
              <w:jc w:val="right"/>
              <w:rPr>
                <w:szCs w:val="26"/>
              </w:rPr>
            </w:pPr>
            <w:r>
              <w:rPr>
                <w:szCs w:val="26"/>
              </w:rPr>
              <w:t>730</w:t>
            </w:r>
          </w:p>
        </w:tc>
        <w:tc>
          <w:tcPr>
            <w:tcW w:w="1439" w:type="dxa"/>
            <w:vAlign w:val="bottom"/>
          </w:tcPr>
          <w:p w:rsidR="00C96BC4" w:rsidRPr="003E603A" w:rsidP="00F7256A" w14:paraId="3A8A0251" w14:textId="3E816D28">
            <w:pPr>
              <w:jc w:val="right"/>
              <w:rPr>
                <w:szCs w:val="26"/>
              </w:rPr>
            </w:pPr>
            <w:r w:rsidRPr="003E603A">
              <w:rPr>
                <w:szCs w:val="26"/>
              </w:rPr>
              <w:t>60</w:t>
            </w:r>
            <w:r w:rsidRPr="003E603A">
              <w:rPr>
                <w:szCs w:val="26"/>
              </w:rPr>
              <w:t xml:space="preserve"> hrs.; $</w:t>
            </w:r>
            <w:r w:rsidR="00E01ACE">
              <w:rPr>
                <w:szCs w:val="26"/>
              </w:rPr>
              <w:t>6,418.80</w:t>
            </w:r>
          </w:p>
        </w:tc>
        <w:tc>
          <w:tcPr>
            <w:tcW w:w="2360" w:type="dxa"/>
            <w:vAlign w:val="bottom"/>
          </w:tcPr>
          <w:p w:rsidR="00C96BC4" w:rsidRPr="003E603A" w:rsidP="00F7256A" w14:paraId="5B87BAEF" w14:textId="31EF0390">
            <w:pPr>
              <w:jc w:val="right"/>
              <w:rPr>
                <w:szCs w:val="26"/>
              </w:rPr>
            </w:pPr>
            <w:r w:rsidRPr="003E603A">
              <w:rPr>
                <w:szCs w:val="26"/>
              </w:rPr>
              <w:t>43</w:t>
            </w:r>
            <w:r w:rsidRPr="003E603A">
              <w:rPr>
                <w:szCs w:val="26"/>
              </w:rPr>
              <w:t>,</w:t>
            </w:r>
            <w:r w:rsidRPr="003E603A">
              <w:rPr>
                <w:szCs w:val="26"/>
              </w:rPr>
              <w:t>800</w:t>
            </w:r>
            <w:r w:rsidRPr="003E603A">
              <w:rPr>
                <w:szCs w:val="26"/>
              </w:rPr>
              <w:t xml:space="preserve"> </w:t>
            </w:r>
            <w:r w:rsidRPr="003E603A">
              <w:rPr>
                <w:szCs w:val="26"/>
              </w:rPr>
              <w:t>hrs.;</w:t>
            </w:r>
          </w:p>
          <w:p w:rsidR="00C96BC4" w:rsidRPr="003E603A" w:rsidP="00F7256A" w14:paraId="011B570B" w14:textId="22EAF603">
            <w:pPr>
              <w:jc w:val="right"/>
              <w:rPr>
                <w:szCs w:val="26"/>
              </w:rPr>
            </w:pPr>
            <w:r w:rsidRPr="003E603A">
              <w:rPr>
                <w:szCs w:val="26"/>
              </w:rPr>
              <w:t>$</w:t>
            </w:r>
            <w:r w:rsidR="00E01ACE">
              <w:rPr>
                <w:szCs w:val="26"/>
              </w:rPr>
              <w:t>4,685,724</w:t>
            </w:r>
          </w:p>
        </w:tc>
      </w:tr>
      <w:tr w14:paraId="6571D84E" w14:textId="77777777" w:rsidTr="0D66A6E2">
        <w:tblPrEx>
          <w:tblW w:w="10156" w:type="dxa"/>
          <w:jc w:val="right"/>
          <w:tblLayout w:type="fixed"/>
          <w:tblLook w:val="01E0"/>
        </w:tblPrEx>
        <w:trPr>
          <w:cantSplit/>
          <w:trHeight w:val="179"/>
          <w:tblHeader/>
          <w:jc w:val="right"/>
        </w:trPr>
        <w:tc>
          <w:tcPr>
            <w:tcW w:w="1950" w:type="dxa"/>
          </w:tcPr>
          <w:p w:rsidR="00C96BC4" w:rsidP="00B23B2E" w14:paraId="05A849DE" w14:textId="4F1C5B0B">
            <w:pPr>
              <w:rPr>
                <w:szCs w:val="26"/>
              </w:rPr>
            </w:pPr>
            <w:r>
              <w:rPr>
                <w:szCs w:val="26"/>
              </w:rPr>
              <w:t xml:space="preserve">Document </w:t>
            </w:r>
            <w:r>
              <w:rPr>
                <w:szCs w:val="26"/>
              </w:rPr>
              <w:t xml:space="preserve">Identification </w:t>
            </w:r>
            <w:r>
              <w:rPr>
                <w:szCs w:val="26"/>
              </w:rPr>
              <w:t xml:space="preserve">of methods to </w:t>
            </w:r>
            <w:r w:rsidR="00E01ACE">
              <w:rPr>
                <w:szCs w:val="26"/>
              </w:rPr>
              <w:t>use</w:t>
            </w:r>
            <w:r w:rsidR="00B23B2E">
              <w:rPr>
                <w:szCs w:val="26"/>
              </w:rPr>
              <w:t xml:space="preserve"> to </w:t>
            </w:r>
            <w:r w:rsidR="00C764B0">
              <w:t>initiate the recovery of communication links</w:t>
            </w:r>
            <w:r w:rsidR="00C764B0">
              <w:rPr>
                <w:szCs w:val="26"/>
              </w:rPr>
              <w:t xml:space="preserve"> </w:t>
            </w:r>
            <w:r>
              <w:rPr>
                <w:szCs w:val="26"/>
              </w:rPr>
              <w:t>(Requirement R1.3)</w:t>
            </w:r>
            <w:r w:rsidR="001144F3">
              <w:rPr>
                <w:b/>
                <w:szCs w:val="26"/>
                <w:vertAlign w:val="superscript"/>
              </w:rPr>
              <w:t>14</w:t>
            </w:r>
          </w:p>
        </w:tc>
        <w:tc>
          <w:tcPr>
            <w:tcW w:w="1197" w:type="dxa"/>
            <w:vAlign w:val="bottom"/>
          </w:tcPr>
          <w:p w:rsidR="00C96BC4" w:rsidRPr="002173A7" w:rsidP="00F7256A" w14:paraId="24268DCC" w14:textId="2800DD6C">
            <w:pPr>
              <w:jc w:val="right"/>
              <w:rPr>
                <w:szCs w:val="26"/>
              </w:rPr>
            </w:pPr>
            <w:r>
              <w:rPr>
                <w:szCs w:val="26"/>
              </w:rPr>
              <w:t>730</w:t>
            </w:r>
          </w:p>
        </w:tc>
        <w:tc>
          <w:tcPr>
            <w:tcW w:w="1695" w:type="dxa"/>
            <w:vAlign w:val="bottom"/>
          </w:tcPr>
          <w:p w:rsidR="00C96BC4" w:rsidRPr="002173A7" w:rsidP="00F7256A" w14:paraId="761A9985" w14:textId="77777777">
            <w:pPr>
              <w:jc w:val="right"/>
              <w:rPr>
                <w:szCs w:val="26"/>
              </w:rPr>
            </w:pPr>
            <w:r>
              <w:rPr>
                <w:szCs w:val="26"/>
              </w:rPr>
              <w:t>1</w:t>
            </w:r>
          </w:p>
        </w:tc>
        <w:tc>
          <w:tcPr>
            <w:tcW w:w="1515" w:type="dxa"/>
            <w:vAlign w:val="bottom"/>
          </w:tcPr>
          <w:p w:rsidR="00C96BC4" w:rsidRPr="002173A7" w:rsidP="00F7256A" w14:paraId="758073AB" w14:textId="0C0876D2">
            <w:pPr>
              <w:jc w:val="right"/>
              <w:rPr>
                <w:szCs w:val="26"/>
              </w:rPr>
            </w:pPr>
            <w:r>
              <w:rPr>
                <w:szCs w:val="26"/>
              </w:rPr>
              <w:t>730</w:t>
            </w:r>
          </w:p>
        </w:tc>
        <w:tc>
          <w:tcPr>
            <w:tcW w:w="1439" w:type="dxa"/>
            <w:vAlign w:val="bottom"/>
          </w:tcPr>
          <w:p w:rsidR="00C96BC4" w:rsidP="00F7256A" w14:paraId="5BE26260" w14:textId="12EF85E8">
            <w:pPr>
              <w:jc w:val="right"/>
              <w:rPr>
                <w:szCs w:val="26"/>
              </w:rPr>
            </w:pPr>
            <w:r>
              <w:rPr>
                <w:szCs w:val="26"/>
              </w:rPr>
              <w:t>100</w:t>
            </w:r>
            <w:r>
              <w:rPr>
                <w:szCs w:val="26"/>
              </w:rPr>
              <w:t xml:space="preserve"> </w:t>
            </w:r>
            <w:r>
              <w:rPr>
                <w:szCs w:val="26"/>
              </w:rPr>
              <w:t>hrs.;</w:t>
            </w:r>
          </w:p>
          <w:p w:rsidR="00C96BC4" w:rsidRPr="002173A7" w:rsidP="00F7256A" w14:paraId="16E4F570" w14:textId="6D20F772">
            <w:pPr>
              <w:jc w:val="right"/>
              <w:rPr>
                <w:szCs w:val="26"/>
              </w:rPr>
            </w:pPr>
            <w:r>
              <w:rPr>
                <w:szCs w:val="26"/>
              </w:rPr>
              <w:t>$</w:t>
            </w:r>
            <w:r w:rsidR="00E01ACE">
              <w:rPr>
                <w:szCs w:val="26"/>
              </w:rPr>
              <w:t>10,698</w:t>
            </w:r>
          </w:p>
        </w:tc>
        <w:tc>
          <w:tcPr>
            <w:tcW w:w="2360" w:type="dxa"/>
            <w:vAlign w:val="bottom"/>
          </w:tcPr>
          <w:p w:rsidR="00C96BC4" w:rsidP="00F7256A" w14:paraId="68A88720" w14:textId="3D5C1787">
            <w:pPr>
              <w:jc w:val="right"/>
              <w:rPr>
                <w:szCs w:val="26"/>
              </w:rPr>
            </w:pPr>
            <w:r>
              <w:rPr>
                <w:szCs w:val="26"/>
              </w:rPr>
              <w:t>73,000</w:t>
            </w:r>
            <w:r>
              <w:rPr>
                <w:szCs w:val="26"/>
              </w:rPr>
              <w:t xml:space="preserve"> </w:t>
            </w:r>
            <w:r>
              <w:rPr>
                <w:szCs w:val="26"/>
              </w:rPr>
              <w:t>hrs.;</w:t>
            </w:r>
          </w:p>
          <w:p w:rsidR="00C96BC4" w:rsidRPr="002173A7" w:rsidP="00F7256A" w14:paraId="2454D4BB" w14:textId="3DB6200E">
            <w:pPr>
              <w:jc w:val="right"/>
              <w:rPr>
                <w:szCs w:val="26"/>
              </w:rPr>
            </w:pPr>
            <w:r>
              <w:rPr>
                <w:szCs w:val="26"/>
              </w:rPr>
              <w:t>$</w:t>
            </w:r>
            <w:r w:rsidR="00E01ACE">
              <w:rPr>
                <w:szCs w:val="26"/>
              </w:rPr>
              <w:t>7,809,540</w:t>
            </w:r>
          </w:p>
        </w:tc>
      </w:tr>
      <w:tr w14:paraId="4EB70AD9" w14:textId="77777777" w:rsidTr="0D66A6E2">
        <w:tblPrEx>
          <w:tblW w:w="10156" w:type="dxa"/>
          <w:jc w:val="right"/>
          <w:tblLayout w:type="fixed"/>
          <w:tblLook w:val="01E0"/>
        </w:tblPrEx>
        <w:trPr>
          <w:cantSplit/>
          <w:trHeight w:val="179"/>
          <w:tblHeader/>
          <w:jc w:val="right"/>
        </w:trPr>
        <w:tc>
          <w:tcPr>
            <w:tcW w:w="1950" w:type="dxa"/>
          </w:tcPr>
          <w:p w:rsidR="009E4AC1" w:rsidP="009E4AC1" w14:paraId="081BC36C" w14:textId="004B4428">
            <w:pPr>
              <w:rPr>
                <w:szCs w:val="26"/>
              </w:rPr>
            </w:pPr>
            <w:r>
              <w:rPr>
                <w:szCs w:val="26"/>
              </w:rPr>
              <w:t xml:space="preserve">Document Identification of </w:t>
            </w:r>
            <w:r>
              <w:t>where the implemented method(s) as required in Parts 1.1 and 1.2</w:t>
            </w:r>
            <w:r>
              <w:rPr>
                <w:szCs w:val="26"/>
              </w:rPr>
              <w:t xml:space="preserve"> (Requirement R1.4)</w:t>
            </w:r>
            <w:r w:rsidR="00794A52">
              <w:rPr>
                <w:b/>
                <w:szCs w:val="26"/>
                <w:vertAlign w:val="superscript"/>
              </w:rPr>
              <w:t>12</w:t>
            </w:r>
          </w:p>
        </w:tc>
        <w:tc>
          <w:tcPr>
            <w:tcW w:w="1197" w:type="dxa"/>
            <w:vAlign w:val="bottom"/>
          </w:tcPr>
          <w:p w:rsidR="009E4AC1" w:rsidP="009E4AC1" w14:paraId="2C24AFD2" w14:textId="14FA0AE2">
            <w:pPr>
              <w:jc w:val="right"/>
              <w:rPr>
                <w:szCs w:val="26"/>
              </w:rPr>
            </w:pPr>
            <w:r>
              <w:rPr>
                <w:szCs w:val="26"/>
              </w:rPr>
              <w:t>730</w:t>
            </w:r>
          </w:p>
        </w:tc>
        <w:tc>
          <w:tcPr>
            <w:tcW w:w="1695" w:type="dxa"/>
            <w:vAlign w:val="bottom"/>
          </w:tcPr>
          <w:p w:rsidR="009E4AC1" w:rsidP="009E4AC1" w14:paraId="1679DDDD" w14:textId="5013E050">
            <w:pPr>
              <w:jc w:val="right"/>
              <w:rPr>
                <w:szCs w:val="26"/>
              </w:rPr>
            </w:pPr>
            <w:r>
              <w:rPr>
                <w:szCs w:val="26"/>
              </w:rPr>
              <w:t>1</w:t>
            </w:r>
          </w:p>
        </w:tc>
        <w:tc>
          <w:tcPr>
            <w:tcW w:w="1515" w:type="dxa"/>
            <w:vAlign w:val="bottom"/>
          </w:tcPr>
          <w:p w:rsidR="009E4AC1" w:rsidP="009E4AC1" w14:paraId="5C412134" w14:textId="05CF82E1">
            <w:pPr>
              <w:jc w:val="right"/>
              <w:rPr>
                <w:szCs w:val="26"/>
              </w:rPr>
            </w:pPr>
            <w:r>
              <w:rPr>
                <w:szCs w:val="26"/>
              </w:rPr>
              <w:t>730</w:t>
            </w:r>
          </w:p>
        </w:tc>
        <w:tc>
          <w:tcPr>
            <w:tcW w:w="1439" w:type="dxa"/>
            <w:vAlign w:val="bottom"/>
          </w:tcPr>
          <w:p w:rsidR="009E4AC1" w:rsidP="009E4AC1" w14:paraId="4F67086B" w14:textId="77777777">
            <w:pPr>
              <w:jc w:val="right"/>
              <w:rPr>
                <w:szCs w:val="26"/>
              </w:rPr>
            </w:pPr>
            <w:r>
              <w:rPr>
                <w:szCs w:val="26"/>
              </w:rPr>
              <w:t xml:space="preserve">50 </w:t>
            </w:r>
            <w:r>
              <w:rPr>
                <w:szCs w:val="26"/>
              </w:rPr>
              <w:t>hrs.;</w:t>
            </w:r>
          </w:p>
          <w:p w:rsidR="009E4AC1" w:rsidP="009E4AC1" w14:paraId="49A3B164" w14:textId="22EEB55F">
            <w:pPr>
              <w:jc w:val="right"/>
              <w:rPr>
                <w:szCs w:val="26"/>
              </w:rPr>
            </w:pPr>
            <w:r>
              <w:rPr>
                <w:szCs w:val="26"/>
              </w:rPr>
              <w:t>$</w:t>
            </w:r>
            <w:r w:rsidR="00E01ACE">
              <w:rPr>
                <w:szCs w:val="26"/>
              </w:rPr>
              <w:t>5,349</w:t>
            </w:r>
          </w:p>
        </w:tc>
        <w:tc>
          <w:tcPr>
            <w:tcW w:w="2360" w:type="dxa"/>
            <w:vAlign w:val="bottom"/>
          </w:tcPr>
          <w:p w:rsidR="009E4AC1" w:rsidP="009E4AC1" w14:paraId="1D394E3A" w14:textId="3BC3C08B">
            <w:pPr>
              <w:jc w:val="right"/>
              <w:rPr>
                <w:szCs w:val="26"/>
              </w:rPr>
            </w:pPr>
            <w:r>
              <w:rPr>
                <w:szCs w:val="26"/>
              </w:rPr>
              <w:t>36,500</w:t>
            </w:r>
            <w:r>
              <w:rPr>
                <w:szCs w:val="26"/>
              </w:rPr>
              <w:t xml:space="preserve"> </w:t>
            </w:r>
            <w:r>
              <w:rPr>
                <w:szCs w:val="26"/>
              </w:rPr>
              <w:t>hrs.;</w:t>
            </w:r>
          </w:p>
          <w:p w:rsidR="009E4AC1" w:rsidP="009E4AC1" w14:paraId="27D91994" w14:textId="04D1F4E1">
            <w:pPr>
              <w:jc w:val="right"/>
              <w:rPr>
                <w:szCs w:val="26"/>
              </w:rPr>
            </w:pPr>
            <w:r>
              <w:rPr>
                <w:szCs w:val="26"/>
              </w:rPr>
              <w:t>$</w:t>
            </w:r>
            <w:r w:rsidR="00E01ACE">
              <w:rPr>
                <w:szCs w:val="26"/>
              </w:rPr>
              <w:t>3,904,770</w:t>
            </w:r>
          </w:p>
        </w:tc>
      </w:tr>
      <w:tr w14:paraId="6AD3A84E" w14:textId="77777777" w:rsidTr="0D66A6E2">
        <w:tblPrEx>
          <w:tblW w:w="10156" w:type="dxa"/>
          <w:jc w:val="right"/>
          <w:tblLayout w:type="fixed"/>
          <w:tblLook w:val="01E0"/>
        </w:tblPrEx>
        <w:trPr>
          <w:cantSplit/>
          <w:trHeight w:val="179"/>
          <w:tblHeader/>
          <w:jc w:val="right"/>
        </w:trPr>
        <w:tc>
          <w:tcPr>
            <w:tcW w:w="1950" w:type="dxa"/>
          </w:tcPr>
          <w:p w:rsidR="005E0BA3" w:rsidP="005E0BA3" w14:paraId="57298585" w14:textId="4B16BB6B">
            <w:pPr>
              <w:rPr>
                <w:szCs w:val="26"/>
              </w:rPr>
            </w:pPr>
            <w:r>
              <w:rPr>
                <w:szCs w:val="26"/>
              </w:rPr>
              <w:t xml:space="preserve">Document </w:t>
            </w:r>
            <w:r>
              <w:t>identification of the responsibilities of each Responsible Entity</w:t>
            </w:r>
            <w:r>
              <w:rPr>
                <w:szCs w:val="26"/>
              </w:rPr>
              <w:t xml:space="preserve"> (if </w:t>
            </w:r>
            <w:r w:rsidRPr="002173A7">
              <w:rPr>
                <w:szCs w:val="26"/>
                <w:u w:val="single"/>
              </w:rPr>
              <w:t>not</w:t>
            </w:r>
            <w:r>
              <w:rPr>
                <w:szCs w:val="26"/>
              </w:rPr>
              <w:t xml:space="preserve"> owned by same Responsible Entity) </w:t>
            </w:r>
            <w:r>
              <w:t>required in Parts 1.1, 1.2 and 1.3</w:t>
            </w:r>
            <w:r>
              <w:rPr>
                <w:szCs w:val="26"/>
              </w:rPr>
              <w:t xml:space="preserve"> (Requirement R1.5)</w:t>
            </w:r>
            <w:r>
              <w:rPr>
                <w:b/>
                <w:szCs w:val="26"/>
                <w:vertAlign w:val="superscript"/>
              </w:rPr>
              <w:t>14</w:t>
            </w:r>
          </w:p>
        </w:tc>
        <w:tc>
          <w:tcPr>
            <w:tcW w:w="1197" w:type="dxa"/>
            <w:vAlign w:val="bottom"/>
          </w:tcPr>
          <w:p w:rsidR="005E0BA3" w:rsidP="005E0BA3" w14:paraId="6EF41542" w14:textId="0F4435C5">
            <w:pPr>
              <w:jc w:val="right"/>
              <w:rPr>
                <w:szCs w:val="26"/>
              </w:rPr>
            </w:pPr>
            <w:r>
              <w:rPr>
                <w:szCs w:val="26"/>
              </w:rPr>
              <w:t>730</w:t>
            </w:r>
          </w:p>
        </w:tc>
        <w:tc>
          <w:tcPr>
            <w:tcW w:w="1695" w:type="dxa"/>
            <w:vAlign w:val="bottom"/>
          </w:tcPr>
          <w:p w:rsidR="005E0BA3" w:rsidP="005E0BA3" w14:paraId="24E06BEE" w14:textId="2F4F5C8E">
            <w:pPr>
              <w:jc w:val="right"/>
              <w:rPr>
                <w:szCs w:val="26"/>
              </w:rPr>
            </w:pPr>
            <w:r>
              <w:rPr>
                <w:szCs w:val="26"/>
              </w:rPr>
              <w:t>1</w:t>
            </w:r>
          </w:p>
        </w:tc>
        <w:tc>
          <w:tcPr>
            <w:tcW w:w="1515" w:type="dxa"/>
            <w:vAlign w:val="bottom"/>
          </w:tcPr>
          <w:p w:rsidR="005E0BA3" w:rsidP="005E0BA3" w14:paraId="5099531D" w14:textId="52225BEA">
            <w:pPr>
              <w:jc w:val="right"/>
              <w:rPr>
                <w:szCs w:val="26"/>
              </w:rPr>
            </w:pPr>
            <w:r>
              <w:rPr>
                <w:szCs w:val="26"/>
              </w:rPr>
              <w:t>730</w:t>
            </w:r>
          </w:p>
        </w:tc>
        <w:tc>
          <w:tcPr>
            <w:tcW w:w="1439" w:type="dxa"/>
            <w:vAlign w:val="bottom"/>
          </w:tcPr>
          <w:p w:rsidR="005E0BA3" w:rsidP="005E0BA3" w14:paraId="7B5456C7" w14:textId="77777777">
            <w:pPr>
              <w:jc w:val="right"/>
              <w:rPr>
                <w:szCs w:val="26"/>
              </w:rPr>
            </w:pPr>
            <w:r>
              <w:rPr>
                <w:szCs w:val="26"/>
              </w:rPr>
              <w:t xml:space="preserve">50 </w:t>
            </w:r>
            <w:r>
              <w:rPr>
                <w:szCs w:val="26"/>
              </w:rPr>
              <w:t>hrs.;</w:t>
            </w:r>
          </w:p>
          <w:p w:rsidR="005E0BA3" w:rsidP="005E0BA3" w14:paraId="25166E95" w14:textId="3A4677AF">
            <w:pPr>
              <w:jc w:val="right"/>
              <w:rPr>
                <w:szCs w:val="26"/>
              </w:rPr>
            </w:pPr>
            <w:r>
              <w:rPr>
                <w:szCs w:val="26"/>
              </w:rPr>
              <w:t>$</w:t>
            </w:r>
            <w:r w:rsidR="00D35FC4">
              <w:rPr>
                <w:szCs w:val="26"/>
              </w:rPr>
              <w:t>5,349</w:t>
            </w:r>
          </w:p>
        </w:tc>
        <w:tc>
          <w:tcPr>
            <w:tcW w:w="2360" w:type="dxa"/>
            <w:vAlign w:val="bottom"/>
          </w:tcPr>
          <w:p w:rsidR="005E0BA3" w:rsidP="005E0BA3" w14:paraId="445B7BF9" w14:textId="77777777">
            <w:pPr>
              <w:jc w:val="right"/>
              <w:rPr>
                <w:szCs w:val="26"/>
              </w:rPr>
            </w:pPr>
            <w:r>
              <w:rPr>
                <w:szCs w:val="26"/>
              </w:rPr>
              <w:t xml:space="preserve">36,500 </w:t>
            </w:r>
            <w:r>
              <w:rPr>
                <w:szCs w:val="26"/>
              </w:rPr>
              <w:t>hrs.;</w:t>
            </w:r>
          </w:p>
          <w:p w:rsidR="005E0BA3" w:rsidP="005E0BA3" w14:paraId="689D04F2" w14:textId="34F78965">
            <w:pPr>
              <w:jc w:val="right"/>
              <w:rPr>
                <w:szCs w:val="26"/>
              </w:rPr>
            </w:pPr>
            <w:r>
              <w:rPr>
                <w:szCs w:val="26"/>
              </w:rPr>
              <w:t>$</w:t>
            </w:r>
            <w:r w:rsidR="00D35FC4">
              <w:rPr>
                <w:szCs w:val="26"/>
              </w:rPr>
              <w:t>3,904,770</w:t>
            </w:r>
          </w:p>
        </w:tc>
      </w:tr>
      <w:tr w14:paraId="64032A86" w14:textId="77777777" w:rsidTr="0D66A6E2">
        <w:tblPrEx>
          <w:tblW w:w="10156" w:type="dxa"/>
          <w:jc w:val="right"/>
          <w:tblLayout w:type="fixed"/>
          <w:tblLook w:val="01E0"/>
        </w:tblPrEx>
        <w:trPr>
          <w:cantSplit/>
          <w:trHeight w:val="179"/>
          <w:tblHeader/>
          <w:jc w:val="right"/>
        </w:trPr>
        <w:tc>
          <w:tcPr>
            <w:tcW w:w="1950" w:type="dxa"/>
          </w:tcPr>
          <w:p w:rsidR="009E4AC1" w:rsidP="009E4AC1" w14:paraId="5B842863" w14:textId="0A2218F0">
            <w:pPr>
              <w:rPr>
                <w:szCs w:val="26"/>
              </w:rPr>
            </w:pPr>
            <w:r>
              <w:rPr>
                <w:szCs w:val="26"/>
              </w:rPr>
              <w:t>Maintaining Compliance (ongoing, starting in Year 2)</w:t>
            </w:r>
          </w:p>
        </w:tc>
        <w:tc>
          <w:tcPr>
            <w:tcW w:w="1197" w:type="dxa"/>
            <w:vAlign w:val="bottom"/>
          </w:tcPr>
          <w:p w:rsidR="009E4AC1" w:rsidRPr="002173A7" w:rsidP="009E4AC1" w14:paraId="780E480F" w14:textId="6DCB35ED">
            <w:pPr>
              <w:jc w:val="right"/>
              <w:rPr>
                <w:szCs w:val="26"/>
              </w:rPr>
            </w:pPr>
            <w:r>
              <w:rPr>
                <w:szCs w:val="26"/>
              </w:rPr>
              <w:t>730</w:t>
            </w:r>
          </w:p>
        </w:tc>
        <w:tc>
          <w:tcPr>
            <w:tcW w:w="1695" w:type="dxa"/>
            <w:vAlign w:val="bottom"/>
          </w:tcPr>
          <w:p w:rsidR="009E4AC1" w:rsidRPr="002173A7" w:rsidP="009E4AC1" w14:paraId="56EF6F71" w14:textId="77777777">
            <w:pPr>
              <w:jc w:val="right"/>
              <w:rPr>
                <w:szCs w:val="26"/>
              </w:rPr>
            </w:pPr>
            <w:r>
              <w:rPr>
                <w:szCs w:val="26"/>
              </w:rPr>
              <w:t>1</w:t>
            </w:r>
          </w:p>
        </w:tc>
        <w:tc>
          <w:tcPr>
            <w:tcW w:w="1515" w:type="dxa"/>
            <w:vAlign w:val="bottom"/>
          </w:tcPr>
          <w:p w:rsidR="009E4AC1" w:rsidRPr="002173A7" w:rsidP="009E4AC1" w14:paraId="3A9335F7" w14:textId="71E277AB">
            <w:pPr>
              <w:jc w:val="right"/>
              <w:rPr>
                <w:szCs w:val="26"/>
              </w:rPr>
            </w:pPr>
            <w:r>
              <w:rPr>
                <w:szCs w:val="26"/>
              </w:rPr>
              <w:t>730</w:t>
            </w:r>
          </w:p>
        </w:tc>
        <w:tc>
          <w:tcPr>
            <w:tcW w:w="1439" w:type="dxa"/>
            <w:vAlign w:val="bottom"/>
          </w:tcPr>
          <w:p w:rsidR="009E4AC1" w:rsidP="009E4AC1" w14:paraId="3C8A1E7F" w14:textId="61870407">
            <w:pPr>
              <w:jc w:val="right"/>
              <w:rPr>
                <w:szCs w:val="26"/>
              </w:rPr>
            </w:pPr>
            <w:r>
              <w:rPr>
                <w:szCs w:val="26"/>
              </w:rPr>
              <w:t>1</w:t>
            </w:r>
            <w:r>
              <w:rPr>
                <w:szCs w:val="26"/>
              </w:rPr>
              <w:t xml:space="preserve"> </w:t>
            </w:r>
            <w:r>
              <w:rPr>
                <w:szCs w:val="26"/>
              </w:rPr>
              <w:t>hr.;</w:t>
            </w:r>
          </w:p>
          <w:p w:rsidR="009E4AC1" w:rsidRPr="002173A7" w:rsidP="009E4AC1" w14:paraId="19C0B8D8" w14:textId="52FFC3F2">
            <w:pPr>
              <w:jc w:val="right"/>
              <w:rPr>
                <w:szCs w:val="26"/>
              </w:rPr>
            </w:pPr>
            <w:r>
              <w:rPr>
                <w:szCs w:val="26"/>
              </w:rPr>
              <w:t>$</w:t>
            </w:r>
            <w:r w:rsidR="00D35FC4">
              <w:rPr>
                <w:szCs w:val="26"/>
              </w:rPr>
              <w:t>106.98</w:t>
            </w:r>
          </w:p>
        </w:tc>
        <w:tc>
          <w:tcPr>
            <w:tcW w:w="2360" w:type="dxa"/>
            <w:vAlign w:val="bottom"/>
          </w:tcPr>
          <w:p w:rsidR="009E4AC1" w:rsidP="009E4AC1" w14:paraId="117FED9F" w14:textId="095E2899">
            <w:pPr>
              <w:jc w:val="right"/>
              <w:rPr>
                <w:szCs w:val="26"/>
              </w:rPr>
            </w:pPr>
            <w:r>
              <w:rPr>
                <w:szCs w:val="26"/>
              </w:rPr>
              <w:t>730</w:t>
            </w:r>
            <w:r>
              <w:rPr>
                <w:szCs w:val="26"/>
              </w:rPr>
              <w:t xml:space="preserve"> </w:t>
            </w:r>
            <w:r>
              <w:rPr>
                <w:szCs w:val="26"/>
              </w:rPr>
              <w:t>hrs.;</w:t>
            </w:r>
          </w:p>
          <w:p w:rsidR="009E4AC1" w:rsidRPr="002173A7" w:rsidP="009E4AC1" w14:paraId="73CB943F" w14:textId="475CE30E">
            <w:pPr>
              <w:jc w:val="right"/>
              <w:rPr>
                <w:szCs w:val="26"/>
              </w:rPr>
            </w:pPr>
            <w:r>
              <w:rPr>
                <w:szCs w:val="26"/>
              </w:rPr>
              <w:t>$</w:t>
            </w:r>
            <w:r w:rsidR="00D35FC4">
              <w:rPr>
                <w:szCs w:val="26"/>
              </w:rPr>
              <w:t>78,095.40</w:t>
            </w:r>
          </w:p>
        </w:tc>
      </w:tr>
      <w:tr w14:paraId="649CE371" w14:textId="77777777" w:rsidTr="0D66A6E2">
        <w:tblPrEx>
          <w:tblW w:w="10156" w:type="dxa"/>
          <w:jc w:val="right"/>
          <w:tblLayout w:type="fixed"/>
          <w:tblLook w:val="01E0"/>
        </w:tblPrEx>
        <w:trPr>
          <w:cantSplit/>
          <w:trHeight w:val="179"/>
          <w:tblHeader/>
          <w:jc w:val="right"/>
        </w:trPr>
        <w:tc>
          <w:tcPr>
            <w:tcW w:w="1950" w:type="dxa"/>
          </w:tcPr>
          <w:p w:rsidR="009E4AC1" w:rsidRPr="002173A7" w:rsidP="009E4AC1" w14:paraId="68833769" w14:textId="73F59AF1">
            <w:pPr>
              <w:rPr>
                <w:b/>
                <w:szCs w:val="26"/>
              </w:rPr>
            </w:pPr>
            <w:r>
              <w:rPr>
                <w:b/>
                <w:szCs w:val="26"/>
              </w:rPr>
              <w:t>Total (one-time, in Year 1)</w:t>
            </w:r>
          </w:p>
        </w:tc>
        <w:tc>
          <w:tcPr>
            <w:tcW w:w="2892" w:type="dxa"/>
            <w:gridSpan w:val="2"/>
            <w:shd w:val="clear" w:color="auto" w:fill="BFBFBF" w:themeFill="background1" w:themeFillShade="BF"/>
            <w:vAlign w:val="bottom"/>
          </w:tcPr>
          <w:p w:rsidR="009E4AC1" w:rsidRPr="002173A7" w:rsidP="009E4AC1" w14:paraId="0CF1A418" w14:textId="77777777">
            <w:pPr>
              <w:jc w:val="right"/>
              <w:rPr>
                <w:szCs w:val="26"/>
              </w:rPr>
            </w:pPr>
          </w:p>
        </w:tc>
        <w:tc>
          <w:tcPr>
            <w:tcW w:w="1515" w:type="dxa"/>
            <w:vAlign w:val="bottom"/>
          </w:tcPr>
          <w:p w:rsidR="009E4AC1" w:rsidP="009E4AC1" w14:paraId="2D30E43E" w14:textId="65013E66">
            <w:pPr>
              <w:jc w:val="right"/>
              <w:rPr>
                <w:szCs w:val="26"/>
              </w:rPr>
            </w:pPr>
            <w:r>
              <w:rPr>
                <w:szCs w:val="26"/>
              </w:rPr>
              <w:t>4</w:t>
            </w:r>
            <w:r>
              <w:rPr>
                <w:szCs w:val="26"/>
              </w:rPr>
              <w:t>,</w:t>
            </w:r>
            <w:r>
              <w:rPr>
                <w:szCs w:val="26"/>
              </w:rPr>
              <w:t>380</w:t>
            </w:r>
          </w:p>
        </w:tc>
        <w:tc>
          <w:tcPr>
            <w:tcW w:w="1439" w:type="dxa"/>
            <w:shd w:val="clear" w:color="auto" w:fill="BFBFBF" w:themeFill="background1" w:themeFillShade="BF"/>
            <w:vAlign w:val="bottom"/>
          </w:tcPr>
          <w:p w:rsidR="009E4AC1" w:rsidRPr="002173A7" w:rsidP="009E4AC1" w14:paraId="47B0E8DA" w14:textId="77777777">
            <w:pPr>
              <w:jc w:val="right"/>
              <w:rPr>
                <w:szCs w:val="26"/>
              </w:rPr>
            </w:pPr>
          </w:p>
        </w:tc>
        <w:tc>
          <w:tcPr>
            <w:tcW w:w="2360" w:type="dxa"/>
            <w:vAlign w:val="bottom"/>
          </w:tcPr>
          <w:p w:rsidR="009E4AC1" w:rsidP="009E4AC1" w14:paraId="68E1D43A" w14:textId="105891C0">
            <w:pPr>
              <w:jc w:val="right"/>
              <w:rPr>
                <w:szCs w:val="26"/>
              </w:rPr>
            </w:pPr>
            <w:r>
              <w:rPr>
                <w:szCs w:val="26"/>
              </w:rPr>
              <w:t>235,060</w:t>
            </w:r>
            <w:r>
              <w:rPr>
                <w:szCs w:val="26"/>
              </w:rPr>
              <w:t xml:space="preserve"> </w:t>
            </w:r>
            <w:r w:rsidRPr="00684F77">
              <w:rPr>
                <w:szCs w:val="26"/>
              </w:rPr>
              <w:t>hrs.</w:t>
            </w:r>
            <w:r>
              <w:rPr>
                <w:szCs w:val="26"/>
              </w:rPr>
              <w:t>;</w:t>
            </w:r>
          </w:p>
          <w:p w:rsidR="009E4AC1" w:rsidP="009E4AC1" w14:paraId="3A979787" w14:textId="76C9695D">
            <w:pPr>
              <w:jc w:val="right"/>
              <w:rPr>
                <w:szCs w:val="26"/>
              </w:rPr>
            </w:pPr>
            <w:r>
              <w:rPr>
                <w:szCs w:val="26"/>
              </w:rPr>
              <w:t>$</w:t>
            </w:r>
            <w:r w:rsidR="00E3756C">
              <w:rPr>
                <w:szCs w:val="26"/>
              </w:rPr>
              <w:t>25,146,718.80</w:t>
            </w:r>
          </w:p>
        </w:tc>
      </w:tr>
      <w:tr w14:paraId="064D4F15" w14:textId="77777777" w:rsidTr="0D66A6E2">
        <w:tblPrEx>
          <w:tblW w:w="10156" w:type="dxa"/>
          <w:jc w:val="right"/>
          <w:tblLayout w:type="fixed"/>
          <w:tblLook w:val="01E0"/>
        </w:tblPrEx>
        <w:trPr>
          <w:cantSplit/>
          <w:trHeight w:val="179"/>
          <w:tblHeader/>
          <w:jc w:val="right"/>
        </w:trPr>
        <w:tc>
          <w:tcPr>
            <w:tcW w:w="1950" w:type="dxa"/>
          </w:tcPr>
          <w:p w:rsidR="009E4AC1" w:rsidP="009E4AC1" w14:paraId="71CE583D" w14:textId="6222162B">
            <w:pPr>
              <w:rPr>
                <w:b/>
                <w:szCs w:val="26"/>
              </w:rPr>
            </w:pPr>
            <w:r>
              <w:rPr>
                <w:b/>
                <w:szCs w:val="26"/>
              </w:rPr>
              <w:t>Total (ongoing, starting in Year 2)</w:t>
            </w:r>
          </w:p>
        </w:tc>
        <w:tc>
          <w:tcPr>
            <w:tcW w:w="2892" w:type="dxa"/>
            <w:gridSpan w:val="2"/>
            <w:shd w:val="clear" w:color="auto" w:fill="BFBFBF" w:themeFill="background1" w:themeFillShade="BF"/>
            <w:vAlign w:val="bottom"/>
          </w:tcPr>
          <w:p w:rsidR="009E4AC1" w:rsidRPr="002173A7" w:rsidP="009E4AC1" w14:paraId="141C1579" w14:textId="77777777">
            <w:pPr>
              <w:jc w:val="right"/>
              <w:rPr>
                <w:szCs w:val="26"/>
              </w:rPr>
            </w:pPr>
          </w:p>
        </w:tc>
        <w:tc>
          <w:tcPr>
            <w:tcW w:w="1515" w:type="dxa"/>
            <w:vAlign w:val="bottom"/>
          </w:tcPr>
          <w:p w:rsidR="009E4AC1" w:rsidP="009E4AC1" w14:paraId="1470796F" w14:textId="2E6C3414">
            <w:pPr>
              <w:jc w:val="right"/>
              <w:rPr>
                <w:szCs w:val="26"/>
              </w:rPr>
            </w:pPr>
            <w:r>
              <w:rPr>
                <w:szCs w:val="26"/>
              </w:rPr>
              <w:t>730</w:t>
            </w:r>
          </w:p>
        </w:tc>
        <w:tc>
          <w:tcPr>
            <w:tcW w:w="1439" w:type="dxa"/>
            <w:shd w:val="clear" w:color="auto" w:fill="BFBFBF" w:themeFill="background1" w:themeFillShade="BF"/>
            <w:vAlign w:val="bottom"/>
          </w:tcPr>
          <w:p w:rsidR="009E4AC1" w:rsidRPr="002173A7" w:rsidP="009E4AC1" w14:paraId="39EF4CD3" w14:textId="77777777">
            <w:pPr>
              <w:jc w:val="right"/>
              <w:rPr>
                <w:szCs w:val="26"/>
              </w:rPr>
            </w:pPr>
          </w:p>
        </w:tc>
        <w:tc>
          <w:tcPr>
            <w:tcW w:w="2360" w:type="dxa"/>
            <w:vAlign w:val="bottom"/>
          </w:tcPr>
          <w:p w:rsidR="009E4AC1" w:rsidP="009E4AC1" w14:paraId="2C6308A7" w14:textId="4C4B48C4">
            <w:pPr>
              <w:jc w:val="right"/>
              <w:rPr>
                <w:szCs w:val="26"/>
              </w:rPr>
            </w:pPr>
            <w:r>
              <w:rPr>
                <w:szCs w:val="26"/>
              </w:rPr>
              <w:t>730</w:t>
            </w:r>
            <w:r>
              <w:rPr>
                <w:szCs w:val="26"/>
              </w:rPr>
              <w:t xml:space="preserve"> </w:t>
            </w:r>
            <w:r>
              <w:rPr>
                <w:szCs w:val="26"/>
              </w:rPr>
              <w:t>hrs.;</w:t>
            </w:r>
          </w:p>
          <w:p w:rsidR="009E4AC1" w:rsidP="009E4AC1" w14:paraId="6E4FCBE0" w14:textId="0C7B93DE">
            <w:pPr>
              <w:jc w:val="right"/>
              <w:rPr>
                <w:szCs w:val="26"/>
              </w:rPr>
            </w:pPr>
            <w:r>
              <w:rPr>
                <w:szCs w:val="26"/>
              </w:rPr>
              <w:t>$</w:t>
            </w:r>
            <w:r w:rsidR="00E3756C">
              <w:rPr>
                <w:szCs w:val="26"/>
              </w:rPr>
              <w:t>78,095.40</w:t>
            </w:r>
          </w:p>
        </w:tc>
      </w:tr>
    </w:tbl>
    <w:p w:rsidR="00C96BC4" w:rsidP="00C96BC4" w14:paraId="5600B33D" w14:textId="77777777">
      <w:pPr>
        <w:pStyle w:val="FERCparanumber"/>
        <w:numPr>
          <w:ilvl w:val="0"/>
          <w:numId w:val="0"/>
        </w:numPr>
      </w:pPr>
    </w:p>
    <w:p w:rsidR="00C96BC4" w:rsidP="00C96BC4" w14:paraId="73E90A77" w14:textId="77777777">
      <w:pPr>
        <w:pStyle w:val="FERCparanumber"/>
        <w:ind w:left="0"/>
      </w:pPr>
      <w:r>
        <w:rPr>
          <w:rFonts w:eastAsia="Calibri"/>
        </w:rPr>
        <w:t>The one-time burden (in Year 1) for the FERC-725B</w:t>
      </w:r>
      <w:r w:rsidRPr="00A21426">
        <w:rPr>
          <w:rFonts w:eastAsia="Calibri"/>
        </w:rPr>
        <w:t xml:space="preserve"> </w:t>
      </w:r>
      <w:r>
        <w:rPr>
          <w:rFonts w:eastAsia="Calibri"/>
        </w:rPr>
        <w:t xml:space="preserve">information collection </w:t>
      </w:r>
      <w:r w:rsidRPr="00A21426">
        <w:rPr>
          <w:rFonts w:eastAsia="Calibri"/>
        </w:rPr>
        <w:t>will be averaged over three years:</w:t>
      </w:r>
      <w:r w:rsidRPr="0041245F">
        <w:t xml:space="preserve"> </w:t>
      </w:r>
    </w:p>
    <w:p w:rsidR="00C96BC4" w:rsidRPr="00A21426" w:rsidP="00C96BC4" w14:paraId="4E43793B" w14:textId="13B265B3">
      <w:pPr>
        <w:pStyle w:val="FERCparanumber"/>
        <w:numPr>
          <w:ilvl w:val="0"/>
          <w:numId w:val="4"/>
        </w:numPr>
        <w:rPr>
          <w:rFonts w:eastAsia="Calibri"/>
        </w:rPr>
      </w:pPr>
      <w:r w:rsidRPr="0D66A6E2">
        <w:rPr>
          <w:rFonts w:eastAsia="Calibri"/>
        </w:rPr>
        <w:t>2</w:t>
      </w:r>
      <w:r w:rsidR="00EF47CE">
        <w:rPr>
          <w:rFonts w:eastAsia="Calibri"/>
        </w:rPr>
        <w:t>35,060</w:t>
      </w:r>
      <w:r w:rsidRPr="0D66A6E2">
        <w:rPr>
          <w:rFonts w:eastAsia="Calibri"/>
        </w:rPr>
        <w:t xml:space="preserve"> hours ÷ 3 = </w:t>
      </w:r>
      <w:r w:rsidRPr="0D66A6E2" w:rsidR="004FD772">
        <w:rPr>
          <w:rFonts w:eastAsia="Calibri"/>
        </w:rPr>
        <w:t>78,</w:t>
      </w:r>
      <w:r w:rsidRPr="0D66A6E2" w:rsidR="63FF94AD">
        <w:rPr>
          <w:rFonts w:eastAsia="Calibri"/>
        </w:rPr>
        <w:t>353</w:t>
      </w:r>
      <w:r w:rsidRPr="0D66A6E2">
        <w:rPr>
          <w:rFonts w:eastAsia="Calibri"/>
        </w:rPr>
        <w:t xml:space="preserve"> </w:t>
      </w:r>
      <w:r w:rsidRPr="0D66A6E2" w:rsidR="30532B65">
        <w:rPr>
          <w:rFonts w:eastAsia="Calibri"/>
        </w:rPr>
        <w:t xml:space="preserve">(rounded) </w:t>
      </w:r>
      <w:r w:rsidRPr="0D66A6E2">
        <w:rPr>
          <w:rFonts w:eastAsia="Calibri"/>
        </w:rPr>
        <w:t>hours/year over Years 1-3</w:t>
      </w:r>
    </w:p>
    <w:p w:rsidR="00C96BC4" w:rsidRPr="00A21426" w:rsidP="00C96BC4" w14:paraId="0D8EABF8" w14:textId="54294871">
      <w:pPr>
        <w:pStyle w:val="FERCparanumber"/>
        <w:numPr>
          <w:ilvl w:val="0"/>
          <w:numId w:val="4"/>
        </w:numPr>
        <w:rPr>
          <w:rFonts w:eastAsia="Calibri"/>
        </w:rPr>
      </w:pPr>
      <w:r w:rsidRPr="00A21426">
        <w:rPr>
          <w:rFonts w:eastAsia="Calibri"/>
        </w:rPr>
        <w:t xml:space="preserve">The number of </w:t>
      </w:r>
      <w:r>
        <w:rPr>
          <w:rFonts w:eastAsia="Calibri"/>
        </w:rPr>
        <w:t xml:space="preserve">one-time </w:t>
      </w:r>
      <w:r w:rsidRPr="00A21426">
        <w:rPr>
          <w:rFonts w:eastAsia="Calibri"/>
        </w:rPr>
        <w:t xml:space="preserve">responses </w:t>
      </w:r>
      <w:r>
        <w:rPr>
          <w:rFonts w:eastAsia="Calibri"/>
        </w:rPr>
        <w:t xml:space="preserve">for the FERC-725B information collection </w:t>
      </w:r>
      <w:r w:rsidRPr="00A21426">
        <w:rPr>
          <w:rFonts w:eastAsia="Calibri"/>
        </w:rPr>
        <w:t xml:space="preserve">is </w:t>
      </w:r>
      <w:r>
        <w:rPr>
          <w:rFonts w:eastAsia="Calibri"/>
        </w:rPr>
        <w:t xml:space="preserve">also averaged over Years 1-3: </w:t>
      </w:r>
      <w:r w:rsidR="006A6C8F">
        <w:rPr>
          <w:rFonts w:eastAsia="Calibri"/>
        </w:rPr>
        <w:t>4,380</w:t>
      </w:r>
      <w:r>
        <w:rPr>
          <w:rFonts w:eastAsia="Calibri"/>
        </w:rPr>
        <w:t xml:space="preserve"> responses ÷ 3 = </w:t>
      </w:r>
      <w:r w:rsidR="006A6C8F">
        <w:rPr>
          <w:rFonts w:eastAsia="Calibri"/>
        </w:rPr>
        <w:t>1,460</w:t>
      </w:r>
      <w:r w:rsidRPr="00A21426">
        <w:rPr>
          <w:rFonts w:eastAsia="Calibri"/>
        </w:rPr>
        <w:t xml:space="preserve"> responses/year</w:t>
      </w:r>
    </w:p>
    <w:p w:rsidR="00C96BC4" w:rsidP="00C96BC4" w14:paraId="35681346" w14:textId="77777777">
      <w:pPr>
        <w:pStyle w:val="FERCparanumber"/>
        <w:tabs>
          <w:tab w:val="clear" w:pos="990"/>
        </w:tabs>
        <w:ind w:left="0"/>
      </w:pPr>
      <w:r w:rsidRPr="00A21426">
        <w:rPr>
          <w:rFonts w:eastAsia="Calibri"/>
        </w:rPr>
        <w:t xml:space="preserve">The </w:t>
      </w:r>
      <w:r>
        <w:rPr>
          <w:rFonts w:eastAsia="Calibri"/>
        </w:rPr>
        <w:t>average annual number (</w:t>
      </w:r>
      <w:r w:rsidRPr="00A21426">
        <w:rPr>
          <w:rFonts w:eastAsia="Calibri"/>
        </w:rPr>
        <w:t>for Years 1-3</w:t>
      </w:r>
      <w:r>
        <w:rPr>
          <w:rFonts w:eastAsia="Calibri"/>
        </w:rPr>
        <w:t>)</w:t>
      </w:r>
      <w:r w:rsidRPr="00A21426">
        <w:rPr>
          <w:rFonts w:eastAsia="Calibri"/>
        </w:rPr>
        <w:t xml:space="preserve"> </w:t>
      </w:r>
      <w:r>
        <w:rPr>
          <w:rFonts w:eastAsia="Calibri"/>
        </w:rPr>
        <w:t xml:space="preserve">of </w:t>
      </w:r>
      <w:r w:rsidRPr="00A21426">
        <w:rPr>
          <w:rFonts w:eastAsia="Calibri"/>
        </w:rPr>
        <w:t>responses and burden</w:t>
      </w:r>
      <w:r>
        <w:rPr>
          <w:rFonts w:eastAsia="Calibri"/>
        </w:rPr>
        <w:t xml:space="preserve"> for one-time and ongoing burden</w:t>
      </w:r>
      <w:r w:rsidRPr="00A21426">
        <w:rPr>
          <w:rFonts w:eastAsia="Calibri"/>
        </w:rPr>
        <w:t xml:space="preserve"> will total:</w:t>
      </w:r>
      <w:r w:rsidRPr="0041245F">
        <w:t xml:space="preserve"> </w:t>
      </w:r>
    </w:p>
    <w:p w:rsidR="00CA1AEF" w:rsidP="00CA1AEF" w14:paraId="3373136C" w14:textId="77777777">
      <w:pPr>
        <w:pStyle w:val="FERCparanumber"/>
        <w:numPr>
          <w:ilvl w:val="0"/>
          <w:numId w:val="5"/>
        </w:numPr>
        <w:rPr>
          <w:rFonts w:eastAsia="Calibri"/>
        </w:rPr>
      </w:pPr>
      <w:r>
        <w:rPr>
          <w:rFonts w:eastAsia="Calibri"/>
        </w:rPr>
        <w:t>2,190</w:t>
      </w:r>
      <w:r w:rsidR="00C96BC4">
        <w:rPr>
          <w:rFonts w:eastAsia="Calibri"/>
        </w:rPr>
        <w:t xml:space="preserve"> responses [</w:t>
      </w:r>
      <w:r w:rsidR="00686D87">
        <w:rPr>
          <w:rFonts w:eastAsia="Calibri"/>
        </w:rPr>
        <w:t>1,460</w:t>
      </w:r>
      <w:r w:rsidR="00C96BC4">
        <w:rPr>
          <w:rFonts w:eastAsia="Calibri"/>
        </w:rPr>
        <w:t xml:space="preserve"> responses (one-time) + </w:t>
      </w:r>
      <w:r>
        <w:rPr>
          <w:rFonts w:eastAsia="Calibri"/>
        </w:rPr>
        <w:t>730</w:t>
      </w:r>
      <w:r w:rsidR="00C96BC4">
        <w:rPr>
          <w:rFonts w:eastAsia="Calibri"/>
        </w:rPr>
        <w:t xml:space="preserve"> responses (ongoing)]</w:t>
      </w:r>
    </w:p>
    <w:p w:rsidR="00CA1AEF" w:rsidRPr="00CA1AEF" w:rsidP="00CA1AEF" w14:paraId="4750E628" w14:textId="2522646B">
      <w:pPr>
        <w:pStyle w:val="FERCparanumber"/>
        <w:numPr>
          <w:ilvl w:val="0"/>
          <w:numId w:val="5"/>
        </w:numPr>
        <w:rPr>
          <w:rFonts w:eastAsia="Calibri"/>
        </w:rPr>
      </w:pPr>
      <w:r w:rsidRPr="00CA1AEF">
        <w:rPr>
          <w:rFonts w:eastAsia="Calibri"/>
        </w:rPr>
        <w:t>79,083</w:t>
      </w:r>
      <w:r w:rsidRPr="00CA1AEF" w:rsidR="00C96BC4">
        <w:rPr>
          <w:rFonts w:eastAsia="Calibri"/>
        </w:rPr>
        <w:t xml:space="preserve"> burden hours [</w:t>
      </w:r>
      <w:r w:rsidRPr="00CA1AEF">
        <w:rPr>
          <w:rFonts w:eastAsia="Calibri"/>
        </w:rPr>
        <w:t>78,</w:t>
      </w:r>
      <w:r w:rsidRPr="00CA1AEF" w:rsidR="008077DC">
        <w:rPr>
          <w:rFonts w:eastAsia="Calibri"/>
        </w:rPr>
        <w:t>353</w:t>
      </w:r>
      <w:r w:rsidRPr="00CA1AEF" w:rsidR="00C96BC4">
        <w:rPr>
          <w:rFonts w:eastAsia="Calibri"/>
        </w:rPr>
        <w:t xml:space="preserve"> hours (one-time) + </w:t>
      </w:r>
      <w:r w:rsidRPr="00CA1AEF" w:rsidR="008077DC">
        <w:rPr>
          <w:rFonts w:eastAsia="Calibri"/>
        </w:rPr>
        <w:t>730</w:t>
      </w:r>
      <w:r w:rsidRPr="00CA1AEF" w:rsidR="00C96BC4">
        <w:rPr>
          <w:rFonts w:eastAsia="Calibri"/>
        </w:rPr>
        <w:t xml:space="preserve"> hours (ongoing)] </w:t>
      </w:r>
    </w:p>
    <w:p w:rsidR="002834E0" w:rsidP="00CA1AEF" w14:paraId="79108184" w14:textId="3CF9697E">
      <w:pPr>
        <w:pStyle w:val="FERCparanumber"/>
        <w:numPr>
          <w:ilvl w:val="0"/>
          <w:numId w:val="0"/>
        </w:numPr>
        <w:spacing w:after="1188" w:line="478" w:lineRule="auto"/>
        <w:ind w:left="-365" w:right="13"/>
      </w:pPr>
      <w:r w:rsidRPr="00CA1AEF">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collection of </w:t>
      </w:r>
    </w:p>
    <w:p w:rsidR="002834E0" w:rsidP="002834E0" w14:paraId="11D49256" w14:textId="61A41BAD">
      <w:pPr>
        <w:pStyle w:val="FERCparanumber"/>
        <w:numPr>
          <w:ilvl w:val="0"/>
          <w:numId w:val="0"/>
        </w:numPr>
        <w:spacing w:after="1188" w:line="478" w:lineRule="auto"/>
        <w:ind w:left="-5" w:right="13"/>
        <w:rPr>
          <w:rFonts w:ascii="Calibri" w:eastAsia="Calibri" w:hAnsi="Calibri" w:cs="Calibri"/>
          <w:color w:val="626262"/>
          <w:sz w:val="20"/>
          <w:szCs w:val="20"/>
        </w:rPr>
      </w:pPr>
      <w:r>
        <w:t xml:space="preserve">information on those who are to respond, including the use of automated collection techniques or other forms of information technology. </w:t>
      </w:r>
    </w:p>
    <w:p w:rsidR="002834E0" w:rsidP="0D66A6E2" w14:paraId="1D7CA39D" w14:textId="77777777">
      <w:pPr>
        <w:rPr>
          <w:rFonts w:ascii="Calibri" w:eastAsia="Calibri" w:hAnsi="Calibri" w:cs="Calibri"/>
          <w:color w:val="626262"/>
          <w:sz w:val="20"/>
          <w:szCs w:val="20"/>
        </w:rPr>
      </w:pPr>
    </w:p>
    <w:p w:rsidR="002834E0" w:rsidRPr="002834E0" w:rsidP="002834E0" w14:paraId="2174509E" w14:textId="1A4B60CE">
      <w:pPr>
        <w:spacing w:after="0" w:line="240" w:lineRule="auto"/>
        <w:ind w:left="0" w:firstLine="2606"/>
        <w:jc w:val="center"/>
        <w:rPr>
          <w:rFonts w:eastAsia="Calibri"/>
        </w:rPr>
      </w:pPr>
      <w:r w:rsidRPr="002834E0">
        <w:rPr>
          <w:rFonts w:eastAsia="Calibri"/>
        </w:rPr>
        <w:t>Debbie-Anne A. Reese,</w:t>
      </w:r>
    </w:p>
    <w:p w:rsidR="002834E0" w:rsidRPr="002834E0" w:rsidP="002834E0" w14:paraId="30F9B3B2" w14:textId="58CD85B8">
      <w:pPr>
        <w:spacing w:after="0" w:line="240" w:lineRule="auto"/>
        <w:ind w:left="0" w:firstLine="2606"/>
        <w:jc w:val="center"/>
        <w:rPr>
          <w:rFonts w:eastAsia="Calibri"/>
        </w:rPr>
      </w:pPr>
      <w:r w:rsidRPr="002834E0">
        <w:rPr>
          <w:rFonts w:eastAsia="Calibri"/>
        </w:rPr>
        <w:t>Acting Secretary.</w:t>
      </w:r>
    </w:p>
    <w:p w:rsidR="002834E0" w:rsidP="0D66A6E2" w14:paraId="2DD9DEF6" w14:textId="77777777">
      <w:pPr>
        <w:rPr>
          <w:rFonts w:ascii="Calibri" w:eastAsia="Calibri" w:hAnsi="Calibri" w:cs="Calibri"/>
          <w:color w:val="626262"/>
          <w:sz w:val="20"/>
          <w:szCs w:val="20"/>
        </w:rPr>
      </w:pPr>
    </w:p>
    <w:sectPr w:rsidSect="00B17B50">
      <w:headerReference w:type="even" r:id="rId15"/>
      <w:headerReference w:type="default" r:id="rId16"/>
      <w:headerReference w:type="first" r:id="rId17"/>
      <w:pgSz w:w="12240" w:h="15840"/>
      <w:pgMar w:top="1440" w:right="1440" w:bottom="1440" w:left="1440"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FC6251" w14:paraId="30B4A780" w14:textId="77777777">
      <w:pPr>
        <w:spacing w:after="0" w:line="240" w:lineRule="auto"/>
      </w:pPr>
      <w:r>
        <w:separator/>
      </w:r>
    </w:p>
  </w:endnote>
  <w:endnote w:type="continuationSeparator" w:id="1">
    <w:p w:rsidR="00FC6251" w14:paraId="69182FED" w14:textId="77777777">
      <w:pPr>
        <w:spacing w:after="0" w:line="240" w:lineRule="auto"/>
      </w:pPr>
      <w:r>
        <w:continuationSeparator/>
      </w:r>
    </w:p>
  </w:endnote>
  <w:endnote w:type="continuationNotice" w:id="2">
    <w:p w:rsidR="00FC6251" w14:paraId="1E791CB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C6251" w14:paraId="0C7F5736" w14:textId="77777777">
      <w:pPr>
        <w:spacing w:after="0" w:line="216" w:lineRule="auto"/>
        <w:ind w:left="0" w:right="183" w:firstLine="0"/>
      </w:pPr>
      <w:r>
        <w:separator/>
      </w:r>
    </w:p>
  </w:footnote>
  <w:footnote w:type="continuationSeparator" w:id="1">
    <w:p w:rsidR="00FC6251" w14:paraId="45BF83D4" w14:textId="77777777">
      <w:pPr>
        <w:spacing w:after="0" w:line="216" w:lineRule="auto"/>
        <w:ind w:left="0" w:right="183" w:firstLine="0"/>
      </w:pPr>
      <w:r>
        <w:continuationSeparator/>
      </w:r>
    </w:p>
  </w:footnote>
  <w:footnote w:type="continuationNotice" w:id="2">
    <w:p w:rsidR="00FC6251" w14:paraId="7D64CA4E" w14:textId="77777777">
      <w:pPr>
        <w:spacing w:after="0" w:line="240" w:lineRule="auto"/>
      </w:pPr>
    </w:p>
  </w:footnote>
  <w:footnote w:id="3">
    <w:p w:rsidR="004F5A39" w:rsidP="0039037B" w14:paraId="6177F426" w14:textId="1B40DA16">
      <w:pPr>
        <w:pStyle w:val="FootnoteText"/>
        <w:ind w:firstLine="0"/>
      </w:pPr>
      <w:r>
        <w:rPr>
          <w:rStyle w:val="FootnoteReference"/>
        </w:rPr>
        <w:footnoteRef/>
      </w:r>
      <w:r>
        <w:t xml:space="preserve"> </w:t>
      </w:r>
      <w:r>
        <w:rPr>
          <w:b/>
          <w:sz w:val="17"/>
        </w:rPr>
        <w:t xml:space="preserve"> </w:t>
      </w:r>
      <w:r>
        <w:t xml:space="preserve">Energy Policy Act of 2005, Pub. L. No. 109-58, sec. 1261 </w:t>
      </w:r>
      <w:r>
        <w:rPr>
          <w:i/>
        </w:rPr>
        <w:t>et seq.</w:t>
      </w:r>
      <w:r>
        <w:t>, 119 Stat. 594 (2005).</w:t>
      </w:r>
    </w:p>
  </w:footnote>
  <w:footnote w:id="4">
    <w:p w:rsidR="004F5A39" w:rsidP="0039037B" w14:paraId="62B85F30" w14:textId="33293A05">
      <w:pPr>
        <w:ind w:right="192"/>
      </w:pPr>
      <w:r>
        <w:rPr>
          <w:rStyle w:val="FootnoteReference"/>
        </w:rPr>
        <w:footnoteRef/>
      </w:r>
      <w:r>
        <w:t xml:space="preserve"> 16 U.S.C. 824o.</w:t>
      </w:r>
    </w:p>
  </w:footnote>
  <w:footnote w:id="5">
    <w:p w:rsidR="0039037B" w:rsidP="0039037B" w14:paraId="63417167" w14:textId="2CA667FA">
      <w:pPr>
        <w:pStyle w:val="FootnoteText"/>
        <w:ind w:firstLine="0"/>
      </w:pPr>
      <w:r>
        <w:rPr>
          <w:rStyle w:val="FootnoteReference"/>
        </w:rPr>
        <w:footnoteRef/>
      </w:r>
      <w:r>
        <w:t xml:space="preserve"> Section 215 of the FPA defines Reliability Standard as a requirement, approved by the Commission, to provide for reliable operation of existing bulk-power system facilities, including cybersecurity protection, and the design of planned additions or modifications to such facilities to the extent necessary to provide for reliable operation of the Bulk</w:t>
      </w:r>
      <w:r w:rsidR="006C3FC5">
        <w:t>-</w:t>
      </w:r>
      <w:r>
        <w:t xml:space="preserve">Power System.  However, the term does not include any requirement to enlarge such facilities or to construct new transmission capacity or generation capacity.  </w:t>
      </w:r>
    </w:p>
  </w:footnote>
  <w:footnote w:id="6">
    <w:p w:rsidR="003E2712" w:rsidP="0039037B" w14:paraId="355ACFB1" w14:textId="3F46601C">
      <w:pPr>
        <w:ind w:right="192"/>
      </w:pPr>
      <w:r>
        <w:rPr>
          <w:rStyle w:val="FootnoteReference"/>
        </w:rPr>
        <w:footnoteRef/>
      </w:r>
      <w:r>
        <w:t xml:space="preserve"> </w:t>
      </w:r>
      <w:r>
        <w:rPr>
          <w:i/>
        </w:rPr>
        <w:t xml:space="preserve">Rules Concerning Certification of the Elec. Reliability Org.; and Procedures for the Establishment, Approval, and </w:t>
      </w:r>
      <w:r>
        <w:rPr>
          <w:i/>
        </w:rPr>
        <w:t>Enf’t</w:t>
      </w:r>
      <w:r>
        <w:rPr>
          <w:i/>
        </w:rPr>
        <w:t xml:space="preserve"> of Elec. Reliability Standards</w:t>
      </w:r>
      <w:r>
        <w:t xml:space="preserve">, Order No. 672, 71 FR 8661 (Feb. 17, 2006), 114 FERC ¶ 61,104, </w:t>
      </w:r>
      <w:r>
        <w:rPr>
          <w:i/>
        </w:rPr>
        <w:t>order on reh’g</w:t>
      </w:r>
      <w:r>
        <w:t>, Order No. 672-A, 71 FR 19814 (Apr. 28, 2006), 114 FERC ¶ 61,328 (2006).</w:t>
      </w:r>
    </w:p>
    <w:p w:rsidR="003E2712" w14:paraId="500869A4" w14:textId="77DE9143">
      <w:pPr>
        <w:pStyle w:val="FootnoteText"/>
      </w:pPr>
    </w:p>
  </w:footnote>
  <w:footnote w:id="7">
    <w:p w:rsidR="00975631" w:rsidP="00975631" w14:paraId="3CFB6910" w14:textId="77777777">
      <w:pPr>
        <w:autoSpaceDE w:val="0"/>
        <w:autoSpaceDN w:val="0"/>
        <w:adjustRightInd w:val="0"/>
        <w:spacing w:after="0" w:line="240" w:lineRule="auto"/>
        <w:ind w:left="0" w:firstLine="0"/>
        <w:rPr>
          <w:rFonts w:ascii="TimesNewRoman" w:hAnsi="TimesNewRoman" w:eastAsiaTheme="minorEastAsia" w:cs="TimesNewRoman"/>
          <w:color w:val="auto"/>
          <w:szCs w:val="26"/>
        </w:rPr>
      </w:pPr>
      <w:r>
        <w:rPr>
          <w:rStyle w:val="FootnoteReference"/>
        </w:rPr>
        <w:footnoteRef/>
      </w:r>
      <w:r>
        <w:t xml:space="preserve"> </w:t>
      </w:r>
      <w:r>
        <w:rPr>
          <w:rFonts w:ascii="TimesNewRoman" w:hAnsi="TimesNewRoman" w:eastAsiaTheme="minorEastAsia" w:cs="TimesNewRoman"/>
          <w:color w:val="auto"/>
          <w:szCs w:val="26"/>
        </w:rPr>
        <w:t>NERC uses the term “registered entity” to identify users, owners, and operators of the</w:t>
      </w:r>
    </w:p>
    <w:p w:rsidR="00975631" w:rsidP="00975631" w14:paraId="13FA7271" w14:textId="77777777">
      <w:pPr>
        <w:autoSpaceDE w:val="0"/>
        <w:autoSpaceDN w:val="0"/>
        <w:adjustRightInd w:val="0"/>
        <w:spacing w:after="0" w:line="240" w:lineRule="auto"/>
        <w:ind w:left="0" w:firstLine="0"/>
        <w:rPr>
          <w:rFonts w:ascii="TimesNewRoman" w:hAnsi="TimesNewRoman" w:eastAsiaTheme="minorEastAsia" w:cs="TimesNewRoman"/>
          <w:color w:val="auto"/>
          <w:szCs w:val="26"/>
        </w:rPr>
      </w:pPr>
      <w:r>
        <w:rPr>
          <w:rFonts w:ascii="TimesNewRoman" w:hAnsi="TimesNewRoman" w:eastAsiaTheme="minorEastAsia" w:cs="TimesNewRoman"/>
          <w:color w:val="auto"/>
          <w:szCs w:val="26"/>
        </w:rPr>
        <w:t>Bulk-Power System responsible for performing specified reliability functions with</w:t>
      </w:r>
    </w:p>
    <w:p w:rsidR="00975631" w:rsidP="00975631" w14:paraId="0A05148C" w14:textId="77777777">
      <w:pPr>
        <w:autoSpaceDE w:val="0"/>
        <w:autoSpaceDN w:val="0"/>
        <w:adjustRightInd w:val="0"/>
        <w:spacing w:after="0" w:line="240" w:lineRule="auto"/>
        <w:ind w:left="0" w:firstLine="0"/>
        <w:rPr>
          <w:rFonts w:ascii="TimesNewRoman,Italic" w:hAnsi="TimesNewRoman,Italic" w:eastAsiaTheme="minorEastAsia" w:cs="TimesNewRoman,Italic"/>
          <w:i/>
          <w:iCs/>
          <w:color w:val="auto"/>
          <w:szCs w:val="26"/>
        </w:rPr>
      </w:pPr>
      <w:r>
        <w:rPr>
          <w:rFonts w:ascii="TimesNewRoman" w:hAnsi="TimesNewRoman" w:eastAsiaTheme="minorEastAsia" w:cs="TimesNewRoman"/>
          <w:color w:val="auto"/>
          <w:szCs w:val="26"/>
        </w:rPr>
        <w:t xml:space="preserve">respect to NERC Reliability Standards. </w:t>
      </w:r>
      <w:r>
        <w:rPr>
          <w:rFonts w:ascii="TimesNewRoman,Italic" w:hAnsi="TimesNewRoman,Italic" w:eastAsiaTheme="minorEastAsia" w:cs="TimesNewRoman,Italic"/>
          <w:i/>
          <w:iCs/>
          <w:color w:val="auto"/>
          <w:szCs w:val="26"/>
        </w:rPr>
        <w:t>See</w:t>
      </w:r>
      <w:r>
        <w:rPr>
          <w:rFonts w:ascii="TimesNewRoman" w:hAnsi="TimesNewRoman" w:eastAsiaTheme="minorEastAsia" w:cs="TimesNewRoman"/>
          <w:color w:val="auto"/>
          <w:szCs w:val="26"/>
        </w:rPr>
        <w:t xml:space="preserve">, </w:t>
      </w:r>
      <w:r>
        <w:rPr>
          <w:rFonts w:ascii="TimesNewRoman,Italic" w:hAnsi="TimesNewRoman,Italic" w:eastAsiaTheme="minorEastAsia" w:cs="TimesNewRoman,Italic"/>
          <w:i/>
          <w:iCs/>
          <w:color w:val="auto"/>
          <w:szCs w:val="26"/>
        </w:rPr>
        <w:t>e.g</w:t>
      </w:r>
      <w:r>
        <w:rPr>
          <w:rFonts w:ascii="TimesNewRoman" w:hAnsi="TimesNewRoman" w:eastAsiaTheme="minorEastAsia" w:cs="TimesNewRoman"/>
          <w:color w:val="auto"/>
          <w:szCs w:val="26"/>
        </w:rPr>
        <w:t xml:space="preserve">., </w:t>
      </w:r>
      <w:r>
        <w:rPr>
          <w:rFonts w:ascii="TimesNewRoman,Italic" w:hAnsi="TimesNewRoman,Italic" w:eastAsiaTheme="minorEastAsia" w:cs="TimesNewRoman,Italic"/>
          <w:i/>
          <w:iCs/>
          <w:color w:val="auto"/>
          <w:szCs w:val="26"/>
        </w:rPr>
        <w:t>Version 4 Critical Infrastructure</w:t>
      </w:r>
    </w:p>
    <w:p w:rsidR="00975631" w:rsidP="00975631" w14:paraId="7FF1FAE0" w14:textId="77777777">
      <w:pPr>
        <w:autoSpaceDE w:val="0"/>
        <w:autoSpaceDN w:val="0"/>
        <w:adjustRightInd w:val="0"/>
        <w:spacing w:after="0" w:line="240" w:lineRule="auto"/>
        <w:ind w:left="0" w:firstLine="0"/>
        <w:rPr>
          <w:rFonts w:ascii="TimesNewRoman" w:hAnsi="TimesNewRoman" w:eastAsiaTheme="minorEastAsia" w:cs="TimesNewRoman"/>
          <w:color w:val="auto"/>
          <w:szCs w:val="26"/>
        </w:rPr>
      </w:pPr>
      <w:r>
        <w:rPr>
          <w:rFonts w:ascii="TimesNewRoman,Italic" w:hAnsi="TimesNewRoman,Italic" w:eastAsiaTheme="minorEastAsia" w:cs="TimesNewRoman,Italic"/>
          <w:i/>
          <w:iCs/>
          <w:color w:val="auto"/>
          <w:szCs w:val="26"/>
        </w:rPr>
        <w:t>Protection Reliability Standards</w:t>
      </w:r>
      <w:r>
        <w:rPr>
          <w:rFonts w:ascii="TimesNewRoman" w:hAnsi="TimesNewRoman" w:eastAsiaTheme="minorEastAsia" w:cs="TimesNewRoman"/>
          <w:color w:val="auto"/>
          <w:szCs w:val="26"/>
        </w:rPr>
        <w:t>, Order No. 761, 77 FR 24594 (Apr. 25, 2012), 139</w:t>
      </w:r>
    </w:p>
    <w:p w:rsidR="00975631" w:rsidP="00975631" w14:paraId="0132502D" w14:textId="77777777">
      <w:pPr>
        <w:autoSpaceDE w:val="0"/>
        <w:autoSpaceDN w:val="0"/>
        <w:adjustRightInd w:val="0"/>
        <w:spacing w:after="0" w:line="240" w:lineRule="auto"/>
        <w:ind w:left="0" w:firstLine="0"/>
        <w:rPr>
          <w:rFonts w:ascii="TimesNewRoman" w:hAnsi="TimesNewRoman" w:eastAsiaTheme="minorEastAsia" w:cs="TimesNewRoman"/>
          <w:color w:val="auto"/>
          <w:szCs w:val="26"/>
        </w:rPr>
      </w:pPr>
      <w:r>
        <w:rPr>
          <w:rFonts w:ascii="TimesNewRoman" w:hAnsi="TimesNewRoman" w:eastAsiaTheme="minorEastAsia" w:cs="TimesNewRoman"/>
          <w:color w:val="auto"/>
          <w:szCs w:val="26"/>
        </w:rPr>
        <w:t xml:space="preserve">FERC ¶ 61,058, at P 46, </w:t>
      </w:r>
      <w:r>
        <w:rPr>
          <w:rFonts w:ascii="TimesNewRoman,Italic" w:hAnsi="TimesNewRoman,Italic" w:eastAsiaTheme="minorEastAsia" w:cs="TimesNewRoman,Italic"/>
          <w:i/>
          <w:iCs/>
          <w:color w:val="auto"/>
          <w:szCs w:val="26"/>
        </w:rPr>
        <w:t>order denying clarification and reh’g</w:t>
      </w:r>
      <w:r>
        <w:rPr>
          <w:rFonts w:ascii="TimesNewRoman" w:hAnsi="TimesNewRoman" w:eastAsiaTheme="minorEastAsia" w:cs="TimesNewRoman"/>
          <w:color w:val="auto"/>
          <w:szCs w:val="26"/>
        </w:rPr>
        <w:t>, 140 FERC ¶ 61,109</w:t>
      </w:r>
    </w:p>
    <w:p w:rsidR="00975631" w:rsidP="00975631" w14:paraId="023A77F0" w14:textId="77777777">
      <w:pPr>
        <w:autoSpaceDE w:val="0"/>
        <w:autoSpaceDN w:val="0"/>
        <w:adjustRightInd w:val="0"/>
        <w:spacing w:after="0" w:line="240" w:lineRule="auto"/>
        <w:ind w:left="0" w:firstLine="0"/>
        <w:rPr>
          <w:rFonts w:ascii="TimesNewRoman" w:hAnsi="TimesNewRoman" w:eastAsiaTheme="minorEastAsia" w:cs="TimesNewRoman"/>
          <w:color w:val="auto"/>
          <w:szCs w:val="26"/>
        </w:rPr>
      </w:pPr>
      <w:r>
        <w:rPr>
          <w:rFonts w:ascii="TimesNewRoman" w:hAnsi="TimesNewRoman" w:eastAsiaTheme="minorEastAsia" w:cs="TimesNewRoman"/>
          <w:color w:val="auto"/>
          <w:szCs w:val="26"/>
        </w:rPr>
        <w:t>(2012). Within the NERC Reliability Standards are various subsets of entities</w:t>
      </w:r>
    </w:p>
    <w:p w:rsidR="00975631" w:rsidP="00975631" w14:paraId="6DBE51F3" w14:textId="719631AD">
      <w:pPr>
        <w:autoSpaceDE w:val="0"/>
        <w:autoSpaceDN w:val="0"/>
        <w:adjustRightInd w:val="0"/>
        <w:spacing w:after="0" w:line="240" w:lineRule="auto"/>
        <w:ind w:left="0" w:firstLine="0"/>
      </w:pPr>
      <w:r>
        <w:rPr>
          <w:rFonts w:ascii="TimesNewRoman" w:hAnsi="TimesNewRoman" w:eastAsiaTheme="minorEastAsia" w:cs="TimesNewRoman"/>
          <w:color w:val="auto"/>
          <w:szCs w:val="26"/>
        </w:rPr>
        <w:t>responsible for performing various specified reliability functions. We collectively refer to these as “entities.”</w:t>
      </w:r>
    </w:p>
  </w:footnote>
  <w:footnote w:id="8">
    <w:p w:rsidR="003E2712" w:rsidP="00070163" w14:paraId="358C8C01" w14:textId="16749EC2">
      <w:pPr>
        <w:ind w:left="-15" w:right="13" w:firstLine="0"/>
      </w:pPr>
      <w:r>
        <w:rPr>
          <w:rStyle w:val="FootnoteReference"/>
        </w:rPr>
        <w:footnoteRef/>
      </w:r>
      <w:r>
        <w:t xml:space="preserve"> NERC defines BES Cyber System as “[o]</w:t>
      </w:r>
      <w:r>
        <w:t>ne</w:t>
      </w:r>
      <w:r>
        <w:t xml:space="preserve"> or more BES Cyber Assets logically grouped by a responsible entity to perform one or more reliability tasks for a functional entity.”  NERC, Glossary of Terms Used in NERC Reliability Standards, at 5 (2020), </w:t>
      </w:r>
      <w:hyperlink r:id="rId1" w:history="1">
        <w:r w:rsidR="00CA71F5">
          <w:rPr>
            <w:rStyle w:val="Hyperlink"/>
          </w:rPr>
          <w:t>Glossary_of_Terms.pdf (nerc.com)</w:t>
        </w:r>
      </w:hyperlink>
      <w:r w:rsidR="00CA71F5">
        <w:rPr>
          <w:color w:val="0000FF"/>
          <w:u w:val="single" w:color="0000FF"/>
        </w:rPr>
        <w:t xml:space="preserve"> </w:t>
      </w:r>
      <w:r>
        <w:t xml:space="preserve">.  NERC defines BES Cyber Asset as </w:t>
      </w:r>
    </w:p>
    <w:p w:rsidR="003E2712" w:rsidP="003E2712" w14:paraId="6BE3CE57" w14:textId="77777777">
      <w:pPr>
        <w:ind w:left="1450" w:right="1375"/>
      </w:pPr>
      <w:r>
        <w:t xml:space="preserve">A Cyber Asset that if rendered unavailable, degraded, or misused would, within 15 minutes of its required operation, mis-operation, or non-operation, adversely impact one or more Facilities, systems, or equipment, which, if destroyed, degraded, or otherwise rendered unavailable when needed, would affect the reliable operation of the Bulk Electric System.  Redundancy of affected Facilities, systems, and equipment shall not be considered when determining adverse impact.  Each BES Cyber Asset is included in one or more BES Cyber Systems. </w:t>
      </w:r>
    </w:p>
    <w:p w:rsidR="00D06BB9" w:rsidP="00D06BB9" w14:paraId="651ACE79" w14:textId="77777777">
      <w:pPr>
        <w:ind w:left="-5" w:right="13"/>
      </w:pPr>
      <w:r>
        <w:rPr>
          <w:i/>
        </w:rPr>
        <w:t xml:space="preserve">Id. </w:t>
      </w:r>
      <w:r>
        <w:t xml:space="preserve">at 4. </w:t>
      </w:r>
    </w:p>
    <w:p w:rsidR="003E2712" w14:paraId="287013AC" w14:textId="1D6FC07D">
      <w:pPr>
        <w:pStyle w:val="FootnoteText"/>
      </w:pPr>
    </w:p>
  </w:footnote>
  <w:footnote w:id="9">
    <w:p w:rsidR="004A64C9" w:rsidP="008C763E" w14:paraId="708A0357" w14:textId="53A6EBB6">
      <w:pPr>
        <w:pStyle w:val="FootnoteText"/>
        <w:ind w:firstLine="0"/>
      </w:pPr>
      <w:r>
        <w:rPr>
          <w:rStyle w:val="FootnoteReference"/>
        </w:rPr>
        <w:footnoteRef/>
      </w:r>
      <w:r>
        <w:t xml:space="preserve"> 44 U.S.C. 3507(d) (2012</w:t>
      </w:r>
      <w:r w:rsidR="004F5A39">
        <w:t>)</w:t>
      </w:r>
      <w:r w:rsidR="006B4A9E">
        <w:t>.</w:t>
      </w:r>
    </w:p>
  </w:footnote>
  <w:footnote w:id="10">
    <w:p w:rsidR="0015648A" w:rsidP="008C763E" w14:paraId="0CEBB55E" w14:textId="3FB3F9BE">
      <w:pPr>
        <w:pStyle w:val="FootnoteText"/>
        <w:ind w:firstLine="0"/>
      </w:pPr>
      <w:r>
        <w:rPr>
          <w:rStyle w:val="FootnoteReference"/>
        </w:rPr>
        <w:footnoteRef/>
      </w:r>
      <w:r>
        <w:t xml:space="preserve"> 5 CFR 1320.11 (2017)</w:t>
      </w:r>
      <w:r w:rsidR="006B4A9E">
        <w:t>.</w:t>
      </w:r>
    </w:p>
  </w:footnote>
  <w:footnote w:id="11">
    <w:p w:rsidR="00CF6204" w14:paraId="36F2BC51" w14:textId="0D6C8F6D">
      <w:pPr>
        <w:pStyle w:val="footnotedescription"/>
        <w:ind w:left="0" w:right="183" w:firstLine="0"/>
      </w:pPr>
      <w:r>
        <w:rPr>
          <w:rStyle w:val="footnotemark"/>
        </w:rPr>
        <w:footnoteRef/>
      </w:r>
      <w:r>
        <w:t xml:space="preserve"> “Burden” is the total time, effort, or financial resources expended by persons to generate, maintain, retain, or disclose or provide information to or for a </w:t>
      </w:r>
      <w:r>
        <w:t>Federal</w:t>
      </w:r>
      <w:r>
        <w:t xml:space="preserve"> agency.  For further explanation of what is included in the information collection burden, refer to 5 </w:t>
      </w:r>
      <w:r w:rsidR="00252390">
        <w:t>CFR</w:t>
      </w:r>
      <w:r>
        <w:t xml:space="preserve"> </w:t>
      </w:r>
      <w:r w:rsidR="005E284C">
        <w:t>1320.3.</w:t>
      </w:r>
    </w:p>
  </w:footnote>
  <w:footnote w:id="12">
    <w:p w:rsidR="007737BF" w:rsidP="007737BF" w14:paraId="2E909B36" w14:textId="31EF9341">
      <w:pPr>
        <w:pStyle w:val="FootnoteText"/>
        <w:ind w:firstLine="0"/>
      </w:pPr>
      <w:r>
        <w:rPr>
          <w:rStyle w:val="FootnoteReference"/>
        </w:rPr>
        <w:footnoteRef/>
      </w:r>
      <w:r>
        <w:t xml:space="preserve"> </w:t>
      </w:r>
      <w:r>
        <w:rPr>
          <w:rFonts w:ascii="TimesNewRoman" w:hAnsi="TimesNewRoman" w:eastAsiaTheme="minorEastAsia" w:cs="TimesNewRoman"/>
          <w:szCs w:val="26"/>
        </w:rPr>
        <w:t>Order No. 822, 154 FERC ¶ 61,037 at 32.</w:t>
      </w:r>
    </w:p>
  </w:footnote>
  <w:footnote w:id="13">
    <w:p w:rsidR="009A2013" w:rsidP="00AB3750" w14:paraId="6778E0DE" w14:textId="362145A8">
      <w:pPr>
        <w:pStyle w:val="FootnoteText"/>
        <w:ind w:firstLine="0"/>
      </w:pPr>
      <w:r>
        <w:rPr>
          <w:rStyle w:val="FootnoteReference"/>
        </w:rPr>
        <w:footnoteRef/>
      </w:r>
      <w:r>
        <w:t xml:space="preserve"> </w:t>
      </w:r>
      <w:r w:rsidRPr="005C2536" w:rsidR="00AB3750">
        <w:rPr>
          <w:i/>
          <w:iCs/>
        </w:rPr>
        <w:t>Mandatory Reliability Standards for Critical Infrastructure Protection</w:t>
      </w:r>
      <w:r w:rsidR="00AB3750">
        <w:t>, Order No. 706, 73 FR 7368 (Feb. 7, 2008), 122 FERC ¶ 61,040, at P 72 (2008); order on reh’g, Order No. 706-A, 123 FERC ¶ 61,174 (2008); order on clarification, Order No. 706-B, 126 FERC ¶ 61,229 (2009).</w:t>
      </w:r>
    </w:p>
  </w:footnote>
  <w:footnote w:id="14">
    <w:p w:rsidR="00C96BC4" w:rsidRPr="00D30BDB" w:rsidP="00C96BC4" w14:paraId="747728B2" w14:textId="77777777">
      <w:pPr>
        <w:pStyle w:val="FootnoteText"/>
      </w:pPr>
      <w:r w:rsidRPr="00D30BDB">
        <w:rPr>
          <w:rStyle w:val="FootnoteReference"/>
        </w:rPr>
        <w:footnoteRef/>
      </w:r>
      <w:r w:rsidRPr="00D30BDB">
        <w:t xml:space="preserve"> We consider the filing of an application to be a “response.” </w:t>
      </w:r>
    </w:p>
  </w:footnote>
  <w:footnote w:id="15">
    <w:p w:rsidR="001479D7" w:rsidP="00E775BF" w14:paraId="264E2571" w14:textId="30491BE7">
      <w:pPr>
        <w:pStyle w:val="FootnoteText"/>
        <w:ind w:firstLine="0"/>
        <w:rPr>
          <w:szCs w:val="26"/>
        </w:rPr>
      </w:pPr>
      <w:r>
        <w:rPr>
          <w:rStyle w:val="FootnoteReference"/>
        </w:rPr>
        <w:footnoteRef/>
      </w:r>
      <w:r>
        <w:t xml:space="preserve"> The hourly cost for wages plus benefits is based on the average of the occupational categories for 202</w:t>
      </w:r>
      <w:r w:rsidR="00E01ACE">
        <w:t>4</w:t>
      </w:r>
      <w:r>
        <w:t xml:space="preserve"> found on the Bureau of Labor Statistics website</w:t>
      </w:r>
      <w:r>
        <w:rPr>
          <w:szCs w:val="26"/>
        </w:rPr>
        <w:t xml:space="preserve"> </w:t>
      </w:r>
      <w:r w:rsidRPr="006C3963">
        <w:rPr>
          <w:szCs w:val="26"/>
        </w:rPr>
        <w:t>(</w:t>
      </w:r>
      <w:hyperlink r:id="rId2" w:history="1">
        <w:r w:rsidRPr="006C3963">
          <w:rPr>
            <w:rStyle w:val="Hyperlink"/>
          </w:rPr>
          <w:t>http://www.bls.gov/oes/current/naics2_22.htm</w:t>
        </w:r>
      </w:hyperlink>
      <w:r w:rsidRPr="006C3963">
        <w:rPr>
          <w:szCs w:val="26"/>
        </w:rPr>
        <w:t>):</w:t>
      </w:r>
    </w:p>
    <w:p w:rsidR="001479D7" w:rsidP="001479D7" w14:paraId="1EFF3206" w14:textId="47E0A4AD">
      <w:pPr>
        <w:pStyle w:val="FootnoteText"/>
        <w:rPr>
          <w:szCs w:val="26"/>
        </w:rPr>
      </w:pPr>
      <w:r>
        <w:t>Information Security Analysts (Occupation Code: 15-1212): $</w:t>
      </w:r>
      <w:r w:rsidR="00E01ACE">
        <w:t>80.62</w:t>
      </w:r>
    </w:p>
    <w:p w:rsidR="001479D7" w:rsidP="001479D7" w14:paraId="3F2EDF14" w14:textId="5968A9B8">
      <w:pPr>
        <w:pStyle w:val="FootnoteText"/>
        <w:rPr>
          <w:szCs w:val="26"/>
        </w:rPr>
      </w:pPr>
      <w:r>
        <w:t>Computer and Mathematical (Occupation Code: 15-0000): $</w:t>
      </w:r>
      <w:r w:rsidR="00E01ACE">
        <w:t>74.16</w:t>
      </w:r>
    </w:p>
    <w:p w:rsidR="001479D7" w:rsidP="001479D7" w14:paraId="0430E660" w14:textId="5FB356B9">
      <w:pPr>
        <w:pStyle w:val="FootnoteText"/>
        <w:rPr>
          <w:szCs w:val="26"/>
        </w:rPr>
      </w:pPr>
      <w:r>
        <w:t>Legal (Occupation Code: 23-0000): $</w:t>
      </w:r>
      <w:r w:rsidR="00E01ACE">
        <w:t>160.24</w:t>
      </w:r>
    </w:p>
    <w:p w:rsidR="001479D7" w:rsidP="001479D7" w14:paraId="630297C3" w14:textId="1361B101">
      <w:pPr>
        <w:pStyle w:val="FootnoteText"/>
        <w:rPr>
          <w:szCs w:val="26"/>
        </w:rPr>
      </w:pPr>
      <w:r>
        <w:t xml:space="preserve">Computer and Information Systems Managers (Occupation Code: 11-3021): </w:t>
      </w:r>
      <w:r w:rsidR="00E01ACE">
        <w:t>$112.88</w:t>
      </w:r>
    </w:p>
    <w:p w:rsidR="001479D7" w14:paraId="3CCBF91C" w14:textId="3A46567F">
      <w:pPr>
        <w:pStyle w:val="FootnoteText"/>
      </w:pPr>
      <w:r>
        <w:t>These various occupational categories’ wage figures are averaged as follows: $</w:t>
      </w:r>
      <w:r w:rsidR="00E01ACE">
        <w:t>80.62</w:t>
      </w:r>
      <w:r>
        <w:t>/hour + $</w:t>
      </w:r>
      <w:r w:rsidR="00E01ACE">
        <w:t>74.16</w:t>
      </w:r>
      <w:r>
        <w:t>/hour + $</w:t>
      </w:r>
      <w:r w:rsidR="00E01ACE">
        <w:t>160.24</w:t>
      </w:r>
      <w:r>
        <w:t>/hour + $</w:t>
      </w:r>
      <w:r w:rsidR="00E01ACE">
        <w:t>112.88</w:t>
      </w:r>
      <w:r>
        <w:t>/hour) ÷ 4 = $</w:t>
      </w:r>
      <w:r w:rsidR="00E01ACE">
        <w:t>106.975</w:t>
      </w:r>
      <w:r>
        <w:t>/hour</w:t>
      </w:r>
      <w:r w:rsidR="00E01ACE">
        <w:t xml:space="preserve"> ($106.98 rounded)</w:t>
      </w:r>
      <w:r>
        <w:t>.  The resulting wage figure is rounded to $</w:t>
      </w:r>
      <w:r w:rsidR="00662614">
        <w:t>106.98</w:t>
      </w:r>
      <w:r>
        <w:t>/hour for use in calculating wage figures in the Final Rule in Docket No. RD24-3-000.</w:t>
      </w:r>
    </w:p>
  </w:footnote>
  <w:footnote w:id="16">
    <w:p w:rsidR="00C96BC4" w:rsidP="00E775BF" w14:paraId="6BA1637E" w14:textId="77777777">
      <w:pPr>
        <w:pStyle w:val="FootnoteText"/>
        <w:ind w:firstLine="0"/>
      </w:pPr>
      <w:r>
        <w:rPr>
          <w:rStyle w:val="FootnoteReference"/>
        </w:rPr>
        <w:footnoteRef/>
      </w:r>
      <w:r>
        <w:t xml:space="preserve"> </w:t>
      </w:r>
      <w:r w:rsidRPr="001A28D0">
        <w:t xml:space="preserve">This includes the record retention costs </w:t>
      </w:r>
      <w:r>
        <w:t xml:space="preserve">for </w:t>
      </w:r>
      <w:r w:rsidRPr="001A28D0">
        <w:t>the one-time and the on-going reporting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204" w14:paraId="63F48319" w14:textId="7777777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37889659"/>
      <w:docPartObj>
        <w:docPartGallery w:val="Page Numbers (Top of Page)"/>
        <w:docPartUnique/>
      </w:docPartObj>
    </w:sdtPr>
    <w:sdtEndPr>
      <w:rPr>
        <w:noProof/>
      </w:rPr>
    </w:sdtEndPr>
    <w:sdtContent>
      <w:p w:rsidR="00B17B50" w:rsidP="00B17B50" w14:paraId="280062F6" w14:textId="11CECEE3">
        <w:pPr>
          <w:pStyle w:val="Header"/>
        </w:pPr>
        <w:r>
          <w:t xml:space="preserve">Docket No. RD24-3-000 </w:t>
        </w:r>
        <w:r>
          <w:tab/>
        </w:r>
        <w:r>
          <w:fldChar w:fldCharType="begin"/>
        </w:r>
        <w:r>
          <w:instrText xml:space="preserve"> PAGE   \* MERGEFORMAT </w:instrText>
        </w:r>
        <w:r>
          <w:fldChar w:fldCharType="separate"/>
        </w:r>
        <w:r>
          <w:rPr>
            <w:noProof/>
          </w:rPr>
          <w:t>2</w:t>
        </w:r>
        <w:r>
          <w:rPr>
            <w:noProof/>
          </w:rPr>
          <w:fldChar w:fldCharType="end"/>
        </w:r>
      </w:p>
    </w:sdtContent>
  </w:sdt>
  <w:p w:rsidR="00CF6204" w14:paraId="23E95D5D" w14:textId="13831D1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F6204" w14:paraId="4B70C31E" w14:textId="7777777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1868DA"/>
    <w:multiLevelType w:val="hybridMultilevel"/>
    <w:tmpl w:val="2E666E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F8F7652"/>
    <w:multiLevelType w:val="hybridMultilevel"/>
    <w:tmpl w:val="31D042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DA64F8A"/>
    <w:multiLevelType w:val="hybridMultilevel"/>
    <w:tmpl w:val="44943FC6"/>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4">
    <w:nsid w:val="3E2005C6"/>
    <w:multiLevelType w:val="hybridMultilevel"/>
    <w:tmpl w:val="73949044"/>
    <w:lvl w:ilvl="0">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5">
    <w:nsid w:val="7E4E4DD3"/>
    <w:multiLevelType w:val="hybridMultilevel"/>
    <w:tmpl w:val="BCE2A7E8"/>
    <w:lvl w:ilvl="0">
      <w:start w:val="1"/>
      <w:numFmt w:val="decimal"/>
      <w:pStyle w:val="FERCparanumber"/>
      <w:lvlText w:val="%1."/>
      <w:lvlJc w:val="left"/>
      <w:pPr>
        <w:tabs>
          <w:tab w:val="num" w:pos="990"/>
        </w:tabs>
        <w:ind w:left="270" w:firstLine="0"/>
      </w:pPr>
      <w:rPr>
        <w:rFonts w:hint="default"/>
        <w:b w:val="0"/>
        <w:i w:val="0"/>
        <w:sz w:val="26"/>
        <w:szCs w:val="26"/>
      </w:rPr>
    </w:lvl>
    <w:lvl w:ilvl="1">
      <w:start w:val="3"/>
      <w:numFmt w:val="upperLetter"/>
      <w:lvlText w:val="%2."/>
      <w:lvlJc w:val="left"/>
      <w:pPr>
        <w:tabs>
          <w:tab w:val="num" w:pos="830"/>
        </w:tabs>
        <w:ind w:left="830" w:hanging="660"/>
      </w:pPr>
      <w:rPr>
        <w:rFonts w:hint="default"/>
        <w:b/>
        <w:color w:val="auto"/>
        <w:u w:val="none"/>
      </w:rPr>
    </w:lvl>
    <w:lvl w:ilvl="2">
      <w:start w:val="1"/>
      <w:numFmt w:val="lowerRoman"/>
      <w:lvlText w:val="%3."/>
      <w:lvlJc w:val="right"/>
      <w:pPr>
        <w:tabs>
          <w:tab w:val="num" w:pos="1250"/>
        </w:tabs>
        <w:ind w:left="1250" w:hanging="180"/>
      </w:pPr>
      <w:rPr>
        <w:rFonts w:hint="default"/>
      </w:rPr>
    </w:lvl>
    <w:lvl w:ilvl="3">
      <w:start w:val="1"/>
      <w:numFmt w:val="decimal"/>
      <w:lvlText w:val="%4."/>
      <w:lvlJc w:val="left"/>
      <w:pPr>
        <w:tabs>
          <w:tab w:val="num" w:pos="1970"/>
        </w:tabs>
        <w:ind w:left="1970" w:hanging="360"/>
      </w:pPr>
    </w:lvl>
    <w:lvl w:ilvl="4" w:tentative="1">
      <w:start w:val="1"/>
      <w:numFmt w:val="lowerLetter"/>
      <w:lvlText w:val="%5."/>
      <w:lvlJc w:val="left"/>
      <w:pPr>
        <w:tabs>
          <w:tab w:val="num" w:pos="2690"/>
        </w:tabs>
        <w:ind w:left="2690" w:hanging="360"/>
      </w:pPr>
    </w:lvl>
    <w:lvl w:ilvl="5" w:tentative="1">
      <w:start w:val="1"/>
      <w:numFmt w:val="lowerRoman"/>
      <w:lvlText w:val="%6."/>
      <w:lvlJc w:val="right"/>
      <w:pPr>
        <w:tabs>
          <w:tab w:val="num" w:pos="3410"/>
        </w:tabs>
        <w:ind w:left="3410" w:hanging="180"/>
      </w:pPr>
    </w:lvl>
    <w:lvl w:ilvl="6" w:tentative="1">
      <w:start w:val="1"/>
      <w:numFmt w:val="decimal"/>
      <w:lvlText w:val="%7."/>
      <w:lvlJc w:val="left"/>
      <w:pPr>
        <w:tabs>
          <w:tab w:val="num" w:pos="4130"/>
        </w:tabs>
        <w:ind w:left="4130" w:hanging="360"/>
      </w:pPr>
    </w:lvl>
    <w:lvl w:ilvl="7" w:tentative="1">
      <w:start w:val="1"/>
      <w:numFmt w:val="lowerLetter"/>
      <w:lvlText w:val="%8."/>
      <w:lvlJc w:val="left"/>
      <w:pPr>
        <w:tabs>
          <w:tab w:val="num" w:pos="4850"/>
        </w:tabs>
        <w:ind w:left="4850" w:hanging="360"/>
      </w:pPr>
    </w:lvl>
    <w:lvl w:ilvl="8" w:tentative="1">
      <w:start w:val="1"/>
      <w:numFmt w:val="lowerRoman"/>
      <w:lvlText w:val="%9."/>
      <w:lvlJc w:val="right"/>
      <w:pPr>
        <w:tabs>
          <w:tab w:val="num" w:pos="5570"/>
        </w:tabs>
        <w:ind w:left="5570" w:hanging="180"/>
      </w:pPr>
    </w:lvl>
  </w:abstractNum>
  <w:num w:numId="1" w16cid:durableId="1457521963">
    <w:abstractNumId w:val="3"/>
  </w:num>
  <w:num w:numId="2" w16cid:durableId="106780110">
    <w:abstractNumId w:val="4"/>
  </w:num>
  <w:num w:numId="3" w16cid:durableId="654801652">
    <w:abstractNumId w:val="5"/>
  </w:num>
  <w:num w:numId="4" w16cid:durableId="744495053">
    <w:abstractNumId w:val="1"/>
  </w:num>
  <w:num w:numId="5" w16cid:durableId="1278442694">
    <w:abstractNumId w:val="2"/>
  </w:num>
  <w:num w:numId="6" w16cid:durableId="1587421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04"/>
    <w:rsid w:val="000005CD"/>
    <w:rsid w:val="000157A0"/>
    <w:rsid w:val="000466FB"/>
    <w:rsid w:val="00046D5A"/>
    <w:rsid w:val="00070163"/>
    <w:rsid w:val="000851DC"/>
    <w:rsid w:val="000A16C2"/>
    <w:rsid w:val="000A3D56"/>
    <w:rsid w:val="000B1C69"/>
    <w:rsid w:val="000B1C9A"/>
    <w:rsid w:val="000B5B70"/>
    <w:rsid w:val="000E129D"/>
    <w:rsid w:val="00105DB2"/>
    <w:rsid w:val="00112800"/>
    <w:rsid w:val="001144F3"/>
    <w:rsid w:val="00121FA7"/>
    <w:rsid w:val="001276DF"/>
    <w:rsid w:val="001314C1"/>
    <w:rsid w:val="001479D7"/>
    <w:rsid w:val="0015648A"/>
    <w:rsid w:val="0015787D"/>
    <w:rsid w:val="00167659"/>
    <w:rsid w:val="001830F7"/>
    <w:rsid w:val="00187F08"/>
    <w:rsid w:val="001964DD"/>
    <w:rsid w:val="001A1887"/>
    <w:rsid w:val="001A28D0"/>
    <w:rsid w:val="001D2613"/>
    <w:rsid w:val="00214F07"/>
    <w:rsid w:val="00216931"/>
    <w:rsid w:val="002173A7"/>
    <w:rsid w:val="00227481"/>
    <w:rsid w:val="00252390"/>
    <w:rsid w:val="002834E0"/>
    <w:rsid w:val="002926B0"/>
    <w:rsid w:val="002A1737"/>
    <w:rsid w:val="002A3BA2"/>
    <w:rsid w:val="002A3CAD"/>
    <w:rsid w:val="002A4E53"/>
    <w:rsid w:val="002E1BB1"/>
    <w:rsid w:val="002E233E"/>
    <w:rsid w:val="002E29ED"/>
    <w:rsid w:val="00307501"/>
    <w:rsid w:val="00341B51"/>
    <w:rsid w:val="00341E52"/>
    <w:rsid w:val="00346E78"/>
    <w:rsid w:val="00355FD6"/>
    <w:rsid w:val="00364B68"/>
    <w:rsid w:val="00374788"/>
    <w:rsid w:val="0038127F"/>
    <w:rsid w:val="0039037B"/>
    <w:rsid w:val="0039323B"/>
    <w:rsid w:val="00395FDC"/>
    <w:rsid w:val="003A4650"/>
    <w:rsid w:val="003A6B39"/>
    <w:rsid w:val="003E2712"/>
    <w:rsid w:val="003E603A"/>
    <w:rsid w:val="003E7746"/>
    <w:rsid w:val="0041245F"/>
    <w:rsid w:val="00420BC2"/>
    <w:rsid w:val="00425518"/>
    <w:rsid w:val="004356F2"/>
    <w:rsid w:val="0045453C"/>
    <w:rsid w:val="00456838"/>
    <w:rsid w:val="00456B5D"/>
    <w:rsid w:val="00461450"/>
    <w:rsid w:val="00461C71"/>
    <w:rsid w:val="00466E9F"/>
    <w:rsid w:val="00491D34"/>
    <w:rsid w:val="004A64C9"/>
    <w:rsid w:val="004A7B3B"/>
    <w:rsid w:val="004B2F69"/>
    <w:rsid w:val="004D0FA7"/>
    <w:rsid w:val="004E3A62"/>
    <w:rsid w:val="004F1EF8"/>
    <w:rsid w:val="004F5A39"/>
    <w:rsid w:val="004FD772"/>
    <w:rsid w:val="00500C16"/>
    <w:rsid w:val="00502291"/>
    <w:rsid w:val="00524164"/>
    <w:rsid w:val="00543E72"/>
    <w:rsid w:val="00554BCF"/>
    <w:rsid w:val="00557FAA"/>
    <w:rsid w:val="005B5F5F"/>
    <w:rsid w:val="005C2536"/>
    <w:rsid w:val="005E08D1"/>
    <w:rsid w:val="005E0BA3"/>
    <w:rsid w:val="005E284C"/>
    <w:rsid w:val="005E46C7"/>
    <w:rsid w:val="005F5F75"/>
    <w:rsid w:val="00614B06"/>
    <w:rsid w:val="00616331"/>
    <w:rsid w:val="00635A01"/>
    <w:rsid w:val="00652F78"/>
    <w:rsid w:val="00662614"/>
    <w:rsid w:val="0067346A"/>
    <w:rsid w:val="00677204"/>
    <w:rsid w:val="006828F3"/>
    <w:rsid w:val="00684F77"/>
    <w:rsid w:val="00686D87"/>
    <w:rsid w:val="006916FD"/>
    <w:rsid w:val="006A5E02"/>
    <w:rsid w:val="006A6C8F"/>
    <w:rsid w:val="006A7083"/>
    <w:rsid w:val="006B4A9E"/>
    <w:rsid w:val="006B65AF"/>
    <w:rsid w:val="006C3963"/>
    <w:rsid w:val="006C3FC5"/>
    <w:rsid w:val="006E2DAB"/>
    <w:rsid w:val="006F0FB9"/>
    <w:rsid w:val="006F3150"/>
    <w:rsid w:val="00705843"/>
    <w:rsid w:val="007279B9"/>
    <w:rsid w:val="007322D3"/>
    <w:rsid w:val="0074627E"/>
    <w:rsid w:val="00746F76"/>
    <w:rsid w:val="00761384"/>
    <w:rsid w:val="007639C5"/>
    <w:rsid w:val="00771935"/>
    <w:rsid w:val="007737BF"/>
    <w:rsid w:val="00794A52"/>
    <w:rsid w:val="007A1EBA"/>
    <w:rsid w:val="008008BA"/>
    <w:rsid w:val="008077DC"/>
    <w:rsid w:val="008151EC"/>
    <w:rsid w:val="00817C35"/>
    <w:rsid w:val="00822279"/>
    <w:rsid w:val="00832C65"/>
    <w:rsid w:val="008350BE"/>
    <w:rsid w:val="0085395A"/>
    <w:rsid w:val="008609CB"/>
    <w:rsid w:val="008756CF"/>
    <w:rsid w:val="00876E5D"/>
    <w:rsid w:val="008B3E07"/>
    <w:rsid w:val="008B3E09"/>
    <w:rsid w:val="008C763E"/>
    <w:rsid w:val="008D5863"/>
    <w:rsid w:val="008E1A36"/>
    <w:rsid w:val="008F1012"/>
    <w:rsid w:val="008F53BA"/>
    <w:rsid w:val="00900772"/>
    <w:rsid w:val="00906977"/>
    <w:rsid w:val="00907C2C"/>
    <w:rsid w:val="00915002"/>
    <w:rsid w:val="00932B95"/>
    <w:rsid w:val="00933D1C"/>
    <w:rsid w:val="00954D90"/>
    <w:rsid w:val="00955192"/>
    <w:rsid w:val="0095612C"/>
    <w:rsid w:val="0097345D"/>
    <w:rsid w:val="00975631"/>
    <w:rsid w:val="009A2013"/>
    <w:rsid w:val="009D323B"/>
    <w:rsid w:val="009E4AC1"/>
    <w:rsid w:val="009F0791"/>
    <w:rsid w:val="009F5BFE"/>
    <w:rsid w:val="00A13DC2"/>
    <w:rsid w:val="00A21426"/>
    <w:rsid w:val="00A43045"/>
    <w:rsid w:val="00A47D6D"/>
    <w:rsid w:val="00A70F30"/>
    <w:rsid w:val="00A71483"/>
    <w:rsid w:val="00A829BB"/>
    <w:rsid w:val="00AA00AF"/>
    <w:rsid w:val="00AB3750"/>
    <w:rsid w:val="00AB46E4"/>
    <w:rsid w:val="00AC529E"/>
    <w:rsid w:val="00AF4543"/>
    <w:rsid w:val="00AF472C"/>
    <w:rsid w:val="00AF5F22"/>
    <w:rsid w:val="00B17B50"/>
    <w:rsid w:val="00B23B2E"/>
    <w:rsid w:val="00B50F2E"/>
    <w:rsid w:val="00B53124"/>
    <w:rsid w:val="00B564C9"/>
    <w:rsid w:val="00B7700C"/>
    <w:rsid w:val="00B7769C"/>
    <w:rsid w:val="00BA5A31"/>
    <w:rsid w:val="00BB5EF5"/>
    <w:rsid w:val="00BF104A"/>
    <w:rsid w:val="00BF4869"/>
    <w:rsid w:val="00C02459"/>
    <w:rsid w:val="00C12683"/>
    <w:rsid w:val="00C2004F"/>
    <w:rsid w:val="00C40E36"/>
    <w:rsid w:val="00C51B32"/>
    <w:rsid w:val="00C6054A"/>
    <w:rsid w:val="00C60DB4"/>
    <w:rsid w:val="00C64740"/>
    <w:rsid w:val="00C64AAE"/>
    <w:rsid w:val="00C66742"/>
    <w:rsid w:val="00C71F33"/>
    <w:rsid w:val="00C72A67"/>
    <w:rsid w:val="00C73C91"/>
    <w:rsid w:val="00C764B0"/>
    <w:rsid w:val="00C915B9"/>
    <w:rsid w:val="00C96BC4"/>
    <w:rsid w:val="00CA1AEF"/>
    <w:rsid w:val="00CA71F5"/>
    <w:rsid w:val="00CC5109"/>
    <w:rsid w:val="00CF480A"/>
    <w:rsid w:val="00CF6204"/>
    <w:rsid w:val="00D06BB9"/>
    <w:rsid w:val="00D274ED"/>
    <w:rsid w:val="00D30BDB"/>
    <w:rsid w:val="00D35FC4"/>
    <w:rsid w:val="00D47368"/>
    <w:rsid w:val="00D47AC8"/>
    <w:rsid w:val="00D85E9C"/>
    <w:rsid w:val="00D9219A"/>
    <w:rsid w:val="00DA4E19"/>
    <w:rsid w:val="00DA7854"/>
    <w:rsid w:val="00DC381B"/>
    <w:rsid w:val="00DE59E0"/>
    <w:rsid w:val="00E01ACE"/>
    <w:rsid w:val="00E3756C"/>
    <w:rsid w:val="00E453C3"/>
    <w:rsid w:val="00E775BF"/>
    <w:rsid w:val="00EF47CE"/>
    <w:rsid w:val="00F00E00"/>
    <w:rsid w:val="00F01D4A"/>
    <w:rsid w:val="00F12C98"/>
    <w:rsid w:val="00F36F08"/>
    <w:rsid w:val="00F452DA"/>
    <w:rsid w:val="00F70384"/>
    <w:rsid w:val="00F7256A"/>
    <w:rsid w:val="00F734F2"/>
    <w:rsid w:val="00FB4FB9"/>
    <w:rsid w:val="00FC39BA"/>
    <w:rsid w:val="00FC6251"/>
    <w:rsid w:val="00FC7921"/>
    <w:rsid w:val="00FE0D26"/>
    <w:rsid w:val="01132F8A"/>
    <w:rsid w:val="0727573D"/>
    <w:rsid w:val="087850AF"/>
    <w:rsid w:val="087E1A46"/>
    <w:rsid w:val="0B756785"/>
    <w:rsid w:val="0BB1CE20"/>
    <w:rsid w:val="0D66A6E2"/>
    <w:rsid w:val="11C36DF2"/>
    <w:rsid w:val="128FFB1D"/>
    <w:rsid w:val="16E8E43B"/>
    <w:rsid w:val="198E25D7"/>
    <w:rsid w:val="1B6277AD"/>
    <w:rsid w:val="1E3582DF"/>
    <w:rsid w:val="25B1618C"/>
    <w:rsid w:val="3024AC2A"/>
    <w:rsid w:val="30532B65"/>
    <w:rsid w:val="35537E2A"/>
    <w:rsid w:val="39DADB55"/>
    <w:rsid w:val="3D33D731"/>
    <w:rsid w:val="43A7197C"/>
    <w:rsid w:val="458D04B4"/>
    <w:rsid w:val="45EBD496"/>
    <w:rsid w:val="4C74A9D9"/>
    <w:rsid w:val="517C4A6C"/>
    <w:rsid w:val="53186666"/>
    <w:rsid w:val="5690C614"/>
    <w:rsid w:val="56CF04CD"/>
    <w:rsid w:val="570877C9"/>
    <w:rsid w:val="5CAFDBC7"/>
    <w:rsid w:val="5D1D2367"/>
    <w:rsid w:val="5D45549F"/>
    <w:rsid w:val="5E5DA89C"/>
    <w:rsid w:val="60A90BAD"/>
    <w:rsid w:val="63FF94AD"/>
    <w:rsid w:val="6F10F555"/>
    <w:rsid w:val="72C157F0"/>
    <w:rsid w:val="7693389C"/>
    <w:rsid w:val="7CE4639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66C85E0"/>
  <w15:docId w15:val="{259D050F-42B1-4A32-B898-937E5952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61" w:lineRule="auto"/>
      <w:ind w:left="19" w:hanging="1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115" w:right="2169" w:hanging="115"/>
    </w:pPr>
    <w:rPr>
      <w:rFonts w:ascii="Times New Roman" w:eastAsia="Times New Roman" w:hAnsi="Times New Roman" w:cs="Times New Roman"/>
      <w:color w:val="000000"/>
      <w:sz w:val="26"/>
    </w:rPr>
  </w:style>
  <w:style w:type="character" w:customStyle="1" w:styleId="footnotedescriptionChar">
    <w:name w:val="footnote description Char"/>
    <w:link w:val="footnotedescription"/>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b/>
      <w:color w:val="000000"/>
      <w:sz w:val="2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5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95A"/>
    <w:rPr>
      <w:rFonts w:ascii="Times New Roman" w:eastAsia="Times New Roman" w:hAnsi="Times New Roman" w:cs="Times New Roman"/>
      <w:color w:val="000000"/>
      <w:sz w:val="26"/>
    </w:rPr>
  </w:style>
  <w:style w:type="paragraph" w:customStyle="1" w:styleId="FERCparanumber">
    <w:name w:val="FERC paranumber"/>
    <w:basedOn w:val="Normal"/>
    <w:link w:val="FERCparanumberChar1"/>
    <w:qFormat/>
    <w:rsid w:val="00C96BC4"/>
    <w:pPr>
      <w:numPr>
        <w:numId w:val="3"/>
      </w:numPr>
      <w:spacing w:after="0" w:line="480" w:lineRule="auto"/>
    </w:pPr>
    <w:rPr>
      <w:color w:val="auto"/>
      <w:szCs w:val="24"/>
    </w:rPr>
  </w:style>
  <w:style w:type="character" w:customStyle="1" w:styleId="FERCparanumberChar1">
    <w:name w:val="FERC paranumber Char1"/>
    <w:link w:val="FERCparanumber"/>
    <w:rsid w:val="00C96BC4"/>
    <w:rPr>
      <w:rFonts w:ascii="Times New Roman" w:eastAsia="Times New Roman" w:hAnsi="Times New Roman" w:cs="Times New Roman"/>
      <w:sz w:val="26"/>
      <w:szCs w:val="24"/>
    </w:rPr>
  </w:style>
  <w:style w:type="paragraph" w:styleId="FootnoteText">
    <w:name w:val="footnote text"/>
    <w:aliases w:val="Footnote Text Char Char,Footnote Text Char Char Char,Footnote Text Char1,Footnote Text Char1 Char,Footnote Text Char1 Char Char,Footnote Text Char1 Char1,Footnote Text Char2 Char,Footnote Text Char3,Footnote Text MRP,fn,fn1,fn3,fn4,ft Char"/>
    <w:basedOn w:val="Normal"/>
    <w:link w:val="FootnoteTextChar2"/>
    <w:qFormat/>
    <w:rsid w:val="00C96BC4"/>
    <w:pPr>
      <w:spacing w:after="120" w:line="240" w:lineRule="auto"/>
      <w:ind w:left="0" w:firstLine="720"/>
    </w:pPr>
    <w:rPr>
      <w:color w:val="auto"/>
      <w:szCs w:val="20"/>
    </w:rPr>
  </w:style>
  <w:style w:type="character" w:customStyle="1" w:styleId="FootnoteTextChar">
    <w:name w:val="Footnote Text Char"/>
    <w:basedOn w:val="DefaultParagraphFont"/>
    <w:uiPriority w:val="99"/>
    <w:semiHidden/>
    <w:rsid w:val="00C96BC4"/>
    <w:rPr>
      <w:rFonts w:ascii="Times New Roman" w:eastAsia="Times New Roman" w:hAnsi="Times New Roman" w:cs="Times New Roman"/>
      <w:color w:val="000000"/>
      <w:sz w:val="20"/>
      <w:szCs w:val="20"/>
    </w:rPr>
  </w:style>
  <w:style w:type="character" w:customStyle="1" w:styleId="FootnoteTextChar2">
    <w:name w:val="Footnote Text Char2"/>
    <w:aliases w:val="Footnote Text Char Char Char Char,Footnote Text Char Char Char1,Footnote Text Char1 Char Char Char,Footnote Text Char1 Char Char1,Footnote Text Char1 Char1 Char,Footnote Text Char1 Char2,Footnote Text MRP Char,fn Char,fn1 Char"/>
    <w:link w:val="FootnoteText"/>
    <w:rsid w:val="00C96BC4"/>
    <w:rPr>
      <w:rFonts w:ascii="Times New Roman" w:eastAsia="Times New Roman" w:hAnsi="Times New Roman" w:cs="Times New Roman"/>
      <w:sz w:val="26"/>
      <w:szCs w:val="20"/>
    </w:rPr>
  </w:style>
  <w:style w:type="character" w:styleId="Hyperlink">
    <w:name w:val="Hyperlink"/>
    <w:rsid w:val="00C96BC4"/>
    <w:rPr>
      <w:color w:val="0000FF"/>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uiPriority w:val="99"/>
    <w:rsid w:val="00C96BC4"/>
    <w:rPr>
      <w:rFonts w:ascii="Times New Roman" w:hAnsi="Times New Roman"/>
      <w:b/>
      <w:sz w:val="26"/>
      <w:szCs w:val="26"/>
      <w:vertAlign w:val="superscript"/>
    </w:rPr>
  </w:style>
  <w:style w:type="character" w:styleId="FollowedHyperlink">
    <w:name w:val="FollowedHyperlink"/>
    <w:basedOn w:val="DefaultParagraphFont"/>
    <w:uiPriority w:val="99"/>
    <w:semiHidden/>
    <w:unhideWhenUsed/>
    <w:rsid w:val="003A4650"/>
    <w:rPr>
      <w:color w:val="954F72" w:themeColor="followedHyperlink"/>
      <w:u w:val="single"/>
    </w:rPr>
  </w:style>
  <w:style w:type="paragraph" w:styleId="Revision">
    <w:name w:val="Revision"/>
    <w:hidden/>
    <w:uiPriority w:val="99"/>
    <w:semiHidden/>
    <w:rsid w:val="000851DC"/>
    <w:pPr>
      <w:spacing w:after="0" w:line="240" w:lineRule="auto"/>
    </w:pPr>
    <w:rPr>
      <w:rFonts w:ascii="Times New Roman" w:eastAsia="Times New Roman" w:hAnsi="Times New Roman" w:cs="Times New Roman"/>
      <w:color w:val="000000"/>
      <w:sz w:val="26"/>
    </w:rPr>
  </w:style>
  <w:style w:type="paragraph" w:styleId="Header">
    <w:name w:val="header"/>
    <w:basedOn w:val="Normal"/>
    <w:link w:val="HeaderChar"/>
    <w:uiPriority w:val="99"/>
    <w:unhideWhenUsed/>
    <w:rsid w:val="0069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6FD"/>
    <w:rPr>
      <w:rFonts w:ascii="Times New Roman" w:eastAsia="Times New Roman" w:hAnsi="Times New Roman" w:cs="Times New Roman"/>
      <w:color w:val="000000"/>
      <w:sz w:val="26"/>
    </w:rPr>
  </w:style>
  <w:style w:type="character" w:styleId="CommentReference">
    <w:name w:val="annotation reference"/>
    <w:basedOn w:val="DefaultParagraphFont"/>
    <w:uiPriority w:val="99"/>
    <w:semiHidden/>
    <w:unhideWhenUsed/>
    <w:rsid w:val="000B1C9A"/>
    <w:rPr>
      <w:sz w:val="16"/>
      <w:szCs w:val="16"/>
    </w:rPr>
  </w:style>
  <w:style w:type="paragraph" w:styleId="CommentText">
    <w:name w:val="annotation text"/>
    <w:basedOn w:val="Normal"/>
    <w:link w:val="CommentTextChar"/>
    <w:uiPriority w:val="99"/>
    <w:unhideWhenUsed/>
    <w:rsid w:val="000B1C9A"/>
    <w:pPr>
      <w:spacing w:line="240" w:lineRule="auto"/>
    </w:pPr>
    <w:rPr>
      <w:sz w:val="20"/>
      <w:szCs w:val="20"/>
    </w:rPr>
  </w:style>
  <w:style w:type="character" w:customStyle="1" w:styleId="CommentTextChar">
    <w:name w:val="Comment Text Char"/>
    <w:basedOn w:val="DefaultParagraphFont"/>
    <w:link w:val="CommentText"/>
    <w:uiPriority w:val="99"/>
    <w:rsid w:val="000B1C9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B1C9A"/>
    <w:rPr>
      <w:b/>
      <w:bCs/>
    </w:rPr>
  </w:style>
  <w:style w:type="character" w:customStyle="1" w:styleId="CommentSubjectChar">
    <w:name w:val="Comment Subject Char"/>
    <w:basedOn w:val="CommentTextChar"/>
    <w:link w:val="CommentSubject"/>
    <w:uiPriority w:val="99"/>
    <w:semiHidden/>
    <w:rsid w:val="000B1C9A"/>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5C2536"/>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yperlink" Target="http://www.reginfo.gov/public/do/PRAMain" TargetMode="External" /><Relationship Id="rId12" Type="http://schemas.openxmlformats.org/officeDocument/2006/relationships/hyperlink" Target="https://www.ferc.gov" TargetMode="External" /><Relationship Id="rId13" Type="http://schemas.openxmlformats.org/officeDocument/2006/relationships/hyperlink" Target="https://www.ferc.gov/ferc-online/overview" TargetMode="External" /><Relationship Id="rId14" Type="http://schemas.openxmlformats.org/officeDocument/2006/relationships/hyperlink" Target="mailto:DataClearance@FERC.gov"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nerc.com/pa/Stand/Glossary%20of%20Terms/Glossary_of_Terms.pdf" TargetMode="External" /><Relationship Id="rId2"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mso-contentType ?>
<SharedContentType xmlns="Microsoft.SharePoint.Taxonomy.ContentTypeSync" SourceId="74a4cd09-5f17-433b-814a-38e7e9115d16"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176CA-6AB5-4C11-88F4-D8633B2BF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326B0-4BFE-46DD-8609-E01DF746D088}">
  <ds:schemaRefs>
    <ds:schemaRef ds:uri="http://schemas.microsoft.com/sharepoint/v3/contenttype/forms"/>
  </ds:schemaRefs>
</ds:datastoreItem>
</file>

<file path=customXml/itemProps3.xml><?xml version="1.0" encoding="utf-8"?>
<ds:datastoreItem xmlns:ds="http://schemas.openxmlformats.org/officeDocument/2006/customXml" ds:itemID="{3D4CD27E-C96F-439A-9F44-02D0316655B4}">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e8733a2-e908-454b-85cf-c9d17e1d0943"/>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1DDD24A-9E6B-436F-AE3B-7A5EC78B41DA}">
  <ds:schemaRefs>
    <ds:schemaRef ds:uri="Microsoft.SharePoint.Taxonomy.ContentTypeSync"/>
  </ds:schemaRefs>
</ds:datastoreItem>
</file>

<file path=customXml/itemProps5.xml><?xml version="1.0" encoding="utf-8"?>
<ds:datastoreItem xmlns:ds="http://schemas.openxmlformats.org/officeDocument/2006/customXml" ds:itemID="{AFEE5000-6565-4904-8E2F-C5BAC556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1724</Words>
  <Characters>9827</Characters>
  <Application>Microsoft Office Word</Application>
  <DocSecurity>0</DocSecurity>
  <Lines>81</Lines>
  <Paragraphs>23</Paragraphs>
  <ScaleCrop>false</ScaleCrop>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dcterms:created xsi:type="dcterms:W3CDTF">2024-09-04T18:19:00Z</dcterms:created>
  <dcterms:modified xsi:type="dcterms:W3CDTF">2024-09-04T18:19:00Z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9e8b9225-a5c6-4782-b403-8eb3648d26b0</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2024-09-04T18:16:51Z</vt:lpwstr>
  </property>
  <property fmtid="{D5CDD505-2E9C-101B-9397-08002B2CF9AE}" pid="8" name="MSIP_Label_6155a89b-0f08-4a93-8ea2-8a916d6643b5_SiteId">
    <vt:lpwstr>19caa9e9-04ff-43fa-885f-d77fac387903</vt:lpwstr>
  </property>
</Properties>
</file>