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466165" w:rsidP="00F94A61" w14:paraId="60ACE081" w14:textId="3FF9A896">
      <w:pPr>
        <w:rPr>
          <w:rFonts w:ascii="Times New Roman" w:hAnsi="Times New Roman" w:cs="Times New Roman"/>
          <w:sz w:val="26"/>
          <w:szCs w:val="26"/>
        </w:rPr>
      </w:pPr>
      <w:r w:rsidRPr="00466165">
        <w:rPr>
          <w:rFonts w:ascii="Times New Roman" w:hAnsi="Times New Roman" w:cs="Times New Roman"/>
          <w:sz w:val="26"/>
          <w:szCs w:val="26"/>
        </w:rPr>
        <w:t>Supporting Statement for</w:t>
      </w:r>
      <w:r w:rsidR="00466165">
        <w:rPr>
          <w:rFonts w:ascii="Times New Roman" w:hAnsi="Times New Roman" w:cs="Times New Roman"/>
          <w:sz w:val="26"/>
          <w:szCs w:val="26"/>
        </w:rPr>
        <w:t>:</w:t>
      </w:r>
    </w:p>
    <w:p w:rsidR="00D350A8" w:rsidRPr="00595846" w:rsidP="009E4495" w14:paraId="67A86B77" w14:textId="7166D6A8">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AA7635">
        <w:rPr>
          <w:rFonts w:ascii="Times New Roman" w:hAnsi="Times New Roman" w:cs="Times New Roman"/>
          <w:b/>
          <w:sz w:val="26"/>
          <w:szCs w:val="24"/>
        </w:rPr>
        <w:t>D24-3</w:t>
      </w:r>
      <w:r w:rsidRPr="00595846" w:rsidR="00686C70">
        <w:rPr>
          <w:rFonts w:ascii="Times New Roman" w:hAnsi="Times New Roman" w:cs="Times New Roman"/>
          <w:b/>
          <w:sz w:val="26"/>
          <w:szCs w:val="24"/>
        </w:rPr>
        <w:t>, Adding Voluntary Requests for Cybersecurity Incentives to Mandatory Reliability Standards for Critical Infrastructure Protection</w:t>
      </w:r>
    </w:p>
    <w:p w:rsidR="002A4142" w:rsidRPr="00595846" w:rsidP="002A4142" w14:paraId="432F8FF1" w14:textId="77777777">
      <w:pPr>
        <w:spacing w:after="0" w:line="240" w:lineRule="auto"/>
        <w:ind w:right="-180"/>
        <w:jc w:val="center"/>
        <w:rPr>
          <w:rFonts w:ascii="Times New Roman" w:hAnsi="Times New Roman" w:cs="Times New Roman"/>
          <w:b/>
          <w:sz w:val="26"/>
          <w:szCs w:val="24"/>
        </w:rPr>
      </w:pPr>
    </w:p>
    <w:p w:rsidR="00D7421A" w:rsidP="002A4142" w14:paraId="64B7B174" w14:textId="77777777">
      <w:pPr>
        <w:spacing w:after="0" w:line="240" w:lineRule="auto"/>
        <w:rPr>
          <w:rFonts w:ascii="Times New Roman" w:hAnsi="Times New Roman" w:cs="Times New Roman"/>
          <w:sz w:val="26"/>
          <w:szCs w:val="24"/>
        </w:rPr>
      </w:pPr>
    </w:p>
    <w:p w:rsidR="00C4205B" w:rsidRPr="00595846" w:rsidP="002A4142" w14:paraId="12B1F6FB" w14:textId="78C89AC0">
      <w:pPr>
        <w:spacing w:after="0" w:line="240" w:lineRule="auto"/>
        <w:rPr>
          <w:rFonts w:ascii="Times New Roman" w:hAnsi="Times New Roman" w:cs="Times New Roman"/>
          <w:sz w:val="26"/>
          <w:szCs w:val="24"/>
        </w:rPr>
      </w:pPr>
      <w:r w:rsidRPr="00D7421A">
        <w:rPr>
          <w:rFonts w:ascii="Times New Roman" w:hAnsi="Times New Roman" w:cs="Times New Roman"/>
          <w:sz w:val="26"/>
          <w:szCs w:val="24"/>
        </w:rPr>
        <w:t>The Federal Energy Regulatory Commission (</w:t>
      </w:r>
      <w:r w:rsidR="00C5550D">
        <w:rPr>
          <w:rFonts w:ascii="Times New Roman" w:hAnsi="Times New Roman" w:cs="Times New Roman"/>
          <w:sz w:val="26"/>
          <w:szCs w:val="24"/>
        </w:rPr>
        <w:t>“</w:t>
      </w:r>
      <w:r w:rsidRPr="00D7421A">
        <w:rPr>
          <w:rFonts w:ascii="Times New Roman" w:hAnsi="Times New Roman" w:cs="Times New Roman"/>
          <w:sz w:val="26"/>
          <w:szCs w:val="24"/>
        </w:rPr>
        <w:t>Commission</w:t>
      </w:r>
      <w:r w:rsidR="00C5550D">
        <w:rPr>
          <w:rFonts w:ascii="Times New Roman" w:hAnsi="Times New Roman" w:cs="Times New Roman"/>
          <w:sz w:val="26"/>
          <w:szCs w:val="24"/>
        </w:rPr>
        <w:t>”</w:t>
      </w:r>
      <w:r w:rsidRPr="00D7421A">
        <w:rPr>
          <w:rFonts w:ascii="Times New Roman" w:hAnsi="Times New Roman" w:cs="Times New Roman"/>
          <w:sz w:val="26"/>
          <w:szCs w:val="24"/>
        </w:rPr>
        <w:t xml:space="preserve"> or </w:t>
      </w:r>
      <w:r w:rsidR="00C5550D">
        <w:rPr>
          <w:rFonts w:ascii="Times New Roman" w:hAnsi="Times New Roman" w:cs="Times New Roman"/>
          <w:sz w:val="26"/>
          <w:szCs w:val="24"/>
        </w:rPr>
        <w:t>“</w:t>
      </w:r>
      <w:r w:rsidRPr="00D7421A">
        <w:rPr>
          <w:rFonts w:ascii="Times New Roman" w:hAnsi="Times New Roman" w:cs="Times New Roman"/>
          <w:sz w:val="26"/>
          <w:szCs w:val="24"/>
        </w:rPr>
        <w:t>FERC</w:t>
      </w:r>
      <w:r w:rsidR="00C5550D">
        <w:rPr>
          <w:rFonts w:ascii="Times New Roman" w:hAnsi="Times New Roman" w:cs="Times New Roman"/>
          <w:sz w:val="26"/>
          <w:szCs w:val="24"/>
        </w:rPr>
        <w:t>”</w:t>
      </w:r>
      <w:r w:rsidRPr="00D7421A">
        <w:rPr>
          <w:rFonts w:ascii="Times New Roman" w:hAnsi="Times New Roman" w:cs="Times New Roman"/>
          <w:sz w:val="26"/>
          <w:szCs w:val="24"/>
        </w:rPr>
        <w:t>) requests that the Office of Management and Budget (OMB) review the revised collection of information designated as FERC-725B (Mandatory Reliability Standards:  Critical Infrastructure Protection Reliability Standards)</w:t>
      </w:r>
      <w:r>
        <w:rPr>
          <w:rFonts w:ascii="Times New Roman" w:hAnsi="Times New Roman" w:cs="Times New Roman"/>
          <w:sz w:val="26"/>
          <w:szCs w:val="24"/>
        </w:rPr>
        <w:t xml:space="preserve"> in </w:t>
      </w:r>
      <w:r w:rsidRPr="00595846" w:rsidR="007502F1">
        <w:rPr>
          <w:rFonts w:ascii="Times New Roman" w:hAnsi="Times New Roman" w:cs="Times New Roman"/>
          <w:sz w:val="26"/>
          <w:szCs w:val="24"/>
        </w:rPr>
        <w:t>R</w:t>
      </w:r>
      <w:r w:rsidR="00401261">
        <w:rPr>
          <w:rFonts w:ascii="Times New Roman" w:hAnsi="Times New Roman" w:cs="Times New Roman"/>
          <w:sz w:val="26"/>
          <w:szCs w:val="24"/>
        </w:rPr>
        <w:t>D24-3-000</w:t>
      </w:r>
      <w:r w:rsidRPr="00595846" w:rsidR="00774B70">
        <w:rPr>
          <w:rFonts w:ascii="Times New Roman" w:hAnsi="Times New Roman" w:cs="Times New Roman"/>
          <w:sz w:val="26"/>
          <w:szCs w:val="24"/>
        </w:rPr>
        <w:t>.</w:t>
      </w:r>
      <w:r w:rsidRPr="00595846" w:rsidR="0038265B">
        <w:rPr>
          <w:rFonts w:ascii="Times New Roman" w:hAnsi="Times New Roman" w:cs="Times New Roman"/>
          <w:sz w:val="26"/>
          <w:szCs w:val="24"/>
        </w:rPr>
        <w:t xml:space="preserve"> </w:t>
      </w:r>
    </w:p>
    <w:p w:rsidR="002A4142" w:rsidRPr="00595846" w:rsidP="002A4142" w14:paraId="505CBA46" w14:textId="77777777">
      <w:pPr>
        <w:spacing w:after="0" w:line="240" w:lineRule="auto"/>
        <w:rPr>
          <w:rFonts w:ascii="Times New Roman" w:hAnsi="Times New Roman" w:cs="Times New Roman"/>
          <w:b/>
          <w:sz w:val="26"/>
          <w:szCs w:val="24"/>
        </w:rPr>
      </w:pPr>
    </w:p>
    <w:p w:rsidR="00C4205B" w:rsidP="007C39D3" w14:paraId="1062E706"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4F2B306" w14:textId="77777777">
      <w:pPr>
        <w:widowControl w:val="0"/>
        <w:autoSpaceDE w:val="0"/>
        <w:autoSpaceDN w:val="0"/>
        <w:adjustRightInd w:val="0"/>
        <w:spacing w:after="0" w:line="240" w:lineRule="auto"/>
        <w:rPr>
          <w:rFonts w:ascii="Times New Roman" w:hAnsi="Times New Roman" w:cs="Times New Roman"/>
          <w:b/>
          <w:bCs/>
          <w:sz w:val="26"/>
          <w:szCs w:val="24"/>
        </w:rPr>
      </w:pPr>
    </w:p>
    <w:p w:rsidR="0098263D" w:rsidRPr="0098263D" w:rsidP="0098263D" w14:paraId="43F4B5C4" w14:textId="77777777">
      <w:pPr>
        <w:tabs>
          <w:tab w:val="num" w:pos="720"/>
        </w:tabs>
        <w:spacing w:after="0" w:line="240" w:lineRule="auto"/>
        <w:rPr>
          <w:rFonts w:ascii="Times New Roman" w:eastAsia="Calibri" w:hAnsi="Times New Roman" w:cs="Times New Roman"/>
          <w:sz w:val="26"/>
        </w:rPr>
      </w:pPr>
      <w:r w:rsidRPr="0098263D">
        <w:rPr>
          <w:rFonts w:ascii="Times New Roman" w:eastAsia="Calibri" w:hAnsi="Times New Roman" w:cs="Times New Roman"/>
          <w:sz w:val="26"/>
        </w:rPr>
        <w:t>On August 8, 2005, Congress enacted the Energy Policy Act of 2005.</w:t>
      </w:r>
      <w:r>
        <w:rPr>
          <w:rFonts w:ascii="Times New Roman" w:eastAsia="Calibri" w:hAnsi="Times New Roman" w:cs="Times New Roman"/>
          <w:bCs/>
          <w:sz w:val="26"/>
          <w:vertAlign w:val="superscript"/>
        </w:rPr>
        <w:footnoteReference w:id="3"/>
      </w:r>
      <w:r w:rsidRPr="0098263D">
        <w:rPr>
          <w:rFonts w:ascii="Times New Roman" w:eastAsia="Calibri" w:hAnsi="Times New Roman" w:cs="Times New Roman"/>
          <w:sz w:val="26"/>
        </w:rPr>
        <w:t xml:space="preserve">  The Energy Policy Act of 2005 added a new section 215 to the Federal Power Act (FPA),</w:t>
      </w:r>
      <w:r>
        <w:rPr>
          <w:rFonts w:ascii="Times New Roman" w:eastAsia="Calibri" w:hAnsi="Times New Roman" w:cs="Times New Roman"/>
          <w:bCs/>
          <w:sz w:val="26"/>
          <w:vertAlign w:val="superscript"/>
        </w:rPr>
        <w:footnoteReference w:id="4"/>
      </w:r>
      <w:r w:rsidRPr="0098263D">
        <w:rPr>
          <w:rFonts w:ascii="Times New Roman" w:eastAsia="Calibri" w:hAnsi="Times New Roman" w:cs="Times New Roman"/>
          <w:sz w:val="26"/>
        </w:rPr>
        <w:t xml:space="preserve"> which requires a Commission-certified Electric Reliability Organization to develop mandatory and enforceable Reliability Standards,</w:t>
      </w:r>
      <w:r>
        <w:rPr>
          <w:rFonts w:ascii="Times New Roman" w:eastAsia="Calibri" w:hAnsi="Times New Roman" w:cs="Times New Roman"/>
          <w:bCs/>
          <w:sz w:val="26"/>
          <w:vertAlign w:val="superscript"/>
        </w:rPr>
        <w:footnoteReference w:id="5"/>
      </w:r>
      <w:r w:rsidRPr="0098263D">
        <w:rPr>
          <w:rFonts w:ascii="Times New Roman" w:eastAsia="Calibri" w:hAnsi="Times New Roman" w:cs="Times New Roman"/>
          <w:sz w:val="26"/>
        </w:rPr>
        <w:t xml:space="preserve"> including requirements for cybersecurity protection, which are subject to Commission review and approval.  Once approved, the Reliability Standards may be enforced by the Electric Reliability Organization subject to Commission oversight, or the Commission can independently enforce Reliability Standards. </w:t>
      </w:r>
    </w:p>
    <w:p w:rsidR="0098263D" w:rsidRPr="0098263D" w:rsidP="0098263D" w14:paraId="1DEDF0D4" w14:textId="77777777">
      <w:pPr>
        <w:tabs>
          <w:tab w:val="num" w:pos="720"/>
        </w:tabs>
        <w:spacing w:after="0" w:line="240" w:lineRule="auto"/>
        <w:rPr>
          <w:rFonts w:ascii="Times New Roman" w:eastAsia="Calibri" w:hAnsi="Times New Roman" w:cs="Times New Roman"/>
          <w:sz w:val="26"/>
        </w:rPr>
      </w:pPr>
      <w:r w:rsidRPr="0098263D">
        <w:rPr>
          <w:rFonts w:ascii="Times New Roman" w:eastAsia="Calibri" w:hAnsi="Times New Roman" w:cs="Times New Roman"/>
          <w:sz w:val="26"/>
        </w:rPr>
        <w:t xml:space="preserve">  </w:t>
      </w:r>
    </w:p>
    <w:p w:rsidR="00CB0F6A" w:rsidP="0098263D" w14:paraId="7650CE04" w14:textId="19CA0F71">
      <w:pPr>
        <w:tabs>
          <w:tab w:val="num" w:pos="720"/>
        </w:tabs>
        <w:spacing w:after="0" w:line="240" w:lineRule="auto"/>
        <w:rPr>
          <w:rFonts w:ascii="Times New Roman" w:eastAsia="Calibri" w:hAnsi="Times New Roman" w:cs="Times New Roman"/>
          <w:sz w:val="26"/>
        </w:rPr>
      </w:pPr>
      <w:r w:rsidRPr="0098263D">
        <w:rPr>
          <w:rFonts w:ascii="Times New Roman" w:eastAsia="Calibri" w:hAnsi="Times New Roman" w:cs="Times New Roman"/>
          <w:sz w:val="26"/>
        </w:rPr>
        <w:t>On February 3, 2006, the Commission issued Order No. 672,</w:t>
      </w:r>
      <w:r>
        <w:rPr>
          <w:rFonts w:ascii="Times New Roman" w:eastAsia="Calibri" w:hAnsi="Times New Roman" w:cs="Times New Roman"/>
          <w:b/>
          <w:sz w:val="26"/>
          <w:vertAlign w:val="superscript"/>
        </w:rPr>
        <w:footnoteReference w:id="6"/>
      </w:r>
      <w:r w:rsidRPr="0098263D">
        <w:rPr>
          <w:rFonts w:ascii="Times New Roman" w:eastAsia="Calibri" w:hAnsi="Times New Roman" w:cs="Times New Roman"/>
          <w:sz w:val="26"/>
        </w:rPr>
        <w:t xml:space="preserve"> implementing FPA section 215.  The Commission subsequently certified </w:t>
      </w:r>
      <w:r w:rsidRPr="0098263D">
        <w:rPr>
          <w:rFonts w:ascii="Times New Roman" w:eastAsia="Calibri" w:hAnsi="Times New Roman" w:cs="Times New Roman"/>
          <w:iCs/>
          <w:sz w:val="26"/>
        </w:rPr>
        <w:t>North American Electric Reliability Corporation (NERC)</w:t>
      </w:r>
      <w:r w:rsidRPr="0098263D">
        <w:rPr>
          <w:rFonts w:ascii="Times New Roman" w:eastAsia="Calibri" w:hAnsi="Times New Roman" w:cs="Times New Roman"/>
          <w:sz w:val="26"/>
        </w:rPr>
        <w:t xml:space="preserve"> as the Electric Reliability Organization.  </w:t>
      </w:r>
    </w:p>
    <w:p w:rsidR="0098263D" w:rsidRPr="0098263D" w:rsidP="0098263D" w14:paraId="4C3CB993" w14:textId="232F73E8">
      <w:pPr>
        <w:tabs>
          <w:tab w:val="num" w:pos="720"/>
        </w:tabs>
        <w:spacing w:after="0" w:line="240" w:lineRule="auto"/>
        <w:rPr>
          <w:rFonts w:ascii="Times New Roman" w:eastAsia="Calibri" w:hAnsi="Times New Roman" w:cs="Times New Roman"/>
          <w:sz w:val="26"/>
        </w:rPr>
      </w:pPr>
      <w:r>
        <w:rPr>
          <w:rFonts w:ascii="Times New Roman" w:eastAsia="Calibri" w:hAnsi="Times New Roman" w:cs="Times New Roman"/>
          <w:sz w:val="26"/>
        </w:rPr>
        <w:t>Th</w:t>
      </w:r>
      <w:r w:rsidRPr="0098263D">
        <w:rPr>
          <w:rFonts w:ascii="Times New Roman" w:eastAsia="Calibri" w:hAnsi="Times New Roman" w:cs="Times New Roman"/>
          <w:sz w:val="26"/>
        </w:rPr>
        <w:t>e Reliability Standards developed by NERC become mandatory and enforceable after Commission approval and apply to users, owners, and operators of the Bulk-Power System, as set forth in each Reliability Standard.</w:t>
      </w:r>
      <w:r>
        <w:rPr>
          <w:rFonts w:ascii="Times New Roman" w:eastAsia="Calibri" w:hAnsi="Times New Roman" w:cs="Times New Roman"/>
          <w:b/>
          <w:sz w:val="26"/>
          <w:vertAlign w:val="superscript"/>
        </w:rPr>
        <w:footnoteReference w:id="7"/>
      </w:r>
    </w:p>
    <w:p w:rsidR="0098263D" w:rsidRPr="0098263D" w:rsidP="0098263D" w14:paraId="50A81DF5" w14:textId="77777777">
      <w:pPr>
        <w:tabs>
          <w:tab w:val="num" w:pos="720"/>
        </w:tabs>
        <w:spacing w:after="0" w:line="240" w:lineRule="auto"/>
        <w:rPr>
          <w:rFonts w:ascii="Times New Roman" w:eastAsia="Calibri" w:hAnsi="Times New Roman" w:cs="Times New Roman"/>
          <w:sz w:val="26"/>
        </w:rPr>
      </w:pPr>
    </w:p>
    <w:p w:rsidR="0098263D" w:rsidRPr="0098263D" w:rsidP="0098263D" w14:paraId="49663514" w14:textId="69BBD749">
      <w:pPr>
        <w:spacing w:after="0" w:line="240" w:lineRule="auto"/>
        <w:rPr>
          <w:rFonts w:ascii="Times New Roman" w:eastAsia="Calibri" w:hAnsi="Times New Roman" w:cs="Times New Roman"/>
          <w:sz w:val="24"/>
          <w:szCs w:val="24"/>
        </w:rPr>
      </w:pPr>
      <w:r w:rsidRPr="0098263D">
        <w:rPr>
          <w:rFonts w:ascii="Times New Roman" w:eastAsia="Calibri" w:hAnsi="Times New Roman" w:cs="Times New Roman"/>
          <w:sz w:val="26"/>
        </w:rPr>
        <w:t xml:space="preserve">The </w:t>
      </w:r>
      <w:r w:rsidRPr="0098263D">
        <w:rPr>
          <w:rFonts w:ascii="Times New Roman" w:eastAsia="Calibri" w:hAnsi="Times New Roman" w:cs="Times New Roman"/>
          <w:sz w:val="26"/>
          <w:szCs w:val="24"/>
        </w:rPr>
        <w:t xml:space="preserve">CIP </w:t>
      </w:r>
      <w:r w:rsidRPr="0098263D">
        <w:rPr>
          <w:rFonts w:ascii="Times New Roman" w:eastAsia="Calibri" w:hAnsi="Times New Roman" w:cs="Times New Roman"/>
          <w:sz w:val="26"/>
        </w:rPr>
        <w:t>Reliability Standards require entities to comply with specific requirements to safeguard critical cyber assets.  These standards are results-based and do not specify a technology or method to achieve compliance, instead leaving it up to the entity to decide how best to comply.  On January 18, 2008, the Commission issued Order No. 706,</w:t>
      </w:r>
      <w:r>
        <w:rPr>
          <w:rFonts w:ascii="Times New Roman" w:eastAsia="Calibri" w:hAnsi="Times New Roman" w:cs="Times New Roman"/>
          <w:b/>
          <w:sz w:val="26"/>
          <w:vertAlign w:val="superscript"/>
        </w:rPr>
        <w:footnoteReference w:id="8"/>
      </w:r>
      <w:r w:rsidRPr="0098263D">
        <w:rPr>
          <w:rFonts w:ascii="Times New Roman" w:eastAsia="Calibri" w:hAnsi="Times New Roman" w:cs="Times New Roman"/>
          <w:sz w:val="26"/>
        </w:rPr>
        <w:t xml:space="preserve"> 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ascii="Times New Roman" w:eastAsia="Calibri" w:hAnsi="Times New Roman" w:cs="Times New Roman"/>
          <w:b/>
          <w:sz w:val="26"/>
          <w:vertAlign w:val="superscript"/>
        </w:rPr>
        <w:footnoteReference w:id="9"/>
      </w:r>
      <w:r w:rsidRPr="0098263D">
        <w:rPr>
          <w:rFonts w:ascii="Times New Roman" w:eastAsia="Calibri" w:hAnsi="Times New Roman" w:cs="Times New Roman"/>
          <w:sz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Pr>
          <w:rFonts w:ascii="Times New Roman" w:eastAsia="Calibri" w:hAnsi="Times New Roman" w:cs="Times New Roman"/>
          <w:bCs/>
          <w:sz w:val="26"/>
          <w:vertAlign w:val="superscript"/>
        </w:rPr>
        <w:footnoteReference w:id="10"/>
      </w:r>
      <w:r w:rsidRPr="0098263D">
        <w:rPr>
          <w:rFonts w:ascii="Times New Roman" w:eastAsia="Calibri" w:hAnsi="Times New Roman" w:cs="Times New Roman"/>
          <w:sz w:val="26"/>
        </w:rPr>
        <w:t xml:space="preserve"> if compromised.  High impact systems include large control centers.  Medium impact systems include smaller control centers, ultra-high voltage transmission, and large substations and generating facilities.  The remainder of the BES </w:t>
      </w:r>
      <w:r w:rsidRPr="0098263D">
        <w:rPr>
          <w:rFonts w:ascii="Times New Roman" w:eastAsia="Calibri" w:hAnsi="Times New Roman" w:cs="Times New Roman"/>
          <w:sz w:val="26"/>
        </w:rPr>
        <w:t>Cyber Systems</w:t>
      </w:r>
      <w:r>
        <w:rPr>
          <w:rFonts w:ascii="Times New Roman" w:eastAsia="Calibri" w:hAnsi="Times New Roman" w:cs="Times New Roman"/>
          <w:b/>
          <w:sz w:val="26"/>
          <w:vertAlign w:val="superscript"/>
        </w:rPr>
        <w:footnoteReference w:id="11"/>
      </w:r>
      <w:r w:rsidRPr="0098263D">
        <w:rPr>
          <w:rFonts w:ascii="Times New Roman" w:eastAsia="Calibri" w:hAnsi="Times New Roman" w:cs="Times New Roman"/>
          <w:sz w:val="26"/>
        </w:rPr>
        <w:t xml:space="preserve"> are categorized as low impact systems.  Most requirements in the CIP Reliability Standards apply to high and medium impact systems</w:t>
      </w:r>
      <w:r>
        <w:rPr>
          <w:rFonts w:ascii="Times New Roman" w:eastAsia="Calibri" w:hAnsi="Times New Roman" w:cs="Times New Roman"/>
          <w:sz w:val="24"/>
          <w:szCs w:val="24"/>
        </w:rPr>
        <w:t>.</w:t>
      </w:r>
    </w:p>
    <w:p w:rsidR="00C4205B" w:rsidRPr="00595846" w:rsidP="005E2448" w14:paraId="3D45919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52254" w:rsidRPr="00E52254" w:rsidP="00E52254" w14:paraId="22C40450" w14:textId="77777777">
      <w:pPr>
        <w:pStyle w:val="ListParagraph"/>
        <w:numPr>
          <w:ilvl w:val="0"/>
          <w:numId w:val="2"/>
        </w:numPr>
        <w:rPr>
          <w:rFonts w:ascii="Times New Roman" w:hAnsi="Times New Roman" w:cs="Times New Roman"/>
          <w:b/>
          <w:bCs/>
          <w:sz w:val="26"/>
          <w:szCs w:val="24"/>
        </w:rPr>
      </w:pPr>
      <w:r w:rsidRPr="00E52254">
        <w:rPr>
          <w:rFonts w:ascii="Times New Roman" w:hAnsi="Times New Roman" w:cs="Times New Roman"/>
          <w:b/>
          <w:bCs/>
          <w:sz w:val="26"/>
          <w:szCs w:val="24"/>
        </w:rPr>
        <w:t xml:space="preserve">HOW, BY WHOM AND FOR WHAT PURPOSE IS THE INFORMATION TO BE USED AND THE CONSEQUENCES OF NOT COLLECTING THE INFORMATION </w:t>
      </w:r>
    </w:p>
    <w:p w:rsidR="0081623F" w:rsidRPr="001566F0" w:rsidP="0081623F" w14:paraId="243FEEBE" w14:textId="16E3413C">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On January 31, 2024, the North American Electric Reliability Corporation (NERC),</w:t>
      </w:r>
      <w:r w:rsidRPr="001566F0">
        <w:rPr>
          <w:rFonts w:ascii="Times New Roman" w:eastAsia="Times New Roman" w:hAnsi="Times New Roman" w:cs="Times New Roman"/>
          <w:sz w:val="26"/>
        </w:rPr>
        <w:t xml:space="preserve"> the Commission-certified Electric Reliability Organization (ERO)</w:t>
      </w:r>
      <w:r w:rsidRPr="001566F0">
        <w:rPr>
          <w:rFonts w:ascii="TimesNewRoman" w:eastAsia="Calibri" w:hAnsi="TimesNewRoman" w:cs="TimesNewRoman"/>
          <w:sz w:val="26"/>
        </w:rPr>
        <w:t>,</w:t>
      </w:r>
      <w:r w:rsidRPr="001566F0">
        <w:rPr>
          <w:rFonts w:ascii="Times New Roman" w:eastAsia="Calibri" w:hAnsi="Times New Roman" w:cs="Times New Roman"/>
          <w:sz w:val="26"/>
        </w:rPr>
        <w:t xml:space="preserve"> filed a petition with the Commission seeking approval of proposed Reliability Standard CIP-012-2 (Cyber Security – Communications between Control Centers).  NERC also requested approval of the associated implementation plan, violation risk factors and violation severity levels, and the retirement of the </w:t>
      </w:r>
      <w:r w:rsidRPr="001566F0" w:rsidR="0098263D">
        <w:rPr>
          <w:rFonts w:ascii="Times New Roman" w:eastAsia="Calibri" w:hAnsi="Times New Roman" w:cs="Times New Roman"/>
          <w:sz w:val="26"/>
        </w:rPr>
        <w:t>currently effective</w:t>
      </w:r>
      <w:r w:rsidRPr="001566F0">
        <w:rPr>
          <w:rFonts w:ascii="Times New Roman" w:eastAsia="Calibri" w:hAnsi="Times New Roman" w:cs="Times New Roman"/>
          <w:sz w:val="26"/>
        </w:rPr>
        <w:t xml:space="preserve"> Reliability Standard CIP-012-1.  </w:t>
      </w:r>
    </w:p>
    <w:p w:rsidR="0081623F" w:rsidRPr="001566F0" w:rsidP="0081623F" w14:paraId="43B6A86B" w14:textId="1FBF703B">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Pursuant to section 215(d)(2) of the Federal Power Act (FPA), we approve</w:t>
      </w:r>
      <w:r w:rsidR="00E309C1">
        <w:rPr>
          <w:rFonts w:ascii="Times New Roman" w:eastAsia="Calibri" w:hAnsi="Times New Roman" w:cs="Times New Roman"/>
          <w:sz w:val="26"/>
        </w:rPr>
        <w:t>d the</w:t>
      </w:r>
      <w:r w:rsidRPr="001566F0">
        <w:rPr>
          <w:rFonts w:ascii="Times New Roman" w:eastAsia="Calibri" w:hAnsi="Times New Roman" w:cs="Times New Roman"/>
          <w:sz w:val="26"/>
        </w:rPr>
        <w:t xml:space="preserve"> </w:t>
      </w:r>
      <w:bookmarkStart w:id="0" w:name="_Hlk162520641"/>
      <w:r w:rsidRPr="001566F0">
        <w:rPr>
          <w:rFonts w:ascii="Times New Roman" w:eastAsia="Calibri" w:hAnsi="Times New Roman" w:cs="Times New Roman"/>
          <w:sz w:val="26"/>
        </w:rPr>
        <w:t>proposed Reliability Standard CIP-012-2</w:t>
      </w:r>
      <w:bookmarkEnd w:id="0"/>
      <w:r w:rsidRPr="001566F0">
        <w:rPr>
          <w:rFonts w:ascii="Times New Roman" w:eastAsia="Calibri" w:hAnsi="Times New Roman" w:cs="Times New Roman"/>
          <w:sz w:val="26"/>
        </w:rPr>
        <w:t>, its associated implementation plan, violation risk factors and violation severity levels, and the retirement of the Reliability Standard CIP-012-1</w:t>
      </w:r>
      <w:r w:rsidR="00A8387C">
        <w:rPr>
          <w:rFonts w:ascii="Times New Roman" w:eastAsia="Calibri" w:hAnsi="Times New Roman" w:cs="Times New Roman"/>
          <w:sz w:val="26"/>
        </w:rPr>
        <w:t>, which became effective upon the issuance of the order approving</w:t>
      </w:r>
      <w:r w:rsidRPr="001566F0">
        <w:rPr>
          <w:rFonts w:ascii="Times New Roman" w:eastAsia="Calibri" w:hAnsi="Times New Roman" w:cs="Times New Roman"/>
          <w:sz w:val="26"/>
        </w:rPr>
        <w:t>Reliability Standard CIP-012-2.</w:t>
      </w:r>
      <w:r>
        <w:rPr>
          <w:rFonts w:ascii="Times New Roman" w:eastAsia="Calibri" w:hAnsi="Times New Roman" w:cs="Times New Roman"/>
          <w:b/>
          <w:sz w:val="26"/>
          <w:vertAlign w:val="superscript"/>
        </w:rPr>
        <w:footnoteReference w:id="12"/>
      </w:r>
      <w:r w:rsidRPr="001566F0">
        <w:rPr>
          <w:rFonts w:ascii="Times New Roman" w:eastAsia="Calibri" w:hAnsi="Times New Roman" w:cs="Times New Roman"/>
          <w:sz w:val="26"/>
        </w:rPr>
        <w:t xml:space="preserve">  For the reasons discussed below, we determine that proposed Reliability Standard CIP-012-2 improves upon and expands the protections required by Reliability Standard CIP-012-1 and addresses the Commission directive issued in Order No. 866.</w:t>
      </w:r>
      <w:r>
        <w:rPr>
          <w:rFonts w:ascii="Times New Roman" w:eastAsia="Calibri" w:hAnsi="Times New Roman" w:cs="Times New Roman"/>
          <w:b/>
          <w:sz w:val="26"/>
          <w:vertAlign w:val="superscript"/>
        </w:rPr>
        <w:footnoteReference w:id="13"/>
      </w:r>
      <w:r w:rsidRPr="001566F0">
        <w:rPr>
          <w:rFonts w:ascii="Times New Roman" w:eastAsia="Calibri" w:hAnsi="Times New Roman" w:cs="Times New Roman"/>
          <w:sz w:val="26"/>
        </w:rPr>
        <w:t xml:space="preserve">  </w:t>
      </w:r>
    </w:p>
    <w:p w:rsidR="0081623F" w:rsidRPr="001566F0" w:rsidP="0081623F" w14:paraId="5167EFF4" w14:textId="77777777">
      <w:pPr>
        <w:keepNext/>
        <w:keepLines/>
        <w:tabs>
          <w:tab w:val="num" w:pos="720"/>
        </w:tabs>
        <w:spacing w:after="260" w:line="240" w:lineRule="auto"/>
        <w:ind w:left="720" w:hanging="720"/>
        <w:outlineLvl w:val="0"/>
        <w:rPr>
          <w:rFonts w:ascii="Times New Roman" w:eastAsia="MS Gothic" w:hAnsi="Times New Roman" w:cs="Times New Roman"/>
          <w:b/>
          <w:kern w:val="32"/>
          <w:sz w:val="26"/>
          <w:szCs w:val="32"/>
          <w:u w:val="single"/>
        </w:rPr>
      </w:pPr>
      <w:r w:rsidRPr="001566F0">
        <w:rPr>
          <w:rFonts w:ascii="Times New Roman" w:eastAsia="MS Gothic" w:hAnsi="Times New Roman" w:cs="Times New Roman"/>
          <w:b/>
          <w:kern w:val="32"/>
          <w:sz w:val="26"/>
          <w:szCs w:val="32"/>
          <w:u w:val="single"/>
        </w:rPr>
        <w:t>Background</w:t>
      </w:r>
    </w:p>
    <w:p w:rsidR="0081623F" w:rsidRPr="001566F0" w:rsidP="0081623F" w14:paraId="1B6D50BD" w14:textId="77777777">
      <w:pPr>
        <w:keepNext/>
        <w:keepLines/>
        <w:numPr>
          <w:ilvl w:val="1"/>
          <w:numId w:val="0"/>
        </w:numPr>
        <w:tabs>
          <w:tab w:val="num" w:pos="1440"/>
        </w:tabs>
        <w:spacing w:after="260" w:line="240" w:lineRule="auto"/>
        <w:ind w:left="1440" w:hanging="720"/>
        <w:outlineLvl w:val="1"/>
        <w:rPr>
          <w:rFonts w:ascii="Times New Roman" w:eastAsia="MS Gothic" w:hAnsi="Times New Roman" w:cs="Times New Roman"/>
          <w:b/>
          <w:kern w:val="32"/>
          <w:sz w:val="26"/>
          <w:szCs w:val="26"/>
          <w:u w:val="single"/>
        </w:rPr>
      </w:pPr>
      <w:r w:rsidRPr="001566F0">
        <w:rPr>
          <w:rFonts w:ascii="Times New Roman" w:eastAsia="MS Gothic" w:hAnsi="Times New Roman" w:cs="Times New Roman"/>
          <w:b/>
          <w:kern w:val="32"/>
          <w:sz w:val="26"/>
          <w:szCs w:val="26"/>
          <w:u w:val="single"/>
        </w:rPr>
        <w:t>Section 215 and Mandatory Reliability Standards</w:t>
      </w:r>
    </w:p>
    <w:p w:rsidR="0081623F" w:rsidRPr="001566F0" w:rsidP="0081623F" w14:paraId="4BBF281E"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Section 215 of the FPA provides that the Commission may certify an ERO, the purpose of which is to develop mandatory and enforceable Reliability Standards, subject to Commission review and approval.</w:t>
      </w:r>
      <w:r>
        <w:rPr>
          <w:rFonts w:ascii="Times New Roman" w:eastAsia="Calibri" w:hAnsi="Times New Roman" w:cs="Times New Roman"/>
          <w:b/>
          <w:sz w:val="26"/>
          <w:vertAlign w:val="superscript"/>
        </w:rPr>
        <w:footnoteReference w:id="14"/>
      </w:r>
      <w:r w:rsidRPr="001566F0">
        <w:rPr>
          <w:rFonts w:ascii="Times New Roman" w:eastAsia="Calibri" w:hAnsi="Times New Roman" w:cs="Times New Roman"/>
          <w:sz w:val="26"/>
        </w:rPr>
        <w:t xml:space="preserve">  Pursuant to section 215 of the FPA, the Commission established a process to select and certify an ERO,</w:t>
      </w:r>
      <w:r>
        <w:rPr>
          <w:rFonts w:ascii="Times New Roman" w:eastAsia="Calibri" w:hAnsi="Times New Roman" w:cs="Times New Roman"/>
          <w:b/>
          <w:sz w:val="26"/>
          <w:vertAlign w:val="superscript"/>
        </w:rPr>
        <w:footnoteReference w:id="15"/>
      </w:r>
      <w:r w:rsidRPr="001566F0">
        <w:rPr>
          <w:rFonts w:ascii="Times New Roman" w:eastAsia="Calibri" w:hAnsi="Times New Roman" w:cs="Times New Roman"/>
          <w:sz w:val="26"/>
        </w:rPr>
        <w:t xml:space="preserve"> and subsequently certified NERC.</w:t>
      </w:r>
      <w:r>
        <w:rPr>
          <w:rFonts w:ascii="Times New Roman" w:eastAsia="Calibri" w:hAnsi="Times New Roman" w:cs="Times New Roman"/>
          <w:b/>
          <w:sz w:val="26"/>
          <w:vertAlign w:val="superscript"/>
        </w:rPr>
        <w:footnoteReference w:id="16"/>
      </w:r>
      <w:r w:rsidRPr="001566F0">
        <w:rPr>
          <w:rFonts w:ascii="Times New Roman" w:eastAsia="Calibri" w:hAnsi="Times New Roman" w:cs="Times New Roman"/>
          <w:sz w:val="26"/>
        </w:rPr>
        <w:t xml:space="preserve">  </w:t>
      </w:r>
    </w:p>
    <w:p w:rsidR="0081623F" w:rsidRPr="001566F0" w:rsidP="0081623F" w14:paraId="7F72EF58" w14:textId="77777777">
      <w:pPr>
        <w:keepNext/>
        <w:keepLines/>
        <w:numPr>
          <w:ilvl w:val="1"/>
          <w:numId w:val="0"/>
        </w:numPr>
        <w:tabs>
          <w:tab w:val="num" w:pos="1440"/>
        </w:tabs>
        <w:spacing w:after="260" w:line="240" w:lineRule="auto"/>
        <w:ind w:left="1440" w:hanging="720"/>
        <w:outlineLvl w:val="1"/>
        <w:rPr>
          <w:rFonts w:ascii="Times New Roman" w:eastAsia="MS Gothic" w:hAnsi="Times New Roman" w:cs="Times New Roman"/>
          <w:b/>
          <w:kern w:val="32"/>
          <w:sz w:val="26"/>
          <w:szCs w:val="26"/>
          <w:u w:val="single"/>
        </w:rPr>
      </w:pPr>
      <w:r w:rsidRPr="001566F0">
        <w:rPr>
          <w:rFonts w:ascii="Times New Roman" w:eastAsia="MS Gothic" w:hAnsi="Times New Roman" w:cs="Times New Roman"/>
          <w:b/>
          <w:kern w:val="32"/>
          <w:sz w:val="26"/>
          <w:szCs w:val="26"/>
          <w:u w:val="single"/>
        </w:rPr>
        <w:t>Order No. 866 Directive</w:t>
      </w:r>
    </w:p>
    <w:p w:rsidR="0081623F" w:rsidRPr="001566F0" w:rsidP="0081623F" w14:paraId="77550B1C"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In Order No. 866, the Commission directed NERC to modify Critical Infrastructure Protection (CIP) Reliability Standards to implement protections regarding the availability of communication links and sensitive bulk electric system (BES) data communicated between BES Control Centers.</w:t>
      </w:r>
      <w:r>
        <w:rPr>
          <w:rFonts w:ascii="Times New Roman" w:eastAsia="Calibri" w:hAnsi="Times New Roman" w:cs="Times New Roman"/>
          <w:b/>
          <w:sz w:val="26"/>
          <w:vertAlign w:val="superscript"/>
        </w:rPr>
        <w:footnoteReference w:id="17"/>
      </w:r>
      <w:r w:rsidRPr="001566F0">
        <w:rPr>
          <w:rFonts w:ascii="Times New Roman" w:eastAsia="Calibri" w:hAnsi="Times New Roman" w:cs="Times New Roman"/>
          <w:sz w:val="26"/>
        </w:rPr>
        <w:t xml:space="preserve">  The Commission explained that creating an obligation to protect availability, while affording flexibility in terms of what data is protected and how, was “distinct from relying on currently-effective Reliability Standards whose effect may be to support availability.”</w:t>
      </w:r>
      <w:r>
        <w:rPr>
          <w:rFonts w:ascii="Times New Roman" w:eastAsia="Calibri" w:hAnsi="Times New Roman" w:cs="Times New Roman"/>
          <w:b/>
          <w:sz w:val="26"/>
          <w:vertAlign w:val="superscript"/>
        </w:rPr>
        <w:footnoteReference w:id="18"/>
      </w:r>
    </w:p>
    <w:p w:rsidR="0081623F" w:rsidRPr="001566F0" w:rsidP="0081623F" w14:paraId="14983307" w14:textId="77777777">
      <w:pPr>
        <w:keepNext/>
        <w:keepLines/>
        <w:numPr>
          <w:ilvl w:val="1"/>
          <w:numId w:val="0"/>
        </w:numPr>
        <w:tabs>
          <w:tab w:val="num" w:pos="1440"/>
        </w:tabs>
        <w:spacing w:after="260" w:line="240" w:lineRule="auto"/>
        <w:ind w:left="1440" w:hanging="720"/>
        <w:outlineLvl w:val="1"/>
        <w:rPr>
          <w:rFonts w:ascii="Times New Roman" w:eastAsia="MS Gothic" w:hAnsi="Times New Roman" w:cs="Times New Roman"/>
          <w:b/>
          <w:kern w:val="32"/>
          <w:sz w:val="26"/>
          <w:szCs w:val="26"/>
          <w:u w:val="single"/>
        </w:rPr>
      </w:pPr>
      <w:r w:rsidRPr="001566F0">
        <w:rPr>
          <w:rFonts w:ascii="Times New Roman" w:eastAsia="MS Gothic" w:hAnsi="Times New Roman" w:cs="Times New Roman"/>
          <w:b/>
          <w:kern w:val="32"/>
          <w:sz w:val="26"/>
          <w:szCs w:val="26"/>
          <w:u w:val="single"/>
        </w:rPr>
        <w:t>NERC Petition and Proposed Reliability Standard</w:t>
      </w:r>
      <w:r>
        <w:rPr>
          <w:rFonts w:ascii="Times New Roman" w:eastAsia="MS Gothic" w:hAnsi="Times New Roman" w:cs="Times New Roman"/>
          <w:kern w:val="32"/>
          <w:sz w:val="26"/>
          <w:szCs w:val="26"/>
          <w:u w:val="single"/>
          <w:vertAlign w:val="superscript"/>
        </w:rPr>
        <w:footnoteReference w:id="19"/>
      </w:r>
      <w:r w:rsidRPr="001566F0">
        <w:rPr>
          <w:rFonts w:ascii="Times New Roman" w:eastAsia="MS Gothic" w:hAnsi="Times New Roman" w:cs="Times New Roman"/>
          <w:b/>
          <w:kern w:val="32"/>
          <w:sz w:val="26"/>
          <w:szCs w:val="26"/>
          <w:u w:val="single"/>
        </w:rPr>
        <w:t xml:space="preserve"> CIP-012-2</w:t>
      </w:r>
    </w:p>
    <w:p w:rsidR="0081623F" w:rsidRPr="001566F0" w:rsidP="0081623F" w14:paraId="2DEA3EC7"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color w:val="000000"/>
          <w:sz w:val="26"/>
          <w:shd w:val="clear" w:color="auto" w:fill="FFFFFF"/>
        </w:rPr>
        <w:t xml:space="preserve">NERC states that proposed Reliability Standard CIP-012-2 improves upon and expands the protections required by Reliability Standard CIP-012-1 by requiring responsible entities to mitigate the risk posed by loss of availability of communication links and </w:t>
      </w:r>
      <w:r w:rsidRPr="001566F0">
        <w:rPr>
          <w:rFonts w:ascii="Times New Roman" w:eastAsia="Calibri" w:hAnsi="Times New Roman" w:cs="Times New Roman"/>
          <w:color w:val="000000"/>
          <w:sz w:val="26"/>
        </w:rPr>
        <w:t>Real-</w:t>
      </w:r>
      <w:r w:rsidRPr="001566F0">
        <w:rPr>
          <w:rFonts w:ascii="Times New Roman" w:eastAsia="Calibri" w:hAnsi="Times New Roman" w:cs="Times New Roman"/>
          <w:color w:val="000000"/>
          <w:sz w:val="26"/>
        </w:rPr>
        <w:t>time Assessment</w:t>
      </w:r>
      <w:r>
        <w:rPr>
          <w:rFonts w:ascii="Times New Roman" w:eastAsia="Calibri" w:hAnsi="Times New Roman" w:cs="Times New Roman"/>
          <w:b/>
          <w:color w:val="000000"/>
          <w:sz w:val="26"/>
          <w:shd w:val="clear" w:color="auto" w:fill="FFFFFF"/>
          <w:vertAlign w:val="superscript"/>
        </w:rPr>
        <w:footnoteReference w:id="20"/>
      </w:r>
      <w:r w:rsidRPr="001566F0">
        <w:rPr>
          <w:rFonts w:ascii="Times New Roman" w:eastAsia="Calibri" w:hAnsi="Times New Roman" w:cs="Times New Roman"/>
          <w:color w:val="000000"/>
          <w:sz w:val="26"/>
        </w:rPr>
        <w:t xml:space="preserve"> </w:t>
      </w:r>
      <w:r w:rsidRPr="001566F0">
        <w:rPr>
          <w:rFonts w:ascii="Times New Roman" w:eastAsia="Calibri" w:hAnsi="Times New Roman" w:cs="Times New Roman"/>
          <w:color w:val="000000"/>
          <w:sz w:val="26"/>
          <w:shd w:val="clear" w:color="auto" w:fill="FFFFFF"/>
        </w:rPr>
        <w:t xml:space="preserve">and </w:t>
      </w:r>
      <w:r w:rsidRPr="001566F0">
        <w:rPr>
          <w:rFonts w:ascii="Times New Roman" w:eastAsia="Calibri" w:hAnsi="Times New Roman" w:cs="Times New Roman"/>
          <w:color w:val="000000"/>
          <w:sz w:val="26"/>
        </w:rPr>
        <w:t>R</w:t>
      </w:r>
      <w:r w:rsidRPr="001566F0">
        <w:rPr>
          <w:rFonts w:ascii="Times New Roman" w:eastAsia="Calibri" w:hAnsi="Times New Roman" w:cs="Times New Roman"/>
          <w:color w:val="000000"/>
          <w:sz w:val="26"/>
          <w:shd w:val="clear" w:color="auto" w:fill="FFFFFF"/>
        </w:rPr>
        <w:t>eal-time</w:t>
      </w:r>
      <w:r>
        <w:rPr>
          <w:rFonts w:ascii="Times New Roman" w:eastAsia="Calibri" w:hAnsi="Times New Roman" w:cs="Times New Roman"/>
          <w:b/>
          <w:color w:val="000000"/>
          <w:sz w:val="26"/>
          <w:shd w:val="clear" w:color="auto" w:fill="FFFFFF"/>
          <w:vertAlign w:val="superscript"/>
        </w:rPr>
        <w:footnoteReference w:id="21"/>
      </w:r>
      <w:r w:rsidRPr="001566F0">
        <w:rPr>
          <w:rFonts w:ascii="Times New Roman" w:eastAsia="Times New Roman" w:hAnsi="Times New Roman" w:cs="Times New Roman"/>
          <w:color w:val="000000"/>
          <w:sz w:val="25"/>
          <w:szCs w:val="25"/>
        </w:rPr>
        <w:t xml:space="preserve"> monitoring data transmitted between Control Centers</w:t>
      </w:r>
      <w:r w:rsidRPr="001566F0">
        <w:rPr>
          <w:rFonts w:ascii="Times New Roman" w:eastAsia="Calibri" w:hAnsi="Times New Roman" w:cs="Times New Roman"/>
          <w:color w:val="000000"/>
          <w:sz w:val="26"/>
          <w:shd w:val="clear" w:color="auto" w:fill="FFFFFF"/>
        </w:rPr>
        <w:t>.  Proposed Reliability Standard CIP-012-2 adds two new provisions to Requirement R1 that address availability by requiring (1) protections for the availability of data in transit and (2) protections to initiate recovery of lost (i.e., unavailable) communication links.</w:t>
      </w:r>
      <w:r>
        <w:rPr>
          <w:rFonts w:ascii="Times New Roman" w:eastAsia="Calibri" w:hAnsi="Times New Roman" w:cs="Times New Roman"/>
          <w:b/>
          <w:color w:val="000000"/>
          <w:sz w:val="26"/>
          <w:shd w:val="clear" w:color="auto" w:fill="FFFFFF"/>
          <w:vertAlign w:val="superscript"/>
        </w:rPr>
        <w:footnoteReference w:id="22"/>
      </w:r>
      <w:r w:rsidRPr="001566F0">
        <w:rPr>
          <w:rFonts w:ascii="Times New Roman" w:eastAsia="Calibri" w:hAnsi="Times New Roman" w:cs="Times New Roman"/>
          <w:color w:val="000000"/>
          <w:sz w:val="26"/>
          <w:shd w:val="clear" w:color="auto" w:fill="FFFFFF"/>
        </w:rPr>
        <w:t xml:space="preserve">  </w:t>
      </w:r>
    </w:p>
    <w:p w:rsidR="0081623F" w:rsidRPr="001566F0" w:rsidP="0081623F" w14:paraId="0E772AB8" w14:textId="77777777">
      <w:pPr>
        <w:tabs>
          <w:tab w:val="num" w:pos="720"/>
        </w:tabs>
        <w:spacing w:after="260" w:line="240" w:lineRule="auto"/>
        <w:rPr>
          <w:rFonts w:ascii="Times New Roman" w:eastAsia="Calibri" w:hAnsi="Times New Roman" w:cs="Times New Roman"/>
          <w:sz w:val="26"/>
        </w:rPr>
      </w:pPr>
      <w:r w:rsidRPr="001566F0">
        <w:rPr>
          <w:rFonts w:ascii="Times New Roman" w:eastAsia="Calibri" w:hAnsi="Times New Roman" w:cs="Times New Roman"/>
          <w:sz w:val="26"/>
        </w:rPr>
        <w:t xml:space="preserve">NERC also requests approval of the associated implementation plan, the associated violation risk factors and violation severity levels, and retirement of Reliability Standard CIP-012-1 immediately prior to the effective date of CIP-012-2.  The 24-month implementation period is proposed to afford </w:t>
      </w:r>
      <w:bookmarkStart w:id="2" w:name="_Hlk162528420"/>
      <w:r w:rsidRPr="001566F0">
        <w:rPr>
          <w:rFonts w:ascii="Times New Roman" w:eastAsia="Calibri" w:hAnsi="Times New Roman" w:cs="Times New Roman"/>
          <w:sz w:val="26"/>
        </w:rPr>
        <w:t>responsible entities sufficient time to implement the new controls and coordinate with other responsible entities that own or operate Control Centers as required in proposed Reliability Standard CIP-012-2.</w:t>
      </w:r>
      <w:bookmarkEnd w:id="2"/>
      <w:r w:rsidRPr="001566F0">
        <w:rPr>
          <w:rFonts w:ascii="Times New Roman" w:eastAsia="Calibri" w:hAnsi="Times New Roman" w:cs="Times New Roman"/>
          <w:sz w:val="26"/>
        </w:rPr>
        <w:t xml:space="preserve"> </w:t>
      </w:r>
    </w:p>
    <w:p w:rsidR="00107105" w:rsidP="00E52254" w14:paraId="7F109425"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C4205B" w:rsidP="007C39D3" w14:paraId="726125D5" w14:textId="16817274">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E55772" w:rsidRPr="00595846" w:rsidP="00E55772" w14:paraId="1408B44B"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55772" w:rsidRPr="00E55772" w:rsidP="00E55772" w14:paraId="3EA74872" w14:textId="77777777">
      <w:pPr>
        <w:spacing w:after="0" w:line="240" w:lineRule="auto"/>
        <w:rPr>
          <w:rFonts w:ascii="Times New Roman" w:eastAsia="Calibri" w:hAnsi="Times New Roman" w:cs="Times New Roman"/>
          <w:sz w:val="26"/>
          <w:szCs w:val="24"/>
        </w:rPr>
      </w:pPr>
      <w:r w:rsidRPr="00E55772">
        <w:rPr>
          <w:rFonts w:ascii="Times New Roman" w:eastAsia="Calibri" w:hAnsi="Times New Roman" w:cs="Times New Roman"/>
          <w:sz w:val="26"/>
          <w:szCs w:val="24"/>
        </w:rPr>
        <w:t xml:space="preserve">The use of current or improved technology and </w:t>
      </w:r>
      <w:r w:rsidRPr="00AA7635">
        <w:rPr>
          <w:rFonts w:ascii="Times New Roman" w:eastAsia="Calibri" w:hAnsi="Times New Roman" w:cs="Times New Roman"/>
          <w:sz w:val="26"/>
          <w:szCs w:val="24"/>
        </w:rPr>
        <w:t>the medium are</w:t>
      </w:r>
      <w:r w:rsidRPr="00E55772">
        <w:rPr>
          <w:rFonts w:ascii="Times New Roman" w:eastAsia="Calibri" w:hAnsi="Times New Roman" w:cs="Times New Roman"/>
          <w:sz w:val="26"/>
          <w:szCs w:val="24"/>
        </w:rPr>
        <w:t xml:space="preserve"> not covered in Reliability Standards and are therefore left to the discretion of each respondent.  We think that nearly all of the respondents are likely to make and keep related records in an electronic format.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  </w:t>
      </w:r>
    </w:p>
    <w:p w:rsidR="00F95C69" w:rsidRPr="00595846" w:rsidP="00F95C69" w14:paraId="3C9F8AFE" w14:textId="54479146">
      <w:pPr>
        <w:widowControl w:val="0"/>
        <w:autoSpaceDE w:val="0"/>
        <w:autoSpaceDN w:val="0"/>
        <w:adjustRightInd w:val="0"/>
        <w:spacing w:after="0" w:line="240" w:lineRule="auto"/>
        <w:rPr>
          <w:rFonts w:ascii="Times New Roman" w:hAnsi="Times New Roman" w:cs="Times New Roman"/>
          <w:b/>
          <w:bCs/>
          <w:sz w:val="26"/>
          <w:szCs w:val="24"/>
        </w:rPr>
      </w:pPr>
    </w:p>
    <w:p w:rsidR="00C4205B" w:rsidRPr="00595846" w:rsidP="007C39D3"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C4205B" w:rsidRPr="00595846" w:rsidP="002A4142" w14:paraId="7F8F98B7" w14:textId="77777777">
      <w:pPr>
        <w:spacing w:after="0" w:line="240" w:lineRule="auto"/>
        <w:rPr>
          <w:rFonts w:ascii="Times New Roman" w:hAnsi="Times New Roman" w:cs="Times New Roman"/>
          <w:sz w:val="26"/>
          <w:szCs w:val="24"/>
        </w:rPr>
      </w:pPr>
    </w:p>
    <w:p w:rsidR="00B218E9" w:rsidP="00AC06A5" w14:paraId="70C55870" w14:textId="30301BD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Filing requirements are periodically reviewed as OMB review dates arise or as the Commission may deem necessary in carrying out its regulatory responsibilities under the FPA in order to eliminate duplication and ensure that filing burden is minimized. There are no similar sources for information available that can be used or modified for these reporting purposes.</w:t>
      </w:r>
    </w:p>
    <w:p w:rsidR="00AC06A5" w:rsidRPr="00595846" w:rsidP="00AC06A5" w14:paraId="40A8E717" w14:textId="77777777">
      <w:pPr>
        <w:spacing w:after="0" w:line="240" w:lineRule="auto"/>
        <w:rPr>
          <w:rFonts w:ascii="Times New Roman" w:hAnsi="Times New Roman" w:cs="Times New Roman"/>
          <w:sz w:val="26"/>
          <w:szCs w:val="24"/>
        </w:rPr>
      </w:pPr>
    </w:p>
    <w:p w:rsidR="00C4205B" w:rsidRPr="00595846" w:rsidP="007C39D3"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METHODS USED TO MINIMIZE BURDEN IN COLLECTION OF INFORMATION INVOLVING SMALL ENTITIES</w:t>
      </w:r>
    </w:p>
    <w:p w:rsidR="00DF1C8D" w:rsidRPr="00595846" w:rsidP="00DF1C8D" w14:paraId="6B22F49C" w14:textId="4C2E2BFE">
      <w:pPr>
        <w:spacing w:after="0" w:line="240" w:lineRule="auto"/>
        <w:rPr>
          <w:rFonts w:ascii="Times New Roman" w:hAnsi="Times New Roman" w:cs="Times New Roman"/>
          <w:bCs/>
          <w:sz w:val="26"/>
          <w:szCs w:val="24"/>
        </w:rPr>
      </w:pPr>
    </w:p>
    <w:p w:rsidR="00FE0EF5" w:rsidRPr="00FE0EF5" w:rsidP="00FE0EF5" w14:paraId="3EA083AD" w14:textId="77777777">
      <w:pPr>
        <w:spacing w:after="0" w:line="240" w:lineRule="auto"/>
        <w:rPr>
          <w:rFonts w:ascii="Times New Roman" w:eastAsia="Calibri" w:hAnsi="Times New Roman" w:cs="Times New Roman"/>
          <w:bCs/>
          <w:sz w:val="26"/>
          <w:szCs w:val="24"/>
        </w:rPr>
      </w:pPr>
      <w:r w:rsidRPr="00FE0EF5">
        <w:rPr>
          <w:rFonts w:ascii="Times New Roman" w:eastAsia="Calibri" w:hAnsi="Times New Roman" w:cs="Times New Roman"/>
          <w:bCs/>
          <w:sz w:val="26"/>
          <w:szCs w:val="24"/>
        </w:rPr>
        <w:t>The Commission estimates one-time and ongoing increases in reporting burden on variety of NERC-registered entities (including Reliability Coordinators, Generator Operators, Generator Owners, Interchange Coordinators, Transmission Operators, Balancing Authorities, Transmission Owners) due to the changes in the revised Reliability Standards, with no other increase in the cost of compliance (when compared with the current standards).  Approximately 585 of the 714 affected entities are expected to meet the SBA’s definition for a small entity.</w:t>
      </w:r>
      <w:r>
        <w:rPr>
          <w:rFonts w:ascii="Times New Roman" w:eastAsia="Calibri" w:hAnsi="Times New Roman" w:cs="Arial"/>
          <w:sz w:val="26"/>
          <w:szCs w:val="26"/>
          <w:vertAlign w:val="superscript"/>
        </w:rPr>
        <w:footnoteReference w:id="23"/>
      </w:r>
    </w:p>
    <w:p w:rsidR="00FE0EF5" w:rsidRPr="00FE0EF5" w:rsidP="00FE0EF5" w14:paraId="2EE84E67" w14:textId="77777777">
      <w:pPr>
        <w:spacing w:after="0" w:line="240" w:lineRule="auto"/>
        <w:rPr>
          <w:rFonts w:ascii="Times New Roman" w:eastAsia="Calibri" w:hAnsi="Times New Roman" w:cs="Times New Roman"/>
          <w:bCs/>
          <w:sz w:val="26"/>
          <w:szCs w:val="24"/>
        </w:rPr>
      </w:pPr>
    </w:p>
    <w:p w:rsidR="00FE0EF5" w:rsidRPr="00FE0EF5" w:rsidP="00FE0EF5" w14:paraId="211494FE" w14:textId="77777777">
      <w:pPr>
        <w:spacing w:after="0" w:line="240" w:lineRule="auto"/>
        <w:rPr>
          <w:rFonts w:ascii="Times New Roman" w:eastAsia="Calibri" w:hAnsi="Times New Roman" w:cs="Times New Roman"/>
          <w:bCs/>
          <w:sz w:val="26"/>
          <w:szCs w:val="24"/>
        </w:rPr>
      </w:pPr>
      <w:r w:rsidRPr="00FE0EF5">
        <w:rPr>
          <w:rFonts w:ascii="Times New Roman" w:eastAsia="Calibri" w:hAnsi="Times New Roman" w:cs="Times New Roman"/>
          <w:bCs/>
          <w:sz w:val="26"/>
          <w:szCs w:val="24"/>
        </w:rPr>
        <w:t xml:space="preserve">The Reliability Standards do not contain provisions for minimizing the burden of the collection for small entities.  All the requirements in the Reliability Standards apply to every applicable entity. However, small entities generally can reduce their burden by taking part in </w:t>
      </w:r>
      <w:r w:rsidRPr="009D6183">
        <w:rPr>
          <w:rFonts w:ascii="Times New Roman" w:eastAsia="Calibri" w:hAnsi="Times New Roman" w:cs="Times New Roman"/>
          <w:bCs/>
          <w:sz w:val="26"/>
          <w:szCs w:val="24"/>
        </w:rPr>
        <w:t>a joint registration organization</w:t>
      </w:r>
      <w:r w:rsidRPr="00FE0EF5">
        <w:rPr>
          <w:rFonts w:ascii="Times New Roman" w:eastAsia="Calibri" w:hAnsi="Times New Roman" w:cs="Times New Roman"/>
          <w:bCs/>
          <w:sz w:val="26"/>
          <w:szCs w:val="24"/>
        </w:rPr>
        <w:t xml:space="preserve"> or a coordinated function registration.  These options allow an entity the ability to share its compliance burden with other similar entities.  Detailed information regarding these options is available in NERC’s Rules of Procedure at Section 1502, Paragraph 2, available at NERCs website.</w:t>
      </w:r>
    </w:p>
    <w:p w:rsidR="00B218E9" w:rsidRPr="00FE0EF5" w:rsidP="00DF1C8D" w14:paraId="225A8E96" w14:textId="4565A83A">
      <w:pPr>
        <w:spacing w:after="0" w:line="240" w:lineRule="auto"/>
        <w:rPr>
          <w:rFonts w:ascii="Times New Roman" w:eastAsia="Calibri" w:hAnsi="Times New Roman" w:cs="Times New Roman"/>
          <w:bCs/>
          <w:sz w:val="26"/>
          <w:szCs w:val="24"/>
        </w:rPr>
      </w:pPr>
    </w:p>
    <w:p w:rsidR="00C4205B" w:rsidRPr="00595846" w:rsidP="007C39D3"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sz w:val="26"/>
          <w:szCs w:val="24"/>
        </w:rPr>
        <w:t>CONSEQUENCE TO FEDERAL PROGRAM IF COLLECTION WERE CONDUCTED LESS FREQUENTLY</w:t>
      </w:r>
    </w:p>
    <w:p w:rsidR="00C4205B" w:rsidRPr="00595846" w:rsidP="005E2448" w14:paraId="53BF93C7" w14:textId="77777777">
      <w:pPr>
        <w:pStyle w:val="FERCparanumber"/>
        <w:widowControl/>
        <w:numPr>
          <w:ilvl w:val="0"/>
          <w:numId w:val="0"/>
        </w:numPr>
        <w:tabs>
          <w:tab w:val="left" w:pos="720"/>
        </w:tabs>
        <w:rPr>
          <w:rFonts w:ascii="Times New Roman" w:hAnsi="Times New Roman" w:cs="Times New Roman"/>
          <w:sz w:val="26"/>
        </w:rPr>
      </w:pPr>
    </w:p>
    <w:p w:rsidR="006C0F0B" w:rsidRPr="00595846" w:rsidP="002A4142" w14:paraId="7D9A3C49" w14:textId="2084EC3E">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w:t>
      </w:r>
      <w:r w:rsidRPr="00595846" w:rsidR="001075FC">
        <w:rPr>
          <w:rFonts w:ascii="Times New Roman" w:hAnsi="Times New Roman" w:cs="Times New Roman"/>
          <w:sz w:val="26"/>
          <w:szCs w:val="24"/>
        </w:rPr>
        <w:t xml:space="preserve">he collection of voluntary rate-incentive filings “on occasion,” as provided by the </w:t>
      </w:r>
      <w:r w:rsidRPr="00595846" w:rsidR="00C543AA">
        <w:rPr>
          <w:rFonts w:ascii="Times New Roman" w:hAnsi="Times New Roman" w:cs="Times New Roman"/>
          <w:sz w:val="26"/>
          <w:szCs w:val="24"/>
        </w:rPr>
        <w:t>final rule</w:t>
      </w:r>
      <w:r w:rsidRPr="00595846" w:rsidR="001075FC">
        <w:rPr>
          <w:rFonts w:ascii="Times New Roman" w:hAnsi="Times New Roman" w:cs="Times New Roman"/>
          <w:sz w:val="26"/>
          <w:szCs w:val="24"/>
        </w:rPr>
        <w:t xml:space="preserve">, </w:t>
      </w:r>
      <w:r w:rsidRPr="00595846">
        <w:rPr>
          <w:rFonts w:ascii="Times New Roman" w:hAnsi="Times New Roman" w:cs="Times New Roman"/>
          <w:sz w:val="26"/>
          <w:szCs w:val="24"/>
        </w:rPr>
        <w:t xml:space="preserve">is integral to </w:t>
      </w:r>
      <w:r w:rsidRPr="00595846" w:rsidR="001075FC">
        <w:rPr>
          <w:rFonts w:ascii="Times New Roman" w:hAnsi="Times New Roman" w:cs="Times New Roman"/>
          <w:sz w:val="26"/>
          <w:szCs w:val="24"/>
        </w:rPr>
        <w:t>the Commission</w:t>
      </w:r>
      <w:r w:rsidRPr="00595846">
        <w:rPr>
          <w:rFonts w:ascii="Times New Roman" w:hAnsi="Times New Roman" w:cs="Times New Roman"/>
          <w:sz w:val="26"/>
          <w:szCs w:val="24"/>
        </w:rPr>
        <w:t xml:space="preserve">’s compliance </w:t>
      </w:r>
      <w:r w:rsidRPr="00595846" w:rsidR="001075FC">
        <w:rPr>
          <w:rFonts w:ascii="Times New Roman" w:hAnsi="Times New Roman" w:cs="Times New Roman"/>
          <w:sz w:val="26"/>
          <w:szCs w:val="24"/>
        </w:rPr>
        <w:t xml:space="preserve">with the requirement of </w:t>
      </w:r>
      <w:r w:rsidRPr="00595846" w:rsidR="006D718E">
        <w:rPr>
          <w:rFonts w:ascii="Times New Roman" w:hAnsi="Times New Roman" w:cs="Times New Roman"/>
          <w:sz w:val="26"/>
          <w:szCs w:val="24"/>
        </w:rPr>
        <w:t xml:space="preserve">FPA </w:t>
      </w:r>
      <w:r w:rsidRPr="00595846" w:rsidR="001075FC">
        <w:rPr>
          <w:rFonts w:ascii="Times New Roman" w:hAnsi="Times New Roman" w:cs="Times New Roman"/>
          <w:sz w:val="26"/>
          <w:szCs w:val="24"/>
        </w:rPr>
        <w:t>section 219A to</w:t>
      </w:r>
    </w:p>
    <w:p w:rsidR="001075FC" w:rsidRPr="00A71762" w:rsidP="001075FC" w14:paraId="260BF352" w14:textId="682EF518">
      <w:pPr>
        <w:spacing w:after="0" w:line="240" w:lineRule="auto"/>
        <w:rPr>
          <w:rFonts w:ascii="Times New Roman" w:eastAsia="Calibri" w:hAnsi="Times New Roman" w:cs="Times New Roman"/>
          <w:sz w:val="26"/>
        </w:rPr>
      </w:pPr>
      <w:r w:rsidRPr="00A71762">
        <w:rPr>
          <w:rFonts w:ascii="Times New Roman" w:eastAsia="Calibri" w:hAnsi="Times New Roman" w:cs="Times New Roman"/>
          <w:sz w:val="26"/>
        </w:rPr>
        <w:t xml:space="preserve">encourage </w:t>
      </w:r>
      <w:r w:rsidRPr="000D4A29">
        <w:rPr>
          <w:rFonts w:ascii="Times New Roman" w:eastAsia="Calibri" w:hAnsi="Times New Roman" w:cs="Times New Roman"/>
          <w:sz w:val="26"/>
        </w:rPr>
        <w:t xml:space="preserve">utilities to invest </w:t>
      </w:r>
      <w:r w:rsidRPr="00A71762">
        <w:rPr>
          <w:rFonts w:ascii="Times New Roman" w:eastAsia="Calibri" w:hAnsi="Times New Roman" w:cs="Times New Roman"/>
          <w:sz w:val="26"/>
        </w:rPr>
        <w:t xml:space="preserve">in </w:t>
      </w:r>
      <w:r w:rsidRPr="00A71762" w:rsidR="006D718E">
        <w:rPr>
          <w:rFonts w:ascii="Times New Roman" w:eastAsia="Calibri" w:hAnsi="Times New Roman" w:cs="Times New Roman"/>
          <w:sz w:val="26"/>
        </w:rPr>
        <w:t>A</w:t>
      </w:r>
      <w:r w:rsidRPr="00A71762">
        <w:rPr>
          <w:rFonts w:ascii="Times New Roman" w:eastAsia="Calibri" w:hAnsi="Times New Roman" w:cs="Times New Roman"/>
          <w:sz w:val="26"/>
        </w:rPr>
        <w:t xml:space="preserve">dvanced </w:t>
      </w:r>
      <w:r w:rsidRPr="00A71762" w:rsidR="006D718E">
        <w:rPr>
          <w:rFonts w:ascii="Times New Roman" w:eastAsia="Calibri" w:hAnsi="Times New Roman" w:cs="Times New Roman"/>
          <w:sz w:val="26"/>
        </w:rPr>
        <w:t>C</w:t>
      </w:r>
      <w:r w:rsidRPr="00A71762">
        <w:rPr>
          <w:rFonts w:ascii="Times New Roman" w:eastAsia="Calibri" w:hAnsi="Times New Roman" w:cs="Times New Roman"/>
          <w:sz w:val="26"/>
        </w:rPr>
        <w:t xml:space="preserve">ybersecurity </w:t>
      </w:r>
      <w:r w:rsidRPr="00A71762" w:rsidR="006D718E">
        <w:rPr>
          <w:rFonts w:ascii="Times New Roman" w:eastAsia="Calibri" w:hAnsi="Times New Roman" w:cs="Times New Roman"/>
          <w:sz w:val="26"/>
        </w:rPr>
        <w:t>T</w:t>
      </w:r>
      <w:r w:rsidRPr="00A71762">
        <w:rPr>
          <w:rFonts w:ascii="Times New Roman" w:eastAsia="Calibri" w:hAnsi="Times New Roman" w:cs="Times New Roman"/>
          <w:sz w:val="26"/>
        </w:rPr>
        <w:t xml:space="preserve">echnology, and </w:t>
      </w:r>
      <w:r w:rsidRPr="00A71762" w:rsidR="00563E91">
        <w:rPr>
          <w:rFonts w:ascii="Times New Roman" w:eastAsia="Calibri" w:hAnsi="Times New Roman" w:cs="Times New Roman"/>
          <w:sz w:val="26"/>
        </w:rPr>
        <w:t xml:space="preserve">to </w:t>
      </w:r>
      <w:r w:rsidRPr="00A71762">
        <w:rPr>
          <w:rFonts w:ascii="Times New Roman" w:eastAsia="Calibri" w:hAnsi="Times New Roman" w:cs="Times New Roman"/>
          <w:sz w:val="26"/>
        </w:rPr>
        <w:t>encourage utilities to participate in information sharing regarding cybersecurity threats.</w:t>
      </w:r>
      <w:r w:rsidRPr="00A71762" w:rsidR="00563E91">
        <w:rPr>
          <w:rFonts w:ascii="Times New Roman" w:eastAsia="Calibri" w:hAnsi="Times New Roman" w:cs="Times New Roman"/>
          <w:sz w:val="26"/>
        </w:rPr>
        <w:t xml:space="preserve">  The consequence of collecting this information less frequently would be detrimental to the Commission’s fulfillment of that statutory obligation.</w:t>
      </w:r>
    </w:p>
    <w:p w:rsidR="001075FC" w:rsidRPr="00A71762" w:rsidP="001075FC" w14:paraId="2BDFE412" w14:textId="77777777">
      <w:pPr>
        <w:spacing w:after="0" w:line="240" w:lineRule="auto"/>
        <w:rPr>
          <w:rFonts w:ascii="Times New Roman" w:eastAsia="Calibri" w:hAnsi="Times New Roman" w:cs="Times New Roman"/>
          <w:sz w:val="26"/>
        </w:rPr>
      </w:pPr>
    </w:p>
    <w:p w:rsidR="001075FC" w:rsidRPr="00595846" w:rsidP="002A4142" w14:paraId="56C4FBE5" w14:textId="26C4E7EF">
      <w:pPr>
        <w:spacing w:after="0" w:line="240" w:lineRule="auto"/>
        <w:rPr>
          <w:rFonts w:ascii="Times New Roman" w:hAnsi="Times New Roman" w:cs="Times New Roman"/>
          <w:sz w:val="26"/>
          <w:szCs w:val="24"/>
        </w:rPr>
      </w:pPr>
      <w:r w:rsidRPr="00A71762">
        <w:rPr>
          <w:rFonts w:ascii="Times New Roman" w:eastAsia="Calibri" w:hAnsi="Times New Roman" w:cs="Times New Roman"/>
          <w:sz w:val="26"/>
        </w:rPr>
        <w:t>Without the collection of informational filings annually, the Commission would be hindered in ensuring that a utility receiving incentive rate treatment has implemented the requirements of the incentive and ensuring that the utility continues to adhere to the requirements.</w:t>
      </w:r>
    </w:p>
    <w:p w:rsidR="001075FC" w:rsidRPr="00595846" w:rsidP="002A4142" w14:paraId="51DD904C" w14:textId="77777777">
      <w:pPr>
        <w:spacing w:after="0" w:line="240" w:lineRule="auto"/>
        <w:rPr>
          <w:rFonts w:ascii="Times New Roman" w:hAnsi="Times New Roman" w:cs="Times New Roman"/>
          <w:sz w:val="26"/>
          <w:szCs w:val="24"/>
        </w:rPr>
      </w:pPr>
    </w:p>
    <w:p w:rsidR="00C4205B" w:rsidRPr="00595846" w:rsidP="007C39D3"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SPECIAL CIRCUMSTANCES RELATING TO THE INFORMATION COLLECTION</w:t>
      </w:r>
    </w:p>
    <w:p w:rsidR="00C4205B" w:rsidRPr="00595846" w:rsidP="002A4142" w14:paraId="3D593F90" w14:textId="77777777">
      <w:pPr>
        <w:spacing w:after="0" w:line="240" w:lineRule="auto"/>
        <w:rPr>
          <w:rFonts w:ascii="Times New Roman" w:hAnsi="Times New Roman" w:cs="Times New Roman"/>
          <w:b/>
          <w:bCs/>
          <w:sz w:val="26"/>
          <w:szCs w:val="24"/>
        </w:rPr>
      </w:pPr>
    </w:p>
    <w:p w:rsidR="00115F24" w:rsidRPr="00595846" w:rsidP="002A4142" w14:paraId="23E84D55" w14:textId="1862A5A9">
      <w:pPr>
        <w:spacing w:after="0" w:line="240" w:lineRule="auto"/>
        <w:rPr>
          <w:rFonts w:ascii="Times New Roman" w:eastAsia="Calibri"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6C0F0B" w:rsidRPr="00595846" w:rsidP="002A4142" w14:paraId="21EB7D70" w14:textId="77777777">
      <w:pPr>
        <w:spacing w:after="0" w:line="240" w:lineRule="auto"/>
        <w:rPr>
          <w:rFonts w:ascii="Times New Roman" w:hAnsi="Times New Roman" w:cs="Times New Roman"/>
          <w:sz w:val="26"/>
          <w:szCs w:val="24"/>
        </w:rPr>
      </w:pPr>
    </w:p>
    <w:p w:rsidR="00C4205B" w:rsidRPr="00595846" w:rsidP="007C39D3"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C4205B" w:rsidP="002A4142" w14:paraId="180E4F06" w14:textId="77777777">
      <w:pPr>
        <w:spacing w:after="0" w:line="240" w:lineRule="auto"/>
        <w:rPr>
          <w:rFonts w:ascii="Times New Roman" w:hAnsi="Times New Roman" w:cs="Times New Roman"/>
          <w:b/>
          <w:bCs/>
          <w:sz w:val="26"/>
          <w:szCs w:val="24"/>
        </w:rPr>
      </w:pPr>
    </w:p>
    <w:p w:rsidR="005935E9" w:rsidRPr="005935E9" w:rsidP="005935E9" w14:paraId="4591019E" w14:textId="57CAF9B0">
      <w:pPr>
        <w:spacing w:after="0" w:line="240" w:lineRule="auto"/>
        <w:rPr>
          <w:rFonts w:ascii="Times New Roman" w:eastAsia="Calibri" w:hAnsi="Times New Roman" w:cs="Times New Roman"/>
          <w:sz w:val="26"/>
          <w:szCs w:val="24"/>
        </w:rPr>
      </w:pPr>
      <w:r w:rsidRPr="005935E9">
        <w:rPr>
          <w:rFonts w:ascii="Times New Roman" w:eastAsia="Calibri" w:hAnsi="Times New Roman" w:cs="Times New Roman"/>
          <w:sz w:val="26"/>
          <w:szCs w:val="24"/>
        </w:rPr>
        <w:t xml:space="preserve">The Commission </w:t>
      </w:r>
      <w:r w:rsidR="0087187E">
        <w:rPr>
          <w:rFonts w:ascii="Times New Roman" w:eastAsia="Calibri" w:hAnsi="Times New Roman" w:cs="Times New Roman"/>
          <w:sz w:val="26"/>
          <w:szCs w:val="24"/>
        </w:rPr>
        <w:t>pub</w:t>
      </w:r>
      <w:r w:rsidR="00F63133">
        <w:rPr>
          <w:rFonts w:ascii="Times New Roman" w:eastAsia="Calibri" w:hAnsi="Times New Roman" w:cs="Times New Roman"/>
          <w:sz w:val="26"/>
          <w:szCs w:val="24"/>
        </w:rPr>
        <w:t>lished the</w:t>
      </w:r>
      <w:r w:rsidRPr="005935E9">
        <w:rPr>
          <w:rFonts w:ascii="Times New Roman" w:eastAsia="Calibri" w:hAnsi="Times New Roman" w:cs="Times New Roman"/>
          <w:sz w:val="26"/>
          <w:szCs w:val="24"/>
        </w:rPr>
        <w:t xml:space="preserve"> 60-day notice in Docket No. RD2</w:t>
      </w:r>
      <w:r w:rsidR="0087187E">
        <w:rPr>
          <w:rFonts w:ascii="Times New Roman" w:eastAsia="Calibri" w:hAnsi="Times New Roman" w:cs="Times New Roman"/>
          <w:sz w:val="26"/>
          <w:szCs w:val="24"/>
        </w:rPr>
        <w:t xml:space="preserve">4-3-000 </w:t>
      </w:r>
      <w:r w:rsidRPr="005935E9">
        <w:rPr>
          <w:rFonts w:ascii="Times New Roman" w:eastAsia="Calibri" w:hAnsi="Times New Roman" w:cs="Times New Roman"/>
          <w:sz w:val="26"/>
          <w:szCs w:val="24"/>
        </w:rPr>
        <w:t>on</w:t>
      </w:r>
      <w:r w:rsidR="0087187E">
        <w:rPr>
          <w:rFonts w:ascii="Times New Roman" w:eastAsia="Calibri" w:hAnsi="Times New Roman" w:cs="Times New Roman"/>
          <w:sz w:val="26"/>
          <w:szCs w:val="24"/>
        </w:rPr>
        <w:t xml:space="preserve"> </w:t>
      </w:r>
      <w:r w:rsidR="00E54473">
        <w:rPr>
          <w:rFonts w:ascii="Times New Roman" w:eastAsia="Calibri" w:hAnsi="Times New Roman" w:cs="Times New Roman"/>
          <w:sz w:val="26"/>
          <w:szCs w:val="24"/>
        </w:rPr>
        <w:t>5/31/2024</w:t>
      </w:r>
      <w:r w:rsidR="00A55996">
        <w:rPr>
          <w:rFonts w:ascii="Times New Roman" w:eastAsia="Calibri" w:hAnsi="Times New Roman" w:cs="Times New Roman"/>
          <w:sz w:val="26"/>
          <w:szCs w:val="24"/>
        </w:rPr>
        <w:t xml:space="preserve"> </w:t>
      </w:r>
      <w:r w:rsidR="000758B5">
        <w:rPr>
          <w:rFonts w:ascii="Times New Roman" w:eastAsia="Calibri" w:hAnsi="Times New Roman" w:cs="Times New Roman"/>
          <w:sz w:val="26"/>
          <w:szCs w:val="24"/>
        </w:rPr>
        <w:t>(</w:t>
      </w:r>
      <w:r w:rsidRPr="00A55996" w:rsidR="00A55996">
        <w:rPr>
          <w:rFonts w:ascii="Times New Roman" w:eastAsia="Calibri" w:hAnsi="Times New Roman" w:cs="Times New Roman"/>
          <w:sz w:val="26"/>
          <w:szCs w:val="24"/>
        </w:rPr>
        <w:t>89 FR 47147</w:t>
      </w:r>
      <w:r w:rsidR="000758B5">
        <w:rPr>
          <w:rFonts w:ascii="Times New Roman" w:eastAsia="Calibri" w:hAnsi="Times New Roman" w:cs="Times New Roman"/>
          <w:sz w:val="26"/>
          <w:szCs w:val="24"/>
        </w:rPr>
        <w:t>) with no comments received</w:t>
      </w:r>
      <w:r w:rsidRPr="005935E9">
        <w:rPr>
          <w:rFonts w:ascii="Times New Roman" w:eastAsia="Calibri" w:hAnsi="Times New Roman" w:cs="Times New Roman"/>
          <w:sz w:val="26"/>
          <w:szCs w:val="24"/>
        </w:rPr>
        <w:t xml:space="preserve">.  That </w:t>
      </w:r>
      <w:r w:rsidR="000758B5">
        <w:rPr>
          <w:rFonts w:ascii="Times New Roman" w:eastAsia="Calibri" w:hAnsi="Times New Roman" w:cs="Times New Roman"/>
          <w:sz w:val="26"/>
          <w:szCs w:val="24"/>
        </w:rPr>
        <w:t xml:space="preserve">30-day </w:t>
      </w:r>
      <w:r w:rsidRPr="005935E9">
        <w:rPr>
          <w:rFonts w:ascii="Times New Roman" w:eastAsia="Calibri" w:hAnsi="Times New Roman" w:cs="Times New Roman"/>
          <w:sz w:val="26"/>
          <w:szCs w:val="24"/>
        </w:rPr>
        <w:t xml:space="preserve">notice was published on </w:t>
      </w:r>
      <w:r w:rsidR="000758B5">
        <w:rPr>
          <w:rFonts w:ascii="Times New Roman" w:eastAsia="Calibri" w:hAnsi="Times New Roman" w:cs="Times New Roman"/>
          <w:sz w:val="26"/>
          <w:szCs w:val="24"/>
        </w:rPr>
        <w:t>August 20, 2024</w:t>
      </w:r>
      <w:r w:rsidRPr="005935E9">
        <w:rPr>
          <w:rFonts w:ascii="Times New Roman" w:eastAsia="Calibri" w:hAnsi="Times New Roman" w:cs="Times New Roman"/>
          <w:sz w:val="26"/>
          <w:szCs w:val="24"/>
        </w:rPr>
        <w:t xml:space="preserve"> (8</w:t>
      </w:r>
      <w:r w:rsidR="000758B5">
        <w:rPr>
          <w:rFonts w:ascii="Times New Roman" w:eastAsia="Calibri" w:hAnsi="Times New Roman" w:cs="Times New Roman"/>
          <w:sz w:val="26"/>
          <w:szCs w:val="24"/>
        </w:rPr>
        <w:t>9</w:t>
      </w:r>
      <w:r w:rsidRPr="005935E9">
        <w:rPr>
          <w:rFonts w:ascii="Times New Roman" w:eastAsia="Calibri" w:hAnsi="Times New Roman" w:cs="Times New Roman"/>
          <w:sz w:val="26"/>
          <w:szCs w:val="24"/>
        </w:rPr>
        <w:t xml:space="preserve"> FR </w:t>
      </w:r>
      <w:r w:rsidR="001A22CF">
        <w:rPr>
          <w:rFonts w:ascii="Times New Roman" w:eastAsia="Calibri" w:hAnsi="Times New Roman" w:cs="Times New Roman"/>
          <w:sz w:val="26"/>
          <w:szCs w:val="24"/>
        </w:rPr>
        <w:t>67432</w:t>
      </w:r>
      <w:r w:rsidRPr="005935E9">
        <w:rPr>
          <w:rFonts w:ascii="Times New Roman" w:eastAsia="Calibri" w:hAnsi="Times New Roman" w:cs="Times New Roman"/>
          <w:sz w:val="26"/>
          <w:szCs w:val="24"/>
        </w:rPr>
        <w:t>).  The Commission received no public comments in response.</w:t>
      </w:r>
    </w:p>
    <w:p w:rsidR="005935E9" w:rsidRPr="005935E9" w:rsidP="005935E9" w14:paraId="66F7D673" w14:textId="77777777">
      <w:pPr>
        <w:spacing w:after="0" w:line="240" w:lineRule="auto"/>
        <w:rPr>
          <w:rFonts w:ascii="Times New Roman" w:eastAsia="Calibri" w:hAnsi="Times New Roman" w:cs="Times New Roman"/>
          <w:sz w:val="26"/>
          <w:szCs w:val="24"/>
        </w:rPr>
      </w:pPr>
    </w:p>
    <w:p w:rsidR="00C4205B" w:rsidRPr="00595846" w:rsidP="00F64A6F"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PAYMENT OR GIFTS TO RESPONDENTS</w:t>
      </w:r>
    </w:p>
    <w:p w:rsidR="00C4205B" w:rsidRPr="00595846" w:rsidP="00F26A37" w14:paraId="0E2CB0AE" w14:textId="77777777">
      <w:pPr>
        <w:spacing w:after="0" w:line="240" w:lineRule="auto"/>
        <w:rPr>
          <w:rFonts w:ascii="Times New Roman" w:hAnsi="Times New Roman" w:cs="Times New Roman"/>
          <w:b/>
          <w:bCs/>
          <w:sz w:val="26"/>
          <w:szCs w:val="24"/>
        </w:rPr>
      </w:pPr>
    </w:p>
    <w:p w:rsidR="002C1CD8" w:rsidP="00563E91" w14:paraId="795FF422" w14:textId="569FA3F3">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AC06A5" w:rsidRPr="00595846" w:rsidP="00563E91" w14:paraId="45619065" w14:textId="77777777">
      <w:pPr>
        <w:spacing w:after="0" w:line="240" w:lineRule="auto"/>
        <w:rPr>
          <w:rFonts w:ascii="Times New Roman" w:hAnsi="Times New Roman" w:cs="Times New Roman"/>
          <w:sz w:val="26"/>
          <w:szCs w:val="24"/>
        </w:rPr>
      </w:pPr>
    </w:p>
    <w:p w:rsidR="00085AB8" w:rsidRPr="00595846" w:rsidP="00085AB8" w14:paraId="5D22800B" w14:textId="7125C0D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2C1CD8" w:rsidRPr="00595846" w:rsidP="002C1CD8" w14:paraId="50633DE3" w14:textId="0A4A0236">
      <w:pPr>
        <w:widowControl w:val="0"/>
        <w:autoSpaceDE w:val="0"/>
        <w:autoSpaceDN w:val="0"/>
        <w:adjustRightInd w:val="0"/>
        <w:spacing w:after="0" w:line="240" w:lineRule="auto"/>
        <w:rPr>
          <w:rFonts w:ascii="Times New Roman" w:hAnsi="Times New Roman" w:cs="Times New Roman"/>
          <w:sz w:val="26"/>
          <w:szCs w:val="24"/>
        </w:rPr>
      </w:pPr>
    </w:p>
    <w:p w:rsidR="00532F8E" w:rsidRPr="00532F8E" w:rsidP="00532F8E" w14:paraId="50F1D795" w14:textId="77777777">
      <w:pPr>
        <w:spacing w:line="240" w:lineRule="auto"/>
        <w:rPr>
          <w:rFonts w:ascii="Times New Roman" w:eastAsia="Calibri" w:hAnsi="Times New Roman" w:cs="Times New Roman"/>
          <w:bCs/>
          <w:sz w:val="26"/>
          <w:szCs w:val="24"/>
        </w:rPr>
      </w:pPr>
      <w:r w:rsidRPr="00532F8E">
        <w:rPr>
          <w:rFonts w:ascii="Times New Roman" w:eastAsia="Calibri" w:hAnsi="Times New Roman" w:cs="Times New Roman"/>
          <w:bCs/>
          <w:sz w:val="26"/>
          <w:szCs w:val="24"/>
        </w:rPr>
        <w:t>According to the NERC Rules of Procedure,</w:t>
      </w:r>
      <w:r>
        <w:rPr>
          <w:rFonts w:ascii="Times New Roman" w:eastAsia="Calibri" w:hAnsi="Times New Roman" w:cs="Times New Roman"/>
          <w:bCs/>
          <w:sz w:val="26"/>
          <w:szCs w:val="24"/>
          <w:vertAlign w:val="superscript"/>
        </w:rPr>
        <w:footnoteReference w:id="24"/>
      </w:r>
      <w:r w:rsidRPr="00532F8E">
        <w:rPr>
          <w:rFonts w:ascii="Times New Roman" w:eastAsia="Calibri" w:hAnsi="Times New Roman" w:cs="Times New Roman"/>
          <w:bCs/>
          <w:sz w:val="26"/>
          <w:szCs w:val="24"/>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532F8E" w:rsidRPr="00532F8E" w:rsidP="00532F8E" w14:paraId="68E8563A" w14:textId="77777777">
      <w:pPr>
        <w:spacing w:after="0" w:line="240" w:lineRule="auto"/>
        <w:rPr>
          <w:rFonts w:ascii="Times New Roman" w:eastAsia="Calibri" w:hAnsi="Times New Roman" w:cs="Times New Roman"/>
          <w:bCs/>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085AB8" w:rsidRPr="00532F8E" w:rsidP="00532F8E" w14:paraId="4614E8F9" w14:textId="48AAE24B">
      <w:pPr>
        <w:spacing w:after="0" w:line="240" w:lineRule="auto"/>
        <w:ind w:firstLine="720"/>
        <w:rPr>
          <w:rFonts w:ascii="Times New Roman" w:eastAsia="Calibri" w:hAnsi="Times New Roman" w:cs="Times New Roman"/>
          <w:sz w:val="26"/>
          <w:szCs w:val="24"/>
        </w:rPr>
      </w:pPr>
    </w:p>
    <w:p w:rsidR="00C4205B" w:rsidRPr="00595846" w:rsidP="002A4142"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115F24" w:rsidRPr="00595846" w:rsidP="00115F24" w14:paraId="57DE9DF6"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3C19D0" w:rsidRPr="00595846" w:rsidP="002A4142" w14:paraId="125EDD35" w14:textId="48C3EE71">
      <w:pPr>
        <w:spacing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5C58F0E0" w14:textId="1DA328F5">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BURDEN OF COLLECTION OF INFORMATION</w:t>
      </w:r>
    </w:p>
    <w:p w:rsidR="00213EC6" w:rsidRPr="00595846" w:rsidP="00213EC6" w14:paraId="1766F8A0" w14:textId="645CDFC0">
      <w:pPr>
        <w:widowControl w:val="0"/>
        <w:autoSpaceDE w:val="0"/>
        <w:autoSpaceDN w:val="0"/>
        <w:adjustRightInd w:val="0"/>
        <w:spacing w:after="0" w:line="240" w:lineRule="auto"/>
        <w:rPr>
          <w:rFonts w:ascii="Times New Roman" w:hAnsi="Times New Roman" w:cs="Times New Roman"/>
          <w:b/>
          <w:bCs/>
          <w:sz w:val="26"/>
          <w:szCs w:val="24"/>
        </w:rPr>
      </w:pPr>
    </w:p>
    <w:p w:rsidR="008763BF" w:rsidRPr="008763BF" w:rsidP="00017AC9" w14:paraId="57C1DA70" w14:textId="2FE45E64">
      <w:pPr>
        <w:spacing w:after="0" w:line="240" w:lineRule="auto"/>
        <w:rPr>
          <w:rFonts w:ascii="Times New Roman" w:eastAsia="Times New Roman" w:hAnsi="Times New Roman" w:cs="Times New Roman"/>
          <w:color w:val="000000"/>
          <w:sz w:val="26"/>
        </w:rPr>
      </w:pPr>
      <w:r w:rsidRPr="008763BF">
        <w:rPr>
          <w:rFonts w:ascii="Times New Roman" w:eastAsia="Times New Roman" w:hAnsi="Times New Roman" w:cs="Times New Roman"/>
          <w:i/>
          <w:color w:val="000000"/>
          <w:sz w:val="26"/>
        </w:rPr>
        <w:t>Estimate of Annual Burden:</w:t>
      </w:r>
      <w:r>
        <w:rPr>
          <w:rFonts w:ascii="Times New Roman" w:eastAsia="Times New Roman" w:hAnsi="Times New Roman" w:cs="Times New Roman"/>
          <w:b/>
          <w:color w:val="000000"/>
          <w:sz w:val="26"/>
          <w:vertAlign w:val="superscript"/>
        </w:rPr>
        <w:footnoteReference w:id="25"/>
      </w:r>
      <w:r w:rsidRPr="008763BF">
        <w:rPr>
          <w:rFonts w:ascii="Times New Roman" w:eastAsia="Times New Roman" w:hAnsi="Times New Roman" w:cs="Times New Roman"/>
          <w:i/>
          <w:color w:val="000000"/>
          <w:sz w:val="26"/>
        </w:rPr>
        <w:t xml:space="preserve"> </w:t>
      </w:r>
      <w:r w:rsidRPr="008763BF">
        <w:rPr>
          <w:rFonts w:ascii="Times New Roman" w:eastAsia="Times New Roman" w:hAnsi="Times New Roman" w:cs="Times New Roman"/>
          <w:color w:val="000000"/>
          <w:sz w:val="26"/>
        </w:rPr>
        <w:t xml:space="preserve">The Commission bases its paperwork burden estimates on the changes in paperwork burden presented by the revision to CIP Reliability Standard CIP-012-2 as compared to the </w:t>
      </w:r>
      <w:r w:rsidR="0021658A">
        <w:rPr>
          <w:rFonts w:ascii="Times New Roman" w:eastAsia="Times New Roman" w:hAnsi="Times New Roman" w:cs="Times New Roman"/>
          <w:color w:val="000000"/>
          <w:sz w:val="26"/>
        </w:rPr>
        <w:t xml:space="preserve"> prior </w:t>
      </w:r>
      <w:r w:rsidRPr="008763BF">
        <w:rPr>
          <w:rFonts w:ascii="Times New Roman" w:eastAsia="Times New Roman" w:hAnsi="Times New Roman" w:cs="Times New Roman"/>
          <w:color w:val="000000"/>
          <w:sz w:val="26"/>
        </w:rPr>
        <w:t>Commission-approved Reliability Standard CIP-012-1.  As discussed above, the immediate order addresses the area of modification to the CIP Reliability Standards:  modifications to provide protections of the availability of communication links and sensitive data transmitted between BES Control Centers.</w:t>
      </w:r>
    </w:p>
    <w:p w:rsidR="008763BF" w:rsidRPr="008763BF" w:rsidP="00017AC9" w14:paraId="42E5E250" w14:textId="77777777">
      <w:pPr>
        <w:spacing w:after="0" w:line="240" w:lineRule="auto"/>
        <w:ind w:left="14" w:hanging="14"/>
        <w:rPr>
          <w:rFonts w:ascii="Times New Roman" w:eastAsia="Times New Roman" w:hAnsi="Times New Roman" w:cs="Times New Roman"/>
          <w:color w:val="000000"/>
          <w:sz w:val="26"/>
        </w:rPr>
      </w:pPr>
      <w:r w:rsidRPr="008763BF">
        <w:rPr>
          <w:rFonts w:ascii="Times New Roman" w:eastAsia="Times New Roman" w:hAnsi="Times New Roman" w:cs="Times New Roman"/>
          <w:color w:val="000000"/>
          <w:sz w:val="26"/>
        </w:rPr>
        <w:t>The CIP Reliability Standards, viewed as a whole, implement a defense-in-depth approach to protecting the security of BES Cyber Systems at all impact levels.</w:t>
      </w:r>
      <w:r>
        <w:rPr>
          <w:rFonts w:ascii="Times New Roman" w:eastAsia="Times New Roman" w:hAnsi="Times New Roman" w:cs="Times New Roman"/>
          <w:b/>
          <w:color w:val="000000"/>
          <w:sz w:val="26"/>
          <w:szCs w:val="26"/>
          <w:vertAlign w:val="superscript"/>
        </w:rPr>
        <w:footnoteReference w:id="26"/>
      </w:r>
      <w:r w:rsidRPr="008763BF">
        <w:rPr>
          <w:rFonts w:ascii="Times New Roman" w:eastAsia="Times New Roman" w:hAnsi="Times New Roman" w:cs="Times New Roman"/>
          <w:color w:val="000000"/>
          <w:sz w:val="26"/>
        </w:rPr>
        <w:t xml:space="preserve">  The CIP </w:t>
      </w:r>
    </w:p>
    <w:p w:rsidR="008763BF" w:rsidRPr="008763BF" w:rsidP="00017AC9" w14:paraId="0827F8EC" w14:textId="77777777">
      <w:pPr>
        <w:spacing w:after="0" w:line="240" w:lineRule="auto"/>
        <w:rPr>
          <w:rFonts w:ascii="Times New Roman" w:eastAsia="Times New Roman" w:hAnsi="Times New Roman" w:cs="Times New Roman"/>
          <w:sz w:val="26"/>
          <w:szCs w:val="24"/>
        </w:rPr>
      </w:pPr>
      <w:r w:rsidRPr="008763BF">
        <w:rPr>
          <w:rFonts w:ascii="Times New Roman" w:eastAsia="Times New Roman" w:hAnsi="Times New Roman" w:cs="Times New Roman"/>
          <w:sz w:val="26"/>
          <w:szCs w:val="24"/>
        </w:rPr>
        <w:t>Reliability Standards are objective-based and allow entities to choose compliance approaches best tailored to their systems.</w:t>
      </w:r>
      <w:r>
        <w:rPr>
          <w:rFonts w:ascii="Times New Roman" w:eastAsia="Times New Roman" w:hAnsi="Times New Roman" w:cs="Times New Roman"/>
          <w:b/>
          <w:sz w:val="26"/>
          <w:szCs w:val="26"/>
          <w:vertAlign w:val="superscript"/>
        </w:rPr>
        <w:footnoteReference w:id="27"/>
      </w:r>
      <w:r w:rsidRPr="008763BF">
        <w:rPr>
          <w:rFonts w:ascii="Times New Roman" w:eastAsia="Times New Roman" w:hAnsi="Times New Roman" w:cs="Times New Roman"/>
          <w:b/>
          <w:bCs/>
          <w:sz w:val="26"/>
          <w:szCs w:val="24"/>
          <w:vertAlign w:val="superscript"/>
        </w:rPr>
        <w:t xml:space="preserve"> </w:t>
      </w:r>
      <w:r w:rsidRPr="008763BF">
        <w:rPr>
          <w:rFonts w:ascii="Times New Roman" w:eastAsia="Times New Roman" w:hAnsi="Times New Roman" w:cs="Times New Roman"/>
          <w:sz w:val="26"/>
          <w:szCs w:val="24"/>
        </w:rPr>
        <w:t xml:space="preserve">The NERC Compliance Registry, as of March 15, 2024, identifies approximately 1,610 unique U.S. entities that are subject to mandatory compliance with CIP Reliability Standards.  Of this total, we estimate that 730 entities will face an increased paperwork burden under proposed Reliability Standard CIP-012-2.  Based on these assumptions, we estimate the following reporting burdens: </w:t>
      </w:r>
    </w:p>
    <w:tbl>
      <w:tblPr>
        <w:tblW w:w="9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710"/>
        <w:gridCol w:w="990"/>
        <w:gridCol w:w="1350"/>
        <w:gridCol w:w="1506"/>
        <w:gridCol w:w="2009"/>
      </w:tblGrid>
      <w:tr w14:paraId="10D27F8D" w14:textId="77777777" w:rsidTr="003F0B1A">
        <w:tblPrEx>
          <w:tblW w:w="963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41"/>
          <w:tblHeader/>
          <w:jc w:val="right"/>
        </w:trPr>
        <w:tc>
          <w:tcPr>
            <w:tcW w:w="9630" w:type="dxa"/>
            <w:gridSpan w:val="6"/>
            <w:tcBorders>
              <w:bottom w:val="single" w:sz="4" w:space="0" w:color="auto"/>
            </w:tcBorders>
            <w:shd w:val="clear" w:color="auto" w:fill="D9D9D9"/>
          </w:tcPr>
          <w:p w:rsidR="008763BF" w:rsidRPr="008763BF" w:rsidP="008763BF" w14:paraId="008531C2" w14:textId="77777777">
            <w:pPr>
              <w:spacing w:after="0" w:line="480" w:lineRule="auto"/>
              <w:ind w:left="270"/>
              <w:jc w:val="center"/>
              <w:rPr>
                <w:rFonts w:ascii="Times New Roman" w:eastAsia="Times New Roman" w:hAnsi="Times New Roman" w:cs="Times New Roman"/>
                <w:b/>
                <w:sz w:val="26"/>
                <w:szCs w:val="26"/>
              </w:rPr>
            </w:pPr>
            <w:r w:rsidRPr="008763BF">
              <w:rPr>
                <w:rFonts w:ascii="Times New Roman" w:eastAsia="Times New Roman" w:hAnsi="Times New Roman" w:cs="Times New Roman"/>
                <w:b/>
                <w:sz w:val="26"/>
                <w:szCs w:val="26"/>
              </w:rPr>
              <w:t>FERC-725B, Modifications in Docket No. RD24-3-000</w:t>
            </w:r>
          </w:p>
        </w:tc>
      </w:tr>
      <w:tr w14:paraId="4F95DD81" w14:textId="77777777" w:rsidTr="003F0B1A">
        <w:tblPrEx>
          <w:tblW w:w="9630" w:type="dxa"/>
          <w:jc w:val="right"/>
          <w:tblLayout w:type="fixed"/>
          <w:tblLook w:val="01E0"/>
        </w:tblPrEx>
        <w:trPr>
          <w:cantSplit/>
          <w:trHeight w:val="1808"/>
          <w:tblHeader/>
          <w:jc w:val="right"/>
        </w:trPr>
        <w:tc>
          <w:tcPr>
            <w:tcW w:w="2065" w:type="dxa"/>
            <w:shd w:val="clear" w:color="auto" w:fill="D9D9D9"/>
          </w:tcPr>
          <w:p w:rsidR="008763BF" w:rsidRPr="008763BF" w:rsidP="008763BF" w14:paraId="7673EDCE" w14:textId="77777777">
            <w:pPr>
              <w:spacing w:after="3" w:line="261" w:lineRule="auto"/>
              <w:ind w:left="19" w:hanging="10"/>
              <w:jc w:val="center"/>
              <w:rPr>
                <w:rFonts w:ascii="Times New Roman" w:eastAsia="Times New Roman" w:hAnsi="Times New Roman" w:cs="Times New Roman"/>
                <w:b/>
                <w:color w:val="000000"/>
                <w:sz w:val="26"/>
                <w:szCs w:val="26"/>
              </w:rPr>
            </w:pPr>
          </w:p>
        </w:tc>
        <w:tc>
          <w:tcPr>
            <w:tcW w:w="1710" w:type="dxa"/>
            <w:shd w:val="clear" w:color="auto" w:fill="D9D9D9"/>
            <w:vAlign w:val="bottom"/>
          </w:tcPr>
          <w:p w:rsidR="008763BF" w:rsidRPr="008763BF" w:rsidP="008763BF" w14:paraId="5876FC45"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No. of Respondents</w:t>
            </w:r>
          </w:p>
          <w:p w:rsidR="008763BF" w:rsidRPr="008763BF" w:rsidP="008763BF" w14:paraId="67B8D208"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(1)</w:t>
            </w:r>
          </w:p>
        </w:tc>
        <w:tc>
          <w:tcPr>
            <w:tcW w:w="990" w:type="dxa"/>
            <w:shd w:val="clear" w:color="auto" w:fill="D9D9D9"/>
            <w:vAlign w:val="bottom"/>
          </w:tcPr>
          <w:p w:rsidR="008763BF" w:rsidRPr="008763BF" w:rsidP="008763BF" w14:paraId="385E7D7C"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No. of Responses</w:t>
            </w:r>
            <w:r>
              <w:rPr>
                <w:rFonts w:ascii="Times New Roman" w:eastAsia="Times New Roman" w:hAnsi="Times New Roman" w:cs="Times New Roman"/>
                <w:b/>
                <w:color w:val="000000"/>
                <w:sz w:val="26"/>
                <w:szCs w:val="26"/>
                <w:vertAlign w:val="superscript"/>
              </w:rPr>
              <w:footnoteReference w:id="28"/>
            </w:r>
            <w:r w:rsidRPr="008763BF">
              <w:rPr>
                <w:rFonts w:ascii="Times New Roman" w:eastAsia="Times New Roman" w:hAnsi="Times New Roman" w:cs="Times New Roman"/>
                <w:b/>
                <w:color w:val="000000"/>
                <w:sz w:val="26"/>
                <w:szCs w:val="26"/>
              </w:rPr>
              <w:t xml:space="preserve"> per Respondent</w:t>
            </w:r>
          </w:p>
          <w:p w:rsidR="008763BF" w:rsidRPr="008763BF" w:rsidP="008763BF" w14:paraId="1C00CC33"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(2)</w:t>
            </w:r>
          </w:p>
        </w:tc>
        <w:tc>
          <w:tcPr>
            <w:tcW w:w="1350" w:type="dxa"/>
            <w:shd w:val="clear" w:color="auto" w:fill="D9D9D9"/>
            <w:vAlign w:val="bottom"/>
          </w:tcPr>
          <w:p w:rsidR="008763BF" w:rsidRPr="008763BF" w:rsidP="008763BF" w14:paraId="65A6854F"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No. of Responses</w:t>
            </w:r>
          </w:p>
          <w:p w:rsidR="008763BF" w:rsidRPr="008763BF" w:rsidP="008763BF" w14:paraId="40551E29"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(1)X(2)=(3)</w:t>
            </w:r>
          </w:p>
        </w:tc>
        <w:tc>
          <w:tcPr>
            <w:tcW w:w="1506" w:type="dxa"/>
            <w:shd w:val="clear" w:color="auto" w:fill="D9D9D9"/>
            <w:vAlign w:val="bottom"/>
          </w:tcPr>
          <w:p w:rsidR="008763BF" w:rsidRPr="008763BF" w:rsidP="008763BF" w14:paraId="1C72EB68"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Avg. Burden Hrs. &amp; Cost Per Response</w:t>
            </w:r>
            <w:r>
              <w:rPr>
                <w:rFonts w:ascii="Times New Roman" w:eastAsia="Times New Roman" w:hAnsi="Times New Roman" w:cs="Times New Roman"/>
                <w:b/>
                <w:bCs/>
                <w:color w:val="000000"/>
                <w:sz w:val="26"/>
                <w:szCs w:val="26"/>
                <w:vertAlign w:val="superscript"/>
              </w:rPr>
              <w:footnoteReference w:id="29"/>
            </w:r>
          </w:p>
          <w:p w:rsidR="008763BF" w:rsidRPr="008763BF" w:rsidP="008763BF" w14:paraId="7FBDA675" w14:textId="77777777">
            <w:pPr>
              <w:spacing w:after="3" w:line="261" w:lineRule="auto"/>
              <w:ind w:left="19" w:hanging="10"/>
              <w:jc w:val="center"/>
              <w:rPr>
                <w:rFonts w:ascii="Times New Roman" w:eastAsia="Times New Roman" w:hAnsi="Times New Roman" w:cs="Times New Roman"/>
                <w:b/>
                <w:color w:val="000000"/>
                <w:sz w:val="26"/>
                <w:szCs w:val="26"/>
              </w:rPr>
            </w:pPr>
          </w:p>
          <w:p w:rsidR="008763BF" w:rsidRPr="008763BF" w:rsidP="008763BF" w14:paraId="29A7C0C1"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(4)</w:t>
            </w:r>
          </w:p>
        </w:tc>
        <w:tc>
          <w:tcPr>
            <w:tcW w:w="2009" w:type="dxa"/>
            <w:shd w:val="clear" w:color="auto" w:fill="D9D9D9"/>
            <w:vAlign w:val="bottom"/>
          </w:tcPr>
          <w:p w:rsidR="008763BF" w:rsidRPr="008763BF" w:rsidP="008763BF" w14:paraId="239A7578"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Annual Burden Hours &amp; Total Annual Cost</w:t>
            </w:r>
          </w:p>
          <w:p w:rsidR="008763BF" w:rsidRPr="008763BF" w:rsidP="008763BF" w14:paraId="77994FC3" w14:textId="77777777">
            <w:pPr>
              <w:spacing w:after="3" w:line="261" w:lineRule="auto"/>
              <w:ind w:left="19" w:hanging="10"/>
              <w:jc w:val="center"/>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(3)X(4)=5</w:t>
            </w:r>
          </w:p>
        </w:tc>
      </w:tr>
      <w:tr w14:paraId="1D4A5FD2" w14:textId="77777777" w:rsidTr="003F0B1A">
        <w:tblPrEx>
          <w:tblW w:w="9630" w:type="dxa"/>
          <w:jc w:val="right"/>
          <w:tblLayout w:type="fixed"/>
          <w:tblLook w:val="01E0"/>
        </w:tblPrEx>
        <w:trPr>
          <w:cantSplit/>
          <w:trHeight w:val="241"/>
          <w:tblHeader/>
          <w:jc w:val="right"/>
        </w:trPr>
        <w:tc>
          <w:tcPr>
            <w:tcW w:w="2065" w:type="dxa"/>
          </w:tcPr>
          <w:p w:rsidR="008763BF" w:rsidRPr="008763BF" w:rsidP="008763BF" w14:paraId="435F8CD5"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Implementation of Documented Plan(s) (Requirement R1)</w:t>
            </w:r>
            <w:bookmarkStart w:id="4" w:name="_Ref4504685"/>
            <w:r>
              <w:rPr>
                <w:rFonts w:ascii="Times New Roman" w:eastAsia="Times New Roman" w:hAnsi="Times New Roman" w:cs="Times New Roman"/>
                <w:b/>
                <w:color w:val="000000"/>
                <w:sz w:val="26"/>
                <w:szCs w:val="26"/>
                <w:vertAlign w:val="superscript"/>
              </w:rPr>
              <w:footnoteReference w:id="30"/>
            </w:r>
            <w:bookmarkEnd w:id="4"/>
          </w:p>
        </w:tc>
        <w:tc>
          <w:tcPr>
            <w:tcW w:w="1710" w:type="dxa"/>
            <w:vAlign w:val="bottom"/>
          </w:tcPr>
          <w:p w:rsidR="008763BF" w:rsidRPr="008763BF" w:rsidP="008763BF" w14:paraId="43AAA19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0406125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77FB8B4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081BB2B6"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42 hrs.;</w:t>
            </w:r>
          </w:p>
          <w:p w:rsidR="008763BF" w:rsidRPr="008763BF" w:rsidP="008763BF" w14:paraId="29A3AA5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$4,493.16</w:t>
            </w:r>
          </w:p>
        </w:tc>
        <w:tc>
          <w:tcPr>
            <w:tcW w:w="2009" w:type="dxa"/>
            <w:vAlign w:val="bottom"/>
          </w:tcPr>
          <w:p w:rsidR="008763BF" w:rsidRPr="008763BF" w:rsidP="008763BF" w14:paraId="06CA8441"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30,660 hrs.;</w:t>
            </w:r>
          </w:p>
          <w:p w:rsidR="008763BF" w:rsidRPr="008763BF" w:rsidP="008763BF" w14:paraId="22407161"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$3,280,006.80</w:t>
            </w:r>
          </w:p>
        </w:tc>
      </w:tr>
      <w:tr w14:paraId="25E7CCB5" w14:textId="77777777" w:rsidTr="003F0B1A">
        <w:tblPrEx>
          <w:tblW w:w="9630" w:type="dxa"/>
          <w:jc w:val="right"/>
          <w:tblLayout w:type="fixed"/>
          <w:tblLook w:val="01E0"/>
        </w:tblPrEx>
        <w:trPr>
          <w:cantSplit/>
          <w:trHeight w:val="241"/>
          <w:tblHeader/>
          <w:jc w:val="right"/>
        </w:trPr>
        <w:tc>
          <w:tcPr>
            <w:tcW w:w="2065" w:type="dxa"/>
          </w:tcPr>
          <w:p w:rsidR="008763BF" w:rsidRPr="008763BF" w:rsidP="008763BF" w14:paraId="494ABD00"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Identification of methods to mitigate the risk(s) posed </w:t>
            </w:r>
          </w:p>
          <w:p w:rsidR="008763BF" w:rsidRPr="008763BF" w:rsidP="008763BF" w14:paraId="53418E4D"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by unauthorized disclosure and unauthorized modification (Requirement R1.1)</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14FD0FF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4B5B4BF4"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087DB0D4"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58F558A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20 hrs.;</w:t>
            </w:r>
          </w:p>
          <w:p w:rsidR="008763BF" w:rsidRPr="008763BF" w:rsidP="008763BF" w14:paraId="5757F6B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$2,139.60</w:t>
            </w:r>
          </w:p>
        </w:tc>
        <w:tc>
          <w:tcPr>
            <w:tcW w:w="2009" w:type="dxa"/>
            <w:vAlign w:val="bottom"/>
          </w:tcPr>
          <w:p w:rsidR="008763BF" w:rsidRPr="008763BF" w:rsidP="008763BF" w14:paraId="64A156D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14,600 hrs.;</w:t>
            </w:r>
          </w:p>
          <w:p w:rsidR="008763BF" w:rsidRPr="008763BF" w:rsidP="008763BF" w14:paraId="1C8E9B4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$1,561,908</w:t>
            </w:r>
          </w:p>
        </w:tc>
      </w:tr>
      <w:tr w14:paraId="1306585B"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48A51465"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Document Identification of methods to mitigate the risk(s) posed</w:t>
            </w:r>
          </w:p>
          <w:p w:rsidR="008763BF" w:rsidRPr="008763BF" w:rsidP="008763BF" w14:paraId="000C3BF7"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by loss of the ability to communicate (Requirement R1.2)</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70651AF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71C86453"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2FBDAFAD"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1B094C80"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60 hrs.; $6,418.80</w:t>
            </w:r>
          </w:p>
        </w:tc>
        <w:tc>
          <w:tcPr>
            <w:tcW w:w="2009" w:type="dxa"/>
            <w:vAlign w:val="bottom"/>
          </w:tcPr>
          <w:p w:rsidR="008763BF" w:rsidRPr="008763BF" w:rsidP="008763BF" w14:paraId="4EC89D5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43,800 hrs.;</w:t>
            </w:r>
          </w:p>
          <w:p w:rsidR="008763BF" w:rsidRPr="008763BF" w:rsidP="008763BF" w14:paraId="014A1B4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$4,685,724</w:t>
            </w:r>
          </w:p>
        </w:tc>
      </w:tr>
      <w:tr w14:paraId="099FD40D"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75784671"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Identification of methods to use to </w:t>
            </w:r>
            <w:r w:rsidRPr="008763BF">
              <w:rPr>
                <w:rFonts w:ascii="Times New Roman" w:eastAsia="Times New Roman" w:hAnsi="Times New Roman" w:cs="Times New Roman"/>
                <w:color w:val="000000"/>
                <w:sz w:val="26"/>
              </w:rPr>
              <w:t>initiate the recovery of communication links</w:t>
            </w:r>
            <w:r w:rsidRPr="008763BF">
              <w:rPr>
                <w:rFonts w:ascii="Times New Roman" w:eastAsia="Times New Roman" w:hAnsi="Times New Roman" w:cs="Times New Roman"/>
                <w:color w:val="000000"/>
                <w:sz w:val="26"/>
                <w:szCs w:val="26"/>
              </w:rPr>
              <w:t xml:space="preserve"> (Requirement R1.3)</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223348EA"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2480EB70"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00D4E489"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024FFBC5"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100 hrs.;</w:t>
            </w:r>
          </w:p>
          <w:p w:rsidR="008763BF" w:rsidRPr="008763BF" w:rsidP="008763BF" w14:paraId="517A572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$10,698</w:t>
            </w:r>
          </w:p>
        </w:tc>
        <w:tc>
          <w:tcPr>
            <w:tcW w:w="2009" w:type="dxa"/>
            <w:vAlign w:val="bottom"/>
          </w:tcPr>
          <w:p w:rsidR="008763BF" w:rsidRPr="008763BF" w:rsidP="008763BF" w14:paraId="5D6F8844"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73,000 hrs.;</w:t>
            </w:r>
          </w:p>
          <w:p w:rsidR="008763BF" w:rsidRPr="008763BF" w:rsidP="008763BF" w14:paraId="1ACB704C"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$7,809,540</w:t>
            </w:r>
          </w:p>
        </w:tc>
      </w:tr>
      <w:tr w14:paraId="1BDF9C73"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5396B24A"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Identification of </w:t>
            </w:r>
            <w:r w:rsidRPr="008763BF">
              <w:rPr>
                <w:rFonts w:ascii="Times New Roman" w:eastAsia="Times New Roman" w:hAnsi="Times New Roman" w:cs="Times New Roman"/>
                <w:color w:val="000000"/>
                <w:sz w:val="26"/>
              </w:rPr>
              <w:t>where the implemented method(s) as required in Parts 1.1 and 1.2</w:t>
            </w:r>
            <w:r w:rsidRPr="008763BF">
              <w:rPr>
                <w:rFonts w:ascii="Times New Roman" w:eastAsia="Times New Roman" w:hAnsi="Times New Roman" w:cs="Times New Roman"/>
                <w:color w:val="000000"/>
                <w:sz w:val="26"/>
                <w:szCs w:val="26"/>
              </w:rPr>
              <w:t xml:space="preserve"> (Requirement R1.4)</w:t>
            </w:r>
            <w:r w:rsidRPr="008763BF">
              <w:rPr>
                <w:rFonts w:ascii="Times New Roman" w:eastAsia="Times New Roman" w:hAnsi="Times New Roman" w:cs="Times New Roman"/>
                <w:b/>
                <w:color w:val="000000"/>
                <w:sz w:val="26"/>
                <w:szCs w:val="26"/>
                <w:vertAlign w:val="superscript"/>
              </w:rPr>
              <w:t>12</w:t>
            </w:r>
          </w:p>
        </w:tc>
        <w:tc>
          <w:tcPr>
            <w:tcW w:w="1710" w:type="dxa"/>
            <w:vAlign w:val="bottom"/>
          </w:tcPr>
          <w:p w:rsidR="008763BF" w:rsidRPr="008763BF" w:rsidP="008763BF" w14:paraId="5742AA3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3389821C"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3D513C7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708AA32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50 hrs.;</w:t>
            </w:r>
          </w:p>
          <w:p w:rsidR="008763BF" w:rsidRPr="008763BF" w:rsidP="008763BF" w14:paraId="11A3341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$5,349</w:t>
            </w:r>
          </w:p>
        </w:tc>
        <w:tc>
          <w:tcPr>
            <w:tcW w:w="2009" w:type="dxa"/>
            <w:vAlign w:val="bottom"/>
          </w:tcPr>
          <w:p w:rsidR="008763BF" w:rsidRPr="008763BF" w:rsidP="008763BF" w14:paraId="3D13280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36,500 hrs.;</w:t>
            </w:r>
          </w:p>
          <w:p w:rsidR="008763BF" w:rsidRPr="008763BF" w:rsidP="008763BF" w14:paraId="22F4940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$3,904,770</w:t>
            </w:r>
          </w:p>
        </w:tc>
      </w:tr>
      <w:tr w14:paraId="7296E641"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6C819B53"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 xml:space="preserve">Document </w:t>
            </w:r>
            <w:r w:rsidRPr="008763BF">
              <w:rPr>
                <w:rFonts w:ascii="Times New Roman" w:eastAsia="Times New Roman" w:hAnsi="Times New Roman" w:cs="Times New Roman"/>
                <w:color w:val="000000"/>
                <w:sz w:val="26"/>
              </w:rPr>
              <w:t>identification of the responsibilities of each Responsible Entity</w:t>
            </w:r>
            <w:r w:rsidRPr="008763BF">
              <w:rPr>
                <w:rFonts w:ascii="Times New Roman" w:eastAsia="Times New Roman" w:hAnsi="Times New Roman" w:cs="Times New Roman"/>
                <w:color w:val="000000"/>
                <w:sz w:val="26"/>
                <w:szCs w:val="26"/>
              </w:rPr>
              <w:t xml:space="preserve"> (if </w:t>
            </w:r>
            <w:r w:rsidRPr="008763BF">
              <w:rPr>
                <w:rFonts w:ascii="Times New Roman" w:eastAsia="Times New Roman" w:hAnsi="Times New Roman" w:cs="Times New Roman"/>
                <w:color w:val="000000"/>
                <w:sz w:val="26"/>
                <w:szCs w:val="26"/>
                <w:u w:val="single"/>
              </w:rPr>
              <w:t>not</w:t>
            </w:r>
            <w:r w:rsidRPr="008763BF">
              <w:rPr>
                <w:rFonts w:ascii="Times New Roman" w:eastAsia="Times New Roman" w:hAnsi="Times New Roman" w:cs="Times New Roman"/>
                <w:color w:val="000000"/>
                <w:sz w:val="26"/>
                <w:szCs w:val="26"/>
              </w:rPr>
              <w:t xml:space="preserve"> owned by same Responsible Entity) </w:t>
            </w:r>
            <w:r w:rsidRPr="008763BF">
              <w:rPr>
                <w:rFonts w:ascii="Times New Roman" w:eastAsia="Times New Roman" w:hAnsi="Times New Roman" w:cs="Times New Roman"/>
                <w:color w:val="000000"/>
                <w:sz w:val="26"/>
              </w:rPr>
              <w:t>required in Parts 1.1, 1.2 and 1.3</w:t>
            </w:r>
            <w:r w:rsidRPr="008763BF">
              <w:rPr>
                <w:rFonts w:ascii="Times New Roman" w:eastAsia="Times New Roman" w:hAnsi="Times New Roman" w:cs="Times New Roman"/>
                <w:color w:val="000000"/>
                <w:sz w:val="26"/>
                <w:szCs w:val="26"/>
              </w:rPr>
              <w:t xml:space="preserve"> (Requirement R1.5)</w:t>
            </w:r>
            <w:r w:rsidRPr="008763BF">
              <w:rPr>
                <w:rFonts w:ascii="Times New Roman" w:eastAsia="Times New Roman" w:hAnsi="Times New Roman" w:cs="Times New Roman"/>
                <w:b/>
                <w:color w:val="000000"/>
                <w:sz w:val="26"/>
                <w:szCs w:val="26"/>
                <w:vertAlign w:val="superscript"/>
              </w:rPr>
              <w:t>14</w:t>
            </w:r>
          </w:p>
        </w:tc>
        <w:tc>
          <w:tcPr>
            <w:tcW w:w="1710" w:type="dxa"/>
            <w:vAlign w:val="bottom"/>
          </w:tcPr>
          <w:p w:rsidR="008763BF" w:rsidRPr="008763BF" w:rsidP="008763BF" w14:paraId="4330BE2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3FFBD9E0"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3BE23BF2"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71227705"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50 hrs.;</w:t>
            </w:r>
          </w:p>
          <w:p w:rsidR="008763BF" w:rsidRPr="008763BF" w:rsidP="008763BF" w14:paraId="523CFF4A"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$5,349</w:t>
            </w:r>
          </w:p>
        </w:tc>
        <w:tc>
          <w:tcPr>
            <w:tcW w:w="2009" w:type="dxa"/>
            <w:vAlign w:val="bottom"/>
          </w:tcPr>
          <w:p w:rsidR="008763BF" w:rsidRPr="008763BF" w:rsidP="008763BF" w14:paraId="091A991F"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36,500 hrs.;</w:t>
            </w:r>
          </w:p>
          <w:p w:rsidR="008763BF" w:rsidRPr="008763BF" w:rsidP="008763BF" w14:paraId="5C70E891"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$3,904,770</w:t>
            </w:r>
          </w:p>
        </w:tc>
      </w:tr>
      <w:tr w14:paraId="2B0036EF"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220C34D1" w14:textId="77777777">
            <w:pPr>
              <w:spacing w:after="3" w:line="261" w:lineRule="auto"/>
              <w:ind w:left="19" w:hanging="10"/>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Maintaining Compliance (ongoing, starting in Year 2)</w:t>
            </w:r>
          </w:p>
        </w:tc>
        <w:tc>
          <w:tcPr>
            <w:tcW w:w="1710" w:type="dxa"/>
            <w:vAlign w:val="bottom"/>
          </w:tcPr>
          <w:p w:rsidR="008763BF" w:rsidRPr="008763BF" w:rsidP="008763BF" w14:paraId="4952EA4D"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990" w:type="dxa"/>
            <w:vAlign w:val="bottom"/>
          </w:tcPr>
          <w:p w:rsidR="008763BF" w:rsidRPr="008763BF" w:rsidP="008763BF" w14:paraId="0CF3648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w:t>
            </w:r>
          </w:p>
        </w:tc>
        <w:tc>
          <w:tcPr>
            <w:tcW w:w="1350" w:type="dxa"/>
            <w:vAlign w:val="bottom"/>
          </w:tcPr>
          <w:p w:rsidR="008763BF" w:rsidRPr="008763BF" w:rsidP="008763BF" w14:paraId="7064D06E"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vAlign w:val="bottom"/>
          </w:tcPr>
          <w:p w:rsidR="008763BF" w:rsidRPr="008763BF" w:rsidP="008763BF" w14:paraId="669D050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 hr.;</w:t>
            </w:r>
          </w:p>
          <w:p w:rsidR="008763BF" w:rsidRPr="008763BF" w:rsidP="008763BF" w14:paraId="30D7653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$106.98</w:t>
            </w:r>
          </w:p>
        </w:tc>
        <w:tc>
          <w:tcPr>
            <w:tcW w:w="2009" w:type="dxa"/>
            <w:vAlign w:val="bottom"/>
          </w:tcPr>
          <w:p w:rsidR="008763BF" w:rsidRPr="008763BF" w:rsidP="008763BF" w14:paraId="5252D03D"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 hrs.;</w:t>
            </w:r>
          </w:p>
          <w:p w:rsidR="008763BF" w:rsidRPr="008763BF" w:rsidP="008763BF" w14:paraId="4E0B852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$78,095.40</w:t>
            </w:r>
          </w:p>
        </w:tc>
      </w:tr>
      <w:tr w14:paraId="664D2647"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42483BC7" w14:textId="77777777">
            <w:pPr>
              <w:spacing w:after="3" w:line="261" w:lineRule="auto"/>
              <w:ind w:left="19" w:hanging="10"/>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(one-time, in Year 1)</w:t>
            </w:r>
          </w:p>
        </w:tc>
        <w:tc>
          <w:tcPr>
            <w:tcW w:w="2700" w:type="dxa"/>
            <w:gridSpan w:val="2"/>
            <w:shd w:val="clear" w:color="auto" w:fill="BFBFBF"/>
            <w:vAlign w:val="bottom"/>
          </w:tcPr>
          <w:p w:rsidR="008763BF" w:rsidRPr="008763BF" w:rsidP="008763BF" w14:paraId="682A09AC" w14:textId="77777777">
            <w:pPr>
              <w:spacing w:after="3" w:line="261" w:lineRule="auto"/>
              <w:ind w:left="19" w:hanging="10"/>
              <w:jc w:val="right"/>
              <w:rPr>
                <w:rFonts w:ascii="Times New Roman" w:eastAsia="Times New Roman" w:hAnsi="Times New Roman" w:cs="Times New Roman"/>
                <w:color w:val="000000"/>
                <w:sz w:val="26"/>
                <w:szCs w:val="26"/>
              </w:rPr>
            </w:pPr>
          </w:p>
        </w:tc>
        <w:tc>
          <w:tcPr>
            <w:tcW w:w="1350" w:type="dxa"/>
            <w:vAlign w:val="bottom"/>
          </w:tcPr>
          <w:p w:rsidR="008763BF" w:rsidRPr="008763BF" w:rsidP="008763BF" w14:paraId="2FC1F728"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4,380</w:t>
            </w:r>
          </w:p>
        </w:tc>
        <w:tc>
          <w:tcPr>
            <w:tcW w:w="1506" w:type="dxa"/>
            <w:shd w:val="clear" w:color="auto" w:fill="BFBFBF"/>
            <w:vAlign w:val="bottom"/>
          </w:tcPr>
          <w:p w:rsidR="008763BF" w:rsidRPr="008763BF" w:rsidP="008763BF" w14:paraId="3F33940C" w14:textId="77777777">
            <w:pPr>
              <w:spacing w:after="3" w:line="261" w:lineRule="auto"/>
              <w:ind w:left="19" w:hanging="10"/>
              <w:jc w:val="right"/>
              <w:rPr>
                <w:rFonts w:ascii="Times New Roman" w:eastAsia="Times New Roman" w:hAnsi="Times New Roman" w:cs="Times New Roman"/>
                <w:color w:val="000000"/>
                <w:sz w:val="26"/>
                <w:szCs w:val="26"/>
              </w:rPr>
            </w:pPr>
          </w:p>
        </w:tc>
        <w:tc>
          <w:tcPr>
            <w:tcW w:w="2009" w:type="dxa"/>
            <w:vAlign w:val="bottom"/>
          </w:tcPr>
          <w:p w:rsidR="008763BF" w:rsidRPr="008763BF" w:rsidP="008763BF" w14:paraId="38C35405"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235,060 hrs.;</w:t>
            </w:r>
          </w:p>
          <w:p w:rsidR="008763BF" w:rsidRPr="008763BF" w:rsidP="008763BF" w14:paraId="387B1E7B"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$25,146,718.80</w:t>
            </w:r>
          </w:p>
        </w:tc>
      </w:tr>
      <w:tr w14:paraId="07E40ADC" w14:textId="77777777" w:rsidTr="003F0B1A">
        <w:tblPrEx>
          <w:tblW w:w="9630" w:type="dxa"/>
          <w:jc w:val="right"/>
          <w:tblLayout w:type="fixed"/>
          <w:tblLook w:val="01E0"/>
        </w:tblPrEx>
        <w:trPr>
          <w:cantSplit/>
          <w:trHeight w:val="179"/>
          <w:tblHeader/>
          <w:jc w:val="right"/>
        </w:trPr>
        <w:tc>
          <w:tcPr>
            <w:tcW w:w="2065" w:type="dxa"/>
          </w:tcPr>
          <w:p w:rsidR="008763BF" w:rsidRPr="008763BF" w:rsidP="008763BF" w14:paraId="38C26A94" w14:textId="77777777">
            <w:pPr>
              <w:spacing w:after="3" w:line="261" w:lineRule="auto"/>
              <w:ind w:left="19" w:hanging="10"/>
              <w:rPr>
                <w:rFonts w:ascii="Times New Roman" w:eastAsia="Times New Roman" w:hAnsi="Times New Roman" w:cs="Times New Roman"/>
                <w:b/>
                <w:color w:val="000000"/>
                <w:sz w:val="26"/>
                <w:szCs w:val="26"/>
              </w:rPr>
            </w:pPr>
            <w:r w:rsidRPr="008763BF">
              <w:rPr>
                <w:rFonts w:ascii="Times New Roman" w:eastAsia="Times New Roman" w:hAnsi="Times New Roman" w:cs="Times New Roman"/>
                <w:b/>
                <w:color w:val="000000"/>
                <w:sz w:val="26"/>
                <w:szCs w:val="26"/>
              </w:rPr>
              <w:t>Total (ongoing, starting in Year 2)</w:t>
            </w:r>
          </w:p>
        </w:tc>
        <w:tc>
          <w:tcPr>
            <w:tcW w:w="2700" w:type="dxa"/>
            <w:gridSpan w:val="2"/>
            <w:shd w:val="clear" w:color="auto" w:fill="BFBFBF"/>
            <w:vAlign w:val="bottom"/>
          </w:tcPr>
          <w:p w:rsidR="008763BF" w:rsidRPr="008763BF" w:rsidP="008763BF" w14:paraId="157F821D" w14:textId="77777777">
            <w:pPr>
              <w:spacing w:after="3" w:line="261" w:lineRule="auto"/>
              <w:ind w:left="19" w:hanging="10"/>
              <w:jc w:val="right"/>
              <w:rPr>
                <w:rFonts w:ascii="Times New Roman" w:eastAsia="Times New Roman" w:hAnsi="Times New Roman" w:cs="Times New Roman"/>
                <w:color w:val="000000"/>
                <w:sz w:val="26"/>
                <w:szCs w:val="26"/>
              </w:rPr>
            </w:pPr>
          </w:p>
        </w:tc>
        <w:tc>
          <w:tcPr>
            <w:tcW w:w="1350" w:type="dxa"/>
            <w:vAlign w:val="bottom"/>
          </w:tcPr>
          <w:p w:rsidR="008763BF" w:rsidRPr="008763BF" w:rsidP="008763BF" w14:paraId="57AF5DE9"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w:t>
            </w:r>
          </w:p>
        </w:tc>
        <w:tc>
          <w:tcPr>
            <w:tcW w:w="1506" w:type="dxa"/>
            <w:shd w:val="clear" w:color="auto" w:fill="BFBFBF"/>
            <w:vAlign w:val="bottom"/>
          </w:tcPr>
          <w:p w:rsidR="008763BF" w:rsidRPr="008763BF" w:rsidP="008763BF" w14:paraId="7DB2A981" w14:textId="77777777">
            <w:pPr>
              <w:spacing w:after="3" w:line="261" w:lineRule="auto"/>
              <w:ind w:left="19" w:hanging="10"/>
              <w:jc w:val="right"/>
              <w:rPr>
                <w:rFonts w:ascii="Times New Roman" w:eastAsia="Times New Roman" w:hAnsi="Times New Roman" w:cs="Times New Roman"/>
                <w:color w:val="000000"/>
                <w:sz w:val="26"/>
                <w:szCs w:val="26"/>
              </w:rPr>
            </w:pPr>
          </w:p>
        </w:tc>
        <w:tc>
          <w:tcPr>
            <w:tcW w:w="2009" w:type="dxa"/>
            <w:vAlign w:val="bottom"/>
          </w:tcPr>
          <w:p w:rsidR="008763BF" w:rsidRPr="008763BF" w:rsidP="008763BF" w14:paraId="4A1DAF5A"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730 hrs.;</w:t>
            </w:r>
          </w:p>
          <w:p w:rsidR="008763BF" w:rsidRPr="008763BF" w:rsidP="008763BF" w14:paraId="6FDCE257" w14:textId="77777777">
            <w:pPr>
              <w:spacing w:after="3" w:line="261" w:lineRule="auto"/>
              <w:ind w:left="19" w:hanging="10"/>
              <w:jc w:val="right"/>
              <w:rPr>
                <w:rFonts w:ascii="Times New Roman" w:eastAsia="Times New Roman" w:hAnsi="Times New Roman" w:cs="Times New Roman"/>
                <w:color w:val="000000"/>
                <w:sz w:val="26"/>
                <w:szCs w:val="26"/>
              </w:rPr>
            </w:pPr>
            <w:r w:rsidRPr="008763BF">
              <w:rPr>
                <w:rFonts w:ascii="Times New Roman" w:eastAsia="Times New Roman" w:hAnsi="Times New Roman" w:cs="Times New Roman"/>
                <w:color w:val="000000"/>
                <w:sz w:val="26"/>
                <w:szCs w:val="26"/>
              </w:rPr>
              <w:t>$78,095.40</w:t>
            </w:r>
          </w:p>
        </w:tc>
      </w:tr>
    </w:tbl>
    <w:p w:rsidR="008763BF" w:rsidRPr="008763BF" w:rsidP="008763BF" w14:paraId="52815916" w14:textId="77777777">
      <w:pPr>
        <w:spacing w:after="0" w:line="480" w:lineRule="auto"/>
        <w:rPr>
          <w:rFonts w:ascii="Times New Roman" w:eastAsia="Times New Roman" w:hAnsi="Times New Roman" w:cs="Times New Roman"/>
          <w:sz w:val="26"/>
          <w:szCs w:val="24"/>
        </w:rPr>
      </w:pPr>
    </w:p>
    <w:p w:rsidR="008763BF" w:rsidRPr="008763BF" w:rsidP="008763BF" w14:paraId="47437F8D" w14:textId="77777777">
      <w:pPr>
        <w:tabs>
          <w:tab w:val="num" w:pos="990"/>
        </w:tabs>
        <w:spacing w:after="0" w:line="480" w:lineRule="auto"/>
        <w:rPr>
          <w:rFonts w:ascii="Times New Roman" w:eastAsia="Times New Roman" w:hAnsi="Times New Roman" w:cs="Times New Roman"/>
          <w:sz w:val="26"/>
          <w:szCs w:val="24"/>
        </w:rPr>
      </w:pPr>
      <w:r w:rsidRPr="008763BF">
        <w:rPr>
          <w:rFonts w:ascii="Times New Roman" w:eastAsia="Calibri" w:hAnsi="Times New Roman" w:cs="Times New Roman"/>
          <w:sz w:val="26"/>
          <w:szCs w:val="24"/>
        </w:rPr>
        <w:t>The one-time burden (in Year 1) for the FERC-725B information collection will be averaged over three years:</w:t>
      </w:r>
      <w:r w:rsidRPr="008763BF">
        <w:rPr>
          <w:rFonts w:ascii="Times New Roman" w:eastAsia="Times New Roman" w:hAnsi="Times New Roman" w:cs="Times New Roman"/>
          <w:sz w:val="26"/>
          <w:szCs w:val="24"/>
        </w:rPr>
        <w:t xml:space="preserve"> </w:t>
      </w:r>
    </w:p>
    <w:p w:rsidR="008763BF" w:rsidRPr="008763BF" w:rsidP="008763BF" w14:paraId="038126E8" w14:textId="77777777">
      <w:pPr>
        <w:numPr>
          <w:ilvl w:val="0"/>
          <w:numId w:val="24"/>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235,060 hours ÷ 3 = 78,353 (rounded) hours/year over Years 1-3</w:t>
      </w:r>
    </w:p>
    <w:p w:rsidR="008763BF" w:rsidRPr="008763BF" w:rsidP="008763BF" w14:paraId="0CBE4E3A" w14:textId="77777777">
      <w:pPr>
        <w:numPr>
          <w:ilvl w:val="0"/>
          <w:numId w:val="24"/>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The number of one-time responses for the FERC-725B information collection is also averaged over Years 1-3: 4,380 responses ÷ 3 = 1,460 responses/year</w:t>
      </w:r>
    </w:p>
    <w:p w:rsidR="008763BF" w:rsidRPr="008763BF" w:rsidP="008763BF" w14:paraId="7BCBC688" w14:textId="77777777">
      <w:pPr>
        <w:spacing w:after="0" w:line="480" w:lineRule="auto"/>
        <w:rPr>
          <w:rFonts w:ascii="Times New Roman" w:eastAsia="Times New Roman" w:hAnsi="Times New Roman" w:cs="Times New Roman"/>
          <w:sz w:val="26"/>
          <w:szCs w:val="24"/>
        </w:rPr>
      </w:pPr>
      <w:bookmarkStart w:id="5" w:name="_Hlk175870011"/>
      <w:r w:rsidRPr="008763BF">
        <w:rPr>
          <w:rFonts w:ascii="Times New Roman" w:eastAsia="Calibri" w:hAnsi="Times New Roman" w:cs="Times New Roman"/>
          <w:sz w:val="26"/>
          <w:szCs w:val="24"/>
        </w:rPr>
        <w:t>The average annual number (for Years 1-3) of responses and burden for one-time and ongoing burden will total:</w:t>
      </w:r>
      <w:r w:rsidRPr="008763BF">
        <w:rPr>
          <w:rFonts w:ascii="Times New Roman" w:eastAsia="Times New Roman" w:hAnsi="Times New Roman" w:cs="Times New Roman"/>
          <w:sz w:val="26"/>
          <w:szCs w:val="24"/>
        </w:rPr>
        <w:t xml:space="preserve"> </w:t>
      </w:r>
    </w:p>
    <w:p w:rsidR="008763BF" w:rsidRPr="008763BF" w:rsidP="008763BF" w14:paraId="538C49D7" w14:textId="77777777">
      <w:pPr>
        <w:numPr>
          <w:ilvl w:val="0"/>
          <w:numId w:val="25"/>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2,190 responses [1,460 responses (one-time) + 730 responses (ongoing)]</w:t>
      </w:r>
    </w:p>
    <w:p w:rsidR="00FC11BA" w:rsidRPr="008763BF" w:rsidP="008763BF" w14:paraId="5B1DAB2C" w14:textId="0F18D0CA">
      <w:pPr>
        <w:numPr>
          <w:ilvl w:val="0"/>
          <w:numId w:val="25"/>
        </w:numPr>
        <w:spacing w:after="0" w:line="480" w:lineRule="auto"/>
        <w:rPr>
          <w:rFonts w:ascii="Times New Roman" w:eastAsia="Calibri" w:hAnsi="Times New Roman" w:cs="Times New Roman"/>
          <w:sz w:val="26"/>
          <w:szCs w:val="24"/>
        </w:rPr>
      </w:pPr>
      <w:r w:rsidRPr="008763BF">
        <w:rPr>
          <w:rFonts w:ascii="Times New Roman" w:eastAsia="Calibri" w:hAnsi="Times New Roman" w:cs="Times New Roman"/>
          <w:sz w:val="26"/>
          <w:szCs w:val="24"/>
        </w:rPr>
        <w:t xml:space="preserve">79,083 burden hours [78,353 hours (one-time) + 730 hours (ongoing)] </w:t>
      </w:r>
    </w:p>
    <w:bookmarkEnd w:id="5"/>
    <w:p w:rsidR="00C4205B" w:rsidRPr="00595846" w:rsidP="005E2448"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5900A782" w14:textId="77777777">
      <w:pPr>
        <w:spacing w:after="0" w:line="240" w:lineRule="auto"/>
        <w:rPr>
          <w:rFonts w:ascii="Times New Roman" w:hAnsi="Times New Roman" w:cs="Times New Roman"/>
          <w:sz w:val="26"/>
          <w:szCs w:val="24"/>
        </w:rPr>
      </w:pPr>
    </w:p>
    <w:p w:rsidR="002359F6" w:rsidRPr="00595846" w:rsidP="002A4142" w14:paraId="0926F9C6"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3748E8B6" w14:textId="77777777">
      <w:pPr>
        <w:spacing w:after="0" w:line="240" w:lineRule="auto"/>
        <w:rPr>
          <w:rFonts w:ascii="Times New Roman" w:hAnsi="Times New Roman" w:cs="Times New Roman"/>
          <w:sz w:val="26"/>
          <w:szCs w:val="24"/>
        </w:rPr>
      </w:pPr>
    </w:p>
    <w:p w:rsidR="002359F6" w:rsidRPr="00595846" w:rsidP="002A4142" w14:paraId="03146869"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40F632E6"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00B8895" w14:textId="77777777">
      <w:pPr>
        <w:spacing w:after="0" w:line="240" w:lineRule="auto"/>
        <w:rPr>
          <w:rFonts w:ascii="Times New Roman" w:hAnsi="Times New Roman" w:cs="Times New Roman"/>
          <w:sz w:val="26"/>
          <w:szCs w:val="24"/>
        </w:rPr>
      </w:pPr>
    </w:p>
    <w:p w:rsidR="002359F6" w:rsidRPr="00595846" w:rsidP="002A4142" w14:paraId="1583A39C" w14:textId="01F829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7628453A" w14:textId="77777777">
      <w:pPr>
        <w:spacing w:after="0" w:line="240" w:lineRule="auto"/>
        <w:rPr>
          <w:rFonts w:ascii="Times New Roman" w:hAnsi="Times New Roman" w:cs="Times New Roman"/>
          <w:sz w:val="26"/>
          <w:szCs w:val="24"/>
        </w:rPr>
      </w:pPr>
    </w:p>
    <w:p w:rsidR="00C4205B" w:rsidRPr="00595846" w:rsidP="007C39D3"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832560C" w14:textId="77777777">
      <w:pPr>
        <w:spacing w:after="0" w:line="240" w:lineRule="auto"/>
        <w:rPr>
          <w:rFonts w:ascii="Times New Roman" w:hAnsi="Times New Roman" w:cs="Times New Roman"/>
          <w:sz w:val="26"/>
          <w:szCs w:val="24"/>
        </w:rPr>
      </w:pPr>
    </w:p>
    <w:p w:rsidR="009C7756" w:rsidRPr="00595846" w:rsidP="0007783F" w14:paraId="768F178F" w14:textId="26314A6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Paperwork Reduction Act (PRA).  The estimated processing cost total $</w:t>
      </w:r>
      <w:r w:rsidR="00682507">
        <w:rPr>
          <w:rFonts w:ascii="Times New Roman" w:hAnsi="Times New Roman" w:cs="Times New Roman"/>
          <w:sz w:val="26"/>
          <w:szCs w:val="24"/>
        </w:rPr>
        <w:t>207,787</w:t>
      </w:r>
      <w:r w:rsidRPr="00595846">
        <w:rPr>
          <w:rFonts w:ascii="Times New Roman" w:hAnsi="Times New Roman" w:cs="Times New Roman"/>
          <w:sz w:val="26"/>
          <w:szCs w:val="24"/>
        </w:rPr>
        <w:t xml:space="preserve"> annually.  The Commission estimates receiving 20 informational filings 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75C9B416" w14:textId="77777777">
      <w:pPr>
        <w:spacing w:after="0" w:line="240" w:lineRule="auto"/>
        <w:rPr>
          <w:rFonts w:ascii="Times New Roman" w:hAnsi="Times New Roman" w:cs="Times New Roman"/>
          <w:sz w:val="26"/>
          <w:szCs w:val="24"/>
        </w:rPr>
      </w:pPr>
    </w:p>
    <w:p w:rsidR="009C7756" w:rsidRPr="00595846" w:rsidP="0007783F" w14:paraId="7A1569C0" w14:textId="3F083510">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w:t>
      </w:r>
      <w:r w:rsidRPr="00595846" w:rsidR="00501F6B">
        <w:rPr>
          <w:rFonts w:ascii="Times New Roman" w:hAnsi="Times New Roman" w:cs="Times New Roman"/>
          <w:sz w:val="26"/>
          <w:szCs w:val="24"/>
        </w:rPr>
        <w:t xml:space="preserve">estimated </w:t>
      </w:r>
      <w:r w:rsidRPr="00595846">
        <w:rPr>
          <w:rFonts w:ascii="Times New Roman" w:hAnsi="Times New Roman" w:cs="Times New Roman"/>
          <w:sz w:val="26"/>
          <w:szCs w:val="24"/>
        </w:rPr>
        <w:t xml:space="preserve">PRA Administrative Cost </w:t>
      </w:r>
      <w:r w:rsidRPr="00595846" w:rsidR="00501F6B">
        <w:rPr>
          <w:rFonts w:ascii="Times New Roman" w:hAnsi="Times New Roman" w:cs="Times New Roman"/>
          <w:sz w:val="26"/>
          <w:szCs w:val="24"/>
        </w:rPr>
        <w:t>of $</w:t>
      </w:r>
      <w:r w:rsidR="00682507">
        <w:rPr>
          <w:rFonts w:ascii="Times New Roman" w:hAnsi="Times New Roman" w:cs="Times New Roman"/>
          <w:sz w:val="26"/>
          <w:szCs w:val="24"/>
        </w:rPr>
        <w:t>8,396</w:t>
      </w:r>
      <w:r w:rsidRPr="00595846" w:rsidR="00501F6B">
        <w:rPr>
          <w:rFonts w:ascii="Times New Roman" w:hAnsi="Times New Roman" w:cs="Times New Roman"/>
          <w:sz w:val="26"/>
          <w:szCs w:val="24"/>
        </w:rPr>
        <w:t xml:space="preserve"> </w:t>
      </w:r>
      <w:r w:rsidRPr="00595846">
        <w:rPr>
          <w:rFonts w:ascii="Times New Roman" w:hAnsi="Times New Roman" w:cs="Times New Roman"/>
          <w:sz w:val="26"/>
          <w:szCs w:val="24"/>
        </w:rPr>
        <w:t xml:space="preserve">is a </w:t>
      </w:r>
      <w:r w:rsidRPr="00595846" w:rsidR="00D25B8F">
        <w:rPr>
          <w:rFonts w:ascii="Times New Roman" w:hAnsi="Times New Roman" w:cs="Times New Roman"/>
          <w:sz w:val="26"/>
          <w:szCs w:val="24"/>
        </w:rPr>
        <w:t>f</w:t>
      </w:r>
      <w:r w:rsidRPr="00595846">
        <w:rPr>
          <w:rFonts w:ascii="Times New Roman" w:hAnsi="Times New Roman" w:cs="Times New Roman"/>
          <w:sz w:val="26"/>
          <w:szCs w:val="24"/>
        </w:rPr>
        <w:t xml:space="preserve">ederal </w:t>
      </w:r>
      <w:r w:rsidRPr="00595846" w:rsidR="00D25B8F">
        <w:rPr>
          <w:rFonts w:ascii="Times New Roman" w:hAnsi="Times New Roman" w:cs="Times New Roman"/>
          <w:sz w:val="26"/>
          <w:szCs w:val="24"/>
        </w:rPr>
        <w:t>c</w:t>
      </w:r>
      <w:r w:rsidRPr="00595846">
        <w:rPr>
          <w:rFonts w:ascii="Times New Roman" w:hAnsi="Times New Roman" w:cs="Times New Roman"/>
          <w:sz w:val="26"/>
          <w:szCs w:val="24"/>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7120040C" w14:textId="521D046D">
      <w:pPr>
        <w:spacing w:after="0" w:line="240" w:lineRule="auto"/>
        <w:rPr>
          <w:rFonts w:ascii="Times New Roman" w:hAnsi="Times New Roman" w:cs="Times New Roman"/>
          <w:sz w:val="26"/>
          <w:szCs w:val="24"/>
        </w:rPr>
      </w:pPr>
    </w:p>
    <w:p w:rsidR="009C7756" w:rsidRPr="00595846" w:rsidP="00501F6B" w14:paraId="3AF1D9EB" w14:textId="1A13230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As shown in the table below, </w:t>
      </w:r>
      <w:r w:rsidRPr="00595846" w:rsidR="00A431A2">
        <w:rPr>
          <w:rFonts w:ascii="Times New Roman" w:hAnsi="Times New Roman" w:cs="Times New Roman"/>
          <w:sz w:val="26"/>
          <w:szCs w:val="24"/>
        </w:rPr>
        <w:t>$</w:t>
      </w:r>
      <w:r w:rsidRPr="00595846" w:rsidR="00D25B8F">
        <w:rPr>
          <w:rFonts w:ascii="Times New Roman" w:hAnsi="Times New Roman" w:cs="Times New Roman"/>
          <w:sz w:val="26"/>
          <w:szCs w:val="24"/>
        </w:rPr>
        <w:t xml:space="preserve"> is </w:t>
      </w:r>
      <w:r w:rsidRPr="00595846">
        <w:rPr>
          <w:rFonts w:ascii="Times New Roman" w:hAnsi="Times New Roman" w:cs="Times New Roman"/>
          <w:sz w:val="26"/>
          <w:szCs w:val="24"/>
        </w:rPr>
        <w:t xml:space="preserve">the sum of the estimated annual federal cost of analyzing and processing the filings </w:t>
      </w:r>
      <w:r w:rsidRPr="00595846" w:rsidR="00623C7C">
        <w:rPr>
          <w:rFonts w:ascii="Times New Roman" w:hAnsi="Times New Roman" w:cs="Times New Roman"/>
          <w:sz w:val="26"/>
          <w:szCs w:val="24"/>
        </w:rPr>
        <w:t>(</w:t>
      </w:r>
      <w:r w:rsidRPr="00595846">
        <w:rPr>
          <w:rFonts w:ascii="Times New Roman" w:hAnsi="Times New Roman" w:cs="Times New Roman"/>
          <w:sz w:val="26"/>
          <w:szCs w:val="24"/>
        </w:rPr>
        <w:t>which is the annual salary for one Full-Time Equivalent (FTE) of $</w:t>
      </w:r>
      <w:r w:rsidR="00682507">
        <w:rPr>
          <w:rFonts w:ascii="Times New Roman" w:hAnsi="Times New Roman" w:cs="Times New Roman"/>
          <w:sz w:val="26"/>
          <w:szCs w:val="24"/>
        </w:rPr>
        <w:t>207,78</w:t>
      </w:r>
      <w:r w:rsidR="00F42B6D">
        <w:rPr>
          <w:rFonts w:ascii="Times New Roman" w:hAnsi="Times New Roman" w:cs="Times New Roman"/>
          <w:sz w:val="26"/>
          <w:szCs w:val="24"/>
        </w:rPr>
        <w:t>6</w:t>
      </w:r>
      <w:r w:rsidRPr="00595846" w:rsidR="00623C7C">
        <w:rPr>
          <w:rFonts w:ascii="Times New Roman" w:hAnsi="Times New Roman" w:cs="Times New Roman"/>
          <w:sz w:val="26"/>
          <w:szCs w:val="24"/>
        </w:rPr>
        <w:t xml:space="preserve">) </w:t>
      </w:r>
      <w:r w:rsidRPr="00595846">
        <w:rPr>
          <w:rFonts w:ascii="Times New Roman" w:hAnsi="Times New Roman" w:cs="Times New Roman"/>
          <w:sz w:val="26"/>
          <w:szCs w:val="24"/>
        </w:rPr>
        <w:t>plus the estimated PRA administrative cos</w:t>
      </w:r>
      <w:r w:rsidRPr="00595846" w:rsidR="00145E58">
        <w:rPr>
          <w:rFonts w:ascii="Times New Roman" w:hAnsi="Times New Roman" w:cs="Times New Roman"/>
          <w:sz w:val="26"/>
          <w:szCs w:val="24"/>
        </w:rPr>
        <w:t>t</w:t>
      </w:r>
      <w:r w:rsidRPr="00595846">
        <w:rPr>
          <w:rFonts w:ascii="Times New Roman" w:hAnsi="Times New Roman" w:cs="Times New Roman"/>
          <w:sz w:val="26"/>
          <w:szCs w:val="24"/>
        </w:rPr>
        <w:t xml:space="preserve"> of $</w:t>
      </w:r>
      <w:r w:rsidR="00682507">
        <w:rPr>
          <w:rFonts w:ascii="Times New Roman" w:hAnsi="Times New Roman" w:cs="Times New Roman"/>
          <w:sz w:val="26"/>
          <w:szCs w:val="24"/>
        </w:rPr>
        <w:t>8,396</w:t>
      </w:r>
      <w:r w:rsidRPr="00595846" w:rsidR="00EF04D5">
        <w:rPr>
          <w:rFonts w:ascii="Times New Roman" w:hAnsi="Times New Roman" w:cs="Times New Roman"/>
          <w:sz w:val="26"/>
          <w:szCs w:val="24"/>
        </w:rPr>
        <w:t>.</w:t>
      </w:r>
    </w:p>
    <w:p w:rsidR="00EA3369" w:rsidRPr="00595846" w:rsidP="0007783F" w14:paraId="2C8BC8D7" w14:textId="77777777">
      <w:pPr>
        <w:spacing w:after="0" w:line="240" w:lineRule="auto"/>
        <w:rPr>
          <w:rFonts w:ascii="Times New Roman" w:hAnsi="Times New Roman" w:cs="Times New Roman"/>
          <w:sz w:val="26"/>
          <w:szCs w:val="24"/>
        </w:rPr>
      </w:pPr>
    </w:p>
    <w:p w:rsidR="00EA3369" w:rsidRPr="00595846" w:rsidP="00EA3369" w14:paraId="7518C682"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40DD9213" w14:textId="646766BC">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0F39C68F"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4760D27" w14:textId="77777777" w:rsidTr="002359F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368325C1" w14:textId="74DC5114">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604C33BB"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666965DF"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E7BA932"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6FE375A5" w14:textId="01D52A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04252B1D" w14:textId="72204F66">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20F3A7DE" w14:textId="4D06F0F3">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207,78</w:t>
            </w:r>
            <w:r w:rsidR="00F42B6D">
              <w:rPr>
                <w:rFonts w:ascii="Times New Roman" w:hAnsi="Times New Roman" w:cs="Times New Roman"/>
                <w:sz w:val="26"/>
                <w:szCs w:val="24"/>
              </w:rPr>
              <w:t>6</w:t>
            </w:r>
          </w:p>
        </w:tc>
      </w:tr>
      <w:tr w14:paraId="453A7B37"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69B8A50D" w14:textId="17F573A8">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BA0C2F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116405AD" w14:textId="57D1D6A1">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8,396</w:t>
            </w:r>
          </w:p>
        </w:tc>
      </w:tr>
      <w:tr w14:paraId="2F75250A"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6F95BDC0"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5E9D679C"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579CA50F" w14:textId="45ED2278">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5840F4">
              <w:rPr>
                <w:rFonts w:ascii="Times New Roman" w:hAnsi="Times New Roman" w:cs="Times New Roman"/>
                <w:sz w:val="26"/>
                <w:szCs w:val="24"/>
              </w:rPr>
              <w:t>216,182</w:t>
            </w:r>
          </w:p>
        </w:tc>
      </w:tr>
    </w:tbl>
    <w:p w:rsidR="009922B2" w:rsidRPr="00595846" w:rsidP="002A4142" w14:paraId="3C1ABC63" w14:textId="77777777">
      <w:pPr>
        <w:spacing w:line="240" w:lineRule="auto"/>
        <w:rPr>
          <w:rFonts w:ascii="Times New Roman" w:hAnsi="Times New Roman" w:cs="Times New Roman"/>
          <w:sz w:val="26"/>
          <w:szCs w:val="24"/>
        </w:rPr>
      </w:pPr>
    </w:p>
    <w:p w:rsidR="00C4205B" w:rsidRPr="00195646" w:rsidP="007C39D3" w14:paraId="68B9EDF1" w14:textId="5FEC04C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195646" w:rsidP="00195646" w14:paraId="1B8E229A" w14:textId="77777777">
      <w:pPr>
        <w:widowControl w:val="0"/>
        <w:autoSpaceDE w:val="0"/>
        <w:autoSpaceDN w:val="0"/>
        <w:adjustRightInd w:val="0"/>
        <w:spacing w:after="0" w:line="240" w:lineRule="auto"/>
        <w:rPr>
          <w:rFonts w:ascii="Times New Roman" w:hAnsi="Times New Roman" w:cs="Times New Roman"/>
          <w:b/>
          <w:bCs/>
          <w:sz w:val="26"/>
          <w:szCs w:val="24"/>
        </w:rPr>
      </w:pPr>
    </w:p>
    <w:p w:rsidR="00195646" w:rsidP="00195646" w14:paraId="4417293B" w14:textId="64A3BECD">
      <w:pPr>
        <w:widowControl w:val="0"/>
        <w:autoSpaceDE w:val="0"/>
        <w:autoSpaceDN w:val="0"/>
        <w:adjustRightInd w:val="0"/>
        <w:spacing w:after="0" w:line="240" w:lineRule="auto"/>
        <w:rPr>
          <w:rFonts w:ascii="Times New Roman" w:hAnsi="Times New Roman" w:cs="Times New Roman"/>
          <w:b/>
          <w:bCs/>
          <w:sz w:val="26"/>
          <w:szCs w:val="24"/>
        </w:rPr>
      </w:pPr>
      <w:r>
        <w:rPr>
          <w:rFonts w:ascii="Times New Roman" w:hAnsi="Times New Roman" w:cs="Times New Roman"/>
          <w:b/>
          <w:bCs/>
          <w:sz w:val="26"/>
          <w:szCs w:val="24"/>
        </w:rPr>
        <w:t xml:space="preserve">Changes due to Agency discretion </w:t>
      </w:r>
    </w:p>
    <w:p w:rsidR="00526E25" w:rsidP="00195646" w14:paraId="1E0FA879" w14:textId="5EBBDEB0">
      <w:pPr>
        <w:widowControl w:val="0"/>
        <w:autoSpaceDE w:val="0"/>
        <w:autoSpaceDN w:val="0"/>
        <w:adjustRightInd w:val="0"/>
        <w:spacing w:after="0" w:line="240" w:lineRule="auto"/>
        <w:rPr>
          <w:rFonts w:ascii="Times New Roman" w:hAnsi="Times New Roman" w:cs="Times New Roman"/>
          <w:b/>
          <w:bCs/>
          <w:sz w:val="26"/>
          <w:szCs w:val="24"/>
        </w:rPr>
      </w:pPr>
      <w:r>
        <w:rPr>
          <w:rFonts w:ascii="Times New Roman" w:hAnsi="Times New Roman" w:cs="Times New Roman"/>
          <w:b/>
          <w:bCs/>
          <w:sz w:val="26"/>
          <w:szCs w:val="24"/>
        </w:rPr>
        <w:t>Totals:</w:t>
      </w:r>
    </w:p>
    <w:p w:rsidR="00526E25" w:rsidP="00195646" w14:paraId="085BDF2E" w14:textId="1641916B">
      <w:pPr>
        <w:widowControl w:val="0"/>
        <w:autoSpaceDE w:val="0"/>
        <w:autoSpaceDN w:val="0"/>
        <w:adjustRightInd w:val="0"/>
        <w:spacing w:after="0" w:line="240" w:lineRule="auto"/>
        <w:rPr>
          <w:rFonts w:ascii="Times New Roman" w:hAnsi="Times New Roman" w:cs="Times New Roman"/>
          <w:b/>
          <w:bCs/>
          <w:sz w:val="26"/>
          <w:szCs w:val="24"/>
        </w:rPr>
      </w:pPr>
      <w:r>
        <w:rPr>
          <w:rFonts w:ascii="Times New Roman" w:hAnsi="Times New Roman" w:cs="Times New Roman"/>
          <w:b/>
          <w:bCs/>
          <w:sz w:val="26"/>
          <w:szCs w:val="24"/>
        </w:rPr>
        <w:t xml:space="preserve">+1,466 Responses, +79,083 Annual Burden </w:t>
      </w:r>
      <w:r w:rsidR="00160787">
        <w:rPr>
          <w:rFonts w:ascii="Times New Roman" w:hAnsi="Times New Roman" w:cs="Times New Roman"/>
          <w:b/>
          <w:bCs/>
          <w:sz w:val="26"/>
          <w:szCs w:val="24"/>
        </w:rPr>
        <w:t>H</w:t>
      </w:r>
      <w:r>
        <w:rPr>
          <w:rFonts w:ascii="Times New Roman" w:hAnsi="Times New Roman" w:cs="Times New Roman"/>
          <w:b/>
          <w:bCs/>
          <w:sz w:val="26"/>
          <w:szCs w:val="24"/>
        </w:rPr>
        <w:t>ours</w:t>
      </w:r>
    </w:p>
    <w:p w:rsidR="009922B2" w:rsidRPr="00595846" w:rsidP="009922B2" w14:paraId="3FEA176F" w14:textId="79752EA6">
      <w:pPr>
        <w:widowControl w:val="0"/>
        <w:autoSpaceDE w:val="0"/>
        <w:autoSpaceDN w:val="0"/>
        <w:adjustRightInd w:val="0"/>
        <w:spacing w:after="0" w:line="240" w:lineRule="auto"/>
        <w:rPr>
          <w:rFonts w:ascii="Times New Roman" w:hAnsi="Times New Roman" w:cs="Times New Roman"/>
          <w:sz w:val="26"/>
          <w:szCs w:val="24"/>
        </w:rPr>
      </w:pPr>
    </w:p>
    <w:p w:rsidR="00D06745" w:rsidRPr="008763BF" w:rsidP="00E1405D" w14:paraId="3F787C9C" w14:textId="7E5D8FDE">
      <w:pPr>
        <w:widowControl w:val="0"/>
        <w:autoSpaceDE w:val="0"/>
        <w:autoSpaceDN w:val="0"/>
        <w:adjustRightInd w:val="0"/>
        <w:spacing w:after="0"/>
        <w:rPr>
          <w:rFonts w:ascii="Times New Roman" w:hAnsi="Times New Roman" w:cs="Times New Roman"/>
          <w:sz w:val="26"/>
          <w:szCs w:val="24"/>
        </w:rPr>
      </w:pPr>
      <w:r w:rsidRPr="00595846">
        <w:rPr>
          <w:rFonts w:ascii="Times New Roman" w:hAnsi="Times New Roman" w:cs="Times New Roman"/>
          <w:sz w:val="26"/>
          <w:szCs w:val="24"/>
        </w:rPr>
        <w:t xml:space="preserve">All of the estimated burdens described above in Discussion # 12 </w:t>
      </w:r>
      <w:r w:rsidR="00AC01FE">
        <w:rPr>
          <w:rFonts w:ascii="Times New Roman" w:hAnsi="Times New Roman" w:cs="Times New Roman"/>
          <w:sz w:val="26"/>
          <w:szCs w:val="24"/>
        </w:rPr>
        <w:t>are program changes</w:t>
      </w:r>
      <w:r w:rsidR="00764826">
        <w:rPr>
          <w:rFonts w:ascii="Times New Roman" w:hAnsi="Times New Roman" w:cs="Times New Roman"/>
          <w:sz w:val="26"/>
          <w:szCs w:val="24"/>
        </w:rPr>
        <w:t xml:space="preserve"> </w:t>
      </w:r>
      <w:r w:rsidR="000478CB">
        <w:rPr>
          <w:rFonts w:ascii="Times New Roman" w:hAnsi="Times New Roman" w:cs="Times New Roman"/>
          <w:sz w:val="26"/>
          <w:szCs w:val="24"/>
        </w:rPr>
        <w:t xml:space="preserve">to </w:t>
      </w:r>
      <w:r w:rsidRPr="00595846" w:rsidR="000478CB">
        <w:rPr>
          <w:rFonts w:ascii="Times New Roman" w:hAnsi="Times New Roman" w:cs="Times New Roman"/>
          <w:sz w:val="26"/>
          <w:szCs w:val="24"/>
        </w:rPr>
        <w:t>FERC</w:t>
      </w:r>
      <w:r w:rsidRPr="00595846">
        <w:rPr>
          <w:rFonts w:ascii="Times New Roman" w:hAnsi="Times New Roman" w:cs="Times New Roman"/>
          <w:sz w:val="26"/>
          <w:szCs w:val="24"/>
        </w:rPr>
        <w:t>-725B.</w:t>
      </w:r>
      <w:r w:rsidR="00764826">
        <w:rPr>
          <w:rFonts w:ascii="Times New Roman" w:hAnsi="Times New Roman" w:cs="Times New Roman"/>
          <w:sz w:val="26"/>
          <w:szCs w:val="24"/>
        </w:rPr>
        <w:t xml:space="preserve">  </w:t>
      </w:r>
      <w:r>
        <w:rPr>
          <w:rFonts w:ascii="Times New Roman" w:hAnsi="Times New Roman" w:cs="Times New Roman"/>
          <w:sz w:val="26"/>
          <w:szCs w:val="24"/>
        </w:rPr>
        <w:t>T</w:t>
      </w:r>
      <w:r w:rsidRPr="00595846" w:rsidR="0004532C">
        <w:rPr>
          <w:rFonts w:ascii="Times New Roman" w:hAnsi="Times New Roman" w:cs="Times New Roman"/>
          <w:sz w:val="26"/>
          <w:szCs w:val="24"/>
        </w:rPr>
        <w:t>he estimated annual burdens would add</w:t>
      </w:r>
      <w:r w:rsidRPr="008763BF">
        <w:rPr>
          <w:rFonts w:ascii="Times New Roman" w:hAnsi="Times New Roman" w:cs="Times New Roman"/>
          <w:sz w:val="26"/>
          <w:szCs w:val="24"/>
        </w:rPr>
        <w:t xml:space="preserve"> average annual number (for Years 1-3) of responses and burden for one-time and ongoing burden will total: </w:t>
      </w:r>
    </w:p>
    <w:p w:rsidR="00D06745" w:rsidP="00E1405D" w14:paraId="70F761EA" w14:textId="0AC0D1AF">
      <w:pPr>
        <w:pStyle w:val="ListParagraph"/>
        <w:widowControl w:val="0"/>
        <w:numPr>
          <w:ilvl w:val="0"/>
          <w:numId w:val="25"/>
        </w:numPr>
        <w:autoSpaceDE w:val="0"/>
        <w:autoSpaceDN w:val="0"/>
        <w:adjustRightInd w:val="0"/>
        <w:spacing w:after="0"/>
        <w:rPr>
          <w:rFonts w:ascii="Times New Roman" w:hAnsi="Times New Roman" w:cs="Times New Roman"/>
          <w:sz w:val="26"/>
          <w:szCs w:val="24"/>
        </w:rPr>
      </w:pPr>
      <w:r w:rsidRPr="00D06745">
        <w:rPr>
          <w:rFonts w:ascii="Times New Roman" w:hAnsi="Times New Roman" w:cs="Times New Roman"/>
          <w:sz w:val="26"/>
          <w:szCs w:val="24"/>
        </w:rPr>
        <w:t xml:space="preserve">1,460 responses (one-time) 78,353 hours (one-time) </w:t>
      </w:r>
      <w:r>
        <w:rPr>
          <w:rFonts w:ascii="Times New Roman" w:hAnsi="Times New Roman" w:cs="Times New Roman"/>
          <w:sz w:val="26"/>
          <w:szCs w:val="24"/>
        </w:rPr>
        <w:t>for Years 1-3</w:t>
      </w:r>
    </w:p>
    <w:p w:rsidR="00AC06A5" w:rsidRPr="00D06745" w:rsidP="00E67A20" w14:paraId="38FA8DBF" w14:textId="5BA3C1C4">
      <w:pPr>
        <w:pStyle w:val="ListParagraph"/>
        <w:widowControl w:val="0"/>
        <w:numPr>
          <w:ilvl w:val="0"/>
          <w:numId w:val="25"/>
        </w:numPr>
        <w:autoSpaceDE w:val="0"/>
        <w:autoSpaceDN w:val="0"/>
        <w:adjustRightInd w:val="0"/>
        <w:spacing w:after="0"/>
        <w:rPr>
          <w:rFonts w:ascii="Times New Roman" w:hAnsi="Times New Roman" w:cs="Times New Roman"/>
          <w:sz w:val="26"/>
          <w:szCs w:val="24"/>
        </w:rPr>
      </w:pPr>
      <w:r>
        <w:rPr>
          <w:rFonts w:ascii="Times New Roman" w:hAnsi="Times New Roman" w:cs="Times New Roman"/>
          <w:sz w:val="26"/>
          <w:szCs w:val="24"/>
        </w:rPr>
        <w:t xml:space="preserve">With the addition of </w:t>
      </w:r>
      <w:r w:rsidRPr="00D06745">
        <w:rPr>
          <w:rFonts w:ascii="Times New Roman" w:hAnsi="Times New Roman" w:cs="Times New Roman"/>
          <w:sz w:val="26"/>
          <w:szCs w:val="24"/>
        </w:rPr>
        <w:t>730 hours (ongoing)</w:t>
      </w:r>
      <w:r>
        <w:rPr>
          <w:rFonts w:ascii="Times New Roman" w:hAnsi="Times New Roman" w:cs="Times New Roman"/>
          <w:sz w:val="26"/>
          <w:szCs w:val="24"/>
        </w:rPr>
        <w:t xml:space="preserve"> the hours have been updated to add +6 responses and 730 burden hours for a total of 730 responses </w:t>
      </w:r>
      <w:r w:rsidRPr="00FE7D01" w:rsidR="00FE7D01">
        <w:rPr>
          <w:rFonts w:ascii="Times New Roman" w:hAnsi="Times New Roman" w:cs="Times New Roman"/>
          <w:sz w:val="26"/>
          <w:szCs w:val="24"/>
        </w:rPr>
        <w:t>(There was already 724 responses from RD22-2 and +6 was added+ totaling 730 responses)</w:t>
      </w:r>
      <w:r w:rsidR="00FE7D01">
        <w:rPr>
          <w:rFonts w:ascii="Times New Roman" w:hAnsi="Times New Roman" w:cs="Times New Roman"/>
          <w:sz w:val="26"/>
          <w:szCs w:val="24"/>
        </w:rPr>
        <w:t xml:space="preserve"> </w:t>
      </w:r>
      <w:r>
        <w:rPr>
          <w:rFonts w:ascii="Times New Roman" w:hAnsi="Times New Roman" w:cs="Times New Roman"/>
          <w:sz w:val="26"/>
          <w:szCs w:val="24"/>
        </w:rPr>
        <w:t xml:space="preserve">and 62,755 burden hours </w:t>
      </w:r>
      <w:r w:rsidRPr="00D06745">
        <w:rPr>
          <w:rFonts w:ascii="Times New Roman" w:hAnsi="Times New Roman" w:cs="Times New Roman"/>
          <w:sz w:val="26"/>
          <w:szCs w:val="24"/>
        </w:rPr>
        <w:t xml:space="preserve">to FERC-725B.  </w:t>
      </w:r>
    </w:p>
    <w:p w:rsidR="00E67A20" w:rsidP="00E67A20" w14:paraId="7BC2E09A" w14:textId="77777777">
      <w:pPr>
        <w:widowControl w:val="0"/>
        <w:autoSpaceDE w:val="0"/>
        <w:autoSpaceDN w:val="0"/>
        <w:adjustRightInd w:val="0"/>
        <w:spacing w:after="0"/>
        <w:rPr>
          <w:rFonts w:ascii="Times New Roman" w:hAnsi="Times New Roman" w:cs="Times New Roman"/>
          <w:sz w:val="26"/>
          <w:szCs w:val="24"/>
        </w:rPr>
      </w:pPr>
    </w:p>
    <w:p w:rsidR="00C4205B" w:rsidRPr="00595846" w:rsidP="007C39D3"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4CC944AC" w14:textId="77777777">
      <w:pPr>
        <w:spacing w:after="0" w:line="240" w:lineRule="auto"/>
        <w:rPr>
          <w:rFonts w:ascii="Times New Roman" w:hAnsi="Times New Roman" w:cs="Times New Roman"/>
          <w:b/>
          <w:bCs/>
          <w:sz w:val="26"/>
          <w:szCs w:val="24"/>
        </w:rPr>
      </w:pPr>
    </w:p>
    <w:p w:rsidR="00042D80" w:rsidRPr="00595846" w:rsidP="005768DB" w14:paraId="605C5CB7" w14:textId="18071D5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525DB757" w14:textId="77777777">
      <w:pPr>
        <w:spacing w:after="0" w:line="240" w:lineRule="auto"/>
        <w:rPr>
          <w:rFonts w:ascii="Times New Roman" w:hAnsi="Times New Roman" w:cs="Times New Roman"/>
          <w:sz w:val="26"/>
          <w:szCs w:val="24"/>
        </w:rPr>
      </w:pPr>
    </w:p>
    <w:p w:rsidR="00C4205B" w:rsidRPr="00595846" w:rsidP="007C39D3"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2FA7CFEF" w14:textId="77777777">
      <w:pPr>
        <w:spacing w:after="0" w:line="240" w:lineRule="auto"/>
        <w:rPr>
          <w:rFonts w:ascii="Times New Roman" w:hAnsi="Times New Roman" w:cs="Times New Roman"/>
          <w:b/>
          <w:bCs/>
          <w:sz w:val="26"/>
          <w:szCs w:val="24"/>
        </w:rPr>
      </w:pPr>
    </w:p>
    <w:p w:rsidR="00DC0C15" w:rsidRPr="00DC0C15" w:rsidP="00DC0C15" w14:paraId="7BAC06E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7876E53A" w14:textId="497CA3F3">
      <w:pPr>
        <w:spacing w:after="0" w:line="240" w:lineRule="auto"/>
        <w:rPr>
          <w:rFonts w:ascii="Times New Roman" w:hAnsi="Times New Roman" w:cs="Times New Roman"/>
          <w:sz w:val="26"/>
          <w:szCs w:val="26"/>
        </w:rPr>
      </w:pPr>
    </w:p>
    <w:p w:rsidR="00C4205B" w:rsidRPr="00595846" w:rsidP="007C39D3"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C4205B" w:rsidRPr="00595846" w:rsidP="00485D08" w14:paraId="0AE45CAE" w14:textId="77777777">
      <w:pPr>
        <w:spacing w:after="0" w:line="240" w:lineRule="auto"/>
        <w:rPr>
          <w:rFonts w:ascii="Times New Roman" w:hAnsi="Times New Roman" w:cs="Times New Roman"/>
          <w:sz w:val="26"/>
          <w:szCs w:val="24"/>
        </w:rPr>
      </w:pPr>
    </w:p>
    <w:p w:rsidR="00D350A8" w:rsidRPr="00595846" w:rsidP="007A560D" w14:paraId="75C43DD9" w14:textId="75761279">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EE7398D" w14:textId="77777777">
    <w:pPr>
      <w:pStyle w:val="Footer"/>
    </w:pPr>
  </w:p>
  <w:p w:rsidR="00E63496" w14:paraId="540306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07EB7F9D" w14:textId="7CF6D8D3">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4AAC" w:rsidP="00D350A8" w14:paraId="7B5D6CFC" w14:textId="77777777">
      <w:pPr>
        <w:spacing w:after="0" w:line="240" w:lineRule="auto"/>
      </w:pPr>
      <w:r>
        <w:separator/>
      </w:r>
    </w:p>
  </w:footnote>
  <w:footnote w:type="continuationSeparator" w:id="1">
    <w:p w:rsidR="00774AAC" w:rsidP="00D350A8" w14:paraId="6CDEEEE0" w14:textId="77777777">
      <w:pPr>
        <w:spacing w:after="0" w:line="240" w:lineRule="auto"/>
      </w:pPr>
      <w:r>
        <w:continuationSeparator/>
      </w:r>
    </w:p>
  </w:footnote>
  <w:footnote w:type="continuationNotice" w:id="2">
    <w:p w:rsidR="00774AAC" w14:paraId="02D1DE73" w14:textId="77777777">
      <w:pPr>
        <w:spacing w:after="0" w:line="240" w:lineRule="auto"/>
      </w:pPr>
    </w:p>
  </w:footnote>
  <w:footnote w:id="3">
    <w:p w:rsidR="00CB0F6A" w:rsidP="003F0B1A" w14:paraId="5290F380" w14:textId="65D82F43">
      <w:pPr>
        <w:pStyle w:val="FootnoteText"/>
        <w:rPr>
          <w:sz w:val="26"/>
        </w:rPr>
      </w:pPr>
      <w:r>
        <w:rPr>
          <w:rStyle w:val="FootnoteReference"/>
          <w:sz w:val="26"/>
          <w:vertAlign w:val="superscript"/>
        </w:rPr>
        <w:footnoteRef/>
      </w:r>
      <w:r>
        <w:rPr>
          <w:sz w:val="26"/>
        </w:rPr>
        <w:t xml:space="preserve"> Energy Policy Act of 2005, Pub. L. No. 109-58, sec. 1261 </w:t>
      </w:r>
      <w:r>
        <w:rPr>
          <w:i/>
          <w:iCs/>
          <w:sz w:val="26"/>
        </w:rPr>
        <w:t>et seq.</w:t>
      </w:r>
      <w:r>
        <w:rPr>
          <w:sz w:val="26"/>
        </w:rPr>
        <w:t>, 119 Stat. 594 (2005).</w:t>
      </w:r>
    </w:p>
  </w:footnote>
  <w:footnote w:id="4">
    <w:p w:rsidR="00CB0F6A" w:rsidRPr="003F0B1A" w:rsidP="003F0B1A" w14:paraId="4FAEF999" w14:textId="474F0A58">
      <w:pPr>
        <w:pStyle w:val="FootnoteText"/>
        <w:rPr>
          <w:sz w:val="26"/>
        </w:rPr>
      </w:pPr>
      <w:r>
        <w:rPr>
          <w:rStyle w:val="FootnoteReference"/>
          <w:sz w:val="26"/>
          <w:vertAlign w:val="superscript"/>
        </w:rPr>
        <w:footnoteRef/>
      </w:r>
      <w:r>
        <w:rPr>
          <w:sz w:val="26"/>
        </w:rPr>
        <w:t xml:space="preserve"> 16 U.S.C. 824</w:t>
      </w:r>
      <w:r>
        <w:rPr>
          <w:i/>
          <w:iCs/>
          <w:sz w:val="26"/>
        </w:rPr>
        <w:t>o</w:t>
      </w:r>
      <w:r>
        <w:rPr>
          <w:sz w:val="26"/>
        </w:rPr>
        <w:t>.</w:t>
      </w:r>
    </w:p>
  </w:footnote>
  <w:footnote w:id="5">
    <w:p w:rsidR="00CB0F6A" w:rsidP="003F0B1A" w14:paraId="563122ED" w14:textId="3427199A">
      <w:pPr>
        <w:pStyle w:val="FootnoteText"/>
        <w:rPr>
          <w:sz w:val="26"/>
        </w:rPr>
      </w:pPr>
      <w:r>
        <w:rPr>
          <w:rStyle w:val="FootnoteReference"/>
          <w:sz w:val="26"/>
          <w:vertAlign w:val="superscript"/>
        </w:rPr>
        <w:footnoteRef/>
      </w:r>
      <w:r>
        <w:rPr>
          <w:sz w:val="26"/>
        </w:rPr>
        <w:t xml:space="preserve"> The FPA, at 16 U.S.C. 824</w:t>
      </w:r>
      <w:r>
        <w:rPr>
          <w:i/>
          <w:iCs/>
          <w:sz w:val="26"/>
        </w:rPr>
        <w:t>o</w:t>
      </w:r>
      <w:r>
        <w:rPr>
          <w:sz w:val="26"/>
        </w:rPr>
        <w:t>(a)(3), defines “Reliability Standard” as a requirement, approved by the Commission, to provide for reliable operation of the bulk-power system.  This definition includes cybersecurity protection, and the design of planned additions or modifications to bulk-power facilities to the extent necessary to provide for reliable operation of the Bulk-Power System.  However, the term does not include any requirement to enlarge such facilities or to construct new transmission capacity or generation capacity.</w:t>
      </w:r>
    </w:p>
  </w:footnote>
  <w:footnote w:id="6">
    <w:p w:rsidR="0098263D" w:rsidP="003F0B1A" w14:paraId="7699DFA2" w14:textId="77777777">
      <w:pPr>
        <w:pStyle w:val="FootnoteText"/>
        <w:rPr>
          <w:sz w:val="26"/>
        </w:rPr>
      </w:pPr>
      <w:r>
        <w:rPr>
          <w:rStyle w:val="FootnoteReference"/>
          <w:sz w:val="26"/>
          <w:vertAlign w:val="superscript"/>
        </w:rPr>
        <w:footnoteRef/>
      </w:r>
      <w:r>
        <w:rPr>
          <w:sz w:val="26"/>
        </w:rPr>
        <w:t xml:space="preserve"> </w:t>
      </w:r>
      <w:r>
        <w:rPr>
          <w:i/>
          <w:iCs/>
          <w:sz w:val="26"/>
        </w:rPr>
        <w:t>Rules Concerning Certification of the Elec. Reliability Org.; and Procedures for the Establishment, Approval, and Enf’t of Elec. Reliability Standards</w:t>
      </w:r>
      <w:r>
        <w:rPr>
          <w:sz w:val="26"/>
        </w:rPr>
        <w:t xml:space="preserve">, Order No. 672, 71 FR 8661 (Feb. 17, 2006), 114 FERC ¶ 61,104, </w:t>
      </w:r>
      <w:r>
        <w:rPr>
          <w:i/>
          <w:iCs/>
          <w:sz w:val="26"/>
        </w:rPr>
        <w:t>order on reh’g</w:t>
      </w:r>
      <w:r>
        <w:rPr>
          <w:sz w:val="26"/>
        </w:rPr>
        <w:t>, Order No. 672-A, 71 FR 19814 (Apr. 28, 2006), 114 FERC ¶ 61,328 (2006).</w:t>
      </w:r>
    </w:p>
    <w:p w:rsidR="00CB0F6A" w:rsidP="00AA7635" w14:paraId="5F68F048" w14:textId="77777777">
      <w:pPr>
        <w:pStyle w:val="FootnoteText"/>
        <w:ind w:firstLine="720"/>
        <w:rPr>
          <w:b/>
          <w:bCs/>
          <w:sz w:val="26"/>
        </w:rPr>
      </w:pPr>
    </w:p>
  </w:footnote>
  <w:footnote w:id="7">
    <w:p w:rsidR="00CB0F6A" w:rsidP="003F0B1A" w14:paraId="5F68CAA7" w14:textId="62F95A64">
      <w:pPr>
        <w:pStyle w:val="FootnoteText"/>
        <w:rPr>
          <w:sz w:val="26"/>
        </w:rPr>
      </w:pPr>
      <w:r>
        <w:rPr>
          <w:rStyle w:val="FootnoteReference"/>
          <w:sz w:val="26"/>
          <w:vertAlign w:val="superscript"/>
        </w:rPr>
        <w:footnoteRef/>
      </w:r>
      <w:r>
        <w:rPr>
          <w:sz w:val="26"/>
        </w:rPr>
        <w:t xml:space="preserve"> NERC uses the term “registered entity” to identify users, owners, and operators of the Bulk-Power System responsible for performing specified reliability functions with respect to NERC Reliability Standards.  </w:t>
      </w:r>
      <w:r>
        <w:rPr>
          <w:i/>
          <w:iCs/>
          <w:sz w:val="26"/>
        </w:rPr>
        <w:t>See</w:t>
      </w:r>
      <w:r>
        <w:rPr>
          <w:sz w:val="26"/>
        </w:rPr>
        <w:t xml:space="preserve">, </w:t>
      </w:r>
      <w:r>
        <w:rPr>
          <w:i/>
          <w:iCs/>
          <w:sz w:val="26"/>
        </w:rPr>
        <w:t>e.g</w:t>
      </w:r>
      <w:r>
        <w:rPr>
          <w:sz w:val="26"/>
        </w:rPr>
        <w:t xml:space="preserve">., </w:t>
      </w:r>
      <w:r>
        <w:rPr>
          <w:i/>
          <w:iCs/>
          <w:sz w:val="26"/>
        </w:rPr>
        <w:t>Version 4 Critical Infrastructure Protection Reliability Standards</w:t>
      </w:r>
      <w:r>
        <w:rPr>
          <w:sz w:val="26"/>
        </w:rPr>
        <w:t xml:space="preserve">, Order No. 761, 77 FR 24594 (Apr. 25, 2012), 139 FERC ¶ 61,058, at P 46, </w:t>
      </w:r>
      <w:r>
        <w:rPr>
          <w:i/>
          <w:iCs/>
          <w:sz w:val="26"/>
        </w:rPr>
        <w:t>order denying clarification and reh’g</w:t>
      </w:r>
      <w:r>
        <w:rPr>
          <w:sz w:val="26"/>
        </w:rPr>
        <w:t>, 140 FERC ¶ 61,109 (2012).  Within the NERC Reliability Standards are various subsets of entities responsible for performing various specified reliability functions.  We collectively refer to these as “entities.”</w:t>
      </w:r>
    </w:p>
  </w:footnote>
  <w:footnote w:id="8">
    <w:p w:rsidR="00CB0F6A" w:rsidP="003F0B1A" w14:paraId="2D1A059E" w14:textId="17BE870F">
      <w:pPr>
        <w:pStyle w:val="FootnoteText"/>
        <w:rPr>
          <w:sz w:val="26"/>
        </w:rPr>
      </w:pPr>
      <w:r>
        <w:rPr>
          <w:rStyle w:val="FootnoteReference"/>
          <w:sz w:val="26"/>
          <w:vertAlign w:val="superscript"/>
        </w:rPr>
        <w:footnoteRef/>
      </w:r>
      <w:r>
        <w:rPr>
          <w:sz w:val="26"/>
        </w:rPr>
        <w:t xml:space="preserve"> Order No. 706, 122 FERC ¶ 61,040 at P 1</w:t>
      </w:r>
      <w:r w:rsidR="0024001F">
        <w:rPr>
          <w:sz w:val="26"/>
        </w:rPr>
        <w:t xml:space="preserve"> (2008)</w:t>
      </w:r>
      <w:r>
        <w:rPr>
          <w:sz w:val="26"/>
        </w:rPr>
        <w:t>.</w:t>
      </w:r>
    </w:p>
  </w:footnote>
  <w:footnote w:id="9">
    <w:p w:rsidR="00CB0F6A" w:rsidP="003F0B1A" w14:paraId="1650ED8A" w14:textId="128C0A42">
      <w:pPr>
        <w:pStyle w:val="FootnoteText"/>
        <w:rPr>
          <w:sz w:val="26"/>
        </w:rPr>
      </w:pPr>
      <w:r>
        <w:rPr>
          <w:rStyle w:val="FootnoteReference"/>
          <w:sz w:val="26"/>
          <w:vertAlign w:val="superscript"/>
        </w:rPr>
        <w:footnoteRef/>
      </w:r>
      <w:r>
        <w:rPr>
          <w:sz w:val="26"/>
        </w:rPr>
        <w:t xml:space="preserve"> </w:t>
      </w:r>
      <w:r>
        <w:rPr>
          <w:i/>
          <w:iCs/>
          <w:sz w:val="26"/>
        </w:rPr>
        <w:t>Version 5 Critical Infrastructure Protection Reliability Standards</w:t>
      </w:r>
      <w:r>
        <w:rPr>
          <w:sz w:val="26"/>
        </w:rPr>
        <w:t xml:space="preserve">, Order No. 791, 78 FR 72755 (Dec. 13, 2013), 145 FERC ¶ 61,160 (2013), </w:t>
      </w:r>
      <w:r>
        <w:rPr>
          <w:i/>
          <w:iCs/>
          <w:sz w:val="26"/>
        </w:rPr>
        <w:t>order on reh’g</w:t>
      </w:r>
      <w:r>
        <w:rPr>
          <w:sz w:val="26"/>
        </w:rPr>
        <w:t>, Order No. 791-A, 146 FERC ¶ 61,188 (2014).</w:t>
      </w:r>
    </w:p>
  </w:footnote>
  <w:footnote w:id="10">
    <w:p w:rsidR="00CB0F6A" w:rsidP="003F0B1A" w14:paraId="7A388370" w14:textId="570B7991">
      <w:pPr>
        <w:pStyle w:val="FootnoteText"/>
        <w:rPr>
          <w:sz w:val="26"/>
        </w:rPr>
      </w:pPr>
      <w:r>
        <w:rPr>
          <w:rStyle w:val="FootnoteReference"/>
          <w:sz w:val="26"/>
          <w:vertAlign w:val="superscript"/>
        </w:rPr>
        <w:footnoteRef/>
      </w:r>
      <w:r>
        <w:rPr>
          <w:sz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Pr>
          <w:i/>
          <w:iCs/>
          <w:sz w:val="26"/>
        </w:rPr>
        <w:t>See</w:t>
      </w:r>
      <w:r>
        <w:rPr>
          <w:sz w:val="26"/>
        </w:rPr>
        <w:t xml:space="preserve"> NERC, </w:t>
      </w:r>
      <w:r>
        <w:rPr>
          <w:i/>
          <w:iCs/>
          <w:sz w:val="26"/>
        </w:rPr>
        <w:t>Bulk Electric System Definition Reference Document</w:t>
      </w:r>
      <w:r>
        <w:rPr>
          <w:sz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Pr>
          <w:i/>
          <w:iCs/>
          <w:sz w:val="26"/>
        </w:rPr>
        <w:t>See</w:t>
      </w:r>
      <w:r>
        <w:rPr>
          <w:sz w:val="26"/>
        </w:rPr>
        <w:t xml:space="preserve"> </w:t>
      </w:r>
      <w:r>
        <w:rPr>
          <w:i/>
          <w:iCs/>
          <w:sz w:val="26"/>
        </w:rPr>
        <w:t xml:space="preserve">Mandatory Reliability Standards for the Bulk-Power System, </w:t>
      </w:r>
      <w:r>
        <w:rPr>
          <w:sz w:val="26"/>
        </w:rPr>
        <w:t xml:space="preserve">Order No. 693, 72 FR 16415 (Apr. 4, 2007), 118 FERC ¶ 61,218, at PP 75, 79, 491, </w:t>
      </w:r>
      <w:r>
        <w:rPr>
          <w:i/>
          <w:iCs/>
          <w:sz w:val="26"/>
        </w:rPr>
        <w:t>order on reh’g</w:t>
      </w:r>
      <w:r>
        <w:rPr>
          <w:sz w:val="26"/>
        </w:rPr>
        <w:t>, Order No. 693-A, 72 FR 49717 (July 25, 2007), 120 FERC ¶ 61,053 (2007).</w:t>
      </w:r>
    </w:p>
  </w:footnote>
  <w:footnote w:id="11">
    <w:p w:rsidR="0098263D" w:rsidP="003F0B1A" w14:paraId="56CCD2FE" w14:textId="77777777">
      <w:pPr>
        <w:pStyle w:val="FootnoteText"/>
        <w:rPr>
          <w:sz w:val="26"/>
        </w:rPr>
      </w:pPr>
      <w:r>
        <w:rPr>
          <w:rStyle w:val="FootnoteReference"/>
          <w:sz w:val="26"/>
          <w:vertAlign w:val="superscript"/>
        </w:rPr>
        <w:footnoteRef/>
      </w:r>
      <w:r>
        <w:rPr>
          <w:sz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Pr>
          <w:rStyle w:val="Hyperlink"/>
          <w:sz w:val="26"/>
        </w:rPr>
        <w:t xml:space="preserve"> </w:t>
      </w:r>
      <w:r>
        <w:rPr>
          <w:sz w:val="26"/>
        </w:rPr>
        <w:t xml:space="preserve">NERC Glossary of Terms).  NERC defines BES Cyber Asset as </w:t>
      </w:r>
    </w:p>
    <w:p w:rsidR="0098263D" w:rsidP="0098263D" w14:paraId="0AC74619" w14:textId="77777777">
      <w:pPr>
        <w:pStyle w:val="FootnoteText"/>
        <w:ind w:left="1440" w:right="1440"/>
        <w:rPr>
          <w:sz w:val="26"/>
        </w:rPr>
      </w:pPr>
      <w:r>
        <w:rPr>
          <w:sz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98263D" w:rsidP="0098263D" w14:paraId="19D8EF2C" w14:textId="77777777">
      <w:pPr>
        <w:pStyle w:val="FootnoteText"/>
      </w:pPr>
      <w:r>
        <w:rPr>
          <w:sz w:val="26"/>
        </w:rPr>
        <w:t xml:space="preserve"> </w:t>
      </w:r>
      <w:r>
        <w:rPr>
          <w:i/>
          <w:iCs/>
          <w:sz w:val="26"/>
        </w:rPr>
        <w:t>Id.</w:t>
      </w:r>
      <w:r>
        <w:rPr>
          <w:sz w:val="26"/>
        </w:rPr>
        <w:t xml:space="preserve"> at 4.</w:t>
      </w:r>
      <w:r>
        <w:t xml:space="preserve"> </w:t>
      </w:r>
    </w:p>
  </w:footnote>
  <w:footnote w:id="12">
    <w:p w:rsidR="00CB0F6A" w:rsidRPr="00AA7635" w:rsidP="003F0B1A" w14:paraId="475A19A1" w14:textId="666625A8">
      <w:pPr>
        <w:pStyle w:val="FootnoteText"/>
        <w:rPr>
          <w:sz w:val="26"/>
          <w:szCs w:val="26"/>
        </w:rPr>
      </w:pPr>
      <w:r w:rsidRPr="00AA7635">
        <w:rPr>
          <w:rStyle w:val="FootnoteReference"/>
          <w:vertAlign w:val="superscript"/>
        </w:rPr>
        <w:footnoteRef/>
      </w:r>
      <w:r w:rsidRPr="00AA7635">
        <w:rPr>
          <w:sz w:val="26"/>
          <w:szCs w:val="26"/>
          <w:vertAlign w:val="superscript"/>
        </w:rPr>
        <w:t xml:space="preserve"> </w:t>
      </w:r>
      <w:r w:rsidRPr="00AA7635">
        <w:rPr>
          <w:sz w:val="26"/>
          <w:szCs w:val="26"/>
        </w:rPr>
        <w:t>16 U.S.C. § 824o(d)(2).</w:t>
      </w:r>
    </w:p>
  </w:footnote>
  <w:footnote w:id="13">
    <w:p w:rsidR="00CB0F6A" w:rsidRPr="003F0B1A" w:rsidP="003F0B1A" w14:paraId="09D6B4E2" w14:textId="76DC1984">
      <w:pPr>
        <w:pStyle w:val="FootnoteText"/>
        <w:rPr>
          <w:color w:val="000000"/>
          <w:szCs w:val="26"/>
          <w:shd w:val="clear" w:color="auto" w:fill="FFFFFF"/>
        </w:rPr>
      </w:pPr>
      <w:r w:rsidRPr="00AA7635">
        <w:rPr>
          <w:rStyle w:val="FootnoteReference"/>
          <w:vertAlign w:val="superscript"/>
        </w:rPr>
        <w:footnoteRef/>
      </w:r>
      <w:r w:rsidRPr="00AA7635">
        <w:rPr>
          <w:sz w:val="26"/>
          <w:szCs w:val="26"/>
          <w:vertAlign w:val="superscript"/>
        </w:rPr>
        <w:t xml:space="preserve"> </w:t>
      </w:r>
      <w:r w:rsidRPr="00AA7635">
        <w:rPr>
          <w:rStyle w:val="normaltextrun"/>
          <w:i/>
          <w:iCs/>
          <w:color w:val="000000"/>
          <w:sz w:val="26"/>
          <w:szCs w:val="26"/>
          <w:shd w:val="clear" w:color="auto" w:fill="FFFFFF"/>
        </w:rPr>
        <w:t>Critical Infrastructure Protection Reliability Standard CIP-012-1 – Cyber Security – Communications between Control Centers</w:t>
      </w:r>
      <w:r w:rsidRPr="00AA7635">
        <w:rPr>
          <w:rStyle w:val="normaltextrun"/>
          <w:color w:val="000000"/>
          <w:sz w:val="26"/>
          <w:szCs w:val="26"/>
          <w:shd w:val="clear" w:color="auto" w:fill="FFFFFF"/>
        </w:rPr>
        <w:t>, Order No. 866, 170 FERC ¶ 61,031, P 36 (2020). </w:t>
      </w:r>
      <w:r>
        <w:rPr>
          <w:rStyle w:val="eop"/>
          <w:color w:val="000000"/>
          <w:szCs w:val="26"/>
          <w:shd w:val="clear" w:color="auto" w:fill="FFFFFF"/>
        </w:rPr>
        <w:t> </w:t>
      </w:r>
    </w:p>
  </w:footnote>
  <w:footnote w:id="14">
    <w:p w:rsidR="00CB0F6A" w:rsidRPr="00AA7635" w:rsidP="003F0B1A" w14:paraId="34229AD1" w14:textId="361AAB8B">
      <w:pPr>
        <w:pStyle w:val="FootnoteText"/>
        <w:rPr>
          <w:sz w:val="26"/>
          <w:szCs w:val="26"/>
        </w:rPr>
      </w:pPr>
      <w:r w:rsidRPr="00AA7635">
        <w:rPr>
          <w:rStyle w:val="FootnoteReference"/>
          <w:sz w:val="26"/>
          <w:szCs w:val="26"/>
          <w:vertAlign w:val="superscript"/>
        </w:rPr>
        <w:footnoteRef/>
      </w:r>
      <w:r w:rsidRPr="00AA7635">
        <w:rPr>
          <w:sz w:val="26"/>
          <w:szCs w:val="26"/>
        </w:rPr>
        <w:t xml:space="preserve"> 16 U.S.C. § 824o.</w:t>
      </w:r>
    </w:p>
  </w:footnote>
  <w:footnote w:id="15">
    <w:p w:rsidR="00CB0F6A" w:rsidRPr="00AA7635" w:rsidP="003F0B1A" w14:paraId="35C82D45" w14:textId="11D11CBA">
      <w:pPr>
        <w:pStyle w:val="FootnoteText"/>
        <w:rPr>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i/>
          <w:iCs/>
          <w:sz w:val="26"/>
          <w:szCs w:val="26"/>
        </w:rPr>
        <w:t>Rules Concerning Certification of the Elec. Reliability Org.; &amp; Procedures for the Establishment, Approval, &amp; Enforcement of Elec. Reliability Standards</w:t>
      </w:r>
      <w:r w:rsidRPr="00AA7635">
        <w:rPr>
          <w:sz w:val="26"/>
          <w:szCs w:val="26"/>
        </w:rPr>
        <w:t xml:space="preserve">, Order No. 672, 114 FERC ¶ 61,104, </w:t>
      </w:r>
      <w:r w:rsidRPr="00AA7635">
        <w:rPr>
          <w:i/>
          <w:iCs/>
          <w:sz w:val="26"/>
          <w:szCs w:val="26"/>
        </w:rPr>
        <w:t>order on reh’g</w:t>
      </w:r>
      <w:r w:rsidRPr="00AA7635">
        <w:rPr>
          <w:sz w:val="26"/>
          <w:szCs w:val="26"/>
        </w:rPr>
        <w:t>, Order No. 672-A, 114 FERC ¶ 61,328 (2006).</w:t>
      </w:r>
    </w:p>
  </w:footnote>
  <w:footnote w:id="16">
    <w:p w:rsidR="00CB0F6A" w:rsidRPr="00AA7635" w:rsidP="003F0B1A" w14:paraId="27199F07" w14:textId="52A53680">
      <w:pPr>
        <w:pStyle w:val="FootnoteText"/>
        <w:rPr>
          <w:sz w:val="26"/>
          <w:szCs w:val="26"/>
        </w:rPr>
      </w:pPr>
      <w:r w:rsidRPr="00AA7635">
        <w:rPr>
          <w:rStyle w:val="FootnoteReference"/>
          <w:sz w:val="26"/>
          <w:szCs w:val="26"/>
          <w:vertAlign w:val="superscript"/>
        </w:rPr>
        <w:footnoteRef/>
      </w:r>
      <w:r w:rsidRPr="00AA7635">
        <w:rPr>
          <w:sz w:val="26"/>
          <w:szCs w:val="26"/>
        </w:rPr>
        <w:t xml:space="preserve"> </w:t>
      </w:r>
      <w:r w:rsidRPr="00AA7635">
        <w:rPr>
          <w:i/>
          <w:iCs/>
          <w:sz w:val="26"/>
          <w:szCs w:val="26"/>
        </w:rPr>
        <w:t>N. Am. Elec. Reliability Corp.</w:t>
      </w:r>
      <w:r w:rsidRPr="00AA7635">
        <w:rPr>
          <w:sz w:val="26"/>
          <w:szCs w:val="26"/>
        </w:rPr>
        <w:t xml:space="preserve">, 116 FERC ¶ 61,062, </w:t>
      </w:r>
      <w:r w:rsidRPr="00AA7635">
        <w:rPr>
          <w:i/>
          <w:iCs/>
          <w:sz w:val="26"/>
          <w:szCs w:val="26"/>
        </w:rPr>
        <w:t>order on reh’g and compliance</w:t>
      </w:r>
      <w:r w:rsidRPr="00AA7635">
        <w:rPr>
          <w:sz w:val="26"/>
          <w:szCs w:val="26"/>
        </w:rPr>
        <w:t xml:space="preserve">, 117 FERC ¶ 61,126 (2006), </w:t>
      </w:r>
      <w:r w:rsidRPr="00AA7635">
        <w:rPr>
          <w:i/>
          <w:iCs/>
          <w:sz w:val="26"/>
          <w:szCs w:val="26"/>
        </w:rPr>
        <w:t>order on compliance</w:t>
      </w:r>
      <w:r w:rsidRPr="00AA7635">
        <w:rPr>
          <w:sz w:val="26"/>
          <w:szCs w:val="26"/>
        </w:rPr>
        <w:t xml:space="preserve">, 118 FERC ¶ 61,030, </w:t>
      </w:r>
      <w:r w:rsidRPr="00AA7635">
        <w:rPr>
          <w:i/>
          <w:iCs/>
          <w:sz w:val="26"/>
          <w:szCs w:val="26"/>
        </w:rPr>
        <w:t>order on clarification and reh’g</w:t>
      </w:r>
      <w:r w:rsidRPr="00AA7635">
        <w:rPr>
          <w:sz w:val="26"/>
          <w:szCs w:val="26"/>
        </w:rPr>
        <w:t>, 119 FERC ¶ 61,046 (2007), a</w:t>
      </w:r>
      <w:r w:rsidRPr="00AA7635">
        <w:rPr>
          <w:i/>
          <w:iCs/>
          <w:sz w:val="26"/>
          <w:szCs w:val="26"/>
        </w:rPr>
        <w:t>ff’d sub nom. Alcoa Inc. v. FERC</w:t>
      </w:r>
      <w:r w:rsidRPr="00AA7635">
        <w:rPr>
          <w:sz w:val="26"/>
          <w:szCs w:val="26"/>
        </w:rPr>
        <w:t>, 564 F.3d 1342 (D.C. Cir. 2009).</w:t>
      </w:r>
    </w:p>
  </w:footnote>
  <w:footnote w:id="17">
    <w:p w:rsidR="00CB0F6A" w:rsidRPr="00AA7635" w:rsidP="003F0B1A" w14:paraId="77F2A29A" w14:textId="5F722871">
      <w:pPr>
        <w:pStyle w:val="FootnoteText"/>
        <w:rPr>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i/>
          <w:iCs/>
          <w:sz w:val="26"/>
          <w:szCs w:val="26"/>
        </w:rPr>
        <w:t>Id.</w:t>
      </w:r>
      <w:r w:rsidRPr="00AA7635" w:rsidR="004B37E6">
        <w:rPr>
          <w:sz w:val="26"/>
          <w:szCs w:val="26"/>
        </w:rPr>
        <w:t>at</w:t>
      </w:r>
      <w:r w:rsidRPr="00AA7635">
        <w:rPr>
          <w:i/>
          <w:iCs/>
          <w:sz w:val="26"/>
          <w:szCs w:val="26"/>
        </w:rPr>
        <w:t xml:space="preserve"> </w:t>
      </w:r>
      <w:r w:rsidRPr="00AA7635">
        <w:rPr>
          <w:sz w:val="26"/>
          <w:szCs w:val="26"/>
        </w:rPr>
        <w:t>P 3.</w:t>
      </w:r>
    </w:p>
  </w:footnote>
  <w:footnote w:id="18">
    <w:p w:rsidR="00CB0F6A" w:rsidRPr="003F0B1A" w:rsidP="003F0B1A" w14:paraId="3D6C087C" w14:textId="280B8D94">
      <w:pPr>
        <w:pStyle w:val="FootnoteText"/>
        <w:rPr>
          <w:color w:val="000000"/>
          <w:sz w:val="26"/>
          <w:szCs w:val="26"/>
          <w:shd w:val="clear" w:color="auto" w:fill="FFFFFF"/>
        </w:rPr>
      </w:pPr>
      <w:r w:rsidRPr="00AA7635">
        <w:rPr>
          <w:rStyle w:val="FootnoteReference"/>
          <w:sz w:val="26"/>
          <w:szCs w:val="26"/>
          <w:vertAlign w:val="superscript"/>
        </w:rPr>
        <w:footnoteRef/>
      </w:r>
      <w:r w:rsidRPr="00AA7635">
        <w:rPr>
          <w:sz w:val="26"/>
          <w:szCs w:val="26"/>
          <w:vertAlign w:val="superscript"/>
        </w:rPr>
        <w:t xml:space="preserve"> </w:t>
      </w:r>
      <w:r w:rsidRPr="00AA7635">
        <w:rPr>
          <w:rStyle w:val="normaltextrun"/>
          <w:i/>
          <w:iCs/>
          <w:color w:val="000000"/>
          <w:sz w:val="26"/>
          <w:szCs w:val="26"/>
          <w:shd w:val="clear" w:color="auto" w:fill="FFFFFF"/>
        </w:rPr>
        <w:t>Id.</w:t>
      </w:r>
      <w:r w:rsidRPr="00AA7635">
        <w:rPr>
          <w:rStyle w:val="normaltextrun"/>
          <w:color w:val="000000"/>
          <w:sz w:val="26"/>
          <w:szCs w:val="26"/>
          <w:shd w:val="clear" w:color="auto" w:fill="FFFFFF"/>
        </w:rPr>
        <w:t> </w:t>
      </w:r>
      <w:r w:rsidR="004B37E6">
        <w:rPr>
          <w:rStyle w:val="normaltextrun"/>
          <w:color w:val="000000"/>
          <w:sz w:val="26"/>
          <w:szCs w:val="26"/>
          <w:shd w:val="clear" w:color="auto" w:fill="FFFFFF"/>
        </w:rPr>
        <w:t xml:space="preserve">at </w:t>
      </w:r>
      <w:r w:rsidRPr="00AA7635">
        <w:rPr>
          <w:rStyle w:val="normaltextrun"/>
          <w:color w:val="000000"/>
          <w:sz w:val="26"/>
          <w:szCs w:val="26"/>
          <w:shd w:val="clear" w:color="auto" w:fill="FFFFFF"/>
        </w:rPr>
        <w:t>P 28.</w:t>
      </w:r>
    </w:p>
  </w:footnote>
  <w:footnote w:id="19">
    <w:p w:rsidR="0081623F" w:rsidP="00AA7635" w14:paraId="2DC7672B" w14:textId="2E8460E5">
      <w:pPr>
        <w:autoSpaceDE w:val="0"/>
        <w:autoSpaceDN w:val="0"/>
        <w:adjustRightInd w:val="0"/>
        <w:spacing w:after="0" w:line="240" w:lineRule="auto"/>
      </w:pPr>
      <w:r w:rsidRPr="00AA7635">
        <w:rPr>
          <w:rStyle w:val="FootnoteReference"/>
          <w:rFonts w:ascii="Times New Roman" w:hAnsi="Times New Roman" w:cs="Times New Roman"/>
          <w:sz w:val="26"/>
          <w:szCs w:val="26"/>
          <w:vertAlign w:val="superscript"/>
        </w:rPr>
        <w:footnoteRef/>
      </w:r>
      <w:r w:rsidRPr="00AA7635">
        <w:rPr>
          <w:rFonts w:ascii="Times New Roman" w:hAnsi="Times New Roman" w:cs="Times New Roman"/>
          <w:sz w:val="26"/>
          <w:szCs w:val="26"/>
        </w:rPr>
        <w:t xml:space="preserve"> </w:t>
      </w:r>
      <w:r w:rsidRPr="00AA7635">
        <w:rPr>
          <w:rFonts w:ascii="Times New Roman" w:hAnsi="Times New Roman" w:cs="Times New Roman"/>
          <w:color w:val="000000"/>
          <w:sz w:val="26"/>
          <w:szCs w:val="26"/>
        </w:rPr>
        <w:t xml:space="preserve">The proposed Reliability Standard is not attached to this order. </w:t>
      </w:r>
      <w:r w:rsidRPr="001566F0">
        <w:rPr>
          <w:rFonts w:ascii="TimesNewRoman" w:hAnsi="TimesNewRoman" w:cs="TimesNewRoman"/>
          <w:color w:val="000000"/>
        </w:rPr>
        <w:t xml:space="preserve">Reliability Standard is available on the Commission’s library document retrieval </w:t>
      </w:r>
      <w:r w:rsidRPr="001566F0">
        <w:rPr>
          <w:color w:val="000000"/>
        </w:rPr>
        <w:t xml:space="preserve">system in Docket No. RD24-3-000 and on the NERC website, </w:t>
      </w:r>
      <w:hyperlink r:id="rId1">
        <w:r w:rsidRPr="7DE75088">
          <w:rPr>
            <w:rStyle w:val="Hyperlink"/>
            <w:rFonts w:ascii="TimesNewRoman" w:hAnsi="TimesNewRoman" w:cs="TimesNewRoman"/>
          </w:rPr>
          <w:t>www.nerc.com</w:t>
        </w:r>
      </w:hyperlink>
      <w:r w:rsidRPr="001566F0">
        <w:rPr>
          <w:color w:val="000000"/>
        </w:rPr>
        <w:t>.</w:t>
      </w:r>
    </w:p>
  </w:footnote>
  <w:footnote w:id="20">
    <w:p w:rsidR="0081623F" w:rsidP="003F0B1A" w14:paraId="55CD9B09" w14:textId="77777777">
      <w:pPr>
        <w:pStyle w:val="FootnoteText"/>
        <w:rPr>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sz w:val="26"/>
          <w:szCs w:val="26"/>
        </w:rPr>
        <w:t xml:space="preserve">The NERC Glossary defines Real-time Assessment as, “An evaluation of system conditions using Real-time data to assess existing (pre-Contingency) and potential (post-Contingency) operating conditions. The assessment shall reflect applicable inputs including, but not limited to load; generation output levels; known Protection System and Remedial Action Scheme status or degradation, functions, and limitations; Transmission outages; generator outages; Interchange; Facility Ratings; and identified phase angle and equipment limitations.  (Real-time Assessment may be provided through internal systems or through third-party services.)”  NERC Glossary of Terms Used in NERC Reliability Standards (April 1, 2024).  </w:t>
      </w:r>
    </w:p>
    <w:p w:rsidR="00CB0F6A" w:rsidRPr="00AA7635" w:rsidP="00AA7635" w14:paraId="542A6DA0" w14:textId="77777777">
      <w:pPr>
        <w:pStyle w:val="FootnoteText"/>
        <w:ind w:firstLine="720"/>
        <w:rPr>
          <w:sz w:val="26"/>
          <w:szCs w:val="26"/>
        </w:rPr>
      </w:pPr>
    </w:p>
  </w:footnote>
  <w:footnote w:id="21">
    <w:p w:rsidR="00CB0F6A" w:rsidRPr="00AA7635" w:rsidP="003F0B1A" w14:paraId="7159AADD" w14:textId="7EE1CA1C">
      <w:pPr>
        <w:pStyle w:val="FootnoteText"/>
        <w:rPr>
          <w:sz w:val="26"/>
          <w:szCs w:val="26"/>
        </w:rPr>
      </w:pPr>
      <w:r w:rsidRPr="00AA7635">
        <w:rPr>
          <w:rStyle w:val="FootnoteReference"/>
          <w:sz w:val="26"/>
          <w:szCs w:val="26"/>
          <w:vertAlign w:val="superscript"/>
        </w:rPr>
        <w:footnoteRef/>
      </w:r>
      <w:r w:rsidRPr="00AA7635">
        <w:rPr>
          <w:sz w:val="26"/>
          <w:szCs w:val="26"/>
        </w:rPr>
        <w:t xml:space="preserve"> </w:t>
      </w:r>
      <w:bookmarkStart w:id="1" w:name="_Hlk164158430"/>
      <w:r w:rsidRPr="00AA7635">
        <w:rPr>
          <w:i/>
          <w:iCs/>
          <w:sz w:val="26"/>
          <w:szCs w:val="26"/>
        </w:rPr>
        <w:t>Id.</w:t>
      </w:r>
      <w:r w:rsidRPr="00AA7635">
        <w:rPr>
          <w:sz w:val="26"/>
          <w:szCs w:val="26"/>
        </w:rPr>
        <w:t xml:space="preserve"> at 23.</w:t>
      </w:r>
      <w:bookmarkEnd w:id="1"/>
    </w:p>
  </w:footnote>
  <w:footnote w:id="22">
    <w:p w:rsidR="0081623F" w:rsidP="003F0B1A" w14:paraId="5B6C898A" w14:textId="77777777">
      <w:pPr>
        <w:pStyle w:val="FootnoteText"/>
      </w:pPr>
      <w:r w:rsidRPr="00AA7635">
        <w:rPr>
          <w:rStyle w:val="FootnoteReference"/>
          <w:sz w:val="26"/>
          <w:szCs w:val="26"/>
          <w:vertAlign w:val="superscript"/>
        </w:rPr>
        <w:footnoteRef/>
      </w:r>
      <w:r w:rsidRPr="00AA7635">
        <w:rPr>
          <w:sz w:val="26"/>
          <w:szCs w:val="26"/>
          <w:vertAlign w:val="superscript"/>
        </w:rPr>
        <w:t xml:space="preserve"> </w:t>
      </w:r>
      <w:r w:rsidRPr="00AA7635">
        <w:rPr>
          <w:rStyle w:val="normaltextrun"/>
          <w:color w:val="000000"/>
          <w:sz w:val="26"/>
          <w:szCs w:val="26"/>
          <w:shd w:val="clear" w:color="auto" w:fill="FFFFFF"/>
        </w:rPr>
        <w:t>NERC Petition at 3.</w:t>
      </w:r>
    </w:p>
  </w:footnote>
  <w:footnote w:id="23">
    <w:p w:rsidR="00FE0EF5" w:rsidP="003F0B1A" w14:paraId="2128A6AD" w14:textId="77777777">
      <w:pPr>
        <w:pStyle w:val="FootnoteText"/>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24">
    <w:p w:rsidR="00532F8E" w:rsidP="003F0B1A" w14:paraId="39CC263E" w14:textId="07FF8E51">
      <w:pPr>
        <w:pStyle w:val="FootnoteText"/>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Pr>
          <w:sz w:val="26"/>
          <w:szCs w:val="24"/>
        </w:rPr>
        <w:t>Section 1502,</w:t>
      </w:r>
      <w:r w:rsidR="00F8716D">
        <w:rPr>
          <w:sz w:val="26"/>
          <w:szCs w:val="24"/>
        </w:rPr>
        <w:t xml:space="preserve"> at 91-92 (revised November 28, 2023)</w:t>
      </w:r>
      <w:r>
        <w:rPr>
          <w:sz w:val="26"/>
          <w:szCs w:val="24"/>
        </w:rPr>
        <w:t>.</w:t>
      </w:r>
    </w:p>
  </w:footnote>
  <w:footnote w:id="25">
    <w:p w:rsidR="00CB0F6A" w:rsidRPr="003F0B1A" w:rsidP="003F0B1A" w14:paraId="7FF973B9" w14:textId="50926AAE">
      <w:pPr>
        <w:pStyle w:val="footnotedescription"/>
        <w:spacing w:line="240" w:lineRule="auto"/>
        <w:ind w:left="0" w:right="183" w:firstLine="0"/>
        <w:rPr>
          <w:szCs w:val="26"/>
        </w:rPr>
      </w:pPr>
      <w:r w:rsidRPr="00AA7635">
        <w:rPr>
          <w:rStyle w:val="footnotemark"/>
          <w:b w:val="0"/>
          <w:bCs/>
          <w:szCs w:val="26"/>
        </w:rPr>
        <w:footnoteRef/>
      </w:r>
      <w:r w:rsidRPr="00CB0F6A">
        <w:rPr>
          <w:szCs w:val="26"/>
        </w:rPr>
        <w:t xml:space="preserve"> “Burden” is the total time, effort, or financial resources expended by persons to generate, maintain, retain, or disclose or provide information to or for a Federal agency.  </w:t>
      </w:r>
      <w:r w:rsidR="000F38B3">
        <w:rPr>
          <w:szCs w:val="26"/>
        </w:rPr>
        <w:t xml:space="preserve"> </w:t>
      </w:r>
      <w:r w:rsidRPr="00CB0F6A">
        <w:rPr>
          <w:szCs w:val="26"/>
        </w:rPr>
        <w:t>5 C</w:t>
      </w:r>
      <w:r w:rsidR="000F38B3">
        <w:rPr>
          <w:szCs w:val="26"/>
        </w:rPr>
        <w:t>.</w:t>
      </w:r>
      <w:r w:rsidRPr="00CB0F6A">
        <w:rPr>
          <w:szCs w:val="26"/>
        </w:rPr>
        <w:t>F</w:t>
      </w:r>
      <w:r w:rsidR="000F38B3">
        <w:rPr>
          <w:szCs w:val="26"/>
        </w:rPr>
        <w:t>.</w:t>
      </w:r>
      <w:r w:rsidRPr="00CB0F6A">
        <w:rPr>
          <w:szCs w:val="26"/>
        </w:rPr>
        <w:t>R</w:t>
      </w:r>
      <w:r w:rsidR="000F38B3">
        <w:rPr>
          <w:szCs w:val="26"/>
        </w:rPr>
        <w:t>. §</w:t>
      </w:r>
      <w:r w:rsidRPr="00CB0F6A">
        <w:rPr>
          <w:szCs w:val="26"/>
        </w:rPr>
        <w:t xml:space="preserve"> 1320.3.</w:t>
      </w:r>
    </w:p>
  </w:footnote>
  <w:footnote w:id="26">
    <w:p w:rsidR="00CB0F6A" w:rsidRPr="003F0B1A" w:rsidP="003F0B1A" w14:paraId="49876250" w14:textId="02A54601">
      <w:pPr>
        <w:pStyle w:val="FootnoteText"/>
        <w:rPr>
          <w:rFonts w:eastAsia="Yu Mincho"/>
          <w:sz w:val="26"/>
          <w:szCs w:val="26"/>
        </w:rPr>
      </w:pPr>
      <w:r w:rsidRPr="00AA7635">
        <w:rPr>
          <w:rStyle w:val="FootnoteReference"/>
          <w:sz w:val="26"/>
          <w:szCs w:val="26"/>
          <w:vertAlign w:val="superscript"/>
        </w:rPr>
        <w:footnoteRef/>
      </w:r>
      <w:r w:rsidRPr="00AA7635">
        <w:rPr>
          <w:sz w:val="26"/>
          <w:szCs w:val="26"/>
          <w:vertAlign w:val="superscript"/>
        </w:rPr>
        <w:t xml:space="preserve"> </w:t>
      </w:r>
      <w:r w:rsidRPr="00AA7635">
        <w:rPr>
          <w:rFonts w:eastAsia="Yu Mincho"/>
          <w:sz w:val="26"/>
          <w:szCs w:val="26"/>
        </w:rPr>
        <w:t>Order No. 822, 154 FERC ¶ 61,037 at 32</w:t>
      </w:r>
      <w:r w:rsidR="00C5550D">
        <w:rPr>
          <w:rFonts w:eastAsia="Yu Mincho"/>
          <w:sz w:val="26"/>
          <w:szCs w:val="26"/>
        </w:rPr>
        <w:t xml:space="preserve"> (2016)</w:t>
      </w:r>
      <w:r w:rsidRPr="00AA7635">
        <w:rPr>
          <w:rFonts w:eastAsia="Yu Mincho"/>
          <w:sz w:val="26"/>
          <w:szCs w:val="26"/>
        </w:rPr>
        <w:t>.</w:t>
      </w:r>
    </w:p>
  </w:footnote>
  <w:footnote w:id="27">
    <w:p w:rsidR="008763BF" w:rsidP="003F0B1A" w14:paraId="33A0EA0D" w14:textId="77777777">
      <w:pPr>
        <w:pStyle w:val="FootnoteText"/>
      </w:pPr>
      <w:r w:rsidRPr="00AA7635">
        <w:rPr>
          <w:rStyle w:val="FootnoteReference"/>
          <w:sz w:val="26"/>
          <w:szCs w:val="26"/>
          <w:vertAlign w:val="superscript"/>
        </w:rPr>
        <w:footnoteRef/>
      </w:r>
      <w:r w:rsidRPr="00AA7635">
        <w:rPr>
          <w:sz w:val="26"/>
          <w:szCs w:val="26"/>
        </w:rPr>
        <w:t xml:space="preserve"> </w:t>
      </w:r>
      <w:r w:rsidRPr="00AA7635">
        <w:rPr>
          <w:i/>
          <w:iCs/>
          <w:sz w:val="26"/>
          <w:szCs w:val="26"/>
        </w:rPr>
        <w:t>Mandatory Reliability Standards for Critical Infrastructure Protection</w:t>
      </w:r>
      <w:r w:rsidRPr="00AA7635">
        <w:rPr>
          <w:sz w:val="26"/>
          <w:szCs w:val="26"/>
        </w:rPr>
        <w:t>, Order No. 706, 73 FR 7368 (Feb. 7, 2008), 122 FERC ¶ 61,040, at P 72 (2008); order on reh’g, Order No. 706-A, 123 FERC ¶ 61,174 (2008); order on clarification, Order No. 706-B, 126 FERC ¶ 61,229 (2009).</w:t>
      </w:r>
    </w:p>
  </w:footnote>
  <w:footnote w:id="28">
    <w:p w:rsidR="00CB0F6A" w:rsidRPr="00D30BDB" w:rsidP="003F0B1A" w14:paraId="7326A700" w14:textId="74F60599">
      <w:pPr>
        <w:pStyle w:val="FootnoteText"/>
      </w:pPr>
      <w:r w:rsidRPr="00AA7635">
        <w:rPr>
          <w:rStyle w:val="FootnoteReference"/>
          <w:vertAlign w:val="superscript"/>
        </w:rPr>
        <w:footnoteRef/>
      </w:r>
      <w:r w:rsidRPr="00D30BDB">
        <w:t xml:space="preserve"> </w:t>
      </w:r>
      <w:r w:rsidRPr="00AA7635">
        <w:rPr>
          <w:sz w:val="26"/>
          <w:szCs w:val="26"/>
        </w:rPr>
        <w:t>We consider the filing of an application to be a “response.”</w:t>
      </w:r>
      <w:r w:rsidRPr="00D30BDB">
        <w:t xml:space="preserve"> </w:t>
      </w:r>
    </w:p>
  </w:footnote>
  <w:footnote w:id="29">
    <w:p w:rsidR="008763BF" w:rsidRPr="00AA7635" w:rsidP="003F0B1A" w14:paraId="0CD04867" w14:textId="73D6F871">
      <w:pPr>
        <w:pStyle w:val="FootnoteText"/>
        <w:rPr>
          <w:sz w:val="26"/>
          <w:szCs w:val="26"/>
        </w:rPr>
      </w:pPr>
      <w:r w:rsidRPr="00AA7635">
        <w:rPr>
          <w:rStyle w:val="FootnoteReference"/>
          <w:vertAlign w:val="superscript"/>
        </w:rPr>
        <w:footnoteRef/>
      </w:r>
      <w:r>
        <w:t xml:space="preserve"> </w:t>
      </w:r>
      <w:r w:rsidRPr="00AA7635">
        <w:rPr>
          <w:sz w:val="26"/>
          <w:szCs w:val="26"/>
        </w:rPr>
        <w:t xml:space="preserve">The hourly cost for wages plus benefits is based on the average of the occupational categories for 2024 found on the Bureau of Labor Statistics website </w:t>
      </w:r>
      <w:bookmarkStart w:id="3" w:name="_Hlk176471726"/>
      <w:r w:rsidR="007026A0">
        <w:rPr>
          <w:sz w:val="26"/>
          <w:szCs w:val="26"/>
        </w:rPr>
        <w:t>(</w:t>
      </w:r>
      <w:hyperlink r:id="rId2" w:history="1">
        <w:r w:rsidRPr="00D704A2" w:rsidR="00D13A80">
          <w:rPr>
            <w:rStyle w:val="Hyperlink"/>
            <w:sz w:val="26"/>
            <w:szCs w:val="26"/>
          </w:rPr>
          <w:t>http://www.bls.gov/oes/current/naics2_22.htm</w:t>
        </w:r>
      </w:hyperlink>
      <w:r w:rsidR="00D13A80">
        <w:rPr>
          <w:sz w:val="26"/>
          <w:szCs w:val="26"/>
        </w:rPr>
        <w:t xml:space="preserve"> </w:t>
      </w:r>
      <w:r w:rsidRPr="006041BB" w:rsidR="007026A0">
        <w:rPr>
          <w:sz w:val="26"/>
          <w:szCs w:val="26"/>
        </w:rPr>
        <w:t>)</w:t>
      </w:r>
      <w:r w:rsidRPr="00AA7635">
        <w:rPr>
          <w:sz w:val="26"/>
          <w:szCs w:val="26"/>
        </w:rPr>
        <w:t>:</w:t>
      </w:r>
      <w:bookmarkEnd w:id="3"/>
    </w:p>
    <w:p w:rsidR="008763BF" w:rsidRPr="00AA7635" w:rsidP="008763BF" w14:paraId="2D76566F" w14:textId="77777777">
      <w:pPr>
        <w:pStyle w:val="FootnoteText"/>
        <w:rPr>
          <w:sz w:val="26"/>
          <w:szCs w:val="26"/>
        </w:rPr>
      </w:pPr>
      <w:r w:rsidRPr="00AA7635">
        <w:rPr>
          <w:sz w:val="26"/>
          <w:szCs w:val="26"/>
        </w:rPr>
        <w:t>Information Security Analysts (Occupation Code: 15-1212): $80.62</w:t>
      </w:r>
    </w:p>
    <w:p w:rsidR="008763BF" w:rsidRPr="00AA7635" w:rsidP="008763BF" w14:paraId="2FDEB0F3" w14:textId="77777777">
      <w:pPr>
        <w:pStyle w:val="FootnoteText"/>
        <w:rPr>
          <w:sz w:val="26"/>
          <w:szCs w:val="26"/>
        </w:rPr>
      </w:pPr>
      <w:r w:rsidRPr="00AA7635">
        <w:rPr>
          <w:sz w:val="26"/>
          <w:szCs w:val="26"/>
        </w:rPr>
        <w:t>Computer and Mathematical (Occupation Code: 15-0000): $74.16</w:t>
      </w:r>
    </w:p>
    <w:p w:rsidR="008763BF" w:rsidRPr="00AA7635" w:rsidP="008763BF" w14:paraId="0D371ED7" w14:textId="77777777">
      <w:pPr>
        <w:pStyle w:val="FootnoteText"/>
        <w:rPr>
          <w:sz w:val="26"/>
          <w:szCs w:val="26"/>
        </w:rPr>
      </w:pPr>
      <w:r w:rsidRPr="00AA7635">
        <w:rPr>
          <w:sz w:val="26"/>
          <w:szCs w:val="26"/>
        </w:rPr>
        <w:t>Legal (Occupation Code: 23-0000): $160.24</w:t>
      </w:r>
    </w:p>
    <w:p w:rsidR="008763BF" w:rsidRPr="00AA7635" w:rsidP="008763BF" w14:paraId="16A6D94D" w14:textId="77777777">
      <w:pPr>
        <w:pStyle w:val="FootnoteText"/>
        <w:rPr>
          <w:sz w:val="26"/>
          <w:szCs w:val="26"/>
        </w:rPr>
      </w:pPr>
      <w:r w:rsidRPr="00AA7635">
        <w:rPr>
          <w:sz w:val="26"/>
          <w:szCs w:val="26"/>
        </w:rPr>
        <w:t>Computer and Information Systems Managers (Occupation Code: 11-3021): $112.88</w:t>
      </w:r>
    </w:p>
    <w:p w:rsidR="00080F42" w:rsidRPr="003F0B1A" w:rsidP="008763BF" w14:paraId="3BB5EB39" w14:textId="0E5DDDCC">
      <w:pPr>
        <w:pStyle w:val="FootnoteText"/>
        <w:rPr>
          <w:sz w:val="26"/>
          <w:szCs w:val="26"/>
        </w:rPr>
      </w:pPr>
      <w:r w:rsidRPr="00AA7635">
        <w:rPr>
          <w:sz w:val="26"/>
          <w:szCs w:val="26"/>
        </w:rPr>
        <w:t>These various occupational categories’ wage figures are averaged as follows: $80.62/hour + $74.16/hour + $160.24/hour + $112.88/hour) ÷ 4 = $106.975/hour ($106.98 rounded).  The resulting wage figure is rounded to $106.98/hour for use in calculating wage figures in the Final Rule in Docket No. RD24-3-000.</w:t>
      </w:r>
    </w:p>
  </w:footnote>
  <w:footnote w:id="30">
    <w:p w:rsidR="008763BF" w:rsidP="003F0B1A" w14:paraId="6D09B699" w14:textId="77777777">
      <w:pPr>
        <w:pStyle w:val="FootnoteText"/>
      </w:pPr>
      <w:r w:rsidRPr="00AA7635">
        <w:rPr>
          <w:rStyle w:val="FootnoteReference"/>
          <w:vertAlign w:val="superscript"/>
        </w:rPr>
        <w:footnoteRef/>
      </w:r>
      <w:r w:rsidRPr="00AA7635">
        <w:rPr>
          <w:vertAlign w:val="superscript"/>
        </w:rPr>
        <w:t xml:space="preserve"> </w:t>
      </w:r>
      <w:r w:rsidRPr="00AA7635">
        <w:rPr>
          <w:sz w:val="26"/>
          <w:szCs w:val="26"/>
        </w:rPr>
        <w:t>This includes the record retention costs for the one-time and the on-going reporting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1686CF65" w14:textId="77777777">
    <w:pPr>
      <w:pStyle w:val="Header"/>
    </w:pPr>
  </w:p>
  <w:p w:rsidR="00E63496" w14:paraId="05CCD0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457" w:rsidRPr="00B51BB8" w:rsidP="002A4142" w14:paraId="28A9C44C" w14:textId="17EE7F43">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 xml:space="preserve">) </w:t>
    </w:r>
  </w:p>
  <w:p w:rsidR="00AC06A5" w:rsidRPr="00470B2A" w:rsidP="00470B2A" w14:paraId="618B642F"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0">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17">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0">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2"/>
  </w:num>
  <w:num w:numId="4" w16cid:durableId="1415399731">
    <w:abstractNumId w:val="23"/>
  </w:num>
  <w:num w:numId="5" w16cid:durableId="844831613">
    <w:abstractNumId w:val="4"/>
  </w:num>
  <w:num w:numId="6" w16cid:durableId="1794254158">
    <w:abstractNumId w:val="16"/>
  </w:num>
  <w:num w:numId="7" w16cid:durableId="1572614205">
    <w:abstractNumId w:val="30"/>
  </w:num>
  <w:num w:numId="8" w16cid:durableId="1437629803">
    <w:abstractNumId w:val="19"/>
  </w:num>
  <w:num w:numId="9" w16cid:durableId="186063330">
    <w:abstractNumId w:val="17"/>
  </w:num>
  <w:num w:numId="10" w16cid:durableId="767115022">
    <w:abstractNumId w:val="27"/>
  </w:num>
  <w:num w:numId="11" w16cid:durableId="294719020">
    <w:abstractNumId w:val="18"/>
  </w:num>
  <w:num w:numId="12" w16cid:durableId="1727875903">
    <w:abstractNumId w:val="5"/>
  </w:num>
  <w:num w:numId="13" w16cid:durableId="1634630046">
    <w:abstractNumId w:val="12"/>
  </w:num>
  <w:num w:numId="14" w16cid:durableId="1080564002">
    <w:abstractNumId w:val="21"/>
  </w:num>
  <w:num w:numId="15" w16cid:durableId="1918393747">
    <w:abstractNumId w:val="29"/>
  </w:num>
  <w:num w:numId="16" w16cid:durableId="1021276500">
    <w:abstractNumId w:val="20"/>
  </w:num>
  <w:num w:numId="17" w16cid:durableId="2020694400">
    <w:abstractNumId w:val="14"/>
  </w:num>
  <w:num w:numId="18" w16cid:durableId="966740612">
    <w:abstractNumId w:val="10"/>
  </w:num>
  <w:num w:numId="19" w16cid:durableId="1544828605">
    <w:abstractNumId w:val="6"/>
  </w:num>
  <w:num w:numId="20" w16cid:durableId="84108037">
    <w:abstractNumId w:val="3"/>
  </w:num>
  <w:num w:numId="21" w16cid:durableId="254751495">
    <w:abstractNumId w:val="8"/>
  </w:num>
  <w:num w:numId="22" w16cid:durableId="1489053934">
    <w:abstractNumId w:val="25"/>
  </w:num>
  <w:num w:numId="23" w16cid:durableId="362901518">
    <w:abstractNumId w:val="9"/>
  </w:num>
  <w:num w:numId="24" w16cid:durableId="1442915944">
    <w:abstractNumId w:val="7"/>
  </w:num>
  <w:num w:numId="25" w16cid:durableId="1760984500">
    <w:abstractNumId w:val="11"/>
  </w:num>
  <w:num w:numId="26" w16cid:durableId="137036359">
    <w:abstractNumId w:val="2"/>
  </w:num>
  <w:num w:numId="27" w16cid:durableId="1882205948">
    <w:abstractNumId w:val="1"/>
  </w:num>
  <w:num w:numId="28" w16cid:durableId="1622608606">
    <w:abstractNumId w:val="0"/>
  </w:num>
  <w:num w:numId="29" w16cid:durableId="49501384">
    <w:abstractNumId w:val="15"/>
  </w:num>
  <w:num w:numId="30" w16cid:durableId="2079281319">
    <w:abstractNumId w:val="28"/>
  </w:num>
  <w:num w:numId="31" w16cid:durableId="1680888409">
    <w:abstractNumId w:val="13"/>
  </w:num>
  <w:num w:numId="32" w16cid:durableId="703676899">
    <w:abstractNumId w:val="24"/>
  </w:num>
  <w:num w:numId="33" w16cid:durableId="3184608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27B8"/>
    <w:rsid w:val="00005289"/>
    <w:rsid w:val="00005F2F"/>
    <w:rsid w:val="000151A0"/>
    <w:rsid w:val="00017AC9"/>
    <w:rsid w:val="00017D46"/>
    <w:rsid w:val="000203A0"/>
    <w:rsid w:val="000206A8"/>
    <w:rsid w:val="00021862"/>
    <w:rsid w:val="00021D22"/>
    <w:rsid w:val="00024339"/>
    <w:rsid w:val="00026087"/>
    <w:rsid w:val="000302F1"/>
    <w:rsid w:val="00030744"/>
    <w:rsid w:val="00031CE6"/>
    <w:rsid w:val="000347AE"/>
    <w:rsid w:val="00034D83"/>
    <w:rsid w:val="0004111C"/>
    <w:rsid w:val="0004133D"/>
    <w:rsid w:val="000428A5"/>
    <w:rsid w:val="00042D80"/>
    <w:rsid w:val="00043C81"/>
    <w:rsid w:val="0004532C"/>
    <w:rsid w:val="000478CB"/>
    <w:rsid w:val="00050740"/>
    <w:rsid w:val="00051544"/>
    <w:rsid w:val="00052A3B"/>
    <w:rsid w:val="000537F7"/>
    <w:rsid w:val="00053805"/>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F"/>
    <w:rsid w:val="00080F42"/>
    <w:rsid w:val="00085AB8"/>
    <w:rsid w:val="00085C16"/>
    <w:rsid w:val="00087336"/>
    <w:rsid w:val="00092114"/>
    <w:rsid w:val="00092CAA"/>
    <w:rsid w:val="00094D36"/>
    <w:rsid w:val="00094D4F"/>
    <w:rsid w:val="000A1388"/>
    <w:rsid w:val="000A74EF"/>
    <w:rsid w:val="000B4143"/>
    <w:rsid w:val="000C1902"/>
    <w:rsid w:val="000C1EE9"/>
    <w:rsid w:val="000D2D65"/>
    <w:rsid w:val="000D4A29"/>
    <w:rsid w:val="000E1839"/>
    <w:rsid w:val="000E4B49"/>
    <w:rsid w:val="000E5E73"/>
    <w:rsid w:val="000F03BB"/>
    <w:rsid w:val="000F341C"/>
    <w:rsid w:val="000F3601"/>
    <w:rsid w:val="000F38B3"/>
    <w:rsid w:val="000F3EBB"/>
    <w:rsid w:val="000F73BF"/>
    <w:rsid w:val="00100229"/>
    <w:rsid w:val="00100D18"/>
    <w:rsid w:val="00102231"/>
    <w:rsid w:val="00102F1A"/>
    <w:rsid w:val="00103120"/>
    <w:rsid w:val="00105164"/>
    <w:rsid w:val="00105A3D"/>
    <w:rsid w:val="001062F8"/>
    <w:rsid w:val="00107105"/>
    <w:rsid w:val="001075FC"/>
    <w:rsid w:val="0011241C"/>
    <w:rsid w:val="001144FB"/>
    <w:rsid w:val="00115677"/>
    <w:rsid w:val="00115C06"/>
    <w:rsid w:val="00115F24"/>
    <w:rsid w:val="00124F70"/>
    <w:rsid w:val="00125D58"/>
    <w:rsid w:val="00126877"/>
    <w:rsid w:val="0012731F"/>
    <w:rsid w:val="001301E0"/>
    <w:rsid w:val="00130417"/>
    <w:rsid w:val="00131470"/>
    <w:rsid w:val="00133488"/>
    <w:rsid w:val="0013550F"/>
    <w:rsid w:val="00135CDF"/>
    <w:rsid w:val="00136ED1"/>
    <w:rsid w:val="00137551"/>
    <w:rsid w:val="00145E58"/>
    <w:rsid w:val="0014705F"/>
    <w:rsid w:val="00150D8D"/>
    <w:rsid w:val="001513E7"/>
    <w:rsid w:val="0015264C"/>
    <w:rsid w:val="00155323"/>
    <w:rsid w:val="0015640F"/>
    <w:rsid w:val="001566F0"/>
    <w:rsid w:val="00160787"/>
    <w:rsid w:val="00164079"/>
    <w:rsid w:val="001647E7"/>
    <w:rsid w:val="00165FD4"/>
    <w:rsid w:val="00167C07"/>
    <w:rsid w:val="00167C8E"/>
    <w:rsid w:val="001737AC"/>
    <w:rsid w:val="00173D5C"/>
    <w:rsid w:val="00173E2A"/>
    <w:rsid w:val="00174279"/>
    <w:rsid w:val="001755B4"/>
    <w:rsid w:val="0018141D"/>
    <w:rsid w:val="00181C6A"/>
    <w:rsid w:val="00181D4D"/>
    <w:rsid w:val="00183FE9"/>
    <w:rsid w:val="00185B93"/>
    <w:rsid w:val="00191849"/>
    <w:rsid w:val="001936B6"/>
    <w:rsid w:val="00195646"/>
    <w:rsid w:val="001967A9"/>
    <w:rsid w:val="001976E0"/>
    <w:rsid w:val="001A03C2"/>
    <w:rsid w:val="001A22CF"/>
    <w:rsid w:val="001A2CF8"/>
    <w:rsid w:val="001A5842"/>
    <w:rsid w:val="001A76A3"/>
    <w:rsid w:val="001A786F"/>
    <w:rsid w:val="001B79BD"/>
    <w:rsid w:val="001C153D"/>
    <w:rsid w:val="001C4610"/>
    <w:rsid w:val="001C4667"/>
    <w:rsid w:val="001C7766"/>
    <w:rsid w:val="001C7872"/>
    <w:rsid w:val="001D0877"/>
    <w:rsid w:val="001D47A6"/>
    <w:rsid w:val="001D4C3D"/>
    <w:rsid w:val="001D6A97"/>
    <w:rsid w:val="001D7EB6"/>
    <w:rsid w:val="001E06BD"/>
    <w:rsid w:val="001E11E7"/>
    <w:rsid w:val="001E4D08"/>
    <w:rsid w:val="001E53A9"/>
    <w:rsid w:val="001F0961"/>
    <w:rsid w:val="001F1D83"/>
    <w:rsid w:val="001F4069"/>
    <w:rsid w:val="002025A8"/>
    <w:rsid w:val="002034E6"/>
    <w:rsid w:val="00211860"/>
    <w:rsid w:val="002127F7"/>
    <w:rsid w:val="00213195"/>
    <w:rsid w:val="00213EC6"/>
    <w:rsid w:val="002159F5"/>
    <w:rsid w:val="0021658A"/>
    <w:rsid w:val="002229D8"/>
    <w:rsid w:val="00230B2A"/>
    <w:rsid w:val="00232182"/>
    <w:rsid w:val="002329FB"/>
    <w:rsid w:val="002332C2"/>
    <w:rsid w:val="002359F6"/>
    <w:rsid w:val="00235C09"/>
    <w:rsid w:val="00236FF2"/>
    <w:rsid w:val="002370E2"/>
    <w:rsid w:val="0024001F"/>
    <w:rsid w:val="00240C3A"/>
    <w:rsid w:val="0024309E"/>
    <w:rsid w:val="002522F6"/>
    <w:rsid w:val="00252E73"/>
    <w:rsid w:val="0025674D"/>
    <w:rsid w:val="00257FBE"/>
    <w:rsid w:val="0026021C"/>
    <w:rsid w:val="00260F6F"/>
    <w:rsid w:val="0026236C"/>
    <w:rsid w:val="002648F4"/>
    <w:rsid w:val="0026658C"/>
    <w:rsid w:val="00270184"/>
    <w:rsid w:val="00271EC6"/>
    <w:rsid w:val="00275760"/>
    <w:rsid w:val="00281141"/>
    <w:rsid w:val="0028418B"/>
    <w:rsid w:val="0028671F"/>
    <w:rsid w:val="00287433"/>
    <w:rsid w:val="00290004"/>
    <w:rsid w:val="0029048F"/>
    <w:rsid w:val="00290ACC"/>
    <w:rsid w:val="0029198C"/>
    <w:rsid w:val="00291A94"/>
    <w:rsid w:val="00297207"/>
    <w:rsid w:val="002A4142"/>
    <w:rsid w:val="002A45D0"/>
    <w:rsid w:val="002A4B6B"/>
    <w:rsid w:val="002A5BA5"/>
    <w:rsid w:val="002A7EF0"/>
    <w:rsid w:val="002B0760"/>
    <w:rsid w:val="002B0CC8"/>
    <w:rsid w:val="002B3B00"/>
    <w:rsid w:val="002B3EBF"/>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4D73"/>
    <w:rsid w:val="002F157F"/>
    <w:rsid w:val="002F1B6D"/>
    <w:rsid w:val="002F3DB9"/>
    <w:rsid w:val="00300EBE"/>
    <w:rsid w:val="00302F75"/>
    <w:rsid w:val="00314EBE"/>
    <w:rsid w:val="00315F04"/>
    <w:rsid w:val="0033288D"/>
    <w:rsid w:val="003329AF"/>
    <w:rsid w:val="00332A43"/>
    <w:rsid w:val="00332B3A"/>
    <w:rsid w:val="00333085"/>
    <w:rsid w:val="00336CEE"/>
    <w:rsid w:val="00337299"/>
    <w:rsid w:val="00340456"/>
    <w:rsid w:val="00340971"/>
    <w:rsid w:val="003464A8"/>
    <w:rsid w:val="00353BFC"/>
    <w:rsid w:val="003542F8"/>
    <w:rsid w:val="003542FD"/>
    <w:rsid w:val="0035608B"/>
    <w:rsid w:val="00360F81"/>
    <w:rsid w:val="00361094"/>
    <w:rsid w:val="003611DF"/>
    <w:rsid w:val="00366042"/>
    <w:rsid w:val="003702E7"/>
    <w:rsid w:val="003745F7"/>
    <w:rsid w:val="00374A3F"/>
    <w:rsid w:val="00375F53"/>
    <w:rsid w:val="00376367"/>
    <w:rsid w:val="003771D0"/>
    <w:rsid w:val="00380310"/>
    <w:rsid w:val="0038265B"/>
    <w:rsid w:val="00391060"/>
    <w:rsid w:val="00394225"/>
    <w:rsid w:val="00394FC5"/>
    <w:rsid w:val="003976CA"/>
    <w:rsid w:val="003979D6"/>
    <w:rsid w:val="003A1FED"/>
    <w:rsid w:val="003A2A25"/>
    <w:rsid w:val="003A37A8"/>
    <w:rsid w:val="003A536E"/>
    <w:rsid w:val="003A79FA"/>
    <w:rsid w:val="003B00BB"/>
    <w:rsid w:val="003B279C"/>
    <w:rsid w:val="003B56D0"/>
    <w:rsid w:val="003B5BA9"/>
    <w:rsid w:val="003B6534"/>
    <w:rsid w:val="003B681E"/>
    <w:rsid w:val="003C19D0"/>
    <w:rsid w:val="003C1A02"/>
    <w:rsid w:val="003C4DC8"/>
    <w:rsid w:val="003C60DE"/>
    <w:rsid w:val="003D09FB"/>
    <w:rsid w:val="003D54E3"/>
    <w:rsid w:val="003E28B1"/>
    <w:rsid w:val="003E2EB0"/>
    <w:rsid w:val="003E599C"/>
    <w:rsid w:val="003F0B1A"/>
    <w:rsid w:val="003F1569"/>
    <w:rsid w:val="003F77BD"/>
    <w:rsid w:val="00401261"/>
    <w:rsid w:val="00401B62"/>
    <w:rsid w:val="0040637D"/>
    <w:rsid w:val="00410870"/>
    <w:rsid w:val="00413222"/>
    <w:rsid w:val="004137F1"/>
    <w:rsid w:val="00414F6C"/>
    <w:rsid w:val="00416DFC"/>
    <w:rsid w:val="004270C2"/>
    <w:rsid w:val="00431AFA"/>
    <w:rsid w:val="004320D5"/>
    <w:rsid w:val="0043221E"/>
    <w:rsid w:val="0043303B"/>
    <w:rsid w:val="004335A7"/>
    <w:rsid w:val="00433A3A"/>
    <w:rsid w:val="0044319A"/>
    <w:rsid w:val="0044405A"/>
    <w:rsid w:val="004474E2"/>
    <w:rsid w:val="00452265"/>
    <w:rsid w:val="00452997"/>
    <w:rsid w:val="004551F4"/>
    <w:rsid w:val="00460748"/>
    <w:rsid w:val="00465FB7"/>
    <w:rsid w:val="00466165"/>
    <w:rsid w:val="004700FA"/>
    <w:rsid w:val="00470B2A"/>
    <w:rsid w:val="00471C82"/>
    <w:rsid w:val="00471C95"/>
    <w:rsid w:val="00476EA3"/>
    <w:rsid w:val="0047703B"/>
    <w:rsid w:val="004845D0"/>
    <w:rsid w:val="00485D08"/>
    <w:rsid w:val="00485D09"/>
    <w:rsid w:val="0048633D"/>
    <w:rsid w:val="00491BAA"/>
    <w:rsid w:val="0049735F"/>
    <w:rsid w:val="004A1428"/>
    <w:rsid w:val="004A49D5"/>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D0ED6"/>
    <w:rsid w:val="004D1F53"/>
    <w:rsid w:val="004D66A6"/>
    <w:rsid w:val="004E6159"/>
    <w:rsid w:val="004F3921"/>
    <w:rsid w:val="004F3F84"/>
    <w:rsid w:val="004F6B1A"/>
    <w:rsid w:val="005016D2"/>
    <w:rsid w:val="00501F21"/>
    <w:rsid w:val="00501F6B"/>
    <w:rsid w:val="00503408"/>
    <w:rsid w:val="00503446"/>
    <w:rsid w:val="00503BD5"/>
    <w:rsid w:val="00505E74"/>
    <w:rsid w:val="00506164"/>
    <w:rsid w:val="005075DD"/>
    <w:rsid w:val="00511A94"/>
    <w:rsid w:val="00511CAB"/>
    <w:rsid w:val="0051451B"/>
    <w:rsid w:val="00516258"/>
    <w:rsid w:val="00522521"/>
    <w:rsid w:val="00522B8A"/>
    <w:rsid w:val="00523129"/>
    <w:rsid w:val="00524C44"/>
    <w:rsid w:val="005255E2"/>
    <w:rsid w:val="00526310"/>
    <w:rsid w:val="00526E25"/>
    <w:rsid w:val="00526F2F"/>
    <w:rsid w:val="00527AE1"/>
    <w:rsid w:val="00532F8E"/>
    <w:rsid w:val="0053499F"/>
    <w:rsid w:val="005368DE"/>
    <w:rsid w:val="0054100A"/>
    <w:rsid w:val="00543FCE"/>
    <w:rsid w:val="00545C3F"/>
    <w:rsid w:val="00550405"/>
    <w:rsid w:val="005504BA"/>
    <w:rsid w:val="00551C05"/>
    <w:rsid w:val="00555094"/>
    <w:rsid w:val="005558F8"/>
    <w:rsid w:val="005565BB"/>
    <w:rsid w:val="005575ED"/>
    <w:rsid w:val="00562697"/>
    <w:rsid w:val="00563E91"/>
    <w:rsid w:val="00565350"/>
    <w:rsid w:val="00565F74"/>
    <w:rsid w:val="00566988"/>
    <w:rsid w:val="00566DAE"/>
    <w:rsid w:val="00567B0B"/>
    <w:rsid w:val="0057098C"/>
    <w:rsid w:val="0057337C"/>
    <w:rsid w:val="005768DB"/>
    <w:rsid w:val="0057714E"/>
    <w:rsid w:val="005774B1"/>
    <w:rsid w:val="005817C4"/>
    <w:rsid w:val="00581E3E"/>
    <w:rsid w:val="00582804"/>
    <w:rsid w:val="00583842"/>
    <w:rsid w:val="005840F4"/>
    <w:rsid w:val="005853F1"/>
    <w:rsid w:val="00585915"/>
    <w:rsid w:val="00586DC2"/>
    <w:rsid w:val="005908AC"/>
    <w:rsid w:val="005935E9"/>
    <w:rsid w:val="00594F81"/>
    <w:rsid w:val="00595846"/>
    <w:rsid w:val="00597658"/>
    <w:rsid w:val="005A0C89"/>
    <w:rsid w:val="005A2A38"/>
    <w:rsid w:val="005A465A"/>
    <w:rsid w:val="005A4E10"/>
    <w:rsid w:val="005A613C"/>
    <w:rsid w:val="005A779D"/>
    <w:rsid w:val="005B07A1"/>
    <w:rsid w:val="005B07E8"/>
    <w:rsid w:val="005B253C"/>
    <w:rsid w:val="005B2D2D"/>
    <w:rsid w:val="005B3351"/>
    <w:rsid w:val="005B36B9"/>
    <w:rsid w:val="005B7001"/>
    <w:rsid w:val="005C0FD7"/>
    <w:rsid w:val="005C28A8"/>
    <w:rsid w:val="005C297F"/>
    <w:rsid w:val="005C2C3C"/>
    <w:rsid w:val="005C2C89"/>
    <w:rsid w:val="005C3098"/>
    <w:rsid w:val="005C49B4"/>
    <w:rsid w:val="005D011E"/>
    <w:rsid w:val="005D017F"/>
    <w:rsid w:val="005D054F"/>
    <w:rsid w:val="005D1E72"/>
    <w:rsid w:val="005D4423"/>
    <w:rsid w:val="005D4796"/>
    <w:rsid w:val="005D4947"/>
    <w:rsid w:val="005D6E4D"/>
    <w:rsid w:val="005E2448"/>
    <w:rsid w:val="005F3E7E"/>
    <w:rsid w:val="005F447E"/>
    <w:rsid w:val="005F55AB"/>
    <w:rsid w:val="005F6267"/>
    <w:rsid w:val="00600719"/>
    <w:rsid w:val="00602096"/>
    <w:rsid w:val="00603960"/>
    <w:rsid w:val="006041BB"/>
    <w:rsid w:val="0060467A"/>
    <w:rsid w:val="00604AEC"/>
    <w:rsid w:val="00604FC5"/>
    <w:rsid w:val="00605AFD"/>
    <w:rsid w:val="00606999"/>
    <w:rsid w:val="00612E67"/>
    <w:rsid w:val="006151D8"/>
    <w:rsid w:val="00617258"/>
    <w:rsid w:val="0061754A"/>
    <w:rsid w:val="00620C12"/>
    <w:rsid w:val="00623C7C"/>
    <w:rsid w:val="006259AE"/>
    <w:rsid w:val="00627E40"/>
    <w:rsid w:val="0063488A"/>
    <w:rsid w:val="00635A43"/>
    <w:rsid w:val="0063704B"/>
    <w:rsid w:val="00637613"/>
    <w:rsid w:val="00640D3B"/>
    <w:rsid w:val="00642CE9"/>
    <w:rsid w:val="00642D33"/>
    <w:rsid w:val="00646C3C"/>
    <w:rsid w:val="006504DF"/>
    <w:rsid w:val="006524CA"/>
    <w:rsid w:val="006564E7"/>
    <w:rsid w:val="0065657B"/>
    <w:rsid w:val="00660F09"/>
    <w:rsid w:val="00661D2C"/>
    <w:rsid w:val="00666F83"/>
    <w:rsid w:val="0067059B"/>
    <w:rsid w:val="006717E6"/>
    <w:rsid w:val="00673A39"/>
    <w:rsid w:val="00675A46"/>
    <w:rsid w:val="00675E52"/>
    <w:rsid w:val="00676763"/>
    <w:rsid w:val="00682507"/>
    <w:rsid w:val="00684FC0"/>
    <w:rsid w:val="00685933"/>
    <w:rsid w:val="00686C70"/>
    <w:rsid w:val="00687711"/>
    <w:rsid w:val="006923A9"/>
    <w:rsid w:val="006935C6"/>
    <w:rsid w:val="00694503"/>
    <w:rsid w:val="00695620"/>
    <w:rsid w:val="0069654D"/>
    <w:rsid w:val="006A32B8"/>
    <w:rsid w:val="006A7418"/>
    <w:rsid w:val="006A76FD"/>
    <w:rsid w:val="006B03B4"/>
    <w:rsid w:val="006B0E50"/>
    <w:rsid w:val="006B2709"/>
    <w:rsid w:val="006B37E7"/>
    <w:rsid w:val="006B5EEB"/>
    <w:rsid w:val="006B7C3B"/>
    <w:rsid w:val="006C0F0B"/>
    <w:rsid w:val="006C5015"/>
    <w:rsid w:val="006D185D"/>
    <w:rsid w:val="006D3E19"/>
    <w:rsid w:val="006D3E4A"/>
    <w:rsid w:val="006D46BB"/>
    <w:rsid w:val="006D515F"/>
    <w:rsid w:val="006D718E"/>
    <w:rsid w:val="006D7EB9"/>
    <w:rsid w:val="006E5E9A"/>
    <w:rsid w:val="006F04F8"/>
    <w:rsid w:val="006F199F"/>
    <w:rsid w:val="006F2091"/>
    <w:rsid w:val="006F260D"/>
    <w:rsid w:val="006F3F46"/>
    <w:rsid w:val="006F655D"/>
    <w:rsid w:val="006F7424"/>
    <w:rsid w:val="007026A0"/>
    <w:rsid w:val="00703213"/>
    <w:rsid w:val="0070345D"/>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1FA0"/>
    <w:rsid w:val="00732818"/>
    <w:rsid w:val="00732A2F"/>
    <w:rsid w:val="00734A9C"/>
    <w:rsid w:val="00737581"/>
    <w:rsid w:val="0074093F"/>
    <w:rsid w:val="0074583F"/>
    <w:rsid w:val="00746E99"/>
    <w:rsid w:val="007502F1"/>
    <w:rsid w:val="0075544F"/>
    <w:rsid w:val="0075669D"/>
    <w:rsid w:val="00763E2C"/>
    <w:rsid w:val="00764826"/>
    <w:rsid w:val="00764AFF"/>
    <w:rsid w:val="00765358"/>
    <w:rsid w:val="00765D54"/>
    <w:rsid w:val="00766152"/>
    <w:rsid w:val="00767126"/>
    <w:rsid w:val="00770A7C"/>
    <w:rsid w:val="007733E0"/>
    <w:rsid w:val="00774AAC"/>
    <w:rsid w:val="00774B70"/>
    <w:rsid w:val="00774F11"/>
    <w:rsid w:val="0077581C"/>
    <w:rsid w:val="00775ADE"/>
    <w:rsid w:val="00783250"/>
    <w:rsid w:val="0078329B"/>
    <w:rsid w:val="0079037E"/>
    <w:rsid w:val="00791559"/>
    <w:rsid w:val="00793598"/>
    <w:rsid w:val="00794A5A"/>
    <w:rsid w:val="00797852"/>
    <w:rsid w:val="007A0C62"/>
    <w:rsid w:val="007A24A4"/>
    <w:rsid w:val="007A519A"/>
    <w:rsid w:val="007A52E1"/>
    <w:rsid w:val="007A560D"/>
    <w:rsid w:val="007A5C2A"/>
    <w:rsid w:val="007A6365"/>
    <w:rsid w:val="007B1F68"/>
    <w:rsid w:val="007B3450"/>
    <w:rsid w:val="007B5319"/>
    <w:rsid w:val="007B7CCA"/>
    <w:rsid w:val="007C39D3"/>
    <w:rsid w:val="007C3BC1"/>
    <w:rsid w:val="007C5E3E"/>
    <w:rsid w:val="007C6494"/>
    <w:rsid w:val="007D0255"/>
    <w:rsid w:val="007D1DF5"/>
    <w:rsid w:val="007D29A0"/>
    <w:rsid w:val="007D2F03"/>
    <w:rsid w:val="007D3F11"/>
    <w:rsid w:val="007D71CE"/>
    <w:rsid w:val="007E1351"/>
    <w:rsid w:val="007E67E9"/>
    <w:rsid w:val="007E757F"/>
    <w:rsid w:val="007F129D"/>
    <w:rsid w:val="007F1EC9"/>
    <w:rsid w:val="007F250A"/>
    <w:rsid w:val="007F5CAD"/>
    <w:rsid w:val="007F5D80"/>
    <w:rsid w:val="00800420"/>
    <w:rsid w:val="00800E3F"/>
    <w:rsid w:val="00801C72"/>
    <w:rsid w:val="00801E1B"/>
    <w:rsid w:val="00803E7C"/>
    <w:rsid w:val="008063D8"/>
    <w:rsid w:val="00807DCE"/>
    <w:rsid w:val="00810BF9"/>
    <w:rsid w:val="00812D76"/>
    <w:rsid w:val="00814779"/>
    <w:rsid w:val="00815706"/>
    <w:rsid w:val="0081623F"/>
    <w:rsid w:val="0082044F"/>
    <w:rsid w:val="008206B7"/>
    <w:rsid w:val="00820929"/>
    <w:rsid w:val="008225F7"/>
    <w:rsid w:val="0082337B"/>
    <w:rsid w:val="00824132"/>
    <w:rsid w:val="00826CB4"/>
    <w:rsid w:val="0082752D"/>
    <w:rsid w:val="0083106C"/>
    <w:rsid w:val="00835E0A"/>
    <w:rsid w:val="008364C0"/>
    <w:rsid w:val="0084054C"/>
    <w:rsid w:val="00841807"/>
    <w:rsid w:val="008422C5"/>
    <w:rsid w:val="0084600F"/>
    <w:rsid w:val="00847F18"/>
    <w:rsid w:val="0085277E"/>
    <w:rsid w:val="00856F8A"/>
    <w:rsid w:val="0086089D"/>
    <w:rsid w:val="00860A1F"/>
    <w:rsid w:val="008616E2"/>
    <w:rsid w:val="00866048"/>
    <w:rsid w:val="0087017E"/>
    <w:rsid w:val="00870506"/>
    <w:rsid w:val="00870D5A"/>
    <w:rsid w:val="0087187E"/>
    <w:rsid w:val="008738D6"/>
    <w:rsid w:val="008763BF"/>
    <w:rsid w:val="008778CC"/>
    <w:rsid w:val="008802AB"/>
    <w:rsid w:val="0088120B"/>
    <w:rsid w:val="008815BC"/>
    <w:rsid w:val="008932AA"/>
    <w:rsid w:val="00894DFF"/>
    <w:rsid w:val="00894FFF"/>
    <w:rsid w:val="008A025E"/>
    <w:rsid w:val="008A04AA"/>
    <w:rsid w:val="008A1478"/>
    <w:rsid w:val="008A5616"/>
    <w:rsid w:val="008A5C5C"/>
    <w:rsid w:val="008B0895"/>
    <w:rsid w:val="008B1F7E"/>
    <w:rsid w:val="008B3E1C"/>
    <w:rsid w:val="008B5399"/>
    <w:rsid w:val="008B5C52"/>
    <w:rsid w:val="008B5E47"/>
    <w:rsid w:val="008B7206"/>
    <w:rsid w:val="008C0EA4"/>
    <w:rsid w:val="008C255C"/>
    <w:rsid w:val="008C747F"/>
    <w:rsid w:val="008D0DAF"/>
    <w:rsid w:val="008D18B1"/>
    <w:rsid w:val="008D20D4"/>
    <w:rsid w:val="008D4025"/>
    <w:rsid w:val="008D4563"/>
    <w:rsid w:val="008D6AED"/>
    <w:rsid w:val="008E1DEE"/>
    <w:rsid w:val="008E2021"/>
    <w:rsid w:val="008E309A"/>
    <w:rsid w:val="008E387A"/>
    <w:rsid w:val="008E605D"/>
    <w:rsid w:val="008E6B70"/>
    <w:rsid w:val="008E791C"/>
    <w:rsid w:val="008F0493"/>
    <w:rsid w:val="008F25ED"/>
    <w:rsid w:val="008F6579"/>
    <w:rsid w:val="008F76CB"/>
    <w:rsid w:val="00900C36"/>
    <w:rsid w:val="00905B66"/>
    <w:rsid w:val="00905C29"/>
    <w:rsid w:val="0090691D"/>
    <w:rsid w:val="00907AB7"/>
    <w:rsid w:val="00912E58"/>
    <w:rsid w:val="00914CBC"/>
    <w:rsid w:val="00917C9A"/>
    <w:rsid w:val="00917EAF"/>
    <w:rsid w:val="009233AE"/>
    <w:rsid w:val="0092421E"/>
    <w:rsid w:val="00924C6E"/>
    <w:rsid w:val="009257C8"/>
    <w:rsid w:val="00930579"/>
    <w:rsid w:val="00930C74"/>
    <w:rsid w:val="00931AED"/>
    <w:rsid w:val="009329DB"/>
    <w:rsid w:val="00933835"/>
    <w:rsid w:val="00933F89"/>
    <w:rsid w:val="0093400C"/>
    <w:rsid w:val="00936236"/>
    <w:rsid w:val="009420DE"/>
    <w:rsid w:val="00943DF5"/>
    <w:rsid w:val="00944392"/>
    <w:rsid w:val="00945360"/>
    <w:rsid w:val="00950542"/>
    <w:rsid w:val="009508FC"/>
    <w:rsid w:val="00951209"/>
    <w:rsid w:val="0095165A"/>
    <w:rsid w:val="00951756"/>
    <w:rsid w:val="009519D2"/>
    <w:rsid w:val="00952695"/>
    <w:rsid w:val="00960295"/>
    <w:rsid w:val="00960411"/>
    <w:rsid w:val="00960BCF"/>
    <w:rsid w:val="00960D41"/>
    <w:rsid w:val="00961D6C"/>
    <w:rsid w:val="00965545"/>
    <w:rsid w:val="0096763F"/>
    <w:rsid w:val="00967D2F"/>
    <w:rsid w:val="00970428"/>
    <w:rsid w:val="00973364"/>
    <w:rsid w:val="009766A2"/>
    <w:rsid w:val="00976B33"/>
    <w:rsid w:val="00980266"/>
    <w:rsid w:val="00980815"/>
    <w:rsid w:val="009809EA"/>
    <w:rsid w:val="0098263D"/>
    <w:rsid w:val="009833C7"/>
    <w:rsid w:val="00984878"/>
    <w:rsid w:val="00985DF5"/>
    <w:rsid w:val="009864F8"/>
    <w:rsid w:val="009875DB"/>
    <w:rsid w:val="0099105F"/>
    <w:rsid w:val="00991351"/>
    <w:rsid w:val="009922B2"/>
    <w:rsid w:val="00993E6D"/>
    <w:rsid w:val="0099517B"/>
    <w:rsid w:val="00995A69"/>
    <w:rsid w:val="00995B75"/>
    <w:rsid w:val="009A2696"/>
    <w:rsid w:val="009A3E5A"/>
    <w:rsid w:val="009A584B"/>
    <w:rsid w:val="009A7F9D"/>
    <w:rsid w:val="009B04FD"/>
    <w:rsid w:val="009B0FA2"/>
    <w:rsid w:val="009B6A77"/>
    <w:rsid w:val="009C0D97"/>
    <w:rsid w:val="009C1020"/>
    <w:rsid w:val="009C2264"/>
    <w:rsid w:val="009C2A3E"/>
    <w:rsid w:val="009C3295"/>
    <w:rsid w:val="009C3DAB"/>
    <w:rsid w:val="009C4AE6"/>
    <w:rsid w:val="009C57F6"/>
    <w:rsid w:val="009C7756"/>
    <w:rsid w:val="009D070D"/>
    <w:rsid w:val="009D6183"/>
    <w:rsid w:val="009E4495"/>
    <w:rsid w:val="009E4A19"/>
    <w:rsid w:val="009E782D"/>
    <w:rsid w:val="009F000A"/>
    <w:rsid w:val="009F0908"/>
    <w:rsid w:val="009F0B95"/>
    <w:rsid w:val="009F1EA4"/>
    <w:rsid w:val="009F2E63"/>
    <w:rsid w:val="009F7C75"/>
    <w:rsid w:val="00A02388"/>
    <w:rsid w:val="00A024F1"/>
    <w:rsid w:val="00A03BC0"/>
    <w:rsid w:val="00A062D9"/>
    <w:rsid w:val="00A06434"/>
    <w:rsid w:val="00A112D4"/>
    <w:rsid w:val="00A13DFB"/>
    <w:rsid w:val="00A14713"/>
    <w:rsid w:val="00A21CB4"/>
    <w:rsid w:val="00A23D7A"/>
    <w:rsid w:val="00A255FF"/>
    <w:rsid w:val="00A2591A"/>
    <w:rsid w:val="00A25A61"/>
    <w:rsid w:val="00A301A2"/>
    <w:rsid w:val="00A41279"/>
    <w:rsid w:val="00A431A2"/>
    <w:rsid w:val="00A467AB"/>
    <w:rsid w:val="00A52344"/>
    <w:rsid w:val="00A52FD4"/>
    <w:rsid w:val="00A54525"/>
    <w:rsid w:val="00A54B1C"/>
    <w:rsid w:val="00A55360"/>
    <w:rsid w:val="00A557F3"/>
    <w:rsid w:val="00A55996"/>
    <w:rsid w:val="00A56ED0"/>
    <w:rsid w:val="00A61BBB"/>
    <w:rsid w:val="00A7099E"/>
    <w:rsid w:val="00A70D34"/>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4A09"/>
    <w:rsid w:val="00A971CF"/>
    <w:rsid w:val="00AA2A0C"/>
    <w:rsid w:val="00AA5BC7"/>
    <w:rsid w:val="00AA7635"/>
    <w:rsid w:val="00AB1417"/>
    <w:rsid w:val="00AB2D6A"/>
    <w:rsid w:val="00AB36D0"/>
    <w:rsid w:val="00AB3A07"/>
    <w:rsid w:val="00AB5CBF"/>
    <w:rsid w:val="00AB7108"/>
    <w:rsid w:val="00AC01FE"/>
    <w:rsid w:val="00AC06A5"/>
    <w:rsid w:val="00AC22EB"/>
    <w:rsid w:val="00AD1139"/>
    <w:rsid w:val="00AD21A4"/>
    <w:rsid w:val="00AD2902"/>
    <w:rsid w:val="00AD7A4B"/>
    <w:rsid w:val="00AD7D40"/>
    <w:rsid w:val="00AE3131"/>
    <w:rsid w:val="00AE6A31"/>
    <w:rsid w:val="00AE70BC"/>
    <w:rsid w:val="00AF12C4"/>
    <w:rsid w:val="00AF29FC"/>
    <w:rsid w:val="00AF34A3"/>
    <w:rsid w:val="00AF50F8"/>
    <w:rsid w:val="00B00671"/>
    <w:rsid w:val="00B01AAB"/>
    <w:rsid w:val="00B065DF"/>
    <w:rsid w:val="00B101F2"/>
    <w:rsid w:val="00B123DB"/>
    <w:rsid w:val="00B12CBA"/>
    <w:rsid w:val="00B13AD6"/>
    <w:rsid w:val="00B15CBB"/>
    <w:rsid w:val="00B167B0"/>
    <w:rsid w:val="00B1715A"/>
    <w:rsid w:val="00B17D0C"/>
    <w:rsid w:val="00B202FA"/>
    <w:rsid w:val="00B20B0C"/>
    <w:rsid w:val="00B218E9"/>
    <w:rsid w:val="00B22C15"/>
    <w:rsid w:val="00B231D4"/>
    <w:rsid w:val="00B2427A"/>
    <w:rsid w:val="00B255F1"/>
    <w:rsid w:val="00B25616"/>
    <w:rsid w:val="00B2664C"/>
    <w:rsid w:val="00B26E4A"/>
    <w:rsid w:val="00B2778A"/>
    <w:rsid w:val="00B27B98"/>
    <w:rsid w:val="00B30099"/>
    <w:rsid w:val="00B31B24"/>
    <w:rsid w:val="00B34A73"/>
    <w:rsid w:val="00B404A4"/>
    <w:rsid w:val="00B46310"/>
    <w:rsid w:val="00B50485"/>
    <w:rsid w:val="00B50C45"/>
    <w:rsid w:val="00B51BB8"/>
    <w:rsid w:val="00B52297"/>
    <w:rsid w:val="00B52592"/>
    <w:rsid w:val="00B52EDD"/>
    <w:rsid w:val="00B53FEB"/>
    <w:rsid w:val="00B55C4B"/>
    <w:rsid w:val="00B60FD5"/>
    <w:rsid w:val="00B61FB5"/>
    <w:rsid w:val="00B6240F"/>
    <w:rsid w:val="00B63850"/>
    <w:rsid w:val="00B63F5D"/>
    <w:rsid w:val="00B67EB1"/>
    <w:rsid w:val="00B707E7"/>
    <w:rsid w:val="00B7228F"/>
    <w:rsid w:val="00B75373"/>
    <w:rsid w:val="00B762A7"/>
    <w:rsid w:val="00B820C3"/>
    <w:rsid w:val="00B82C39"/>
    <w:rsid w:val="00B836F0"/>
    <w:rsid w:val="00B85D31"/>
    <w:rsid w:val="00B8623F"/>
    <w:rsid w:val="00B94978"/>
    <w:rsid w:val="00B9626B"/>
    <w:rsid w:val="00B962D6"/>
    <w:rsid w:val="00B96B00"/>
    <w:rsid w:val="00BA0C91"/>
    <w:rsid w:val="00BA0EC4"/>
    <w:rsid w:val="00BA4664"/>
    <w:rsid w:val="00BB0A16"/>
    <w:rsid w:val="00BB26B0"/>
    <w:rsid w:val="00BB2766"/>
    <w:rsid w:val="00BB3181"/>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7A8C"/>
    <w:rsid w:val="00BD1C65"/>
    <w:rsid w:val="00BD4E24"/>
    <w:rsid w:val="00BE03F3"/>
    <w:rsid w:val="00BE0F87"/>
    <w:rsid w:val="00BE319D"/>
    <w:rsid w:val="00BF0501"/>
    <w:rsid w:val="00BF1F3F"/>
    <w:rsid w:val="00C00BD5"/>
    <w:rsid w:val="00C00F67"/>
    <w:rsid w:val="00C02C35"/>
    <w:rsid w:val="00C031D6"/>
    <w:rsid w:val="00C04E2E"/>
    <w:rsid w:val="00C04E75"/>
    <w:rsid w:val="00C07A1E"/>
    <w:rsid w:val="00C114F4"/>
    <w:rsid w:val="00C14FAA"/>
    <w:rsid w:val="00C17928"/>
    <w:rsid w:val="00C24573"/>
    <w:rsid w:val="00C260C0"/>
    <w:rsid w:val="00C315D8"/>
    <w:rsid w:val="00C360B7"/>
    <w:rsid w:val="00C41218"/>
    <w:rsid w:val="00C41676"/>
    <w:rsid w:val="00C4205B"/>
    <w:rsid w:val="00C430BB"/>
    <w:rsid w:val="00C43658"/>
    <w:rsid w:val="00C453FF"/>
    <w:rsid w:val="00C46FF0"/>
    <w:rsid w:val="00C47EE9"/>
    <w:rsid w:val="00C543AA"/>
    <w:rsid w:val="00C55140"/>
    <w:rsid w:val="00C55457"/>
    <w:rsid w:val="00C5550D"/>
    <w:rsid w:val="00C5569B"/>
    <w:rsid w:val="00C556DB"/>
    <w:rsid w:val="00C561DF"/>
    <w:rsid w:val="00C677AE"/>
    <w:rsid w:val="00C728E1"/>
    <w:rsid w:val="00C74859"/>
    <w:rsid w:val="00C748BA"/>
    <w:rsid w:val="00C80058"/>
    <w:rsid w:val="00C81A78"/>
    <w:rsid w:val="00C82332"/>
    <w:rsid w:val="00C8503D"/>
    <w:rsid w:val="00C858AB"/>
    <w:rsid w:val="00C86748"/>
    <w:rsid w:val="00C869E3"/>
    <w:rsid w:val="00C87970"/>
    <w:rsid w:val="00C94FF5"/>
    <w:rsid w:val="00CA022C"/>
    <w:rsid w:val="00CA4590"/>
    <w:rsid w:val="00CA6406"/>
    <w:rsid w:val="00CB0831"/>
    <w:rsid w:val="00CB0F6A"/>
    <w:rsid w:val="00CB1CD4"/>
    <w:rsid w:val="00CC1CAD"/>
    <w:rsid w:val="00CC2775"/>
    <w:rsid w:val="00CC2A76"/>
    <w:rsid w:val="00CC6461"/>
    <w:rsid w:val="00CC6753"/>
    <w:rsid w:val="00CC7B18"/>
    <w:rsid w:val="00CD18D4"/>
    <w:rsid w:val="00CD3E52"/>
    <w:rsid w:val="00CD5A26"/>
    <w:rsid w:val="00CE6FD7"/>
    <w:rsid w:val="00CF14B3"/>
    <w:rsid w:val="00CF172C"/>
    <w:rsid w:val="00CF2263"/>
    <w:rsid w:val="00CF61D3"/>
    <w:rsid w:val="00D0288B"/>
    <w:rsid w:val="00D06745"/>
    <w:rsid w:val="00D06884"/>
    <w:rsid w:val="00D1124F"/>
    <w:rsid w:val="00D119AD"/>
    <w:rsid w:val="00D12E12"/>
    <w:rsid w:val="00D13072"/>
    <w:rsid w:val="00D13727"/>
    <w:rsid w:val="00D13A80"/>
    <w:rsid w:val="00D16C3A"/>
    <w:rsid w:val="00D1703C"/>
    <w:rsid w:val="00D17BB7"/>
    <w:rsid w:val="00D21033"/>
    <w:rsid w:val="00D215A2"/>
    <w:rsid w:val="00D23C0A"/>
    <w:rsid w:val="00D25B8F"/>
    <w:rsid w:val="00D26084"/>
    <w:rsid w:val="00D273EF"/>
    <w:rsid w:val="00D27D95"/>
    <w:rsid w:val="00D301EE"/>
    <w:rsid w:val="00D30BDB"/>
    <w:rsid w:val="00D30BDF"/>
    <w:rsid w:val="00D31EFC"/>
    <w:rsid w:val="00D3290E"/>
    <w:rsid w:val="00D33AC4"/>
    <w:rsid w:val="00D350A8"/>
    <w:rsid w:val="00D3622F"/>
    <w:rsid w:val="00D400ED"/>
    <w:rsid w:val="00D408BF"/>
    <w:rsid w:val="00D43168"/>
    <w:rsid w:val="00D50910"/>
    <w:rsid w:val="00D51DDF"/>
    <w:rsid w:val="00D56FB6"/>
    <w:rsid w:val="00D6422E"/>
    <w:rsid w:val="00D6522A"/>
    <w:rsid w:val="00D65C0F"/>
    <w:rsid w:val="00D704A2"/>
    <w:rsid w:val="00D71461"/>
    <w:rsid w:val="00D7367E"/>
    <w:rsid w:val="00D7421A"/>
    <w:rsid w:val="00D7432E"/>
    <w:rsid w:val="00D7509C"/>
    <w:rsid w:val="00D752EC"/>
    <w:rsid w:val="00D86377"/>
    <w:rsid w:val="00D87121"/>
    <w:rsid w:val="00D9225F"/>
    <w:rsid w:val="00D937DE"/>
    <w:rsid w:val="00D95D7A"/>
    <w:rsid w:val="00DA12D2"/>
    <w:rsid w:val="00DA32DF"/>
    <w:rsid w:val="00DA4D6E"/>
    <w:rsid w:val="00DA70EE"/>
    <w:rsid w:val="00DB2930"/>
    <w:rsid w:val="00DB3452"/>
    <w:rsid w:val="00DB5387"/>
    <w:rsid w:val="00DC0C15"/>
    <w:rsid w:val="00DC6FC8"/>
    <w:rsid w:val="00DD194D"/>
    <w:rsid w:val="00DD30E8"/>
    <w:rsid w:val="00DD4144"/>
    <w:rsid w:val="00DD749B"/>
    <w:rsid w:val="00DE0B2D"/>
    <w:rsid w:val="00DE204F"/>
    <w:rsid w:val="00DE45D6"/>
    <w:rsid w:val="00DE7C0A"/>
    <w:rsid w:val="00DF0E06"/>
    <w:rsid w:val="00DF1C8D"/>
    <w:rsid w:val="00DF3C35"/>
    <w:rsid w:val="00DF4AE5"/>
    <w:rsid w:val="00E0001D"/>
    <w:rsid w:val="00E0279C"/>
    <w:rsid w:val="00E03872"/>
    <w:rsid w:val="00E11A60"/>
    <w:rsid w:val="00E1295A"/>
    <w:rsid w:val="00E1405D"/>
    <w:rsid w:val="00E14C63"/>
    <w:rsid w:val="00E14FDA"/>
    <w:rsid w:val="00E16C2F"/>
    <w:rsid w:val="00E20DFD"/>
    <w:rsid w:val="00E2173D"/>
    <w:rsid w:val="00E21D19"/>
    <w:rsid w:val="00E22DE6"/>
    <w:rsid w:val="00E25814"/>
    <w:rsid w:val="00E269A9"/>
    <w:rsid w:val="00E309C1"/>
    <w:rsid w:val="00E309F0"/>
    <w:rsid w:val="00E31C54"/>
    <w:rsid w:val="00E33E65"/>
    <w:rsid w:val="00E41A4A"/>
    <w:rsid w:val="00E454EA"/>
    <w:rsid w:val="00E47673"/>
    <w:rsid w:val="00E50F0A"/>
    <w:rsid w:val="00E52254"/>
    <w:rsid w:val="00E54473"/>
    <w:rsid w:val="00E55296"/>
    <w:rsid w:val="00E55772"/>
    <w:rsid w:val="00E616F0"/>
    <w:rsid w:val="00E61AD9"/>
    <w:rsid w:val="00E63496"/>
    <w:rsid w:val="00E65DA0"/>
    <w:rsid w:val="00E66667"/>
    <w:rsid w:val="00E67A20"/>
    <w:rsid w:val="00E70AA6"/>
    <w:rsid w:val="00E7192E"/>
    <w:rsid w:val="00E72979"/>
    <w:rsid w:val="00E772C0"/>
    <w:rsid w:val="00E81B9C"/>
    <w:rsid w:val="00E85520"/>
    <w:rsid w:val="00E94A62"/>
    <w:rsid w:val="00E9729B"/>
    <w:rsid w:val="00EA0C94"/>
    <w:rsid w:val="00EA3369"/>
    <w:rsid w:val="00EA3968"/>
    <w:rsid w:val="00EA6F38"/>
    <w:rsid w:val="00EB3C9A"/>
    <w:rsid w:val="00EB4746"/>
    <w:rsid w:val="00EB5451"/>
    <w:rsid w:val="00EB6BB8"/>
    <w:rsid w:val="00EC29F9"/>
    <w:rsid w:val="00EC3D83"/>
    <w:rsid w:val="00EC7882"/>
    <w:rsid w:val="00ED13DD"/>
    <w:rsid w:val="00ED3152"/>
    <w:rsid w:val="00ED3179"/>
    <w:rsid w:val="00ED3360"/>
    <w:rsid w:val="00ED5E9B"/>
    <w:rsid w:val="00ED6908"/>
    <w:rsid w:val="00ED7C66"/>
    <w:rsid w:val="00EE076B"/>
    <w:rsid w:val="00EE1D2C"/>
    <w:rsid w:val="00EE22CC"/>
    <w:rsid w:val="00EE4195"/>
    <w:rsid w:val="00EE5DEF"/>
    <w:rsid w:val="00EF04D5"/>
    <w:rsid w:val="00EF2528"/>
    <w:rsid w:val="00EF3586"/>
    <w:rsid w:val="00EF4AD6"/>
    <w:rsid w:val="00EF4E3E"/>
    <w:rsid w:val="00EF50B8"/>
    <w:rsid w:val="00EF5C76"/>
    <w:rsid w:val="00EF5EEF"/>
    <w:rsid w:val="00EF650C"/>
    <w:rsid w:val="00EF70FC"/>
    <w:rsid w:val="00F11DCD"/>
    <w:rsid w:val="00F14924"/>
    <w:rsid w:val="00F14C05"/>
    <w:rsid w:val="00F1583F"/>
    <w:rsid w:val="00F15A69"/>
    <w:rsid w:val="00F23DF8"/>
    <w:rsid w:val="00F23E3F"/>
    <w:rsid w:val="00F26059"/>
    <w:rsid w:val="00F26A37"/>
    <w:rsid w:val="00F26E15"/>
    <w:rsid w:val="00F27133"/>
    <w:rsid w:val="00F333D3"/>
    <w:rsid w:val="00F33BC8"/>
    <w:rsid w:val="00F3465A"/>
    <w:rsid w:val="00F34A7A"/>
    <w:rsid w:val="00F34C98"/>
    <w:rsid w:val="00F34DF9"/>
    <w:rsid w:val="00F40F86"/>
    <w:rsid w:val="00F42B6D"/>
    <w:rsid w:val="00F432AF"/>
    <w:rsid w:val="00F44F20"/>
    <w:rsid w:val="00F471F0"/>
    <w:rsid w:val="00F473FF"/>
    <w:rsid w:val="00F47E48"/>
    <w:rsid w:val="00F47F3B"/>
    <w:rsid w:val="00F5267C"/>
    <w:rsid w:val="00F54C27"/>
    <w:rsid w:val="00F56A29"/>
    <w:rsid w:val="00F57805"/>
    <w:rsid w:val="00F57DC8"/>
    <w:rsid w:val="00F61FC9"/>
    <w:rsid w:val="00F62917"/>
    <w:rsid w:val="00F63133"/>
    <w:rsid w:val="00F63E0D"/>
    <w:rsid w:val="00F64A6F"/>
    <w:rsid w:val="00F651CE"/>
    <w:rsid w:val="00F65980"/>
    <w:rsid w:val="00F72A8A"/>
    <w:rsid w:val="00F74220"/>
    <w:rsid w:val="00F750BD"/>
    <w:rsid w:val="00F7783D"/>
    <w:rsid w:val="00F839F8"/>
    <w:rsid w:val="00F83E37"/>
    <w:rsid w:val="00F8716D"/>
    <w:rsid w:val="00F94A61"/>
    <w:rsid w:val="00F94D5B"/>
    <w:rsid w:val="00F95C69"/>
    <w:rsid w:val="00F97210"/>
    <w:rsid w:val="00F97E14"/>
    <w:rsid w:val="00FA00E5"/>
    <w:rsid w:val="00FA0F7B"/>
    <w:rsid w:val="00FA26F3"/>
    <w:rsid w:val="00FA4718"/>
    <w:rsid w:val="00FA717D"/>
    <w:rsid w:val="00FB0D1A"/>
    <w:rsid w:val="00FB4A38"/>
    <w:rsid w:val="00FB54F4"/>
    <w:rsid w:val="00FB7355"/>
    <w:rsid w:val="00FC11BA"/>
    <w:rsid w:val="00FC1EF1"/>
    <w:rsid w:val="00FC30A2"/>
    <w:rsid w:val="00FC3EE7"/>
    <w:rsid w:val="00FC59FE"/>
    <w:rsid w:val="00FC6722"/>
    <w:rsid w:val="00FD1C34"/>
    <w:rsid w:val="00FD2847"/>
    <w:rsid w:val="00FD349F"/>
    <w:rsid w:val="00FE0C98"/>
    <w:rsid w:val="00FE0EF5"/>
    <w:rsid w:val="00FE7D01"/>
    <w:rsid w:val="00FF36D8"/>
    <w:rsid w:val="00FF40C2"/>
    <w:rsid w:val="00FF701F"/>
    <w:rsid w:val="00FF763D"/>
    <w:rsid w:val="36394A6D"/>
    <w:rsid w:val="4D4C3D11"/>
    <w:rsid w:val="7DE7508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9D9CEC6"/>
  <w15:docId w15:val="{4E7724F0-8AE4-4A2D-8C09-272671AF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file:///C:/Users/vnler3/Downloads/www.nerc.com"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18731bc778eea8de2288fbf4fe3adf38">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26f0aea5e8766a8397a539b2540cdfb"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7c6213-c3f8-4376-93f2-dc58e5c51d54" xsi:nil="true"/>
    <lcf76f155ced4ddcb4097134ff3c332f xmlns="e029e753-062b-49ce-baa7-feb352134f8f">
      <Terms xmlns="http://schemas.microsoft.com/office/infopath/2007/PartnerControls"/>
    </lcf76f155ced4ddcb4097134ff3c332f>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9601-A3D2-4976-A145-CBECE0971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05E70F4A-87E6-4221-8D2C-3B3AA38C812D}">
  <ds:schemaRefs>
    <ds:schemaRef ds:uri="http://schemas.microsoft.com/office/2006/metadata/properties"/>
    <ds:schemaRef ds:uri="http://schemas.microsoft.com/office/infopath/2007/PartnerControls"/>
    <ds:schemaRef ds:uri="5a7c6213-c3f8-4376-93f2-dc58e5c51d54"/>
    <ds:schemaRef ds:uri="e029e753-062b-49ce-baa7-feb352134f8f"/>
    <ds:schemaRef ds:uri="d6eefc7d-9817-4fa6-84d5-3bc009be21b8"/>
  </ds:schemaRefs>
</ds:datastoreItem>
</file>

<file path=customXml/itemProps4.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RM18-20 NOPR supporting statement</vt:lpstr>
    </vt:vector>
  </TitlesOfParts>
  <Company>Federal Energy Regulatory Commission</Company>
  <LinksUpToDate>false</LinksUpToDate>
  <CharactersWithSpaces>17531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anthony.may@ferc.gov</dc:creator>
  <cp:lastModifiedBy>Kayla Williams</cp:lastModifiedBy>
  <cp:revision>3</cp:revision>
  <cp:lastPrinted>2022-10-07T13:51:00Z</cp:lastPrinted>
  <dcterms:created xsi:type="dcterms:W3CDTF">2024-09-06T19:07:00Z</dcterms:created>
  <dcterms:modified xsi:type="dcterms:W3CDTF">2024-09-06T19:24:00Z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469a3e2c-d964-4f43-a6f1-dad5d5d43b18</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2022-09-02T13:28:23Z</vt:lpwstr>
  </property>
  <property fmtid="{D5CDD505-2E9C-101B-9397-08002B2CF9AE}" pid="10" name="MSIP_Label_6155a89b-0f08-4a93-8ea2-8a916d6643b5_SiteId">
    <vt:lpwstr>19caa9e9-04ff-43fa-885f-d77fac387903</vt:lpwstr>
  </property>
</Properties>
</file>