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3E6F" w:rsidP="00FD66F1" w14:paraId="0ACFBA64" w14:textId="4BB8EDC7">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FD66F1">
        <w:rPr>
          <w:rFonts w:ascii="Times New Roman" w:hAnsi="Times New Roman" w:cs="Times New Roman"/>
          <w:sz w:val="24"/>
          <w:szCs w:val="24"/>
        </w:rPr>
        <w:t>Supporting Statement</w:t>
      </w:r>
    </w:p>
    <w:p w:rsidR="00A96B65" w:rsidP="00570861" w14:paraId="5E2E51C3" w14:textId="4A258F41">
      <w:pPr>
        <w:spacing w:after="0"/>
        <w:jc w:val="center"/>
        <w:rPr>
          <w:rFonts w:ascii="Times New Roman" w:hAnsi="Times New Roman" w:cs="Times New Roman"/>
          <w:b/>
          <w:sz w:val="24"/>
          <w:szCs w:val="24"/>
        </w:rPr>
      </w:pPr>
      <w:r>
        <w:rPr>
          <w:rFonts w:ascii="Times New Roman" w:hAnsi="Times New Roman" w:cs="Times New Roman"/>
          <w:b/>
          <w:sz w:val="24"/>
          <w:szCs w:val="24"/>
        </w:rPr>
        <w:t>FERC-</w:t>
      </w:r>
      <w:r w:rsidR="007F7281">
        <w:rPr>
          <w:rFonts w:ascii="Times New Roman" w:hAnsi="Times New Roman" w:cs="Times New Roman"/>
          <w:b/>
          <w:sz w:val="24"/>
          <w:szCs w:val="24"/>
        </w:rPr>
        <w:t>537 (Gas Pipeline Certificates: Construction, Acquisition, and Abandonment),</w:t>
      </w:r>
    </w:p>
    <w:p w:rsidR="003B3B61" w:rsidP="003B3B61" w14:paraId="320391F6" w14:textId="2BCE5C14">
      <w:pPr>
        <w:spacing w:after="0"/>
        <w:jc w:val="center"/>
        <w:rPr>
          <w:rFonts w:ascii="Times New Roman" w:hAnsi="Times New Roman" w:cs="Times New Roman"/>
          <w:sz w:val="24"/>
          <w:szCs w:val="24"/>
        </w:rPr>
      </w:pPr>
      <w:r>
        <w:rPr>
          <w:rFonts w:ascii="Times New Roman" w:hAnsi="Times New Roman" w:cs="Times New Roman"/>
          <w:sz w:val="24"/>
          <w:szCs w:val="24"/>
        </w:rPr>
        <w:t>(Three-year extension requested)</w:t>
      </w:r>
    </w:p>
    <w:p w:rsidR="00FD66F1" w:rsidP="00F8440A" w14:paraId="4E036854" w14:textId="77777777">
      <w:pPr>
        <w:spacing w:after="0"/>
        <w:rPr>
          <w:rFonts w:ascii="Times New Roman" w:hAnsi="Times New Roman" w:cs="Times New Roman"/>
          <w:sz w:val="24"/>
          <w:szCs w:val="24"/>
        </w:rPr>
      </w:pPr>
    </w:p>
    <w:p w:rsidR="00546870" w:rsidP="00AF3FE7" w14:paraId="56B41986" w14:textId="3544B17C">
      <w:pPr>
        <w:spacing w:after="0"/>
        <w:ind w:firstLine="360"/>
        <w:rPr>
          <w:rFonts w:ascii="Times New Roman" w:hAnsi="Times New Roman" w:cs="Times New Roman"/>
          <w:sz w:val="24"/>
          <w:szCs w:val="24"/>
        </w:rPr>
      </w:pPr>
      <w:r w:rsidRPr="00A44AE9">
        <w:rPr>
          <w:rFonts w:ascii="Times New Roman" w:hAnsi="Times New Roman" w:cs="Times New Roman"/>
          <w:sz w:val="24"/>
          <w:szCs w:val="24"/>
        </w:rPr>
        <w:t>The Federal Energy Regulatory Commission (FERC or Commission) requests that the Office of Management and Budget (OMB) review</w:t>
      </w:r>
      <w:r>
        <w:rPr>
          <w:rFonts w:ascii="Times New Roman" w:hAnsi="Times New Roman" w:cs="Times New Roman"/>
          <w:sz w:val="24"/>
          <w:szCs w:val="24"/>
        </w:rPr>
        <w:t xml:space="preserve"> and renew</w:t>
      </w:r>
      <w:r w:rsidRPr="00A44AE9">
        <w:rPr>
          <w:rFonts w:ascii="Times New Roman" w:hAnsi="Times New Roman" w:cs="Times New Roman"/>
          <w:sz w:val="24"/>
          <w:szCs w:val="24"/>
        </w:rPr>
        <w:t xml:space="preserve"> the information collection requirements in </w:t>
      </w:r>
      <w:r w:rsidR="004029B3">
        <w:rPr>
          <w:rFonts w:ascii="Times New Roman" w:hAnsi="Times New Roman" w:cs="Times New Roman"/>
          <w:sz w:val="24"/>
          <w:szCs w:val="24"/>
        </w:rPr>
        <w:t>FERC-</w:t>
      </w:r>
      <w:r w:rsidR="00245B2A">
        <w:rPr>
          <w:rFonts w:ascii="Times New Roman" w:hAnsi="Times New Roman" w:cs="Times New Roman"/>
          <w:sz w:val="24"/>
          <w:szCs w:val="24"/>
        </w:rPr>
        <w:t>537</w:t>
      </w:r>
      <w:r>
        <w:rPr>
          <w:rFonts w:ascii="Times New Roman" w:hAnsi="Times New Roman" w:cs="Times New Roman"/>
          <w:sz w:val="24"/>
          <w:szCs w:val="24"/>
        </w:rPr>
        <w:t xml:space="preserve"> </w:t>
      </w:r>
      <w:r w:rsidRPr="00A44AE9">
        <w:rPr>
          <w:rFonts w:ascii="Times New Roman" w:hAnsi="Times New Roman" w:cs="Times New Roman"/>
          <w:sz w:val="24"/>
          <w:szCs w:val="24"/>
        </w:rPr>
        <w:t>un</w:t>
      </w:r>
      <w:r w:rsidR="004029B3">
        <w:rPr>
          <w:rFonts w:ascii="Times New Roman" w:hAnsi="Times New Roman" w:cs="Times New Roman"/>
          <w:sz w:val="24"/>
          <w:szCs w:val="24"/>
        </w:rPr>
        <w:t>der OMB Control No. 1902-0</w:t>
      </w:r>
      <w:r w:rsidR="00245B2A">
        <w:rPr>
          <w:rFonts w:ascii="Times New Roman" w:hAnsi="Times New Roman" w:cs="Times New Roman"/>
          <w:sz w:val="24"/>
          <w:szCs w:val="24"/>
        </w:rPr>
        <w:t>060</w:t>
      </w:r>
      <w:r>
        <w:rPr>
          <w:rFonts w:ascii="Times New Roman" w:hAnsi="Times New Roman" w:cs="Times New Roman"/>
          <w:sz w:val="24"/>
          <w:szCs w:val="24"/>
        </w:rPr>
        <w:t xml:space="preserve">. </w:t>
      </w:r>
      <w:r w:rsidRPr="00A44AE9">
        <w:rPr>
          <w:rFonts w:ascii="Times New Roman" w:hAnsi="Times New Roman" w:cs="Times New Roman"/>
          <w:sz w:val="24"/>
          <w:szCs w:val="24"/>
        </w:rPr>
        <w:t xml:space="preserve">This supporting statement covers the requirements </w:t>
      </w:r>
      <w:r w:rsidR="004029B3">
        <w:rPr>
          <w:rFonts w:ascii="Times New Roman" w:hAnsi="Times New Roman" w:cs="Times New Roman"/>
          <w:sz w:val="24"/>
          <w:szCs w:val="24"/>
        </w:rPr>
        <w:t>of the FERC-</w:t>
      </w:r>
      <w:r w:rsidR="00245B2A">
        <w:rPr>
          <w:rFonts w:ascii="Times New Roman" w:hAnsi="Times New Roman" w:cs="Times New Roman"/>
          <w:sz w:val="24"/>
          <w:szCs w:val="24"/>
        </w:rPr>
        <w:t>537</w:t>
      </w:r>
      <w:r>
        <w:rPr>
          <w:rFonts w:ascii="Times New Roman" w:hAnsi="Times New Roman" w:cs="Times New Roman"/>
          <w:sz w:val="24"/>
          <w:szCs w:val="24"/>
        </w:rPr>
        <w:t xml:space="preserve"> information collection</w:t>
      </w:r>
      <w:r w:rsidRPr="00A44AE9">
        <w:rPr>
          <w:rFonts w:ascii="Times New Roman" w:hAnsi="Times New Roman" w:cs="Times New Roman"/>
          <w:sz w:val="24"/>
          <w:szCs w:val="24"/>
        </w:rPr>
        <w:t>.</w:t>
      </w:r>
      <w:r>
        <w:rPr>
          <w:rFonts w:ascii="Times New Roman" w:hAnsi="Times New Roman" w:cs="Times New Roman"/>
          <w:sz w:val="24"/>
          <w:szCs w:val="24"/>
        </w:rPr>
        <w:t xml:space="preserve"> The reporti</w:t>
      </w:r>
      <w:r w:rsidR="00443137">
        <w:rPr>
          <w:rFonts w:ascii="Times New Roman" w:hAnsi="Times New Roman" w:cs="Times New Roman"/>
          <w:sz w:val="24"/>
          <w:szCs w:val="24"/>
        </w:rPr>
        <w:t>ng requirements in the FERC-</w:t>
      </w:r>
      <w:r w:rsidR="00245B2A">
        <w:rPr>
          <w:rFonts w:ascii="Times New Roman" w:hAnsi="Times New Roman" w:cs="Times New Roman"/>
          <w:sz w:val="24"/>
          <w:szCs w:val="24"/>
        </w:rPr>
        <w:t>537</w:t>
      </w:r>
      <w:r>
        <w:rPr>
          <w:rFonts w:ascii="Times New Roman" w:hAnsi="Times New Roman" w:cs="Times New Roman"/>
          <w:sz w:val="24"/>
          <w:szCs w:val="24"/>
        </w:rPr>
        <w:t xml:space="preserve"> are also contained in FERC’s regulations in 18 Code of F</w:t>
      </w:r>
      <w:r w:rsidR="004029B3">
        <w:rPr>
          <w:rFonts w:ascii="Times New Roman" w:hAnsi="Times New Roman" w:cs="Times New Roman"/>
          <w:sz w:val="24"/>
          <w:szCs w:val="24"/>
        </w:rPr>
        <w:t>ederal Regulations (CFR) Parts</w:t>
      </w:r>
      <w:r w:rsidR="00204FE5">
        <w:rPr>
          <w:rFonts w:ascii="Times New Roman" w:hAnsi="Times New Roman" w:cs="Times New Roman"/>
          <w:sz w:val="24"/>
          <w:szCs w:val="24"/>
        </w:rPr>
        <w:t xml:space="preserve"> 2, </w:t>
      </w:r>
      <w:r w:rsidR="00323A78">
        <w:rPr>
          <w:rFonts w:ascii="Times New Roman" w:hAnsi="Times New Roman" w:cs="Times New Roman"/>
          <w:sz w:val="24"/>
          <w:szCs w:val="24"/>
        </w:rPr>
        <w:t>157, and 284</w:t>
      </w:r>
      <w:r w:rsidR="00B06E84">
        <w:rPr>
          <w:rFonts w:ascii="Times New Roman" w:hAnsi="Times New Roman" w:cs="Times New Roman"/>
          <w:sz w:val="24"/>
          <w:szCs w:val="24"/>
        </w:rPr>
        <w:t>.</w:t>
      </w:r>
      <w:r>
        <w:rPr>
          <w:rStyle w:val="FootnoteReference"/>
          <w:rFonts w:ascii="Times New Roman" w:hAnsi="Times New Roman" w:cs="Times New Roman"/>
          <w:sz w:val="24"/>
          <w:szCs w:val="24"/>
          <w:vertAlign w:val="superscript"/>
        </w:rPr>
        <w:footnoteReference w:id="3"/>
      </w:r>
    </w:p>
    <w:p w:rsidR="0002242D" w:rsidP="00FD66F1" w14:paraId="3418B643" w14:textId="78B1DB2E">
      <w:pPr>
        <w:spacing w:after="0"/>
        <w:rPr>
          <w:rFonts w:ascii="Times New Roman" w:hAnsi="Times New Roman" w:cs="Times New Roman"/>
          <w:sz w:val="24"/>
          <w:szCs w:val="24"/>
        </w:rPr>
      </w:pPr>
      <w:r w:rsidRPr="00F8440A">
        <w:rPr>
          <w:rFonts w:ascii="Times New Roman" w:hAnsi="Times New Roman" w:cs="Times New Roman"/>
          <w:sz w:val="24"/>
          <w:szCs w:val="24"/>
        </w:rPr>
        <w:tab/>
      </w:r>
    </w:p>
    <w:p w:rsidR="00A72E7B" w:rsidRPr="00EB3E6F" w:rsidP="00A72E7B" w14:paraId="331505ED"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867D79" w:rsidP="00EB3E6F" w14:paraId="5B672115" w14:textId="77777777">
      <w:pPr>
        <w:spacing w:after="0"/>
        <w:rPr>
          <w:rFonts w:ascii="Times New Roman" w:hAnsi="Times New Roman" w:cs="Times New Roman"/>
          <w:sz w:val="24"/>
          <w:szCs w:val="24"/>
        </w:rPr>
      </w:pPr>
    </w:p>
    <w:p w:rsidR="004029B3" w:rsidP="00867D79" w14:paraId="36A29B99" w14:textId="39CB04A7">
      <w:pPr>
        <w:spacing w:after="0"/>
        <w:rPr>
          <w:rFonts w:ascii="Times New Roman" w:hAnsi="Times New Roman" w:cs="Times New Roman"/>
          <w:sz w:val="24"/>
          <w:szCs w:val="24"/>
        </w:rPr>
      </w:pPr>
      <w:r w:rsidRPr="00323A78">
        <w:rPr>
          <w:rFonts w:ascii="Times New Roman" w:hAnsi="Times New Roman" w:cs="Times New Roman"/>
          <w:sz w:val="24"/>
          <w:szCs w:val="24"/>
        </w:rPr>
        <w:t>Under the Natural Gas</w:t>
      </w:r>
      <w:r>
        <w:rPr>
          <w:rFonts w:ascii="Times New Roman" w:hAnsi="Times New Roman" w:cs="Times New Roman"/>
          <w:sz w:val="24"/>
          <w:szCs w:val="24"/>
        </w:rPr>
        <w:t xml:space="preserve"> Act (NGA)</w:t>
      </w:r>
      <w:r>
        <w:rPr>
          <w:rStyle w:val="FootnoteReference"/>
          <w:rFonts w:ascii="Times New Roman" w:hAnsi="Times New Roman" w:cs="Times New Roman"/>
          <w:sz w:val="24"/>
          <w:szCs w:val="24"/>
          <w:vertAlign w:val="superscript"/>
        </w:rPr>
        <w:footnoteReference w:id="4"/>
      </w:r>
      <w:r w:rsidRPr="00323A78">
        <w:rPr>
          <w:rFonts w:ascii="Times New Roman" w:hAnsi="Times New Roman" w:cs="Times New Roman"/>
          <w:sz w:val="24"/>
          <w:szCs w:val="24"/>
        </w:rPr>
        <w:t xml:space="preserve"> a natural gas company must obtain FERC authorization to engage in the transportation of natural gas in interstate commerce, to undertake the construction or extension of any facilities, or to acquire or operate any s</w:t>
      </w:r>
      <w:r w:rsidR="00204FE5">
        <w:rPr>
          <w:rFonts w:ascii="Times New Roman" w:hAnsi="Times New Roman" w:cs="Times New Roman"/>
          <w:sz w:val="24"/>
          <w:szCs w:val="24"/>
        </w:rPr>
        <w:t xml:space="preserve">uch facilities or extensions in </w:t>
      </w:r>
      <w:r w:rsidRPr="00323A78">
        <w:rPr>
          <w:rFonts w:ascii="Times New Roman" w:hAnsi="Times New Roman" w:cs="Times New Roman"/>
          <w:sz w:val="24"/>
          <w:szCs w:val="24"/>
        </w:rPr>
        <w:t xml:space="preserve">accordance with </w:t>
      </w:r>
      <w:r w:rsidRPr="00323A78" w:rsidR="2FE4A9F3">
        <w:rPr>
          <w:rFonts w:ascii="Times New Roman" w:hAnsi="Times New Roman" w:cs="Times New Roman"/>
          <w:sz w:val="24"/>
          <w:szCs w:val="24"/>
        </w:rPr>
        <w:t>s</w:t>
      </w:r>
      <w:r w:rsidRPr="00323A78">
        <w:rPr>
          <w:rFonts w:ascii="Times New Roman" w:hAnsi="Times New Roman" w:cs="Times New Roman"/>
          <w:sz w:val="24"/>
          <w:szCs w:val="24"/>
        </w:rPr>
        <w:t xml:space="preserve">ection 7(c) of the NGA.  A natural gas company must also obtain FERC approval under </w:t>
      </w:r>
      <w:r w:rsidRPr="00323A78" w:rsidR="2DB2C993">
        <w:rPr>
          <w:rFonts w:ascii="Times New Roman" w:hAnsi="Times New Roman" w:cs="Times New Roman"/>
          <w:sz w:val="24"/>
          <w:szCs w:val="24"/>
        </w:rPr>
        <w:t>s</w:t>
      </w:r>
      <w:r w:rsidRPr="00323A78">
        <w:rPr>
          <w:rFonts w:ascii="Times New Roman" w:hAnsi="Times New Roman" w:cs="Times New Roman"/>
          <w:sz w:val="24"/>
          <w:szCs w:val="24"/>
        </w:rPr>
        <w:t>ection 7(b) of the NGA prior to abandoning any jurisdictional facility or service.  Under the Natural Gas Policy Act (NGPA) (Public Law 96-621) interstate pipelines must also obtain FERC authorization for certain transportation arrangements.  If a certificate is granted, the natural gas company can engage in the interstate transportation of natural gas and construct, acquire, or operate facilities.  Conversely, approval of an abandonment application permits the pipeline to cease service and discontinue the operation of such facilities</w:t>
      </w:r>
      <w:r w:rsidRPr="00323A78" w:rsidR="5CD3BC31">
        <w:rPr>
          <w:rFonts w:ascii="Times New Roman" w:hAnsi="Times New Roman" w:cs="Times New Roman"/>
          <w:sz w:val="24"/>
          <w:szCs w:val="24"/>
        </w:rPr>
        <w:t xml:space="preserve">.  </w:t>
      </w:r>
      <w:r w:rsidRPr="00323A78">
        <w:rPr>
          <w:rFonts w:ascii="Times New Roman" w:hAnsi="Times New Roman" w:cs="Times New Roman"/>
          <w:sz w:val="24"/>
          <w:szCs w:val="24"/>
        </w:rPr>
        <w:t>Authorization under NGPA Section 311(a) allows the interstate or intrastate pipeline applicants to render certain transportation services.</w:t>
      </w:r>
    </w:p>
    <w:p w:rsidR="00EB3E6F" w:rsidRPr="00EB3E6F" w:rsidP="004029B3" w14:paraId="41C0BFB7" w14:textId="0CD28B9A">
      <w:pPr>
        <w:tabs>
          <w:tab w:val="left" w:pos="1176"/>
        </w:tabs>
        <w:spacing w:after="0"/>
        <w:rPr>
          <w:rFonts w:ascii="Times New Roman" w:hAnsi="Times New Roman" w:cs="Times New Roman"/>
          <w:sz w:val="24"/>
          <w:szCs w:val="24"/>
        </w:rPr>
      </w:pPr>
      <w:r>
        <w:rPr>
          <w:rFonts w:ascii="Times New Roman" w:hAnsi="Times New Roman" w:cs="Times New Roman"/>
          <w:sz w:val="24"/>
          <w:szCs w:val="24"/>
        </w:rPr>
        <w:tab/>
      </w:r>
    </w:p>
    <w:p w:rsidR="00A72E7B" w:rsidRPr="00EB3E6F" w:rsidP="00A72E7B" w14:paraId="1A879F5B"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4B3FFA" w:rsidP="004276A5" w14:paraId="070BEF3D" w14:textId="77777777">
      <w:pPr>
        <w:spacing w:after="0"/>
        <w:rPr>
          <w:rFonts w:ascii="Times New Roman" w:hAnsi="Times New Roman" w:cs="Times New Roman"/>
          <w:sz w:val="24"/>
          <w:szCs w:val="24"/>
        </w:rPr>
      </w:pPr>
    </w:p>
    <w:p w:rsidR="00323A78" w:rsidRPr="00323A78" w:rsidP="00323A78" w14:paraId="1D7EE06C" w14:textId="45B56817">
      <w:pPr>
        <w:spacing w:after="0"/>
        <w:rPr>
          <w:rFonts w:ascii="Times New Roman" w:hAnsi="Times New Roman" w:cs="Times New Roman"/>
          <w:sz w:val="24"/>
          <w:szCs w:val="24"/>
        </w:rPr>
      </w:pPr>
      <w:r w:rsidRPr="00323A78">
        <w:rPr>
          <w:rFonts w:ascii="Times New Roman" w:hAnsi="Times New Roman" w:cs="Times New Roman"/>
          <w:sz w:val="24"/>
          <w:szCs w:val="24"/>
        </w:rPr>
        <w:t xml:space="preserve">The natural gas companies file the necessary information with FERC so that the Commission can determine from the data if the requested certificate should be authorized.  The data required to be submitted in a normal certificate filing may include (depending on the circumstances and application): </w:t>
      </w:r>
    </w:p>
    <w:p w:rsidR="00323A78" w:rsidRPr="00323A78" w:rsidP="00323A78" w14:paraId="27746268" w14:textId="77777777">
      <w:pPr>
        <w:spacing w:after="0"/>
        <w:rPr>
          <w:rFonts w:ascii="Times New Roman" w:hAnsi="Times New Roman" w:cs="Times New Roman"/>
          <w:sz w:val="24"/>
          <w:szCs w:val="24"/>
        </w:rPr>
      </w:pPr>
    </w:p>
    <w:p w:rsidR="00323A78" w:rsidRPr="00323A78" w:rsidP="00323A78" w14:paraId="36EFFB16" w14:textId="43906C5F">
      <w:pPr>
        <w:numPr>
          <w:ilvl w:val="0"/>
          <w:numId w:val="18"/>
        </w:numPr>
        <w:spacing w:after="0"/>
        <w:rPr>
          <w:rFonts w:ascii="Times New Roman" w:hAnsi="Times New Roman" w:cs="Times New Roman"/>
          <w:sz w:val="24"/>
          <w:szCs w:val="24"/>
        </w:rPr>
      </w:pPr>
      <w:r>
        <w:rPr>
          <w:rFonts w:ascii="Times New Roman" w:hAnsi="Times New Roman" w:cs="Times New Roman"/>
          <w:sz w:val="24"/>
          <w:szCs w:val="24"/>
        </w:rPr>
        <w:t>I</w:t>
      </w:r>
      <w:r w:rsidRPr="00323A78">
        <w:rPr>
          <w:rFonts w:ascii="Times New Roman" w:hAnsi="Times New Roman" w:cs="Times New Roman"/>
          <w:sz w:val="24"/>
          <w:szCs w:val="24"/>
        </w:rPr>
        <w:t>dentification of the company and responsible officials</w:t>
      </w:r>
    </w:p>
    <w:p w:rsidR="00323A78" w:rsidRPr="00323A78" w:rsidP="00323A78" w14:paraId="2F804386" w14:textId="109408F6">
      <w:pPr>
        <w:numPr>
          <w:ilvl w:val="0"/>
          <w:numId w:val="18"/>
        </w:numPr>
        <w:spacing w:after="0"/>
        <w:rPr>
          <w:rFonts w:ascii="Times New Roman" w:hAnsi="Times New Roman" w:cs="Times New Roman"/>
          <w:sz w:val="24"/>
          <w:szCs w:val="24"/>
        </w:rPr>
      </w:pPr>
      <w:r>
        <w:rPr>
          <w:rFonts w:ascii="Times New Roman" w:hAnsi="Times New Roman" w:cs="Times New Roman"/>
          <w:sz w:val="24"/>
          <w:szCs w:val="24"/>
        </w:rPr>
        <w:t>F</w:t>
      </w:r>
      <w:r w:rsidRPr="00323A78">
        <w:rPr>
          <w:rFonts w:ascii="Times New Roman" w:hAnsi="Times New Roman" w:cs="Times New Roman"/>
          <w:sz w:val="24"/>
          <w:szCs w:val="24"/>
        </w:rPr>
        <w:t xml:space="preserve">actors considered in the location of the facilities and the impact on the area for environmental </w:t>
      </w:r>
      <w:r w:rsidRPr="00323A78">
        <w:rPr>
          <w:rFonts w:ascii="Times New Roman" w:hAnsi="Times New Roman" w:cs="Times New Roman"/>
          <w:sz w:val="24"/>
          <w:szCs w:val="24"/>
        </w:rPr>
        <w:t>considerations</w:t>
      </w:r>
    </w:p>
    <w:p w:rsidR="00323A78" w:rsidRPr="00323A78" w:rsidP="00323A78" w14:paraId="66AB3EEC" w14:textId="56DB811F">
      <w:pPr>
        <w:numPr>
          <w:ilvl w:val="0"/>
          <w:numId w:val="18"/>
        </w:numPr>
        <w:spacing w:after="0"/>
        <w:rPr>
          <w:rFonts w:ascii="Times New Roman" w:hAnsi="Times New Roman" w:cs="Times New Roman"/>
          <w:sz w:val="24"/>
          <w:szCs w:val="24"/>
        </w:rPr>
      </w:pPr>
      <w:r w:rsidRPr="40766F58">
        <w:rPr>
          <w:rFonts w:ascii="Times New Roman" w:hAnsi="Times New Roman" w:cs="Times New Roman"/>
          <w:sz w:val="24"/>
          <w:szCs w:val="24"/>
        </w:rPr>
        <w:t xml:space="preserve">Flow diagrams showing the design capacity for engineering design </w:t>
      </w:r>
      <w:r w:rsidRPr="40766F58">
        <w:rPr>
          <w:rFonts w:ascii="Times New Roman" w:hAnsi="Times New Roman" w:cs="Times New Roman"/>
          <w:sz w:val="24"/>
          <w:szCs w:val="24"/>
        </w:rPr>
        <w:t>verification ;</w:t>
      </w:r>
    </w:p>
    <w:p w:rsidR="00323A78" w:rsidRPr="00323A78" w:rsidP="00323A78" w14:paraId="5299DC5E" w14:textId="77777777">
      <w:pPr>
        <w:numPr>
          <w:ilvl w:val="0"/>
          <w:numId w:val="18"/>
        </w:numPr>
        <w:spacing w:after="0"/>
        <w:rPr>
          <w:rFonts w:ascii="Times New Roman" w:hAnsi="Times New Roman" w:cs="Times New Roman"/>
          <w:sz w:val="24"/>
          <w:szCs w:val="24"/>
        </w:rPr>
      </w:pPr>
      <w:r w:rsidRPr="00323A78">
        <w:rPr>
          <w:rFonts w:ascii="Times New Roman" w:hAnsi="Times New Roman" w:cs="Times New Roman"/>
          <w:sz w:val="24"/>
          <w:szCs w:val="24"/>
        </w:rPr>
        <w:t>Cost of proposed facilities,</w:t>
      </w:r>
      <w:r w:rsidRPr="00323A78">
        <w:rPr>
          <w:rFonts w:ascii="Times New Roman" w:hAnsi="Times New Roman" w:cs="Times New Roman"/>
          <w:sz w:val="24"/>
          <w:szCs w:val="24"/>
        </w:rPr>
        <w:t xml:space="preserve"> plans for financing, and estimated revenues and expenses related to the proposed facility for accounting and financial evaluation.</w:t>
      </w:r>
    </w:p>
    <w:p w:rsidR="00323A78" w:rsidRPr="00323A78" w:rsidP="00323A78" w14:paraId="73A7ECEB" w14:textId="77777777">
      <w:pPr>
        <w:numPr>
          <w:ilvl w:val="0"/>
          <w:numId w:val="18"/>
        </w:numPr>
        <w:spacing w:after="0"/>
        <w:rPr>
          <w:rFonts w:ascii="Times New Roman" w:hAnsi="Times New Roman" w:cs="Times New Roman"/>
          <w:sz w:val="24"/>
          <w:szCs w:val="24"/>
        </w:rPr>
      </w:pPr>
      <w:r w:rsidRPr="00323A78">
        <w:rPr>
          <w:rFonts w:ascii="Times New Roman" w:hAnsi="Times New Roman" w:cs="Times New Roman"/>
          <w:sz w:val="24"/>
          <w:szCs w:val="24"/>
        </w:rPr>
        <w:t xml:space="preserve">Existing and proposed storage capacity and pressures and reservoir engineering studies for requests to increase storage </w:t>
      </w:r>
      <w:r w:rsidRPr="00323A78">
        <w:rPr>
          <w:rFonts w:ascii="Times New Roman" w:hAnsi="Times New Roman" w:cs="Times New Roman"/>
          <w:sz w:val="24"/>
          <w:szCs w:val="24"/>
        </w:rPr>
        <w:t>capacity;</w:t>
      </w:r>
    </w:p>
    <w:p w:rsidR="00323A78" w:rsidRPr="00323A78" w:rsidP="00323A78" w14:paraId="7EF68ACE" w14:textId="77777777">
      <w:pPr>
        <w:numPr>
          <w:ilvl w:val="0"/>
          <w:numId w:val="18"/>
        </w:numPr>
        <w:spacing w:after="0"/>
        <w:rPr>
          <w:rFonts w:ascii="Times New Roman" w:hAnsi="Times New Roman" w:cs="Times New Roman"/>
          <w:sz w:val="24"/>
          <w:szCs w:val="24"/>
        </w:rPr>
      </w:pPr>
      <w:r w:rsidRPr="00323A78">
        <w:rPr>
          <w:rFonts w:ascii="Times New Roman" w:hAnsi="Times New Roman" w:cs="Times New Roman"/>
          <w:sz w:val="24"/>
          <w:szCs w:val="24"/>
        </w:rPr>
        <w:t>An affidavit showing the consent of existing customers for abandonment of service requests.</w:t>
      </w:r>
    </w:p>
    <w:p w:rsidR="00323A78" w:rsidRPr="00323A78" w:rsidP="00323A78" w14:paraId="5337FD5E" w14:textId="77777777">
      <w:pPr>
        <w:spacing w:after="0"/>
        <w:rPr>
          <w:rFonts w:ascii="Times New Roman" w:hAnsi="Times New Roman" w:cs="Times New Roman"/>
          <w:sz w:val="24"/>
          <w:szCs w:val="24"/>
        </w:rPr>
      </w:pPr>
    </w:p>
    <w:p w:rsidR="00323A78" w:rsidRPr="00323A78" w:rsidP="00323A78" w14:paraId="25FFD4CB" w14:textId="77777777">
      <w:pPr>
        <w:spacing w:after="0"/>
        <w:rPr>
          <w:rFonts w:ascii="Times New Roman" w:hAnsi="Times New Roman" w:cs="Times New Roman"/>
          <w:sz w:val="24"/>
          <w:szCs w:val="24"/>
        </w:rPr>
      </w:pPr>
      <w:r w:rsidRPr="00323A78">
        <w:rPr>
          <w:rFonts w:ascii="Times New Roman" w:hAnsi="Times New Roman" w:cs="Times New Roman"/>
          <w:sz w:val="24"/>
          <w:szCs w:val="24"/>
        </w:rPr>
        <w:t>In addition, requests for an increase of pipeline capacity must include a statement that demonstrates compliance with the Commission’s Certificate Policy Statement by making a showing that the cost of the expansion will not be subsidized by existing customers and that there will not be adverse economic impacts to existing customers, competing pipelines or their customers, or to landowners and surrounding communities.</w:t>
      </w:r>
    </w:p>
    <w:p w:rsidR="00323A78" w:rsidRPr="00323A78" w:rsidP="00323A78" w14:paraId="62933AD3" w14:textId="77777777">
      <w:pPr>
        <w:spacing w:after="0"/>
        <w:rPr>
          <w:rFonts w:ascii="Times New Roman" w:hAnsi="Times New Roman" w:cs="Times New Roman"/>
          <w:sz w:val="24"/>
          <w:szCs w:val="24"/>
        </w:rPr>
      </w:pPr>
    </w:p>
    <w:p w:rsidR="000D6FBE" w:rsidRPr="00EB3E6F" w:rsidP="004276A5" w14:paraId="4683B0AA" w14:textId="77777777">
      <w:pPr>
        <w:spacing w:after="0"/>
        <w:rPr>
          <w:rFonts w:ascii="Times New Roman" w:hAnsi="Times New Roman" w:cs="Times New Roman"/>
          <w:sz w:val="24"/>
          <w:szCs w:val="24"/>
        </w:rPr>
      </w:pPr>
    </w:p>
    <w:p w:rsidR="00EB3E6F" w:rsidRPr="00EB3E6F" w:rsidP="00A72E7B" w14:paraId="383755D2"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P="00EB3E6F" w14:paraId="3DE42D36" w14:textId="77777777">
      <w:pPr>
        <w:spacing w:after="0"/>
        <w:rPr>
          <w:rFonts w:ascii="Times New Roman" w:hAnsi="Times New Roman" w:cs="Times New Roman"/>
          <w:sz w:val="24"/>
          <w:szCs w:val="24"/>
        </w:rPr>
      </w:pPr>
    </w:p>
    <w:p w:rsidR="00867D79" w:rsidRPr="00867D79" w:rsidP="00867D79" w14:paraId="18E0C417" w14:textId="77777777">
      <w:pPr>
        <w:spacing w:after="0"/>
        <w:rPr>
          <w:rFonts w:ascii="Times New Roman" w:hAnsi="Times New Roman" w:cs="Times New Roman"/>
          <w:sz w:val="24"/>
          <w:szCs w:val="24"/>
        </w:rPr>
      </w:pPr>
      <w:r w:rsidRPr="00867D79">
        <w:rPr>
          <w:rFonts w:ascii="Times New Roman" w:hAnsi="Times New Roman" w:cs="Times New Roman"/>
          <w:sz w:val="24"/>
          <w:szCs w:val="24"/>
        </w:rPr>
        <w:t xml:space="preserve">There is an ongoing FERC effort to increase the use of improved information technology </w:t>
      </w:r>
      <w:r w:rsidRPr="00867D79">
        <w:rPr>
          <w:rFonts w:ascii="Times New Roman" w:hAnsi="Times New Roman" w:cs="Times New Roman"/>
          <w:sz w:val="24"/>
          <w:szCs w:val="24"/>
        </w:rPr>
        <w:t>in order to</w:t>
      </w:r>
      <w:r w:rsidRPr="00867D79">
        <w:rPr>
          <w:rFonts w:ascii="Times New Roman" w:hAnsi="Times New Roman" w:cs="Times New Roman"/>
          <w:sz w:val="24"/>
          <w:szCs w:val="24"/>
        </w:rPr>
        <w:t xml:space="preserve"> reduce the compliance burden.  The FERC-537 materials may be </w:t>
      </w:r>
      <w:r w:rsidRPr="00867D79">
        <w:rPr>
          <w:rFonts w:ascii="Times New Roman" w:hAnsi="Times New Roman" w:cs="Times New Roman"/>
          <w:sz w:val="24"/>
          <w:szCs w:val="24"/>
        </w:rPr>
        <w:t>eFiled</w:t>
      </w:r>
      <w:r w:rsidRPr="00867D79">
        <w:rPr>
          <w:rFonts w:ascii="Times New Roman" w:hAnsi="Times New Roman" w:cs="Times New Roman"/>
          <w:sz w:val="24"/>
          <w:szCs w:val="24"/>
        </w:rPr>
        <w:t xml:space="preserve"> through FERC’s </w:t>
      </w:r>
      <w:r w:rsidRPr="00867D79">
        <w:rPr>
          <w:rFonts w:ascii="Times New Roman" w:hAnsi="Times New Roman" w:cs="Times New Roman"/>
          <w:sz w:val="24"/>
          <w:szCs w:val="24"/>
        </w:rPr>
        <w:t>eFiling</w:t>
      </w:r>
      <w:r w:rsidRPr="00867D79">
        <w:rPr>
          <w:rFonts w:ascii="Times New Roman" w:hAnsi="Times New Roman" w:cs="Times New Roman"/>
          <w:sz w:val="24"/>
          <w:szCs w:val="24"/>
        </w:rPr>
        <w:t xml:space="preserve"> system.  [See </w:t>
      </w:r>
      <w:hyperlink r:id="rId9" w:history="1">
        <w:r w:rsidRPr="00867D79">
          <w:rPr>
            <w:rStyle w:val="Hyperlink"/>
            <w:rFonts w:ascii="Times New Roman" w:hAnsi="Times New Roman" w:cs="Times New Roman"/>
            <w:sz w:val="24"/>
            <w:szCs w:val="24"/>
          </w:rPr>
          <w:t>http://www.ferc.gov/docs-filing/efiling/filing.pdf</w:t>
        </w:r>
      </w:hyperlink>
      <w:r w:rsidRPr="00867D79">
        <w:rPr>
          <w:rFonts w:ascii="Times New Roman" w:hAnsi="Times New Roman" w:cs="Times New Roman"/>
          <w:sz w:val="24"/>
          <w:szCs w:val="24"/>
        </w:rPr>
        <w:t xml:space="preserve"> for more information.]</w:t>
      </w:r>
    </w:p>
    <w:p w:rsidR="00867D79" w:rsidRPr="00867D79" w:rsidP="00867D79" w14:paraId="01CF7483" w14:textId="77777777">
      <w:pPr>
        <w:spacing w:after="0"/>
        <w:rPr>
          <w:rFonts w:ascii="Times New Roman" w:hAnsi="Times New Roman" w:cs="Times New Roman"/>
          <w:sz w:val="24"/>
          <w:szCs w:val="24"/>
        </w:rPr>
      </w:pPr>
    </w:p>
    <w:p w:rsidR="00867D79" w:rsidRPr="00867D79" w:rsidP="00867D79" w14:paraId="0EB56404" w14:textId="6AC3FFB8">
      <w:pPr>
        <w:spacing w:after="0"/>
        <w:rPr>
          <w:rFonts w:ascii="Times New Roman" w:hAnsi="Times New Roman" w:cs="Times New Roman"/>
          <w:sz w:val="24"/>
          <w:szCs w:val="24"/>
        </w:rPr>
      </w:pPr>
      <w:r w:rsidRPr="2055DE8B">
        <w:rPr>
          <w:rFonts w:ascii="Times New Roman" w:hAnsi="Times New Roman" w:cs="Times New Roman"/>
          <w:sz w:val="24"/>
          <w:szCs w:val="24"/>
        </w:rPr>
        <w:t>The majority of</w:t>
      </w:r>
      <w:r w:rsidRPr="2055DE8B">
        <w:rPr>
          <w:rFonts w:ascii="Times New Roman" w:hAnsi="Times New Roman" w:cs="Times New Roman"/>
          <w:sz w:val="24"/>
          <w:szCs w:val="24"/>
        </w:rPr>
        <w:t xml:space="preserve"> the application filings made in accordance with sections 7(b) and 7(c) are filed electronically.  However, due to the complexity of the exhibits, maps, and projects and distances covered by the project, for some of the filings, up to three additional paper copies may be required for staff review, processing, and collaboration.  As additional uses of information technology</w:t>
      </w:r>
      <w:r w:rsidRPr="2055DE8B" w:rsidR="547E727A">
        <w:rPr>
          <w:rFonts w:ascii="Times New Roman" w:hAnsi="Times New Roman" w:cs="Times New Roman"/>
          <w:sz w:val="24"/>
          <w:szCs w:val="24"/>
        </w:rPr>
        <w:t xml:space="preserve"> </w:t>
      </w:r>
      <w:r w:rsidRPr="2055DE8B">
        <w:rPr>
          <w:rFonts w:ascii="Times New Roman" w:hAnsi="Times New Roman" w:cs="Times New Roman"/>
          <w:sz w:val="24"/>
          <w:szCs w:val="24"/>
        </w:rPr>
        <w:t>are implemented, FERC may be able to reduce or eliminate the need for the additional paper copies.</w:t>
      </w:r>
    </w:p>
    <w:p w:rsidR="00466C57" w:rsidRPr="00EB3E6F" w:rsidP="00EB3E6F" w14:paraId="2AA4616C" w14:textId="129EFE35">
      <w:pPr>
        <w:spacing w:after="0"/>
        <w:rPr>
          <w:rFonts w:ascii="Times New Roman" w:hAnsi="Times New Roman" w:cs="Times New Roman"/>
          <w:sz w:val="24"/>
          <w:szCs w:val="24"/>
        </w:rPr>
      </w:pPr>
      <w:r w:rsidRPr="00867D79">
        <w:rPr>
          <w:rFonts w:ascii="Times New Roman" w:hAnsi="Times New Roman" w:cs="Times New Roman"/>
          <w:sz w:val="24"/>
          <w:szCs w:val="24"/>
        </w:rPr>
        <w:t xml:space="preserve"> </w:t>
      </w:r>
    </w:p>
    <w:p w:rsidR="00EB3E6F" w:rsidRPr="00EB3E6F" w:rsidP="00A72E7B" w14:paraId="7F3A435F"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P="00EB3E6F" w14:paraId="79379D3A" w14:textId="77777777">
      <w:pPr>
        <w:spacing w:after="0"/>
        <w:rPr>
          <w:rFonts w:ascii="Times New Roman" w:hAnsi="Times New Roman" w:cs="Times New Roman"/>
          <w:sz w:val="24"/>
          <w:szCs w:val="24"/>
        </w:rPr>
      </w:pPr>
    </w:p>
    <w:p w:rsidR="00CF5B29" w:rsidP="008B651B" w14:paraId="472B1806" w14:textId="3A79CD40">
      <w:pPr>
        <w:spacing w:after="0"/>
        <w:rPr>
          <w:rFonts w:ascii="Times New Roman" w:hAnsi="Times New Roman" w:cs="Times New Roman"/>
          <w:sz w:val="24"/>
          <w:szCs w:val="24"/>
        </w:rPr>
      </w:pPr>
      <w:r w:rsidRPr="008B651B">
        <w:rPr>
          <w:rFonts w:ascii="Times New Roman" w:hAnsi="Times New Roman" w:cs="Times New Roman"/>
          <w:sz w:val="24"/>
          <w:szCs w:val="24"/>
        </w:rPr>
        <w:t xml:space="preserve">Filing requirements are periodically reviewed as information collection expiration dates arise or as the Commission may deem necessary in carrying out its regulatory responsibilities under the NGA </w:t>
      </w:r>
      <w:r w:rsidRPr="008B651B">
        <w:rPr>
          <w:rFonts w:ascii="Times New Roman" w:hAnsi="Times New Roman" w:cs="Times New Roman"/>
          <w:sz w:val="24"/>
          <w:szCs w:val="24"/>
        </w:rPr>
        <w:t>in an effort to</w:t>
      </w:r>
      <w:r w:rsidRPr="008B651B">
        <w:rPr>
          <w:rFonts w:ascii="Times New Roman" w:hAnsi="Times New Roman" w:cs="Times New Roman"/>
          <w:sz w:val="24"/>
          <w:szCs w:val="24"/>
        </w:rPr>
        <w:t xml:space="preserve"> alleviate duplication.  All Commission information collections are subject to </w:t>
      </w:r>
      <w:r w:rsidRPr="008B651B">
        <w:rPr>
          <w:rFonts w:ascii="Times New Roman" w:hAnsi="Times New Roman" w:cs="Times New Roman"/>
          <w:sz w:val="24"/>
          <w:szCs w:val="24"/>
        </w:rPr>
        <w:t xml:space="preserve">analysis by Commission staff and are examined for redundancy.  There is no other source of this </w:t>
      </w:r>
      <w:r w:rsidRPr="008B651B">
        <w:rPr>
          <w:rFonts w:ascii="Times New Roman" w:hAnsi="Times New Roman" w:cs="Times New Roman"/>
          <w:sz w:val="24"/>
          <w:szCs w:val="24"/>
        </w:rPr>
        <w:t>information</w:t>
      </w:r>
      <w:r w:rsidRPr="008B651B">
        <w:rPr>
          <w:rFonts w:ascii="Times New Roman" w:hAnsi="Times New Roman" w:cs="Times New Roman"/>
          <w:sz w:val="24"/>
          <w:szCs w:val="24"/>
        </w:rPr>
        <w:t xml:space="preserve"> </w:t>
      </w:r>
    </w:p>
    <w:p w:rsidR="00466C57" w:rsidRPr="00EB3E6F" w:rsidP="00EB3E6F" w14:paraId="0802EA7E" w14:textId="77777777">
      <w:pPr>
        <w:spacing w:after="0"/>
        <w:rPr>
          <w:rFonts w:ascii="Times New Roman" w:hAnsi="Times New Roman" w:cs="Times New Roman"/>
          <w:sz w:val="24"/>
          <w:szCs w:val="24"/>
        </w:rPr>
      </w:pPr>
    </w:p>
    <w:p w:rsidR="00EB3E6F" w:rsidRPr="00EB3E6F" w:rsidP="00A72E7B" w14:paraId="72EA9393"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P="00EB3E6F" w14:paraId="2C2C6A43" w14:textId="77777777">
      <w:pPr>
        <w:spacing w:after="0"/>
        <w:rPr>
          <w:rFonts w:ascii="Times New Roman" w:hAnsi="Times New Roman" w:cs="Times New Roman"/>
          <w:sz w:val="24"/>
          <w:szCs w:val="24"/>
        </w:rPr>
      </w:pPr>
    </w:p>
    <w:p w:rsidR="002E5586" w:rsidRPr="00430C6A" w:rsidP="002E5586" w14:paraId="4FAF91BF" w14:textId="00AFCBED">
      <w:pPr>
        <w:spacing w:line="240" w:lineRule="auto"/>
        <w:rPr>
          <w:rFonts w:ascii="Times New Roman" w:eastAsia="Calibri" w:hAnsi="Times New Roman" w:cs="Times New Roman"/>
          <w:bCs/>
          <w:sz w:val="24"/>
          <w:szCs w:val="24"/>
        </w:rPr>
      </w:pPr>
      <w:r>
        <w:rPr>
          <w:rFonts w:ascii="Times New Roman" w:eastAsia="Calibri" w:hAnsi="Times New Roman" w:cs="Times New Roman"/>
          <w:sz w:val="24"/>
          <w:szCs w:val="24"/>
        </w:rPr>
        <w:t>For FERC-537 all</w:t>
      </w:r>
      <w:r w:rsidRPr="00430C6A">
        <w:rPr>
          <w:rFonts w:ascii="Times New Roman" w:eastAsia="Calibri" w:hAnsi="Times New Roman" w:cs="Times New Roman"/>
          <w:sz w:val="24"/>
          <w:szCs w:val="24"/>
        </w:rPr>
        <w:t xml:space="preserve"> entities have the option of filing electronically through the </w:t>
      </w:r>
      <w:r w:rsidRPr="00430C6A">
        <w:rPr>
          <w:rFonts w:ascii="Times New Roman" w:eastAsia="Calibri" w:hAnsi="Times New Roman" w:cs="Times New Roman"/>
          <w:sz w:val="24"/>
          <w:szCs w:val="24"/>
        </w:rPr>
        <w:t>eFiling</w:t>
      </w:r>
      <w:r w:rsidRPr="00430C6A">
        <w:rPr>
          <w:rFonts w:ascii="Times New Roman" w:eastAsia="Calibri" w:hAnsi="Times New Roman" w:cs="Times New Roman"/>
          <w:sz w:val="24"/>
          <w:szCs w:val="24"/>
        </w:rPr>
        <w:t xml:space="preserve"> interface as a means of reducing their incurred burden.  </w:t>
      </w:r>
      <w:r w:rsidRPr="00430C6A">
        <w:rPr>
          <w:rFonts w:ascii="Times New Roman" w:eastAsia="Calibri" w:hAnsi="Times New Roman" w:cs="Times New Roman"/>
          <w:bCs/>
          <w:sz w:val="24"/>
          <w:szCs w:val="24"/>
        </w:rPr>
        <w:t xml:space="preserve">The </w:t>
      </w:r>
      <w:r>
        <w:rPr>
          <w:rFonts w:ascii="Times New Roman" w:eastAsia="Calibri" w:hAnsi="Times New Roman" w:cs="Times New Roman"/>
          <w:bCs/>
          <w:sz w:val="24"/>
          <w:szCs w:val="24"/>
        </w:rPr>
        <w:t xml:space="preserve">exact </w:t>
      </w:r>
      <w:r w:rsidRPr="00430C6A">
        <w:rPr>
          <w:rFonts w:ascii="Times New Roman" w:eastAsia="Calibri" w:hAnsi="Times New Roman" w:cs="Times New Roman"/>
          <w:bCs/>
          <w:sz w:val="24"/>
          <w:szCs w:val="24"/>
        </w:rPr>
        <w:t>burden will vary among applicants since the information should be specific for each applicant and site.</w:t>
      </w:r>
    </w:p>
    <w:p w:rsidR="00CF5B29" w:rsidRPr="00EB3E6F" w:rsidP="00EB3E6F" w14:paraId="11625D47" w14:textId="77777777">
      <w:pPr>
        <w:spacing w:after="0"/>
        <w:rPr>
          <w:rFonts w:ascii="Times New Roman" w:hAnsi="Times New Roman" w:cs="Times New Roman"/>
          <w:sz w:val="24"/>
          <w:szCs w:val="24"/>
        </w:rPr>
      </w:pPr>
    </w:p>
    <w:p w:rsidR="00EB3E6F" w:rsidRPr="001228FC" w:rsidP="00A72E7B" w14:paraId="0631BAC3" w14:textId="77777777">
      <w:pPr>
        <w:pStyle w:val="ListParagraph"/>
        <w:numPr>
          <w:ilvl w:val="0"/>
          <w:numId w:val="1"/>
        </w:numPr>
        <w:spacing w:after="0"/>
        <w:ind w:left="360"/>
        <w:rPr>
          <w:rFonts w:ascii="Times New Roman" w:hAnsi="Times New Roman" w:cs="Times New Roman"/>
          <w:b/>
          <w:sz w:val="24"/>
          <w:szCs w:val="24"/>
        </w:rPr>
      </w:pPr>
      <w:r w:rsidRPr="001228FC">
        <w:rPr>
          <w:rFonts w:ascii="Times New Roman" w:hAnsi="Times New Roman" w:cs="Times New Roman"/>
          <w:b/>
          <w:sz w:val="24"/>
          <w:szCs w:val="24"/>
        </w:rPr>
        <w:t>CONSEQUENCE TO FEDERAL PROGRAM IF COLLECTION WERE CONDUCTED LESS FREQUENTLY</w:t>
      </w:r>
    </w:p>
    <w:p w:rsidR="00D3127A" w:rsidP="00EB3E6F" w14:paraId="3906F991" w14:textId="77777777">
      <w:pPr>
        <w:spacing w:after="0"/>
        <w:rPr>
          <w:rFonts w:ascii="Times New Roman" w:hAnsi="Times New Roman" w:cs="Times New Roman"/>
          <w:sz w:val="24"/>
          <w:szCs w:val="24"/>
        </w:rPr>
      </w:pPr>
    </w:p>
    <w:p w:rsidR="00767141" w:rsidP="00EB3E6F" w14:paraId="14C7B2AA" w14:textId="51DBE170">
      <w:pPr>
        <w:spacing w:after="0"/>
        <w:rPr>
          <w:rFonts w:ascii="Times New Roman" w:hAnsi="Times New Roman" w:cs="Times New Roman"/>
          <w:sz w:val="24"/>
          <w:szCs w:val="24"/>
        </w:rPr>
      </w:pPr>
      <w:r w:rsidRPr="00D3127A">
        <w:rPr>
          <w:rFonts w:ascii="Times New Roman" w:hAnsi="Times New Roman" w:cs="Times New Roman"/>
          <w:sz w:val="24"/>
          <w:szCs w:val="24"/>
        </w:rPr>
        <w:t>The Commission reviews and analyses the information filed under the regulations subject to FERC-537 to determine whether to approve or deny the requested authorization.  If the Commission failed to collect these data, it would lose its ability to review relevant information to determine whether the requested certificate should be authorized.</w:t>
      </w:r>
    </w:p>
    <w:p w:rsidR="00297631" w:rsidRPr="00EB3E6F" w:rsidP="00EB3E6F" w14:paraId="76417F54" w14:textId="77777777">
      <w:pPr>
        <w:spacing w:after="0"/>
        <w:rPr>
          <w:rFonts w:ascii="Times New Roman" w:hAnsi="Times New Roman" w:cs="Times New Roman"/>
          <w:sz w:val="24"/>
          <w:szCs w:val="24"/>
        </w:rPr>
      </w:pPr>
    </w:p>
    <w:p w:rsidR="00EB3E6F" w:rsidRPr="00D80FBD" w:rsidP="00A72E7B" w14:paraId="49BEA7BC"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P="00EB3E6F" w14:paraId="3235B8A1" w14:textId="77777777">
      <w:pPr>
        <w:spacing w:after="0"/>
        <w:rPr>
          <w:rFonts w:ascii="Times New Roman" w:hAnsi="Times New Roman" w:cs="Times New Roman"/>
          <w:sz w:val="24"/>
          <w:szCs w:val="24"/>
        </w:rPr>
      </w:pPr>
    </w:p>
    <w:p w:rsidR="00EB3E6F" w:rsidP="00D964D6" w14:paraId="51F8D074" w14:textId="25435671">
      <w:pPr>
        <w:spacing w:after="0"/>
        <w:rPr>
          <w:rFonts w:ascii="Times New Roman" w:hAnsi="Times New Roman" w:cs="Times New Roman"/>
          <w:sz w:val="24"/>
          <w:szCs w:val="24"/>
        </w:rPr>
      </w:pPr>
      <w:r>
        <w:rPr>
          <w:rFonts w:ascii="Times New Roman" w:hAnsi="Times New Roman" w:cs="Times New Roman"/>
          <w:sz w:val="24"/>
          <w:szCs w:val="24"/>
        </w:rPr>
        <w:t>There are no special circumstances</w:t>
      </w:r>
      <w:r w:rsidR="00CF5B29">
        <w:rPr>
          <w:rFonts w:ascii="Times New Roman" w:hAnsi="Times New Roman" w:cs="Times New Roman"/>
          <w:sz w:val="24"/>
          <w:szCs w:val="24"/>
        </w:rPr>
        <w:t xml:space="preserve"> (as described in 5 CFR 1320.5(d)(2)</w:t>
      </w:r>
      <w:r w:rsidR="00446F1C">
        <w:rPr>
          <w:rFonts w:ascii="Times New Roman" w:hAnsi="Times New Roman" w:cs="Times New Roman"/>
          <w:sz w:val="24"/>
          <w:szCs w:val="24"/>
        </w:rPr>
        <w:t>)</w:t>
      </w:r>
      <w:r>
        <w:rPr>
          <w:rFonts w:ascii="Times New Roman" w:hAnsi="Times New Roman" w:cs="Times New Roman"/>
          <w:sz w:val="24"/>
          <w:szCs w:val="24"/>
        </w:rPr>
        <w:t xml:space="preserve"> </w:t>
      </w:r>
      <w:r w:rsidR="00CF5B29">
        <w:rPr>
          <w:rFonts w:ascii="Times New Roman" w:hAnsi="Times New Roman" w:cs="Times New Roman"/>
          <w:sz w:val="24"/>
          <w:szCs w:val="24"/>
        </w:rPr>
        <w:t>related to the FERC-</w:t>
      </w:r>
      <w:r w:rsidR="008B651B">
        <w:rPr>
          <w:rFonts w:ascii="Times New Roman" w:hAnsi="Times New Roman" w:cs="Times New Roman"/>
          <w:sz w:val="24"/>
          <w:szCs w:val="24"/>
        </w:rPr>
        <w:t>537</w:t>
      </w:r>
      <w:r w:rsidR="00D43F0E">
        <w:rPr>
          <w:rFonts w:ascii="Times New Roman" w:hAnsi="Times New Roman" w:cs="Times New Roman"/>
          <w:sz w:val="24"/>
          <w:szCs w:val="24"/>
        </w:rPr>
        <w:t xml:space="preserve"> information collection.</w:t>
      </w:r>
    </w:p>
    <w:p w:rsidR="008D310F" w:rsidRPr="00EB3E6F" w:rsidP="00EB3E6F" w14:paraId="5161D56B" w14:textId="77777777">
      <w:pPr>
        <w:spacing w:after="0"/>
        <w:rPr>
          <w:rFonts w:ascii="Times New Roman" w:hAnsi="Times New Roman" w:cs="Times New Roman"/>
          <w:sz w:val="24"/>
          <w:szCs w:val="24"/>
        </w:rPr>
      </w:pPr>
    </w:p>
    <w:p w:rsidR="00EB3E6F" w:rsidRPr="00D80FBD" w:rsidP="00A72E7B" w14:paraId="31455D90"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P="00EB3E6F" w14:paraId="4D23222C" w14:textId="77777777">
      <w:pPr>
        <w:spacing w:after="0"/>
        <w:rPr>
          <w:rFonts w:ascii="Times New Roman" w:hAnsi="Times New Roman" w:cs="Times New Roman"/>
          <w:sz w:val="24"/>
          <w:szCs w:val="24"/>
        </w:rPr>
      </w:pPr>
    </w:p>
    <w:p w:rsidR="00211186" w:rsidP="00D964D6" w14:paraId="0846B993" w14:textId="7EB3E71C">
      <w:pPr>
        <w:spacing w:after="0"/>
        <w:rPr>
          <w:rFonts w:ascii="Times New Roman" w:hAnsi="Times New Roman" w:cs="Times New Roman"/>
          <w:bCs/>
          <w:sz w:val="24"/>
          <w:szCs w:val="24"/>
        </w:rPr>
      </w:pPr>
      <w:r w:rsidRPr="000323E9">
        <w:rPr>
          <w:rFonts w:ascii="Times New Roman" w:hAnsi="Times New Roman" w:cs="Times New Roman"/>
          <w:bCs/>
          <w:sz w:val="24"/>
          <w:szCs w:val="24"/>
        </w:rPr>
        <w:t>In accordance with OMB requirements, the Commission published a 60-day notice</w:t>
      </w:r>
      <w:r>
        <w:rPr>
          <w:rFonts w:ascii="Times New Roman" w:hAnsi="Times New Roman" w:cs="Times New Roman"/>
          <w:bCs/>
          <w:sz w:val="24"/>
          <w:szCs w:val="24"/>
          <w:vertAlign w:val="superscript"/>
        </w:rPr>
        <w:footnoteReference w:id="5"/>
      </w:r>
      <w:r>
        <w:rPr>
          <w:rFonts w:ascii="Times New Roman" w:hAnsi="Times New Roman" w:cs="Times New Roman"/>
          <w:bCs/>
          <w:sz w:val="24"/>
          <w:szCs w:val="24"/>
        </w:rPr>
        <w:t xml:space="preserve"> on </w:t>
      </w:r>
      <w:r w:rsidR="000E2E6A">
        <w:rPr>
          <w:rFonts w:ascii="Times New Roman" w:hAnsi="Times New Roman" w:cs="Times New Roman"/>
          <w:bCs/>
          <w:sz w:val="24"/>
          <w:szCs w:val="24"/>
        </w:rPr>
        <w:t>7</w:t>
      </w:r>
      <w:r>
        <w:rPr>
          <w:rFonts w:ascii="Times New Roman" w:hAnsi="Times New Roman" w:cs="Times New Roman"/>
          <w:bCs/>
          <w:sz w:val="24"/>
          <w:szCs w:val="24"/>
        </w:rPr>
        <w:t>/</w:t>
      </w:r>
      <w:r w:rsidR="00D81268">
        <w:rPr>
          <w:rFonts w:ascii="Times New Roman" w:hAnsi="Times New Roman" w:cs="Times New Roman"/>
          <w:bCs/>
          <w:sz w:val="24"/>
          <w:szCs w:val="24"/>
        </w:rPr>
        <w:t>3</w:t>
      </w:r>
      <w:r>
        <w:rPr>
          <w:rFonts w:ascii="Times New Roman" w:hAnsi="Times New Roman" w:cs="Times New Roman"/>
          <w:bCs/>
          <w:sz w:val="24"/>
          <w:szCs w:val="24"/>
        </w:rPr>
        <w:t>/20</w:t>
      </w:r>
      <w:r w:rsidR="00886BC7">
        <w:rPr>
          <w:rFonts w:ascii="Times New Roman" w:hAnsi="Times New Roman" w:cs="Times New Roman"/>
          <w:bCs/>
          <w:sz w:val="24"/>
          <w:szCs w:val="24"/>
        </w:rPr>
        <w:t>2</w:t>
      </w:r>
      <w:r w:rsidR="00D81268">
        <w:rPr>
          <w:rFonts w:ascii="Times New Roman" w:hAnsi="Times New Roman" w:cs="Times New Roman"/>
          <w:bCs/>
          <w:sz w:val="24"/>
          <w:szCs w:val="24"/>
        </w:rPr>
        <w:t>4</w:t>
      </w:r>
      <w:r w:rsidRPr="000323E9">
        <w:rPr>
          <w:rFonts w:ascii="Times New Roman" w:hAnsi="Times New Roman" w:cs="Times New Roman"/>
          <w:bCs/>
          <w:sz w:val="24"/>
          <w:szCs w:val="24"/>
        </w:rPr>
        <w:t xml:space="preserve"> and published a 30-day notice</w:t>
      </w:r>
      <w:r>
        <w:rPr>
          <w:rFonts w:ascii="Times New Roman" w:hAnsi="Times New Roman" w:cs="Times New Roman"/>
          <w:bCs/>
          <w:sz w:val="24"/>
          <w:szCs w:val="24"/>
          <w:vertAlign w:val="superscript"/>
        </w:rPr>
        <w:footnoteReference w:id="6"/>
      </w:r>
      <w:r w:rsidRPr="000323E9">
        <w:rPr>
          <w:rFonts w:ascii="Times New Roman" w:hAnsi="Times New Roman" w:cs="Times New Roman"/>
          <w:bCs/>
          <w:sz w:val="24"/>
          <w:szCs w:val="24"/>
          <w:vertAlign w:val="superscript"/>
        </w:rPr>
        <w:t xml:space="preserve"> </w:t>
      </w:r>
      <w:r>
        <w:rPr>
          <w:rFonts w:ascii="Times New Roman" w:hAnsi="Times New Roman" w:cs="Times New Roman"/>
          <w:bCs/>
          <w:sz w:val="24"/>
          <w:szCs w:val="24"/>
        </w:rPr>
        <w:t xml:space="preserve">on </w:t>
      </w:r>
      <w:r w:rsidRPr="006472A5" w:rsidR="0030018D">
        <w:rPr>
          <w:rFonts w:ascii="Times New Roman" w:hAnsi="Times New Roman" w:cs="Times New Roman"/>
          <w:sz w:val="24"/>
          <w:szCs w:val="24"/>
        </w:rPr>
        <w:t>0</w:t>
      </w:r>
      <w:r w:rsidRPr="006472A5" w:rsidR="0048408A">
        <w:rPr>
          <w:rFonts w:ascii="Times New Roman" w:hAnsi="Times New Roman" w:cs="Times New Roman"/>
          <w:sz w:val="24"/>
          <w:szCs w:val="24"/>
        </w:rPr>
        <w:t>9</w:t>
      </w:r>
      <w:r w:rsidRPr="006472A5" w:rsidR="0030018D">
        <w:rPr>
          <w:rFonts w:ascii="Times New Roman" w:hAnsi="Times New Roman" w:cs="Times New Roman"/>
          <w:sz w:val="24"/>
          <w:szCs w:val="24"/>
        </w:rPr>
        <w:t>/</w:t>
      </w:r>
      <w:r w:rsidRPr="006472A5" w:rsidR="006E0265">
        <w:rPr>
          <w:rFonts w:ascii="Times New Roman" w:hAnsi="Times New Roman" w:cs="Times New Roman"/>
          <w:sz w:val="24"/>
          <w:szCs w:val="24"/>
        </w:rPr>
        <w:t>25</w:t>
      </w:r>
      <w:r w:rsidRPr="006472A5" w:rsidR="0030018D">
        <w:rPr>
          <w:rFonts w:ascii="Times New Roman" w:hAnsi="Times New Roman" w:cs="Times New Roman"/>
          <w:sz w:val="24"/>
          <w:szCs w:val="24"/>
        </w:rPr>
        <w:t>/202</w:t>
      </w:r>
      <w:r w:rsidRPr="006472A5" w:rsidR="006E0265">
        <w:rPr>
          <w:rFonts w:ascii="Times New Roman" w:hAnsi="Times New Roman" w:cs="Times New Roman"/>
          <w:sz w:val="24"/>
          <w:szCs w:val="24"/>
        </w:rPr>
        <w:t>4</w:t>
      </w:r>
      <w:r w:rsidRPr="006472A5" w:rsidR="0030018D">
        <w:rPr>
          <w:sz w:val="24"/>
          <w:szCs w:val="24"/>
        </w:rPr>
        <w:t xml:space="preserve"> </w:t>
      </w:r>
      <w:r w:rsidR="00886BC7">
        <w:rPr>
          <w:rFonts w:ascii="Times New Roman" w:hAnsi="Times New Roman" w:cs="Times New Roman"/>
          <w:bCs/>
          <w:sz w:val="24"/>
          <w:szCs w:val="24"/>
        </w:rPr>
        <w:t xml:space="preserve">there were no comments </w:t>
      </w:r>
      <w:r w:rsidRPr="006558BB" w:rsidR="00886BC7">
        <w:t>received</w:t>
      </w:r>
      <w:r w:rsidR="00886BC7">
        <w:rPr>
          <w:rFonts w:ascii="Times New Roman" w:hAnsi="Times New Roman" w:cs="Times New Roman"/>
          <w:bCs/>
          <w:sz w:val="24"/>
          <w:szCs w:val="24"/>
        </w:rPr>
        <w:t xml:space="preserve"> on this collection.</w:t>
      </w:r>
    </w:p>
    <w:p w:rsidR="00EB3E6F" w:rsidRPr="00EB3E6F" w:rsidP="00EB3E6F" w14:paraId="45339A23" w14:textId="595D6301">
      <w:pPr>
        <w:spacing w:after="0"/>
        <w:rPr>
          <w:rFonts w:ascii="Times New Roman" w:hAnsi="Times New Roman" w:cs="Times New Roman"/>
          <w:sz w:val="24"/>
          <w:szCs w:val="24"/>
        </w:rPr>
      </w:pPr>
    </w:p>
    <w:p w:rsidR="00EB3E6F" w:rsidRPr="00D80FBD" w:rsidP="00A72E7B" w14:paraId="67AD048F"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P="00D80FBD" w14:paraId="7394C59A" w14:textId="77777777">
      <w:pPr>
        <w:spacing w:after="0"/>
        <w:rPr>
          <w:rFonts w:ascii="Times New Roman" w:hAnsi="Times New Roman" w:cs="Times New Roman"/>
          <w:sz w:val="24"/>
          <w:szCs w:val="24"/>
        </w:rPr>
      </w:pPr>
    </w:p>
    <w:p w:rsidR="00D80FBD" w:rsidP="00D80FBD" w14:paraId="2D6D951D" w14:textId="038ACDFA">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w:t>
      </w:r>
      <w:r w:rsidR="00CF5B29">
        <w:rPr>
          <w:rFonts w:ascii="Times New Roman" w:hAnsi="Times New Roman" w:cs="Times New Roman"/>
          <w:sz w:val="24"/>
          <w:szCs w:val="24"/>
        </w:rPr>
        <w:t>e FERC-</w:t>
      </w:r>
      <w:r w:rsidR="00D964D6">
        <w:rPr>
          <w:rFonts w:ascii="Times New Roman" w:hAnsi="Times New Roman" w:cs="Times New Roman"/>
          <w:sz w:val="24"/>
          <w:szCs w:val="24"/>
        </w:rPr>
        <w:t>537</w:t>
      </w:r>
      <w:r w:rsidRPr="008D310F">
        <w:rPr>
          <w:rFonts w:ascii="Times New Roman" w:hAnsi="Times New Roman" w:cs="Times New Roman"/>
          <w:sz w:val="24"/>
          <w:szCs w:val="24"/>
        </w:rPr>
        <w:t>.</w:t>
      </w:r>
    </w:p>
    <w:p w:rsidR="008D310F" w:rsidRPr="00D80FBD" w:rsidP="00D80FBD" w14:paraId="5FFE503A" w14:textId="77777777">
      <w:pPr>
        <w:spacing w:after="0"/>
        <w:rPr>
          <w:rFonts w:ascii="Times New Roman" w:hAnsi="Times New Roman" w:cs="Times New Roman"/>
          <w:sz w:val="24"/>
          <w:szCs w:val="24"/>
        </w:rPr>
      </w:pPr>
    </w:p>
    <w:p w:rsidR="00D80FBD" w:rsidRPr="00D80FBD" w:rsidP="00A72E7B" w14:paraId="3A58A0FB"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0FBD" w:rsidP="00D80FBD" w14:paraId="752483D7" w14:textId="77777777">
      <w:pPr>
        <w:spacing w:after="0"/>
        <w:rPr>
          <w:rFonts w:ascii="Times New Roman" w:hAnsi="Times New Roman" w:cs="Times New Roman"/>
          <w:sz w:val="24"/>
          <w:szCs w:val="24"/>
        </w:rPr>
      </w:pPr>
    </w:p>
    <w:p w:rsidR="00080B18" w:rsidP="00080B18" w14:paraId="7E32A0F3" w14:textId="3DF5579B">
      <w:pPr>
        <w:rPr>
          <w:rFonts w:ascii="Times New Roman" w:hAnsi="Times New Roman"/>
          <w:color w:val="FF0000"/>
          <w:sz w:val="24"/>
          <w:szCs w:val="24"/>
        </w:rPr>
      </w:pPr>
      <w:r w:rsidRPr="74339A3F">
        <w:rPr>
          <w:rFonts w:ascii="Times New Roman" w:hAnsi="Times New Roman" w:cs="Times New Roman"/>
          <w:sz w:val="24"/>
          <w:szCs w:val="24"/>
        </w:rPr>
        <w:t>The Commission does not guarantee</w:t>
      </w:r>
      <w:r w:rsidRPr="74339A3F" w:rsidR="00D964D6">
        <w:rPr>
          <w:rFonts w:ascii="Times New Roman" w:hAnsi="Times New Roman" w:cs="Times New Roman"/>
          <w:sz w:val="24"/>
          <w:szCs w:val="24"/>
        </w:rPr>
        <w:t xml:space="preserve"> the information</w:t>
      </w:r>
      <w:r w:rsidRPr="74339A3F">
        <w:rPr>
          <w:rFonts w:ascii="Times New Roman" w:hAnsi="Times New Roman" w:cs="Times New Roman"/>
          <w:sz w:val="24"/>
          <w:szCs w:val="24"/>
        </w:rPr>
        <w:t xml:space="preserve"> provided by applicants</w:t>
      </w:r>
      <w:r w:rsidRPr="74339A3F" w:rsidR="00D964D6">
        <w:rPr>
          <w:rFonts w:ascii="Times New Roman" w:hAnsi="Times New Roman" w:cs="Times New Roman"/>
          <w:sz w:val="24"/>
          <w:szCs w:val="24"/>
        </w:rPr>
        <w:t xml:space="preserve"> to be confidential. </w:t>
      </w:r>
      <w:r w:rsidRPr="74339A3F">
        <w:rPr>
          <w:rFonts w:ascii="Times New Roman" w:hAnsi="Times New Roman" w:cs="Times New Roman"/>
          <w:sz w:val="24"/>
          <w:szCs w:val="24"/>
        </w:rPr>
        <w:t xml:space="preserve"> In fact, most of it is understood to be public. </w:t>
      </w:r>
      <w:r w:rsidRPr="74339A3F" w:rsidR="00D964D6">
        <w:rPr>
          <w:rFonts w:ascii="Times New Roman" w:hAnsi="Times New Roman" w:cs="Times New Roman"/>
          <w:sz w:val="24"/>
          <w:szCs w:val="24"/>
        </w:rPr>
        <w:t xml:space="preserve"> However, the Commission has encouraged applicants to indicate information which may be Critical Energy</w:t>
      </w:r>
      <w:r w:rsidRPr="74339A3F" w:rsidR="004236B6">
        <w:rPr>
          <w:rFonts w:ascii="Times New Roman" w:hAnsi="Times New Roman" w:cs="Times New Roman"/>
          <w:sz w:val="24"/>
          <w:szCs w:val="24"/>
        </w:rPr>
        <w:t xml:space="preserve">/Electric </w:t>
      </w:r>
      <w:r w:rsidRPr="74339A3F" w:rsidR="00D964D6">
        <w:rPr>
          <w:rFonts w:ascii="Times New Roman" w:hAnsi="Times New Roman" w:cs="Times New Roman"/>
          <w:sz w:val="24"/>
          <w:szCs w:val="24"/>
        </w:rPr>
        <w:t>Infrastructure Information (CEII), or privileged</w:t>
      </w:r>
      <w:r w:rsidRPr="74339A3F">
        <w:rPr>
          <w:rFonts w:ascii="Times New Roman" w:hAnsi="Times New Roman" w:cs="Times New Roman"/>
          <w:sz w:val="24"/>
          <w:szCs w:val="24"/>
        </w:rPr>
        <w:t>, and thus initially confidential</w:t>
      </w:r>
      <w:r w:rsidRPr="74339A3F" w:rsidR="00D964D6">
        <w:rPr>
          <w:rFonts w:ascii="Times New Roman" w:hAnsi="Times New Roman" w:cs="Times New Roman"/>
          <w:sz w:val="24"/>
          <w:szCs w:val="24"/>
        </w:rPr>
        <w:t xml:space="preserve">.  CEII as defined in Section 18 CFR 388.113 includes information about proposed or existing natural gas facilities that could be used by a person planning an attack on critical energy infrastructure.  </w:t>
      </w:r>
      <w:r w:rsidRPr="74339A3F">
        <w:rPr>
          <w:rFonts w:ascii="Times New Roman" w:hAnsi="Times New Roman"/>
          <w:sz w:val="24"/>
          <w:szCs w:val="24"/>
        </w:rPr>
        <w:t>Privileged material most often includes proprietary business information, specific cultural resource details and locations, and personal identification information of affected landowners.  </w:t>
      </w:r>
      <w:r w:rsidRPr="74339A3F" w:rsidR="00D964D6">
        <w:rPr>
          <w:rFonts w:ascii="Times New Roman" w:hAnsi="Times New Roman" w:cs="Times New Roman"/>
          <w:sz w:val="24"/>
          <w:szCs w:val="24"/>
        </w:rPr>
        <w:t xml:space="preserve">More information about CEII and privileged security levels of information are posted at </w:t>
      </w:r>
      <w:hyperlink r:id="rId10">
        <w:r w:rsidRPr="74339A3F" w:rsidR="00D964D6">
          <w:rPr>
            <w:rStyle w:val="Hyperlink"/>
            <w:rFonts w:ascii="Times New Roman" w:hAnsi="Times New Roman" w:cs="Times New Roman"/>
            <w:sz w:val="24"/>
            <w:szCs w:val="24"/>
          </w:rPr>
          <w:t>http://www.ferc.gov/legal/ceii-foia/ceii.asp</w:t>
        </w:r>
      </w:hyperlink>
      <w:r w:rsidRPr="74339A3F" w:rsidR="00D964D6">
        <w:rPr>
          <w:rFonts w:ascii="Times New Roman" w:hAnsi="Times New Roman" w:cs="Times New Roman"/>
          <w:sz w:val="24"/>
          <w:szCs w:val="24"/>
        </w:rPr>
        <w:t xml:space="preserve"> and </w:t>
      </w:r>
      <w:hyperlink r:id="rId11">
        <w:r w:rsidRPr="74339A3F" w:rsidR="00D964D6">
          <w:rPr>
            <w:rStyle w:val="Hyperlink"/>
            <w:rFonts w:ascii="Times New Roman" w:hAnsi="Times New Roman" w:cs="Times New Roman"/>
            <w:sz w:val="24"/>
            <w:szCs w:val="24"/>
          </w:rPr>
          <w:t>http://www.ferc.gov/legal/ceii-foia/ceii/classes.asp</w:t>
        </w:r>
      </w:hyperlink>
      <w:r w:rsidRPr="74339A3F" w:rsidR="00D964D6">
        <w:rPr>
          <w:rFonts w:ascii="Times New Roman" w:hAnsi="Times New Roman" w:cs="Times New Roman"/>
          <w:sz w:val="24"/>
          <w:szCs w:val="24"/>
        </w:rPr>
        <w:t>.  The Commission’s procedures in Part 388 are designed to ensure that CEII and privileged material are not placed in the Commission’s public records</w:t>
      </w:r>
      <w:r w:rsidRPr="74339A3F" w:rsidR="00CF5B29">
        <w:rPr>
          <w:rFonts w:ascii="Times New Roman" w:hAnsi="Times New Roman" w:cs="Times New Roman"/>
          <w:sz w:val="24"/>
          <w:szCs w:val="24"/>
        </w:rPr>
        <w:t xml:space="preserve">. </w:t>
      </w:r>
      <w:r w:rsidRPr="74339A3F">
        <w:rPr>
          <w:rFonts w:ascii="Times New Roman" w:hAnsi="Times New Roman" w:cs="Times New Roman"/>
          <w:sz w:val="24"/>
          <w:szCs w:val="24"/>
        </w:rPr>
        <w:t xml:space="preserve"> </w:t>
      </w:r>
      <w:r w:rsidRPr="74339A3F">
        <w:rPr>
          <w:rFonts w:ascii="Times New Roman" w:hAnsi="Times New Roman"/>
          <w:sz w:val="24"/>
          <w:szCs w:val="24"/>
        </w:rPr>
        <w:t>Note that the Commission implement</w:t>
      </w:r>
      <w:r w:rsidRPr="74339A3F" w:rsidR="004236B6">
        <w:rPr>
          <w:rFonts w:ascii="Times New Roman" w:hAnsi="Times New Roman"/>
          <w:sz w:val="24"/>
          <w:szCs w:val="24"/>
        </w:rPr>
        <w:t>ed</w:t>
      </w:r>
      <w:r w:rsidRPr="74339A3F">
        <w:rPr>
          <w:rFonts w:ascii="Times New Roman" w:hAnsi="Times New Roman"/>
          <w:sz w:val="24"/>
          <w:szCs w:val="24"/>
        </w:rPr>
        <w:t xml:space="preserve"> revised procedures for the appropriate handling of documents and will follow the controlled unclassified information (CUI) labeling system now pr</w:t>
      </w:r>
      <w:r w:rsidRPr="74339A3F" w:rsidR="004236B6">
        <w:rPr>
          <w:rFonts w:ascii="Times New Roman" w:hAnsi="Times New Roman"/>
          <w:sz w:val="24"/>
          <w:szCs w:val="24"/>
        </w:rPr>
        <w:t>e</w:t>
      </w:r>
      <w:r w:rsidRPr="74339A3F">
        <w:rPr>
          <w:rFonts w:ascii="Times New Roman" w:hAnsi="Times New Roman"/>
          <w:sz w:val="24"/>
          <w:szCs w:val="24"/>
        </w:rPr>
        <w:t xml:space="preserve">scribed; see </w:t>
      </w:r>
      <w:hyperlink r:id="rId12">
        <w:r w:rsidRPr="74339A3F">
          <w:rPr>
            <w:rStyle w:val="Hyperlink"/>
            <w:rFonts w:ascii="Times New Roman" w:hAnsi="Times New Roman"/>
            <w:sz w:val="24"/>
            <w:szCs w:val="24"/>
          </w:rPr>
          <w:t>http://www.ferc.gov/docs-filing/labeling-guidance.pdf</w:t>
        </w:r>
      </w:hyperlink>
      <w:r w:rsidRPr="74339A3F">
        <w:rPr>
          <w:rFonts w:ascii="Times New Roman" w:hAnsi="Times New Roman"/>
          <w:color w:val="0000FF"/>
          <w:sz w:val="24"/>
          <w:szCs w:val="24"/>
        </w:rPr>
        <w:t>.</w:t>
      </w:r>
      <w:r w:rsidRPr="74339A3F">
        <w:rPr>
          <w:rFonts w:ascii="Times New Roman" w:hAnsi="Times New Roman"/>
          <w:sz w:val="24"/>
          <w:szCs w:val="24"/>
        </w:rPr>
        <w:t xml:space="preserve"> </w:t>
      </w:r>
    </w:p>
    <w:p w:rsidR="008D310F" w:rsidRPr="00D80FBD" w:rsidP="00D80FBD" w14:paraId="2B6C79EB" w14:textId="77777777">
      <w:pPr>
        <w:spacing w:after="0"/>
        <w:rPr>
          <w:rFonts w:ascii="Times New Roman" w:hAnsi="Times New Roman" w:cs="Times New Roman"/>
          <w:sz w:val="24"/>
          <w:szCs w:val="24"/>
        </w:rPr>
      </w:pPr>
    </w:p>
    <w:p w:rsidR="00D80FBD" w:rsidRPr="00D80FBD" w:rsidP="00A72E7B" w14:paraId="7B8DE5EA"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Pr="004C5E0E" w:rsid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rsidR="00D80FBD" w:rsidP="00D80FBD" w14:paraId="0DBA2F08" w14:textId="77777777">
      <w:pPr>
        <w:spacing w:after="0"/>
        <w:rPr>
          <w:rFonts w:ascii="Times New Roman" w:hAnsi="Times New Roman" w:cs="Times New Roman"/>
          <w:sz w:val="24"/>
          <w:szCs w:val="24"/>
        </w:rPr>
      </w:pPr>
    </w:p>
    <w:p w:rsidR="00D80FBD" w:rsidP="00D80FBD" w14:paraId="3AAB0479" w14:textId="77777777">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rsidR="0074195A" w:rsidRPr="00D80FBD" w:rsidP="00D80FBD" w14:paraId="4DD76322" w14:textId="77777777">
      <w:pPr>
        <w:spacing w:after="0"/>
        <w:rPr>
          <w:rFonts w:ascii="Times New Roman" w:hAnsi="Times New Roman" w:cs="Times New Roman"/>
          <w:sz w:val="24"/>
          <w:szCs w:val="24"/>
        </w:rPr>
      </w:pPr>
    </w:p>
    <w:p w:rsidR="00DD6A34" w:rsidP="00DD6A34" w14:paraId="217A79F0" w14:textId="71C7B634">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rsidR="00DD6A34" w:rsidP="00DD6A34" w14:paraId="15A5DFA8" w14:textId="77777777">
      <w:pPr>
        <w:pStyle w:val="ListParagraph"/>
        <w:spacing w:after="0"/>
        <w:ind w:left="360"/>
        <w:rPr>
          <w:rFonts w:ascii="Times New Roman" w:hAnsi="Times New Roman" w:cs="Times New Roman"/>
          <w:b/>
          <w:sz w:val="24"/>
          <w:szCs w:val="24"/>
        </w:rPr>
      </w:pPr>
    </w:p>
    <w:p w:rsidR="00556075" w:rsidP="00556075" w14:paraId="5476A5D0" w14:textId="17D2AACE">
      <w:pPr>
        <w:spacing w:after="0"/>
        <w:rPr>
          <w:rFonts w:ascii="Times New Roman" w:hAnsi="Times New Roman" w:cs="Times New Roman"/>
          <w:bCs/>
          <w:sz w:val="24"/>
          <w:szCs w:val="24"/>
        </w:rPr>
      </w:pPr>
      <w:r w:rsidRPr="00556075">
        <w:rPr>
          <w:rFonts w:ascii="Times New Roman" w:hAnsi="Times New Roman" w:cs="Times New Roman"/>
          <w:bCs/>
          <w:sz w:val="24"/>
          <w:szCs w:val="24"/>
        </w:rPr>
        <w:t xml:space="preserve">The </w:t>
      </w:r>
      <w:r>
        <w:rPr>
          <w:rFonts w:ascii="Times New Roman" w:hAnsi="Times New Roman" w:cs="Times New Roman"/>
          <w:bCs/>
          <w:sz w:val="24"/>
          <w:szCs w:val="24"/>
        </w:rPr>
        <w:t>estimate for cost and burden is as follows:</w:t>
      </w:r>
    </w:p>
    <w:p w:rsidR="00556075" w:rsidRPr="00556075" w:rsidP="00556075" w14:paraId="03C46FC4" w14:textId="77777777">
      <w:pPr>
        <w:spacing w:after="0"/>
        <w:rPr>
          <w:rFonts w:ascii="Times New Roman" w:hAnsi="Times New Roman" w:cs="Times New Roman"/>
          <w:bCs/>
          <w:sz w:val="24"/>
          <w:szCs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60"/>
        <w:gridCol w:w="1495"/>
        <w:gridCol w:w="1495"/>
        <w:gridCol w:w="1409"/>
        <w:gridCol w:w="1310"/>
        <w:gridCol w:w="1316"/>
        <w:gridCol w:w="1234"/>
      </w:tblGrid>
      <w:tr w14:paraId="61D02542" w14:textId="77777777" w:rsidTr="05FDEA0A">
        <w:tblPrEx>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556075" w:rsidRPr="00556075" w:rsidP="00556075" w14:paraId="36E3F238" w14:textId="77777777">
            <w:pPr>
              <w:spacing w:after="0"/>
              <w:rPr>
                <w:rFonts w:ascii="Times New Roman" w:hAnsi="Times New Roman" w:cs="Times New Roman"/>
                <w:b/>
                <w:bCs/>
                <w:sz w:val="24"/>
                <w:szCs w:val="24"/>
              </w:rPr>
            </w:pPr>
            <w:r w:rsidRPr="00556075">
              <w:rPr>
                <w:rFonts w:ascii="Times New Roman" w:hAnsi="Times New Roman" w:cs="Times New Roman"/>
                <w:b/>
                <w:bCs/>
                <w:sz w:val="24"/>
                <w:szCs w:val="24"/>
              </w:rPr>
              <w:t>FERC-537 (Gas Pipeline Certificates:  Construction, Acquisition, and Abandonment)</w:t>
            </w:r>
            <w:r>
              <w:rPr>
                <w:rFonts w:ascii="Times New Roman" w:hAnsi="Times New Roman" w:cs="Times New Roman"/>
                <w:sz w:val="24"/>
                <w:szCs w:val="24"/>
                <w:vertAlign w:val="superscript"/>
              </w:rPr>
              <w:footnoteReference w:id="7"/>
            </w:r>
          </w:p>
        </w:tc>
      </w:tr>
      <w:tr w14:paraId="2E6CBCAE" w14:textId="77777777" w:rsidTr="05FDEA0A">
        <w:tblPrEx>
          <w:tblW w:w="5358" w:type="pct"/>
          <w:tblInd w:w="-72" w:type="dxa"/>
          <w:tblLayout w:type="fixed"/>
          <w:tblLook w:val="01E0"/>
        </w:tblPrEx>
        <w:trPr>
          <w:cantSplit/>
        </w:trPr>
        <w:tc>
          <w:tcPr>
            <w:tcW w:w="878" w:type="pct"/>
            <w:shd w:val="clear" w:color="auto" w:fill="D9D9D9" w:themeFill="background1" w:themeFillShade="D9"/>
          </w:tcPr>
          <w:p w:rsidR="00556075" w:rsidRPr="00556075" w:rsidP="00556075" w14:paraId="093249CB" w14:textId="77777777">
            <w:pPr>
              <w:spacing w:after="0"/>
              <w:rPr>
                <w:rFonts w:ascii="Times New Roman" w:hAnsi="Times New Roman" w:cs="Times New Roman"/>
                <w:b/>
                <w:sz w:val="24"/>
                <w:szCs w:val="24"/>
              </w:rPr>
            </w:pPr>
          </w:p>
        </w:tc>
        <w:tc>
          <w:tcPr>
            <w:tcW w:w="746" w:type="pct"/>
            <w:shd w:val="clear" w:color="auto" w:fill="D9D9D9" w:themeFill="background1" w:themeFillShade="D9"/>
            <w:vAlign w:val="bottom"/>
          </w:tcPr>
          <w:p w:rsidR="00556075" w:rsidRPr="00556075" w:rsidP="00556075" w14:paraId="6945AB0A" w14:textId="77777777">
            <w:pPr>
              <w:spacing w:after="0"/>
              <w:rPr>
                <w:rFonts w:ascii="Times New Roman" w:hAnsi="Times New Roman" w:cs="Times New Roman"/>
                <w:b/>
                <w:sz w:val="24"/>
                <w:szCs w:val="24"/>
              </w:rPr>
            </w:pPr>
            <w:r w:rsidRPr="00556075">
              <w:rPr>
                <w:rFonts w:ascii="Times New Roman" w:hAnsi="Times New Roman" w:cs="Times New Roman"/>
                <w:b/>
                <w:sz w:val="24"/>
                <w:szCs w:val="24"/>
              </w:rPr>
              <w:t>Number of Respondents</w:t>
            </w:r>
            <w:r w:rsidRPr="00556075">
              <w:rPr>
                <w:rFonts w:ascii="Times New Roman" w:hAnsi="Times New Roman" w:cs="Times New Roman"/>
                <w:b/>
                <w:sz w:val="24"/>
                <w:szCs w:val="24"/>
              </w:rPr>
              <w:br/>
              <w:t>(1)</w:t>
            </w:r>
          </w:p>
        </w:tc>
        <w:tc>
          <w:tcPr>
            <w:tcW w:w="746" w:type="pct"/>
            <w:shd w:val="clear" w:color="auto" w:fill="D9D9D9" w:themeFill="background1" w:themeFillShade="D9"/>
            <w:vAlign w:val="bottom"/>
          </w:tcPr>
          <w:p w:rsidR="00556075" w:rsidRPr="00556075" w:rsidP="00556075" w14:paraId="30BF849D" w14:textId="77777777">
            <w:pPr>
              <w:spacing w:after="0"/>
              <w:rPr>
                <w:rFonts w:ascii="Times New Roman" w:hAnsi="Times New Roman" w:cs="Times New Roman"/>
                <w:b/>
                <w:sz w:val="24"/>
                <w:szCs w:val="24"/>
              </w:rPr>
            </w:pPr>
            <w:r w:rsidRPr="00556075">
              <w:rPr>
                <w:rFonts w:ascii="Times New Roman" w:hAnsi="Times New Roman" w:cs="Times New Roman"/>
                <w:b/>
                <w:sz w:val="24"/>
                <w:szCs w:val="24"/>
              </w:rPr>
              <w:t>Annual Number of Responses per Respondent</w:t>
            </w:r>
          </w:p>
          <w:p w:rsidR="00556075" w:rsidRPr="00556075" w:rsidP="00556075" w14:paraId="3E4F36AE" w14:textId="77777777">
            <w:pPr>
              <w:spacing w:after="0"/>
              <w:rPr>
                <w:rFonts w:ascii="Times New Roman" w:hAnsi="Times New Roman" w:cs="Times New Roman"/>
                <w:b/>
                <w:sz w:val="24"/>
                <w:szCs w:val="24"/>
              </w:rPr>
            </w:pPr>
            <w:r w:rsidRPr="00556075">
              <w:rPr>
                <w:rFonts w:ascii="Times New Roman" w:hAnsi="Times New Roman" w:cs="Times New Roman"/>
                <w:b/>
                <w:sz w:val="24"/>
                <w:szCs w:val="24"/>
              </w:rPr>
              <w:t>(2)</w:t>
            </w:r>
          </w:p>
        </w:tc>
        <w:tc>
          <w:tcPr>
            <w:tcW w:w="703" w:type="pct"/>
            <w:shd w:val="clear" w:color="auto" w:fill="D9D9D9" w:themeFill="background1" w:themeFillShade="D9"/>
            <w:vAlign w:val="bottom"/>
          </w:tcPr>
          <w:p w:rsidR="00556075" w:rsidRPr="00556075" w:rsidP="00556075" w14:paraId="7FF17B29" w14:textId="77777777">
            <w:pPr>
              <w:spacing w:after="0"/>
              <w:rPr>
                <w:rFonts w:ascii="Times New Roman" w:hAnsi="Times New Roman" w:cs="Times New Roman"/>
                <w:b/>
                <w:sz w:val="24"/>
                <w:szCs w:val="24"/>
              </w:rPr>
            </w:pPr>
            <w:r w:rsidRPr="00556075">
              <w:rPr>
                <w:rFonts w:ascii="Times New Roman" w:hAnsi="Times New Roman" w:cs="Times New Roman"/>
                <w:b/>
                <w:sz w:val="24"/>
                <w:szCs w:val="24"/>
              </w:rPr>
              <w:t>Total Number of Responses (</w:t>
            </w:r>
            <w:r w:rsidRPr="00556075">
              <w:rPr>
                <w:rFonts w:ascii="Times New Roman" w:hAnsi="Times New Roman" w:cs="Times New Roman"/>
                <w:b/>
                <w:sz w:val="24"/>
                <w:szCs w:val="24"/>
              </w:rPr>
              <w:t>1)*</w:t>
            </w:r>
            <w:r w:rsidRPr="00556075">
              <w:rPr>
                <w:rFonts w:ascii="Times New Roman" w:hAnsi="Times New Roman" w:cs="Times New Roman"/>
                <w:b/>
                <w:sz w:val="24"/>
                <w:szCs w:val="24"/>
              </w:rPr>
              <w:t>(2)=(3)</w:t>
            </w:r>
          </w:p>
        </w:tc>
        <w:tc>
          <w:tcPr>
            <w:tcW w:w="654" w:type="pct"/>
            <w:shd w:val="clear" w:color="auto" w:fill="D9D9D9" w:themeFill="background1" w:themeFillShade="D9"/>
            <w:vAlign w:val="bottom"/>
          </w:tcPr>
          <w:p w:rsidR="00556075" w:rsidRPr="00556075" w:rsidP="00556075" w14:paraId="6E0EDECF" w14:textId="77777777">
            <w:pPr>
              <w:spacing w:after="0"/>
              <w:rPr>
                <w:rFonts w:ascii="Times New Roman" w:hAnsi="Times New Roman" w:cs="Times New Roman"/>
                <w:b/>
                <w:sz w:val="24"/>
                <w:szCs w:val="24"/>
              </w:rPr>
            </w:pPr>
            <w:r w:rsidRPr="00556075">
              <w:rPr>
                <w:rFonts w:ascii="Times New Roman" w:hAnsi="Times New Roman" w:cs="Times New Roman"/>
                <w:b/>
                <w:sz w:val="24"/>
                <w:szCs w:val="24"/>
              </w:rPr>
              <w:t>Average Burden &amp; Cost Per Response</w:t>
            </w:r>
            <w:r>
              <w:rPr>
                <w:rFonts w:ascii="Times New Roman" w:hAnsi="Times New Roman" w:cs="Times New Roman"/>
                <w:b/>
                <w:sz w:val="24"/>
                <w:szCs w:val="24"/>
                <w:vertAlign w:val="superscript"/>
              </w:rPr>
              <w:footnoteReference w:id="8"/>
            </w:r>
          </w:p>
          <w:p w:rsidR="00556075" w:rsidRPr="00556075" w:rsidP="00556075" w14:paraId="4B86A269" w14:textId="77777777">
            <w:pPr>
              <w:spacing w:after="0"/>
              <w:rPr>
                <w:rFonts w:ascii="Times New Roman" w:hAnsi="Times New Roman" w:cs="Times New Roman"/>
                <w:b/>
                <w:sz w:val="24"/>
                <w:szCs w:val="24"/>
              </w:rPr>
            </w:pPr>
            <w:r w:rsidRPr="00556075">
              <w:rPr>
                <w:rFonts w:ascii="Times New Roman" w:hAnsi="Times New Roman" w:cs="Times New Roman"/>
                <w:b/>
                <w:sz w:val="24"/>
                <w:szCs w:val="24"/>
              </w:rPr>
              <w:t>(4)</w:t>
            </w:r>
          </w:p>
        </w:tc>
        <w:tc>
          <w:tcPr>
            <w:tcW w:w="657" w:type="pct"/>
            <w:shd w:val="clear" w:color="auto" w:fill="D9D9D9" w:themeFill="background1" w:themeFillShade="D9"/>
            <w:vAlign w:val="bottom"/>
          </w:tcPr>
          <w:p w:rsidR="00556075" w:rsidRPr="00556075" w:rsidP="00556075" w14:paraId="07116FB0" w14:textId="77777777">
            <w:pPr>
              <w:spacing w:after="0"/>
              <w:rPr>
                <w:rFonts w:ascii="Times New Roman" w:hAnsi="Times New Roman" w:cs="Times New Roman"/>
                <w:b/>
                <w:sz w:val="24"/>
                <w:szCs w:val="24"/>
              </w:rPr>
            </w:pPr>
            <w:r w:rsidRPr="00556075">
              <w:rPr>
                <w:rFonts w:ascii="Times New Roman" w:hAnsi="Times New Roman" w:cs="Times New Roman"/>
                <w:b/>
                <w:sz w:val="24"/>
                <w:szCs w:val="24"/>
              </w:rPr>
              <w:t>Total Annual Burden Hours &amp; Total Annual Cost</w:t>
            </w:r>
          </w:p>
          <w:p w:rsidR="00556075" w:rsidRPr="00556075" w:rsidP="00556075" w14:paraId="42F668BC" w14:textId="77777777">
            <w:pPr>
              <w:spacing w:after="0"/>
              <w:rPr>
                <w:rFonts w:ascii="Times New Roman" w:hAnsi="Times New Roman" w:cs="Times New Roman"/>
                <w:b/>
                <w:sz w:val="24"/>
                <w:szCs w:val="24"/>
              </w:rPr>
            </w:pPr>
            <w:r w:rsidRPr="00556075">
              <w:rPr>
                <w:rFonts w:ascii="Times New Roman" w:hAnsi="Times New Roman" w:cs="Times New Roman"/>
                <w:b/>
                <w:sz w:val="24"/>
                <w:szCs w:val="24"/>
              </w:rPr>
              <w:t>(</w:t>
            </w:r>
            <w:r w:rsidRPr="00556075">
              <w:rPr>
                <w:rFonts w:ascii="Times New Roman" w:hAnsi="Times New Roman" w:cs="Times New Roman"/>
                <w:b/>
                <w:sz w:val="24"/>
                <w:szCs w:val="24"/>
              </w:rPr>
              <w:t>3)*</w:t>
            </w:r>
            <w:r w:rsidRPr="00556075">
              <w:rPr>
                <w:rFonts w:ascii="Times New Roman" w:hAnsi="Times New Roman" w:cs="Times New Roman"/>
                <w:b/>
                <w:sz w:val="24"/>
                <w:szCs w:val="24"/>
              </w:rPr>
              <w:t>(4)=(5)</w:t>
            </w:r>
          </w:p>
        </w:tc>
        <w:tc>
          <w:tcPr>
            <w:tcW w:w="616" w:type="pct"/>
            <w:shd w:val="clear" w:color="auto" w:fill="D9D9D9" w:themeFill="background1" w:themeFillShade="D9"/>
            <w:vAlign w:val="bottom"/>
          </w:tcPr>
          <w:p w:rsidR="00556075" w:rsidRPr="00556075" w:rsidP="00556075" w14:paraId="021CDE2D" w14:textId="77777777">
            <w:pPr>
              <w:spacing w:after="0"/>
              <w:rPr>
                <w:rFonts w:ascii="Times New Roman" w:hAnsi="Times New Roman" w:cs="Times New Roman"/>
                <w:b/>
                <w:sz w:val="24"/>
                <w:szCs w:val="24"/>
              </w:rPr>
            </w:pPr>
            <w:r w:rsidRPr="00556075">
              <w:rPr>
                <w:rFonts w:ascii="Times New Roman" w:hAnsi="Times New Roman" w:cs="Times New Roman"/>
                <w:b/>
                <w:sz w:val="24"/>
                <w:szCs w:val="24"/>
              </w:rPr>
              <w:t>Cost per Respondent</w:t>
            </w:r>
          </w:p>
          <w:p w:rsidR="00556075" w:rsidRPr="00556075" w:rsidP="00556075" w14:paraId="28840AB6" w14:textId="77777777">
            <w:pPr>
              <w:spacing w:after="0"/>
              <w:rPr>
                <w:rFonts w:ascii="Times New Roman" w:hAnsi="Times New Roman" w:cs="Times New Roman"/>
                <w:b/>
                <w:sz w:val="24"/>
                <w:szCs w:val="24"/>
              </w:rPr>
            </w:pPr>
            <w:r w:rsidRPr="00556075">
              <w:rPr>
                <w:rFonts w:ascii="Times New Roman" w:hAnsi="Times New Roman" w:cs="Times New Roman"/>
                <w:b/>
                <w:sz w:val="24"/>
                <w:szCs w:val="24"/>
              </w:rPr>
              <w:t xml:space="preserve"> ($)</w:t>
            </w:r>
          </w:p>
          <w:p w:rsidR="00556075" w:rsidRPr="00556075" w:rsidP="00556075" w14:paraId="6C9BC1F5" w14:textId="77777777">
            <w:pPr>
              <w:spacing w:after="0"/>
              <w:rPr>
                <w:rFonts w:ascii="Times New Roman" w:hAnsi="Times New Roman" w:cs="Times New Roman"/>
                <w:b/>
                <w:sz w:val="24"/>
                <w:szCs w:val="24"/>
              </w:rPr>
            </w:pPr>
            <w:r w:rsidRPr="00556075">
              <w:rPr>
                <w:rFonts w:ascii="Times New Roman" w:hAnsi="Times New Roman" w:cs="Times New Roman"/>
                <w:b/>
                <w:sz w:val="24"/>
                <w:szCs w:val="24"/>
              </w:rPr>
              <w:t>(</w:t>
            </w:r>
            <w:r w:rsidRPr="00556075">
              <w:rPr>
                <w:rFonts w:ascii="Times New Roman" w:hAnsi="Times New Roman" w:cs="Times New Roman"/>
                <w:b/>
                <w:sz w:val="24"/>
                <w:szCs w:val="24"/>
              </w:rPr>
              <w:t>5)÷</w:t>
            </w:r>
            <w:r w:rsidRPr="00556075">
              <w:rPr>
                <w:rFonts w:ascii="Times New Roman" w:hAnsi="Times New Roman" w:cs="Times New Roman"/>
                <w:b/>
                <w:sz w:val="24"/>
                <w:szCs w:val="24"/>
              </w:rPr>
              <w:t>(1)</w:t>
            </w:r>
            <w:r>
              <w:rPr>
                <w:rFonts w:ascii="Times New Roman" w:hAnsi="Times New Roman" w:cs="Times New Roman"/>
                <w:b/>
                <w:sz w:val="24"/>
                <w:szCs w:val="24"/>
                <w:vertAlign w:val="superscript"/>
              </w:rPr>
              <w:footnoteReference w:id="9"/>
            </w:r>
          </w:p>
        </w:tc>
      </w:tr>
      <w:tr w14:paraId="69478998" w14:textId="77777777" w:rsidTr="05FDEA0A">
        <w:tblPrEx>
          <w:tblW w:w="5358" w:type="pct"/>
          <w:tblInd w:w="-72" w:type="dxa"/>
          <w:tblLayout w:type="fixed"/>
          <w:tblLook w:val="01E0"/>
        </w:tblPrEx>
        <w:trPr>
          <w:cantSplit/>
        </w:trPr>
        <w:tc>
          <w:tcPr>
            <w:tcW w:w="878" w:type="pct"/>
          </w:tcPr>
          <w:p w:rsidR="00556075" w:rsidRPr="00556075" w:rsidP="00556075" w14:paraId="1C8F2F9D" w14:textId="77777777">
            <w:pPr>
              <w:spacing w:after="0"/>
              <w:rPr>
                <w:rFonts w:ascii="Times New Roman" w:hAnsi="Times New Roman" w:cs="Times New Roman"/>
                <w:sz w:val="24"/>
                <w:szCs w:val="24"/>
              </w:rPr>
            </w:pPr>
            <w:r w:rsidRPr="00556075">
              <w:rPr>
                <w:rFonts w:ascii="Times New Roman" w:hAnsi="Times New Roman" w:cs="Times New Roman"/>
                <w:sz w:val="24"/>
                <w:szCs w:val="24"/>
              </w:rPr>
              <w:t>18 CFR 157.5-.11 (</w:t>
            </w:r>
            <w:bookmarkStart w:id="0" w:name="_Hlk71797181"/>
            <w:r w:rsidRPr="00556075">
              <w:rPr>
                <w:rFonts w:ascii="Times New Roman" w:hAnsi="Times New Roman" w:cs="Times New Roman"/>
                <w:sz w:val="24"/>
                <w:szCs w:val="24"/>
              </w:rPr>
              <w:t>Interstate Certificate and Abandonment Applications</w:t>
            </w:r>
            <w:bookmarkEnd w:id="0"/>
            <w:r w:rsidRPr="00556075">
              <w:rPr>
                <w:rFonts w:ascii="Times New Roman" w:hAnsi="Times New Roman" w:cs="Times New Roman"/>
                <w:sz w:val="24"/>
                <w:szCs w:val="24"/>
              </w:rPr>
              <w:t>)</w:t>
            </w:r>
          </w:p>
        </w:tc>
        <w:tc>
          <w:tcPr>
            <w:tcW w:w="746" w:type="pct"/>
          </w:tcPr>
          <w:p w:rsidR="00556075" w:rsidRPr="00556075" w:rsidP="00556075" w14:paraId="3C2249B1" w14:textId="77777777">
            <w:pPr>
              <w:spacing w:after="0"/>
              <w:rPr>
                <w:rFonts w:ascii="Times New Roman" w:hAnsi="Times New Roman" w:cs="Times New Roman"/>
                <w:sz w:val="24"/>
                <w:szCs w:val="24"/>
              </w:rPr>
            </w:pPr>
            <w:r w:rsidRPr="00556075">
              <w:rPr>
                <w:rFonts w:ascii="Times New Roman" w:hAnsi="Times New Roman" w:cs="Times New Roman"/>
                <w:sz w:val="24"/>
                <w:szCs w:val="24"/>
              </w:rPr>
              <w:t>31</w:t>
            </w:r>
          </w:p>
        </w:tc>
        <w:tc>
          <w:tcPr>
            <w:tcW w:w="746" w:type="pct"/>
          </w:tcPr>
          <w:p w:rsidR="00556075" w:rsidRPr="00556075" w:rsidP="00556075" w14:paraId="0A71D2DC" w14:textId="77777777">
            <w:pPr>
              <w:spacing w:after="0"/>
              <w:rPr>
                <w:rFonts w:ascii="Times New Roman" w:hAnsi="Times New Roman" w:cs="Times New Roman"/>
                <w:sz w:val="24"/>
                <w:szCs w:val="24"/>
              </w:rPr>
            </w:pPr>
            <w:r w:rsidRPr="00556075">
              <w:rPr>
                <w:rFonts w:ascii="Times New Roman" w:hAnsi="Times New Roman" w:cs="Times New Roman"/>
                <w:sz w:val="24"/>
                <w:szCs w:val="24"/>
              </w:rPr>
              <w:t>1.39</w:t>
            </w:r>
          </w:p>
        </w:tc>
        <w:tc>
          <w:tcPr>
            <w:tcW w:w="703" w:type="pct"/>
          </w:tcPr>
          <w:p w:rsidR="00556075" w:rsidRPr="00556075" w:rsidP="00556075" w14:paraId="4BB3074E" w14:textId="068056CB">
            <w:pPr>
              <w:spacing w:after="0"/>
              <w:rPr>
                <w:rFonts w:ascii="Times New Roman" w:hAnsi="Times New Roman" w:cs="Times New Roman"/>
                <w:sz w:val="24"/>
                <w:szCs w:val="24"/>
              </w:rPr>
            </w:pPr>
            <w:r w:rsidRPr="00556075">
              <w:rPr>
                <w:rFonts w:ascii="Times New Roman" w:hAnsi="Times New Roman" w:cs="Times New Roman"/>
                <w:sz w:val="24"/>
                <w:szCs w:val="24"/>
              </w:rPr>
              <w:t>43</w:t>
            </w:r>
            <w:r w:rsidR="007A5812">
              <w:rPr>
                <w:rFonts w:ascii="Times New Roman" w:hAnsi="Times New Roman" w:cs="Times New Roman"/>
                <w:sz w:val="24"/>
                <w:szCs w:val="24"/>
              </w:rPr>
              <w:t>.09</w:t>
            </w:r>
          </w:p>
          <w:p w:rsidR="00556075" w:rsidRPr="00556075" w:rsidP="00556075" w14:paraId="2E2C1CD2" w14:textId="082EAAE1">
            <w:pPr>
              <w:spacing w:after="0"/>
              <w:rPr>
                <w:rFonts w:ascii="Times New Roman" w:hAnsi="Times New Roman" w:cs="Times New Roman"/>
                <w:sz w:val="24"/>
                <w:szCs w:val="24"/>
              </w:rPr>
            </w:pPr>
          </w:p>
        </w:tc>
        <w:tc>
          <w:tcPr>
            <w:tcW w:w="654" w:type="pct"/>
          </w:tcPr>
          <w:p w:rsidR="00556075" w:rsidRPr="00556075" w:rsidP="00556075" w14:paraId="6D5A63D3" w14:textId="77777777">
            <w:pPr>
              <w:spacing w:after="0"/>
              <w:rPr>
                <w:rFonts w:ascii="Times New Roman" w:hAnsi="Times New Roman" w:cs="Times New Roman"/>
                <w:sz w:val="24"/>
                <w:szCs w:val="24"/>
              </w:rPr>
            </w:pPr>
            <w:r w:rsidRPr="00556075">
              <w:rPr>
                <w:rFonts w:ascii="Times New Roman" w:hAnsi="Times New Roman" w:cs="Times New Roman"/>
                <w:sz w:val="24"/>
                <w:szCs w:val="24"/>
              </w:rPr>
              <w:t xml:space="preserve">500 </w:t>
            </w:r>
            <w:r w:rsidRPr="00556075">
              <w:rPr>
                <w:rFonts w:ascii="Times New Roman" w:hAnsi="Times New Roman" w:cs="Times New Roman"/>
                <w:sz w:val="24"/>
                <w:szCs w:val="24"/>
              </w:rPr>
              <w:t>hrs.;</w:t>
            </w:r>
          </w:p>
          <w:p w:rsidR="00556075" w:rsidRPr="00556075" w:rsidP="00556075" w14:paraId="3FB4970E" w14:textId="77777777">
            <w:pPr>
              <w:spacing w:after="0"/>
              <w:rPr>
                <w:rFonts w:ascii="Times New Roman" w:hAnsi="Times New Roman" w:cs="Times New Roman"/>
                <w:sz w:val="24"/>
                <w:szCs w:val="24"/>
              </w:rPr>
            </w:pPr>
            <w:r w:rsidRPr="00556075">
              <w:rPr>
                <w:rFonts w:ascii="Times New Roman" w:hAnsi="Times New Roman" w:cs="Times New Roman"/>
                <w:sz w:val="24"/>
                <w:szCs w:val="24"/>
              </w:rPr>
              <w:t>$50,000</w:t>
            </w:r>
          </w:p>
        </w:tc>
        <w:tc>
          <w:tcPr>
            <w:tcW w:w="657" w:type="pct"/>
          </w:tcPr>
          <w:p w:rsidR="00556075" w:rsidRPr="00556075" w:rsidP="00556075" w14:paraId="0E13C23D" w14:textId="015E3DDA">
            <w:pPr>
              <w:spacing w:after="0"/>
              <w:rPr>
                <w:rFonts w:ascii="Times New Roman" w:hAnsi="Times New Roman" w:cs="Times New Roman"/>
                <w:sz w:val="24"/>
                <w:szCs w:val="24"/>
              </w:rPr>
            </w:pPr>
            <w:r w:rsidRPr="00417739">
              <w:rPr>
                <w:rFonts w:ascii="Times New Roman" w:hAnsi="Times New Roman" w:cs="Times New Roman"/>
                <w:sz w:val="24"/>
                <w:szCs w:val="24"/>
              </w:rPr>
              <w:t>21,</w:t>
            </w:r>
            <w:r w:rsidRPr="00417739">
              <w:rPr>
                <w:rFonts w:ascii="Times New Roman" w:hAnsi="Times New Roman" w:cs="Times New Roman"/>
                <w:sz w:val="24"/>
                <w:szCs w:val="24"/>
              </w:rPr>
              <w:t>545</w:t>
            </w:r>
            <w:r w:rsidRPr="00556075">
              <w:rPr>
                <w:rFonts w:ascii="Times New Roman" w:hAnsi="Times New Roman" w:cs="Times New Roman"/>
                <w:sz w:val="24"/>
                <w:szCs w:val="24"/>
              </w:rPr>
              <w:t>hrs;</w:t>
            </w:r>
          </w:p>
          <w:p w:rsidR="00556075" w:rsidRPr="00556075" w:rsidP="00556075" w14:paraId="270F62F2" w14:textId="17778BF2">
            <w:pPr>
              <w:spacing w:after="0"/>
              <w:rPr>
                <w:rFonts w:ascii="Times New Roman" w:hAnsi="Times New Roman" w:cs="Times New Roman"/>
                <w:sz w:val="24"/>
                <w:szCs w:val="24"/>
              </w:rPr>
            </w:pPr>
            <w:r w:rsidRPr="00556075">
              <w:rPr>
                <w:rFonts w:ascii="Times New Roman" w:hAnsi="Times New Roman" w:cs="Times New Roman"/>
                <w:sz w:val="24"/>
                <w:szCs w:val="24"/>
              </w:rPr>
              <w:t>$</w:t>
            </w:r>
            <w:r w:rsidR="00CA4344">
              <w:t xml:space="preserve"> </w:t>
            </w:r>
            <w:r w:rsidRPr="00CA4344" w:rsidR="00CA4344">
              <w:rPr>
                <w:rFonts w:ascii="Times New Roman" w:hAnsi="Times New Roman" w:cs="Times New Roman"/>
                <w:sz w:val="24"/>
                <w:szCs w:val="24"/>
              </w:rPr>
              <w:t>2,154,500</w:t>
            </w:r>
          </w:p>
        </w:tc>
        <w:tc>
          <w:tcPr>
            <w:tcW w:w="616" w:type="pct"/>
          </w:tcPr>
          <w:p w:rsidR="00556075" w:rsidRPr="00556075" w:rsidP="00556075" w14:paraId="1453AE04" w14:textId="60407BC9">
            <w:pPr>
              <w:spacing w:after="0"/>
              <w:rPr>
                <w:rFonts w:ascii="Times New Roman" w:hAnsi="Times New Roman" w:cs="Times New Roman"/>
                <w:sz w:val="24"/>
                <w:szCs w:val="24"/>
              </w:rPr>
            </w:pPr>
            <w:r w:rsidRPr="00556075">
              <w:rPr>
                <w:rFonts w:ascii="Times New Roman" w:hAnsi="Times New Roman" w:cs="Times New Roman"/>
                <w:sz w:val="24"/>
                <w:szCs w:val="24"/>
              </w:rPr>
              <w:t>$</w:t>
            </w:r>
            <w:r w:rsidR="00DD39AC">
              <w:t xml:space="preserve"> </w:t>
            </w:r>
            <w:r w:rsidRPr="00DD39AC" w:rsidR="00DD39AC">
              <w:rPr>
                <w:rFonts w:ascii="Times New Roman" w:hAnsi="Times New Roman" w:cs="Times New Roman"/>
                <w:sz w:val="24"/>
                <w:szCs w:val="24"/>
              </w:rPr>
              <w:t>69,500</w:t>
            </w:r>
          </w:p>
        </w:tc>
      </w:tr>
      <w:tr w14:paraId="344AA0CD" w14:textId="77777777" w:rsidTr="05FDEA0A">
        <w:tblPrEx>
          <w:tblW w:w="5358" w:type="pct"/>
          <w:tblInd w:w="-72" w:type="dxa"/>
          <w:tblLayout w:type="fixed"/>
          <w:tblLook w:val="01E0"/>
        </w:tblPrEx>
        <w:trPr>
          <w:cantSplit/>
        </w:trPr>
        <w:tc>
          <w:tcPr>
            <w:tcW w:w="878" w:type="pct"/>
          </w:tcPr>
          <w:p w:rsidR="00556075" w:rsidRPr="00556075" w:rsidP="00556075" w14:paraId="78768A9F" w14:textId="77777777">
            <w:pPr>
              <w:spacing w:after="0"/>
              <w:rPr>
                <w:rFonts w:ascii="Times New Roman" w:hAnsi="Times New Roman" w:cs="Times New Roman"/>
                <w:sz w:val="24"/>
                <w:szCs w:val="24"/>
              </w:rPr>
            </w:pPr>
            <w:r w:rsidRPr="00556075">
              <w:rPr>
                <w:rFonts w:ascii="Times New Roman" w:hAnsi="Times New Roman" w:cs="Times New Roman"/>
                <w:sz w:val="24"/>
                <w:szCs w:val="24"/>
              </w:rPr>
              <w:t>18 CFR 157.53 (Pipeline Purging/Testing Exemptions)</w:t>
            </w:r>
          </w:p>
        </w:tc>
        <w:tc>
          <w:tcPr>
            <w:tcW w:w="746" w:type="pct"/>
          </w:tcPr>
          <w:p w:rsidR="00556075" w:rsidRPr="00556075" w:rsidP="00556075" w14:paraId="76B0E002" w14:textId="77777777">
            <w:pPr>
              <w:spacing w:after="0"/>
              <w:rPr>
                <w:rFonts w:ascii="Times New Roman" w:hAnsi="Times New Roman" w:cs="Times New Roman"/>
                <w:sz w:val="24"/>
                <w:szCs w:val="24"/>
              </w:rPr>
            </w:pPr>
            <w:r w:rsidRPr="00556075">
              <w:rPr>
                <w:rFonts w:ascii="Times New Roman" w:hAnsi="Times New Roman" w:cs="Times New Roman"/>
                <w:sz w:val="24"/>
                <w:szCs w:val="24"/>
              </w:rPr>
              <w:t>1</w:t>
            </w:r>
          </w:p>
        </w:tc>
        <w:tc>
          <w:tcPr>
            <w:tcW w:w="746" w:type="pct"/>
          </w:tcPr>
          <w:p w:rsidR="00556075" w:rsidRPr="00556075" w:rsidP="00556075" w14:paraId="7A8E9C71" w14:textId="77777777">
            <w:pPr>
              <w:spacing w:after="0"/>
              <w:rPr>
                <w:rFonts w:ascii="Times New Roman" w:hAnsi="Times New Roman" w:cs="Times New Roman"/>
                <w:sz w:val="24"/>
                <w:szCs w:val="24"/>
              </w:rPr>
            </w:pPr>
            <w:r w:rsidRPr="00556075">
              <w:rPr>
                <w:rFonts w:ascii="Times New Roman" w:hAnsi="Times New Roman" w:cs="Times New Roman"/>
                <w:sz w:val="24"/>
                <w:szCs w:val="24"/>
              </w:rPr>
              <w:t>1</w:t>
            </w:r>
          </w:p>
        </w:tc>
        <w:tc>
          <w:tcPr>
            <w:tcW w:w="703" w:type="pct"/>
          </w:tcPr>
          <w:p w:rsidR="00556075" w:rsidRPr="00556075" w:rsidP="00556075" w14:paraId="4C1494A9" w14:textId="77777777">
            <w:pPr>
              <w:spacing w:after="0"/>
              <w:rPr>
                <w:rFonts w:ascii="Times New Roman" w:hAnsi="Times New Roman" w:cs="Times New Roman"/>
                <w:sz w:val="24"/>
                <w:szCs w:val="24"/>
              </w:rPr>
            </w:pPr>
            <w:r w:rsidRPr="00556075">
              <w:rPr>
                <w:rFonts w:ascii="Times New Roman" w:hAnsi="Times New Roman" w:cs="Times New Roman"/>
                <w:sz w:val="24"/>
                <w:szCs w:val="24"/>
              </w:rPr>
              <w:t>1</w:t>
            </w:r>
          </w:p>
        </w:tc>
        <w:tc>
          <w:tcPr>
            <w:tcW w:w="654" w:type="pct"/>
          </w:tcPr>
          <w:p w:rsidR="00556075" w:rsidRPr="00556075" w:rsidP="00556075" w14:paraId="4C97E9BE" w14:textId="77777777">
            <w:pPr>
              <w:spacing w:after="0"/>
              <w:rPr>
                <w:rFonts w:ascii="Times New Roman" w:hAnsi="Times New Roman" w:cs="Times New Roman"/>
                <w:sz w:val="24"/>
                <w:szCs w:val="24"/>
              </w:rPr>
            </w:pPr>
            <w:r w:rsidRPr="00556075">
              <w:rPr>
                <w:rFonts w:ascii="Times New Roman" w:hAnsi="Times New Roman" w:cs="Times New Roman"/>
                <w:sz w:val="24"/>
                <w:szCs w:val="24"/>
              </w:rPr>
              <w:t xml:space="preserve">50 </w:t>
            </w:r>
            <w:r w:rsidRPr="00556075">
              <w:rPr>
                <w:rFonts w:ascii="Times New Roman" w:hAnsi="Times New Roman" w:cs="Times New Roman"/>
                <w:sz w:val="24"/>
                <w:szCs w:val="24"/>
              </w:rPr>
              <w:t>hrs.;</w:t>
            </w:r>
          </w:p>
          <w:p w:rsidR="00556075" w:rsidRPr="00556075" w:rsidP="00556075" w14:paraId="7AEEE966" w14:textId="77777777">
            <w:pPr>
              <w:spacing w:after="0"/>
              <w:rPr>
                <w:rFonts w:ascii="Times New Roman" w:hAnsi="Times New Roman" w:cs="Times New Roman"/>
                <w:sz w:val="24"/>
                <w:szCs w:val="24"/>
              </w:rPr>
            </w:pPr>
            <w:r w:rsidRPr="00556075">
              <w:rPr>
                <w:rFonts w:ascii="Times New Roman" w:hAnsi="Times New Roman" w:cs="Times New Roman"/>
                <w:sz w:val="24"/>
                <w:szCs w:val="24"/>
              </w:rPr>
              <w:t>$5,000</w:t>
            </w:r>
          </w:p>
        </w:tc>
        <w:tc>
          <w:tcPr>
            <w:tcW w:w="657" w:type="pct"/>
          </w:tcPr>
          <w:p w:rsidR="00556075" w:rsidRPr="00556075" w:rsidP="00556075" w14:paraId="3A7CE3EB" w14:textId="77777777">
            <w:pPr>
              <w:spacing w:after="0"/>
              <w:rPr>
                <w:rFonts w:ascii="Times New Roman" w:hAnsi="Times New Roman" w:cs="Times New Roman"/>
                <w:sz w:val="24"/>
                <w:szCs w:val="24"/>
              </w:rPr>
            </w:pPr>
            <w:r w:rsidRPr="00556075">
              <w:rPr>
                <w:rFonts w:ascii="Times New Roman" w:hAnsi="Times New Roman" w:cs="Times New Roman"/>
                <w:sz w:val="24"/>
                <w:szCs w:val="24"/>
              </w:rPr>
              <w:t xml:space="preserve">50 </w:t>
            </w:r>
            <w:r w:rsidRPr="00556075">
              <w:rPr>
                <w:rFonts w:ascii="Times New Roman" w:hAnsi="Times New Roman" w:cs="Times New Roman"/>
                <w:sz w:val="24"/>
                <w:szCs w:val="24"/>
              </w:rPr>
              <w:t>hrs.;</w:t>
            </w:r>
          </w:p>
          <w:p w:rsidR="00556075" w:rsidRPr="00556075" w:rsidP="00556075" w14:paraId="64407D92" w14:textId="77777777">
            <w:pPr>
              <w:spacing w:after="0"/>
              <w:rPr>
                <w:rFonts w:ascii="Times New Roman" w:hAnsi="Times New Roman" w:cs="Times New Roman"/>
                <w:sz w:val="24"/>
                <w:szCs w:val="24"/>
              </w:rPr>
            </w:pPr>
            <w:r w:rsidRPr="00556075">
              <w:rPr>
                <w:rFonts w:ascii="Times New Roman" w:hAnsi="Times New Roman" w:cs="Times New Roman"/>
                <w:sz w:val="24"/>
                <w:szCs w:val="24"/>
              </w:rPr>
              <w:t>$5,000</w:t>
            </w:r>
          </w:p>
        </w:tc>
        <w:tc>
          <w:tcPr>
            <w:tcW w:w="616" w:type="pct"/>
          </w:tcPr>
          <w:p w:rsidR="00556075" w:rsidRPr="00556075" w:rsidP="00556075" w14:paraId="191E23A8" w14:textId="77777777">
            <w:pPr>
              <w:spacing w:after="0"/>
              <w:rPr>
                <w:rFonts w:ascii="Times New Roman" w:hAnsi="Times New Roman" w:cs="Times New Roman"/>
                <w:sz w:val="24"/>
                <w:szCs w:val="24"/>
              </w:rPr>
            </w:pPr>
            <w:r w:rsidRPr="00556075">
              <w:rPr>
                <w:rFonts w:ascii="Times New Roman" w:hAnsi="Times New Roman" w:cs="Times New Roman"/>
                <w:sz w:val="24"/>
                <w:szCs w:val="24"/>
              </w:rPr>
              <w:t>$5,000</w:t>
            </w:r>
          </w:p>
        </w:tc>
      </w:tr>
      <w:tr w14:paraId="1E8C285F" w14:textId="77777777" w:rsidTr="05FDEA0A">
        <w:tblPrEx>
          <w:tblW w:w="5358" w:type="pct"/>
          <w:tblInd w:w="-72" w:type="dxa"/>
          <w:tblLayout w:type="fixed"/>
          <w:tblLook w:val="01E0"/>
        </w:tblPrEx>
        <w:trPr>
          <w:cantSplit/>
        </w:trPr>
        <w:tc>
          <w:tcPr>
            <w:tcW w:w="878" w:type="pct"/>
          </w:tcPr>
          <w:p w:rsidR="00556075" w:rsidRPr="00556075" w:rsidP="00556075" w14:paraId="2E0797DD" w14:textId="77777777">
            <w:pPr>
              <w:spacing w:after="0"/>
              <w:rPr>
                <w:rFonts w:ascii="Times New Roman" w:hAnsi="Times New Roman" w:cs="Times New Roman"/>
                <w:sz w:val="24"/>
                <w:szCs w:val="24"/>
              </w:rPr>
            </w:pPr>
            <w:r w:rsidRPr="00556075">
              <w:rPr>
                <w:rFonts w:ascii="Times New Roman" w:hAnsi="Times New Roman" w:cs="Times New Roman"/>
                <w:sz w:val="24"/>
                <w:szCs w:val="24"/>
              </w:rPr>
              <w:t>18 CFR 157.201-.209; 157.211; 157.214-.218 (Blanket Certificates Prior to Notice Filings)</w:t>
            </w:r>
          </w:p>
        </w:tc>
        <w:tc>
          <w:tcPr>
            <w:tcW w:w="746" w:type="pct"/>
          </w:tcPr>
          <w:p w:rsidR="00556075" w:rsidRPr="00556075" w:rsidP="00556075" w14:paraId="7459C662" w14:textId="77777777">
            <w:pPr>
              <w:spacing w:after="0"/>
              <w:rPr>
                <w:rFonts w:ascii="Times New Roman" w:hAnsi="Times New Roman" w:cs="Times New Roman"/>
                <w:sz w:val="24"/>
                <w:szCs w:val="24"/>
              </w:rPr>
            </w:pPr>
            <w:r w:rsidRPr="00556075">
              <w:rPr>
                <w:rFonts w:ascii="Times New Roman" w:hAnsi="Times New Roman" w:cs="Times New Roman"/>
                <w:sz w:val="24"/>
                <w:szCs w:val="24"/>
              </w:rPr>
              <w:t>30</w:t>
            </w:r>
          </w:p>
          <w:p w:rsidR="00556075" w:rsidRPr="00556075" w:rsidP="00556075" w14:paraId="331C9A49" w14:textId="77777777">
            <w:pPr>
              <w:spacing w:after="0"/>
              <w:rPr>
                <w:rFonts w:ascii="Times New Roman" w:hAnsi="Times New Roman" w:cs="Times New Roman"/>
                <w:sz w:val="24"/>
                <w:szCs w:val="24"/>
              </w:rPr>
            </w:pPr>
          </w:p>
        </w:tc>
        <w:tc>
          <w:tcPr>
            <w:tcW w:w="746" w:type="pct"/>
          </w:tcPr>
          <w:p w:rsidR="00556075" w:rsidRPr="00556075" w:rsidP="00556075" w14:paraId="6B579F95" w14:textId="77777777">
            <w:pPr>
              <w:spacing w:after="0"/>
              <w:rPr>
                <w:rFonts w:ascii="Times New Roman" w:hAnsi="Times New Roman" w:cs="Times New Roman"/>
                <w:sz w:val="24"/>
                <w:szCs w:val="24"/>
              </w:rPr>
            </w:pPr>
            <w:r w:rsidRPr="00556075">
              <w:rPr>
                <w:rFonts w:ascii="Times New Roman" w:hAnsi="Times New Roman" w:cs="Times New Roman"/>
                <w:sz w:val="24"/>
                <w:szCs w:val="24"/>
              </w:rPr>
              <w:t>2.125</w:t>
            </w:r>
          </w:p>
        </w:tc>
        <w:tc>
          <w:tcPr>
            <w:tcW w:w="703" w:type="pct"/>
          </w:tcPr>
          <w:p w:rsidR="00556075" w:rsidRPr="00556075" w:rsidP="00556075" w14:paraId="1B9218C2" w14:textId="77777777">
            <w:pPr>
              <w:spacing w:after="0"/>
              <w:rPr>
                <w:rFonts w:ascii="Times New Roman" w:hAnsi="Times New Roman" w:cs="Times New Roman"/>
                <w:sz w:val="24"/>
                <w:szCs w:val="24"/>
              </w:rPr>
            </w:pPr>
            <w:r w:rsidRPr="00556075">
              <w:rPr>
                <w:rFonts w:ascii="Times New Roman" w:hAnsi="Times New Roman" w:cs="Times New Roman"/>
                <w:sz w:val="24"/>
                <w:szCs w:val="24"/>
              </w:rPr>
              <w:t>63.75</w:t>
            </w:r>
          </w:p>
        </w:tc>
        <w:tc>
          <w:tcPr>
            <w:tcW w:w="654" w:type="pct"/>
          </w:tcPr>
          <w:p w:rsidR="00556075" w:rsidRPr="00556075" w:rsidP="00556075" w14:paraId="4ECC873E" w14:textId="77777777">
            <w:pPr>
              <w:spacing w:after="0"/>
              <w:rPr>
                <w:rFonts w:ascii="Times New Roman" w:hAnsi="Times New Roman" w:cs="Times New Roman"/>
                <w:sz w:val="24"/>
                <w:szCs w:val="24"/>
              </w:rPr>
            </w:pPr>
            <w:r w:rsidRPr="00556075">
              <w:rPr>
                <w:rFonts w:ascii="Times New Roman" w:hAnsi="Times New Roman" w:cs="Times New Roman"/>
                <w:sz w:val="24"/>
                <w:szCs w:val="24"/>
              </w:rPr>
              <w:t xml:space="preserve">200 </w:t>
            </w:r>
            <w:r w:rsidRPr="00556075">
              <w:rPr>
                <w:rFonts w:ascii="Times New Roman" w:hAnsi="Times New Roman" w:cs="Times New Roman"/>
                <w:sz w:val="24"/>
                <w:szCs w:val="24"/>
              </w:rPr>
              <w:t>hrs.;</w:t>
            </w:r>
          </w:p>
          <w:p w:rsidR="00556075" w:rsidRPr="00556075" w:rsidP="00556075" w14:paraId="176D3B47" w14:textId="77777777">
            <w:pPr>
              <w:spacing w:after="0"/>
              <w:rPr>
                <w:rFonts w:ascii="Times New Roman" w:hAnsi="Times New Roman" w:cs="Times New Roman"/>
                <w:sz w:val="24"/>
                <w:szCs w:val="24"/>
              </w:rPr>
            </w:pPr>
            <w:r w:rsidRPr="00556075">
              <w:rPr>
                <w:rFonts w:ascii="Times New Roman" w:hAnsi="Times New Roman" w:cs="Times New Roman"/>
                <w:sz w:val="24"/>
                <w:szCs w:val="24"/>
              </w:rPr>
              <w:t>$20,000</w:t>
            </w:r>
          </w:p>
        </w:tc>
        <w:tc>
          <w:tcPr>
            <w:tcW w:w="657" w:type="pct"/>
          </w:tcPr>
          <w:p w:rsidR="00556075" w:rsidRPr="00556075" w:rsidP="00556075" w14:paraId="5487DFE5" w14:textId="77777777">
            <w:pPr>
              <w:spacing w:after="0"/>
              <w:rPr>
                <w:rFonts w:ascii="Times New Roman" w:hAnsi="Times New Roman" w:cs="Times New Roman"/>
                <w:sz w:val="24"/>
                <w:szCs w:val="24"/>
              </w:rPr>
            </w:pPr>
            <w:r w:rsidRPr="00556075">
              <w:rPr>
                <w:rFonts w:ascii="Times New Roman" w:hAnsi="Times New Roman" w:cs="Times New Roman"/>
                <w:sz w:val="24"/>
                <w:szCs w:val="24"/>
              </w:rPr>
              <w:t xml:space="preserve">12,750 </w:t>
            </w:r>
            <w:r w:rsidRPr="00556075">
              <w:rPr>
                <w:rFonts w:ascii="Times New Roman" w:hAnsi="Times New Roman" w:cs="Times New Roman"/>
                <w:sz w:val="24"/>
                <w:szCs w:val="24"/>
              </w:rPr>
              <w:t>hrs.;</w:t>
            </w:r>
          </w:p>
          <w:p w:rsidR="00556075" w:rsidRPr="00556075" w:rsidP="00556075" w14:paraId="7BA52A81" w14:textId="77777777">
            <w:pPr>
              <w:spacing w:after="0"/>
              <w:rPr>
                <w:rFonts w:ascii="Times New Roman" w:hAnsi="Times New Roman" w:cs="Times New Roman"/>
                <w:sz w:val="24"/>
                <w:szCs w:val="24"/>
              </w:rPr>
            </w:pPr>
            <w:r w:rsidRPr="00556075">
              <w:rPr>
                <w:rFonts w:ascii="Times New Roman" w:hAnsi="Times New Roman" w:cs="Times New Roman"/>
                <w:sz w:val="24"/>
                <w:szCs w:val="24"/>
              </w:rPr>
              <w:t>$ 1,275,000</w:t>
            </w:r>
          </w:p>
        </w:tc>
        <w:tc>
          <w:tcPr>
            <w:tcW w:w="616" w:type="pct"/>
          </w:tcPr>
          <w:p w:rsidR="00556075" w:rsidRPr="00556075" w:rsidP="00556075" w14:paraId="0A5CA0A9" w14:textId="77777777">
            <w:pPr>
              <w:spacing w:after="0"/>
              <w:rPr>
                <w:rFonts w:ascii="Times New Roman" w:hAnsi="Times New Roman" w:cs="Times New Roman"/>
                <w:sz w:val="24"/>
                <w:szCs w:val="24"/>
              </w:rPr>
            </w:pPr>
            <w:r w:rsidRPr="00556075">
              <w:rPr>
                <w:rFonts w:ascii="Times New Roman" w:hAnsi="Times New Roman" w:cs="Times New Roman"/>
                <w:sz w:val="24"/>
                <w:szCs w:val="24"/>
              </w:rPr>
              <w:t>$42,500</w:t>
            </w:r>
          </w:p>
        </w:tc>
      </w:tr>
      <w:tr w14:paraId="14524CD8" w14:textId="77777777" w:rsidTr="05FDEA0A">
        <w:tblPrEx>
          <w:tblW w:w="5358" w:type="pct"/>
          <w:tblInd w:w="-72" w:type="dxa"/>
          <w:tblLayout w:type="fixed"/>
          <w:tblLook w:val="01E0"/>
        </w:tblPrEx>
        <w:trPr>
          <w:cantSplit/>
        </w:trPr>
        <w:tc>
          <w:tcPr>
            <w:tcW w:w="878" w:type="pct"/>
          </w:tcPr>
          <w:p w:rsidR="00556075" w:rsidRPr="00556075" w:rsidP="00556075" w14:paraId="01F5881A" w14:textId="77777777">
            <w:pPr>
              <w:spacing w:after="0"/>
              <w:rPr>
                <w:rFonts w:ascii="Times New Roman" w:hAnsi="Times New Roman" w:cs="Times New Roman"/>
                <w:sz w:val="24"/>
                <w:szCs w:val="24"/>
              </w:rPr>
            </w:pPr>
            <w:r w:rsidRPr="00556075">
              <w:rPr>
                <w:rFonts w:ascii="Times New Roman" w:hAnsi="Times New Roman" w:cs="Times New Roman"/>
                <w:sz w:val="24"/>
                <w:szCs w:val="24"/>
              </w:rPr>
              <w:t>18 CFR 157.201-.209; 157.211; 157.214-.218 (Blanket Certificates – Annual Reports)</w:t>
            </w:r>
          </w:p>
        </w:tc>
        <w:tc>
          <w:tcPr>
            <w:tcW w:w="746" w:type="pct"/>
          </w:tcPr>
          <w:p w:rsidR="00556075" w:rsidRPr="00556075" w:rsidP="00556075" w14:paraId="4372FAC7" w14:textId="77777777">
            <w:pPr>
              <w:spacing w:after="0"/>
              <w:rPr>
                <w:rFonts w:ascii="Times New Roman" w:hAnsi="Times New Roman" w:cs="Times New Roman"/>
                <w:sz w:val="24"/>
                <w:szCs w:val="24"/>
              </w:rPr>
            </w:pPr>
            <w:r w:rsidRPr="00556075">
              <w:rPr>
                <w:rFonts w:ascii="Times New Roman" w:hAnsi="Times New Roman" w:cs="Times New Roman"/>
                <w:sz w:val="24"/>
                <w:szCs w:val="24"/>
              </w:rPr>
              <w:t>176</w:t>
            </w:r>
          </w:p>
        </w:tc>
        <w:tc>
          <w:tcPr>
            <w:tcW w:w="746" w:type="pct"/>
          </w:tcPr>
          <w:p w:rsidR="00556075" w:rsidRPr="00556075" w:rsidP="00556075" w14:paraId="2D0B7A04" w14:textId="77777777">
            <w:pPr>
              <w:spacing w:after="0"/>
              <w:rPr>
                <w:rFonts w:ascii="Times New Roman" w:hAnsi="Times New Roman" w:cs="Times New Roman"/>
                <w:sz w:val="24"/>
                <w:szCs w:val="24"/>
              </w:rPr>
            </w:pPr>
            <w:r w:rsidRPr="00556075">
              <w:rPr>
                <w:rFonts w:ascii="Times New Roman" w:hAnsi="Times New Roman" w:cs="Times New Roman"/>
                <w:sz w:val="24"/>
                <w:szCs w:val="24"/>
              </w:rPr>
              <w:t>1</w:t>
            </w:r>
          </w:p>
        </w:tc>
        <w:tc>
          <w:tcPr>
            <w:tcW w:w="703" w:type="pct"/>
          </w:tcPr>
          <w:p w:rsidR="00556075" w:rsidRPr="00556075" w:rsidP="00556075" w14:paraId="2C54AE24" w14:textId="77777777">
            <w:pPr>
              <w:spacing w:after="0"/>
              <w:rPr>
                <w:rFonts w:ascii="Times New Roman" w:hAnsi="Times New Roman" w:cs="Times New Roman"/>
                <w:sz w:val="24"/>
                <w:szCs w:val="24"/>
              </w:rPr>
            </w:pPr>
            <w:r w:rsidRPr="00556075">
              <w:rPr>
                <w:rFonts w:ascii="Times New Roman" w:hAnsi="Times New Roman" w:cs="Times New Roman"/>
                <w:sz w:val="24"/>
                <w:szCs w:val="24"/>
              </w:rPr>
              <w:t>176</w:t>
            </w:r>
          </w:p>
        </w:tc>
        <w:tc>
          <w:tcPr>
            <w:tcW w:w="654" w:type="pct"/>
          </w:tcPr>
          <w:p w:rsidR="00556075" w:rsidRPr="00556075" w:rsidP="00556075" w14:paraId="47A967E1" w14:textId="77777777">
            <w:pPr>
              <w:spacing w:after="0"/>
              <w:rPr>
                <w:rFonts w:ascii="Times New Roman" w:hAnsi="Times New Roman" w:cs="Times New Roman"/>
                <w:sz w:val="24"/>
                <w:szCs w:val="24"/>
              </w:rPr>
            </w:pPr>
            <w:r w:rsidRPr="00556075">
              <w:rPr>
                <w:rFonts w:ascii="Times New Roman" w:hAnsi="Times New Roman" w:cs="Times New Roman"/>
                <w:sz w:val="24"/>
                <w:szCs w:val="24"/>
              </w:rPr>
              <w:t xml:space="preserve">50 </w:t>
            </w:r>
            <w:r w:rsidRPr="00556075">
              <w:rPr>
                <w:rFonts w:ascii="Times New Roman" w:hAnsi="Times New Roman" w:cs="Times New Roman"/>
                <w:sz w:val="24"/>
                <w:szCs w:val="24"/>
              </w:rPr>
              <w:t>hrs.;</w:t>
            </w:r>
          </w:p>
          <w:p w:rsidR="00556075" w:rsidRPr="00556075" w:rsidP="00556075" w14:paraId="4903038C" w14:textId="77777777">
            <w:pPr>
              <w:spacing w:after="0"/>
              <w:rPr>
                <w:rFonts w:ascii="Times New Roman" w:hAnsi="Times New Roman" w:cs="Times New Roman"/>
                <w:sz w:val="24"/>
                <w:szCs w:val="24"/>
              </w:rPr>
            </w:pPr>
            <w:r w:rsidRPr="00556075">
              <w:rPr>
                <w:rFonts w:ascii="Times New Roman" w:hAnsi="Times New Roman" w:cs="Times New Roman"/>
                <w:sz w:val="24"/>
                <w:szCs w:val="24"/>
              </w:rPr>
              <w:t>$5,000</w:t>
            </w:r>
          </w:p>
        </w:tc>
        <w:tc>
          <w:tcPr>
            <w:tcW w:w="657" w:type="pct"/>
          </w:tcPr>
          <w:p w:rsidR="00556075" w:rsidRPr="00556075" w:rsidP="00556075" w14:paraId="13ABDF6A" w14:textId="77777777">
            <w:pPr>
              <w:spacing w:after="0"/>
              <w:rPr>
                <w:rFonts w:ascii="Times New Roman" w:hAnsi="Times New Roman" w:cs="Times New Roman"/>
                <w:sz w:val="24"/>
                <w:szCs w:val="24"/>
              </w:rPr>
            </w:pPr>
            <w:r w:rsidRPr="00556075">
              <w:rPr>
                <w:rFonts w:ascii="Times New Roman" w:hAnsi="Times New Roman" w:cs="Times New Roman"/>
                <w:sz w:val="24"/>
                <w:szCs w:val="24"/>
              </w:rPr>
              <w:t>8,800hrs</w:t>
            </w:r>
            <w:r w:rsidRPr="00556075">
              <w:rPr>
                <w:rFonts w:ascii="Times New Roman" w:hAnsi="Times New Roman" w:cs="Times New Roman"/>
                <w:sz w:val="24"/>
                <w:szCs w:val="24"/>
              </w:rPr>
              <w:t>.;</w:t>
            </w:r>
          </w:p>
          <w:p w:rsidR="00556075" w:rsidRPr="00556075" w:rsidP="00556075" w14:paraId="43A698E9" w14:textId="77777777">
            <w:pPr>
              <w:spacing w:after="0"/>
              <w:rPr>
                <w:rFonts w:ascii="Times New Roman" w:hAnsi="Times New Roman" w:cs="Times New Roman"/>
                <w:sz w:val="24"/>
                <w:szCs w:val="24"/>
              </w:rPr>
            </w:pPr>
            <w:r w:rsidRPr="00556075">
              <w:rPr>
                <w:rFonts w:ascii="Times New Roman" w:hAnsi="Times New Roman" w:cs="Times New Roman"/>
                <w:sz w:val="24"/>
                <w:szCs w:val="24"/>
              </w:rPr>
              <w:t>$880,000</w:t>
            </w:r>
          </w:p>
        </w:tc>
        <w:tc>
          <w:tcPr>
            <w:tcW w:w="616" w:type="pct"/>
          </w:tcPr>
          <w:p w:rsidR="00556075" w:rsidRPr="00556075" w:rsidP="00556075" w14:paraId="6944ED59" w14:textId="77777777">
            <w:pPr>
              <w:spacing w:after="0"/>
              <w:rPr>
                <w:rFonts w:ascii="Times New Roman" w:hAnsi="Times New Roman" w:cs="Times New Roman"/>
                <w:sz w:val="24"/>
                <w:szCs w:val="24"/>
              </w:rPr>
            </w:pPr>
            <w:r w:rsidRPr="00556075">
              <w:rPr>
                <w:rFonts w:ascii="Times New Roman" w:hAnsi="Times New Roman" w:cs="Times New Roman"/>
                <w:sz w:val="24"/>
                <w:szCs w:val="24"/>
              </w:rPr>
              <w:t>$5,000</w:t>
            </w:r>
          </w:p>
        </w:tc>
      </w:tr>
      <w:tr w14:paraId="3B6CF28E" w14:textId="77777777" w:rsidTr="05FDEA0A">
        <w:tblPrEx>
          <w:tblW w:w="5358" w:type="pct"/>
          <w:tblInd w:w="-72" w:type="dxa"/>
          <w:tblLayout w:type="fixed"/>
          <w:tblLook w:val="01E0"/>
        </w:tblPrEx>
        <w:trPr>
          <w:cantSplit/>
        </w:trPr>
        <w:tc>
          <w:tcPr>
            <w:tcW w:w="878" w:type="pct"/>
          </w:tcPr>
          <w:p w:rsidR="00556075" w:rsidRPr="00556075" w:rsidP="00556075" w14:paraId="345AC852" w14:textId="77777777">
            <w:pPr>
              <w:spacing w:after="0"/>
              <w:rPr>
                <w:rFonts w:ascii="Times New Roman" w:hAnsi="Times New Roman" w:cs="Times New Roman"/>
                <w:sz w:val="24"/>
                <w:szCs w:val="24"/>
              </w:rPr>
            </w:pPr>
            <w:r w:rsidRPr="00556075">
              <w:rPr>
                <w:rFonts w:ascii="Times New Roman" w:hAnsi="Times New Roman" w:cs="Times New Roman"/>
                <w:sz w:val="24"/>
                <w:szCs w:val="24"/>
              </w:rPr>
              <w:t>18 CFR 284.11 (NGPA Section 311 Construction – Annual Reports)</w:t>
            </w:r>
          </w:p>
        </w:tc>
        <w:tc>
          <w:tcPr>
            <w:tcW w:w="746" w:type="pct"/>
          </w:tcPr>
          <w:p w:rsidR="00556075" w:rsidRPr="00556075" w:rsidP="00556075" w14:paraId="19C3C111" w14:textId="77777777">
            <w:pPr>
              <w:spacing w:after="0"/>
              <w:rPr>
                <w:rFonts w:ascii="Times New Roman" w:hAnsi="Times New Roman" w:cs="Times New Roman"/>
                <w:sz w:val="24"/>
                <w:szCs w:val="24"/>
              </w:rPr>
            </w:pPr>
            <w:r w:rsidRPr="00556075">
              <w:rPr>
                <w:rFonts w:ascii="Times New Roman" w:hAnsi="Times New Roman" w:cs="Times New Roman"/>
                <w:sz w:val="24"/>
                <w:szCs w:val="24"/>
              </w:rPr>
              <w:t>75</w:t>
            </w:r>
          </w:p>
        </w:tc>
        <w:tc>
          <w:tcPr>
            <w:tcW w:w="746" w:type="pct"/>
          </w:tcPr>
          <w:p w:rsidR="00556075" w:rsidRPr="00556075" w:rsidP="00556075" w14:paraId="05D26366" w14:textId="77777777">
            <w:pPr>
              <w:spacing w:after="0"/>
              <w:rPr>
                <w:rFonts w:ascii="Times New Roman" w:hAnsi="Times New Roman" w:cs="Times New Roman"/>
                <w:sz w:val="24"/>
                <w:szCs w:val="24"/>
              </w:rPr>
            </w:pPr>
            <w:r w:rsidRPr="00556075">
              <w:rPr>
                <w:rFonts w:ascii="Times New Roman" w:hAnsi="Times New Roman" w:cs="Times New Roman"/>
                <w:sz w:val="24"/>
                <w:szCs w:val="24"/>
              </w:rPr>
              <w:t>1</w:t>
            </w:r>
          </w:p>
        </w:tc>
        <w:tc>
          <w:tcPr>
            <w:tcW w:w="703" w:type="pct"/>
          </w:tcPr>
          <w:p w:rsidR="00556075" w:rsidRPr="00556075" w:rsidP="00556075" w14:paraId="733BF8B3" w14:textId="77777777">
            <w:pPr>
              <w:spacing w:after="0"/>
              <w:rPr>
                <w:rFonts w:ascii="Times New Roman" w:hAnsi="Times New Roman" w:cs="Times New Roman"/>
                <w:sz w:val="24"/>
                <w:szCs w:val="24"/>
              </w:rPr>
            </w:pPr>
            <w:r w:rsidRPr="00556075">
              <w:rPr>
                <w:rFonts w:ascii="Times New Roman" w:hAnsi="Times New Roman" w:cs="Times New Roman"/>
                <w:sz w:val="24"/>
                <w:szCs w:val="24"/>
              </w:rPr>
              <w:t>75</w:t>
            </w:r>
          </w:p>
        </w:tc>
        <w:tc>
          <w:tcPr>
            <w:tcW w:w="654" w:type="pct"/>
          </w:tcPr>
          <w:p w:rsidR="00556075" w:rsidRPr="00556075" w:rsidP="00556075" w14:paraId="5EC0D127" w14:textId="77777777">
            <w:pPr>
              <w:spacing w:after="0"/>
              <w:rPr>
                <w:rFonts w:ascii="Times New Roman" w:hAnsi="Times New Roman" w:cs="Times New Roman"/>
                <w:sz w:val="24"/>
                <w:szCs w:val="24"/>
              </w:rPr>
            </w:pPr>
            <w:r w:rsidRPr="00556075">
              <w:rPr>
                <w:rFonts w:ascii="Times New Roman" w:hAnsi="Times New Roman" w:cs="Times New Roman"/>
                <w:sz w:val="24"/>
                <w:szCs w:val="24"/>
              </w:rPr>
              <w:t xml:space="preserve">50 </w:t>
            </w:r>
            <w:r w:rsidRPr="00556075">
              <w:rPr>
                <w:rFonts w:ascii="Times New Roman" w:hAnsi="Times New Roman" w:cs="Times New Roman"/>
                <w:sz w:val="24"/>
                <w:szCs w:val="24"/>
              </w:rPr>
              <w:t>hrs.;</w:t>
            </w:r>
          </w:p>
          <w:p w:rsidR="00556075" w:rsidRPr="00556075" w:rsidP="00556075" w14:paraId="2624B530" w14:textId="77777777">
            <w:pPr>
              <w:spacing w:after="0"/>
              <w:rPr>
                <w:rFonts w:ascii="Times New Roman" w:hAnsi="Times New Roman" w:cs="Times New Roman"/>
                <w:sz w:val="24"/>
                <w:szCs w:val="24"/>
              </w:rPr>
            </w:pPr>
            <w:r w:rsidRPr="00556075">
              <w:rPr>
                <w:rFonts w:ascii="Times New Roman" w:hAnsi="Times New Roman" w:cs="Times New Roman"/>
                <w:sz w:val="24"/>
                <w:szCs w:val="24"/>
              </w:rPr>
              <w:t>$5,000</w:t>
            </w:r>
          </w:p>
        </w:tc>
        <w:tc>
          <w:tcPr>
            <w:tcW w:w="657" w:type="pct"/>
          </w:tcPr>
          <w:p w:rsidR="00556075" w:rsidRPr="00556075" w:rsidP="00556075" w14:paraId="6947BB1E" w14:textId="77777777">
            <w:pPr>
              <w:spacing w:after="0"/>
              <w:rPr>
                <w:rFonts w:ascii="Times New Roman" w:hAnsi="Times New Roman" w:cs="Times New Roman"/>
                <w:sz w:val="24"/>
                <w:szCs w:val="24"/>
              </w:rPr>
            </w:pPr>
            <w:r w:rsidRPr="00556075">
              <w:rPr>
                <w:rFonts w:ascii="Times New Roman" w:hAnsi="Times New Roman" w:cs="Times New Roman"/>
                <w:sz w:val="24"/>
                <w:szCs w:val="24"/>
              </w:rPr>
              <w:t xml:space="preserve">3,750 </w:t>
            </w:r>
            <w:r w:rsidRPr="00556075">
              <w:rPr>
                <w:rFonts w:ascii="Times New Roman" w:hAnsi="Times New Roman" w:cs="Times New Roman"/>
                <w:sz w:val="24"/>
                <w:szCs w:val="24"/>
              </w:rPr>
              <w:t>hrs.;</w:t>
            </w:r>
          </w:p>
          <w:p w:rsidR="00556075" w:rsidRPr="00556075" w:rsidP="00556075" w14:paraId="7FE24F14" w14:textId="77777777">
            <w:pPr>
              <w:spacing w:after="0"/>
              <w:rPr>
                <w:rFonts w:ascii="Times New Roman" w:hAnsi="Times New Roman" w:cs="Times New Roman"/>
                <w:sz w:val="24"/>
                <w:szCs w:val="24"/>
              </w:rPr>
            </w:pPr>
            <w:r w:rsidRPr="00556075">
              <w:rPr>
                <w:rFonts w:ascii="Times New Roman" w:hAnsi="Times New Roman" w:cs="Times New Roman"/>
                <w:sz w:val="24"/>
                <w:szCs w:val="24"/>
              </w:rPr>
              <w:t>$375,000</w:t>
            </w:r>
          </w:p>
        </w:tc>
        <w:tc>
          <w:tcPr>
            <w:tcW w:w="616" w:type="pct"/>
          </w:tcPr>
          <w:p w:rsidR="00556075" w:rsidRPr="00556075" w:rsidP="00556075" w14:paraId="2800A2A9" w14:textId="77777777">
            <w:pPr>
              <w:spacing w:after="0"/>
              <w:rPr>
                <w:rFonts w:ascii="Times New Roman" w:hAnsi="Times New Roman" w:cs="Times New Roman"/>
                <w:sz w:val="24"/>
                <w:szCs w:val="24"/>
              </w:rPr>
            </w:pPr>
            <w:r w:rsidRPr="00556075">
              <w:rPr>
                <w:rFonts w:ascii="Times New Roman" w:hAnsi="Times New Roman" w:cs="Times New Roman"/>
                <w:sz w:val="24"/>
                <w:szCs w:val="24"/>
              </w:rPr>
              <w:t>$5,000</w:t>
            </w:r>
          </w:p>
        </w:tc>
      </w:tr>
      <w:tr w14:paraId="265B4278" w14:textId="77777777" w:rsidTr="05FDEA0A">
        <w:tblPrEx>
          <w:tblW w:w="5358" w:type="pct"/>
          <w:tblInd w:w="-72" w:type="dxa"/>
          <w:tblLayout w:type="fixed"/>
          <w:tblLook w:val="01E0"/>
        </w:tblPrEx>
        <w:trPr>
          <w:cantSplit/>
        </w:trPr>
        <w:tc>
          <w:tcPr>
            <w:tcW w:w="878" w:type="pct"/>
          </w:tcPr>
          <w:p w:rsidR="00556075" w:rsidRPr="00556075" w:rsidP="00556075" w14:paraId="5DA1FE29" w14:textId="77777777">
            <w:pPr>
              <w:spacing w:after="0"/>
              <w:rPr>
                <w:rFonts w:ascii="Times New Roman" w:hAnsi="Times New Roman" w:cs="Times New Roman"/>
                <w:sz w:val="24"/>
                <w:szCs w:val="24"/>
              </w:rPr>
            </w:pPr>
            <w:r w:rsidRPr="00556075">
              <w:rPr>
                <w:rFonts w:ascii="Times New Roman" w:hAnsi="Times New Roman" w:cs="Times New Roman"/>
                <w:sz w:val="24"/>
                <w:szCs w:val="24"/>
              </w:rPr>
              <w:t>18 CFR 284.8</w:t>
            </w:r>
            <w:r>
              <w:rPr>
                <w:rFonts w:ascii="Times New Roman" w:hAnsi="Times New Roman" w:cs="Times New Roman"/>
                <w:b/>
                <w:sz w:val="24"/>
                <w:szCs w:val="24"/>
                <w:vertAlign w:val="superscript"/>
              </w:rPr>
              <w:footnoteReference w:id="10"/>
            </w:r>
          </w:p>
          <w:p w:rsidR="00556075" w:rsidRPr="00556075" w:rsidP="00556075" w14:paraId="2AA05D29" w14:textId="77777777">
            <w:pPr>
              <w:spacing w:after="0"/>
              <w:rPr>
                <w:rFonts w:ascii="Times New Roman" w:hAnsi="Times New Roman" w:cs="Times New Roman"/>
                <w:sz w:val="24"/>
                <w:szCs w:val="24"/>
              </w:rPr>
            </w:pPr>
            <w:r w:rsidRPr="00556075">
              <w:rPr>
                <w:rFonts w:ascii="Times New Roman" w:hAnsi="Times New Roman" w:cs="Times New Roman"/>
                <w:sz w:val="24"/>
                <w:szCs w:val="24"/>
              </w:rPr>
              <w:t>(Request for Waiver of Capacity Release Regulations)</w:t>
            </w:r>
          </w:p>
        </w:tc>
        <w:tc>
          <w:tcPr>
            <w:tcW w:w="746" w:type="pct"/>
          </w:tcPr>
          <w:p w:rsidR="00556075" w:rsidRPr="00556075" w:rsidP="00556075" w14:paraId="6522C7CE" w14:textId="77777777">
            <w:pPr>
              <w:spacing w:after="0"/>
              <w:rPr>
                <w:rFonts w:ascii="Times New Roman" w:hAnsi="Times New Roman" w:cs="Times New Roman"/>
                <w:sz w:val="24"/>
                <w:szCs w:val="24"/>
              </w:rPr>
            </w:pPr>
            <w:r w:rsidRPr="00556075">
              <w:rPr>
                <w:rFonts w:ascii="Times New Roman" w:hAnsi="Times New Roman" w:cs="Times New Roman"/>
                <w:sz w:val="24"/>
                <w:szCs w:val="24"/>
              </w:rPr>
              <w:t>31</w:t>
            </w:r>
          </w:p>
        </w:tc>
        <w:tc>
          <w:tcPr>
            <w:tcW w:w="746" w:type="pct"/>
          </w:tcPr>
          <w:p w:rsidR="00556075" w:rsidRPr="00556075" w:rsidP="00556075" w14:paraId="025828D8" w14:textId="77777777">
            <w:pPr>
              <w:spacing w:after="0"/>
              <w:rPr>
                <w:rFonts w:ascii="Times New Roman" w:hAnsi="Times New Roman" w:cs="Times New Roman"/>
                <w:sz w:val="24"/>
                <w:szCs w:val="24"/>
              </w:rPr>
            </w:pPr>
            <w:r w:rsidRPr="00556075">
              <w:rPr>
                <w:rFonts w:ascii="Times New Roman" w:hAnsi="Times New Roman" w:cs="Times New Roman"/>
                <w:sz w:val="24"/>
                <w:szCs w:val="24"/>
              </w:rPr>
              <w:t>1.39</w:t>
            </w:r>
          </w:p>
        </w:tc>
        <w:tc>
          <w:tcPr>
            <w:tcW w:w="703" w:type="pct"/>
          </w:tcPr>
          <w:p w:rsidR="00556075" w:rsidRPr="00556075" w:rsidP="00556075" w14:paraId="0B239561" w14:textId="13FDD850">
            <w:pPr>
              <w:spacing w:after="0"/>
              <w:rPr>
                <w:rFonts w:ascii="Times New Roman" w:hAnsi="Times New Roman" w:cs="Times New Roman"/>
                <w:sz w:val="24"/>
                <w:szCs w:val="24"/>
              </w:rPr>
            </w:pPr>
            <w:r w:rsidRPr="00556075">
              <w:rPr>
                <w:rFonts w:ascii="Times New Roman" w:hAnsi="Times New Roman" w:cs="Times New Roman"/>
                <w:sz w:val="24"/>
                <w:szCs w:val="24"/>
              </w:rPr>
              <w:t>43</w:t>
            </w:r>
            <w:r w:rsidR="00080475">
              <w:rPr>
                <w:rFonts w:ascii="Times New Roman" w:hAnsi="Times New Roman" w:cs="Times New Roman"/>
                <w:sz w:val="24"/>
                <w:szCs w:val="24"/>
              </w:rPr>
              <w:t>.09</w:t>
            </w:r>
          </w:p>
          <w:p w:rsidR="00556075" w:rsidRPr="00556075" w:rsidP="00556075" w14:paraId="6F265279" w14:textId="24D9AE31">
            <w:pPr>
              <w:spacing w:after="0"/>
              <w:rPr>
                <w:rFonts w:ascii="Times New Roman" w:hAnsi="Times New Roman" w:cs="Times New Roman"/>
                <w:sz w:val="24"/>
                <w:szCs w:val="24"/>
              </w:rPr>
            </w:pPr>
          </w:p>
        </w:tc>
        <w:tc>
          <w:tcPr>
            <w:tcW w:w="654" w:type="pct"/>
          </w:tcPr>
          <w:p w:rsidR="00556075" w:rsidRPr="00556075" w:rsidP="00556075" w14:paraId="2C36F18C" w14:textId="77777777">
            <w:pPr>
              <w:spacing w:after="0"/>
              <w:rPr>
                <w:rFonts w:ascii="Times New Roman" w:hAnsi="Times New Roman" w:cs="Times New Roman"/>
                <w:sz w:val="24"/>
                <w:szCs w:val="24"/>
              </w:rPr>
            </w:pPr>
            <w:r w:rsidRPr="00556075">
              <w:rPr>
                <w:rFonts w:ascii="Times New Roman" w:hAnsi="Times New Roman" w:cs="Times New Roman"/>
                <w:sz w:val="24"/>
                <w:szCs w:val="24"/>
              </w:rPr>
              <w:t>10 hrs.:</w:t>
            </w:r>
          </w:p>
          <w:p w:rsidR="00556075" w:rsidRPr="00556075" w:rsidP="00556075" w14:paraId="52DD4D51" w14:textId="77777777">
            <w:pPr>
              <w:spacing w:after="0"/>
              <w:rPr>
                <w:rFonts w:ascii="Times New Roman" w:hAnsi="Times New Roman" w:cs="Times New Roman"/>
                <w:sz w:val="24"/>
                <w:szCs w:val="24"/>
              </w:rPr>
            </w:pPr>
            <w:r w:rsidRPr="00556075">
              <w:rPr>
                <w:rFonts w:ascii="Times New Roman" w:hAnsi="Times New Roman" w:cs="Times New Roman"/>
                <w:sz w:val="24"/>
                <w:szCs w:val="24"/>
              </w:rPr>
              <w:t>$1,000</w:t>
            </w:r>
          </w:p>
        </w:tc>
        <w:tc>
          <w:tcPr>
            <w:tcW w:w="657" w:type="pct"/>
          </w:tcPr>
          <w:p w:rsidR="00556075" w:rsidRPr="00556075" w:rsidP="00556075" w14:paraId="0EEC04E1" w14:textId="4DFC59A1">
            <w:pPr>
              <w:spacing w:after="0"/>
              <w:rPr>
                <w:rFonts w:ascii="Times New Roman" w:hAnsi="Times New Roman" w:cs="Times New Roman"/>
                <w:sz w:val="24"/>
                <w:szCs w:val="24"/>
              </w:rPr>
            </w:pPr>
            <w:r w:rsidRPr="00DD39AC">
              <w:rPr>
                <w:rFonts w:ascii="Times New Roman" w:hAnsi="Times New Roman" w:cs="Times New Roman"/>
                <w:sz w:val="24"/>
                <w:szCs w:val="24"/>
              </w:rPr>
              <w:t>430.9</w:t>
            </w:r>
            <w:r w:rsidRPr="00556075">
              <w:rPr>
                <w:rFonts w:ascii="Times New Roman" w:hAnsi="Times New Roman" w:cs="Times New Roman"/>
                <w:sz w:val="24"/>
                <w:szCs w:val="24"/>
              </w:rPr>
              <w:t xml:space="preserve"> </w:t>
            </w:r>
            <w:r w:rsidRPr="00556075">
              <w:rPr>
                <w:rFonts w:ascii="Times New Roman" w:hAnsi="Times New Roman" w:cs="Times New Roman"/>
                <w:sz w:val="24"/>
                <w:szCs w:val="24"/>
              </w:rPr>
              <w:t>hrs.;</w:t>
            </w:r>
          </w:p>
          <w:p w:rsidR="00556075" w:rsidRPr="00556075" w:rsidP="00556075" w14:paraId="0F83E729" w14:textId="6507486F">
            <w:pPr>
              <w:spacing w:after="0"/>
              <w:rPr>
                <w:rFonts w:ascii="Times New Roman" w:hAnsi="Times New Roman" w:cs="Times New Roman"/>
                <w:sz w:val="24"/>
                <w:szCs w:val="24"/>
              </w:rPr>
            </w:pPr>
            <w:r w:rsidRPr="00556075">
              <w:rPr>
                <w:rFonts w:ascii="Times New Roman" w:hAnsi="Times New Roman" w:cs="Times New Roman"/>
                <w:sz w:val="24"/>
                <w:szCs w:val="24"/>
              </w:rPr>
              <w:t>$</w:t>
            </w:r>
            <w:r w:rsidR="001C3D8B">
              <w:t xml:space="preserve"> </w:t>
            </w:r>
            <w:r w:rsidRPr="001C3D8B" w:rsidR="001C3D8B">
              <w:rPr>
                <w:rFonts w:ascii="Times New Roman" w:hAnsi="Times New Roman" w:cs="Times New Roman"/>
                <w:sz w:val="24"/>
                <w:szCs w:val="24"/>
              </w:rPr>
              <w:t>43,090</w:t>
            </w:r>
          </w:p>
        </w:tc>
        <w:tc>
          <w:tcPr>
            <w:tcW w:w="616" w:type="pct"/>
          </w:tcPr>
          <w:p w:rsidR="00556075" w:rsidRPr="00556075" w:rsidP="00556075" w14:paraId="5247C4F1" w14:textId="77777777">
            <w:pPr>
              <w:spacing w:after="0"/>
              <w:rPr>
                <w:rFonts w:ascii="Times New Roman" w:hAnsi="Times New Roman" w:cs="Times New Roman"/>
                <w:sz w:val="24"/>
                <w:szCs w:val="24"/>
              </w:rPr>
            </w:pPr>
            <w:r w:rsidRPr="00556075">
              <w:rPr>
                <w:rFonts w:ascii="Times New Roman" w:hAnsi="Times New Roman" w:cs="Times New Roman"/>
                <w:sz w:val="24"/>
                <w:szCs w:val="24"/>
              </w:rPr>
              <w:t>$1,390</w:t>
            </w:r>
          </w:p>
        </w:tc>
      </w:tr>
      <w:tr w14:paraId="5A4ADA43" w14:textId="77777777" w:rsidTr="05FDEA0A">
        <w:tblPrEx>
          <w:tblW w:w="5358" w:type="pct"/>
          <w:tblInd w:w="-72" w:type="dxa"/>
          <w:tblLayout w:type="fixed"/>
          <w:tblLook w:val="01E0"/>
        </w:tblPrEx>
        <w:trPr>
          <w:cantSplit/>
        </w:trPr>
        <w:tc>
          <w:tcPr>
            <w:tcW w:w="878" w:type="pct"/>
          </w:tcPr>
          <w:p w:rsidR="00556075" w:rsidRPr="00556075" w:rsidP="00556075" w14:paraId="1611C52C" w14:textId="77777777">
            <w:pPr>
              <w:spacing w:after="0"/>
              <w:rPr>
                <w:rFonts w:ascii="Times New Roman" w:hAnsi="Times New Roman" w:cs="Times New Roman"/>
                <w:sz w:val="24"/>
                <w:szCs w:val="24"/>
              </w:rPr>
            </w:pPr>
            <w:r w:rsidRPr="00556075">
              <w:rPr>
                <w:rFonts w:ascii="Times New Roman" w:hAnsi="Times New Roman" w:cs="Times New Roman"/>
                <w:sz w:val="24"/>
                <w:szCs w:val="24"/>
              </w:rPr>
              <w:t>18 CFR 284.13(e) and 284.126(a) (Interstate and Intrastate Bypass Notice)</w:t>
            </w:r>
          </w:p>
        </w:tc>
        <w:tc>
          <w:tcPr>
            <w:tcW w:w="746" w:type="pct"/>
          </w:tcPr>
          <w:p w:rsidR="00556075" w:rsidRPr="00556075" w:rsidP="00556075" w14:paraId="42C5D8B7" w14:textId="77777777">
            <w:pPr>
              <w:spacing w:after="0"/>
              <w:rPr>
                <w:rFonts w:ascii="Times New Roman" w:hAnsi="Times New Roman" w:cs="Times New Roman"/>
                <w:sz w:val="24"/>
                <w:szCs w:val="24"/>
              </w:rPr>
            </w:pPr>
            <w:r w:rsidRPr="00556075">
              <w:rPr>
                <w:rFonts w:ascii="Times New Roman" w:hAnsi="Times New Roman" w:cs="Times New Roman"/>
                <w:sz w:val="24"/>
                <w:szCs w:val="24"/>
              </w:rPr>
              <w:t>2</w:t>
            </w:r>
          </w:p>
        </w:tc>
        <w:tc>
          <w:tcPr>
            <w:tcW w:w="746" w:type="pct"/>
          </w:tcPr>
          <w:p w:rsidR="00556075" w:rsidRPr="00556075" w:rsidP="00556075" w14:paraId="3B17B302" w14:textId="77777777">
            <w:pPr>
              <w:spacing w:after="0"/>
              <w:rPr>
                <w:rFonts w:ascii="Times New Roman" w:hAnsi="Times New Roman" w:cs="Times New Roman"/>
                <w:sz w:val="24"/>
                <w:szCs w:val="24"/>
              </w:rPr>
            </w:pPr>
            <w:r w:rsidRPr="00556075">
              <w:rPr>
                <w:rFonts w:ascii="Times New Roman" w:hAnsi="Times New Roman" w:cs="Times New Roman"/>
                <w:sz w:val="24"/>
                <w:szCs w:val="24"/>
              </w:rPr>
              <w:t>1</w:t>
            </w:r>
          </w:p>
        </w:tc>
        <w:tc>
          <w:tcPr>
            <w:tcW w:w="703" w:type="pct"/>
          </w:tcPr>
          <w:p w:rsidR="00556075" w:rsidRPr="00556075" w:rsidP="00556075" w14:paraId="173B14FE" w14:textId="77777777">
            <w:pPr>
              <w:spacing w:after="0"/>
              <w:rPr>
                <w:rFonts w:ascii="Times New Roman" w:hAnsi="Times New Roman" w:cs="Times New Roman"/>
                <w:sz w:val="24"/>
                <w:szCs w:val="24"/>
              </w:rPr>
            </w:pPr>
            <w:r w:rsidRPr="00556075">
              <w:rPr>
                <w:rFonts w:ascii="Times New Roman" w:hAnsi="Times New Roman" w:cs="Times New Roman"/>
                <w:sz w:val="24"/>
                <w:szCs w:val="24"/>
              </w:rPr>
              <w:t>2</w:t>
            </w:r>
          </w:p>
        </w:tc>
        <w:tc>
          <w:tcPr>
            <w:tcW w:w="654" w:type="pct"/>
          </w:tcPr>
          <w:p w:rsidR="00556075" w:rsidRPr="00556075" w:rsidP="00556075" w14:paraId="50A10FC4" w14:textId="77777777">
            <w:pPr>
              <w:spacing w:after="0"/>
              <w:rPr>
                <w:rFonts w:ascii="Times New Roman" w:hAnsi="Times New Roman" w:cs="Times New Roman"/>
                <w:sz w:val="24"/>
                <w:szCs w:val="24"/>
              </w:rPr>
            </w:pPr>
            <w:r w:rsidRPr="00556075">
              <w:rPr>
                <w:rFonts w:ascii="Times New Roman" w:hAnsi="Times New Roman" w:cs="Times New Roman"/>
                <w:sz w:val="24"/>
                <w:szCs w:val="24"/>
              </w:rPr>
              <w:t xml:space="preserve">30 </w:t>
            </w:r>
            <w:r w:rsidRPr="00556075">
              <w:rPr>
                <w:rFonts w:ascii="Times New Roman" w:hAnsi="Times New Roman" w:cs="Times New Roman"/>
                <w:sz w:val="24"/>
                <w:szCs w:val="24"/>
              </w:rPr>
              <w:t>hrs.;</w:t>
            </w:r>
          </w:p>
          <w:p w:rsidR="00556075" w:rsidRPr="00556075" w:rsidP="00556075" w14:paraId="4DE6B495" w14:textId="77777777">
            <w:pPr>
              <w:spacing w:after="0"/>
              <w:rPr>
                <w:rFonts w:ascii="Times New Roman" w:hAnsi="Times New Roman" w:cs="Times New Roman"/>
                <w:sz w:val="24"/>
                <w:szCs w:val="24"/>
              </w:rPr>
            </w:pPr>
            <w:r w:rsidRPr="00556075">
              <w:rPr>
                <w:rFonts w:ascii="Times New Roman" w:hAnsi="Times New Roman" w:cs="Times New Roman"/>
                <w:sz w:val="24"/>
                <w:szCs w:val="24"/>
              </w:rPr>
              <w:t>$3,000</w:t>
            </w:r>
          </w:p>
        </w:tc>
        <w:tc>
          <w:tcPr>
            <w:tcW w:w="657" w:type="pct"/>
          </w:tcPr>
          <w:p w:rsidR="00556075" w:rsidRPr="00556075" w:rsidP="00556075" w14:paraId="26AAA4ED" w14:textId="77777777">
            <w:pPr>
              <w:spacing w:after="0"/>
              <w:rPr>
                <w:rFonts w:ascii="Times New Roman" w:hAnsi="Times New Roman" w:cs="Times New Roman"/>
                <w:sz w:val="24"/>
                <w:szCs w:val="24"/>
              </w:rPr>
            </w:pPr>
            <w:r w:rsidRPr="00556075">
              <w:rPr>
                <w:rFonts w:ascii="Times New Roman" w:hAnsi="Times New Roman" w:cs="Times New Roman"/>
                <w:sz w:val="24"/>
                <w:szCs w:val="24"/>
              </w:rPr>
              <w:t xml:space="preserve">60 </w:t>
            </w:r>
            <w:r w:rsidRPr="00556075">
              <w:rPr>
                <w:rFonts w:ascii="Times New Roman" w:hAnsi="Times New Roman" w:cs="Times New Roman"/>
                <w:sz w:val="24"/>
                <w:szCs w:val="24"/>
              </w:rPr>
              <w:t>hrs.;</w:t>
            </w:r>
          </w:p>
          <w:p w:rsidR="00556075" w:rsidRPr="00556075" w:rsidP="00556075" w14:paraId="7B85E80B" w14:textId="77777777">
            <w:pPr>
              <w:spacing w:after="0"/>
              <w:rPr>
                <w:rFonts w:ascii="Times New Roman" w:hAnsi="Times New Roman" w:cs="Times New Roman"/>
                <w:sz w:val="24"/>
                <w:szCs w:val="24"/>
              </w:rPr>
            </w:pPr>
            <w:r w:rsidRPr="00556075">
              <w:rPr>
                <w:rFonts w:ascii="Times New Roman" w:hAnsi="Times New Roman" w:cs="Times New Roman"/>
                <w:sz w:val="24"/>
                <w:szCs w:val="24"/>
              </w:rPr>
              <w:t>$6,000</w:t>
            </w:r>
          </w:p>
        </w:tc>
        <w:tc>
          <w:tcPr>
            <w:tcW w:w="616" w:type="pct"/>
          </w:tcPr>
          <w:p w:rsidR="00556075" w:rsidRPr="00556075" w:rsidP="00556075" w14:paraId="5B23E6EE" w14:textId="77777777">
            <w:pPr>
              <w:spacing w:after="0"/>
              <w:rPr>
                <w:rFonts w:ascii="Times New Roman" w:hAnsi="Times New Roman" w:cs="Times New Roman"/>
                <w:sz w:val="24"/>
                <w:szCs w:val="24"/>
              </w:rPr>
            </w:pPr>
            <w:r w:rsidRPr="00556075">
              <w:rPr>
                <w:rFonts w:ascii="Times New Roman" w:hAnsi="Times New Roman" w:cs="Times New Roman"/>
                <w:sz w:val="24"/>
                <w:szCs w:val="24"/>
              </w:rPr>
              <w:t>$3,000</w:t>
            </w:r>
          </w:p>
          <w:p w:rsidR="00556075" w:rsidRPr="00556075" w:rsidP="00556075" w14:paraId="0B5F18E6" w14:textId="77777777">
            <w:pPr>
              <w:spacing w:after="0"/>
              <w:rPr>
                <w:rFonts w:ascii="Times New Roman" w:hAnsi="Times New Roman" w:cs="Times New Roman"/>
                <w:sz w:val="24"/>
                <w:szCs w:val="24"/>
              </w:rPr>
            </w:pPr>
          </w:p>
        </w:tc>
      </w:tr>
      <w:tr w14:paraId="15235367" w14:textId="77777777" w:rsidTr="05FDEA0A">
        <w:tblPrEx>
          <w:tblW w:w="5358" w:type="pct"/>
          <w:tblInd w:w="-72" w:type="dxa"/>
          <w:tblLayout w:type="fixed"/>
          <w:tblLook w:val="01E0"/>
        </w:tblPrEx>
        <w:trPr>
          <w:cantSplit/>
        </w:trPr>
        <w:tc>
          <w:tcPr>
            <w:tcW w:w="878" w:type="pct"/>
          </w:tcPr>
          <w:p w:rsidR="00556075" w:rsidRPr="00556075" w:rsidP="00556075" w14:paraId="04A42AB7" w14:textId="77777777">
            <w:pPr>
              <w:spacing w:after="0"/>
              <w:rPr>
                <w:rFonts w:ascii="Times New Roman" w:hAnsi="Times New Roman" w:cs="Times New Roman"/>
                <w:sz w:val="24"/>
                <w:szCs w:val="24"/>
              </w:rPr>
            </w:pPr>
            <w:r w:rsidRPr="00556075">
              <w:rPr>
                <w:rFonts w:ascii="Times New Roman" w:hAnsi="Times New Roman" w:cs="Times New Roman"/>
                <w:sz w:val="24"/>
                <w:szCs w:val="24"/>
              </w:rPr>
              <w:t>18 CFR 284.221 (Blanket Certificates)</w:t>
            </w:r>
          </w:p>
        </w:tc>
        <w:tc>
          <w:tcPr>
            <w:tcW w:w="746" w:type="pct"/>
          </w:tcPr>
          <w:p w:rsidR="00556075" w:rsidRPr="00556075" w:rsidP="00556075" w14:paraId="290750F3" w14:textId="77777777">
            <w:pPr>
              <w:spacing w:after="0"/>
              <w:rPr>
                <w:rFonts w:ascii="Times New Roman" w:hAnsi="Times New Roman" w:cs="Times New Roman"/>
                <w:sz w:val="24"/>
                <w:szCs w:val="24"/>
              </w:rPr>
            </w:pPr>
            <w:r w:rsidRPr="00556075">
              <w:rPr>
                <w:rFonts w:ascii="Times New Roman" w:hAnsi="Times New Roman" w:cs="Times New Roman"/>
                <w:sz w:val="24"/>
                <w:szCs w:val="24"/>
              </w:rPr>
              <w:t>1</w:t>
            </w:r>
          </w:p>
        </w:tc>
        <w:tc>
          <w:tcPr>
            <w:tcW w:w="746" w:type="pct"/>
          </w:tcPr>
          <w:p w:rsidR="00556075" w:rsidRPr="00556075" w:rsidP="00556075" w14:paraId="18B94309" w14:textId="77777777">
            <w:pPr>
              <w:spacing w:after="0"/>
              <w:rPr>
                <w:rFonts w:ascii="Times New Roman" w:hAnsi="Times New Roman" w:cs="Times New Roman"/>
                <w:sz w:val="24"/>
                <w:szCs w:val="24"/>
              </w:rPr>
            </w:pPr>
            <w:r w:rsidRPr="00556075">
              <w:rPr>
                <w:rFonts w:ascii="Times New Roman" w:hAnsi="Times New Roman" w:cs="Times New Roman"/>
                <w:sz w:val="24"/>
                <w:szCs w:val="24"/>
              </w:rPr>
              <w:t>1</w:t>
            </w:r>
          </w:p>
        </w:tc>
        <w:tc>
          <w:tcPr>
            <w:tcW w:w="703" w:type="pct"/>
          </w:tcPr>
          <w:p w:rsidR="00556075" w:rsidRPr="00556075" w:rsidP="00556075" w14:paraId="164D720F" w14:textId="77777777">
            <w:pPr>
              <w:spacing w:after="0"/>
              <w:rPr>
                <w:rFonts w:ascii="Times New Roman" w:hAnsi="Times New Roman" w:cs="Times New Roman"/>
                <w:sz w:val="24"/>
                <w:szCs w:val="24"/>
              </w:rPr>
            </w:pPr>
            <w:r w:rsidRPr="00556075">
              <w:rPr>
                <w:rFonts w:ascii="Times New Roman" w:hAnsi="Times New Roman" w:cs="Times New Roman"/>
                <w:sz w:val="24"/>
                <w:szCs w:val="24"/>
              </w:rPr>
              <w:t>1</w:t>
            </w:r>
          </w:p>
        </w:tc>
        <w:tc>
          <w:tcPr>
            <w:tcW w:w="654" w:type="pct"/>
          </w:tcPr>
          <w:p w:rsidR="00556075" w:rsidRPr="00556075" w:rsidP="00556075" w14:paraId="341D6F5C" w14:textId="77777777">
            <w:pPr>
              <w:spacing w:after="0"/>
              <w:rPr>
                <w:rFonts w:ascii="Times New Roman" w:hAnsi="Times New Roman" w:cs="Times New Roman"/>
                <w:sz w:val="24"/>
                <w:szCs w:val="24"/>
              </w:rPr>
            </w:pPr>
            <w:r w:rsidRPr="00556075">
              <w:rPr>
                <w:rFonts w:ascii="Times New Roman" w:hAnsi="Times New Roman" w:cs="Times New Roman"/>
                <w:sz w:val="24"/>
                <w:szCs w:val="24"/>
              </w:rPr>
              <w:t xml:space="preserve">100 </w:t>
            </w:r>
            <w:r w:rsidRPr="00556075">
              <w:rPr>
                <w:rFonts w:ascii="Times New Roman" w:hAnsi="Times New Roman" w:cs="Times New Roman"/>
                <w:sz w:val="24"/>
                <w:szCs w:val="24"/>
              </w:rPr>
              <w:t>hrs.;</w:t>
            </w:r>
          </w:p>
          <w:p w:rsidR="00556075" w:rsidRPr="00556075" w:rsidP="00556075" w14:paraId="6845E1F4" w14:textId="77777777">
            <w:pPr>
              <w:spacing w:after="0"/>
              <w:rPr>
                <w:rFonts w:ascii="Times New Roman" w:hAnsi="Times New Roman" w:cs="Times New Roman"/>
                <w:sz w:val="24"/>
                <w:szCs w:val="24"/>
              </w:rPr>
            </w:pPr>
            <w:r w:rsidRPr="00556075">
              <w:rPr>
                <w:rFonts w:ascii="Times New Roman" w:hAnsi="Times New Roman" w:cs="Times New Roman"/>
                <w:sz w:val="24"/>
                <w:szCs w:val="24"/>
              </w:rPr>
              <w:t>$10,000</w:t>
            </w:r>
          </w:p>
        </w:tc>
        <w:tc>
          <w:tcPr>
            <w:tcW w:w="657" w:type="pct"/>
          </w:tcPr>
          <w:p w:rsidR="00556075" w:rsidRPr="00556075" w:rsidP="00556075" w14:paraId="5BFA3D0F" w14:textId="77777777">
            <w:pPr>
              <w:spacing w:after="0"/>
              <w:rPr>
                <w:rFonts w:ascii="Times New Roman" w:hAnsi="Times New Roman" w:cs="Times New Roman"/>
                <w:sz w:val="24"/>
                <w:szCs w:val="24"/>
              </w:rPr>
            </w:pPr>
            <w:r w:rsidRPr="00556075">
              <w:rPr>
                <w:rFonts w:ascii="Times New Roman" w:hAnsi="Times New Roman" w:cs="Times New Roman"/>
                <w:sz w:val="24"/>
                <w:szCs w:val="24"/>
              </w:rPr>
              <w:t xml:space="preserve">100 </w:t>
            </w:r>
            <w:r w:rsidRPr="00556075">
              <w:rPr>
                <w:rFonts w:ascii="Times New Roman" w:hAnsi="Times New Roman" w:cs="Times New Roman"/>
                <w:sz w:val="24"/>
                <w:szCs w:val="24"/>
              </w:rPr>
              <w:t>hrs.;</w:t>
            </w:r>
          </w:p>
          <w:p w:rsidR="00556075" w:rsidRPr="00556075" w:rsidP="00556075" w14:paraId="2A05461C" w14:textId="77777777">
            <w:pPr>
              <w:spacing w:after="0"/>
              <w:rPr>
                <w:rFonts w:ascii="Times New Roman" w:hAnsi="Times New Roman" w:cs="Times New Roman"/>
                <w:sz w:val="24"/>
                <w:szCs w:val="24"/>
              </w:rPr>
            </w:pPr>
            <w:r w:rsidRPr="00556075">
              <w:rPr>
                <w:rFonts w:ascii="Times New Roman" w:hAnsi="Times New Roman" w:cs="Times New Roman"/>
                <w:sz w:val="24"/>
                <w:szCs w:val="24"/>
              </w:rPr>
              <w:t>$10,000</w:t>
            </w:r>
          </w:p>
        </w:tc>
        <w:tc>
          <w:tcPr>
            <w:tcW w:w="616" w:type="pct"/>
          </w:tcPr>
          <w:p w:rsidR="00556075" w:rsidRPr="00556075" w:rsidP="00556075" w14:paraId="275F7BF6" w14:textId="77777777">
            <w:pPr>
              <w:spacing w:after="0"/>
              <w:rPr>
                <w:rFonts w:ascii="Times New Roman" w:hAnsi="Times New Roman" w:cs="Times New Roman"/>
                <w:sz w:val="24"/>
                <w:szCs w:val="24"/>
              </w:rPr>
            </w:pPr>
            <w:r w:rsidRPr="00556075">
              <w:rPr>
                <w:rFonts w:ascii="Times New Roman" w:hAnsi="Times New Roman" w:cs="Times New Roman"/>
                <w:sz w:val="24"/>
                <w:szCs w:val="24"/>
              </w:rPr>
              <w:t>$10,000</w:t>
            </w:r>
          </w:p>
        </w:tc>
      </w:tr>
      <w:tr w14:paraId="4BED23E7" w14:textId="77777777" w:rsidTr="05FDEA0A">
        <w:tblPrEx>
          <w:tblW w:w="5358" w:type="pct"/>
          <w:tblInd w:w="-72" w:type="dxa"/>
          <w:tblLayout w:type="fixed"/>
          <w:tblLook w:val="01E0"/>
        </w:tblPrEx>
        <w:trPr>
          <w:cantSplit/>
        </w:trPr>
        <w:tc>
          <w:tcPr>
            <w:tcW w:w="878" w:type="pct"/>
          </w:tcPr>
          <w:p w:rsidR="00556075" w:rsidRPr="00556075" w:rsidP="00556075" w14:paraId="07435164" w14:textId="77777777">
            <w:pPr>
              <w:spacing w:after="0"/>
              <w:rPr>
                <w:rFonts w:ascii="Times New Roman" w:hAnsi="Times New Roman" w:cs="Times New Roman"/>
                <w:sz w:val="24"/>
                <w:szCs w:val="24"/>
              </w:rPr>
            </w:pPr>
            <w:r w:rsidRPr="00556075">
              <w:rPr>
                <w:rFonts w:ascii="Times New Roman" w:hAnsi="Times New Roman" w:cs="Times New Roman"/>
                <w:sz w:val="24"/>
                <w:szCs w:val="24"/>
              </w:rPr>
              <w:t>18 CFR 284.224 (Hinshaw Blanket Certificates)</w:t>
            </w:r>
          </w:p>
        </w:tc>
        <w:tc>
          <w:tcPr>
            <w:tcW w:w="746" w:type="pct"/>
          </w:tcPr>
          <w:p w:rsidR="00556075" w:rsidRPr="00556075" w:rsidP="00556075" w14:paraId="3C961AEE" w14:textId="77777777">
            <w:pPr>
              <w:spacing w:after="0"/>
              <w:rPr>
                <w:rFonts w:ascii="Times New Roman" w:hAnsi="Times New Roman" w:cs="Times New Roman"/>
                <w:sz w:val="24"/>
                <w:szCs w:val="24"/>
              </w:rPr>
            </w:pPr>
            <w:r w:rsidRPr="00556075">
              <w:rPr>
                <w:rFonts w:ascii="Times New Roman" w:hAnsi="Times New Roman" w:cs="Times New Roman"/>
                <w:sz w:val="24"/>
                <w:szCs w:val="24"/>
              </w:rPr>
              <w:t>2</w:t>
            </w:r>
          </w:p>
        </w:tc>
        <w:tc>
          <w:tcPr>
            <w:tcW w:w="746" w:type="pct"/>
          </w:tcPr>
          <w:p w:rsidR="00556075" w:rsidRPr="00556075" w:rsidP="00556075" w14:paraId="6593FFBD" w14:textId="77777777">
            <w:pPr>
              <w:spacing w:after="0"/>
              <w:rPr>
                <w:rFonts w:ascii="Times New Roman" w:hAnsi="Times New Roman" w:cs="Times New Roman"/>
                <w:sz w:val="24"/>
                <w:szCs w:val="24"/>
              </w:rPr>
            </w:pPr>
            <w:r w:rsidRPr="00556075">
              <w:rPr>
                <w:rFonts w:ascii="Times New Roman" w:hAnsi="Times New Roman" w:cs="Times New Roman"/>
                <w:sz w:val="24"/>
                <w:szCs w:val="24"/>
              </w:rPr>
              <w:t>1</w:t>
            </w:r>
          </w:p>
        </w:tc>
        <w:tc>
          <w:tcPr>
            <w:tcW w:w="703" w:type="pct"/>
          </w:tcPr>
          <w:p w:rsidR="00556075" w:rsidRPr="00556075" w:rsidP="00556075" w14:paraId="79C6E959" w14:textId="77777777">
            <w:pPr>
              <w:spacing w:after="0"/>
              <w:rPr>
                <w:rFonts w:ascii="Times New Roman" w:hAnsi="Times New Roman" w:cs="Times New Roman"/>
                <w:sz w:val="24"/>
                <w:szCs w:val="24"/>
              </w:rPr>
            </w:pPr>
            <w:r w:rsidRPr="00556075">
              <w:rPr>
                <w:rFonts w:ascii="Times New Roman" w:hAnsi="Times New Roman" w:cs="Times New Roman"/>
                <w:sz w:val="24"/>
                <w:szCs w:val="24"/>
              </w:rPr>
              <w:t>2</w:t>
            </w:r>
          </w:p>
        </w:tc>
        <w:tc>
          <w:tcPr>
            <w:tcW w:w="654" w:type="pct"/>
          </w:tcPr>
          <w:p w:rsidR="00556075" w:rsidRPr="00556075" w:rsidP="00556075" w14:paraId="5EF2E68E" w14:textId="77777777">
            <w:pPr>
              <w:spacing w:after="0"/>
              <w:rPr>
                <w:rFonts w:ascii="Times New Roman" w:hAnsi="Times New Roman" w:cs="Times New Roman"/>
                <w:sz w:val="24"/>
                <w:szCs w:val="24"/>
              </w:rPr>
            </w:pPr>
            <w:r w:rsidRPr="00556075">
              <w:rPr>
                <w:rFonts w:ascii="Times New Roman" w:hAnsi="Times New Roman" w:cs="Times New Roman"/>
                <w:sz w:val="24"/>
                <w:szCs w:val="24"/>
              </w:rPr>
              <w:t xml:space="preserve">75 </w:t>
            </w:r>
            <w:r w:rsidRPr="00556075">
              <w:rPr>
                <w:rFonts w:ascii="Times New Roman" w:hAnsi="Times New Roman" w:cs="Times New Roman"/>
                <w:sz w:val="24"/>
                <w:szCs w:val="24"/>
              </w:rPr>
              <w:t>hrs.;</w:t>
            </w:r>
          </w:p>
          <w:p w:rsidR="00556075" w:rsidRPr="00556075" w:rsidP="00556075" w14:paraId="2783ACBB" w14:textId="77777777">
            <w:pPr>
              <w:spacing w:after="0"/>
              <w:rPr>
                <w:rFonts w:ascii="Times New Roman" w:hAnsi="Times New Roman" w:cs="Times New Roman"/>
                <w:sz w:val="24"/>
                <w:szCs w:val="24"/>
              </w:rPr>
            </w:pPr>
            <w:r w:rsidRPr="00556075">
              <w:rPr>
                <w:rFonts w:ascii="Times New Roman" w:hAnsi="Times New Roman" w:cs="Times New Roman"/>
                <w:sz w:val="24"/>
                <w:szCs w:val="24"/>
              </w:rPr>
              <w:t>$7,500</w:t>
            </w:r>
          </w:p>
        </w:tc>
        <w:tc>
          <w:tcPr>
            <w:tcW w:w="657" w:type="pct"/>
          </w:tcPr>
          <w:p w:rsidR="00556075" w:rsidRPr="00556075" w:rsidP="00556075" w14:paraId="01863EEE" w14:textId="77777777">
            <w:pPr>
              <w:spacing w:after="0"/>
              <w:rPr>
                <w:rFonts w:ascii="Times New Roman" w:hAnsi="Times New Roman" w:cs="Times New Roman"/>
                <w:sz w:val="24"/>
                <w:szCs w:val="24"/>
              </w:rPr>
            </w:pPr>
            <w:r w:rsidRPr="00556075">
              <w:rPr>
                <w:rFonts w:ascii="Times New Roman" w:hAnsi="Times New Roman" w:cs="Times New Roman"/>
                <w:sz w:val="24"/>
                <w:szCs w:val="24"/>
              </w:rPr>
              <w:t xml:space="preserve">150 </w:t>
            </w:r>
            <w:r w:rsidRPr="00556075">
              <w:rPr>
                <w:rFonts w:ascii="Times New Roman" w:hAnsi="Times New Roman" w:cs="Times New Roman"/>
                <w:sz w:val="24"/>
                <w:szCs w:val="24"/>
              </w:rPr>
              <w:t>hrs.;</w:t>
            </w:r>
          </w:p>
          <w:p w:rsidR="00556075" w:rsidRPr="00556075" w:rsidP="00556075" w14:paraId="1628DE65" w14:textId="77777777">
            <w:pPr>
              <w:spacing w:after="0"/>
              <w:rPr>
                <w:rFonts w:ascii="Times New Roman" w:hAnsi="Times New Roman" w:cs="Times New Roman"/>
                <w:sz w:val="24"/>
                <w:szCs w:val="24"/>
              </w:rPr>
            </w:pPr>
            <w:r w:rsidRPr="00556075">
              <w:rPr>
                <w:rFonts w:ascii="Times New Roman" w:hAnsi="Times New Roman" w:cs="Times New Roman"/>
                <w:sz w:val="24"/>
                <w:szCs w:val="24"/>
              </w:rPr>
              <w:t>$15,000</w:t>
            </w:r>
          </w:p>
        </w:tc>
        <w:tc>
          <w:tcPr>
            <w:tcW w:w="616" w:type="pct"/>
          </w:tcPr>
          <w:p w:rsidR="00556075" w:rsidRPr="00556075" w:rsidP="00556075" w14:paraId="38E8896E" w14:textId="77777777">
            <w:pPr>
              <w:spacing w:after="0"/>
              <w:rPr>
                <w:rFonts w:ascii="Times New Roman" w:hAnsi="Times New Roman" w:cs="Times New Roman"/>
                <w:sz w:val="24"/>
                <w:szCs w:val="24"/>
              </w:rPr>
            </w:pPr>
            <w:r w:rsidRPr="00556075">
              <w:rPr>
                <w:rFonts w:ascii="Times New Roman" w:hAnsi="Times New Roman" w:cs="Times New Roman"/>
                <w:sz w:val="24"/>
                <w:szCs w:val="24"/>
              </w:rPr>
              <w:t>$7,500</w:t>
            </w:r>
          </w:p>
        </w:tc>
      </w:tr>
      <w:tr w14:paraId="7624D49A" w14:textId="77777777" w:rsidTr="05FDEA0A">
        <w:tblPrEx>
          <w:tblW w:w="5358" w:type="pct"/>
          <w:tblInd w:w="-72" w:type="dxa"/>
          <w:tblLayout w:type="fixed"/>
          <w:tblLook w:val="01E0"/>
        </w:tblPrEx>
        <w:trPr>
          <w:cantSplit/>
        </w:trPr>
        <w:tc>
          <w:tcPr>
            <w:tcW w:w="878" w:type="pct"/>
          </w:tcPr>
          <w:p w:rsidR="00556075" w:rsidRPr="00556075" w:rsidP="00556075" w14:paraId="63873C78" w14:textId="77777777">
            <w:pPr>
              <w:spacing w:after="0"/>
              <w:rPr>
                <w:rFonts w:ascii="Times New Roman" w:hAnsi="Times New Roman" w:cs="Times New Roman"/>
                <w:sz w:val="24"/>
                <w:szCs w:val="24"/>
              </w:rPr>
            </w:pPr>
            <w:r w:rsidRPr="00556075">
              <w:rPr>
                <w:rFonts w:ascii="Times New Roman" w:hAnsi="Times New Roman" w:cs="Times New Roman"/>
                <w:sz w:val="24"/>
                <w:szCs w:val="24"/>
              </w:rPr>
              <w:t>18 CFR 157.5-.11; 157.13-.20 (Non-facility Certificate or Abandonment Applications</w:t>
            </w:r>
          </w:p>
        </w:tc>
        <w:tc>
          <w:tcPr>
            <w:tcW w:w="746" w:type="pct"/>
          </w:tcPr>
          <w:p w:rsidR="00556075" w:rsidRPr="00556075" w:rsidP="00556075" w14:paraId="5627A27B" w14:textId="77777777">
            <w:pPr>
              <w:spacing w:after="0"/>
              <w:rPr>
                <w:rFonts w:ascii="Times New Roman" w:hAnsi="Times New Roman" w:cs="Times New Roman"/>
                <w:sz w:val="24"/>
                <w:szCs w:val="24"/>
              </w:rPr>
            </w:pPr>
            <w:r w:rsidRPr="00556075">
              <w:rPr>
                <w:rFonts w:ascii="Times New Roman" w:hAnsi="Times New Roman" w:cs="Times New Roman"/>
                <w:sz w:val="24"/>
                <w:szCs w:val="24"/>
              </w:rPr>
              <w:t>11</w:t>
            </w:r>
          </w:p>
        </w:tc>
        <w:tc>
          <w:tcPr>
            <w:tcW w:w="746" w:type="pct"/>
          </w:tcPr>
          <w:p w:rsidR="00556075" w:rsidRPr="00556075" w:rsidP="00556075" w14:paraId="49912F2F" w14:textId="77777777">
            <w:pPr>
              <w:spacing w:after="0"/>
              <w:rPr>
                <w:rFonts w:ascii="Times New Roman" w:hAnsi="Times New Roman" w:cs="Times New Roman"/>
                <w:sz w:val="24"/>
                <w:szCs w:val="24"/>
              </w:rPr>
            </w:pPr>
            <w:r w:rsidRPr="00556075">
              <w:rPr>
                <w:rFonts w:ascii="Times New Roman" w:hAnsi="Times New Roman" w:cs="Times New Roman"/>
                <w:sz w:val="24"/>
                <w:szCs w:val="24"/>
              </w:rPr>
              <w:t>1.36</w:t>
            </w:r>
          </w:p>
        </w:tc>
        <w:tc>
          <w:tcPr>
            <w:tcW w:w="703" w:type="pct"/>
          </w:tcPr>
          <w:p w:rsidR="00556075" w:rsidRPr="00556075" w:rsidP="00556075" w14:paraId="61CC0A7E" w14:textId="6372A715">
            <w:pPr>
              <w:spacing w:after="0"/>
              <w:rPr>
                <w:rFonts w:ascii="Times New Roman" w:hAnsi="Times New Roman" w:cs="Times New Roman"/>
                <w:sz w:val="24"/>
                <w:szCs w:val="24"/>
              </w:rPr>
            </w:pPr>
            <w:r w:rsidRPr="00F51804">
              <w:rPr>
                <w:rFonts w:ascii="Times New Roman" w:hAnsi="Times New Roman" w:cs="Times New Roman"/>
                <w:sz w:val="24"/>
                <w:szCs w:val="24"/>
              </w:rPr>
              <w:t>14.96</w:t>
            </w:r>
          </w:p>
        </w:tc>
        <w:tc>
          <w:tcPr>
            <w:tcW w:w="654" w:type="pct"/>
          </w:tcPr>
          <w:p w:rsidR="00556075" w:rsidRPr="00556075" w:rsidP="00556075" w14:paraId="6BBB7D9B" w14:textId="77777777">
            <w:pPr>
              <w:spacing w:after="0"/>
              <w:rPr>
                <w:rFonts w:ascii="Times New Roman" w:hAnsi="Times New Roman" w:cs="Times New Roman"/>
                <w:sz w:val="24"/>
                <w:szCs w:val="24"/>
              </w:rPr>
            </w:pPr>
            <w:r w:rsidRPr="00556075">
              <w:rPr>
                <w:rFonts w:ascii="Times New Roman" w:hAnsi="Times New Roman" w:cs="Times New Roman"/>
                <w:sz w:val="24"/>
                <w:szCs w:val="24"/>
              </w:rPr>
              <w:t xml:space="preserve">75 </w:t>
            </w:r>
            <w:r w:rsidRPr="00556075">
              <w:rPr>
                <w:rFonts w:ascii="Times New Roman" w:hAnsi="Times New Roman" w:cs="Times New Roman"/>
                <w:sz w:val="24"/>
                <w:szCs w:val="24"/>
              </w:rPr>
              <w:t>hrs.;</w:t>
            </w:r>
          </w:p>
          <w:p w:rsidR="00556075" w:rsidRPr="00556075" w:rsidP="00556075" w14:paraId="12CE8A7D" w14:textId="77777777">
            <w:pPr>
              <w:spacing w:after="0"/>
              <w:rPr>
                <w:rFonts w:ascii="Times New Roman" w:hAnsi="Times New Roman" w:cs="Times New Roman"/>
                <w:sz w:val="24"/>
                <w:szCs w:val="24"/>
              </w:rPr>
            </w:pPr>
            <w:r w:rsidRPr="00556075">
              <w:rPr>
                <w:rFonts w:ascii="Times New Roman" w:hAnsi="Times New Roman" w:cs="Times New Roman"/>
                <w:sz w:val="24"/>
                <w:szCs w:val="24"/>
              </w:rPr>
              <w:t>$7,500</w:t>
            </w:r>
          </w:p>
        </w:tc>
        <w:tc>
          <w:tcPr>
            <w:tcW w:w="657" w:type="pct"/>
          </w:tcPr>
          <w:p w:rsidR="00556075" w:rsidRPr="00556075" w:rsidP="00556075" w14:paraId="18A39589" w14:textId="4080CBE3">
            <w:pPr>
              <w:spacing w:after="0"/>
              <w:rPr>
                <w:rFonts w:ascii="Times New Roman" w:hAnsi="Times New Roman" w:cs="Times New Roman"/>
                <w:sz w:val="24"/>
                <w:szCs w:val="24"/>
              </w:rPr>
            </w:pPr>
            <w:r w:rsidRPr="00BA658F">
              <w:rPr>
                <w:rFonts w:ascii="Times New Roman" w:hAnsi="Times New Roman" w:cs="Times New Roman"/>
                <w:sz w:val="24"/>
                <w:szCs w:val="24"/>
              </w:rPr>
              <w:t>1,122</w:t>
            </w:r>
            <w:r>
              <w:rPr>
                <w:rFonts w:ascii="Times New Roman" w:hAnsi="Times New Roman" w:cs="Times New Roman"/>
                <w:sz w:val="24"/>
                <w:szCs w:val="24"/>
              </w:rPr>
              <w:t xml:space="preserve"> </w:t>
            </w:r>
            <w:r w:rsidRPr="00556075">
              <w:rPr>
                <w:rFonts w:ascii="Times New Roman" w:hAnsi="Times New Roman" w:cs="Times New Roman"/>
                <w:sz w:val="24"/>
                <w:szCs w:val="24"/>
              </w:rPr>
              <w:t>hrs.;</w:t>
            </w:r>
          </w:p>
          <w:p w:rsidR="00556075" w:rsidRPr="00556075" w:rsidP="00556075" w14:paraId="56AC5E1E" w14:textId="281A9597">
            <w:pPr>
              <w:spacing w:after="0"/>
              <w:rPr>
                <w:rFonts w:ascii="Times New Roman" w:hAnsi="Times New Roman" w:cs="Times New Roman"/>
                <w:sz w:val="24"/>
                <w:szCs w:val="24"/>
              </w:rPr>
            </w:pPr>
            <w:r w:rsidRPr="00556075">
              <w:rPr>
                <w:rFonts w:ascii="Times New Roman" w:hAnsi="Times New Roman" w:cs="Times New Roman"/>
                <w:sz w:val="24"/>
                <w:szCs w:val="24"/>
              </w:rPr>
              <w:t>$112,</w:t>
            </w:r>
            <w:r w:rsidR="00D636C9">
              <w:rPr>
                <w:rFonts w:ascii="Times New Roman" w:hAnsi="Times New Roman" w:cs="Times New Roman"/>
                <w:sz w:val="24"/>
                <w:szCs w:val="24"/>
              </w:rPr>
              <w:t>2</w:t>
            </w:r>
            <w:r w:rsidRPr="00556075">
              <w:rPr>
                <w:rFonts w:ascii="Times New Roman" w:hAnsi="Times New Roman" w:cs="Times New Roman"/>
                <w:sz w:val="24"/>
                <w:szCs w:val="24"/>
              </w:rPr>
              <w:t>00</w:t>
            </w:r>
          </w:p>
        </w:tc>
        <w:tc>
          <w:tcPr>
            <w:tcW w:w="616" w:type="pct"/>
          </w:tcPr>
          <w:p w:rsidR="00556075" w:rsidRPr="00556075" w:rsidP="00556075" w14:paraId="2DA38B54" w14:textId="1EE97855">
            <w:pPr>
              <w:spacing w:after="0"/>
              <w:rPr>
                <w:rFonts w:ascii="Times New Roman" w:hAnsi="Times New Roman" w:cs="Times New Roman"/>
                <w:sz w:val="24"/>
                <w:szCs w:val="24"/>
              </w:rPr>
            </w:pPr>
            <w:r w:rsidRPr="00556075">
              <w:rPr>
                <w:rFonts w:ascii="Times New Roman" w:hAnsi="Times New Roman" w:cs="Times New Roman"/>
                <w:sz w:val="24"/>
                <w:szCs w:val="24"/>
              </w:rPr>
              <w:t>$10,2</w:t>
            </w:r>
            <w:r w:rsidR="00F12594">
              <w:rPr>
                <w:rFonts w:ascii="Times New Roman" w:hAnsi="Times New Roman" w:cs="Times New Roman"/>
                <w:sz w:val="24"/>
                <w:szCs w:val="24"/>
              </w:rPr>
              <w:t>00</w:t>
            </w:r>
          </w:p>
        </w:tc>
      </w:tr>
      <w:tr w14:paraId="08514ED4" w14:textId="77777777" w:rsidTr="05FDEA0A">
        <w:tblPrEx>
          <w:tblW w:w="5358" w:type="pct"/>
          <w:tblInd w:w="-72" w:type="dxa"/>
          <w:tblLayout w:type="fixed"/>
          <w:tblLook w:val="01E0"/>
        </w:tblPrEx>
        <w:trPr>
          <w:cantSplit/>
        </w:trPr>
        <w:tc>
          <w:tcPr>
            <w:tcW w:w="878" w:type="pct"/>
          </w:tcPr>
          <w:p w:rsidR="00556075" w:rsidRPr="00556075" w:rsidP="00556075" w14:paraId="7DFD15E5" w14:textId="77777777">
            <w:pPr>
              <w:spacing w:after="0"/>
              <w:rPr>
                <w:rFonts w:ascii="Times New Roman" w:hAnsi="Times New Roman" w:cs="Times New Roman"/>
                <w:sz w:val="24"/>
                <w:szCs w:val="24"/>
              </w:rPr>
            </w:pPr>
            <w:r w:rsidRPr="05FDEA0A">
              <w:rPr>
                <w:rFonts w:ascii="Times New Roman" w:hAnsi="Times New Roman" w:cs="Times New Roman"/>
                <w:sz w:val="24"/>
                <w:szCs w:val="24"/>
              </w:rPr>
              <w:t>Project based Labor wages</w:t>
            </w:r>
          </w:p>
        </w:tc>
        <w:tc>
          <w:tcPr>
            <w:tcW w:w="746" w:type="pct"/>
          </w:tcPr>
          <w:p w:rsidR="00556075" w:rsidRPr="00556075" w:rsidP="00556075" w14:paraId="713DFF6E" w14:textId="77777777">
            <w:pPr>
              <w:spacing w:after="0"/>
              <w:rPr>
                <w:rFonts w:ascii="Times New Roman" w:hAnsi="Times New Roman" w:cs="Times New Roman"/>
                <w:sz w:val="24"/>
                <w:szCs w:val="24"/>
              </w:rPr>
            </w:pPr>
            <w:r w:rsidRPr="00556075">
              <w:rPr>
                <w:rFonts w:ascii="Times New Roman" w:hAnsi="Times New Roman" w:cs="Times New Roman"/>
                <w:sz w:val="24"/>
                <w:szCs w:val="24"/>
              </w:rPr>
              <w:t>22</w:t>
            </w:r>
          </w:p>
        </w:tc>
        <w:tc>
          <w:tcPr>
            <w:tcW w:w="746" w:type="pct"/>
          </w:tcPr>
          <w:p w:rsidR="00556075" w:rsidRPr="00556075" w:rsidP="00556075" w14:paraId="727D07EF" w14:textId="77777777">
            <w:pPr>
              <w:spacing w:after="0"/>
              <w:rPr>
                <w:rFonts w:ascii="Times New Roman" w:hAnsi="Times New Roman" w:cs="Times New Roman"/>
                <w:sz w:val="24"/>
                <w:szCs w:val="24"/>
              </w:rPr>
            </w:pPr>
            <w:r w:rsidRPr="00556075">
              <w:rPr>
                <w:rFonts w:ascii="Times New Roman" w:hAnsi="Times New Roman" w:cs="Times New Roman"/>
                <w:sz w:val="24"/>
                <w:szCs w:val="24"/>
              </w:rPr>
              <w:t>1</w:t>
            </w:r>
          </w:p>
        </w:tc>
        <w:tc>
          <w:tcPr>
            <w:tcW w:w="703" w:type="pct"/>
          </w:tcPr>
          <w:p w:rsidR="00556075" w:rsidRPr="00556075" w:rsidP="00556075" w14:paraId="41A64819" w14:textId="77777777">
            <w:pPr>
              <w:spacing w:after="0"/>
              <w:rPr>
                <w:rFonts w:ascii="Times New Roman" w:hAnsi="Times New Roman" w:cs="Times New Roman"/>
                <w:sz w:val="24"/>
                <w:szCs w:val="24"/>
              </w:rPr>
            </w:pPr>
            <w:r w:rsidRPr="00556075">
              <w:rPr>
                <w:rFonts w:ascii="Times New Roman" w:hAnsi="Times New Roman" w:cs="Times New Roman"/>
                <w:sz w:val="24"/>
                <w:szCs w:val="24"/>
              </w:rPr>
              <w:t>22</w:t>
            </w:r>
          </w:p>
        </w:tc>
        <w:tc>
          <w:tcPr>
            <w:tcW w:w="654" w:type="pct"/>
          </w:tcPr>
          <w:p w:rsidR="00556075" w:rsidRPr="00556075" w:rsidP="00556075" w14:paraId="2328ACB1" w14:textId="77777777">
            <w:pPr>
              <w:spacing w:after="0"/>
              <w:rPr>
                <w:rFonts w:ascii="Times New Roman" w:hAnsi="Times New Roman" w:cs="Times New Roman"/>
                <w:sz w:val="24"/>
                <w:szCs w:val="24"/>
              </w:rPr>
            </w:pPr>
            <w:r w:rsidRPr="00556075">
              <w:rPr>
                <w:rFonts w:ascii="Times New Roman" w:hAnsi="Times New Roman" w:cs="Times New Roman"/>
                <w:sz w:val="24"/>
                <w:szCs w:val="24"/>
              </w:rPr>
              <w:t>15 hrs.</w:t>
            </w:r>
          </w:p>
          <w:p w:rsidR="00556075" w:rsidRPr="00556075" w:rsidP="00556075" w14:paraId="6A75D252" w14:textId="77777777">
            <w:pPr>
              <w:spacing w:after="0"/>
              <w:rPr>
                <w:rFonts w:ascii="Times New Roman" w:hAnsi="Times New Roman" w:cs="Times New Roman"/>
                <w:sz w:val="24"/>
                <w:szCs w:val="24"/>
              </w:rPr>
            </w:pPr>
            <w:r w:rsidRPr="00556075">
              <w:rPr>
                <w:rFonts w:ascii="Times New Roman" w:hAnsi="Times New Roman" w:cs="Times New Roman"/>
                <w:sz w:val="24"/>
                <w:szCs w:val="24"/>
              </w:rPr>
              <w:t>$1,500</w:t>
            </w:r>
          </w:p>
        </w:tc>
        <w:tc>
          <w:tcPr>
            <w:tcW w:w="657" w:type="pct"/>
          </w:tcPr>
          <w:p w:rsidR="00556075" w:rsidRPr="00556075" w:rsidP="00556075" w14:paraId="451293B1" w14:textId="77777777">
            <w:pPr>
              <w:spacing w:after="0"/>
              <w:rPr>
                <w:rFonts w:ascii="Times New Roman" w:hAnsi="Times New Roman" w:cs="Times New Roman"/>
                <w:sz w:val="24"/>
                <w:szCs w:val="24"/>
              </w:rPr>
            </w:pPr>
            <w:r w:rsidRPr="00556075">
              <w:rPr>
                <w:rFonts w:ascii="Times New Roman" w:hAnsi="Times New Roman" w:cs="Times New Roman"/>
                <w:sz w:val="24"/>
                <w:szCs w:val="24"/>
              </w:rPr>
              <w:t>330 hrs.</w:t>
            </w:r>
          </w:p>
          <w:p w:rsidR="00556075" w:rsidRPr="00556075" w:rsidP="00556075" w14:paraId="74B8C976" w14:textId="77777777">
            <w:pPr>
              <w:spacing w:after="0"/>
              <w:rPr>
                <w:rFonts w:ascii="Times New Roman" w:hAnsi="Times New Roman" w:cs="Times New Roman"/>
                <w:sz w:val="24"/>
                <w:szCs w:val="24"/>
              </w:rPr>
            </w:pPr>
            <w:r w:rsidRPr="00556075">
              <w:rPr>
                <w:rFonts w:ascii="Times New Roman" w:hAnsi="Times New Roman" w:cs="Times New Roman"/>
                <w:sz w:val="24"/>
                <w:szCs w:val="24"/>
              </w:rPr>
              <w:t>$33,000</w:t>
            </w:r>
          </w:p>
        </w:tc>
        <w:tc>
          <w:tcPr>
            <w:tcW w:w="616" w:type="pct"/>
          </w:tcPr>
          <w:p w:rsidR="00556075" w:rsidRPr="00556075" w:rsidP="00556075" w14:paraId="70159DBD" w14:textId="77777777">
            <w:pPr>
              <w:spacing w:after="0"/>
              <w:rPr>
                <w:rFonts w:ascii="Times New Roman" w:hAnsi="Times New Roman" w:cs="Times New Roman"/>
                <w:sz w:val="24"/>
                <w:szCs w:val="24"/>
              </w:rPr>
            </w:pPr>
            <w:r w:rsidRPr="00556075">
              <w:rPr>
                <w:rFonts w:ascii="Times New Roman" w:hAnsi="Times New Roman" w:cs="Times New Roman"/>
                <w:sz w:val="24"/>
                <w:szCs w:val="24"/>
              </w:rPr>
              <w:t>$1,500</w:t>
            </w:r>
          </w:p>
        </w:tc>
      </w:tr>
      <w:tr w14:paraId="3D787E84" w14:textId="77777777" w:rsidTr="0032109F">
        <w:tblPrEx>
          <w:tblW w:w="5358" w:type="pct"/>
          <w:tblInd w:w="-72" w:type="dxa"/>
          <w:tblLayout w:type="fixed"/>
          <w:tblLook w:val="01E0"/>
        </w:tblPrEx>
        <w:trPr>
          <w:cantSplit/>
          <w:trHeight w:val="485"/>
        </w:trPr>
        <w:tc>
          <w:tcPr>
            <w:tcW w:w="878" w:type="pct"/>
            <w:tcBorders>
              <w:bottom w:val="single" w:sz="4" w:space="0" w:color="auto"/>
            </w:tcBorders>
          </w:tcPr>
          <w:p w:rsidR="00ED0B11" w:rsidRPr="00556075" w:rsidP="00556075" w14:paraId="3249D589" w14:textId="77777777">
            <w:pPr>
              <w:spacing w:after="0"/>
              <w:rPr>
                <w:rFonts w:ascii="Times New Roman" w:hAnsi="Times New Roman" w:cs="Times New Roman"/>
                <w:b/>
                <w:sz w:val="24"/>
                <w:szCs w:val="24"/>
              </w:rPr>
            </w:pPr>
            <w:r w:rsidRPr="00556075">
              <w:rPr>
                <w:rFonts w:ascii="Times New Roman" w:hAnsi="Times New Roman" w:cs="Times New Roman"/>
                <w:b/>
                <w:sz w:val="24"/>
                <w:szCs w:val="24"/>
              </w:rPr>
              <w:t>TOTAL</w:t>
            </w:r>
          </w:p>
        </w:tc>
        <w:tc>
          <w:tcPr>
            <w:tcW w:w="746" w:type="pct"/>
            <w:tcBorders>
              <w:bottom w:val="single" w:sz="4" w:space="0" w:color="auto"/>
            </w:tcBorders>
            <w:shd w:val="clear" w:color="auto" w:fill="FFFFFF" w:themeFill="background1"/>
          </w:tcPr>
          <w:p w:rsidR="00ED0B11" w:rsidRPr="00556075" w:rsidP="00556075" w14:paraId="6DA8F86B" w14:textId="7E37E36F">
            <w:pPr>
              <w:spacing w:after="0"/>
              <w:rPr>
                <w:rFonts w:ascii="Times New Roman" w:hAnsi="Times New Roman" w:cs="Times New Roman"/>
                <w:sz w:val="24"/>
                <w:szCs w:val="24"/>
              </w:rPr>
            </w:pPr>
            <w:r>
              <w:rPr>
                <w:rFonts w:ascii="Times New Roman" w:hAnsi="Times New Roman" w:cs="Times New Roman"/>
                <w:sz w:val="24"/>
                <w:szCs w:val="24"/>
              </w:rPr>
              <w:t>382</w:t>
            </w:r>
          </w:p>
        </w:tc>
        <w:tc>
          <w:tcPr>
            <w:tcW w:w="746" w:type="pct"/>
            <w:tcBorders>
              <w:bottom w:val="single" w:sz="4" w:space="0" w:color="auto"/>
            </w:tcBorders>
            <w:shd w:val="clear" w:color="auto" w:fill="D9D9D9" w:themeFill="background1" w:themeFillShade="D9"/>
          </w:tcPr>
          <w:p w:rsidR="00ED0B11" w:rsidRPr="00556075" w:rsidP="00556075" w14:paraId="5591BD4A" w14:textId="66C34E8A">
            <w:pPr>
              <w:spacing w:after="0"/>
              <w:rPr>
                <w:rFonts w:ascii="Times New Roman" w:hAnsi="Times New Roman" w:cs="Times New Roman"/>
                <w:sz w:val="24"/>
                <w:szCs w:val="24"/>
              </w:rPr>
            </w:pPr>
          </w:p>
        </w:tc>
        <w:tc>
          <w:tcPr>
            <w:tcW w:w="703" w:type="pct"/>
            <w:tcBorders>
              <w:bottom w:val="single" w:sz="4" w:space="0" w:color="auto"/>
            </w:tcBorders>
            <w:shd w:val="clear" w:color="auto" w:fill="auto"/>
          </w:tcPr>
          <w:p w:rsidR="00ED0B11" w:rsidRPr="00556075" w:rsidP="00556075" w14:paraId="53179586" w14:textId="33A30F2F">
            <w:pPr>
              <w:spacing w:after="0"/>
              <w:rPr>
                <w:rFonts w:ascii="Times New Roman" w:hAnsi="Times New Roman" w:cs="Times New Roman"/>
                <w:b/>
                <w:sz w:val="24"/>
                <w:szCs w:val="24"/>
              </w:rPr>
            </w:pPr>
            <w:r w:rsidRPr="00556075">
              <w:rPr>
                <w:rFonts w:ascii="Times New Roman" w:hAnsi="Times New Roman" w:cs="Times New Roman"/>
                <w:b/>
                <w:sz w:val="24"/>
                <w:szCs w:val="24"/>
              </w:rPr>
              <w:t>444 (rounded)</w:t>
            </w:r>
          </w:p>
        </w:tc>
        <w:tc>
          <w:tcPr>
            <w:tcW w:w="654" w:type="pct"/>
            <w:tcBorders>
              <w:bottom w:val="single" w:sz="4" w:space="0" w:color="auto"/>
            </w:tcBorders>
            <w:shd w:val="clear" w:color="auto" w:fill="D9D9D9" w:themeFill="background1" w:themeFillShade="D9"/>
          </w:tcPr>
          <w:p w:rsidR="00ED0B11" w:rsidRPr="00556075" w:rsidP="00556075" w14:paraId="4AD0271F" w14:textId="77777777">
            <w:pPr>
              <w:spacing w:after="0"/>
              <w:rPr>
                <w:rFonts w:ascii="Times New Roman" w:hAnsi="Times New Roman" w:cs="Times New Roman"/>
                <w:sz w:val="24"/>
                <w:szCs w:val="24"/>
              </w:rPr>
            </w:pPr>
          </w:p>
        </w:tc>
        <w:tc>
          <w:tcPr>
            <w:tcW w:w="657" w:type="pct"/>
            <w:tcBorders>
              <w:bottom w:val="single" w:sz="4" w:space="0" w:color="auto"/>
            </w:tcBorders>
          </w:tcPr>
          <w:p w:rsidR="00ED0B11" w:rsidP="00556075" w14:paraId="2E79AA41" w14:textId="652CF93D">
            <w:pPr>
              <w:spacing w:after="0"/>
              <w:rPr>
                <w:rFonts w:ascii="Times New Roman" w:hAnsi="Times New Roman" w:cs="Times New Roman"/>
                <w:b/>
                <w:sz w:val="24"/>
                <w:szCs w:val="24"/>
              </w:rPr>
            </w:pPr>
            <w:r w:rsidRPr="008923E8">
              <w:rPr>
                <w:rFonts w:ascii="Times New Roman" w:hAnsi="Times New Roman" w:cs="Times New Roman"/>
                <w:b/>
                <w:sz w:val="24"/>
                <w:szCs w:val="24"/>
              </w:rPr>
              <w:t>49,09</w:t>
            </w:r>
            <w:r w:rsidR="00F822E8">
              <w:rPr>
                <w:rFonts w:ascii="Times New Roman" w:hAnsi="Times New Roman" w:cs="Times New Roman"/>
                <w:b/>
                <w:sz w:val="24"/>
                <w:szCs w:val="24"/>
              </w:rPr>
              <w:t>1</w:t>
            </w:r>
            <w:r w:rsidRPr="00556075">
              <w:rPr>
                <w:rFonts w:ascii="Times New Roman" w:hAnsi="Times New Roman" w:cs="Times New Roman"/>
                <w:b/>
                <w:sz w:val="24"/>
                <w:szCs w:val="24"/>
              </w:rPr>
              <w:t>hrs</w:t>
            </w:r>
            <w:r w:rsidRPr="00556075">
              <w:rPr>
                <w:rFonts w:ascii="Times New Roman" w:hAnsi="Times New Roman" w:cs="Times New Roman"/>
                <w:b/>
                <w:sz w:val="24"/>
                <w:szCs w:val="24"/>
              </w:rPr>
              <w:t>.;</w:t>
            </w:r>
          </w:p>
          <w:p w:rsidR="00F822E8" w:rsidRPr="00556075" w:rsidP="00556075" w14:paraId="2B339A74" w14:textId="0633DAEE">
            <w:pPr>
              <w:spacing w:after="0"/>
              <w:rPr>
                <w:rFonts w:ascii="Times New Roman" w:hAnsi="Times New Roman" w:cs="Times New Roman"/>
                <w:b/>
                <w:sz w:val="24"/>
                <w:szCs w:val="24"/>
              </w:rPr>
            </w:pPr>
            <w:r>
              <w:rPr>
                <w:rFonts w:ascii="Times New Roman" w:hAnsi="Times New Roman" w:cs="Times New Roman"/>
                <w:b/>
                <w:sz w:val="24"/>
                <w:szCs w:val="24"/>
              </w:rPr>
              <w:t>(rounded)</w:t>
            </w:r>
          </w:p>
          <w:p w:rsidR="00ED0B11" w:rsidRPr="00556075" w:rsidP="00556075" w14:paraId="0C8538DD" w14:textId="2166D2BA">
            <w:pPr>
              <w:spacing w:after="0"/>
              <w:rPr>
                <w:rFonts w:ascii="Times New Roman" w:hAnsi="Times New Roman" w:cs="Times New Roman"/>
                <w:b/>
                <w:sz w:val="24"/>
                <w:szCs w:val="24"/>
              </w:rPr>
            </w:pPr>
            <w:r w:rsidRPr="00556075">
              <w:rPr>
                <w:rFonts w:ascii="Times New Roman" w:hAnsi="Times New Roman" w:cs="Times New Roman"/>
                <w:b/>
                <w:sz w:val="24"/>
                <w:szCs w:val="24"/>
              </w:rPr>
              <w:t>$</w:t>
            </w:r>
            <w:r w:rsidR="0038472C">
              <w:t xml:space="preserve"> </w:t>
            </w:r>
            <w:r w:rsidRPr="0038472C" w:rsidR="0038472C">
              <w:rPr>
                <w:rFonts w:ascii="Times New Roman" w:hAnsi="Times New Roman" w:cs="Times New Roman"/>
                <w:b/>
                <w:sz w:val="24"/>
                <w:szCs w:val="24"/>
              </w:rPr>
              <w:t>4,909,0</w:t>
            </w:r>
            <w:r w:rsidR="00F822E8">
              <w:rPr>
                <w:rFonts w:ascii="Times New Roman" w:hAnsi="Times New Roman" w:cs="Times New Roman"/>
                <w:b/>
                <w:sz w:val="24"/>
                <w:szCs w:val="24"/>
              </w:rPr>
              <w:t>10</w:t>
            </w:r>
          </w:p>
        </w:tc>
        <w:tc>
          <w:tcPr>
            <w:tcW w:w="616" w:type="pct"/>
            <w:tcBorders>
              <w:bottom w:val="single" w:sz="4" w:space="0" w:color="auto"/>
            </w:tcBorders>
            <w:shd w:val="clear" w:color="auto" w:fill="D9D9D9" w:themeFill="background1" w:themeFillShade="D9"/>
          </w:tcPr>
          <w:p w:rsidR="00ED0B11" w:rsidRPr="00556075" w:rsidP="00556075" w14:paraId="6DE32111" w14:textId="77777777">
            <w:pPr>
              <w:spacing w:after="0"/>
              <w:rPr>
                <w:rFonts w:ascii="Times New Roman" w:hAnsi="Times New Roman" w:cs="Times New Roman"/>
                <w:b/>
                <w:sz w:val="24"/>
                <w:szCs w:val="24"/>
              </w:rPr>
            </w:pPr>
          </w:p>
        </w:tc>
      </w:tr>
    </w:tbl>
    <w:p w:rsidR="00640365" w:rsidP="00D80FBD" w14:paraId="700D2BF0" w14:textId="77777777">
      <w:pPr>
        <w:spacing w:after="0"/>
        <w:rPr>
          <w:rFonts w:ascii="Times New Roman" w:hAnsi="Times New Roman" w:cs="Times New Roman"/>
          <w:sz w:val="24"/>
          <w:szCs w:val="24"/>
        </w:rPr>
      </w:pPr>
    </w:p>
    <w:p w:rsidR="00D80FBD" w:rsidRPr="00414F32" w:rsidP="00A72E7B" w14:paraId="6E56FBEA"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P="00E636D7" w14:paraId="1A0B2949" w14:textId="77777777">
      <w:pPr>
        <w:spacing w:after="0"/>
        <w:rPr>
          <w:rFonts w:ascii="Times New Roman" w:hAnsi="Times New Roman" w:cs="Times New Roman"/>
          <w:sz w:val="24"/>
          <w:szCs w:val="24"/>
        </w:rPr>
      </w:pPr>
    </w:p>
    <w:p w:rsidR="00E636D7" w:rsidP="0074195A" w14:paraId="14203881" w14:textId="084451FC">
      <w:pPr>
        <w:spacing w:after="0"/>
        <w:rPr>
          <w:rFonts w:ascii="Times New Roman" w:hAnsi="Times New Roman" w:cs="Times New Roman"/>
          <w:sz w:val="24"/>
          <w:szCs w:val="24"/>
        </w:rPr>
      </w:pPr>
      <w:r w:rsidRPr="0074195A">
        <w:rPr>
          <w:rFonts w:ascii="Times New Roman" w:hAnsi="Times New Roman" w:cs="Times New Roman"/>
          <w:sz w:val="24"/>
          <w:szCs w:val="24"/>
        </w:rPr>
        <w:t>All of</w:t>
      </w:r>
      <w:r w:rsidRPr="0074195A">
        <w:rPr>
          <w:rFonts w:ascii="Times New Roman" w:hAnsi="Times New Roman" w:cs="Times New Roman"/>
          <w:sz w:val="24"/>
          <w:szCs w:val="24"/>
        </w:rPr>
        <w:t xml:space="preserve"> the costs are associated with </w:t>
      </w:r>
      <w:r w:rsidR="00DB58D2">
        <w:rPr>
          <w:rFonts w:ascii="Times New Roman" w:hAnsi="Times New Roman" w:cs="Times New Roman"/>
          <w:sz w:val="24"/>
          <w:szCs w:val="24"/>
        </w:rPr>
        <w:t>burden hours (</w:t>
      </w:r>
      <w:r w:rsidRPr="0074195A">
        <w:rPr>
          <w:rFonts w:ascii="Times New Roman" w:hAnsi="Times New Roman" w:cs="Times New Roman"/>
          <w:sz w:val="24"/>
          <w:szCs w:val="24"/>
        </w:rPr>
        <w:t>labor</w:t>
      </w:r>
      <w:r w:rsidR="00DB58D2">
        <w:rPr>
          <w:rFonts w:ascii="Times New Roman" w:hAnsi="Times New Roman" w:cs="Times New Roman"/>
          <w:sz w:val="24"/>
          <w:szCs w:val="24"/>
        </w:rPr>
        <w:t>)</w:t>
      </w:r>
      <w:r w:rsidRPr="0074195A">
        <w:rPr>
          <w:rFonts w:ascii="Times New Roman" w:hAnsi="Times New Roman" w:cs="Times New Roman"/>
          <w:sz w:val="24"/>
          <w:szCs w:val="24"/>
        </w:rPr>
        <w:t xml:space="preserve"> and </w:t>
      </w:r>
      <w:r w:rsidR="00DB58D2">
        <w:rPr>
          <w:rFonts w:ascii="Times New Roman" w:hAnsi="Times New Roman" w:cs="Times New Roman"/>
          <w:sz w:val="24"/>
          <w:szCs w:val="24"/>
        </w:rPr>
        <w:t>described in #12 and 15.</w:t>
      </w:r>
    </w:p>
    <w:p w:rsidR="0074195A" w:rsidRPr="00E636D7" w:rsidP="0074195A" w14:paraId="33245613" w14:textId="77777777">
      <w:pPr>
        <w:spacing w:after="0"/>
        <w:rPr>
          <w:rFonts w:ascii="Times New Roman" w:hAnsi="Times New Roman" w:cs="Times New Roman"/>
          <w:sz w:val="24"/>
          <w:szCs w:val="24"/>
        </w:rPr>
      </w:pPr>
    </w:p>
    <w:p w:rsidR="00E636D7" w:rsidRPr="00414F32" w:rsidP="00A72E7B" w14:paraId="1406ECFF"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D85DBB" w:rsidP="00A276F5" w14:paraId="20A27179" w14:textId="77777777">
      <w:pPr>
        <w:spacing w:after="0"/>
        <w:rPr>
          <w:rFonts w:ascii="Times New Roman" w:hAnsi="Times New Roman" w:cs="Times New Roman"/>
          <w:sz w:val="24"/>
          <w:szCs w:val="24"/>
        </w:rPr>
      </w:pPr>
    </w:p>
    <w:p w:rsidR="00A276F5" w:rsidP="00A276F5" w14:paraId="79052984" w14:textId="5B1720D5">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sidR="00204FE5">
        <w:rPr>
          <w:rFonts w:ascii="Times New Roman" w:hAnsi="Times New Roman" w:cs="Times New Roman"/>
          <w:sz w:val="24"/>
          <w:szCs w:val="24"/>
        </w:rPr>
        <w:t>ment for FERC-537</w:t>
      </w:r>
      <w:r w:rsidR="00BE7025">
        <w:rPr>
          <w:rFonts w:ascii="Times New Roman" w:hAnsi="Times New Roman" w:cs="Times New Roman"/>
          <w:sz w:val="24"/>
          <w:szCs w:val="24"/>
        </w:rPr>
        <w:t xml:space="preserve"> follows</w:t>
      </w:r>
      <w:r w:rsidRPr="00630A34">
        <w:rPr>
          <w:rFonts w:ascii="Times New Roman" w:hAnsi="Times New Roman" w:cs="Times New Roman"/>
          <w:sz w:val="24"/>
          <w:szCs w:val="24"/>
        </w:rPr>
        <w:t>:</w:t>
      </w:r>
    </w:p>
    <w:p w:rsidR="00630A34" w:rsidP="00A276F5" w14:paraId="5616B52C" w14:textId="77777777">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4D55693E" w14:textId="77777777" w:rsidTr="74339A3F">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630A34" w:rsidRPr="00630A34" w:rsidP="00630A34" w14:paraId="40313B84" w14:textId="77777777">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630A34" w:rsidRPr="00630A34" w:rsidP="00630A34" w14:paraId="3BC50B53" w14:textId="77777777">
            <w:pPr>
              <w:spacing w:after="0"/>
              <w:rPr>
                <w:rFonts w:ascii="Times New Roman" w:hAnsi="Times New Roman" w:cs="Times New Roman"/>
                <w:b/>
                <w:sz w:val="24"/>
                <w:szCs w:val="24"/>
              </w:rPr>
            </w:pPr>
            <w:r w:rsidRPr="00630A34">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630A34" w:rsidRPr="00630A34" w:rsidP="00630A34" w14:paraId="115036DD" w14:textId="77777777">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14:paraId="0442D0CC" w14:textId="77777777" w:rsidTr="74339A3F">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630A34" w:rsidRPr="00630A34" w:rsidP="00630A34" w14:paraId="60B348C3" w14:textId="02718771">
            <w:pPr>
              <w:spacing w:after="0"/>
              <w:rPr>
                <w:rFonts w:ascii="Times New Roman" w:hAnsi="Times New Roman" w:cs="Times New Roman"/>
                <w:sz w:val="24"/>
                <w:szCs w:val="24"/>
              </w:rPr>
            </w:pPr>
            <w:r>
              <w:rPr>
                <w:rFonts w:ascii="Times New Roman" w:hAnsi="Times New Roman" w:cs="Times New Roman"/>
                <w:sz w:val="24"/>
                <w:szCs w:val="24"/>
              </w:rPr>
              <w:t>FERC-</w:t>
            </w:r>
            <w:r w:rsidR="00D964D6">
              <w:rPr>
                <w:rFonts w:ascii="Times New Roman" w:hAnsi="Times New Roman" w:cs="Times New Roman"/>
                <w:sz w:val="24"/>
                <w:szCs w:val="24"/>
              </w:rPr>
              <w:t>537</w:t>
            </w:r>
            <w:r>
              <w:rPr>
                <w:rFonts w:ascii="Times New Roman" w:hAnsi="Times New Roman" w:cs="Times New Roman"/>
                <w:sz w:val="24"/>
                <w:szCs w:val="24"/>
              </w:rPr>
              <w:t xml:space="preserve"> </w:t>
            </w:r>
            <w:r w:rsidRPr="00630A34">
              <w:rPr>
                <w:rFonts w:ascii="Times New Roman" w:hAnsi="Times New Roman" w:cs="Times New Roman"/>
                <w:sz w:val="24"/>
                <w:szCs w:val="24"/>
              </w:rPr>
              <w:t>Analysis and Processing of filings</w:t>
            </w:r>
            <w:r>
              <w:rPr>
                <w:rFonts w:ascii="Times New Roman" w:hAnsi="Times New Roman" w:cs="Times New Roman"/>
                <w:sz w:val="24"/>
                <w:szCs w:val="24"/>
                <w:vertAlign w:val="superscript"/>
              </w:rPr>
              <w:footnoteReference w:id="11"/>
            </w:r>
          </w:p>
        </w:tc>
        <w:tc>
          <w:tcPr>
            <w:tcW w:w="3201" w:type="dxa"/>
            <w:tcBorders>
              <w:top w:val="single" w:sz="4" w:space="0" w:color="auto"/>
              <w:left w:val="single" w:sz="4" w:space="0" w:color="auto"/>
              <w:bottom w:val="single" w:sz="4" w:space="0" w:color="auto"/>
              <w:right w:val="single" w:sz="4" w:space="0" w:color="auto"/>
            </w:tcBorders>
            <w:vAlign w:val="bottom"/>
            <w:hideMark/>
          </w:tcPr>
          <w:p w:rsidR="00630A34" w:rsidRPr="00630A34" w14:paraId="58FB477E" w14:textId="00AEDED9">
            <w:pPr>
              <w:spacing w:after="0"/>
              <w:jc w:val="right"/>
              <w:rPr>
                <w:rFonts w:ascii="Times New Roman" w:eastAsia="Times New Roman" w:hAnsi="Times New Roman" w:cs="Times New Roman"/>
                <w:sz w:val="24"/>
                <w:szCs w:val="24"/>
              </w:rPr>
            </w:pPr>
            <w:r w:rsidRPr="74339A3F">
              <w:rPr>
                <w:rFonts w:ascii="Times New Roman" w:hAnsi="Times New Roman" w:cs="Times New Roman"/>
                <w:sz w:val="24"/>
                <w:szCs w:val="24"/>
              </w:rPr>
              <w:t>55</w:t>
            </w:r>
          </w:p>
        </w:tc>
        <w:tc>
          <w:tcPr>
            <w:tcW w:w="2995" w:type="dxa"/>
            <w:tcBorders>
              <w:top w:val="single" w:sz="4" w:space="0" w:color="auto"/>
              <w:left w:val="single" w:sz="4" w:space="0" w:color="auto"/>
              <w:bottom w:val="single" w:sz="4" w:space="0" w:color="auto"/>
              <w:right w:val="single" w:sz="4" w:space="0" w:color="auto"/>
            </w:tcBorders>
            <w:vAlign w:val="bottom"/>
            <w:hideMark/>
          </w:tcPr>
          <w:p w:rsidR="00630A34" w:rsidRPr="00630A34" w:rsidP="005354ED" w14:paraId="3AF280C5" w14:textId="76DFE4AB">
            <w:pPr>
              <w:spacing w:after="0"/>
              <w:jc w:val="right"/>
              <w:rPr>
                <w:rFonts w:ascii="Times New Roman" w:hAnsi="Times New Roman" w:cs="Times New Roman"/>
                <w:sz w:val="24"/>
                <w:szCs w:val="24"/>
              </w:rPr>
            </w:pPr>
            <w:r w:rsidRPr="74339A3F">
              <w:rPr>
                <w:rFonts w:ascii="Times New Roman" w:hAnsi="Times New Roman" w:cs="Times New Roman"/>
                <w:sz w:val="24"/>
                <w:szCs w:val="24"/>
              </w:rPr>
              <w:t>$</w:t>
            </w:r>
            <w:r w:rsidR="396E817E">
              <w:t xml:space="preserve"> </w:t>
            </w:r>
            <w:r w:rsidRPr="00017DC6" w:rsidR="00017DC6">
              <w:rPr>
                <w:rFonts w:ascii="Times New Roman" w:hAnsi="Times New Roman" w:cs="Times New Roman"/>
                <w:sz w:val="24"/>
                <w:szCs w:val="24"/>
              </w:rPr>
              <w:t>11,428,230</w:t>
            </w:r>
          </w:p>
        </w:tc>
      </w:tr>
      <w:tr w14:paraId="574B7DA6" w14:textId="77777777" w:rsidTr="74339A3F">
        <w:tblPrEx>
          <w:tblW w:w="9378" w:type="dxa"/>
          <w:tblLook w:val="01E0"/>
        </w:tblPrEx>
        <w:tc>
          <w:tcPr>
            <w:tcW w:w="3182" w:type="dxa"/>
            <w:tcBorders>
              <w:top w:val="single" w:sz="4" w:space="0" w:color="auto"/>
              <w:left w:val="single" w:sz="4" w:space="0" w:color="auto"/>
              <w:bottom w:val="single" w:sz="4" w:space="0" w:color="auto"/>
              <w:right w:val="single" w:sz="4" w:space="0" w:color="auto"/>
            </w:tcBorders>
          </w:tcPr>
          <w:p w:rsidR="00AD16A3" w:rsidP="00F82B8E" w14:paraId="1250E3AD" w14:textId="582555DF">
            <w:pPr>
              <w:spacing w:after="0"/>
              <w:rPr>
                <w:rFonts w:ascii="Times New Roman" w:hAnsi="Times New Roman" w:cs="Times New Roman"/>
                <w:sz w:val="24"/>
                <w:szCs w:val="24"/>
              </w:rPr>
            </w:pPr>
            <w:r w:rsidRPr="00630A34">
              <w:rPr>
                <w:rFonts w:ascii="Times New Roman" w:hAnsi="Times New Roman" w:cs="Times New Roman"/>
                <w:sz w:val="24"/>
                <w:szCs w:val="24"/>
              </w:rPr>
              <w:t>PRA</w:t>
            </w:r>
            <w:r>
              <w:rPr>
                <w:rFonts w:ascii="Times New Roman" w:hAnsi="Times New Roman" w:cs="Times New Roman"/>
                <w:sz w:val="24"/>
                <w:szCs w:val="24"/>
                <w:vertAlign w:val="superscript"/>
              </w:rPr>
              <w:footnoteReference w:id="12"/>
            </w:r>
            <w:r w:rsidRPr="00630A34">
              <w:rPr>
                <w:rFonts w:ascii="Times New Roman" w:hAnsi="Times New Roman" w:cs="Times New Roman"/>
                <w:sz w:val="24"/>
                <w:szCs w:val="24"/>
              </w:rPr>
              <w:t xml:space="preserve">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16A3" w:rsidRPr="00630A34" w:rsidP="005354ED" w14:paraId="443B14DA" w14:textId="77777777">
            <w:pPr>
              <w:spacing w:after="0"/>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rsidR="00AD16A3" w:rsidRPr="00630A34" w:rsidP="005354ED" w14:paraId="299BC118" w14:textId="725296A3">
            <w:pPr>
              <w:spacing w:after="0"/>
              <w:jc w:val="right"/>
              <w:rPr>
                <w:rFonts w:ascii="Times New Roman" w:hAnsi="Times New Roman" w:cs="Times New Roman"/>
                <w:sz w:val="24"/>
                <w:szCs w:val="24"/>
              </w:rPr>
            </w:pPr>
            <w:r w:rsidRPr="00630A34">
              <w:rPr>
                <w:rFonts w:ascii="Times New Roman" w:hAnsi="Times New Roman" w:cs="Times New Roman"/>
                <w:sz w:val="24"/>
                <w:szCs w:val="24"/>
              </w:rPr>
              <w:t>$</w:t>
            </w:r>
            <w:r w:rsidR="0007776F">
              <w:rPr>
                <w:rFonts w:ascii="Times New Roman" w:hAnsi="Times New Roman" w:cs="Times New Roman"/>
                <w:sz w:val="24"/>
                <w:szCs w:val="24"/>
              </w:rPr>
              <w:t>8</w:t>
            </w:r>
            <w:r w:rsidR="00654DDB">
              <w:rPr>
                <w:rFonts w:ascii="Times New Roman" w:hAnsi="Times New Roman" w:cs="Times New Roman"/>
                <w:sz w:val="24"/>
                <w:szCs w:val="24"/>
              </w:rPr>
              <w:t>,</w:t>
            </w:r>
            <w:r w:rsidR="0007776F">
              <w:rPr>
                <w:rFonts w:ascii="Times New Roman" w:hAnsi="Times New Roman" w:cs="Times New Roman"/>
                <w:sz w:val="24"/>
                <w:szCs w:val="24"/>
              </w:rPr>
              <w:t>3</w:t>
            </w:r>
            <w:r w:rsidR="00432E0F">
              <w:rPr>
                <w:rFonts w:ascii="Times New Roman" w:hAnsi="Times New Roman" w:cs="Times New Roman"/>
                <w:sz w:val="24"/>
                <w:szCs w:val="24"/>
              </w:rPr>
              <w:t>96</w:t>
            </w:r>
          </w:p>
        </w:tc>
      </w:tr>
      <w:tr w14:paraId="3CFDFA41" w14:textId="77777777" w:rsidTr="74339A3F">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AD16A3" w:rsidRPr="00630A34" w:rsidP="00630A34" w14:paraId="06203189" w14:textId="77777777">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rsidR="00AD16A3" w:rsidRPr="00630A34" w:rsidP="005354ED" w14:paraId="1C18FB49" w14:textId="77777777">
            <w:pPr>
              <w:spacing w:after="0"/>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AD16A3" w:rsidRPr="00630A34" w:rsidP="005354ED" w14:paraId="056CE0F0" w14:textId="6569D802">
            <w:pPr>
              <w:spacing w:after="0"/>
              <w:jc w:val="right"/>
              <w:rPr>
                <w:rFonts w:ascii="Times New Roman" w:hAnsi="Times New Roman" w:cs="Times New Roman"/>
                <w:sz w:val="24"/>
                <w:szCs w:val="24"/>
              </w:rPr>
            </w:pPr>
            <w:r>
              <w:rPr>
                <w:rFonts w:ascii="Times New Roman" w:hAnsi="Times New Roman" w:cs="Times New Roman"/>
                <w:sz w:val="24"/>
                <w:szCs w:val="24"/>
              </w:rPr>
              <w:t>$</w:t>
            </w:r>
            <w:r w:rsidRPr="00784F6F" w:rsidR="00784F6F">
              <w:rPr>
                <w:rFonts w:ascii="Times New Roman" w:hAnsi="Times New Roman" w:cs="Times New Roman"/>
                <w:sz w:val="24"/>
                <w:szCs w:val="24"/>
              </w:rPr>
              <w:t>11,436,626</w:t>
            </w:r>
          </w:p>
        </w:tc>
      </w:tr>
    </w:tbl>
    <w:p w:rsidR="006B437C" w:rsidRPr="006B437C" w:rsidP="006B437C" w14:paraId="767669C0" w14:textId="77777777">
      <w:pPr>
        <w:spacing w:after="0"/>
        <w:rPr>
          <w:rFonts w:ascii="Times New Roman" w:hAnsi="Times New Roman" w:cs="Times New Roman"/>
          <w:sz w:val="24"/>
          <w:szCs w:val="24"/>
        </w:rPr>
      </w:pPr>
    </w:p>
    <w:p w:rsidR="00064D35" w:rsidP="00EB7891" w14:paraId="2D79566B" w14:textId="6F09A0BC">
      <w:pPr>
        <w:tabs>
          <w:tab w:val="left" w:pos="360"/>
        </w:tabs>
        <w:spacing w:after="0"/>
        <w:rPr>
          <w:rFonts w:ascii="Times New Roman" w:hAnsi="Times New Roman" w:cs="Times New Roman"/>
          <w:sz w:val="24"/>
          <w:szCs w:val="24"/>
        </w:rPr>
      </w:pPr>
      <w:r w:rsidRPr="006B437C">
        <w:rPr>
          <w:rFonts w:ascii="Times New Roman" w:hAnsi="Times New Roman" w:cs="Times New Roman"/>
          <w:sz w:val="24"/>
          <w:szCs w:val="24"/>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rsidR="00D3127A" w:rsidRPr="00596619" w:rsidP="00EB7891" w14:paraId="67ED22E5" w14:textId="77777777">
      <w:pPr>
        <w:tabs>
          <w:tab w:val="left" w:pos="360"/>
        </w:tabs>
        <w:spacing w:after="0"/>
        <w:rPr>
          <w:rFonts w:ascii="Times New Roman" w:hAnsi="Times New Roman" w:cs="Times New Roman"/>
          <w:sz w:val="24"/>
          <w:szCs w:val="24"/>
        </w:rPr>
      </w:pPr>
    </w:p>
    <w:p w:rsidR="00064D35" w:rsidRPr="00596619" w:rsidP="00064D35" w14:paraId="4C34DFED" w14:textId="2995BDEE">
      <w:pPr>
        <w:spacing w:after="0" w:line="240" w:lineRule="auto"/>
        <w:rPr>
          <w:rFonts w:ascii="Times New Roman" w:eastAsia="Calibri" w:hAnsi="Times New Roman" w:cs="Times New Roman"/>
          <w:sz w:val="24"/>
          <w:szCs w:val="24"/>
        </w:rPr>
      </w:pPr>
      <w:r w:rsidRPr="00596619">
        <w:rPr>
          <w:rFonts w:ascii="Times New Roman" w:eastAsia="Calibri" w:hAnsi="Times New Roman" w:cs="Times New Roman"/>
          <w:sz w:val="24"/>
          <w:szCs w:val="24"/>
        </w:rPr>
        <w:t xml:space="preserve">The FERC-537 applications and data include a variety of highly technical exhibits.  The federal staff analyzing and processing the data includes many types of highly specialized and experienced technical and professional staff members in a variety of fields. </w:t>
      </w:r>
      <w:r w:rsidR="009C2B24">
        <w:rPr>
          <w:rFonts w:ascii="Times New Roman" w:eastAsia="Calibri" w:hAnsi="Times New Roman" w:cs="Times New Roman"/>
          <w:sz w:val="24"/>
          <w:szCs w:val="24"/>
        </w:rPr>
        <w:t xml:space="preserve"> </w:t>
      </w:r>
      <w:r w:rsidRPr="00596619">
        <w:rPr>
          <w:rFonts w:ascii="Times New Roman" w:eastAsia="Calibri" w:hAnsi="Times New Roman" w:cs="Times New Roman"/>
          <w:sz w:val="24"/>
          <w:szCs w:val="24"/>
        </w:rPr>
        <w:t xml:space="preserve">FERC-537 applications and related exhibits may include: </w:t>
      </w:r>
    </w:p>
    <w:p w:rsidR="00064D35" w:rsidRPr="00596619" w:rsidP="00204FE5" w14:paraId="237F5360" w14:textId="3E54675F">
      <w:pPr>
        <w:numPr>
          <w:ilvl w:val="0"/>
          <w:numId w:val="21"/>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F</w:t>
      </w:r>
      <w:r w:rsidRPr="00596619">
        <w:rPr>
          <w:rFonts w:ascii="Times New Roman" w:eastAsia="Calibri" w:hAnsi="Times New Roman" w:cs="Times New Roman"/>
          <w:sz w:val="24"/>
          <w:szCs w:val="24"/>
        </w:rPr>
        <w:t xml:space="preserve">or </w:t>
      </w:r>
      <w:r>
        <w:rPr>
          <w:rFonts w:ascii="Times New Roman" w:eastAsia="Calibri" w:hAnsi="Times New Roman" w:cs="Times New Roman"/>
          <w:sz w:val="24"/>
          <w:szCs w:val="24"/>
        </w:rPr>
        <w:t>C</w:t>
      </w:r>
      <w:r w:rsidRPr="00596619">
        <w:rPr>
          <w:rFonts w:ascii="Times New Roman" w:eastAsia="Calibri" w:hAnsi="Times New Roman" w:cs="Times New Roman"/>
          <w:sz w:val="24"/>
          <w:szCs w:val="24"/>
        </w:rPr>
        <w:t>ertificates</w:t>
      </w:r>
    </w:p>
    <w:p w:rsidR="00064D35" w:rsidRPr="00596619" w:rsidP="005354ED" w14:paraId="66AE6044" w14:textId="77777777">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sz w:val="24"/>
          <w:szCs w:val="24"/>
        </w:rPr>
        <w:t>Articles of incorporation</w:t>
      </w:r>
    </w:p>
    <w:p w:rsidR="00064D35" w:rsidRPr="00596619" w:rsidP="005354ED" w14:paraId="4AAFFB1A" w14:textId="77777777">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sz w:val="24"/>
          <w:szCs w:val="24"/>
        </w:rPr>
        <w:t xml:space="preserve">Flow diagrams (showing daily design capacity and reflecting operation with and without proposed facilities, reflecting maximum capabilities, and data) </w:t>
      </w:r>
    </w:p>
    <w:p w:rsidR="00064D35" w:rsidRPr="00596619" w:rsidP="005354ED" w14:paraId="5C40EB96" w14:textId="77777777">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sz w:val="24"/>
          <w:szCs w:val="24"/>
        </w:rPr>
        <w:t xml:space="preserve">Total gas supply data </w:t>
      </w:r>
    </w:p>
    <w:p w:rsidR="00064D35" w:rsidRPr="00596619" w:rsidP="005354ED" w14:paraId="419ABCD9" w14:textId="77777777">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sz w:val="24"/>
          <w:szCs w:val="24"/>
        </w:rPr>
        <w:t xml:space="preserve">Market data </w:t>
      </w:r>
    </w:p>
    <w:p w:rsidR="00064D35" w:rsidRPr="00596619" w:rsidP="005354ED" w14:paraId="684BA520" w14:textId="77777777">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sz w:val="24"/>
          <w:szCs w:val="24"/>
        </w:rPr>
        <w:t xml:space="preserve">Federal authorizations </w:t>
      </w:r>
    </w:p>
    <w:p w:rsidR="00064D35" w:rsidRPr="00596619" w:rsidP="005354ED" w14:paraId="390AA3BA" w14:textId="77777777">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sz w:val="24"/>
          <w:szCs w:val="24"/>
        </w:rPr>
        <w:t xml:space="preserve">Cost of facilities </w:t>
      </w:r>
    </w:p>
    <w:p w:rsidR="00064D35" w:rsidRPr="00596619" w:rsidP="005354ED" w14:paraId="6837EE02" w14:textId="77777777">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sz w:val="24"/>
          <w:szCs w:val="24"/>
        </w:rPr>
        <w:t xml:space="preserve">Financing </w:t>
      </w:r>
    </w:p>
    <w:p w:rsidR="00064D35" w:rsidRPr="00596619" w:rsidP="005354ED" w14:paraId="44B2C1F4" w14:textId="77777777">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sz w:val="24"/>
          <w:szCs w:val="24"/>
        </w:rPr>
        <w:t>Construction, operation, and management</w:t>
      </w:r>
    </w:p>
    <w:p w:rsidR="00064D35" w:rsidRPr="00596619" w:rsidP="005354ED" w14:paraId="18C797D1" w14:textId="77777777">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sz w:val="24"/>
          <w:szCs w:val="24"/>
        </w:rPr>
        <w:t xml:space="preserve">Revenues, Expenses, and Income </w:t>
      </w:r>
    </w:p>
    <w:p w:rsidR="00064D35" w:rsidRPr="00596619" w:rsidP="005354ED" w14:paraId="3C17EF2A" w14:textId="77777777">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sz w:val="24"/>
          <w:szCs w:val="24"/>
        </w:rPr>
        <w:t>Depreciation and depletion</w:t>
      </w:r>
    </w:p>
    <w:p w:rsidR="00064D35" w:rsidRPr="00596619" w:rsidP="005354ED" w14:paraId="7D3EE79C" w14:textId="77777777">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sz w:val="24"/>
          <w:szCs w:val="24"/>
        </w:rPr>
        <w:t>Tariffs</w:t>
      </w:r>
    </w:p>
    <w:p w:rsidR="00064D35" w:rsidRPr="00596619" w:rsidP="00204FE5" w14:paraId="71484534" w14:textId="0F1E328E">
      <w:pPr>
        <w:numPr>
          <w:ilvl w:val="0"/>
          <w:numId w:val="21"/>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F</w:t>
      </w:r>
      <w:r w:rsidRPr="00596619">
        <w:rPr>
          <w:rFonts w:ascii="Times New Roman" w:eastAsia="Calibri" w:hAnsi="Times New Roman" w:cs="Times New Roman"/>
          <w:sz w:val="24"/>
          <w:szCs w:val="24"/>
        </w:rPr>
        <w:t xml:space="preserve">or </w:t>
      </w:r>
      <w:r>
        <w:rPr>
          <w:rFonts w:ascii="Times New Roman" w:eastAsia="Calibri" w:hAnsi="Times New Roman" w:cs="Times New Roman"/>
          <w:sz w:val="24"/>
          <w:szCs w:val="24"/>
        </w:rPr>
        <w:t>A</w:t>
      </w:r>
      <w:r w:rsidRPr="00596619">
        <w:rPr>
          <w:rFonts w:ascii="Times New Roman" w:eastAsia="Calibri" w:hAnsi="Times New Roman" w:cs="Times New Roman"/>
          <w:sz w:val="24"/>
          <w:szCs w:val="24"/>
        </w:rPr>
        <w:t>bandonments</w:t>
      </w:r>
    </w:p>
    <w:p w:rsidR="00064D35" w:rsidRPr="00596619" w:rsidP="00204FE5" w14:paraId="7C93CDB4" w14:textId="77777777">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sz w:val="24"/>
          <w:szCs w:val="24"/>
        </w:rPr>
        <w:t>Related applications</w:t>
      </w:r>
    </w:p>
    <w:p w:rsidR="00064D35" w:rsidRPr="00596619" w:rsidP="00204FE5" w14:paraId="4D476F4C" w14:textId="77777777">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iCs/>
          <w:sz w:val="24"/>
          <w:szCs w:val="24"/>
        </w:rPr>
        <w:t>Contracts and other agreements</w:t>
      </w:r>
    </w:p>
    <w:p w:rsidR="00064D35" w:rsidRPr="00596619" w:rsidP="00204FE5" w14:paraId="488588A8" w14:textId="77777777">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iCs/>
          <w:sz w:val="24"/>
          <w:szCs w:val="24"/>
        </w:rPr>
        <w:t xml:space="preserve">Flow diagram showing daily design capacity and reflecting operation of applicant's system after </w:t>
      </w:r>
      <w:r w:rsidRPr="00596619">
        <w:rPr>
          <w:rFonts w:ascii="Times New Roman" w:eastAsia="Calibri" w:hAnsi="Times New Roman" w:cs="Times New Roman"/>
          <w:iCs/>
          <w:sz w:val="24"/>
          <w:szCs w:val="24"/>
        </w:rPr>
        <w:t>abandonment</w:t>
      </w:r>
    </w:p>
    <w:p w:rsidR="00064D35" w:rsidRPr="00596619" w:rsidP="00204FE5" w14:paraId="45D86AE6" w14:textId="77777777">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iCs/>
          <w:sz w:val="24"/>
          <w:szCs w:val="24"/>
        </w:rPr>
        <w:t xml:space="preserve">Impact on customers whose service will be </w:t>
      </w:r>
      <w:r w:rsidRPr="00596619">
        <w:rPr>
          <w:rFonts w:ascii="Times New Roman" w:eastAsia="Calibri" w:hAnsi="Times New Roman" w:cs="Times New Roman"/>
          <w:iCs/>
          <w:sz w:val="24"/>
          <w:szCs w:val="24"/>
        </w:rPr>
        <w:t>terminated</w:t>
      </w:r>
    </w:p>
    <w:p w:rsidR="00064D35" w:rsidRPr="00596619" w:rsidP="00204FE5" w14:paraId="1A89D98A" w14:textId="77777777">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iCs/>
          <w:sz w:val="24"/>
          <w:szCs w:val="24"/>
        </w:rPr>
        <w:t>Effect of the abandonment on existing tariffs</w:t>
      </w:r>
    </w:p>
    <w:p w:rsidR="00064D35" w:rsidRPr="005354ED" w:rsidP="005354ED" w14:paraId="22F51ED7" w14:textId="477FC5DC">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iCs/>
          <w:sz w:val="24"/>
          <w:szCs w:val="24"/>
        </w:rPr>
        <w:t>Accounting treatment of abandonment</w:t>
      </w:r>
    </w:p>
    <w:p w:rsidR="005354ED" w:rsidRPr="005354ED" w:rsidP="005354ED" w14:paraId="51911FDA" w14:textId="0689D759">
      <w:pPr>
        <w:numPr>
          <w:ilvl w:val="1"/>
          <w:numId w:val="21"/>
        </w:numPr>
        <w:spacing w:after="0" w:line="240" w:lineRule="auto"/>
        <w:contextualSpacing/>
        <w:rPr>
          <w:rFonts w:ascii="Times New Roman" w:eastAsia="Calibri" w:hAnsi="Times New Roman" w:cs="Times New Roman"/>
          <w:sz w:val="24"/>
          <w:szCs w:val="24"/>
        </w:rPr>
      </w:pPr>
      <w:r w:rsidRPr="00596619">
        <w:rPr>
          <w:rFonts w:ascii="Times New Roman" w:eastAsia="Calibri" w:hAnsi="Times New Roman" w:cs="Times New Roman"/>
          <w:iCs/>
          <w:sz w:val="24"/>
          <w:szCs w:val="24"/>
        </w:rPr>
        <w:t>Location of facilities</w:t>
      </w:r>
    </w:p>
    <w:p w:rsidR="006B437C" w:rsidP="006B437C" w14:paraId="6F4DA4A9" w14:textId="77777777">
      <w:pPr>
        <w:spacing w:after="0"/>
        <w:rPr>
          <w:rFonts w:ascii="Times New Roman" w:hAnsi="Times New Roman" w:cs="Times New Roman"/>
          <w:sz w:val="24"/>
          <w:szCs w:val="24"/>
        </w:rPr>
      </w:pPr>
    </w:p>
    <w:p w:rsidR="009C2B24" w:rsidP="006B437C" w14:paraId="635925E3" w14:textId="776C9A4D">
      <w:pPr>
        <w:spacing w:after="0"/>
        <w:rPr>
          <w:rFonts w:ascii="Times New Roman" w:hAnsi="Times New Roman" w:cs="Times New Roman"/>
          <w:sz w:val="24"/>
          <w:szCs w:val="24"/>
        </w:rPr>
      </w:pPr>
      <w:r w:rsidRPr="009C2B24">
        <w:rPr>
          <w:rFonts w:ascii="Times New Roman" w:hAnsi="Times New Roman" w:cs="Times New Roman"/>
          <w:sz w:val="24"/>
          <w:szCs w:val="24"/>
        </w:rPr>
        <w:tab/>
        <w:t xml:space="preserve">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w:t>
      </w:r>
      <w:r w:rsidRPr="009C2B24" w:rsidR="005354ED">
        <w:rPr>
          <w:rFonts w:ascii="Times New Roman" w:hAnsi="Times New Roman" w:cs="Times New Roman"/>
          <w:sz w:val="24"/>
          <w:szCs w:val="24"/>
        </w:rPr>
        <w:t>and any</w:t>
      </w:r>
      <w:r w:rsidRPr="009C2B24">
        <w:rPr>
          <w:rFonts w:ascii="Times New Roman" w:hAnsi="Times New Roman" w:cs="Times New Roman"/>
          <w:sz w:val="24"/>
          <w:szCs w:val="24"/>
        </w:rPr>
        <w:t xml:space="preserve"> changes to the collection, and publication of required notices in the Federal Register.</w:t>
      </w:r>
    </w:p>
    <w:p w:rsidR="009C2B24" w:rsidRPr="00A276F5" w:rsidP="006B437C" w14:paraId="1EC9A223" w14:textId="77777777">
      <w:pPr>
        <w:spacing w:after="0"/>
        <w:rPr>
          <w:rFonts w:ascii="Times New Roman" w:hAnsi="Times New Roman" w:cs="Times New Roman"/>
          <w:sz w:val="24"/>
          <w:szCs w:val="24"/>
        </w:rPr>
      </w:pPr>
    </w:p>
    <w:p w:rsidR="00A276F5" w:rsidRPr="00414F32" w:rsidP="00A72E7B" w14:paraId="10B2EB6C"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003316E0" w:rsidRPr="003316E0" w:rsidP="003316E0" w14:paraId="3AFE43CF" w14:textId="77777777">
      <w:pPr>
        <w:spacing w:after="0"/>
        <w:rPr>
          <w:rFonts w:ascii="Times New Roman" w:hAnsi="Times New Roman" w:cs="Times New Roman"/>
          <w:sz w:val="24"/>
          <w:szCs w:val="24"/>
        </w:rPr>
      </w:pPr>
    </w:p>
    <w:p w:rsidR="0030018D" w:rsidRPr="0030018D" w:rsidP="0030018D" w14:paraId="5FE2BF10" w14:textId="4AA668D2">
      <w:pPr>
        <w:spacing w:after="0"/>
        <w:rPr>
          <w:rFonts w:ascii="Times New Roman" w:hAnsi="Times New Roman" w:cs="Times New Roman"/>
          <w:sz w:val="24"/>
          <w:szCs w:val="24"/>
        </w:rPr>
      </w:pPr>
      <w:r>
        <w:rPr>
          <w:rFonts w:ascii="Times New Roman" w:hAnsi="Times New Roman" w:cs="Times New Roman"/>
          <w:sz w:val="24"/>
          <w:szCs w:val="24"/>
        </w:rPr>
        <w:tab/>
      </w:r>
      <w:r w:rsidRPr="004F2013" w:rsidR="004F2013">
        <w:rPr>
          <w:rFonts w:ascii="Times New Roman" w:hAnsi="Times New Roman" w:cs="Times New Roman"/>
          <w:sz w:val="24"/>
          <w:szCs w:val="24"/>
        </w:rPr>
        <w:t>Growt</w:t>
      </w:r>
      <w:r w:rsidR="004F2013">
        <w:rPr>
          <w:rFonts w:ascii="Times New Roman" w:hAnsi="Times New Roman" w:cs="Times New Roman"/>
          <w:sz w:val="24"/>
          <w:szCs w:val="24"/>
        </w:rPr>
        <w:t xml:space="preserve">h in the </w:t>
      </w:r>
      <w:r w:rsidR="004266B5">
        <w:rPr>
          <w:rFonts w:ascii="Times New Roman" w:hAnsi="Times New Roman" w:cs="Times New Roman"/>
          <w:sz w:val="24"/>
          <w:szCs w:val="24"/>
        </w:rPr>
        <w:t>industry</w:t>
      </w:r>
      <w:r w:rsidR="004F2013">
        <w:rPr>
          <w:rFonts w:ascii="Times New Roman" w:hAnsi="Times New Roman" w:cs="Times New Roman"/>
          <w:sz w:val="24"/>
          <w:szCs w:val="24"/>
        </w:rPr>
        <w:t xml:space="preserve"> caused</w:t>
      </w:r>
      <w:r w:rsidRPr="004F2013" w:rsidR="004F2013">
        <w:rPr>
          <w:rFonts w:ascii="Times New Roman" w:hAnsi="Times New Roman" w:cs="Times New Roman"/>
          <w:sz w:val="24"/>
          <w:szCs w:val="24"/>
        </w:rPr>
        <w:t xml:space="preserve"> the number of respondents </w:t>
      </w:r>
      <w:r w:rsidR="004F2013">
        <w:rPr>
          <w:rFonts w:ascii="Times New Roman" w:hAnsi="Times New Roman" w:cs="Times New Roman"/>
          <w:sz w:val="24"/>
          <w:szCs w:val="24"/>
        </w:rPr>
        <w:t>to increase from</w:t>
      </w:r>
      <w:r w:rsidRPr="004F2013" w:rsidR="004F2013">
        <w:rPr>
          <w:rFonts w:ascii="Times New Roman" w:hAnsi="Times New Roman" w:cs="Times New Roman"/>
          <w:sz w:val="24"/>
          <w:szCs w:val="24"/>
        </w:rPr>
        <w:t xml:space="preserve"> </w:t>
      </w:r>
      <w:r w:rsidR="00E26B80">
        <w:rPr>
          <w:rFonts w:ascii="Times New Roman" w:hAnsi="Times New Roman" w:cs="Times New Roman"/>
          <w:sz w:val="24"/>
          <w:szCs w:val="24"/>
        </w:rPr>
        <w:t>416</w:t>
      </w:r>
      <w:r w:rsidRPr="004F2013" w:rsidR="004F2013">
        <w:rPr>
          <w:rFonts w:ascii="Times New Roman" w:hAnsi="Times New Roman" w:cs="Times New Roman"/>
          <w:sz w:val="24"/>
          <w:szCs w:val="24"/>
        </w:rPr>
        <w:t xml:space="preserve"> to </w:t>
      </w:r>
      <w:r w:rsidR="002601E0">
        <w:rPr>
          <w:rFonts w:ascii="Times New Roman" w:hAnsi="Times New Roman" w:cs="Times New Roman"/>
          <w:sz w:val="24"/>
          <w:szCs w:val="24"/>
        </w:rPr>
        <w:t>444</w:t>
      </w:r>
      <w:r w:rsidR="004F2013">
        <w:rPr>
          <w:rFonts w:ascii="Times New Roman" w:hAnsi="Times New Roman" w:cs="Times New Roman"/>
          <w:sz w:val="24"/>
          <w:szCs w:val="24"/>
        </w:rPr>
        <w:t xml:space="preserve">.  This reflects the fact that more firms are doing business related to gas pipeline construction, acquisition, and abandonment.  </w:t>
      </w:r>
    </w:p>
    <w:p w:rsidR="0030018D" w:rsidRPr="0030018D" w:rsidP="0030018D" w14:paraId="18C8A667" w14:textId="77777777">
      <w:pPr>
        <w:spacing w:after="0"/>
        <w:rPr>
          <w:rFonts w:ascii="Times New Roman" w:hAnsi="Times New Roman" w:cs="Times New Roman"/>
          <w:sz w:val="24"/>
          <w:szCs w:val="24"/>
        </w:rPr>
      </w:pPr>
    </w:p>
    <w:p w:rsidR="00D76508" w:rsidP="003316E0" w14:paraId="0599760A" w14:textId="64A46BDF">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9"/>
        <w:gridCol w:w="1779"/>
        <w:gridCol w:w="1959"/>
        <w:gridCol w:w="1683"/>
        <w:gridCol w:w="1357"/>
      </w:tblGrid>
      <w:tr w14:paraId="092CED9A" w14:textId="77777777" w:rsidTr="002C63E1">
        <w:tblPrEx>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589" w:type="dxa"/>
            <w:shd w:val="clear" w:color="auto" w:fill="D9D9D9"/>
            <w:vAlign w:val="bottom"/>
          </w:tcPr>
          <w:p w:rsidR="003316E0" w:rsidRPr="003316E0" w:rsidP="003316E0" w14:paraId="6B520AF6" w14:textId="77CBF19A">
            <w:pPr>
              <w:spacing w:after="0"/>
              <w:rPr>
                <w:rFonts w:ascii="Times New Roman" w:hAnsi="Times New Roman" w:cs="Times New Roman"/>
                <w:b/>
                <w:sz w:val="24"/>
                <w:szCs w:val="24"/>
              </w:rPr>
            </w:pPr>
            <w:r>
              <w:rPr>
                <w:rFonts w:ascii="Times New Roman" w:hAnsi="Times New Roman" w:cs="Times New Roman"/>
                <w:b/>
                <w:sz w:val="24"/>
                <w:szCs w:val="24"/>
              </w:rPr>
              <w:t>FERC-</w:t>
            </w:r>
            <w:r w:rsidR="00064D35">
              <w:rPr>
                <w:rFonts w:ascii="Times New Roman" w:hAnsi="Times New Roman" w:cs="Times New Roman"/>
                <w:b/>
                <w:sz w:val="24"/>
                <w:szCs w:val="24"/>
              </w:rPr>
              <w:t>537</w:t>
            </w:r>
          </w:p>
        </w:tc>
        <w:tc>
          <w:tcPr>
            <w:tcW w:w="1779" w:type="dxa"/>
            <w:shd w:val="clear" w:color="auto" w:fill="D9D9D9"/>
            <w:vAlign w:val="bottom"/>
          </w:tcPr>
          <w:p w:rsidR="003316E0" w:rsidRPr="003316E0" w:rsidP="003316E0" w14:paraId="457B7B73" w14:textId="77777777">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rsidR="003316E0" w:rsidRPr="003316E0" w:rsidP="003316E0" w14:paraId="2D3BBCD3" w14:textId="77777777">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rsidR="003316E0" w:rsidRPr="003316E0" w:rsidP="003316E0" w14:paraId="67C7C085" w14:textId="77777777">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rsidR="003316E0" w:rsidRPr="003316E0" w:rsidP="003316E0" w14:paraId="75318E4C" w14:textId="77777777">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14:paraId="35507E46" w14:textId="77777777" w:rsidTr="002C63E1">
        <w:tblPrEx>
          <w:tblW w:w="9367" w:type="dxa"/>
          <w:tblInd w:w="108" w:type="dxa"/>
          <w:tblLook w:val="01E0"/>
        </w:tblPrEx>
        <w:trPr>
          <w:trHeight w:val="591"/>
        </w:trPr>
        <w:tc>
          <w:tcPr>
            <w:tcW w:w="2589" w:type="dxa"/>
          </w:tcPr>
          <w:p w:rsidR="00B46154" w:rsidRPr="003316E0" w:rsidP="00B46154" w14:paraId="1BA3E751" w14:textId="77777777">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rsidR="00B46154" w:rsidRPr="003316E0" w:rsidP="00B46154" w14:paraId="79EDD501" w14:textId="621C7842">
            <w:pPr>
              <w:spacing w:after="0"/>
              <w:jc w:val="right"/>
              <w:rPr>
                <w:rFonts w:ascii="Times New Roman" w:hAnsi="Times New Roman" w:cs="Times New Roman"/>
                <w:sz w:val="24"/>
                <w:szCs w:val="24"/>
              </w:rPr>
            </w:pPr>
            <w:r>
              <w:rPr>
                <w:rFonts w:ascii="Times New Roman" w:hAnsi="Times New Roman" w:cs="Times New Roman"/>
                <w:sz w:val="24"/>
                <w:szCs w:val="24"/>
              </w:rPr>
              <w:t>444</w:t>
            </w:r>
          </w:p>
        </w:tc>
        <w:tc>
          <w:tcPr>
            <w:tcW w:w="1959" w:type="dxa"/>
            <w:vAlign w:val="center"/>
          </w:tcPr>
          <w:p w:rsidR="00B46154" w:rsidRPr="003316E0" w:rsidP="00B46154" w14:paraId="34118B9D" w14:textId="6E59C868">
            <w:pPr>
              <w:spacing w:after="0"/>
              <w:jc w:val="right"/>
              <w:rPr>
                <w:rFonts w:ascii="Times New Roman" w:hAnsi="Times New Roman" w:cs="Times New Roman"/>
                <w:sz w:val="24"/>
                <w:szCs w:val="24"/>
              </w:rPr>
            </w:pPr>
            <w:r>
              <w:rPr>
                <w:rFonts w:ascii="Times New Roman" w:hAnsi="Times New Roman" w:cs="Times New Roman"/>
                <w:sz w:val="24"/>
                <w:szCs w:val="24"/>
              </w:rPr>
              <w:t>416</w:t>
            </w:r>
          </w:p>
        </w:tc>
        <w:tc>
          <w:tcPr>
            <w:tcW w:w="1683" w:type="dxa"/>
            <w:vAlign w:val="center"/>
          </w:tcPr>
          <w:p w:rsidR="00B46154" w:rsidRPr="005C1104" w:rsidP="00B46154" w14:paraId="2025D071" w14:textId="6A526568">
            <w:pPr>
              <w:spacing w:after="0"/>
              <w:jc w:val="right"/>
              <w:rPr>
                <w:rFonts w:ascii="Times New Roman" w:hAnsi="Times New Roman" w:cs="Times New Roman"/>
                <w:sz w:val="24"/>
                <w:szCs w:val="24"/>
              </w:rPr>
            </w:pPr>
            <w:r>
              <w:rPr>
                <w:rFonts w:ascii="Times New Roman" w:hAnsi="Times New Roman" w:cs="Times New Roman"/>
                <w:sz w:val="24"/>
                <w:szCs w:val="24"/>
              </w:rPr>
              <w:t>+</w:t>
            </w:r>
            <w:r w:rsidRPr="005C1104" w:rsidR="005C1104">
              <w:rPr>
                <w:rFonts w:ascii="Times New Roman" w:hAnsi="Times New Roman" w:cs="Times New Roman"/>
                <w:sz w:val="24"/>
                <w:szCs w:val="24"/>
              </w:rPr>
              <w:t>28</w:t>
            </w:r>
          </w:p>
        </w:tc>
        <w:tc>
          <w:tcPr>
            <w:tcW w:w="1357" w:type="dxa"/>
            <w:vAlign w:val="center"/>
          </w:tcPr>
          <w:p w:rsidR="00B46154" w:rsidRPr="003316E0" w:rsidP="00B46154" w14:paraId="65BA40B0" w14:textId="0C30DE80">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14:paraId="782CF625" w14:textId="77777777" w:rsidTr="002C63E1">
        <w:tblPrEx>
          <w:tblW w:w="9367" w:type="dxa"/>
          <w:tblInd w:w="108" w:type="dxa"/>
          <w:tblLook w:val="01E0"/>
        </w:tblPrEx>
        <w:trPr>
          <w:trHeight w:val="575"/>
        </w:trPr>
        <w:tc>
          <w:tcPr>
            <w:tcW w:w="2589" w:type="dxa"/>
          </w:tcPr>
          <w:p w:rsidR="00B46154" w:rsidRPr="003316E0" w:rsidP="00B46154" w14:paraId="6C091134" w14:textId="3E97752B">
            <w:pPr>
              <w:spacing w:after="0"/>
              <w:rPr>
                <w:rFonts w:ascii="Times New Roman" w:hAnsi="Times New Roman" w:cs="Times New Roman"/>
                <w:sz w:val="24"/>
                <w:szCs w:val="24"/>
              </w:rPr>
            </w:pPr>
            <w:r w:rsidRPr="003316E0">
              <w:rPr>
                <w:rFonts w:ascii="Times New Roman" w:hAnsi="Times New Roman" w:cs="Times New Roman"/>
                <w:sz w:val="24"/>
                <w:szCs w:val="24"/>
              </w:rPr>
              <w:t>Annual Time Burden (Hr</w:t>
            </w:r>
            <w:r>
              <w:rPr>
                <w:rFonts w:ascii="Times New Roman" w:hAnsi="Times New Roman" w:cs="Times New Roman"/>
                <w:sz w:val="24"/>
                <w:szCs w:val="24"/>
              </w:rPr>
              <w:t>.</w:t>
            </w:r>
            <w:r w:rsidRPr="003316E0">
              <w:rPr>
                <w:rFonts w:ascii="Times New Roman" w:hAnsi="Times New Roman" w:cs="Times New Roman"/>
                <w:sz w:val="24"/>
                <w:szCs w:val="24"/>
              </w:rPr>
              <w:t>)</w:t>
            </w:r>
          </w:p>
        </w:tc>
        <w:tc>
          <w:tcPr>
            <w:tcW w:w="1779" w:type="dxa"/>
            <w:vAlign w:val="center"/>
          </w:tcPr>
          <w:p w:rsidR="00B46154" w:rsidRPr="003316E0" w:rsidP="00B46154" w14:paraId="32E5E690" w14:textId="2D24D7C2">
            <w:pPr>
              <w:spacing w:after="0"/>
              <w:jc w:val="right"/>
              <w:rPr>
                <w:rFonts w:ascii="Times New Roman" w:hAnsi="Times New Roman" w:cs="Times New Roman"/>
                <w:sz w:val="24"/>
                <w:szCs w:val="24"/>
              </w:rPr>
            </w:pPr>
            <w:r>
              <w:rPr>
                <w:rFonts w:ascii="Times New Roman" w:hAnsi="Times New Roman" w:cs="Times New Roman"/>
                <w:sz w:val="24"/>
                <w:szCs w:val="24"/>
              </w:rPr>
              <w:t>49</w:t>
            </w:r>
            <w:r w:rsidR="002601E0">
              <w:rPr>
                <w:rFonts w:ascii="Times New Roman" w:hAnsi="Times New Roman" w:cs="Times New Roman"/>
                <w:sz w:val="24"/>
                <w:szCs w:val="24"/>
              </w:rPr>
              <w:t>,</w:t>
            </w:r>
            <w:r w:rsidR="00343E64">
              <w:rPr>
                <w:rFonts w:ascii="Times New Roman" w:hAnsi="Times New Roman" w:cs="Times New Roman"/>
                <w:sz w:val="24"/>
                <w:szCs w:val="24"/>
              </w:rPr>
              <w:t>091</w:t>
            </w:r>
          </w:p>
        </w:tc>
        <w:tc>
          <w:tcPr>
            <w:tcW w:w="1959" w:type="dxa"/>
            <w:vAlign w:val="center"/>
          </w:tcPr>
          <w:p w:rsidR="00B46154" w:rsidRPr="003316E0" w:rsidP="00B46154" w14:paraId="38CAE0BB" w14:textId="14F35566">
            <w:pPr>
              <w:spacing w:after="0"/>
              <w:jc w:val="right"/>
              <w:rPr>
                <w:rFonts w:ascii="Times New Roman" w:hAnsi="Times New Roman" w:cs="Times New Roman"/>
                <w:sz w:val="24"/>
                <w:szCs w:val="24"/>
              </w:rPr>
            </w:pPr>
            <w:r>
              <w:rPr>
                <w:rFonts w:ascii="Times New Roman" w:hAnsi="Times New Roman" w:cs="Times New Roman"/>
                <w:sz w:val="24"/>
                <w:szCs w:val="24"/>
              </w:rPr>
              <w:t>4</w:t>
            </w:r>
            <w:r w:rsidR="002B648C">
              <w:rPr>
                <w:rFonts w:ascii="Times New Roman" w:hAnsi="Times New Roman" w:cs="Times New Roman"/>
                <w:sz w:val="24"/>
                <w:szCs w:val="24"/>
              </w:rPr>
              <w:t>5,763</w:t>
            </w:r>
          </w:p>
        </w:tc>
        <w:tc>
          <w:tcPr>
            <w:tcW w:w="1683" w:type="dxa"/>
            <w:vAlign w:val="center"/>
          </w:tcPr>
          <w:p w:rsidR="00B46154" w:rsidRPr="003316E0" w:rsidP="00B46154" w14:paraId="5A1C252C" w14:textId="20E7F881">
            <w:pPr>
              <w:spacing w:after="0"/>
              <w:jc w:val="right"/>
              <w:rPr>
                <w:rFonts w:ascii="Times New Roman" w:hAnsi="Times New Roman" w:cs="Times New Roman"/>
                <w:sz w:val="24"/>
                <w:szCs w:val="24"/>
              </w:rPr>
            </w:pPr>
            <w:r>
              <w:rPr>
                <w:rFonts w:ascii="Times New Roman" w:hAnsi="Times New Roman" w:cs="Times New Roman"/>
                <w:sz w:val="24"/>
                <w:szCs w:val="24"/>
              </w:rPr>
              <w:t>+</w:t>
            </w:r>
            <w:r w:rsidRPr="00E26B80">
              <w:rPr>
                <w:rFonts w:ascii="Times New Roman" w:hAnsi="Times New Roman" w:cs="Times New Roman"/>
                <w:sz w:val="24"/>
                <w:szCs w:val="24"/>
              </w:rPr>
              <w:t>3,</w:t>
            </w:r>
            <w:r w:rsidR="00343E64">
              <w:rPr>
                <w:rFonts w:ascii="Times New Roman" w:hAnsi="Times New Roman" w:cs="Times New Roman"/>
                <w:sz w:val="24"/>
                <w:szCs w:val="24"/>
              </w:rPr>
              <w:t>328</w:t>
            </w:r>
          </w:p>
        </w:tc>
        <w:tc>
          <w:tcPr>
            <w:tcW w:w="1357" w:type="dxa"/>
            <w:vAlign w:val="center"/>
          </w:tcPr>
          <w:p w:rsidR="00B46154" w:rsidRPr="003316E0" w:rsidP="00B46154" w14:paraId="04CAEE84" w14:textId="2C093132">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14:paraId="568E6D4A" w14:textId="77777777" w:rsidTr="002C63E1">
        <w:tblPrEx>
          <w:tblW w:w="9367" w:type="dxa"/>
          <w:tblInd w:w="108" w:type="dxa"/>
          <w:tblLook w:val="01E0"/>
        </w:tblPrEx>
        <w:trPr>
          <w:trHeight w:val="295"/>
        </w:trPr>
        <w:tc>
          <w:tcPr>
            <w:tcW w:w="2589" w:type="dxa"/>
          </w:tcPr>
          <w:p w:rsidR="003316E0" w:rsidRPr="003316E0" w:rsidP="003316E0" w14:paraId="6FEBF27C" w14:textId="77777777">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rsidR="003316E0" w:rsidRPr="003316E0" w:rsidP="00007B68" w14:paraId="49C2616D" w14:textId="77777777">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959" w:type="dxa"/>
            <w:vAlign w:val="center"/>
          </w:tcPr>
          <w:p w:rsidR="003316E0" w:rsidRPr="003316E0" w:rsidP="00007B68" w14:paraId="41207F78" w14:textId="77777777">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683" w:type="dxa"/>
            <w:vAlign w:val="center"/>
          </w:tcPr>
          <w:p w:rsidR="003316E0" w:rsidRPr="003316E0" w:rsidP="00007B68" w14:paraId="16C6F583" w14:textId="77777777">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rsidR="003316E0" w:rsidRPr="003316E0" w:rsidP="00007B68" w14:paraId="69C5710A" w14:textId="77777777">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r>
    </w:tbl>
    <w:p w:rsidR="003316E0" w:rsidP="003316E0" w14:paraId="310395DD" w14:textId="77777777">
      <w:pPr>
        <w:spacing w:after="0"/>
        <w:rPr>
          <w:rFonts w:ascii="Times New Roman" w:hAnsi="Times New Roman" w:cs="Times New Roman"/>
          <w:sz w:val="24"/>
          <w:szCs w:val="24"/>
        </w:rPr>
      </w:pPr>
    </w:p>
    <w:p w:rsidR="003316E0" w:rsidRPr="00A276F5" w:rsidP="003316E0" w14:paraId="7198FAED" w14:textId="77777777">
      <w:pPr>
        <w:spacing w:after="0"/>
        <w:rPr>
          <w:rFonts w:ascii="Times New Roman" w:hAnsi="Times New Roman" w:cs="Times New Roman"/>
          <w:sz w:val="24"/>
          <w:szCs w:val="24"/>
        </w:rPr>
      </w:pPr>
    </w:p>
    <w:p w:rsidR="00A276F5" w:rsidRPr="00414F32" w:rsidP="00A72E7B" w14:paraId="14DF466B"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rsidR="00414F32" w:rsidP="00414F32" w14:paraId="549D3523" w14:textId="77777777">
      <w:pPr>
        <w:spacing w:after="0"/>
        <w:rPr>
          <w:rFonts w:ascii="Times New Roman" w:hAnsi="Times New Roman" w:cs="Times New Roman"/>
          <w:sz w:val="24"/>
          <w:szCs w:val="24"/>
        </w:rPr>
      </w:pPr>
    </w:p>
    <w:p w:rsidR="00414F32" w:rsidP="00414F32" w14:paraId="2E0C5762" w14:textId="3A06D1F2">
      <w:pPr>
        <w:spacing w:after="0"/>
        <w:rPr>
          <w:rFonts w:ascii="Times New Roman" w:hAnsi="Times New Roman" w:cs="Times New Roman"/>
          <w:sz w:val="24"/>
          <w:szCs w:val="24"/>
        </w:rPr>
      </w:pPr>
      <w:r>
        <w:rPr>
          <w:rFonts w:ascii="Times New Roman" w:hAnsi="Times New Roman" w:cs="Times New Roman"/>
          <w:sz w:val="24"/>
          <w:szCs w:val="24"/>
        </w:rPr>
        <w:t>FERC does not publish any data associated with th</w:t>
      </w:r>
      <w:r w:rsidR="00D47528">
        <w:rPr>
          <w:rFonts w:ascii="Times New Roman" w:hAnsi="Times New Roman" w:cs="Times New Roman"/>
          <w:sz w:val="24"/>
          <w:szCs w:val="24"/>
        </w:rPr>
        <w:t>i</w:t>
      </w:r>
      <w:r>
        <w:rPr>
          <w:rFonts w:ascii="Times New Roman" w:hAnsi="Times New Roman" w:cs="Times New Roman"/>
          <w:sz w:val="24"/>
          <w:szCs w:val="24"/>
        </w:rPr>
        <w:t>s collection.</w:t>
      </w:r>
    </w:p>
    <w:p w:rsidR="00197A36" w:rsidRPr="00414F32" w:rsidP="00414F32" w14:paraId="2A811203" w14:textId="77777777">
      <w:pPr>
        <w:spacing w:after="0"/>
        <w:rPr>
          <w:rFonts w:ascii="Times New Roman" w:hAnsi="Times New Roman" w:cs="Times New Roman"/>
          <w:sz w:val="24"/>
          <w:szCs w:val="24"/>
        </w:rPr>
      </w:pPr>
    </w:p>
    <w:p w:rsidR="00414F32" w:rsidRPr="00414F32" w:rsidP="00A72E7B" w14:paraId="349CB48A"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P="00414F32" w14:paraId="7AC6D57D" w14:textId="77777777">
      <w:pPr>
        <w:spacing w:after="0"/>
        <w:rPr>
          <w:rFonts w:ascii="Times New Roman" w:hAnsi="Times New Roman" w:cs="Times New Roman"/>
          <w:sz w:val="24"/>
          <w:szCs w:val="24"/>
        </w:rPr>
      </w:pPr>
    </w:p>
    <w:p w:rsidR="004E3D3A" w:rsidP="00414F32" w14:paraId="09359440" w14:textId="5240CE13">
      <w:pPr>
        <w:spacing w:after="0"/>
        <w:rPr>
          <w:rFonts w:ascii="Times New Roman" w:hAnsi="Times New Roman" w:cs="Times New Roman"/>
          <w:sz w:val="24"/>
          <w:szCs w:val="24"/>
        </w:rPr>
      </w:pPr>
      <w:r w:rsidRPr="004E3D3A">
        <w:rPr>
          <w:rFonts w:ascii="Times New Roman" w:hAnsi="Times New Roman" w:cs="Times New Roman"/>
          <w:sz w:val="24"/>
          <w:szCs w:val="24"/>
        </w:rPr>
        <w:t xml:space="preserve">The expiration date is displayed at </w:t>
      </w:r>
      <w:hyperlink r:id="rId13" w:history="1">
        <w:r w:rsidRPr="004E3D3A">
          <w:rPr>
            <w:rStyle w:val="Hyperlink"/>
            <w:rFonts w:ascii="Times New Roman" w:hAnsi="Times New Roman" w:cs="Times New Roman"/>
            <w:sz w:val="24"/>
            <w:szCs w:val="24"/>
          </w:rPr>
          <w:t>https://www.ferc.gov/enforcement-legal/legal/information-collections</w:t>
        </w:r>
      </w:hyperlink>
      <w:r>
        <w:rPr>
          <w:rFonts w:ascii="Times New Roman" w:hAnsi="Times New Roman" w:cs="Times New Roman"/>
          <w:sz w:val="24"/>
          <w:szCs w:val="24"/>
        </w:rPr>
        <w:t>.</w:t>
      </w:r>
    </w:p>
    <w:p w:rsidR="00C27D56" w:rsidP="00414F32" w14:paraId="713D225F" w14:textId="731F0CA9">
      <w:pPr>
        <w:spacing w:after="0"/>
        <w:rPr>
          <w:rFonts w:ascii="Times New Roman" w:hAnsi="Times New Roman" w:cs="Times New Roman"/>
          <w:sz w:val="24"/>
          <w:szCs w:val="24"/>
        </w:rPr>
      </w:pPr>
      <w:r w:rsidRPr="00F50384">
        <w:rPr>
          <w:rFonts w:ascii="Times New Roman" w:hAnsi="Times New Roman" w:cs="Times New Roman"/>
          <w:sz w:val="24"/>
          <w:szCs w:val="24"/>
        </w:rPr>
        <w:t xml:space="preserve"> </w:t>
      </w:r>
    </w:p>
    <w:p w:rsidR="00197A36" w:rsidRPr="00414F32" w:rsidP="00414F32" w14:paraId="515C9511" w14:textId="77777777">
      <w:pPr>
        <w:spacing w:after="0"/>
        <w:rPr>
          <w:rFonts w:ascii="Times New Roman" w:hAnsi="Times New Roman" w:cs="Times New Roman"/>
          <w:sz w:val="24"/>
          <w:szCs w:val="24"/>
        </w:rPr>
      </w:pPr>
    </w:p>
    <w:p w:rsidR="00414F32" w:rsidP="00A72E7B" w14:paraId="67CF7F12"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970FE4" w:rsidP="0057700F" w14:paraId="1E4AC3D6" w14:textId="77777777">
      <w:pPr>
        <w:spacing w:after="0"/>
        <w:rPr>
          <w:rFonts w:ascii="Times New Roman" w:hAnsi="Times New Roman" w:cs="Times New Roman"/>
          <w:sz w:val="24"/>
          <w:szCs w:val="24"/>
        </w:rPr>
      </w:pPr>
    </w:p>
    <w:p w:rsidR="00414F32" w:rsidP="007A2F92" w14:paraId="3547AA9B" w14:textId="2627D09E">
      <w:pPr>
        <w:spacing w:after="0"/>
        <w:rPr>
          <w:rFonts w:ascii="Times New Roman" w:hAnsi="Times New Roman" w:cs="Times New Roman"/>
          <w:sz w:val="24"/>
          <w:szCs w:val="24"/>
        </w:rPr>
      </w:pPr>
      <w:r>
        <w:rPr>
          <w:rFonts w:ascii="Times New Roman" w:hAnsi="Times New Roman" w:cs="Times New Roman"/>
          <w:sz w:val="24"/>
          <w:szCs w:val="24"/>
        </w:rPr>
        <w:t>There are no exceptions.</w:t>
      </w:r>
    </w:p>
    <w:p w:rsidR="001968F8" w:rsidRPr="007A2F92" w:rsidP="002C5784" w14:paraId="71D2FDBE" w14:textId="0B90ED0D">
      <w:pPr>
        <w:rPr>
          <w:rFonts w:ascii="Times New Roman" w:hAnsi="Times New Roman" w:cs="Times New Roman"/>
          <w:sz w:val="24"/>
          <w:szCs w:val="24"/>
        </w:rPr>
      </w:pPr>
    </w:p>
    <w:sectPr w:rsidSect="0078612A">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6411206"/>
      <w:docPartObj>
        <w:docPartGallery w:val="Page Numbers (Bottom of Page)"/>
        <w:docPartUnique/>
      </w:docPartObj>
    </w:sdtPr>
    <w:sdtEndPr>
      <w:rPr>
        <w:rFonts w:ascii="Times New Roman" w:hAnsi="Times New Roman" w:cs="Times New Roman"/>
        <w:noProof/>
      </w:rPr>
    </w:sdtEndPr>
    <w:sdtContent>
      <w:p w:rsidR="00D964D6" w:rsidRPr="00DD79FB" w14:paraId="4A025BA2" w14:textId="77777777">
        <w:pPr>
          <w:pStyle w:val="Footer"/>
          <w:jc w:val="right"/>
          <w:rPr>
            <w:rFonts w:ascii="Times New Roman" w:hAnsi="Times New Roman" w:cs="Times New Roman"/>
          </w:rPr>
        </w:pPr>
        <w:r w:rsidRPr="00DD79FB">
          <w:rPr>
            <w:rFonts w:ascii="Times New Roman" w:hAnsi="Times New Roman" w:cs="Times New Roman"/>
            <w:color w:val="2B579A"/>
            <w:shd w:val="clear" w:color="auto" w:fill="E6E6E6"/>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color w:val="2B579A"/>
            <w:shd w:val="clear" w:color="auto" w:fill="E6E6E6"/>
          </w:rPr>
          <w:fldChar w:fldCharType="separate"/>
        </w:r>
        <w:r w:rsidR="006B470B">
          <w:rPr>
            <w:rFonts w:ascii="Times New Roman" w:hAnsi="Times New Roman" w:cs="Times New Roman"/>
            <w:noProof/>
          </w:rPr>
          <w:t>1</w:t>
        </w:r>
        <w:r w:rsidRPr="00DD79FB">
          <w:rPr>
            <w:rFonts w:ascii="Times New Roman" w:hAnsi="Times New Roman" w:cs="Times New Roman"/>
            <w:noProof/>
            <w:color w:val="2B579A"/>
            <w:shd w:val="clear" w:color="auto" w:fill="E6E6E6"/>
          </w:rPr>
          <w:fldChar w:fldCharType="end"/>
        </w:r>
      </w:p>
    </w:sdtContent>
  </w:sdt>
  <w:p w:rsidR="00D964D6" w14:paraId="57822B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12DC" w:rsidP="00FD66F1" w14:paraId="447EBEEB" w14:textId="77777777">
      <w:pPr>
        <w:spacing w:after="0" w:line="240" w:lineRule="auto"/>
      </w:pPr>
      <w:r>
        <w:separator/>
      </w:r>
    </w:p>
  </w:footnote>
  <w:footnote w:type="continuationSeparator" w:id="1">
    <w:p w:rsidR="001412DC" w:rsidP="00FD66F1" w14:paraId="3887138D" w14:textId="77777777">
      <w:pPr>
        <w:spacing w:after="0" w:line="240" w:lineRule="auto"/>
      </w:pPr>
      <w:r>
        <w:continuationSeparator/>
      </w:r>
    </w:p>
  </w:footnote>
  <w:footnote w:type="continuationNotice" w:id="2">
    <w:p w:rsidR="001412DC" w14:paraId="47CFE7BA" w14:textId="77777777">
      <w:pPr>
        <w:spacing w:after="0" w:line="240" w:lineRule="auto"/>
      </w:pPr>
    </w:p>
  </w:footnote>
  <w:footnote w:id="3">
    <w:p w:rsidR="00D964D6" w:rsidRPr="005562EF" w14:paraId="662C603C" w14:textId="615ABED7">
      <w:pPr>
        <w:pStyle w:val="FootnoteText"/>
        <w:rPr>
          <w:sz w:val="24"/>
          <w:szCs w:val="24"/>
        </w:rPr>
      </w:pPr>
      <w:r w:rsidRPr="005562EF">
        <w:rPr>
          <w:rStyle w:val="FootnoteReference"/>
          <w:sz w:val="24"/>
          <w:szCs w:val="24"/>
          <w:vertAlign w:val="superscript"/>
        </w:rPr>
        <w:footnoteRef/>
      </w:r>
      <w:r w:rsidRPr="005562EF">
        <w:rPr>
          <w:sz w:val="24"/>
          <w:szCs w:val="24"/>
          <w:vertAlign w:val="subscript"/>
        </w:rPr>
        <w:t xml:space="preserve"> </w:t>
      </w:r>
      <w:r w:rsidRPr="005562EF">
        <w:rPr>
          <w:sz w:val="24"/>
          <w:szCs w:val="24"/>
        </w:rPr>
        <w:t>18 CFR Parts 2.55(a)(3), 157.5-.11, 157.13-.20, 157.53, 157.201-.209, 157.211, 157.214-.218, 284.8, 284.11, 284.126(a), 284.221, and 284.224.</w:t>
      </w:r>
    </w:p>
  </w:footnote>
  <w:footnote w:id="4">
    <w:p w:rsidR="00D964D6" w:rsidRPr="00204FE5" w14:paraId="0A4A346C" w14:textId="4A3A346A">
      <w:pPr>
        <w:pStyle w:val="FootnoteText"/>
      </w:pPr>
      <w:r w:rsidRPr="005562EF">
        <w:rPr>
          <w:rStyle w:val="FootnoteReference"/>
          <w:sz w:val="24"/>
          <w:szCs w:val="24"/>
          <w:vertAlign w:val="superscript"/>
        </w:rPr>
        <w:footnoteRef/>
      </w:r>
      <w:r w:rsidRPr="005562EF">
        <w:rPr>
          <w:sz w:val="24"/>
          <w:szCs w:val="24"/>
          <w:vertAlign w:val="superscript"/>
        </w:rPr>
        <w:t xml:space="preserve"> </w:t>
      </w:r>
      <w:r w:rsidRPr="005562EF">
        <w:rPr>
          <w:sz w:val="24"/>
          <w:szCs w:val="24"/>
        </w:rPr>
        <w:t>15 U.S.C. 717-717w</w:t>
      </w:r>
    </w:p>
  </w:footnote>
  <w:footnote w:id="5">
    <w:p w:rsidR="00D964D6" w:rsidRPr="005562EF" w:rsidP="00CF5B29" w14:paraId="48B162BA" w14:textId="3EC90C7D">
      <w:pPr>
        <w:pStyle w:val="FootnoteText"/>
        <w:rPr>
          <w:sz w:val="24"/>
          <w:szCs w:val="24"/>
        </w:rPr>
      </w:pPr>
      <w:r w:rsidRPr="005562EF">
        <w:rPr>
          <w:rStyle w:val="FootnoteReference"/>
          <w:sz w:val="24"/>
          <w:szCs w:val="24"/>
          <w:vertAlign w:val="superscript"/>
        </w:rPr>
        <w:footnoteRef/>
      </w:r>
      <w:r w:rsidRPr="005562EF">
        <w:rPr>
          <w:sz w:val="24"/>
          <w:szCs w:val="24"/>
          <w:vertAlign w:val="superscript"/>
        </w:rPr>
        <w:t xml:space="preserve"> </w:t>
      </w:r>
      <w:r w:rsidRPr="005562EF" w:rsidR="00E20525">
        <w:rPr>
          <w:sz w:val="24"/>
          <w:szCs w:val="24"/>
        </w:rPr>
        <w:t>89 FR 55235</w:t>
      </w:r>
    </w:p>
  </w:footnote>
  <w:footnote w:id="6">
    <w:p w:rsidR="00D964D6" w:rsidRPr="00204FE5" w:rsidP="00CF5B29" w14:paraId="58256072" w14:textId="5307FA0F">
      <w:pPr>
        <w:pStyle w:val="FootnoteText"/>
      </w:pPr>
      <w:r w:rsidRPr="005562EF">
        <w:rPr>
          <w:rStyle w:val="FootnoteReference"/>
          <w:sz w:val="24"/>
          <w:szCs w:val="24"/>
          <w:vertAlign w:val="superscript"/>
        </w:rPr>
        <w:footnoteRef/>
      </w:r>
      <w:r w:rsidRPr="005562EF">
        <w:rPr>
          <w:sz w:val="24"/>
          <w:szCs w:val="24"/>
          <w:vertAlign w:val="superscript"/>
        </w:rPr>
        <w:t xml:space="preserve"> </w:t>
      </w:r>
      <w:r w:rsidRPr="005562EF">
        <w:rPr>
          <w:sz w:val="24"/>
          <w:szCs w:val="24"/>
        </w:rPr>
        <w:t>8</w:t>
      </w:r>
      <w:r w:rsidRPr="005562EF" w:rsidR="006E0265">
        <w:rPr>
          <w:sz w:val="24"/>
          <w:szCs w:val="24"/>
        </w:rPr>
        <w:t>9</w:t>
      </w:r>
      <w:r w:rsidRPr="005562EF">
        <w:rPr>
          <w:sz w:val="24"/>
          <w:szCs w:val="24"/>
        </w:rPr>
        <w:t xml:space="preserve"> FR </w:t>
      </w:r>
      <w:r w:rsidRPr="005562EF" w:rsidR="006E0265">
        <w:rPr>
          <w:sz w:val="24"/>
          <w:szCs w:val="24"/>
        </w:rPr>
        <w:t>78298</w:t>
      </w:r>
    </w:p>
  </w:footnote>
  <w:footnote w:id="7">
    <w:p w:rsidR="00556075" w:rsidRPr="005562EF" w:rsidP="00556075" w14:paraId="529A52D0" w14:textId="77777777">
      <w:pPr>
        <w:rPr>
          <w:rFonts w:ascii="Times New Roman" w:hAnsi="Times New Roman" w:cs="Times New Roman"/>
          <w:sz w:val="24"/>
          <w:szCs w:val="24"/>
        </w:rPr>
      </w:pPr>
      <w:r w:rsidRPr="005562EF">
        <w:rPr>
          <w:rStyle w:val="FootnoteReference"/>
          <w:rFonts w:ascii="Times New Roman" w:hAnsi="Times New Roman" w:cs="Times New Roman"/>
          <w:bCs/>
          <w:sz w:val="24"/>
          <w:szCs w:val="24"/>
          <w:vertAlign w:val="superscript"/>
        </w:rPr>
        <w:footnoteRef/>
      </w:r>
      <w:r w:rsidRPr="005562EF">
        <w:rPr>
          <w:rFonts w:ascii="Times New Roman" w:hAnsi="Times New Roman" w:cs="Times New Roman"/>
          <w:sz w:val="24"/>
          <w:szCs w:val="24"/>
          <w:vertAlign w:val="superscript"/>
        </w:rPr>
        <w:t xml:space="preserve"> </w:t>
      </w:r>
      <w:r w:rsidRPr="005562EF">
        <w:rPr>
          <w:rFonts w:ascii="Times New Roman" w:hAnsi="Times New Roman" w:cs="Times New Roman"/>
          <w:sz w:val="24"/>
          <w:szCs w:val="24"/>
        </w:rPr>
        <w:t>Changes to estimated number of respondents were based on average number of respondents over the past three years.</w:t>
      </w:r>
    </w:p>
    <w:p w:rsidR="00556075" w:rsidRPr="00E8542C" w:rsidP="00556075" w14:paraId="0567CCA2" w14:textId="77777777">
      <w:pPr>
        <w:rPr>
          <w:szCs w:val="26"/>
        </w:rPr>
      </w:pPr>
    </w:p>
  </w:footnote>
  <w:footnote w:id="8">
    <w:p w:rsidR="00556075" w:rsidRPr="005562EF" w:rsidP="00556075" w14:paraId="7A2218DF" w14:textId="77777777">
      <w:pPr>
        <w:pStyle w:val="FootnoteText"/>
        <w:rPr>
          <w:sz w:val="24"/>
          <w:szCs w:val="24"/>
        </w:rPr>
      </w:pPr>
      <w:r w:rsidRPr="005562EF">
        <w:rPr>
          <w:rStyle w:val="FootnoteReference"/>
          <w:sz w:val="24"/>
          <w:szCs w:val="24"/>
          <w:vertAlign w:val="superscript"/>
        </w:rPr>
        <w:footnoteRef/>
      </w:r>
      <w:r w:rsidRPr="005562EF">
        <w:rPr>
          <w:sz w:val="24"/>
          <w:szCs w:val="24"/>
        </w:rPr>
        <w:t xml:space="preserve"> The estimates for cost per response are derived using the following formula: Average Burden Hours per Response * $100.00/hour = Average cost/response.  The figure is the 2024 FERC average hourly cost (for wages and benefits) of 100.00 (and an average annual salary of $207,786/year).  Commission staff is using the FERC average salary because we consider any reporting requirements completed in response to the FERC-537 to be compensated at rates </w:t>
      </w:r>
      <w:r w:rsidRPr="005562EF">
        <w:rPr>
          <w:sz w:val="24"/>
          <w:szCs w:val="24"/>
        </w:rPr>
        <w:t>similar to</w:t>
      </w:r>
      <w:r w:rsidRPr="005562EF">
        <w:rPr>
          <w:sz w:val="24"/>
          <w:szCs w:val="24"/>
        </w:rPr>
        <w:t xml:space="preserve"> the work of FERC employees.</w:t>
      </w:r>
    </w:p>
    <w:p w:rsidR="00556075" w:rsidRPr="005562EF" w:rsidP="00556075" w14:paraId="092121CB" w14:textId="77777777">
      <w:pPr>
        <w:pStyle w:val="FootnoteText"/>
        <w:rPr>
          <w:sz w:val="24"/>
          <w:szCs w:val="24"/>
        </w:rPr>
      </w:pPr>
    </w:p>
  </w:footnote>
  <w:footnote w:id="9">
    <w:p w:rsidR="00556075" w:rsidRPr="00C32ABC" w:rsidP="00556075" w14:paraId="571A291C" w14:textId="77777777">
      <w:pPr>
        <w:pStyle w:val="FootnoteText"/>
        <w:rPr>
          <w:sz w:val="24"/>
        </w:rPr>
      </w:pPr>
      <w:r w:rsidRPr="005562EF">
        <w:rPr>
          <w:rStyle w:val="FootnoteReference"/>
          <w:sz w:val="24"/>
          <w:szCs w:val="24"/>
          <w:vertAlign w:val="superscript"/>
        </w:rPr>
        <w:footnoteRef/>
      </w:r>
      <w:r w:rsidRPr="005562EF">
        <w:rPr>
          <w:sz w:val="24"/>
          <w:szCs w:val="24"/>
        </w:rPr>
        <w:t xml:space="preserve"> Each of the figures in this column are rounded to the nearest dollar.</w:t>
      </w:r>
    </w:p>
  </w:footnote>
  <w:footnote w:id="10">
    <w:p w:rsidR="00556075" w:rsidRPr="005562EF" w:rsidP="00556075" w14:paraId="21A7F223" w14:textId="77777777">
      <w:pPr>
        <w:pStyle w:val="FootnoteText"/>
        <w:rPr>
          <w:sz w:val="24"/>
          <w:szCs w:val="24"/>
        </w:rPr>
      </w:pPr>
      <w:r w:rsidRPr="005562EF">
        <w:rPr>
          <w:rStyle w:val="FootnoteReference"/>
          <w:sz w:val="24"/>
          <w:szCs w:val="24"/>
          <w:vertAlign w:val="superscript"/>
        </w:rPr>
        <w:footnoteRef/>
      </w:r>
      <w:r w:rsidRPr="005562EF">
        <w:rPr>
          <w:sz w:val="24"/>
          <w:szCs w:val="24"/>
        </w:rPr>
        <w:t xml:space="preserve"> A Certificate Abandonment Application would require waiver of the Commission’s capacity release regulations in 18 CFR 284.8; </w:t>
      </w:r>
      <w:r w:rsidRPr="005562EF">
        <w:rPr>
          <w:sz w:val="24"/>
          <w:szCs w:val="24"/>
        </w:rPr>
        <w:t>therefore</w:t>
      </w:r>
      <w:r w:rsidRPr="005562EF">
        <w:rPr>
          <w:sz w:val="24"/>
          <w:szCs w:val="24"/>
        </w:rPr>
        <w:t xml:space="preserve"> this activity is associated with Interstate Certificate and Abandonment Applications.</w:t>
      </w:r>
    </w:p>
    <w:p w:rsidR="00556075" w:rsidP="00556075" w14:paraId="4300EFD2" w14:textId="77777777">
      <w:pPr>
        <w:pStyle w:val="FootnoteText"/>
      </w:pPr>
    </w:p>
  </w:footnote>
  <w:footnote w:id="11">
    <w:p w:rsidR="00D964D6" w:rsidRPr="005562EF" w:rsidP="0020384F" w14:paraId="3C6FE927" w14:textId="0BEE2D90">
      <w:pPr>
        <w:pStyle w:val="FootnoteText"/>
        <w:rPr>
          <w:sz w:val="24"/>
          <w:szCs w:val="24"/>
        </w:rPr>
      </w:pPr>
      <w:r w:rsidRPr="005562EF">
        <w:rPr>
          <w:rStyle w:val="FootnoteReference"/>
          <w:sz w:val="24"/>
          <w:szCs w:val="24"/>
          <w:vertAlign w:val="superscript"/>
        </w:rPr>
        <w:footnoteRef/>
      </w:r>
      <w:r w:rsidRPr="005562EF">
        <w:rPr>
          <w:sz w:val="24"/>
          <w:szCs w:val="24"/>
          <w:vertAlign w:val="superscript"/>
        </w:rPr>
        <w:t xml:space="preserve"> </w:t>
      </w:r>
      <w:r w:rsidRPr="005562EF">
        <w:rPr>
          <w:sz w:val="24"/>
          <w:szCs w:val="24"/>
        </w:rPr>
        <w:t>Based upon FERC’s 20</w:t>
      </w:r>
      <w:r w:rsidRPr="005562EF" w:rsidR="00654DDB">
        <w:rPr>
          <w:sz w:val="24"/>
          <w:szCs w:val="24"/>
        </w:rPr>
        <w:t>2</w:t>
      </w:r>
      <w:r w:rsidRPr="005562EF" w:rsidR="00556075">
        <w:rPr>
          <w:sz w:val="24"/>
          <w:szCs w:val="24"/>
        </w:rPr>
        <w:t>4</w:t>
      </w:r>
      <w:r w:rsidRPr="005562EF">
        <w:rPr>
          <w:sz w:val="24"/>
          <w:szCs w:val="24"/>
        </w:rPr>
        <w:t xml:space="preserve"> FTE averag</w:t>
      </w:r>
      <w:r w:rsidRPr="005562EF" w:rsidR="00E86E73">
        <w:rPr>
          <w:sz w:val="24"/>
          <w:szCs w:val="24"/>
        </w:rPr>
        <w:t>e salary plus benefits ($</w:t>
      </w:r>
      <w:r w:rsidRPr="005562EF" w:rsidR="0007776F">
        <w:rPr>
          <w:sz w:val="24"/>
          <w:szCs w:val="24"/>
        </w:rPr>
        <w:t>207,786</w:t>
      </w:r>
      <w:r w:rsidRPr="005562EF">
        <w:rPr>
          <w:sz w:val="24"/>
          <w:szCs w:val="24"/>
        </w:rPr>
        <w:t>/year).</w:t>
      </w:r>
    </w:p>
  </w:footnote>
  <w:footnote w:id="12">
    <w:p w:rsidR="00D964D6" w:rsidRPr="00204FE5" w:rsidP="0020384F" w14:paraId="2C5047DF" w14:textId="77777777">
      <w:pPr>
        <w:pStyle w:val="FootnoteText"/>
      </w:pPr>
      <w:r w:rsidRPr="005562EF">
        <w:rPr>
          <w:rStyle w:val="FootnoteReference"/>
          <w:sz w:val="24"/>
          <w:szCs w:val="24"/>
          <w:vertAlign w:val="superscript"/>
        </w:rPr>
        <w:footnoteRef/>
      </w:r>
      <w:r w:rsidRPr="005562EF">
        <w:rPr>
          <w:sz w:val="24"/>
          <w:szCs w:val="24"/>
        </w:rPr>
        <w:t xml:space="preserve"> 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64D6" w14:paraId="299FEECE" w14:textId="292B10D5">
    <w:pPr>
      <w:pStyle w:val="Header"/>
      <w:rPr>
        <w:rFonts w:ascii="Times New Roman" w:hAnsi="Times New Roman" w:cs="Times New Roman"/>
        <w:sz w:val="24"/>
        <w:szCs w:val="24"/>
      </w:rPr>
    </w:pPr>
    <w:r>
      <w:rPr>
        <w:rFonts w:ascii="Times New Roman" w:hAnsi="Times New Roman" w:cs="Times New Roman"/>
        <w:sz w:val="24"/>
        <w:szCs w:val="24"/>
      </w:rPr>
      <w:t>FERC-537 (OMB Control No. 1902-0060</w:t>
    </w:r>
    <w:r>
      <w:rPr>
        <w:rFonts w:ascii="Times New Roman" w:hAnsi="Times New Roman" w:cs="Times New Roman"/>
        <w:sz w:val="24"/>
        <w:szCs w:val="24"/>
      </w:rPr>
      <w:t>)</w:t>
    </w:r>
  </w:p>
  <w:p w:rsidR="002C7CAF" w14:paraId="516528BB" w14:textId="4EFAE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C7705"/>
    <w:multiLevelType w:val="hybridMultilevel"/>
    <w:tmpl w:val="98CEB8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6F065A9"/>
    <w:multiLevelType w:val="hybridMultilevel"/>
    <w:tmpl w:val="A934A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610EB8"/>
    <w:multiLevelType w:val="hybridMultilevel"/>
    <w:tmpl w:val="92902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485498"/>
    <w:multiLevelType w:val="hybridMultilevel"/>
    <w:tmpl w:val="8AD4794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373959"/>
    <w:multiLevelType w:val="hybridMultilevel"/>
    <w:tmpl w:val="8670D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A91A3C"/>
    <w:multiLevelType w:val="hybridMultilevel"/>
    <w:tmpl w:val="42B2F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2BC04FF"/>
    <w:multiLevelType w:val="hybridMultilevel"/>
    <w:tmpl w:val="CAC2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
    <w:nsid w:val="453C6417"/>
    <w:multiLevelType w:val="hybridMultilevel"/>
    <w:tmpl w:val="53A8CA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9">
    <w:nsid w:val="4FCC1895"/>
    <w:multiLevelType w:val="hybridMultilevel"/>
    <w:tmpl w:val="632C2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138255B"/>
    <w:multiLevelType w:val="hybridMultilevel"/>
    <w:tmpl w:val="AA26E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152B0D"/>
    <w:multiLevelType w:val="hybridMultilevel"/>
    <w:tmpl w:val="B9DE1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1D68B4"/>
    <w:multiLevelType w:val="hybridMultilevel"/>
    <w:tmpl w:val="2DB83A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6F428C"/>
    <w:multiLevelType w:val="hybridMultilevel"/>
    <w:tmpl w:val="7BDE7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C0A2A45"/>
    <w:multiLevelType w:val="hybridMultilevel"/>
    <w:tmpl w:val="8E4EB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EEC54B3"/>
    <w:multiLevelType w:val="hybridMultilevel"/>
    <w:tmpl w:val="4EC44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72835CA"/>
    <w:multiLevelType w:val="hybridMultilevel"/>
    <w:tmpl w:val="6334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79D2FF8"/>
    <w:multiLevelType w:val="hybridMultilevel"/>
    <w:tmpl w:val="296C86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74ED6858"/>
    <w:multiLevelType w:val="hybridMultilevel"/>
    <w:tmpl w:val="75D60B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0">
    <w:nsid w:val="7BCF05D8"/>
    <w:multiLevelType w:val="hybridMultilevel"/>
    <w:tmpl w:val="D5B058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38973552">
    <w:abstractNumId w:val="9"/>
  </w:num>
  <w:num w:numId="2" w16cid:durableId="857081593">
    <w:abstractNumId w:val="7"/>
  </w:num>
  <w:num w:numId="3" w16cid:durableId="1566529307">
    <w:abstractNumId w:val="14"/>
  </w:num>
  <w:num w:numId="4" w16cid:durableId="201869059">
    <w:abstractNumId w:val="17"/>
  </w:num>
  <w:num w:numId="5" w16cid:durableId="1973945527">
    <w:abstractNumId w:val="10"/>
  </w:num>
  <w:num w:numId="6" w16cid:durableId="69738836">
    <w:abstractNumId w:val="0"/>
  </w:num>
  <w:num w:numId="7" w16cid:durableId="569268723">
    <w:abstractNumId w:val="6"/>
  </w:num>
  <w:num w:numId="8" w16cid:durableId="1622682536">
    <w:abstractNumId w:val="8"/>
  </w:num>
  <w:num w:numId="9" w16cid:durableId="171377622">
    <w:abstractNumId w:val="20"/>
  </w:num>
  <w:num w:numId="10" w16cid:durableId="1906407440">
    <w:abstractNumId w:val="13"/>
  </w:num>
  <w:num w:numId="11" w16cid:durableId="1222715705">
    <w:abstractNumId w:val="2"/>
  </w:num>
  <w:num w:numId="12" w16cid:durableId="1478765743">
    <w:abstractNumId w:val="4"/>
  </w:num>
  <w:num w:numId="13" w16cid:durableId="741492421">
    <w:abstractNumId w:val="1"/>
  </w:num>
  <w:num w:numId="14" w16cid:durableId="818689243">
    <w:abstractNumId w:val="5"/>
  </w:num>
  <w:num w:numId="15" w16cid:durableId="707414483">
    <w:abstractNumId w:val="11"/>
  </w:num>
  <w:num w:numId="16" w16cid:durableId="1611624838">
    <w:abstractNumId w:val="15"/>
  </w:num>
  <w:num w:numId="17" w16cid:durableId="2131124908">
    <w:abstractNumId w:val="12"/>
  </w:num>
  <w:num w:numId="18" w16cid:durableId="238709818">
    <w:abstractNumId w:val="19"/>
  </w:num>
  <w:num w:numId="19" w16cid:durableId="1685667772">
    <w:abstractNumId w:val="18"/>
  </w:num>
  <w:num w:numId="20" w16cid:durableId="1205218104">
    <w:abstractNumId w:val="3"/>
  </w:num>
  <w:num w:numId="21" w16cid:durableId="14544475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4742"/>
    <w:rsid w:val="0000761B"/>
    <w:rsid w:val="00007B68"/>
    <w:rsid w:val="000158B8"/>
    <w:rsid w:val="00017DC6"/>
    <w:rsid w:val="0002242D"/>
    <w:rsid w:val="0002567F"/>
    <w:rsid w:val="00030C21"/>
    <w:rsid w:val="000323E9"/>
    <w:rsid w:val="00035845"/>
    <w:rsid w:val="00045E2F"/>
    <w:rsid w:val="000517E2"/>
    <w:rsid w:val="0005326C"/>
    <w:rsid w:val="00062BC1"/>
    <w:rsid w:val="00063127"/>
    <w:rsid w:val="00064D35"/>
    <w:rsid w:val="00070D2E"/>
    <w:rsid w:val="00074DC8"/>
    <w:rsid w:val="0007636B"/>
    <w:rsid w:val="0007776F"/>
    <w:rsid w:val="00080475"/>
    <w:rsid w:val="00080B18"/>
    <w:rsid w:val="00095B8D"/>
    <w:rsid w:val="00097E6C"/>
    <w:rsid w:val="000A18A4"/>
    <w:rsid w:val="000A49C8"/>
    <w:rsid w:val="000B0C37"/>
    <w:rsid w:val="000B45EB"/>
    <w:rsid w:val="000C5CD7"/>
    <w:rsid w:val="000D58F6"/>
    <w:rsid w:val="000D6FBE"/>
    <w:rsid w:val="000E15B3"/>
    <w:rsid w:val="000E1A02"/>
    <w:rsid w:val="000E2B20"/>
    <w:rsid w:val="000E2E6A"/>
    <w:rsid w:val="000E5772"/>
    <w:rsid w:val="000E5F31"/>
    <w:rsid w:val="000F1DBC"/>
    <w:rsid w:val="000F34E5"/>
    <w:rsid w:val="000F41C9"/>
    <w:rsid w:val="000F5AF8"/>
    <w:rsid w:val="00100FDF"/>
    <w:rsid w:val="001019C5"/>
    <w:rsid w:val="00105468"/>
    <w:rsid w:val="001115C7"/>
    <w:rsid w:val="001119AF"/>
    <w:rsid w:val="001228FC"/>
    <w:rsid w:val="0012296A"/>
    <w:rsid w:val="001348AC"/>
    <w:rsid w:val="001412DC"/>
    <w:rsid w:val="00143103"/>
    <w:rsid w:val="00144325"/>
    <w:rsid w:val="00150D8F"/>
    <w:rsid w:val="00162B26"/>
    <w:rsid w:val="0017533A"/>
    <w:rsid w:val="00175AD1"/>
    <w:rsid w:val="00181727"/>
    <w:rsid w:val="00185730"/>
    <w:rsid w:val="001968F8"/>
    <w:rsid w:val="00197A36"/>
    <w:rsid w:val="001A05A0"/>
    <w:rsid w:val="001A6DC8"/>
    <w:rsid w:val="001C033B"/>
    <w:rsid w:val="001C1170"/>
    <w:rsid w:val="001C1E51"/>
    <w:rsid w:val="001C2970"/>
    <w:rsid w:val="001C2DAF"/>
    <w:rsid w:val="001C3D8B"/>
    <w:rsid w:val="001E6AC0"/>
    <w:rsid w:val="0020384F"/>
    <w:rsid w:val="00204FE5"/>
    <w:rsid w:val="002075BD"/>
    <w:rsid w:val="00210C40"/>
    <w:rsid w:val="00211186"/>
    <w:rsid w:val="00212A83"/>
    <w:rsid w:val="002130C4"/>
    <w:rsid w:val="00234596"/>
    <w:rsid w:val="00236674"/>
    <w:rsid w:val="00245B2A"/>
    <w:rsid w:val="00247477"/>
    <w:rsid w:val="00247B75"/>
    <w:rsid w:val="002557B5"/>
    <w:rsid w:val="002601E0"/>
    <w:rsid w:val="0026674D"/>
    <w:rsid w:val="00267B85"/>
    <w:rsid w:val="00272108"/>
    <w:rsid w:val="002748E2"/>
    <w:rsid w:val="002779D9"/>
    <w:rsid w:val="00295D35"/>
    <w:rsid w:val="00297631"/>
    <w:rsid w:val="002A0D26"/>
    <w:rsid w:val="002A1294"/>
    <w:rsid w:val="002A40A7"/>
    <w:rsid w:val="002B109B"/>
    <w:rsid w:val="002B13E2"/>
    <w:rsid w:val="002B4DD2"/>
    <w:rsid w:val="002B5629"/>
    <w:rsid w:val="002B648C"/>
    <w:rsid w:val="002C1BFB"/>
    <w:rsid w:val="002C5784"/>
    <w:rsid w:val="002C63E1"/>
    <w:rsid w:val="002C7CAF"/>
    <w:rsid w:val="002E5586"/>
    <w:rsid w:val="0030018D"/>
    <w:rsid w:val="00304952"/>
    <w:rsid w:val="003153AA"/>
    <w:rsid w:val="0032109F"/>
    <w:rsid w:val="00323A78"/>
    <w:rsid w:val="003316E0"/>
    <w:rsid w:val="00343E64"/>
    <w:rsid w:val="00347410"/>
    <w:rsid w:val="003528CC"/>
    <w:rsid w:val="00362710"/>
    <w:rsid w:val="00362A6A"/>
    <w:rsid w:val="00363B01"/>
    <w:rsid w:val="00367F19"/>
    <w:rsid w:val="00372692"/>
    <w:rsid w:val="003800E6"/>
    <w:rsid w:val="00381A6E"/>
    <w:rsid w:val="00381E26"/>
    <w:rsid w:val="0038472C"/>
    <w:rsid w:val="003868FC"/>
    <w:rsid w:val="003967A4"/>
    <w:rsid w:val="003B0249"/>
    <w:rsid w:val="003B3B61"/>
    <w:rsid w:val="003C26B6"/>
    <w:rsid w:val="003C51DB"/>
    <w:rsid w:val="003D5A4D"/>
    <w:rsid w:val="003D5BDA"/>
    <w:rsid w:val="003E6C01"/>
    <w:rsid w:val="0040192F"/>
    <w:rsid w:val="004029B3"/>
    <w:rsid w:val="00414F32"/>
    <w:rsid w:val="00417739"/>
    <w:rsid w:val="004236B6"/>
    <w:rsid w:val="004266B5"/>
    <w:rsid w:val="004276A5"/>
    <w:rsid w:val="00430C30"/>
    <w:rsid w:val="00430C6A"/>
    <w:rsid w:val="00432E0F"/>
    <w:rsid w:val="00443137"/>
    <w:rsid w:val="00443588"/>
    <w:rsid w:val="00446452"/>
    <w:rsid w:val="00446F1C"/>
    <w:rsid w:val="0045480C"/>
    <w:rsid w:val="0045680D"/>
    <w:rsid w:val="00466C57"/>
    <w:rsid w:val="0048408A"/>
    <w:rsid w:val="004B3FFA"/>
    <w:rsid w:val="004C02F0"/>
    <w:rsid w:val="004C4C89"/>
    <w:rsid w:val="004C5E0E"/>
    <w:rsid w:val="004D29AB"/>
    <w:rsid w:val="004E114A"/>
    <w:rsid w:val="004E3D3A"/>
    <w:rsid w:val="004E651C"/>
    <w:rsid w:val="004F2013"/>
    <w:rsid w:val="004F6977"/>
    <w:rsid w:val="00507511"/>
    <w:rsid w:val="005121A2"/>
    <w:rsid w:val="00513A16"/>
    <w:rsid w:val="0051624B"/>
    <w:rsid w:val="00522F69"/>
    <w:rsid w:val="0053287C"/>
    <w:rsid w:val="005354ED"/>
    <w:rsid w:val="0053685A"/>
    <w:rsid w:val="00540572"/>
    <w:rsid w:val="00541B4E"/>
    <w:rsid w:val="00541FBD"/>
    <w:rsid w:val="005462B6"/>
    <w:rsid w:val="00546870"/>
    <w:rsid w:val="00547FA1"/>
    <w:rsid w:val="00556075"/>
    <w:rsid w:val="005562EF"/>
    <w:rsid w:val="00570861"/>
    <w:rsid w:val="00571C5E"/>
    <w:rsid w:val="00576C99"/>
    <w:rsid w:val="00576FDE"/>
    <w:rsid w:val="0057700F"/>
    <w:rsid w:val="00582E7E"/>
    <w:rsid w:val="00591BAD"/>
    <w:rsid w:val="00596619"/>
    <w:rsid w:val="005A2792"/>
    <w:rsid w:val="005A29F9"/>
    <w:rsid w:val="005B77CE"/>
    <w:rsid w:val="005C1104"/>
    <w:rsid w:val="005D2D8D"/>
    <w:rsid w:val="005E2146"/>
    <w:rsid w:val="005F1C3C"/>
    <w:rsid w:val="005F44CB"/>
    <w:rsid w:val="005F79FD"/>
    <w:rsid w:val="00607843"/>
    <w:rsid w:val="006166FA"/>
    <w:rsid w:val="00620212"/>
    <w:rsid w:val="00621C29"/>
    <w:rsid w:val="00622591"/>
    <w:rsid w:val="00625238"/>
    <w:rsid w:val="00630A34"/>
    <w:rsid w:val="00637CE1"/>
    <w:rsid w:val="00640365"/>
    <w:rsid w:val="006437A2"/>
    <w:rsid w:val="006471A3"/>
    <w:rsid w:val="006472A5"/>
    <w:rsid w:val="006537A3"/>
    <w:rsid w:val="00654DDB"/>
    <w:rsid w:val="006558BB"/>
    <w:rsid w:val="00656FFC"/>
    <w:rsid w:val="00657A47"/>
    <w:rsid w:val="00664BC0"/>
    <w:rsid w:val="00674FD8"/>
    <w:rsid w:val="00682634"/>
    <w:rsid w:val="00690136"/>
    <w:rsid w:val="0069237F"/>
    <w:rsid w:val="00697657"/>
    <w:rsid w:val="006A0454"/>
    <w:rsid w:val="006A3B6E"/>
    <w:rsid w:val="006B315B"/>
    <w:rsid w:val="006B4232"/>
    <w:rsid w:val="006B437C"/>
    <w:rsid w:val="006B470B"/>
    <w:rsid w:val="006B6D60"/>
    <w:rsid w:val="006D5F25"/>
    <w:rsid w:val="006E0265"/>
    <w:rsid w:val="006E3CFD"/>
    <w:rsid w:val="006E48BC"/>
    <w:rsid w:val="006F19A7"/>
    <w:rsid w:val="006F4640"/>
    <w:rsid w:val="00701916"/>
    <w:rsid w:val="00711903"/>
    <w:rsid w:val="00716469"/>
    <w:rsid w:val="007257D0"/>
    <w:rsid w:val="00731C22"/>
    <w:rsid w:val="00736047"/>
    <w:rsid w:val="0073778F"/>
    <w:rsid w:val="0074195A"/>
    <w:rsid w:val="00742FBE"/>
    <w:rsid w:val="00744A3C"/>
    <w:rsid w:val="00756810"/>
    <w:rsid w:val="00761A02"/>
    <w:rsid w:val="00767141"/>
    <w:rsid w:val="00773AEB"/>
    <w:rsid w:val="0077493A"/>
    <w:rsid w:val="007763AF"/>
    <w:rsid w:val="0078215E"/>
    <w:rsid w:val="00784F6F"/>
    <w:rsid w:val="0078612A"/>
    <w:rsid w:val="00787670"/>
    <w:rsid w:val="00787ADE"/>
    <w:rsid w:val="007A2F92"/>
    <w:rsid w:val="007A3D58"/>
    <w:rsid w:val="007A5812"/>
    <w:rsid w:val="007A6142"/>
    <w:rsid w:val="007B06B3"/>
    <w:rsid w:val="007B0800"/>
    <w:rsid w:val="007B193F"/>
    <w:rsid w:val="007B7E0C"/>
    <w:rsid w:val="007C1FB6"/>
    <w:rsid w:val="007D719C"/>
    <w:rsid w:val="007E3C37"/>
    <w:rsid w:val="007E706F"/>
    <w:rsid w:val="007E7C0F"/>
    <w:rsid w:val="007F4AE4"/>
    <w:rsid w:val="007F7281"/>
    <w:rsid w:val="008114AD"/>
    <w:rsid w:val="00814B81"/>
    <w:rsid w:val="00825EE1"/>
    <w:rsid w:val="00830C46"/>
    <w:rsid w:val="00834C7F"/>
    <w:rsid w:val="008524C6"/>
    <w:rsid w:val="00855EC8"/>
    <w:rsid w:val="008619E1"/>
    <w:rsid w:val="00867D79"/>
    <w:rsid w:val="00873A94"/>
    <w:rsid w:val="00876F75"/>
    <w:rsid w:val="00886BC7"/>
    <w:rsid w:val="008923E8"/>
    <w:rsid w:val="00892C75"/>
    <w:rsid w:val="00896C01"/>
    <w:rsid w:val="008A21A4"/>
    <w:rsid w:val="008A3759"/>
    <w:rsid w:val="008A52E9"/>
    <w:rsid w:val="008B0B69"/>
    <w:rsid w:val="008B651B"/>
    <w:rsid w:val="008B703B"/>
    <w:rsid w:val="008C238C"/>
    <w:rsid w:val="008C25E0"/>
    <w:rsid w:val="008C288D"/>
    <w:rsid w:val="008C2F02"/>
    <w:rsid w:val="008C76E2"/>
    <w:rsid w:val="008D310F"/>
    <w:rsid w:val="008D3313"/>
    <w:rsid w:val="008E58B7"/>
    <w:rsid w:val="008E61BF"/>
    <w:rsid w:val="008E70CD"/>
    <w:rsid w:val="008F5C2C"/>
    <w:rsid w:val="009115AB"/>
    <w:rsid w:val="00911FF4"/>
    <w:rsid w:val="00913A8B"/>
    <w:rsid w:val="0092458A"/>
    <w:rsid w:val="009276A9"/>
    <w:rsid w:val="0093102B"/>
    <w:rsid w:val="0093357F"/>
    <w:rsid w:val="009430EF"/>
    <w:rsid w:val="00950ECA"/>
    <w:rsid w:val="00952D21"/>
    <w:rsid w:val="00956414"/>
    <w:rsid w:val="00963609"/>
    <w:rsid w:val="00970C75"/>
    <w:rsid w:val="00970FE4"/>
    <w:rsid w:val="00971AB3"/>
    <w:rsid w:val="009760E9"/>
    <w:rsid w:val="00977929"/>
    <w:rsid w:val="009813BA"/>
    <w:rsid w:val="00982014"/>
    <w:rsid w:val="0099336E"/>
    <w:rsid w:val="00996092"/>
    <w:rsid w:val="009A5447"/>
    <w:rsid w:val="009C2B24"/>
    <w:rsid w:val="009C45B8"/>
    <w:rsid w:val="009E1190"/>
    <w:rsid w:val="009E5761"/>
    <w:rsid w:val="00A0107C"/>
    <w:rsid w:val="00A15ABD"/>
    <w:rsid w:val="00A16BC4"/>
    <w:rsid w:val="00A17EAF"/>
    <w:rsid w:val="00A26D17"/>
    <w:rsid w:val="00A276F5"/>
    <w:rsid w:val="00A44AE9"/>
    <w:rsid w:val="00A45BD2"/>
    <w:rsid w:val="00A5648B"/>
    <w:rsid w:val="00A61802"/>
    <w:rsid w:val="00A62953"/>
    <w:rsid w:val="00A679F5"/>
    <w:rsid w:val="00A72E7B"/>
    <w:rsid w:val="00A741BA"/>
    <w:rsid w:val="00A81C16"/>
    <w:rsid w:val="00A82B09"/>
    <w:rsid w:val="00A84355"/>
    <w:rsid w:val="00A84BED"/>
    <w:rsid w:val="00A9186C"/>
    <w:rsid w:val="00A93F1B"/>
    <w:rsid w:val="00A948AB"/>
    <w:rsid w:val="00A96B65"/>
    <w:rsid w:val="00AA0FDF"/>
    <w:rsid w:val="00AC4F79"/>
    <w:rsid w:val="00AC5D45"/>
    <w:rsid w:val="00AD16A3"/>
    <w:rsid w:val="00AD3DE5"/>
    <w:rsid w:val="00AD50EA"/>
    <w:rsid w:val="00AE14A8"/>
    <w:rsid w:val="00AE298A"/>
    <w:rsid w:val="00AF0C9F"/>
    <w:rsid w:val="00AF2217"/>
    <w:rsid w:val="00AF3FE7"/>
    <w:rsid w:val="00B015EC"/>
    <w:rsid w:val="00B01AC9"/>
    <w:rsid w:val="00B01C73"/>
    <w:rsid w:val="00B06E84"/>
    <w:rsid w:val="00B06EDC"/>
    <w:rsid w:val="00B072C3"/>
    <w:rsid w:val="00B27783"/>
    <w:rsid w:val="00B33B5F"/>
    <w:rsid w:val="00B36BA9"/>
    <w:rsid w:val="00B46154"/>
    <w:rsid w:val="00B4621B"/>
    <w:rsid w:val="00B51D20"/>
    <w:rsid w:val="00B51D26"/>
    <w:rsid w:val="00B521DA"/>
    <w:rsid w:val="00B54AF0"/>
    <w:rsid w:val="00B56BA6"/>
    <w:rsid w:val="00B57039"/>
    <w:rsid w:val="00B72662"/>
    <w:rsid w:val="00B733C0"/>
    <w:rsid w:val="00B76DD3"/>
    <w:rsid w:val="00B837BA"/>
    <w:rsid w:val="00B8457D"/>
    <w:rsid w:val="00B85235"/>
    <w:rsid w:val="00B8706D"/>
    <w:rsid w:val="00B93C1C"/>
    <w:rsid w:val="00B9413E"/>
    <w:rsid w:val="00BA1C7D"/>
    <w:rsid w:val="00BA658F"/>
    <w:rsid w:val="00BA7C56"/>
    <w:rsid w:val="00BB3B2C"/>
    <w:rsid w:val="00BC27F0"/>
    <w:rsid w:val="00BE526B"/>
    <w:rsid w:val="00BE7025"/>
    <w:rsid w:val="00BF2816"/>
    <w:rsid w:val="00BF3F67"/>
    <w:rsid w:val="00C01698"/>
    <w:rsid w:val="00C01FD6"/>
    <w:rsid w:val="00C03F29"/>
    <w:rsid w:val="00C05F12"/>
    <w:rsid w:val="00C27D56"/>
    <w:rsid w:val="00C327A9"/>
    <w:rsid w:val="00C32ABC"/>
    <w:rsid w:val="00C34323"/>
    <w:rsid w:val="00C35DFC"/>
    <w:rsid w:val="00C47527"/>
    <w:rsid w:val="00C510DD"/>
    <w:rsid w:val="00C579DC"/>
    <w:rsid w:val="00C61E8F"/>
    <w:rsid w:val="00C6263B"/>
    <w:rsid w:val="00C676C1"/>
    <w:rsid w:val="00C71251"/>
    <w:rsid w:val="00C87787"/>
    <w:rsid w:val="00C96C91"/>
    <w:rsid w:val="00CA4344"/>
    <w:rsid w:val="00CA495F"/>
    <w:rsid w:val="00CA59C3"/>
    <w:rsid w:val="00CB26E8"/>
    <w:rsid w:val="00CD59EC"/>
    <w:rsid w:val="00CE0A63"/>
    <w:rsid w:val="00CE15BC"/>
    <w:rsid w:val="00CE1CE7"/>
    <w:rsid w:val="00CE2CDA"/>
    <w:rsid w:val="00CE4E3C"/>
    <w:rsid w:val="00CE535C"/>
    <w:rsid w:val="00CF5B29"/>
    <w:rsid w:val="00CF759C"/>
    <w:rsid w:val="00D075A0"/>
    <w:rsid w:val="00D11825"/>
    <w:rsid w:val="00D21D86"/>
    <w:rsid w:val="00D3127A"/>
    <w:rsid w:val="00D34DDC"/>
    <w:rsid w:val="00D407F7"/>
    <w:rsid w:val="00D4245F"/>
    <w:rsid w:val="00D4340E"/>
    <w:rsid w:val="00D43F0E"/>
    <w:rsid w:val="00D47528"/>
    <w:rsid w:val="00D53DF7"/>
    <w:rsid w:val="00D636C9"/>
    <w:rsid w:val="00D63739"/>
    <w:rsid w:val="00D76508"/>
    <w:rsid w:val="00D80FBD"/>
    <w:rsid w:val="00D81268"/>
    <w:rsid w:val="00D83445"/>
    <w:rsid w:val="00D85DBB"/>
    <w:rsid w:val="00D87A76"/>
    <w:rsid w:val="00D9209B"/>
    <w:rsid w:val="00D964D6"/>
    <w:rsid w:val="00DA06F4"/>
    <w:rsid w:val="00DB55F4"/>
    <w:rsid w:val="00DB58D2"/>
    <w:rsid w:val="00DB6DC8"/>
    <w:rsid w:val="00DC015E"/>
    <w:rsid w:val="00DC4E36"/>
    <w:rsid w:val="00DD36C0"/>
    <w:rsid w:val="00DD39AC"/>
    <w:rsid w:val="00DD3B35"/>
    <w:rsid w:val="00DD6A34"/>
    <w:rsid w:val="00DD79FB"/>
    <w:rsid w:val="00DE0976"/>
    <w:rsid w:val="00DE18D9"/>
    <w:rsid w:val="00DF6A9B"/>
    <w:rsid w:val="00E06351"/>
    <w:rsid w:val="00E0690B"/>
    <w:rsid w:val="00E11CA6"/>
    <w:rsid w:val="00E12A4B"/>
    <w:rsid w:val="00E14565"/>
    <w:rsid w:val="00E157D5"/>
    <w:rsid w:val="00E20525"/>
    <w:rsid w:val="00E20612"/>
    <w:rsid w:val="00E23E64"/>
    <w:rsid w:val="00E25683"/>
    <w:rsid w:val="00E26B80"/>
    <w:rsid w:val="00E36A45"/>
    <w:rsid w:val="00E44CB1"/>
    <w:rsid w:val="00E453B3"/>
    <w:rsid w:val="00E453EB"/>
    <w:rsid w:val="00E50DF3"/>
    <w:rsid w:val="00E52D63"/>
    <w:rsid w:val="00E57CCE"/>
    <w:rsid w:val="00E636D7"/>
    <w:rsid w:val="00E67CF3"/>
    <w:rsid w:val="00E71B17"/>
    <w:rsid w:val="00E760F8"/>
    <w:rsid w:val="00E8542C"/>
    <w:rsid w:val="00E86E73"/>
    <w:rsid w:val="00E8736A"/>
    <w:rsid w:val="00E87A4F"/>
    <w:rsid w:val="00E975A6"/>
    <w:rsid w:val="00EA5C58"/>
    <w:rsid w:val="00EB0D26"/>
    <w:rsid w:val="00EB3E6F"/>
    <w:rsid w:val="00EB554A"/>
    <w:rsid w:val="00EB7891"/>
    <w:rsid w:val="00EC0BD7"/>
    <w:rsid w:val="00EC4CD9"/>
    <w:rsid w:val="00ED0B11"/>
    <w:rsid w:val="00ED0FCE"/>
    <w:rsid w:val="00ED5560"/>
    <w:rsid w:val="00EE2A1C"/>
    <w:rsid w:val="00EE79D3"/>
    <w:rsid w:val="00EE7EF3"/>
    <w:rsid w:val="00EF21C2"/>
    <w:rsid w:val="00EF25AA"/>
    <w:rsid w:val="00F0169F"/>
    <w:rsid w:val="00F109D2"/>
    <w:rsid w:val="00F12594"/>
    <w:rsid w:val="00F12DC2"/>
    <w:rsid w:val="00F14038"/>
    <w:rsid w:val="00F152DF"/>
    <w:rsid w:val="00F25F3C"/>
    <w:rsid w:val="00F26E86"/>
    <w:rsid w:val="00F41092"/>
    <w:rsid w:val="00F50384"/>
    <w:rsid w:val="00F51804"/>
    <w:rsid w:val="00F62674"/>
    <w:rsid w:val="00F64FB4"/>
    <w:rsid w:val="00F65FE9"/>
    <w:rsid w:val="00F707CA"/>
    <w:rsid w:val="00F710A1"/>
    <w:rsid w:val="00F77257"/>
    <w:rsid w:val="00F81142"/>
    <w:rsid w:val="00F822E8"/>
    <w:rsid w:val="00F82B8E"/>
    <w:rsid w:val="00F8440A"/>
    <w:rsid w:val="00F918F6"/>
    <w:rsid w:val="00FA51B9"/>
    <w:rsid w:val="00FC037A"/>
    <w:rsid w:val="00FD66F1"/>
    <w:rsid w:val="00FF69D6"/>
    <w:rsid w:val="05FDEA0A"/>
    <w:rsid w:val="2013710C"/>
    <w:rsid w:val="2055DE8B"/>
    <w:rsid w:val="20D02292"/>
    <w:rsid w:val="2A63A483"/>
    <w:rsid w:val="2DB2C993"/>
    <w:rsid w:val="2FE4A9F3"/>
    <w:rsid w:val="302D8802"/>
    <w:rsid w:val="362B5043"/>
    <w:rsid w:val="383A3B47"/>
    <w:rsid w:val="396E817E"/>
    <w:rsid w:val="3CBA4B8E"/>
    <w:rsid w:val="40766F58"/>
    <w:rsid w:val="44B99EE1"/>
    <w:rsid w:val="49337A20"/>
    <w:rsid w:val="4A542935"/>
    <w:rsid w:val="4C958190"/>
    <w:rsid w:val="5002BDE2"/>
    <w:rsid w:val="547E727A"/>
    <w:rsid w:val="56EC48A5"/>
    <w:rsid w:val="5CD3BC31"/>
    <w:rsid w:val="74339A3F"/>
    <w:rsid w:val="772DD1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C912A1"/>
  <w15:docId w15:val="{B6D2992A-4450-457A-BC4C-27AA7B02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E636D7"/>
  </w:style>
  <w:style w:type="paragraph" w:styleId="FootnoteText">
    <w:name w:val="footnote text"/>
    <w:aliases w:val=" Char,Char,Footnote Text Char Char Char Char Char,Footnote Text Char Char1 Char,Footnote Text Char1 Char Char Char,Footnote Text Char1 Char Char Char Char Char Char Char,Footnote Text Char1 Char1 Char,Footnote Text Char2 Char,fn,fn1,fn3,ft"/>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ootnote Text Char Char Char1,Footnote Text Char1 Char Char1,Footnote Text Char1 Char2,Footnote Text MRP Char,fn1 Char"/>
    <w:basedOn w:val="DefaultParagraphFont"/>
    <w:rsid w:val="00E636D7"/>
    <w:rPr>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n Char,fn3 Char,ft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Default">
    <w:name w:val="Default"/>
    <w:rsid w:val="0064036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4E3D3A"/>
    <w:rPr>
      <w:color w:val="605E5C"/>
      <w:shd w:val="clear" w:color="auto" w:fill="E1DFDD"/>
    </w:rPr>
  </w:style>
  <w:style w:type="paragraph" w:styleId="Revision">
    <w:name w:val="Revision"/>
    <w:hidden/>
    <w:uiPriority w:val="99"/>
    <w:semiHidden/>
    <w:rsid w:val="00814B81"/>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legal/ceii-foia/ceii.asp" TargetMode="External" /><Relationship Id="rId11" Type="http://schemas.openxmlformats.org/officeDocument/2006/relationships/hyperlink" Target="http://www.ferc.gov/legal/ceii-foia/ceii/classes.asp" TargetMode="External" /><Relationship Id="rId12" Type="http://schemas.openxmlformats.org/officeDocument/2006/relationships/hyperlink" Target="http://www.ferc.gov/docs-filing/labeling-guidance.pdf" TargetMode="External" /><Relationship Id="rId13" Type="http://schemas.openxmlformats.org/officeDocument/2006/relationships/hyperlink" Target="https://www.ferc.gov/enforcement-legal/legal/information-collections"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erc.gov/docs-filing/efiling/filing.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8" ma:contentTypeDescription="Create a new document." ma:contentTypeScope="" ma:versionID="fd0c4adefb7ccba3149275f5b9dfc032">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6322b8441fcd377c4a88bb2f6790f021"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CE2310-D98D-42AF-9AED-91ABDC82D9C7}">
  <ds:schemaRefs>
    <ds:schemaRef ds:uri="http://schemas.openxmlformats.org/officeDocument/2006/bibliography"/>
  </ds:schemaRefs>
</ds:datastoreItem>
</file>

<file path=customXml/itemProps2.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3.xml><?xml version="1.0" encoding="utf-8"?>
<ds:datastoreItem xmlns:ds="http://schemas.openxmlformats.org/officeDocument/2006/customXml" ds:itemID="{DC3A4479-0543-455B-A152-110FB41B283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5a7c6213-c3f8-4376-93f2-dc58e5c51d54"/>
    <ds:schemaRef ds:uri="http://schemas.microsoft.com/office/infopath/2007/PartnerControls"/>
    <ds:schemaRef ds:uri="http://purl.org/dc/elements/1.1/"/>
    <ds:schemaRef ds:uri="7d39e18b-330b-455b-b1d2-f8885a4d610b"/>
    <ds:schemaRef ds:uri="http://www.w3.org/XML/1998/namespace"/>
    <ds:schemaRef ds:uri="http://purl.org/dc/dcmitype/"/>
  </ds:schemaRefs>
</ds:datastoreItem>
</file>

<file path=customXml/itemProps4.xml><?xml version="1.0" encoding="utf-8"?>
<ds:datastoreItem xmlns:ds="http://schemas.openxmlformats.org/officeDocument/2006/customXml" ds:itemID="{A0635803-FE52-4073-8A62-BC6A4B233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7d39e18b-330b-455b-b1d2-f8885a4d6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1942</Words>
  <Characters>11072</Characters>
  <Application>Microsoft Office Word</Application>
  <DocSecurity>0</DocSecurity>
  <Lines>92</Lines>
  <Paragraphs>25</Paragraphs>
  <ScaleCrop>false</ScaleCrop>
  <Company>FERC</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FERC-537 supporting statement</dc:title>
  <dc:creator>ferc</dc:creator>
  <cp:lastModifiedBy>Christopher Kozler</cp:lastModifiedBy>
  <cp:revision>8</cp:revision>
  <dcterms:created xsi:type="dcterms:W3CDTF">2024-09-25T18:13:00Z</dcterms:created>
  <dcterms:modified xsi:type="dcterms:W3CDTF">2024-10-03T12:24:00Z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0x0101006492A12D26BD054EAF7308A64C3FCB4C</vt:lpwstr>
  </property>
  <property fmtid="{D5CDD505-2E9C-101B-9397-08002B2CF9AE}" pid="3" name="MSIP_Label_bd24d06a-0e85-4d57-b1e0-ba34b1abc708_ActionId">
    <vt:lpwstr>ff3793d4-3e54-4acd-800e-724e09c97cfd</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2024-09-24T19:59:03Z</vt:lpwstr>
  </property>
  <property fmtid="{D5CDD505-2E9C-101B-9397-08002B2CF9AE}" pid="9" name="MSIP_Label_bd24d06a-0e85-4d57-b1e0-ba34b1abc708_SiteId">
    <vt:lpwstr>19caa9e9-04ff-43fa-885f-d77fac387903</vt:lpwstr>
  </property>
</Properties>
</file>