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D001E4" w:rsidP="00DE7A1C" w14:paraId="42487E1D" w14:textId="77777777">
          <w:pPr>
            <w:rPr>
              <w:noProof/>
            </w:rPr>
          </w:pPr>
        </w:p>
        <w:p w:rsidR="00041909" w:rsidP="00313D14" w14:paraId="721AE377" w14:textId="777777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1"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anchor>
            </w:drawing>
          </w:r>
          <w:r w:rsidR="001F3A8F">
            <w:rPr>
              <w:noProof/>
            </w:rPr>
            <w:softHyphen/>
          </w:r>
          <w:r w:rsidR="001F3A8F">
            <w:rPr>
              <w:noProof/>
            </w:rPr>
            <w:softHyphen/>
          </w:r>
          <w:r w:rsidR="001F3A8F">
            <w:rPr>
              <w:noProof/>
            </w:rPr>
            <w:softHyphen/>
          </w:r>
        </w:p>
      </w:sdtContent>
    </w:sdt>
    <w:p w:rsidR="00D928FD" w14:paraId="0C9550A2" w14:textId="77777777"/>
    <w:p w:rsidR="00D928FD" w:rsidP="00313D14" w14:paraId="574308D4" w14:textId="77777777">
      <w:r>
        <w:tab/>
      </w:r>
    </w:p>
    <w:p w:rsidR="00D928FD" w14:paraId="41B68CC6" w14:textId="77777777"/>
    <w:p w:rsidR="00D928FD" w14:paraId="13436704" w14:textId="77777777"/>
    <w:p w:rsidR="00D928FD" w14:paraId="1BD3CB30" w14:textId="77777777"/>
    <w:p w:rsidR="001F3A8F" w:rsidP="00313D14" w14:paraId="2726B5E6" w14:textId="77777777">
      <w:r>
        <w:rPr>
          <w:noProof/>
        </w:rPr>
        <mc:AlternateContent>
          <mc:Choice Requires="wps">
            <w:drawing>
              <wp:anchor distT="0" distB="0" distL="114300" distR="114300" simplePos="0" relativeHeight="251658240" behindDoc="0" locked="0" layoutInCell="1" allowOverlap="1">
                <wp:simplePos x="0" y="0"/>
                <wp:positionH relativeFrom="margin">
                  <wp:posOffset>364067</wp:posOffset>
                </wp:positionH>
                <wp:positionV relativeFrom="paragraph">
                  <wp:posOffset>960967</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color w:val="139CD8"/>
                                <w:sz w:val="60"/>
                                <w:szCs w:val="60"/>
                              </w:rPr>
                              <w:alias w:val="Title"/>
                              <w:id w:val="1609928945"/>
                              <w:placeholder>
                                <w:docPart w:val="83CA9BC55F474217AE847D92B981D0B3"/>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textId="56A35C7E">
                                <w:pPr>
                                  <w:spacing w:line="276" w:lineRule="auto"/>
                                  <w:rPr>
                                    <w:b/>
                                    <w:sz w:val="60"/>
                                    <w:szCs w:val="60"/>
                                  </w:rPr>
                                </w:pPr>
                                <w:r>
                                  <w:rPr>
                                    <w:rFonts w:ascii="Times New Roman" w:hAnsi="Times New Roman" w:cs="Times New Roman"/>
                                    <w:b/>
                                    <w:color w:val="139CD8"/>
                                    <w:sz w:val="60"/>
                                    <w:szCs w:val="60"/>
                                  </w:rPr>
                                  <w:t>Supporting Statement B for the EIA-63C Densified Biomass Fuel Report</w:t>
                                </w:r>
                              </w:p>
                            </w:sdtContent>
                          </w:sdt>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sdt>
                      <w:sdtPr>
                        <w:rPr>
                          <w:rFonts w:ascii="Times New Roman" w:hAnsi="Times New Roman" w:cs="Times New Roman"/>
                          <w:b/>
                          <w:color w:val="139CD8"/>
                          <w:sz w:val="60"/>
                          <w:szCs w:val="60"/>
                        </w:rPr>
                        <w:alias w:val="Title"/>
                        <w:id w:val="1852273502"/>
                        <w:placeholder>
                          <w:docPart w:val="83CA9BC55F474217AE847D92B981D0B3"/>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paraId="057C7B13" w14:textId="56A35C7E">
                          <w:pPr>
                            <w:spacing w:line="276" w:lineRule="auto"/>
                            <w:rPr>
                              <w:b/>
                              <w:sz w:val="60"/>
                              <w:szCs w:val="60"/>
                            </w:rPr>
                          </w:pPr>
                          <w:r>
                            <w:rPr>
                              <w:rFonts w:ascii="Times New Roman" w:hAnsi="Times New Roman" w:cs="Times New Roman"/>
                              <w:b/>
                              <w:color w:val="139CD8"/>
                              <w:sz w:val="60"/>
                              <w:szCs w:val="60"/>
                            </w:rPr>
                            <w:t>Supporting Statement B for the EIA-63C Densified Biomass Fuel Report</w:t>
                          </w:r>
                        </w:p>
                      </w:sdtContent>
                    </w:sdt>
                  </w:txbxContent>
                </v:textbox>
                <w10:wrap anchorx="margin"/>
              </v:shape>
            </w:pict>
          </mc:Fallback>
        </mc:AlternateContent>
      </w:r>
      <w:r w:rsidR="00552509">
        <w:rPr>
          <w:noProof/>
          <w:color w:val="A6A6A6" w:themeColor="background1" w:themeShade="A6"/>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B41D7A" w:rsidP="004D236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6"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B41D7A" w:rsidP="004D236B" w14:paraId="3B2E51BA"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paraId="7B022296"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paraId="1BF5C26A"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v:textbox>
                <w10:wrap type="square"/>
              </v:shape>
            </w:pict>
          </mc:Fallback>
        </mc:AlternateContent>
      </w:r>
      <w:r w:rsidR="00140D25">
        <w:rPr>
          <w:noProof/>
        </w:rPr>
        <mc:AlternateContent>
          <mc:Choice Requires="wps">
            <w:drawing>
              <wp:anchor distT="45720" distB="45720" distL="114300" distR="114300" simplePos="0" relativeHeight="251665408" behindDoc="0" locked="0" layoutInCell="1" allowOverlap="1">
                <wp:simplePos x="0" y="0"/>
                <wp:positionH relativeFrom="column">
                  <wp:posOffset>-106240</wp:posOffset>
                </wp:positionH>
                <wp:positionV relativeFrom="paragraph">
                  <wp:posOffset>6384925</wp:posOffset>
                </wp:positionV>
                <wp:extent cx="2377440" cy="530225"/>
                <wp:effectExtent l="0" t="0" r="0" b="3175"/>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77777777">
                            <w:r>
                              <w:rPr>
                                <w:noProof/>
                              </w:rPr>
                              <w:drawing>
                                <wp:inline distT="0" distB="0" distL="0" distR="0">
                                  <wp:extent cx="2162810" cy="478120"/>
                                  <wp:effectExtent l="0" t="0" r="0" b="0"/>
                                  <wp:docPr id="74471190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11901" name="Picture 19"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7" type="#_x0000_t202" style="width:185.9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5793E92E" w14:textId="77777777">
                      <w:drawing>
                        <wp:inline distT="0" distB="0" distL="0" distR="0">
                          <wp:extent cx="2162810" cy="478120"/>
                          <wp:effectExtent l="0" t="0" r="0" b="0"/>
                          <wp:docPr id="6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9"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p>
                  </w:txbxContent>
                </v:textbox>
                <w10:wrap type="square"/>
              </v:shape>
            </w:pict>
          </mc:Fallback>
        </mc:AlternateContent>
      </w:r>
      <w:r w:rsidR="004D236B">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9720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4FB5" w14:textId="740F384B">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OMB No. 1905-0209</w:t>
                            </w:r>
                          </w:p>
                          <w:p w:rsidR="00EA779A" w:rsidRPr="00B41D7A" w14:textId="2664B58F">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May 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width:187.2pt;height:39.15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5B4FB5" w14:paraId="0095FEE7" w14:textId="740F384B">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OMB No. 1905-0209</w:t>
                      </w:r>
                    </w:p>
                    <w:p w:rsidR="00EA779A" w:rsidRPr="00B41D7A" w14:paraId="2DD99C30" w14:textId="2664B58F">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May 2024</w:t>
                      </w:r>
                    </w:p>
                  </w:txbxContent>
                </v:textbox>
                <w10:wrap type="square"/>
              </v:shape>
            </w:pict>
          </mc:Fallback>
        </mc:AlternateContent>
      </w:r>
      <w:r w:rsidR="001F3A8F">
        <w:br w:type="page"/>
      </w:r>
    </w:p>
    <w:p w:rsidR="00755C3D" w14:paraId="131CFAA5" w14:textId="77777777">
      <w:pPr>
        <w:sectPr w:rsidSect="00454E5E">
          <w:footerReference w:type="even" r:id="rId11"/>
          <w:footerReference w:type="default" r:id="rId12"/>
          <w:footerReference w:type="first" r:id="rId13"/>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59C8475C" w14:textId="77777777"/>
    <w:p w:rsidR="001F3A8F" w14:paraId="73666FD5" w14:textId="77777777"/>
    <w:p w:rsidR="001F3A8F" w14:paraId="3BDD2F4C" w14:textId="77777777"/>
    <w:p w:rsidR="001F3A8F" w14:paraId="2F6C4642" w14:textId="77777777"/>
    <w:p w:rsidR="001F3A8F" w14:paraId="67D02F09" w14:textId="77777777"/>
    <w:p w:rsidR="001F3A8F" w14:paraId="38A95D0A" w14:textId="77777777"/>
    <w:p w:rsidR="001F3A8F" w14:paraId="54630A45" w14:textId="77777777"/>
    <w:p w:rsidR="001F3A8F" w14:paraId="768DD766" w14:textId="77777777"/>
    <w:p w:rsidR="001F3A8F" w14:paraId="3A8D5832" w14:textId="77777777"/>
    <w:p w:rsidR="001F3A8F" w14:paraId="5B7D3E9E" w14:textId="77777777"/>
    <w:p w:rsidR="001F3A8F" w14:paraId="6ED82609" w14:textId="77777777"/>
    <w:p w:rsidR="001F3A8F" w14:paraId="75382406" w14:textId="77777777"/>
    <w:p w:rsidR="001F3A8F" w14:paraId="05CAE4A8" w14:textId="77777777"/>
    <w:p w:rsidR="001F3A8F" w14:paraId="53B2B8DA" w14:textId="77777777"/>
    <w:p w:rsidR="001F3A8F" w14:paraId="0A6A6967" w14:textId="77777777"/>
    <w:p w:rsidR="001F3A8F" w14:paraId="2F5A3E9B" w14:textId="77777777"/>
    <w:p w:rsidR="001F3A8F" w14:paraId="34207DE7" w14:textId="77777777"/>
    <w:p w:rsidR="001F3A8F" w14:paraId="5D8AC63B" w14:textId="77777777"/>
    <w:p w:rsidR="001F3A8F" w14:paraId="2FE3B1EE" w14:textId="77777777"/>
    <w:p w:rsidR="001F3A8F" w14:paraId="4D2DD1E6" w14:textId="77777777"/>
    <w:p w:rsidR="001F3A8F" w:rsidP="00D928FD" w14:paraId="71DA479B" w14:textId="77777777"/>
    <w:p w:rsidR="005D602C" w14:paraId="5DFA0A74" w14:textId="77777777">
      <w:pPr>
        <w:pStyle w:val="Boxtext"/>
        <w:sectPr w:rsidSect="00454E5E">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5C6FFBCD" w14:textId="77777777">
      <w:pPr>
        <w:sectPr w:rsidSect="00454E5E">
          <w:footerReference w:type="first" r:id="rId15"/>
          <w:footnotePr>
            <w:pos w:val="beneathText"/>
          </w:footnotePr>
          <w:type w:val="continuous"/>
          <w:pgSz w:w="12240" w:h="15840"/>
          <w:pgMar w:top="1440" w:right="1440" w:bottom="1440" w:left="1440" w:header="720" w:footer="720" w:gutter="0"/>
          <w:pgNumType w:fmt="lowerRoman" w:start="1"/>
          <w:cols w:space="720"/>
          <w:docGrid w:linePitch="360"/>
        </w:sectPr>
      </w:pPr>
    </w:p>
    <w:sdt>
      <w:sdtPr>
        <w:rPr>
          <w:rFonts w:asciiTheme="minorHAnsi" w:eastAsiaTheme="minorEastAsia" w:hAnsiTheme="minorHAnsi" w:cstheme="minorBidi"/>
          <w:b w:val="0"/>
          <w:bCs w:val="0"/>
          <w:color w:val="auto"/>
          <w:sz w:val="22"/>
          <w:szCs w:val="22"/>
        </w:rPr>
        <w:id w:val="592214204"/>
        <w:docPartObj>
          <w:docPartGallery w:val="Table of Contents"/>
          <w:docPartUnique/>
        </w:docPartObj>
      </w:sdtPr>
      <w:sdtEndPr>
        <w:rPr>
          <w:noProof/>
        </w:rPr>
      </w:sdtEndPr>
      <w:sdtContent>
        <w:p w:rsidR="00AD6244" w14:paraId="4F1BC462" w14:textId="77777777">
          <w:pPr>
            <w:pStyle w:val="TOCHeading"/>
          </w:pPr>
          <w:r>
            <w:t>Table of Contents</w:t>
          </w:r>
        </w:p>
        <w:p w:rsidR="00B12F3C" w14:paraId="32C076C4" w14:textId="3C69D3C6">
          <w:pPr>
            <w:pStyle w:val="TOC2"/>
            <w:rPr>
              <w:rFonts w:eastAsiaTheme="minorEastAsia"/>
              <w:noProof/>
              <w:color w:val="auto"/>
              <w:kern w:val="2"/>
              <w14:ligatures w14:val="standardContextual"/>
            </w:rPr>
          </w:pPr>
          <w:r>
            <w:rPr>
              <w:b/>
              <w:bCs/>
              <w:noProof/>
              <w:color w:val="auto"/>
            </w:rPr>
            <w:fldChar w:fldCharType="begin"/>
          </w:r>
          <w:r>
            <w:rPr>
              <w:b/>
              <w:bCs/>
              <w:noProof/>
            </w:rPr>
            <w:instrText xml:space="preserve"> TOC \o "1-5" \h \z \u </w:instrText>
          </w:r>
          <w:r>
            <w:rPr>
              <w:b/>
              <w:bCs/>
              <w:noProof/>
              <w:color w:val="auto"/>
            </w:rPr>
            <w:fldChar w:fldCharType="separate"/>
          </w:r>
          <w:hyperlink w:anchor="_Toc166227838" w:history="1">
            <w:r w:rsidRPr="00667FDB">
              <w:rPr>
                <w:rStyle w:val="Hyperlink"/>
                <w:noProof/>
              </w:rPr>
              <w:t>B.1. Respondent Universe</w:t>
            </w:r>
            <w:r>
              <w:rPr>
                <w:noProof/>
                <w:webHidden/>
              </w:rPr>
              <w:tab/>
            </w:r>
            <w:r>
              <w:rPr>
                <w:noProof/>
                <w:webHidden/>
              </w:rPr>
              <w:fldChar w:fldCharType="begin"/>
            </w:r>
            <w:r>
              <w:rPr>
                <w:noProof/>
                <w:webHidden/>
              </w:rPr>
              <w:instrText xml:space="preserve"> PAGEREF _Toc166227838 \h </w:instrText>
            </w:r>
            <w:r>
              <w:rPr>
                <w:noProof/>
                <w:webHidden/>
              </w:rPr>
              <w:fldChar w:fldCharType="separate"/>
            </w:r>
            <w:r>
              <w:rPr>
                <w:noProof/>
                <w:webHidden/>
              </w:rPr>
              <w:t>1</w:t>
            </w:r>
            <w:r>
              <w:rPr>
                <w:noProof/>
                <w:webHidden/>
              </w:rPr>
              <w:fldChar w:fldCharType="end"/>
            </w:r>
          </w:hyperlink>
        </w:p>
        <w:p w:rsidR="00B12F3C" w14:paraId="1C98FF38" w14:textId="15586932">
          <w:pPr>
            <w:pStyle w:val="TOC2"/>
            <w:rPr>
              <w:rFonts w:eastAsiaTheme="minorEastAsia"/>
              <w:noProof/>
              <w:color w:val="auto"/>
              <w:kern w:val="2"/>
              <w14:ligatures w14:val="standardContextual"/>
            </w:rPr>
          </w:pPr>
          <w:hyperlink w:anchor="_Toc166227839" w:history="1">
            <w:r w:rsidRPr="00667FDB">
              <w:rPr>
                <w:rStyle w:val="Hyperlink"/>
                <w:noProof/>
              </w:rPr>
              <w:t>B.2. Statistical Methods</w:t>
            </w:r>
            <w:r>
              <w:rPr>
                <w:noProof/>
                <w:webHidden/>
              </w:rPr>
              <w:tab/>
            </w:r>
            <w:r>
              <w:rPr>
                <w:noProof/>
                <w:webHidden/>
              </w:rPr>
              <w:fldChar w:fldCharType="begin"/>
            </w:r>
            <w:r>
              <w:rPr>
                <w:noProof/>
                <w:webHidden/>
              </w:rPr>
              <w:instrText xml:space="preserve"> PAGEREF _Toc166227839 \h </w:instrText>
            </w:r>
            <w:r>
              <w:rPr>
                <w:noProof/>
                <w:webHidden/>
              </w:rPr>
              <w:fldChar w:fldCharType="separate"/>
            </w:r>
            <w:r>
              <w:rPr>
                <w:noProof/>
                <w:webHidden/>
              </w:rPr>
              <w:t>1</w:t>
            </w:r>
            <w:r>
              <w:rPr>
                <w:noProof/>
                <w:webHidden/>
              </w:rPr>
              <w:fldChar w:fldCharType="end"/>
            </w:r>
          </w:hyperlink>
        </w:p>
        <w:p w:rsidR="00B12F3C" w14:paraId="3483BBCB" w14:textId="0B34E1CD">
          <w:pPr>
            <w:pStyle w:val="TOC2"/>
            <w:rPr>
              <w:rFonts w:eastAsiaTheme="minorEastAsia"/>
              <w:noProof/>
              <w:color w:val="auto"/>
              <w:kern w:val="2"/>
              <w14:ligatures w14:val="standardContextual"/>
            </w:rPr>
          </w:pPr>
          <w:hyperlink w:anchor="_Toc166227840" w:history="1">
            <w:r w:rsidRPr="00667FDB">
              <w:rPr>
                <w:rStyle w:val="Hyperlink"/>
                <w:noProof/>
              </w:rPr>
              <w:t>B.3. Maximizing Response Rates</w:t>
            </w:r>
            <w:r>
              <w:rPr>
                <w:noProof/>
                <w:webHidden/>
              </w:rPr>
              <w:tab/>
            </w:r>
            <w:r>
              <w:rPr>
                <w:noProof/>
                <w:webHidden/>
              </w:rPr>
              <w:fldChar w:fldCharType="begin"/>
            </w:r>
            <w:r>
              <w:rPr>
                <w:noProof/>
                <w:webHidden/>
              </w:rPr>
              <w:instrText xml:space="preserve"> PAGEREF _Toc166227840 \h </w:instrText>
            </w:r>
            <w:r>
              <w:rPr>
                <w:noProof/>
                <w:webHidden/>
              </w:rPr>
              <w:fldChar w:fldCharType="separate"/>
            </w:r>
            <w:r>
              <w:rPr>
                <w:noProof/>
                <w:webHidden/>
              </w:rPr>
              <w:t>1</w:t>
            </w:r>
            <w:r>
              <w:rPr>
                <w:noProof/>
                <w:webHidden/>
              </w:rPr>
              <w:fldChar w:fldCharType="end"/>
            </w:r>
          </w:hyperlink>
        </w:p>
        <w:p w:rsidR="00B12F3C" w14:paraId="3CC83A48" w14:textId="10E0206A">
          <w:pPr>
            <w:pStyle w:val="TOC2"/>
            <w:rPr>
              <w:rFonts w:eastAsiaTheme="minorEastAsia"/>
              <w:noProof/>
              <w:color w:val="auto"/>
              <w:kern w:val="2"/>
              <w14:ligatures w14:val="standardContextual"/>
            </w:rPr>
          </w:pPr>
          <w:hyperlink w:anchor="_Toc166227841" w:history="1">
            <w:r w:rsidRPr="00667FDB">
              <w:rPr>
                <w:rStyle w:val="Hyperlink"/>
                <w:noProof/>
              </w:rPr>
              <w:t>B.4. Test Procedures and Form Consultations</w:t>
            </w:r>
            <w:r>
              <w:rPr>
                <w:noProof/>
                <w:webHidden/>
              </w:rPr>
              <w:tab/>
            </w:r>
            <w:r>
              <w:rPr>
                <w:noProof/>
                <w:webHidden/>
              </w:rPr>
              <w:fldChar w:fldCharType="begin"/>
            </w:r>
            <w:r>
              <w:rPr>
                <w:noProof/>
                <w:webHidden/>
              </w:rPr>
              <w:instrText xml:space="preserve"> PAGEREF _Toc166227841 \h </w:instrText>
            </w:r>
            <w:r>
              <w:rPr>
                <w:noProof/>
                <w:webHidden/>
              </w:rPr>
              <w:fldChar w:fldCharType="separate"/>
            </w:r>
            <w:r>
              <w:rPr>
                <w:noProof/>
                <w:webHidden/>
              </w:rPr>
              <w:t>2</w:t>
            </w:r>
            <w:r>
              <w:rPr>
                <w:noProof/>
                <w:webHidden/>
              </w:rPr>
              <w:fldChar w:fldCharType="end"/>
            </w:r>
          </w:hyperlink>
        </w:p>
        <w:p w:rsidR="00B12F3C" w14:paraId="6870A655" w14:textId="5BD06B5F">
          <w:pPr>
            <w:pStyle w:val="TOC2"/>
            <w:rPr>
              <w:rFonts w:eastAsiaTheme="minorEastAsia"/>
              <w:noProof/>
              <w:color w:val="auto"/>
              <w:kern w:val="2"/>
              <w14:ligatures w14:val="standardContextual"/>
            </w:rPr>
          </w:pPr>
          <w:hyperlink w:anchor="_Toc166227842" w:history="1">
            <w:r w:rsidRPr="00667FDB">
              <w:rPr>
                <w:rStyle w:val="Hyperlink"/>
                <w:noProof/>
              </w:rPr>
              <w:t>B.5. Statistical Consultations</w:t>
            </w:r>
            <w:r>
              <w:rPr>
                <w:noProof/>
                <w:webHidden/>
              </w:rPr>
              <w:tab/>
            </w:r>
            <w:r>
              <w:rPr>
                <w:noProof/>
                <w:webHidden/>
              </w:rPr>
              <w:fldChar w:fldCharType="begin"/>
            </w:r>
            <w:r>
              <w:rPr>
                <w:noProof/>
                <w:webHidden/>
              </w:rPr>
              <w:instrText xml:space="preserve"> PAGEREF _Toc166227842 \h </w:instrText>
            </w:r>
            <w:r>
              <w:rPr>
                <w:noProof/>
                <w:webHidden/>
              </w:rPr>
              <w:fldChar w:fldCharType="separate"/>
            </w:r>
            <w:r>
              <w:rPr>
                <w:noProof/>
                <w:webHidden/>
              </w:rPr>
              <w:t>2</w:t>
            </w:r>
            <w:r>
              <w:rPr>
                <w:noProof/>
                <w:webHidden/>
              </w:rPr>
              <w:fldChar w:fldCharType="end"/>
            </w:r>
          </w:hyperlink>
        </w:p>
        <w:p w:rsidR="00AD6244" w14:paraId="7749C66E" w14:textId="44AA0456">
          <w:r>
            <w:rPr>
              <w:b/>
              <w:bCs/>
              <w:noProof/>
              <w:color w:val="000000" w:themeColor="text1"/>
            </w:rPr>
            <w:fldChar w:fldCharType="end"/>
          </w:r>
        </w:p>
      </w:sdtContent>
    </w:sdt>
    <w:p w:rsidR="00612A58" w:rsidP="00612A58" w14:paraId="644E5A34" w14:textId="77777777">
      <w:pPr>
        <w:rPr>
          <w:noProof/>
        </w:rPr>
      </w:pPr>
      <w:r>
        <w:rPr>
          <w:noProof/>
        </w:rPr>
        <w:br w:type="page"/>
      </w:r>
    </w:p>
    <w:p w:rsidR="00B12F3C" w:rsidP="005F0816" w14:paraId="46ECE159" w14:textId="77777777">
      <w:pPr>
        <w:pStyle w:val="Heading2"/>
      </w:pPr>
      <w:bookmarkStart w:id="0" w:name="_Toc466046934"/>
      <w:bookmarkStart w:id="1" w:name="_Toc166227838"/>
      <w:r>
        <w:t>B.</w:t>
      </w:r>
      <w:r w:rsidRPr="00A41763">
        <w:t xml:space="preserve">1. </w:t>
      </w:r>
      <w:r>
        <w:t>Respondent Universe</w:t>
      </w:r>
      <w:bookmarkEnd w:id="0"/>
      <w:bookmarkEnd w:id="1"/>
    </w:p>
    <w:p w:rsidR="00791AE2" w:rsidP="00B12F3C" w14:paraId="5783382D" w14:textId="77777777">
      <w:r>
        <w:t xml:space="preserve">Form EIA-63C, </w:t>
      </w:r>
      <w:r w:rsidRPr="757401BD">
        <w:rPr>
          <w:i/>
          <w:iCs/>
        </w:rPr>
        <w:t>Densified Biomass Fuel Report</w:t>
      </w:r>
      <w:r>
        <w:t xml:space="preserve">, is a mandatory monthly </w:t>
      </w:r>
      <w:r w:rsidR="005F0816">
        <w:t xml:space="preserve">survey with a size threshold </w:t>
      </w:r>
      <w:r>
        <w:t>of U.S. companies engaged in densified biomass fuel manufacturing, sales, or exporting. The information collected includes</w:t>
      </w:r>
      <w:r>
        <w:t>:</w:t>
      </w:r>
      <w:r>
        <w:t xml:space="preserve"> </w:t>
      </w:r>
    </w:p>
    <w:p w:rsidR="00791AE2" w:rsidP="00447DB8" w14:paraId="3ABC27B6" w14:textId="0292C689">
      <w:pPr>
        <w:pStyle w:val="ListParagraph"/>
        <w:numPr>
          <w:ilvl w:val="0"/>
          <w:numId w:val="21"/>
        </w:numPr>
      </w:pPr>
      <w:r>
        <w:t>V</w:t>
      </w:r>
      <w:r w:rsidR="00B12F3C">
        <w:t xml:space="preserve">olumes produced and </w:t>
      </w:r>
      <w:r w:rsidR="00B12F3C">
        <w:t>sold</w:t>
      </w:r>
    </w:p>
    <w:p w:rsidR="00791AE2" w:rsidP="00447DB8" w14:paraId="38AAC277" w14:textId="6B766A4F">
      <w:pPr>
        <w:pStyle w:val="ListParagraph"/>
        <w:numPr>
          <w:ilvl w:val="0"/>
          <w:numId w:val="21"/>
        </w:numPr>
      </w:pPr>
      <w:r>
        <w:t>R</w:t>
      </w:r>
      <w:r w:rsidR="00B12F3C">
        <w:t>evenues from sales</w:t>
      </w:r>
    </w:p>
    <w:p w:rsidR="00791AE2" w:rsidP="00447DB8" w14:paraId="3D8E5364" w14:textId="22BDDDAF">
      <w:pPr>
        <w:pStyle w:val="ListParagraph"/>
        <w:numPr>
          <w:ilvl w:val="0"/>
          <w:numId w:val="21"/>
        </w:numPr>
      </w:pPr>
      <w:r>
        <w:t>F</w:t>
      </w:r>
      <w:r w:rsidR="00B12F3C">
        <w:t>eedstock purchases and costs</w:t>
      </w:r>
    </w:p>
    <w:p w:rsidR="00791AE2" w:rsidP="00447DB8" w14:paraId="00CB8711" w14:textId="10369BF4">
      <w:pPr>
        <w:pStyle w:val="ListParagraph"/>
        <w:numPr>
          <w:ilvl w:val="0"/>
          <w:numId w:val="21"/>
        </w:numPr>
      </w:pPr>
      <w:r>
        <w:t>I</w:t>
      </w:r>
      <w:r w:rsidR="00B12F3C">
        <w:t>nventory of products</w:t>
      </w:r>
    </w:p>
    <w:p w:rsidR="00791AE2" w:rsidP="00447DB8" w14:paraId="51678789" w14:textId="6EA357F7">
      <w:pPr>
        <w:pStyle w:val="ListParagraph"/>
        <w:numPr>
          <w:ilvl w:val="0"/>
          <w:numId w:val="21"/>
        </w:numPr>
      </w:pPr>
      <w:r>
        <w:t>T</w:t>
      </w:r>
      <w:r w:rsidR="00B12F3C">
        <w:t>echnical characteristics of the densified biomass fuel products</w:t>
      </w:r>
    </w:p>
    <w:p w:rsidR="00791AE2" w:rsidP="00447DB8" w14:paraId="332A1D04" w14:textId="3333D80E">
      <w:pPr>
        <w:pStyle w:val="ListParagraph"/>
        <w:numPr>
          <w:ilvl w:val="0"/>
          <w:numId w:val="21"/>
        </w:numPr>
      </w:pPr>
      <w:r>
        <w:t>E</w:t>
      </w:r>
      <w:r w:rsidR="00B12F3C">
        <w:t>mployment data</w:t>
      </w:r>
    </w:p>
    <w:p w:rsidR="00B12F3C" w:rsidP="00B12F3C" w14:paraId="088DEC0D" w14:textId="1BD1BA18">
      <w:r>
        <w:t>The survey frame for Form EIA-63C contains</w:t>
      </w:r>
      <w:r w:rsidR="005F0816">
        <w:t xml:space="preserve"> 76 </w:t>
      </w:r>
      <w:r>
        <w:t xml:space="preserve">monthly respondents and </w:t>
      </w:r>
      <w:r w:rsidR="3581E790">
        <w:t>17</w:t>
      </w:r>
      <w:r>
        <w:t xml:space="preserve"> annual respondents. Potential respondents are identified from U.S. Energy Information Administration (EIA) databases</w:t>
      </w:r>
      <w:r w:rsidR="009E12E1">
        <w:t>,</w:t>
      </w:r>
      <w:r>
        <w:t xml:space="preserve"> industry/manufacturer directories</w:t>
      </w:r>
      <w:r w:rsidR="009E12E1">
        <w:t>,</w:t>
      </w:r>
      <w:r>
        <w:t xml:space="preserve"> and trade publications. </w:t>
      </w:r>
    </w:p>
    <w:p w:rsidR="00B12F3C" w:rsidRPr="00705142" w:rsidP="00B12F3C" w14:paraId="47A56499" w14:textId="08AE52C3">
      <w:r>
        <w:t xml:space="preserve">Data for this survey are collected monthly from companies with a production capacity of 10,000 tons per year or more. </w:t>
      </w:r>
      <w:r w:rsidR="005F0816">
        <w:t xml:space="preserve">Because the production capacity changes over time, EIA collects production capacities (only Part 1 and Part 2) from all companies (including companies with production capacity under 10,000 tons) once a year. This information is used only for screening purposes to determine the potential respondents for the rest of the year.  </w:t>
      </w:r>
    </w:p>
    <w:p w:rsidR="003E3BDD" w:rsidP="00B12F3C" w14:paraId="76182B42" w14:textId="411377A1">
      <w:pPr>
        <w:spacing w:line="240" w:lineRule="auto"/>
      </w:pPr>
      <w:r>
        <w:t xml:space="preserve">10,000 tons per year was </w:t>
      </w:r>
      <w:r w:rsidR="005F0816">
        <w:t xml:space="preserve">determined to be </w:t>
      </w:r>
      <w:r>
        <w:t xml:space="preserve">an appropriate cutoff threshold for reporting monthly on this survey </w:t>
      </w:r>
      <w:r w:rsidR="009E12E1">
        <w:t>to</w:t>
      </w:r>
      <w:r>
        <w:t xml:space="preserve"> minimiz</w:t>
      </w:r>
      <w:r w:rsidR="009E12E1">
        <w:t>e the</w:t>
      </w:r>
      <w:r>
        <w:t xml:space="preserve"> burden </w:t>
      </w:r>
      <w:r w:rsidR="009E12E1">
        <w:t>for</w:t>
      </w:r>
      <w:r>
        <w:t xml:space="preserve"> small producers. At </w:t>
      </w:r>
      <w:r w:rsidR="009E12E1">
        <w:t>this threshold</w:t>
      </w:r>
      <w:r>
        <w:t>, about 90</w:t>
      </w:r>
      <w:r w:rsidR="009E12E1">
        <w:t>%</w:t>
      </w:r>
      <w:r>
        <w:t xml:space="preserve"> of the industry’s activity is covered in the monthly data collection</w:t>
      </w:r>
      <w:r w:rsidR="009E12E1">
        <w:t>,</w:t>
      </w:r>
      <w:r>
        <w:t xml:space="preserve"> and the number of respondents is sufficient to allow publication of aggregate data at the state </w:t>
      </w:r>
      <w:r w:rsidR="00791AE2">
        <w:t>and</w:t>
      </w:r>
      <w:r>
        <w:t xml:space="preserve"> regional level. Raising the cutoff threshold for reporting monthly would not </w:t>
      </w:r>
      <w:r w:rsidR="00791AE2">
        <w:t>result in</w:t>
      </w:r>
      <w:r>
        <w:t xml:space="preserve"> </w:t>
      </w:r>
      <w:r w:rsidR="00791AE2">
        <w:t>in</w:t>
      </w:r>
      <w:r>
        <w:t>adequate market coverage and too few respondents in some regions or states to allow publication of meaningful data.</w:t>
      </w:r>
    </w:p>
    <w:p w:rsidR="00B12F3C" w:rsidP="005F0816" w14:paraId="269091A4" w14:textId="77777777">
      <w:pPr>
        <w:pStyle w:val="Heading2"/>
      </w:pPr>
      <w:bookmarkStart w:id="2" w:name="_Toc466046935"/>
      <w:bookmarkStart w:id="3" w:name="_Toc166227839"/>
      <w:r>
        <w:t>B.</w:t>
      </w:r>
      <w:r w:rsidRPr="00A41763">
        <w:t xml:space="preserve">2. </w:t>
      </w:r>
      <w:r>
        <w:t>Statistical Methods</w:t>
      </w:r>
      <w:bookmarkEnd w:id="2"/>
      <w:bookmarkEnd w:id="3"/>
    </w:p>
    <w:p w:rsidR="005F0816" w:rsidP="005F0816" w14:paraId="655B08DE" w14:textId="620F6F35">
      <w:r>
        <w:t xml:space="preserve">EIA collects information from all companies above a predefined reporting threshold as discussed in the previous section. </w:t>
      </w:r>
    </w:p>
    <w:p w:rsidR="00B12F3C" w:rsidP="00B12F3C" w14:paraId="22037D2F" w14:textId="24ADC81E">
      <w:r>
        <w:t>In 202</w:t>
      </w:r>
      <w:r w:rsidR="7B167F1C">
        <w:t>3</w:t>
      </w:r>
      <w:r>
        <w:t xml:space="preserve">, the unit response rate for this survey was approximately 100%.  </w:t>
      </w:r>
      <w:r>
        <w:t>Imputation methods are applied to impute for item nonresponse</w:t>
      </w:r>
      <w:r>
        <w:t>s and edit failure</w:t>
      </w:r>
      <w:r>
        <w:t>. Item nonresponses for missing production data are estimated using regional averages by product type weighted by production capacity.</w:t>
      </w:r>
      <w:bookmarkStart w:id="4" w:name="_Toc418076160"/>
      <w:bookmarkEnd w:id="4"/>
      <w:r>
        <w:t xml:space="preserve"> </w:t>
      </w:r>
      <w:r w:rsidR="00606B74">
        <w:t xml:space="preserve">Item nonresponses for </w:t>
      </w:r>
      <w:r>
        <w:t xml:space="preserve">cost </w:t>
      </w:r>
      <w:r>
        <w:t xml:space="preserve">data are estimated using regional averages by product. </w:t>
      </w:r>
    </w:p>
    <w:p w:rsidR="00B12F3C" w:rsidP="00B12F3C" w14:paraId="7AE64764" w14:textId="0AC909AA">
      <w:pPr>
        <w:spacing w:line="240" w:lineRule="auto"/>
        <w:rPr>
          <w:rFonts w:ascii="Calibri" w:eastAsia="Calibri" w:hAnsi="Calibri" w:cs="Calibri"/>
        </w:rPr>
      </w:pPr>
      <w:r>
        <w:t>EIA publishes aggregat</w:t>
      </w:r>
      <w:r w:rsidR="009E12E1">
        <w:t>ed</w:t>
      </w:r>
      <w:r>
        <w:t xml:space="preserve"> respondent data for the companies that are above the reporting threshold. EIA does not publish estimates for the companies that are below the reporting threshold.</w:t>
      </w:r>
    </w:p>
    <w:p w:rsidR="00B12F3C" w:rsidP="005F0816" w14:paraId="1395BD0B" w14:textId="77777777">
      <w:pPr>
        <w:pStyle w:val="Heading2"/>
      </w:pPr>
      <w:bookmarkStart w:id="5" w:name="_Toc466046936"/>
      <w:bookmarkStart w:id="6" w:name="_Toc166227840"/>
      <w:r>
        <w:t>B.</w:t>
      </w:r>
      <w:r w:rsidRPr="00A41763">
        <w:t xml:space="preserve">3. </w:t>
      </w:r>
      <w:r>
        <w:t>Maximizing Response Rates</w:t>
      </w:r>
      <w:bookmarkEnd w:id="5"/>
      <w:bookmarkEnd w:id="6"/>
    </w:p>
    <w:p w:rsidR="00B12F3C" w:rsidRPr="00EC2EF7" w:rsidP="00B12F3C" w14:paraId="728218DF" w14:textId="1157DBF5">
      <w:r>
        <w:t>To maximize response rates, EIA surveys and instructions are designed and written with clarity and conciseness. Data that are not expected to change from year-to-year or month-to-month are pre-populated on the forms</w:t>
      </w:r>
      <w:r w:rsidR="009E12E1">
        <w:t>,</w:t>
      </w:r>
      <w:r>
        <w:t xml:space="preserve"> such as first operational year or installed maximum annual production capacity. Notifications are emailed early to maximize the time that respondents </w:t>
      </w:r>
      <w:r>
        <w:t>have to</w:t>
      </w:r>
      <w:r>
        <w:t xml:space="preserve"> complete the surveys.</w:t>
      </w:r>
    </w:p>
    <w:p w:rsidR="00B12F3C" w:rsidRPr="00EC2EF7" w:rsidP="00B12F3C" w14:paraId="040126F7" w14:textId="28BB9A3E">
      <w:r>
        <w:t xml:space="preserve">As noted in Supporting Statement A, EIA’s </w:t>
      </w:r>
      <w:r w:rsidR="00A3066E">
        <w:t>i</w:t>
      </w:r>
      <w:r>
        <w:t>nternet data collection system makes forms available online as soon as respondents obtain a secure ID and password. The 202</w:t>
      </w:r>
      <w:r w:rsidR="00606B74">
        <w:t>3</w:t>
      </w:r>
      <w:r>
        <w:t xml:space="preserve"> response rate for this survey was approximately 100%. All survey responses are submitted through the online portal. Form due dates are the same each period so that respondents can schedule their </w:t>
      </w:r>
      <w:r w:rsidR="003E58AC">
        <w:t>reporting</w:t>
      </w:r>
      <w:r>
        <w:t xml:space="preserve"> activities.</w:t>
      </w:r>
    </w:p>
    <w:p w:rsidR="00B12F3C" w:rsidP="00B12F3C" w14:paraId="3B408043" w14:textId="7824D5A3">
      <w:r>
        <w:t>Non-respondents for Form EIA-63C are contacted by email, telephone, and letter to request data submission until</w:t>
      </w:r>
      <w:r w:rsidR="00606B74">
        <w:t xml:space="preserve"> a 0%</w:t>
      </w:r>
      <w:r>
        <w:t xml:space="preserve"> non-response rate is achieved. Follow-up email messages citing failure to file the required form are sent to all non-respondents. If the follow-up email messages do not result in a response, additional correspondence requesting immediate submission is sent to the supervisor of the primary contact and, if necessary, to higher-level management officials at the non-responding entity. The letters are sent from the EIA Office Director or, on rare occasions, from the Assistant Administrator or Administrator of EIA. </w:t>
      </w:r>
    </w:p>
    <w:p w:rsidR="00B12F3C" w:rsidP="00B12F3C" w14:paraId="567971A5" w14:textId="7E5F7B43">
      <w:pPr>
        <w:spacing w:line="240" w:lineRule="auto"/>
      </w:pPr>
      <w:r>
        <w:t xml:space="preserve">Respondents who file via the internet system </w:t>
      </w:r>
      <w:r w:rsidR="003E58AC">
        <w:t>have</w:t>
      </w:r>
      <w:r>
        <w:t xml:space="preserve"> the opportunity to</w:t>
      </w:r>
      <w:r>
        <w:t xml:space="preserve"> either correct or explain unusual data during their submission. </w:t>
      </w:r>
      <w:r>
        <w:t>T</w:t>
      </w:r>
      <w:r>
        <w:t>hese explanations</w:t>
      </w:r>
      <w:r>
        <w:t xml:space="preserve"> are reviewed by EIA staff</w:t>
      </w:r>
      <w:r>
        <w:t xml:space="preserve"> and respondents </w:t>
      </w:r>
      <w:r>
        <w:t xml:space="preserve">are contacted </w:t>
      </w:r>
      <w:r>
        <w:t>if further clarification</w:t>
      </w:r>
      <w:r>
        <w:t xml:space="preserve"> is needed</w:t>
      </w:r>
      <w:r>
        <w:t>. For respondents who file a paper copy of the form,</w:t>
      </w:r>
      <w:r>
        <w:t xml:space="preserve"> email messages are sent and/or telephone calls are made</w:t>
      </w:r>
      <w:r>
        <w:t xml:space="preserve"> to confirm corrections or clarifications of any suspected errors in data.</w:t>
      </w:r>
    </w:p>
    <w:p w:rsidR="00B12F3C" w:rsidP="005F0816" w14:paraId="57AB5151" w14:textId="77777777">
      <w:pPr>
        <w:pStyle w:val="Heading2"/>
      </w:pPr>
      <w:bookmarkStart w:id="7" w:name="_Toc466046937"/>
      <w:bookmarkStart w:id="8" w:name="_Toc166227841"/>
      <w:r>
        <w:t>B.</w:t>
      </w:r>
      <w:r w:rsidRPr="00A41763">
        <w:t xml:space="preserve">4. </w:t>
      </w:r>
      <w:r>
        <w:t>Test Procedures and Form Consultations</w:t>
      </w:r>
      <w:bookmarkEnd w:id="7"/>
      <w:bookmarkEnd w:id="8"/>
    </w:p>
    <w:p w:rsidR="00B12F3C" w:rsidP="757401BD" w14:paraId="4B23EE36" w14:textId="4C911D09">
      <w:pPr>
        <w:spacing w:line="240" w:lineRule="auto"/>
      </w:pPr>
      <w:r>
        <w:t>After the 60-day Federal Register Notice</w:t>
      </w:r>
      <w:r w:rsidRPr="360BC4E9" w:rsidR="2A352542">
        <w:rPr>
          <w:rFonts w:ascii="Calibri" w:eastAsia="Calibri" w:hAnsi="Calibri" w:cs="Calibri"/>
          <w:color w:val="000000" w:themeColor="text1"/>
        </w:rPr>
        <w:t xml:space="preserve"> Volume 89, No. 36, </w:t>
      </w:r>
      <w:r w:rsidRPr="360BC4E9" w:rsidR="160082AF">
        <w:rPr>
          <w:rFonts w:ascii="Calibri" w:eastAsia="Calibri" w:hAnsi="Calibri" w:cs="Calibri"/>
          <w:color w:val="000000" w:themeColor="text1"/>
        </w:rPr>
        <w:t>page 13</w:t>
      </w:r>
      <w:r w:rsidR="00A3066E">
        <w:rPr>
          <w:rFonts w:ascii="Calibri" w:eastAsia="Calibri" w:hAnsi="Calibri" w:cs="Calibri"/>
          <w:color w:val="000000" w:themeColor="text1"/>
        </w:rPr>
        <w:t>,</w:t>
      </w:r>
      <w:r w:rsidRPr="360BC4E9" w:rsidR="160082AF">
        <w:rPr>
          <w:rFonts w:ascii="Calibri" w:eastAsia="Calibri" w:hAnsi="Calibri" w:cs="Calibri"/>
          <w:color w:val="000000" w:themeColor="text1"/>
        </w:rPr>
        <w:t>323</w:t>
      </w:r>
      <w:r w:rsidR="160082AF">
        <w:t>,</w:t>
      </w:r>
      <w:r w:rsidRPr="360BC4E9" w:rsidR="160082AF">
        <w:rPr>
          <w:rFonts w:ascii="Calibri" w:eastAsia="Calibri" w:hAnsi="Calibri" w:cs="Calibri"/>
          <w:color w:val="000000" w:themeColor="text1"/>
        </w:rPr>
        <w:t xml:space="preserve"> </w:t>
      </w:r>
      <w:r w:rsidRPr="360BC4E9" w:rsidR="2A352542">
        <w:rPr>
          <w:rFonts w:ascii="Calibri" w:eastAsia="Calibri" w:hAnsi="Calibri" w:cs="Calibri"/>
          <w:color w:val="000000" w:themeColor="text1"/>
        </w:rPr>
        <w:t>was published on Thursday, February 22, 2024</w:t>
      </w:r>
      <w:r w:rsidRPr="360BC4E9" w:rsidR="5E957FAE">
        <w:rPr>
          <w:rFonts w:ascii="Calibri" w:eastAsia="Calibri" w:hAnsi="Calibri" w:cs="Calibri"/>
          <w:color w:val="000000" w:themeColor="text1"/>
        </w:rPr>
        <w:t>,</w:t>
      </w:r>
      <w:r>
        <w:t xml:space="preserve"> the draft </w:t>
      </w:r>
      <w:r>
        <w:t>forms</w:t>
      </w:r>
      <w:r>
        <w:t xml:space="preserve"> and instructions</w:t>
      </w:r>
      <w:r>
        <w:t xml:space="preserve"> </w:t>
      </w:r>
      <w:r w:rsidR="4B961F3F">
        <w:t>were</w:t>
      </w:r>
      <w:r>
        <w:t xml:space="preserve"> posted</w:t>
      </w:r>
      <w:r>
        <w:t xml:space="preserve"> on </w:t>
      </w:r>
      <w:r>
        <w:t>EIA’s</w:t>
      </w:r>
      <w:r>
        <w:t xml:space="preserve"> website for the general public</w:t>
      </w:r>
      <w:r w:rsidR="2452B59D">
        <w:t xml:space="preserve"> to solicit feedback</w:t>
      </w:r>
      <w:r>
        <w:t>.</w:t>
      </w:r>
      <w:r w:rsidR="0F6FE7A9">
        <w:t xml:space="preserve"> </w:t>
      </w:r>
      <w:r w:rsidR="0F6FE7A9">
        <w:t>S</w:t>
      </w:r>
      <w:r w:rsidR="0F6FE7A9">
        <w:t xml:space="preserve">ix comments </w:t>
      </w:r>
      <w:r w:rsidR="0F6FE7A9">
        <w:t xml:space="preserve">were received </w:t>
      </w:r>
      <w:r w:rsidR="0F6FE7A9">
        <w:t>on the form content and publication.</w:t>
      </w:r>
      <w:r w:rsidR="0F6FE7A9">
        <w:t xml:space="preserve"> The comments were</w:t>
      </w:r>
      <w:r w:rsidR="0F6FE7A9">
        <w:t xml:space="preserve"> evaluated and addressed.</w:t>
      </w:r>
      <w:r w:rsidR="00606B74">
        <w:t xml:space="preserve"> </w:t>
      </w:r>
    </w:p>
    <w:p w:rsidR="00B12F3C" w:rsidP="005F0816" w14:paraId="541DF3A3" w14:textId="77777777">
      <w:pPr>
        <w:pStyle w:val="Heading2"/>
      </w:pPr>
      <w:bookmarkStart w:id="9" w:name="_Toc466046938"/>
      <w:bookmarkStart w:id="10" w:name="_Toc166227842"/>
      <w:r>
        <w:t>B.</w:t>
      </w:r>
      <w:r w:rsidRPr="00A41763">
        <w:t xml:space="preserve">5. </w:t>
      </w:r>
      <w:r>
        <w:t>Statistical Consultations</w:t>
      </w:r>
      <w:bookmarkEnd w:id="9"/>
      <w:bookmarkEnd w:id="10"/>
    </w:p>
    <w:p w:rsidR="00606B74" w:rsidP="6E7A28EA" w14:paraId="7BA478FB" w14:textId="7F306CB5">
      <w:pPr>
        <w:pStyle w:val="paragraph"/>
        <w:spacing w:before="0" w:beforeAutospacing="0" w:after="0" w:afterAutospacing="0"/>
        <w:textAlignment w:val="baseline"/>
        <w:rPr>
          <w:rStyle w:val="eop"/>
          <w:rFonts w:ascii="Calibri" w:hAnsi="Calibri" w:eastAsiaTheme="majorEastAsia" w:cs="Calibri"/>
          <w:sz w:val="22"/>
          <w:szCs w:val="22"/>
        </w:rPr>
      </w:pPr>
      <w:r w:rsidRPr="6E7A28EA">
        <w:rPr>
          <w:rStyle w:val="normaltextrun"/>
          <w:rFonts w:ascii="Calibri" w:hAnsi="Calibri" w:eastAsiaTheme="majorEastAsia" w:cs="Calibri"/>
          <w:sz w:val="22"/>
          <w:szCs w:val="22"/>
        </w:rPr>
        <w:t xml:space="preserve">There were no </w:t>
      </w:r>
      <w:r w:rsidRPr="6E7A28EA">
        <w:rPr>
          <w:rStyle w:val="normaltextrun"/>
          <w:rFonts w:ascii="Calibri" w:hAnsi="Calibri" w:eastAsiaTheme="majorEastAsia" w:cs="Calibri"/>
          <w:sz w:val="22"/>
          <w:szCs w:val="22"/>
        </w:rPr>
        <w:t xml:space="preserve">new statistical procedures </w:t>
      </w:r>
      <w:r w:rsidRPr="6E7A28EA">
        <w:rPr>
          <w:rStyle w:val="normaltextrun"/>
          <w:rFonts w:ascii="Calibri" w:hAnsi="Calibri" w:eastAsiaTheme="majorEastAsia" w:cs="Calibri"/>
          <w:sz w:val="22"/>
          <w:szCs w:val="22"/>
        </w:rPr>
        <w:t>introduce</w:t>
      </w:r>
      <w:r w:rsidRPr="6E7A28EA" w:rsidR="141FF2F8">
        <w:rPr>
          <w:rStyle w:val="normaltextrun"/>
          <w:rFonts w:ascii="Calibri" w:hAnsi="Calibri" w:eastAsiaTheme="majorEastAsia" w:cs="Calibri"/>
          <w:sz w:val="22"/>
          <w:szCs w:val="22"/>
        </w:rPr>
        <w:t>d</w:t>
      </w:r>
      <w:r w:rsidRPr="6E7A28EA">
        <w:rPr>
          <w:rStyle w:val="normaltextrun"/>
          <w:rFonts w:ascii="Calibri" w:hAnsi="Calibri" w:eastAsiaTheme="majorEastAsia" w:cs="Calibri"/>
          <w:sz w:val="22"/>
          <w:szCs w:val="22"/>
        </w:rPr>
        <w:t xml:space="preserve"> </w:t>
      </w:r>
      <w:r w:rsidRPr="6E7A28EA">
        <w:rPr>
          <w:rStyle w:val="normaltextrun"/>
          <w:rFonts w:ascii="Calibri" w:hAnsi="Calibri" w:eastAsiaTheme="majorEastAsia" w:cs="Calibri"/>
          <w:sz w:val="22"/>
          <w:szCs w:val="22"/>
        </w:rPr>
        <w:t xml:space="preserve">this clearance cycle. Therefore, no special statistical consultations </w:t>
      </w:r>
      <w:r w:rsidRPr="6E7A28EA">
        <w:rPr>
          <w:rStyle w:val="normaltextrun"/>
          <w:rFonts w:ascii="Calibri" w:hAnsi="Calibri" w:eastAsiaTheme="majorEastAsia" w:cs="Calibri"/>
          <w:sz w:val="22"/>
          <w:szCs w:val="22"/>
        </w:rPr>
        <w:t xml:space="preserve">were made </w:t>
      </w:r>
      <w:r w:rsidRPr="6E7A28EA">
        <w:rPr>
          <w:rStyle w:val="normaltextrun"/>
          <w:rFonts w:ascii="Calibri" w:hAnsi="Calibri" w:eastAsiaTheme="majorEastAsia" w:cs="Calibri"/>
          <w:sz w:val="22"/>
          <w:szCs w:val="22"/>
        </w:rPr>
        <w:t>as part of this package.  </w:t>
      </w:r>
      <w:r w:rsidRPr="6E7A28EA">
        <w:rPr>
          <w:rStyle w:val="eop"/>
          <w:rFonts w:ascii="Calibri" w:hAnsi="Calibri" w:eastAsiaTheme="majorEastAsia" w:cs="Calibri"/>
          <w:sz w:val="22"/>
          <w:szCs w:val="22"/>
        </w:rPr>
        <w:t> </w:t>
      </w:r>
    </w:p>
    <w:p w:rsidR="00606B74" w:rsidP="6E7A28EA" w14:paraId="6FC2225A" w14:textId="77777777">
      <w:pPr>
        <w:pStyle w:val="paragraph"/>
        <w:spacing w:before="0" w:beforeAutospacing="0" w:after="0" w:afterAutospacing="0"/>
        <w:textAlignment w:val="baseline"/>
        <w:rPr>
          <w:rStyle w:val="eop"/>
          <w:rFonts w:ascii="Calibri" w:hAnsi="Calibri" w:eastAsiaTheme="majorEastAsia" w:cs="Calibri"/>
          <w:sz w:val="22"/>
          <w:szCs w:val="22"/>
        </w:rPr>
      </w:pPr>
    </w:p>
    <w:p w:rsidR="00606B74" w:rsidRPr="000448E6" w:rsidP="6E7A28EA" w14:paraId="05ACC990" w14:textId="2E615345">
      <w:pPr>
        <w:pStyle w:val="paragraph"/>
        <w:spacing w:before="0" w:beforeAutospacing="0" w:after="0" w:afterAutospacing="0"/>
        <w:textAlignment w:val="baseline"/>
        <w:rPr>
          <w:rFonts w:asciiTheme="minorHAnsi" w:hAnsiTheme="minorHAnsi" w:cstheme="minorBidi"/>
          <w:sz w:val="22"/>
          <w:szCs w:val="22"/>
        </w:rPr>
      </w:pPr>
      <w:r w:rsidRPr="6E7A28EA">
        <w:rPr>
          <w:rStyle w:val="normaltextrun"/>
          <w:rFonts w:ascii="Calibri" w:hAnsi="Calibri" w:eastAsiaTheme="majorEastAsia" w:cs="Calibri"/>
          <w:sz w:val="22"/>
          <w:szCs w:val="22"/>
        </w:rPr>
        <w:t>For information concerning</w:t>
      </w:r>
      <w:r w:rsidRPr="6E7A28EA" w:rsidR="5A8884B3">
        <w:rPr>
          <w:rStyle w:val="normaltextrun"/>
          <w:rFonts w:ascii="Calibri" w:hAnsi="Calibri" w:eastAsiaTheme="majorEastAsia" w:cs="Calibri"/>
          <w:sz w:val="22"/>
          <w:szCs w:val="22"/>
        </w:rPr>
        <w:t xml:space="preserve"> the</w:t>
      </w:r>
      <w:r w:rsidRPr="6E7A28EA" w:rsidR="3548E4B6">
        <w:rPr>
          <w:rStyle w:val="normaltextrun"/>
          <w:rFonts w:ascii="Calibri" w:hAnsi="Calibri" w:eastAsiaTheme="majorEastAsia" w:cs="Calibri"/>
          <w:sz w:val="22"/>
          <w:szCs w:val="22"/>
        </w:rPr>
        <w:t xml:space="preserve"> </w:t>
      </w:r>
      <w:r w:rsidRPr="6E7A28EA">
        <w:rPr>
          <w:rFonts w:asciiTheme="minorHAnsi" w:hAnsiTheme="minorHAnsi" w:cstheme="minorBidi"/>
          <w:sz w:val="22"/>
          <w:szCs w:val="22"/>
        </w:rPr>
        <w:t>Form EIA-63C</w:t>
      </w:r>
      <w:r w:rsidR="00F7313F">
        <w:rPr>
          <w:rFonts w:asciiTheme="minorHAnsi" w:hAnsiTheme="minorHAnsi" w:cstheme="minorBidi"/>
          <w:sz w:val="22"/>
          <w:szCs w:val="22"/>
        </w:rPr>
        <w:t>,</w:t>
      </w:r>
      <w:r w:rsidRPr="6E7A28EA">
        <w:rPr>
          <w:rFonts w:asciiTheme="minorHAnsi" w:hAnsiTheme="minorHAnsi" w:cstheme="minorBidi"/>
          <w:sz w:val="22"/>
          <w:szCs w:val="22"/>
        </w:rPr>
        <w:t xml:space="preserve"> </w:t>
      </w:r>
      <w:r w:rsidRPr="007455E1">
        <w:rPr>
          <w:rFonts w:asciiTheme="minorHAnsi" w:hAnsiTheme="minorHAnsi" w:cstheme="minorBidi"/>
          <w:i/>
          <w:iCs/>
          <w:sz w:val="22"/>
          <w:szCs w:val="22"/>
        </w:rPr>
        <w:t>Densified Biomass Fuel Report</w:t>
      </w:r>
      <w:r w:rsidRPr="6E7A28EA">
        <w:rPr>
          <w:rStyle w:val="normaltextrun"/>
          <w:rFonts w:ascii="Calibri" w:hAnsi="Calibri" w:eastAsiaTheme="majorEastAsia" w:cs="Calibri"/>
          <w:sz w:val="22"/>
          <w:szCs w:val="22"/>
        </w:rPr>
        <w:t xml:space="preserve">, please contact </w:t>
      </w:r>
      <w:hyperlink r:id="rId16" w:history="1">
        <w:r w:rsidRPr="00F7313F">
          <w:rPr>
            <w:rStyle w:val="Hyperlink"/>
            <w:rFonts w:ascii="Calibri" w:hAnsi="Calibri" w:eastAsiaTheme="majorEastAsia" w:cs="Calibri"/>
            <w:sz w:val="22"/>
            <w:szCs w:val="22"/>
          </w:rPr>
          <w:t>Patricia Hutchins</w:t>
        </w:r>
      </w:hyperlink>
      <w:r w:rsidRPr="6E7A28EA">
        <w:rPr>
          <w:rStyle w:val="normaltextrun"/>
          <w:rFonts w:ascii="Calibri" w:hAnsi="Calibri" w:eastAsiaTheme="majorEastAsia" w:cs="Calibri"/>
          <w:sz w:val="22"/>
          <w:szCs w:val="22"/>
        </w:rPr>
        <w:t>, Operations Research Analyst, Office of Energy Production, Conversion, and Delivery</w:t>
      </w:r>
      <w:r w:rsidRPr="6E7A28EA">
        <w:rPr>
          <w:rStyle w:val="normaltextrun"/>
          <w:rFonts w:ascii="Calibri" w:hAnsi="Calibri" w:eastAsiaTheme="majorEastAsia" w:cs="Calibri"/>
          <w:sz w:val="22"/>
          <w:szCs w:val="22"/>
        </w:rPr>
        <w:t xml:space="preserve">, </w:t>
      </w:r>
      <w:r w:rsidRPr="6E7A28EA">
        <w:rPr>
          <w:rFonts w:asciiTheme="minorHAnsi" w:eastAsiaTheme="majorEastAsia" w:hAnsiTheme="minorHAnsi" w:cstheme="minorBidi"/>
          <w:sz w:val="22"/>
          <w:szCs w:val="22"/>
        </w:rPr>
        <w:t xml:space="preserve">at </w:t>
      </w:r>
      <w:r w:rsidRPr="6E7A28EA">
        <w:rPr>
          <w:rFonts w:asciiTheme="minorHAnsi" w:hAnsiTheme="minorHAnsi" w:cstheme="minorBidi"/>
          <w:sz w:val="22"/>
          <w:szCs w:val="22"/>
        </w:rPr>
        <w:t>Patricia.Hutchins@eia.gov</w:t>
      </w:r>
      <w:r w:rsidRPr="6E7A28EA">
        <w:rPr>
          <w:rFonts w:asciiTheme="minorHAnsi" w:hAnsiTheme="minorHAnsi" w:cstheme="minorBidi"/>
          <w:sz w:val="22"/>
          <w:szCs w:val="22"/>
        </w:rPr>
        <w:t>.</w:t>
      </w:r>
      <w:r w:rsidRPr="6E7A28EA">
        <w:rPr>
          <w:rStyle w:val="normaltextrun"/>
          <w:rFonts w:asciiTheme="minorHAnsi" w:eastAsiaTheme="majorEastAsia" w:hAnsiTheme="minorHAnsi" w:cstheme="minorBidi"/>
          <w:sz w:val="22"/>
          <w:szCs w:val="22"/>
        </w:rPr>
        <w:t> </w:t>
      </w:r>
      <w:r w:rsidRPr="6E7A28EA">
        <w:rPr>
          <w:rStyle w:val="eop"/>
          <w:rFonts w:asciiTheme="minorHAnsi" w:eastAsiaTheme="majorEastAsia" w:hAnsiTheme="minorHAnsi" w:cstheme="minorBidi"/>
          <w:sz w:val="22"/>
          <w:szCs w:val="22"/>
        </w:rPr>
        <w:t> </w:t>
      </w:r>
    </w:p>
    <w:p w:rsidR="00B12F3C" w:rsidP="6E7A28EA" w14:paraId="1D229E41" w14:textId="1501324C">
      <w:pPr>
        <w:spacing w:after="0" w:line="240" w:lineRule="auto"/>
        <w:rPr>
          <w:rStyle w:val="normaltextrun"/>
          <w:rFonts w:ascii="Calibri" w:hAnsi="Calibri" w:eastAsiaTheme="majorEastAsia" w:cs="Calibri"/>
        </w:rPr>
      </w:pPr>
    </w:p>
    <w:sectPr w:rsidSect="00454E5E">
      <w:headerReference w:type="even" r:id="rId17"/>
      <w:headerReference w:type="default" r:id="rId18"/>
      <w:footerReference w:type="even" r:id="rId19"/>
      <w:headerReference w:type="first" r:id="rId20"/>
      <w:footerReference w:type="first" r:id="rId21"/>
      <w:footnotePr>
        <w:pos w:val="beneathText"/>
      </w:foot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DE" w:rsidP="00EE49DE" w14:paraId="2407EC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EE49DE" w14:paraId="7437E02D" w14:textId="5C9F1F71">
    <w:pPr>
      <w:pStyle w:val="Footer"/>
    </w:pPr>
    <w:r w:rsidRPr="00CB180D">
      <w:t xml:space="preserve">U.S. Energy Information Administration   |   </w:t>
    </w:r>
    <w:sdt>
      <w:sdtPr>
        <w:alias w:val="Subject"/>
        <w:id w:val="-1284035111"/>
        <w:dataBinding w:prefixMappings="xmlns:ns0='http://purl.org/dc/elements/1.1/' xmlns:ns1='http://schemas.openxmlformats.org/package/2006/metadata/core-properties' " w:xpath="/ns1:coreProperties[1]/ns0:subject[1]" w:storeItemID="{6C3C8BC8-F283-45AE-878A-BAB7291924A1}"/>
        <w:text/>
      </w:sdtPr>
      <w:sdtContent>
        <w:r w:rsidR="00EE49DE">
          <w:t>EIA-63C Supporting Statement B</w:t>
        </w:r>
      </w:sdtContent>
    </w:sdt>
    <w:r>
      <w:tab/>
    </w:r>
    <w:r>
      <w:fldChar w:fldCharType="begin"/>
    </w:r>
    <w:r>
      <w:instrText xml:space="preserve"> PAGE   \* MERGEFORMAT </w:instrText>
    </w:r>
    <w:r>
      <w:fldChar w:fldCharType="separate"/>
    </w:r>
    <w:r w:rsidR="00E21D3A">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DE" w:rsidP="00EE49DE" w14:paraId="4336806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EE49DE" w14:paraId="008FCFAA" w14:textId="79CA2B27">
    <w:pPr>
      <w:pStyle w:val="Footer"/>
    </w:pPr>
    <w:sdt>
      <w:sdtPr>
        <w:id w:val="823140253"/>
        <w:docPartObj>
          <w:docPartGallery w:val="Page Numbers (Bottom of Page)"/>
          <w:docPartUnique/>
        </w:docPartObj>
      </w:sdtPr>
      <w:sdtContent>
        <w:r w:rsidRPr="00CB180D">
          <w:t xml:space="preserve">U.S. Energy Information Administration   |   </w:t>
        </w:r>
        <w:sdt>
          <w:sdtPr>
            <w:alias w:val="Subject"/>
            <w:id w:val="823140254"/>
            <w:dataBinding w:prefixMappings="xmlns:ns0='http://purl.org/dc/elements/1.1/' xmlns:ns1='http://schemas.openxmlformats.org/package/2006/metadata/core-properties' " w:xpath="/ns1:coreProperties[1]/ns0:subject[1]" w:storeItemID="{6C3C8BC8-F283-45AE-878A-BAB7291924A1}"/>
            <w:text/>
          </w:sdtPr>
          <w:sdtContent>
            <w:r w:rsidR="00EE49DE">
              <w:t>EIA-63C Supporting Statement B</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rsidP="00EE49DE" w14:paraId="281E4A9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EE49DE" w14:paraId="3E00E915" w14:textId="3FBE2F1A">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rsidR="00EE49DE">
              <w:t>EIA-63C Supporting Statement B</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rsidP="00EE49DE" w14:paraId="43FAAE5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360053"/>
      <w:docPartObj>
        <w:docPartGallery w:val="Page Numbers (Bottom of Page)"/>
        <w:docPartUnique/>
      </w:docPartObj>
    </w:sdtPr>
    <w:sdtContent>
      <w:p w:rsidR="00EA779A" w:rsidP="00EE49DE" w14:paraId="1159D40E"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EE49DE" w14:paraId="2193F62D" w14:textId="334B1A88">
    <w:pPr>
      <w:pStyle w:val="Footer"/>
    </w:pPr>
    <w:sdt>
      <w:sdtPr>
        <w:id w:val="1808282920"/>
        <w:docPartObj>
          <w:docPartGallery w:val="Page Numbers (Bottom of Page)"/>
          <w:docPartUnique/>
        </w:docPartObj>
      </w:sdtPr>
      <w:sdtContent>
        <w:r w:rsidRPr="00CB180D">
          <w:t xml:space="preserve">U.S. Energy Information Administration   |   </w:t>
        </w:r>
        <w:sdt>
          <w:sdtPr>
            <w:alias w:val="Subject"/>
            <w:id w:val="-2013597209"/>
            <w:dataBinding w:prefixMappings="xmlns:ns0='http://purl.org/dc/elements/1.1/' xmlns:ns1='http://schemas.openxmlformats.org/package/2006/metadata/core-properties' " w:xpath="/ns1:coreProperties[1]/ns0:subject[1]" w:storeItemID="{6C3C8BC8-F283-45AE-878A-BAB7291924A1}"/>
            <w:text/>
          </w:sdtPr>
          <w:sdtContent>
            <w:r w:rsidR="00EE49DE">
              <w:t>EIA-63C Supporting Statement B</w:t>
            </w:r>
          </w:sdtContent>
        </w:sdt>
        <w:r w:rsidRPr="00CB180D">
          <w:tab/>
        </w:r>
      </w:sdtContent>
    </w:sdt>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EE49DE" w14:paraId="4457DEB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73C11BA6"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2C65BCDF" w14:textId="0E58F9F7">
    <w:pPr>
      <w:pStyle w:val="Header"/>
    </w:pPr>
    <w:r>
      <w:t>May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41EC726C"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12E5181C"/>
    <w:multiLevelType w:val="multilevel"/>
    <w:tmpl w:val="B69ADCF2"/>
    <w:numStyleLink w:val="EIAbullets"/>
  </w:abstractNum>
  <w:abstractNum w:abstractNumId="9">
    <w:nsid w:val="17EC7600"/>
    <w:multiLevelType w:val="hybridMultilevel"/>
    <w:tmpl w:val="95DCA00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0D6D1F"/>
    <w:multiLevelType w:val="hybridMultilevel"/>
    <w:tmpl w:val="2BF01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442868"/>
    <w:multiLevelType w:val="hybridMultilevel"/>
    <w:tmpl w:val="8CE6C34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7E6225"/>
    <w:multiLevelType w:val="multilevel"/>
    <w:tmpl w:val="B69ADCF2"/>
    <w:numStyleLink w:val="EIAbullets"/>
  </w:abstractNum>
  <w:abstractNum w:abstractNumId="13">
    <w:nsid w:val="271B7F46"/>
    <w:multiLevelType w:val="multilevel"/>
    <w:tmpl w:val="B69ADCF2"/>
    <w:styleLink w:val="EIAbullets"/>
    <w:lvl w:ilvl="0">
      <w:start w:val="1"/>
      <w:numFmt w:val="bullet"/>
      <w:pStyle w:val="ListParagraph"/>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4">
    <w:nsid w:val="38861E46"/>
    <w:multiLevelType w:val="multilevel"/>
    <w:tmpl w:val="B69ADCF2"/>
    <w:numStyleLink w:val="EIAbullets"/>
  </w:abstractNum>
  <w:abstractNum w:abstractNumId="15">
    <w:nsid w:val="3AE524C1"/>
    <w:multiLevelType w:val="hybridMultilevel"/>
    <w:tmpl w:val="B130EA84"/>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6BA2386"/>
    <w:multiLevelType w:val="multilevel"/>
    <w:tmpl w:val="B69ADCF2"/>
    <w:numStyleLink w:val="EIAbullets"/>
  </w:abstractNum>
  <w:abstractNum w:abstractNumId="17">
    <w:nsid w:val="4EBF29EA"/>
    <w:multiLevelType w:val="multilevel"/>
    <w:tmpl w:val="B69ADCF2"/>
    <w:numStyleLink w:val="EIAbullets"/>
  </w:abstractNum>
  <w:abstractNum w:abstractNumId="18">
    <w:nsid w:val="632B2CBD"/>
    <w:multiLevelType w:val="multilevel"/>
    <w:tmpl w:val="B69ADCF2"/>
    <w:numStyleLink w:val="EIAbullets"/>
  </w:abstractNum>
  <w:abstractNum w:abstractNumId="19">
    <w:nsid w:val="69F073C5"/>
    <w:multiLevelType w:val="hybridMultilevel"/>
    <w:tmpl w:val="1C8EBEF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863061"/>
    <w:multiLevelType w:val="multilevel"/>
    <w:tmpl w:val="92F4FDE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550308029">
    <w:abstractNumId w:val="3"/>
  </w:num>
  <w:num w:numId="2" w16cid:durableId="424770180">
    <w:abstractNumId w:val="6"/>
  </w:num>
  <w:num w:numId="3" w16cid:durableId="1858764672">
    <w:abstractNumId w:val="4"/>
  </w:num>
  <w:num w:numId="4" w16cid:durableId="1354846515">
    <w:abstractNumId w:val="2"/>
  </w:num>
  <w:num w:numId="5" w16cid:durableId="83187223">
    <w:abstractNumId w:val="1"/>
  </w:num>
  <w:num w:numId="6" w16cid:durableId="1342584330">
    <w:abstractNumId w:val="0"/>
  </w:num>
  <w:num w:numId="7" w16cid:durableId="2088501271">
    <w:abstractNumId w:val="20"/>
  </w:num>
  <w:num w:numId="8" w16cid:durableId="269973854">
    <w:abstractNumId w:val="13"/>
  </w:num>
  <w:num w:numId="9" w16cid:durableId="454762738">
    <w:abstractNumId w:val="16"/>
  </w:num>
  <w:num w:numId="10" w16cid:durableId="2004892446">
    <w:abstractNumId w:val="8"/>
  </w:num>
  <w:num w:numId="11" w16cid:durableId="790898034">
    <w:abstractNumId w:val="9"/>
  </w:num>
  <w:num w:numId="12" w16cid:durableId="828445343">
    <w:abstractNumId w:val="12"/>
  </w:num>
  <w:num w:numId="13" w16cid:durableId="2027369257">
    <w:abstractNumId w:val="14"/>
  </w:num>
  <w:num w:numId="14" w16cid:durableId="2074967964">
    <w:abstractNumId w:val="11"/>
  </w:num>
  <w:num w:numId="15" w16cid:durableId="843129627">
    <w:abstractNumId w:val="7"/>
  </w:num>
  <w:num w:numId="16" w16cid:durableId="894776552">
    <w:abstractNumId w:val="19"/>
  </w:num>
  <w:num w:numId="17" w16cid:durableId="1122185886">
    <w:abstractNumId w:val="17"/>
  </w:num>
  <w:num w:numId="18" w16cid:durableId="1163937836">
    <w:abstractNumId w:val="15"/>
  </w:num>
  <w:num w:numId="19" w16cid:durableId="1564488224">
    <w:abstractNumId w:val="18"/>
  </w:num>
  <w:num w:numId="20" w16cid:durableId="1626305657">
    <w:abstractNumId w:val="5"/>
  </w:num>
  <w:num w:numId="21" w16cid:durableId="15532699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3C"/>
    <w:rsid w:val="0000019D"/>
    <w:rsid w:val="000008B5"/>
    <w:rsid w:val="0000364C"/>
    <w:rsid w:val="00004135"/>
    <w:rsid w:val="000041A1"/>
    <w:rsid w:val="000053BB"/>
    <w:rsid w:val="00011B3F"/>
    <w:rsid w:val="00013373"/>
    <w:rsid w:val="000142E5"/>
    <w:rsid w:val="00015DA7"/>
    <w:rsid w:val="000248CE"/>
    <w:rsid w:val="00032B94"/>
    <w:rsid w:val="00034A4B"/>
    <w:rsid w:val="00041909"/>
    <w:rsid w:val="000448E6"/>
    <w:rsid w:val="00046593"/>
    <w:rsid w:val="00047C08"/>
    <w:rsid w:val="000556B6"/>
    <w:rsid w:val="00055769"/>
    <w:rsid w:val="00056EC3"/>
    <w:rsid w:val="000621DC"/>
    <w:rsid w:val="00062CFE"/>
    <w:rsid w:val="0006355B"/>
    <w:rsid w:val="00063FA9"/>
    <w:rsid w:val="0007129A"/>
    <w:rsid w:val="0007760A"/>
    <w:rsid w:val="000831C4"/>
    <w:rsid w:val="000844CA"/>
    <w:rsid w:val="00085E32"/>
    <w:rsid w:val="00091CC7"/>
    <w:rsid w:val="000B3FBE"/>
    <w:rsid w:val="000C4381"/>
    <w:rsid w:val="000C5311"/>
    <w:rsid w:val="000F040A"/>
    <w:rsid w:val="001022FE"/>
    <w:rsid w:val="001034E8"/>
    <w:rsid w:val="00112A69"/>
    <w:rsid w:val="0011541D"/>
    <w:rsid w:val="00132F4A"/>
    <w:rsid w:val="00140D25"/>
    <w:rsid w:val="00160925"/>
    <w:rsid w:val="00160D58"/>
    <w:rsid w:val="00167425"/>
    <w:rsid w:val="00174183"/>
    <w:rsid w:val="00175361"/>
    <w:rsid w:val="001807A3"/>
    <w:rsid w:val="001947D5"/>
    <w:rsid w:val="001A6E1E"/>
    <w:rsid w:val="001B0E69"/>
    <w:rsid w:val="001D03A8"/>
    <w:rsid w:val="001D2E96"/>
    <w:rsid w:val="001F3A8F"/>
    <w:rsid w:val="002008B4"/>
    <w:rsid w:val="00201F24"/>
    <w:rsid w:val="00206D5A"/>
    <w:rsid w:val="002127CE"/>
    <w:rsid w:val="00215842"/>
    <w:rsid w:val="002207DF"/>
    <w:rsid w:val="00221AC2"/>
    <w:rsid w:val="00224002"/>
    <w:rsid w:val="00227E4B"/>
    <w:rsid w:val="0023015A"/>
    <w:rsid w:val="0023708A"/>
    <w:rsid w:val="0025022D"/>
    <w:rsid w:val="002530BB"/>
    <w:rsid w:val="002556F3"/>
    <w:rsid w:val="00260EDF"/>
    <w:rsid w:val="00264148"/>
    <w:rsid w:val="00267A8E"/>
    <w:rsid w:val="00271A12"/>
    <w:rsid w:val="00274179"/>
    <w:rsid w:val="002B0FD2"/>
    <w:rsid w:val="002B5EC9"/>
    <w:rsid w:val="002C378C"/>
    <w:rsid w:val="002D4FE9"/>
    <w:rsid w:val="002E18F8"/>
    <w:rsid w:val="002E3FD5"/>
    <w:rsid w:val="002E7A38"/>
    <w:rsid w:val="00306516"/>
    <w:rsid w:val="00313D14"/>
    <w:rsid w:val="00325C96"/>
    <w:rsid w:val="00330D13"/>
    <w:rsid w:val="003469CB"/>
    <w:rsid w:val="00346BDC"/>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E3BDD"/>
    <w:rsid w:val="003E40FA"/>
    <w:rsid w:val="003E58AC"/>
    <w:rsid w:val="003F24ED"/>
    <w:rsid w:val="003F3866"/>
    <w:rsid w:val="003F529E"/>
    <w:rsid w:val="004020B2"/>
    <w:rsid w:val="0042608E"/>
    <w:rsid w:val="00426481"/>
    <w:rsid w:val="00431CD7"/>
    <w:rsid w:val="00432966"/>
    <w:rsid w:val="00433C96"/>
    <w:rsid w:val="00447DB8"/>
    <w:rsid w:val="00454E5E"/>
    <w:rsid w:val="0045608E"/>
    <w:rsid w:val="0045662F"/>
    <w:rsid w:val="00466959"/>
    <w:rsid w:val="0047784B"/>
    <w:rsid w:val="004854EE"/>
    <w:rsid w:val="004946F0"/>
    <w:rsid w:val="00495088"/>
    <w:rsid w:val="00497C2A"/>
    <w:rsid w:val="004A729E"/>
    <w:rsid w:val="004B058E"/>
    <w:rsid w:val="004B1075"/>
    <w:rsid w:val="004B552A"/>
    <w:rsid w:val="004C14D5"/>
    <w:rsid w:val="004C277B"/>
    <w:rsid w:val="004D05FB"/>
    <w:rsid w:val="004D0F05"/>
    <w:rsid w:val="004D236B"/>
    <w:rsid w:val="004D29C7"/>
    <w:rsid w:val="004E5446"/>
    <w:rsid w:val="004E6204"/>
    <w:rsid w:val="00504119"/>
    <w:rsid w:val="00505571"/>
    <w:rsid w:val="005065CF"/>
    <w:rsid w:val="00506BB4"/>
    <w:rsid w:val="0050705F"/>
    <w:rsid w:val="005170D3"/>
    <w:rsid w:val="0052493A"/>
    <w:rsid w:val="00524A83"/>
    <w:rsid w:val="005254A6"/>
    <w:rsid w:val="00535CAF"/>
    <w:rsid w:val="00536054"/>
    <w:rsid w:val="0053654B"/>
    <w:rsid w:val="00536CE1"/>
    <w:rsid w:val="00537C90"/>
    <w:rsid w:val="00540CC5"/>
    <w:rsid w:val="0054180D"/>
    <w:rsid w:val="00547B53"/>
    <w:rsid w:val="00552509"/>
    <w:rsid w:val="00563592"/>
    <w:rsid w:val="00571D8F"/>
    <w:rsid w:val="0057367D"/>
    <w:rsid w:val="00585BE3"/>
    <w:rsid w:val="00590293"/>
    <w:rsid w:val="005A0F24"/>
    <w:rsid w:val="005B2B58"/>
    <w:rsid w:val="005B4863"/>
    <w:rsid w:val="005B4FB5"/>
    <w:rsid w:val="005C00FA"/>
    <w:rsid w:val="005C2D89"/>
    <w:rsid w:val="005C485B"/>
    <w:rsid w:val="005D39D7"/>
    <w:rsid w:val="005D5956"/>
    <w:rsid w:val="005D602C"/>
    <w:rsid w:val="005D6F63"/>
    <w:rsid w:val="005F0816"/>
    <w:rsid w:val="005F108A"/>
    <w:rsid w:val="005F4848"/>
    <w:rsid w:val="005F55C3"/>
    <w:rsid w:val="005F778C"/>
    <w:rsid w:val="00606B74"/>
    <w:rsid w:val="00612A58"/>
    <w:rsid w:val="0062008C"/>
    <w:rsid w:val="00620797"/>
    <w:rsid w:val="00626494"/>
    <w:rsid w:val="00641DE2"/>
    <w:rsid w:val="00643384"/>
    <w:rsid w:val="00652F00"/>
    <w:rsid w:val="0065406F"/>
    <w:rsid w:val="00663EC4"/>
    <w:rsid w:val="00666179"/>
    <w:rsid w:val="00667FDB"/>
    <w:rsid w:val="0067210E"/>
    <w:rsid w:val="00677C5F"/>
    <w:rsid w:val="006A0BC7"/>
    <w:rsid w:val="006A0EB0"/>
    <w:rsid w:val="006A6190"/>
    <w:rsid w:val="006C0062"/>
    <w:rsid w:val="006C097E"/>
    <w:rsid w:val="006C2DC3"/>
    <w:rsid w:val="006D0439"/>
    <w:rsid w:val="006D466F"/>
    <w:rsid w:val="00705142"/>
    <w:rsid w:val="00725453"/>
    <w:rsid w:val="00737591"/>
    <w:rsid w:val="007438F2"/>
    <w:rsid w:val="007455E1"/>
    <w:rsid w:val="00752786"/>
    <w:rsid w:val="00755C3D"/>
    <w:rsid w:val="007576EF"/>
    <w:rsid w:val="00760677"/>
    <w:rsid w:val="007609B3"/>
    <w:rsid w:val="00761C12"/>
    <w:rsid w:val="00765E5C"/>
    <w:rsid w:val="00776CF4"/>
    <w:rsid w:val="00783DF5"/>
    <w:rsid w:val="00784F89"/>
    <w:rsid w:val="00786336"/>
    <w:rsid w:val="00791AE2"/>
    <w:rsid w:val="007A4264"/>
    <w:rsid w:val="007A4378"/>
    <w:rsid w:val="007B6FA1"/>
    <w:rsid w:val="007C17C1"/>
    <w:rsid w:val="007C1889"/>
    <w:rsid w:val="007C2C68"/>
    <w:rsid w:val="007C5CE9"/>
    <w:rsid w:val="007D39CC"/>
    <w:rsid w:val="007D6AAF"/>
    <w:rsid w:val="007E0774"/>
    <w:rsid w:val="007E37FC"/>
    <w:rsid w:val="007E5A11"/>
    <w:rsid w:val="007E73E6"/>
    <w:rsid w:val="007E7B61"/>
    <w:rsid w:val="007F1954"/>
    <w:rsid w:val="007F21D7"/>
    <w:rsid w:val="007F2BB7"/>
    <w:rsid w:val="008057F8"/>
    <w:rsid w:val="008307E1"/>
    <w:rsid w:val="00867160"/>
    <w:rsid w:val="0087205B"/>
    <w:rsid w:val="00874FB8"/>
    <w:rsid w:val="00895669"/>
    <w:rsid w:val="00897946"/>
    <w:rsid w:val="008A3276"/>
    <w:rsid w:val="008A3447"/>
    <w:rsid w:val="008C4DAD"/>
    <w:rsid w:val="008E4BF2"/>
    <w:rsid w:val="008E4FA4"/>
    <w:rsid w:val="008F4CBD"/>
    <w:rsid w:val="009017AD"/>
    <w:rsid w:val="00901BED"/>
    <w:rsid w:val="00905735"/>
    <w:rsid w:val="00907274"/>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B19CE"/>
    <w:rsid w:val="009C202F"/>
    <w:rsid w:val="009C77F7"/>
    <w:rsid w:val="009D3ABF"/>
    <w:rsid w:val="009E12E1"/>
    <w:rsid w:val="009E5ABC"/>
    <w:rsid w:val="009E5B9C"/>
    <w:rsid w:val="009F61F7"/>
    <w:rsid w:val="00A00D71"/>
    <w:rsid w:val="00A00EDF"/>
    <w:rsid w:val="00A05A74"/>
    <w:rsid w:val="00A15571"/>
    <w:rsid w:val="00A26A17"/>
    <w:rsid w:val="00A30169"/>
    <w:rsid w:val="00A3066E"/>
    <w:rsid w:val="00A312A3"/>
    <w:rsid w:val="00A33D9F"/>
    <w:rsid w:val="00A37229"/>
    <w:rsid w:val="00A41763"/>
    <w:rsid w:val="00A418C9"/>
    <w:rsid w:val="00A74C9B"/>
    <w:rsid w:val="00A93478"/>
    <w:rsid w:val="00A97FE7"/>
    <w:rsid w:val="00AA46CA"/>
    <w:rsid w:val="00AA7EFA"/>
    <w:rsid w:val="00AB61B3"/>
    <w:rsid w:val="00AC323A"/>
    <w:rsid w:val="00AD6244"/>
    <w:rsid w:val="00AD6357"/>
    <w:rsid w:val="00AD7F81"/>
    <w:rsid w:val="00AE4CA9"/>
    <w:rsid w:val="00AF2CBF"/>
    <w:rsid w:val="00AF367D"/>
    <w:rsid w:val="00AF45FD"/>
    <w:rsid w:val="00B01714"/>
    <w:rsid w:val="00B12F3C"/>
    <w:rsid w:val="00B35E2A"/>
    <w:rsid w:val="00B41D7A"/>
    <w:rsid w:val="00B4263D"/>
    <w:rsid w:val="00B56F49"/>
    <w:rsid w:val="00B671F4"/>
    <w:rsid w:val="00B7442A"/>
    <w:rsid w:val="00B80706"/>
    <w:rsid w:val="00B97002"/>
    <w:rsid w:val="00BA067F"/>
    <w:rsid w:val="00BA72AC"/>
    <w:rsid w:val="00BB2F70"/>
    <w:rsid w:val="00BB6CF4"/>
    <w:rsid w:val="00BC14C3"/>
    <w:rsid w:val="00BC1ABE"/>
    <w:rsid w:val="00BD2F20"/>
    <w:rsid w:val="00BD4F62"/>
    <w:rsid w:val="00BE4AFD"/>
    <w:rsid w:val="00C00590"/>
    <w:rsid w:val="00C04647"/>
    <w:rsid w:val="00C12551"/>
    <w:rsid w:val="00C211CD"/>
    <w:rsid w:val="00C2162C"/>
    <w:rsid w:val="00C25328"/>
    <w:rsid w:val="00C3744D"/>
    <w:rsid w:val="00C43A84"/>
    <w:rsid w:val="00C43D02"/>
    <w:rsid w:val="00C64137"/>
    <w:rsid w:val="00C658E4"/>
    <w:rsid w:val="00C676B1"/>
    <w:rsid w:val="00C7266E"/>
    <w:rsid w:val="00C754F1"/>
    <w:rsid w:val="00C76C66"/>
    <w:rsid w:val="00C82DF9"/>
    <w:rsid w:val="00C87190"/>
    <w:rsid w:val="00C9047C"/>
    <w:rsid w:val="00C97EC2"/>
    <w:rsid w:val="00CA1564"/>
    <w:rsid w:val="00CA2A61"/>
    <w:rsid w:val="00CA7C8A"/>
    <w:rsid w:val="00CB180D"/>
    <w:rsid w:val="00CB34B0"/>
    <w:rsid w:val="00CB44E8"/>
    <w:rsid w:val="00CB7978"/>
    <w:rsid w:val="00CC1D12"/>
    <w:rsid w:val="00CE42E9"/>
    <w:rsid w:val="00CF76C5"/>
    <w:rsid w:val="00D001E4"/>
    <w:rsid w:val="00D00AA8"/>
    <w:rsid w:val="00D02778"/>
    <w:rsid w:val="00D06EF5"/>
    <w:rsid w:val="00D300F4"/>
    <w:rsid w:val="00D3344B"/>
    <w:rsid w:val="00D40175"/>
    <w:rsid w:val="00D55243"/>
    <w:rsid w:val="00D62F90"/>
    <w:rsid w:val="00D63E74"/>
    <w:rsid w:val="00D715C4"/>
    <w:rsid w:val="00D83FE2"/>
    <w:rsid w:val="00D928FD"/>
    <w:rsid w:val="00D954B4"/>
    <w:rsid w:val="00D96D3C"/>
    <w:rsid w:val="00DC1753"/>
    <w:rsid w:val="00DC79E3"/>
    <w:rsid w:val="00DE0DC5"/>
    <w:rsid w:val="00DE2D54"/>
    <w:rsid w:val="00DE7A1C"/>
    <w:rsid w:val="00E02BB0"/>
    <w:rsid w:val="00E03CE6"/>
    <w:rsid w:val="00E04947"/>
    <w:rsid w:val="00E04AA7"/>
    <w:rsid w:val="00E06D5C"/>
    <w:rsid w:val="00E13716"/>
    <w:rsid w:val="00E1631C"/>
    <w:rsid w:val="00E21D3A"/>
    <w:rsid w:val="00E266FF"/>
    <w:rsid w:val="00E27661"/>
    <w:rsid w:val="00E47DB3"/>
    <w:rsid w:val="00E51F8B"/>
    <w:rsid w:val="00E5242A"/>
    <w:rsid w:val="00E53398"/>
    <w:rsid w:val="00E66AE2"/>
    <w:rsid w:val="00E70061"/>
    <w:rsid w:val="00E74DA4"/>
    <w:rsid w:val="00E76421"/>
    <w:rsid w:val="00E81B89"/>
    <w:rsid w:val="00E87488"/>
    <w:rsid w:val="00E91432"/>
    <w:rsid w:val="00E91B5A"/>
    <w:rsid w:val="00EA779A"/>
    <w:rsid w:val="00EB2CA6"/>
    <w:rsid w:val="00EB6F5A"/>
    <w:rsid w:val="00EC2EF7"/>
    <w:rsid w:val="00EC7D4A"/>
    <w:rsid w:val="00ED218D"/>
    <w:rsid w:val="00ED2D61"/>
    <w:rsid w:val="00ED6E45"/>
    <w:rsid w:val="00EE43E4"/>
    <w:rsid w:val="00EE49DE"/>
    <w:rsid w:val="00EE4BED"/>
    <w:rsid w:val="00EF13CF"/>
    <w:rsid w:val="00EF6BF6"/>
    <w:rsid w:val="00F001EA"/>
    <w:rsid w:val="00F16B90"/>
    <w:rsid w:val="00F33EB6"/>
    <w:rsid w:val="00F34F19"/>
    <w:rsid w:val="00F44A21"/>
    <w:rsid w:val="00F53384"/>
    <w:rsid w:val="00F575F0"/>
    <w:rsid w:val="00F6664C"/>
    <w:rsid w:val="00F73109"/>
    <w:rsid w:val="00F7313F"/>
    <w:rsid w:val="00F80AF1"/>
    <w:rsid w:val="00F8298C"/>
    <w:rsid w:val="00F90245"/>
    <w:rsid w:val="00F920D9"/>
    <w:rsid w:val="00F9459F"/>
    <w:rsid w:val="00F94781"/>
    <w:rsid w:val="00F9692B"/>
    <w:rsid w:val="00FA5388"/>
    <w:rsid w:val="00FA540C"/>
    <w:rsid w:val="00FA7281"/>
    <w:rsid w:val="00FB08E3"/>
    <w:rsid w:val="00FD397B"/>
    <w:rsid w:val="00FD4B01"/>
    <w:rsid w:val="00FD7CDC"/>
    <w:rsid w:val="00FE22D2"/>
    <w:rsid w:val="00FE58E0"/>
    <w:rsid w:val="00FE74D0"/>
    <w:rsid w:val="024FE829"/>
    <w:rsid w:val="0386D5FB"/>
    <w:rsid w:val="03C95A00"/>
    <w:rsid w:val="0D940560"/>
    <w:rsid w:val="0E447D5D"/>
    <w:rsid w:val="0F6FE7A9"/>
    <w:rsid w:val="141FF2F8"/>
    <w:rsid w:val="14D36BD0"/>
    <w:rsid w:val="160082AF"/>
    <w:rsid w:val="1EE68F1E"/>
    <w:rsid w:val="222C1951"/>
    <w:rsid w:val="2452B59D"/>
    <w:rsid w:val="2955C685"/>
    <w:rsid w:val="29B1D560"/>
    <w:rsid w:val="29FD36E0"/>
    <w:rsid w:val="2A352542"/>
    <w:rsid w:val="2C7203FE"/>
    <w:rsid w:val="2CB92DAA"/>
    <w:rsid w:val="30253999"/>
    <w:rsid w:val="305CFDAC"/>
    <w:rsid w:val="30D799F5"/>
    <w:rsid w:val="31BE784E"/>
    <w:rsid w:val="3548E4B6"/>
    <w:rsid w:val="3581E790"/>
    <w:rsid w:val="360BC4E9"/>
    <w:rsid w:val="3AC9578D"/>
    <w:rsid w:val="47728F7C"/>
    <w:rsid w:val="4B961F3F"/>
    <w:rsid w:val="510A36AE"/>
    <w:rsid w:val="55A2FC6E"/>
    <w:rsid w:val="58019327"/>
    <w:rsid w:val="5A8884B3"/>
    <w:rsid w:val="5E957FAE"/>
    <w:rsid w:val="5F5929BB"/>
    <w:rsid w:val="619937FB"/>
    <w:rsid w:val="643F58D6"/>
    <w:rsid w:val="65BCBA17"/>
    <w:rsid w:val="6A4A027F"/>
    <w:rsid w:val="6D47F9E6"/>
    <w:rsid w:val="6E7A28EA"/>
    <w:rsid w:val="757401BD"/>
    <w:rsid w:val="7579AE8E"/>
    <w:rsid w:val="76FDC255"/>
    <w:rsid w:val="78D49E73"/>
    <w:rsid w:val="7A528321"/>
    <w:rsid w:val="7B167F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3DDEB6"/>
  <w15:docId w15:val="{A5E85583-672A-48EC-936C-27D8E81E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line="300" w:lineRule="atLeast"/>
    </w:pPr>
  </w:style>
  <w:style w:type="paragraph" w:styleId="Heading1">
    <w:name w:val="heading 1"/>
    <w:basedOn w:val="Normal"/>
    <w:next w:val="Left05Indent"/>
    <w:link w:val="Heading1Char"/>
    <w:autoRedefine/>
    <w:uiPriority w:val="1"/>
    <w:qFormat/>
    <w:rsid w:val="00140D25"/>
    <w:pPr>
      <w:keepNext/>
      <w:keepLines/>
      <w:numPr>
        <w:numId w:val="7"/>
      </w:numPr>
      <w:spacing w:after="120" w:line="380" w:lineRule="atLeast"/>
      <w:outlineLvl w:val="0"/>
    </w:pPr>
    <w:rPr>
      <w:rFonts w:asciiTheme="majorHAnsi" w:eastAsiaTheme="majorEastAsia" w:hAnsiTheme="majorHAnsi" w:cstheme="majorBidi"/>
      <w:b/>
      <w:bCs/>
      <w:color w:val="1396D8"/>
      <w:sz w:val="32"/>
      <w:szCs w:val="28"/>
    </w:rPr>
  </w:style>
  <w:style w:type="paragraph" w:styleId="Heading2">
    <w:name w:val="heading 2"/>
    <w:next w:val="Normal"/>
    <w:link w:val="Heading2Char"/>
    <w:autoRedefine/>
    <w:uiPriority w:val="1"/>
    <w:qFormat/>
    <w:rsid w:val="005F0816"/>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5F55C3"/>
    <w:pPr>
      <w:numPr>
        <w:ilvl w:val="3"/>
      </w:numPr>
      <w:outlineLvl w:val="3"/>
    </w:pPr>
    <w:rPr>
      <w:rFonts w:asciiTheme="minorHAnsi" w:hAnsiTheme="minorHAns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heme="majorHAnsi" w:hAnsiTheme="majorHAnsi"/>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D25"/>
    <w:rPr>
      <w:rFonts w:asciiTheme="majorHAnsi" w:eastAsiaTheme="majorEastAsia" w:hAnsiTheme="majorHAnsi" w:cstheme="majorBidi"/>
      <w:b/>
      <w:bCs/>
      <w:color w:val="1396D8"/>
      <w:sz w:val="32"/>
      <w:szCs w:val="28"/>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F0816"/>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5F55C3"/>
    <w:rPr>
      <w:rFonts w:eastAsiaTheme="majorEastAsia" w:cstheme="majorBidi"/>
      <w:b/>
      <w:iCs/>
      <w:color w:val="595959" w:themeColor="text1" w:themeTint="A6"/>
      <w:sz w:val="24"/>
      <w:szCs w:val="26"/>
    </w:rPr>
  </w:style>
  <w:style w:type="character" w:customStyle="1" w:styleId="Heading5Char">
    <w:name w:val="Heading 5 Char"/>
    <w:basedOn w:val="DefaultParagraphFont"/>
    <w:link w:val="Heading5"/>
    <w:uiPriority w:val="1"/>
    <w:rsid w:val="00AD6244"/>
    <w:rPr>
      <w:rFonts w:asciiTheme="majorHAnsi" w:eastAsiaTheme="majorEastAsia" w:hAnsiTheme="majorHAnsi" w:cstheme="majorBidi"/>
      <w:b/>
      <w:iCs/>
      <w:color w:val="595959" w:themeColor="text1" w:themeTint="A6"/>
      <w:sz w:val="24"/>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DE7A1C"/>
    <w:pPr>
      <w:keepNext/>
      <w:spacing w:before="140" w:after="80" w:line="240" w:lineRule="auto"/>
    </w:pPr>
    <w:rPr>
      <w:b/>
      <w:bCs/>
      <w:color w:val="000000" w:themeColor="text1"/>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basedOn w:val="DefaultParagraphFont"/>
    <w:link w:val="Header"/>
    <w:uiPriority w:val="99"/>
    <w:rsid w:val="009F61F7"/>
    <w:rPr>
      <w:i/>
    </w:rPr>
  </w:style>
  <w:style w:type="paragraph" w:styleId="Footer">
    <w:name w:val="footer"/>
    <w:basedOn w:val="Normal"/>
    <w:link w:val="FooterChar"/>
    <w:autoRedefine/>
    <w:uiPriority w:val="99"/>
    <w:qFormat/>
    <w:rsid w:val="00EE49DE"/>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EE49DE"/>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433C96"/>
    <w:rPr>
      <w:rFonts w:asciiTheme="minorHAnsi" w:hAnsiTheme="minorHAns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s="Times New Roman"/>
      <w:color w:val="1396D8"/>
      <w:szCs w:val="24"/>
    </w:rPr>
  </w:style>
  <w:style w:type="character" w:customStyle="1" w:styleId="LinkChar">
    <w:name w:val="Link Char"/>
    <w:basedOn w:val="DefaultParagraphFont"/>
    <w:link w:val="Link"/>
    <w:uiPriority w:val="11"/>
    <w:rsid w:val="004E5446"/>
    <w:rPr>
      <w:rFonts w:eastAsia="Times New Roman" w:cs="Times New Roman"/>
      <w:color w:val="1396D8"/>
      <w:szCs w:val="24"/>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B058E"/>
    <w:pPr>
      <w:numPr>
        <w:numId w:val="13"/>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themeColor="accent1"/>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themeColor="text1"/>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basedOn w:val="DefaultParagraphFont"/>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character" w:styleId="CommentReference">
    <w:name w:val="annotation reference"/>
    <w:basedOn w:val="DefaultParagraphFont"/>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basedOn w:val="DefaultParagraphFont"/>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basedOn w:val="CommentText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paragraph" w:customStyle="1" w:styleId="pf0">
    <w:name w:val="pf0"/>
    <w:basedOn w:val="Normal"/>
    <w:rsid w:val="00B12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12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12F3C"/>
  </w:style>
  <w:style w:type="character" w:customStyle="1" w:styleId="eop">
    <w:name w:val="eop"/>
    <w:basedOn w:val="DefaultParagraphFont"/>
    <w:rsid w:val="00B12F3C"/>
  </w:style>
  <w:style w:type="paragraph" w:styleId="Revision">
    <w:name w:val="Revision"/>
    <w:hidden/>
    <w:uiPriority w:val="99"/>
    <w:semiHidden/>
    <w:rsid w:val="005F0816"/>
    <w:pPr>
      <w:spacing w:after="0"/>
    </w:pPr>
  </w:style>
  <w:style w:type="character" w:styleId="UnresolvedMention">
    <w:name w:val="Unresolved Mention"/>
    <w:basedOn w:val="DefaultParagraphFont"/>
    <w:uiPriority w:val="99"/>
    <w:semiHidden/>
    <w:unhideWhenUsed/>
    <w:rsid w:val="00F73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yperlink" Target="mailto:Patricia.Hutchins@eia.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7.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sqlf1.eia.doe.gov\Software\Office2013Templates\eia_report_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3CA9BC55F474217AE847D92B981D0B3"/>
        <w:category>
          <w:name w:val="General"/>
          <w:gallery w:val="placeholder"/>
        </w:category>
        <w:types>
          <w:type w:val="bbPlcHdr"/>
        </w:types>
        <w:behaviors>
          <w:behavior w:val="content"/>
        </w:behaviors>
        <w:guid w:val="{E7FC2DB4-181A-45EF-A84E-CF6B6D561A51}"/>
      </w:docPartPr>
      <w:docPartBody>
        <w:p w:rsidR="00174183">
          <w:pPr>
            <w:pStyle w:val="83CA9BC55F474217AE847D92B981D0B3"/>
          </w:pPr>
          <w:r w:rsidRPr="00271A1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2"/>
    <w:rsid w:val="00174183"/>
    <w:rsid w:val="00244F55"/>
    <w:rsid w:val="00495088"/>
    <w:rsid w:val="005A0F24"/>
    <w:rsid w:val="0067210E"/>
    <w:rsid w:val="00832112"/>
    <w:rsid w:val="00A51393"/>
    <w:rsid w:val="00C2162C"/>
    <w:rsid w:val="00E656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3CA9BC55F474217AE847D92B981D0B3">
    <w:name w:val="83CA9BC55F474217AE847D92B981D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7" ma:contentTypeDescription="Create a new document." ma:contentTypeScope="" ma:versionID="d598081e55a81612c21e34561a2c031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5fba083e23a08fd45aece5de08a0db96"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F333A6-0270-48C1-8370-533C823A8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76921-6A8E-4D56-BDFF-80EDA9B96CC2}">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4.xml><?xml version="1.0" encoding="utf-8"?>
<ds:datastoreItem xmlns:ds="http://schemas.openxmlformats.org/officeDocument/2006/customXml" ds:itemID="{AFE55183-D50F-42C6-9F3E-F5FE57D86A39}">
  <ds:schemaRefs>
    <ds:schemaRef ds:uri="http://schemas.microsoft.com/sharepoint/v3/contenttype/forms"/>
  </ds:schemaRefs>
</ds:datastoreItem>
</file>

<file path=customXml/itemProps5.xml><?xml version="1.0" encoding="utf-8"?>
<ds:datastoreItem xmlns:ds="http://schemas.openxmlformats.org/officeDocument/2006/customXml" ds:itemID="{389F58B5-9E6F-4B42-9236-BD8EC12C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3</TotalTime>
  <Pages>5</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 B for the EIA-63C Densified Biomass Fuel Report</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 the EIA-63C Densified Biomass Fuel Report</dc:title>
  <dc:subject>EIA-63C Supporting Statement B</dc:subject>
  <dc:creator>Messer, Benjamin L.</dc:creator>
  <cp:lastModifiedBy>Messer, Benjamin L.</cp:lastModifiedBy>
  <cp:revision>2</cp:revision>
  <cp:lastPrinted>2011-12-12T20:42:00Z</cp:lastPrinted>
  <dcterms:created xsi:type="dcterms:W3CDTF">2024-07-23T18:57:00Z</dcterms:created>
  <dcterms:modified xsi:type="dcterms:W3CDTF">2024-07-23T18:57:00Z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