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D928FD" w:rsidP="00D928FD" w14:paraId="1064E746" w14:textId="73E3F3A2">
          <w:r>
            <w:rPr>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0" b="0"/>
                    <wp:wrapThrough wrapText="bothSides">
                      <wp:wrapPolygon>
                        <wp:start x="0" y="0"/>
                        <wp:lineTo x="0" y="9000"/>
                        <wp:lineTo x="21540" y="9000"/>
                        <wp:lineTo x="21540" y="0"/>
                        <wp:lineTo x="0" y="0"/>
                      </wp:wrapPolygon>
                    </wp:wrapThrough>
                    <wp:docPr id="2089460759"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w10:wrap type="through"/>
                  </v:rect>
                </w:pict>
              </mc:Fallback>
            </mc:AlternateContent>
          </w:r>
          <w:r w:rsidR="001F3A8F">
            <w:rPr>
              <w:noProof/>
            </w:rPr>
            <w:softHyphen/>
          </w:r>
          <w:r w:rsidR="001F3A8F">
            <w:rPr>
              <w:noProof/>
            </w:rPr>
            <w:softHyphen/>
          </w:r>
        </w:p>
      </w:sdtContent>
    </w:sdt>
    <w:sdt>
      <w:sdtPr>
        <w:rPr>
          <w:rFonts w:ascii="Times New Roman" w:hAnsi="Times New Roman" w:cs="Times New Roman"/>
          <w:color w:val="139CD8"/>
          <w:sz w:val="44"/>
          <w:szCs w:val="44"/>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RPr="00893460" w:rsidP="00711414" w14:paraId="0A0924FA" w14:textId="5B94D1EF">
          <w:pPr>
            <w:spacing w:line="240" w:lineRule="auto"/>
            <w:ind w:left="90"/>
            <w:rPr>
              <w:rFonts w:ascii="Times New Roman" w:hAnsi="Times New Roman" w:cs="Times New Roman"/>
              <w:color w:val="139CD8"/>
              <w:sz w:val="44"/>
              <w:szCs w:val="44"/>
            </w:rPr>
          </w:pPr>
          <w:r>
            <w:rPr>
              <w:rFonts w:ascii="Times New Roman" w:hAnsi="Times New Roman" w:cs="Times New Roman"/>
              <w:color w:val="139CD8"/>
              <w:sz w:val="44"/>
              <w:szCs w:val="44"/>
            </w:rPr>
            <w:t>Supporting Statement for Certification Reports, for Certain Consumer Products and Commercial Equipment Subject to Energy or Water Conservation Standards.</w:t>
          </w:r>
        </w:p>
      </w:sdtContent>
    </w:sdt>
    <w:p w:rsidR="0059212D" w:rsidRPr="00EE2CAF" w:rsidP="00EE2CAF" w14:paraId="1BDC354F" w14:textId="77777777">
      <w:pPr>
        <w:pStyle w:val="Heading1"/>
      </w:pPr>
      <w:bookmarkStart w:id="0" w:name="_Toc88047462"/>
      <w:r w:rsidRPr="00EE2CAF">
        <w:t>Part A: Justification</w:t>
      </w:r>
      <w:bookmarkEnd w:id="0"/>
    </w:p>
    <w:p w:rsidR="00711414" w:rsidP="00D928FD" w14:paraId="69F5CACC" w14:textId="4D56E88E">
      <w:pPr>
        <w:rPr>
          <w:rFonts w:ascii="Times New Roman" w:hAnsi="Times New Roman" w:cs="Times New Roman"/>
          <w:b/>
          <w:sz w:val="36"/>
          <w:szCs w:val="36"/>
        </w:rPr>
      </w:pPr>
      <w:r>
        <w:rPr>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68265430"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wps:spPr>
                      <wps:txbx>
                        <w:txbxContent>
                          <w:p w:rsidR="0057784D" w:rsidP="00FB6BF3" w14:textId="489293F9">
                            <w:pPr>
                              <w:rPr>
                                <w:i/>
                                <w:sz w:val="28"/>
                                <w:szCs w:val="28"/>
                              </w:rPr>
                            </w:pPr>
                            <w:r>
                              <w:rPr>
                                <w:i/>
                                <w:sz w:val="28"/>
                                <w:szCs w:val="28"/>
                              </w:rPr>
                              <w:t xml:space="preserve">DOE </w:t>
                            </w:r>
                            <w:r w:rsidRPr="0059212D">
                              <w:rPr>
                                <w:i/>
                                <w:sz w:val="28"/>
                                <w:szCs w:val="28"/>
                              </w:rPr>
                              <w:t>F</w:t>
                            </w:r>
                            <w:r>
                              <w:rPr>
                                <w:i/>
                                <w:sz w:val="28"/>
                                <w:szCs w:val="28"/>
                              </w:rPr>
                              <w:t>orms</w:t>
                            </w:r>
                            <w:r w:rsidRPr="0059212D">
                              <w:rPr>
                                <w:i/>
                                <w:sz w:val="28"/>
                                <w:szCs w:val="28"/>
                              </w:rPr>
                              <w:t xml:space="preserve"> </w:t>
                            </w:r>
                            <w:r>
                              <w:rPr>
                                <w:i/>
                                <w:sz w:val="28"/>
                                <w:szCs w:val="28"/>
                              </w:rPr>
                              <w:t>220.1-220.101</w:t>
                            </w:r>
                            <w:r w:rsidRPr="0059212D">
                              <w:rPr>
                                <w:i/>
                                <w:sz w:val="28"/>
                                <w:szCs w:val="28"/>
                              </w:rPr>
                              <w:t xml:space="preserve">, </w:t>
                            </w:r>
                            <w:r>
                              <w:rPr>
                                <w:i/>
                                <w:sz w:val="28"/>
                                <w:szCs w:val="28"/>
                              </w:rPr>
                              <w:t>Certification Templates</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57784D" w:rsidP="00FB6BF3" w14:paraId="328BADB2" w14:textId="489293F9">
                      <w:pPr>
                        <w:rPr>
                          <w:i/>
                          <w:sz w:val="28"/>
                          <w:szCs w:val="28"/>
                        </w:rPr>
                      </w:pPr>
                      <w:r>
                        <w:rPr>
                          <w:i/>
                          <w:sz w:val="28"/>
                          <w:szCs w:val="28"/>
                        </w:rPr>
                        <w:t xml:space="preserve">DOE </w:t>
                      </w:r>
                      <w:r w:rsidRPr="0059212D">
                        <w:rPr>
                          <w:i/>
                          <w:sz w:val="28"/>
                          <w:szCs w:val="28"/>
                        </w:rPr>
                        <w:t>F</w:t>
                      </w:r>
                      <w:r>
                        <w:rPr>
                          <w:i/>
                          <w:sz w:val="28"/>
                          <w:szCs w:val="28"/>
                        </w:rPr>
                        <w:t>orms</w:t>
                      </w:r>
                      <w:r w:rsidRPr="0059212D">
                        <w:rPr>
                          <w:i/>
                          <w:sz w:val="28"/>
                          <w:szCs w:val="28"/>
                        </w:rPr>
                        <w:t xml:space="preserve"> </w:t>
                      </w:r>
                      <w:r>
                        <w:rPr>
                          <w:i/>
                          <w:sz w:val="28"/>
                          <w:szCs w:val="28"/>
                        </w:rPr>
                        <w:t>220.1-220.101</w:t>
                      </w:r>
                      <w:r w:rsidRPr="0059212D">
                        <w:rPr>
                          <w:i/>
                          <w:sz w:val="28"/>
                          <w:szCs w:val="28"/>
                        </w:rPr>
                        <w:t xml:space="preserve">, </w:t>
                      </w:r>
                      <w:r>
                        <w:rPr>
                          <w:i/>
                          <w:sz w:val="28"/>
                          <w:szCs w:val="28"/>
                        </w:rPr>
                        <w:t>Certification Templates</w:t>
                      </w:r>
                    </w:p>
                  </w:txbxContent>
                </v:textbox>
                <w10:wrap type="square"/>
              </v:shape>
            </w:pict>
          </mc:Fallback>
        </mc:AlternateContent>
      </w:r>
      <w:r w:rsidRPr="00711414" w:rsidR="00711414">
        <w:rPr>
          <w:rFonts w:ascii="Times New Roman" w:hAnsi="Times New Roman" w:cs="Times New Roman"/>
          <w:b/>
          <w:sz w:val="36"/>
          <w:szCs w:val="36"/>
        </w:rPr>
        <w:t>OMB No. 19</w:t>
      </w:r>
      <w:r w:rsidR="00FE2197">
        <w:rPr>
          <w:rFonts w:ascii="Times New Roman" w:hAnsi="Times New Roman" w:cs="Times New Roman"/>
          <w:b/>
          <w:sz w:val="36"/>
          <w:szCs w:val="36"/>
        </w:rPr>
        <w:t>10</w:t>
      </w:r>
      <w:r w:rsidRPr="00711414" w:rsidR="00711414">
        <w:rPr>
          <w:rFonts w:ascii="Times New Roman" w:hAnsi="Times New Roman" w:cs="Times New Roman"/>
          <w:b/>
          <w:sz w:val="36"/>
          <w:szCs w:val="36"/>
        </w:rPr>
        <w:t>-</w:t>
      </w:r>
      <w:r w:rsidR="009E49F0">
        <w:rPr>
          <w:rFonts w:ascii="Times New Roman" w:hAnsi="Times New Roman" w:cs="Times New Roman"/>
          <w:b/>
          <w:sz w:val="36"/>
          <w:szCs w:val="36"/>
        </w:rPr>
        <w:t>1400</w:t>
      </w:r>
    </w:p>
    <w:p w:rsidR="00244CE3" w:rsidRPr="00711414" w:rsidP="00D928FD" w14:paraId="31EC82A9" w14:textId="492593F3">
      <w:pPr>
        <w:rPr>
          <w:b/>
          <w:sz w:val="36"/>
          <w:szCs w:val="36"/>
        </w:rPr>
      </w:pPr>
      <w:r>
        <w:rPr>
          <w:noProof/>
        </w:rPr>
        <mc:AlternateContent>
          <mc:Choice Requires="wps">
            <w:drawing>
              <wp:anchor distT="0" distB="0" distL="114300" distR="114300" simplePos="0" relativeHeight="251662336" behindDoc="0" locked="0" layoutInCell="1" allowOverlap="1">
                <wp:simplePos x="0" y="0"/>
                <wp:positionH relativeFrom="margin">
                  <wp:posOffset>94615</wp:posOffset>
                </wp:positionH>
                <wp:positionV relativeFrom="margin">
                  <wp:posOffset>6477000</wp:posOffset>
                </wp:positionV>
                <wp:extent cx="2847975" cy="497205"/>
                <wp:effectExtent l="0" t="0" r="0" b="0"/>
                <wp:wrapSquare wrapText="bothSides"/>
                <wp:docPr id="230494478"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47975" cy="497205"/>
                        </a:xfrm>
                        <a:prstGeom prst="rect">
                          <a:avLst/>
                        </a:prstGeom>
                        <a:noFill/>
                        <a:ln>
                          <a:noFill/>
                        </a:ln>
                      </wps:spPr>
                      <wps:txbx>
                        <w:txbxContent>
                          <w:p w:rsidR="0057784D" w:rsidRPr="009818F9" w14:textId="4799F1FB">
                            <w:pPr>
                              <w:rPr>
                                <w:color w:val="A6A6A6" w:themeColor="background1" w:themeShade="A6"/>
                                <w:sz w:val="36"/>
                              </w:rPr>
                            </w:pPr>
                            <w:r>
                              <w:rPr>
                                <w:color w:val="A6A6A6" w:themeColor="background1" w:themeShade="A6"/>
                                <w:sz w:val="36"/>
                              </w:rPr>
                              <w:t>September</w:t>
                            </w:r>
                            <w:r w:rsidR="0015787E">
                              <w:rPr>
                                <w:color w:val="A6A6A6" w:themeColor="background1" w:themeShade="A6"/>
                                <w:sz w:val="36"/>
                              </w:rPr>
                              <w:t xml:space="preserve"> </w:t>
                            </w:r>
                            <w:r w:rsidR="00211C4B">
                              <w:rPr>
                                <w:color w:val="A6A6A6" w:themeColor="background1" w:themeShade="A6"/>
                                <w:sz w:val="36"/>
                              </w:rPr>
                              <w:t xml:space="preserve">2024 </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width:224.25pt;height:39.15pt;margin-top:510pt;margin-left:7.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57784D" w:rsidRPr="009818F9" w14:paraId="35A741D9" w14:textId="4799F1FB">
                      <w:pPr>
                        <w:rPr>
                          <w:color w:val="A6A6A6" w:themeColor="background1" w:themeShade="A6"/>
                          <w:sz w:val="36"/>
                        </w:rPr>
                      </w:pPr>
                      <w:r>
                        <w:rPr>
                          <w:color w:val="A6A6A6" w:themeColor="background1" w:themeShade="A6"/>
                          <w:sz w:val="36"/>
                        </w:rPr>
                        <w:t>September</w:t>
                      </w:r>
                      <w:r w:rsidR="0015787E">
                        <w:rPr>
                          <w:color w:val="A6A6A6" w:themeColor="background1" w:themeShade="A6"/>
                          <w:sz w:val="36"/>
                        </w:rPr>
                        <w:t xml:space="preserve"> </w:t>
                      </w:r>
                      <w:r w:rsidR="00211C4B">
                        <w:rPr>
                          <w:color w:val="A6A6A6" w:themeColor="background1" w:themeShade="A6"/>
                          <w:sz w:val="36"/>
                        </w:rPr>
                        <w:t xml:space="preserve">2024 </w:t>
                      </w:r>
                    </w:p>
                  </w:txbxContent>
                </v:textbox>
                <w10:wrap type="square"/>
              </v:shape>
            </w:pict>
          </mc:Fallback>
        </mc:AlternateContent>
      </w:r>
    </w:p>
    <w:p w:rsidR="001F3A8F" w:rsidRPr="00711414" w:rsidP="00711414" w14:paraId="1571EFAB" w14:textId="29C6BBCA">
      <w:pPr>
        <w:rPr>
          <w:i/>
          <w:sz w:val="28"/>
          <w:szCs w:val="28"/>
        </w:rPr>
      </w:pPr>
      <w:r>
        <w:rPr>
          <w:noProof/>
        </w:rPr>
        <mc:AlternateContent>
          <mc:Choice Requires="wps">
            <w:drawing>
              <wp:anchor distT="0" distB="0" distL="114300" distR="114300" simplePos="0" relativeHeight="251668480" behindDoc="0" locked="0" layoutInCell="1" allowOverlap="1">
                <wp:simplePos x="0" y="0"/>
                <wp:positionH relativeFrom="margin">
                  <wp:posOffset>3365500</wp:posOffset>
                </wp:positionH>
                <wp:positionV relativeFrom="margin">
                  <wp:align>bottom</wp:align>
                </wp:positionV>
                <wp:extent cx="2717800" cy="609600"/>
                <wp:effectExtent l="0" t="0" r="0" b="0"/>
                <wp:wrapSquare wrapText="bothSides"/>
                <wp:docPr id="834713350"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wps:spPr>
                      <wps:txbx>
                        <w:txbxContent>
                          <w:p w:rsidR="0057784D"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57784D"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4" o:spid="_x0000_s1028" type="#_x0000_t202" style="width:214pt;height:48pt;margin-top:0;margin-left:265pt;mso-height-percent:0;mso-height-relative:margin;mso-position-horizontal-relative:margin;mso-position-vertical:bottom;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57784D" w:rsidRPr="008F4CBD" w:rsidP="002556F3" w14:paraId="5982942F"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57784D" w:rsidRPr="008F4CBD" w:rsidP="002556F3" w14:paraId="017BBE7F"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0" b="0"/>
                <wp:wrapThrough wrapText="bothSides">
                  <wp:wrapPolygon>
                    <wp:start x="0" y="0"/>
                    <wp:lineTo x="0" y="13091"/>
                    <wp:lineTo x="21540" y="13091"/>
                    <wp:lineTo x="21540" y="0"/>
                    <wp:lineTo x="0" y="0"/>
                  </wp:wrapPolygon>
                </wp:wrapThrough>
                <wp:docPr id="472839905"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9"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w10:wrap type="through"/>
              </v:rect>
            </w:pict>
          </mc:Fallback>
        </mc:AlternateContent>
      </w:r>
      <w:r w:rsidR="00FB6BF3">
        <w:rPr>
          <w:noProof/>
        </w:rPr>
        <w:t xml:space="preserve"> </w:t>
      </w:r>
      <w:r>
        <w:rPr>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0" r="0" b="0"/>
                <wp:wrapNone/>
                <wp:docPr id="100504118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wps:spPr>
                      <wps:txbx>
                        <w:txbxContent>
                          <w:p w:rsidR="0057784D"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 o:spid="_x0000_s1030"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57784D" w:rsidRPr="00AA3D91" w:rsidP="00D001E4" w14:paraId="51F2FB00" w14:textId="77777777">
                      <w:pPr>
                        <w:spacing w:line="240" w:lineRule="auto"/>
                        <w:ind w:left="90"/>
                        <w:rPr>
                          <w:sz w:val="52"/>
                          <w:szCs w:val="52"/>
                        </w:rPr>
                      </w:pP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0" r="0" b="0"/>
                <wp:wrapSquare wrapText="bothSides"/>
                <wp:docPr id="901444747"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wps:spPr>
                      <wps:txbx>
                        <w:txbxContent>
                          <w:p w:rsidR="0057784D"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1" o:spid="_x0000_s1031"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57784D" w:rsidP="00FE2197" w14:paraId="5682F905" w14:textId="77777777">
                      <w:pPr>
                        <w:spacing w:before="40" w:after="0"/>
                      </w:pPr>
                    </w:p>
                  </w:txbxContent>
                </v:textbox>
                <w10:wrap type="square"/>
              </v:shape>
            </w:pict>
          </mc:Fallback>
        </mc:AlternateContent>
      </w:r>
      <w:r w:rsidR="001F3A8F">
        <w:br w:type="page"/>
      </w:r>
    </w:p>
    <w:p w:rsidR="00755C3D" w:rsidP="00D928FD" w14:paraId="4F043AC0" w14:textId="77777777">
      <w:pPr>
        <w:sectPr w:rsidSect="001F3A8F">
          <w:headerReference w:type="default" r:id="rId10"/>
          <w:footerReference w:type="default" r:id="rId11"/>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EastAsia"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14:paraId="704ECA76" w14:textId="77777777">
          <w:pPr>
            <w:pStyle w:val="TOCHeading"/>
          </w:pPr>
          <w:r>
            <w:t>Table of Contents</w:t>
          </w:r>
        </w:p>
        <w:p w:rsidR="00454AA2" w14:paraId="689EC53A" w14:textId="5049CB9E">
          <w:pPr>
            <w:pStyle w:val="TOC1"/>
            <w:rPr>
              <w:rFonts w:eastAsiaTheme="minorEastAsia"/>
              <w:noProof/>
              <w:color w:val="auto"/>
            </w:rPr>
          </w:pPr>
          <w:r>
            <w:fldChar w:fldCharType="begin"/>
          </w:r>
          <w:r>
            <w:instrText xml:space="preserve"> TOC \o "1-3" \h \z \u </w:instrText>
          </w:r>
          <w:r>
            <w:fldChar w:fldCharType="separate"/>
          </w:r>
          <w:hyperlink w:anchor="_Toc88047462" w:history="1">
            <w:r w:rsidRPr="00F16FAF">
              <w:rPr>
                <w:rStyle w:val="Hyperlink"/>
                <w:noProof/>
              </w:rPr>
              <w:t>Part A: Justification</w:t>
            </w:r>
            <w:r>
              <w:rPr>
                <w:noProof/>
                <w:webHidden/>
              </w:rPr>
              <w:tab/>
            </w:r>
            <w:r>
              <w:rPr>
                <w:noProof/>
                <w:webHidden/>
              </w:rPr>
              <w:fldChar w:fldCharType="begin"/>
            </w:r>
            <w:r>
              <w:rPr>
                <w:noProof/>
                <w:webHidden/>
              </w:rPr>
              <w:instrText xml:space="preserve"> PAGEREF _Toc88047462 \h </w:instrText>
            </w:r>
            <w:r>
              <w:rPr>
                <w:noProof/>
                <w:webHidden/>
              </w:rPr>
              <w:fldChar w:fldCharType="separate"/>
            </w:r>
            <w:r>
              <w:rPr>
                <w:noProof/>
                <w:webHidden/>
              </w:rPr>
              <w:t>i</w:t>
            </w:r>
            <w:r>
              <w:rPr>
                <w:noProof/>
                <w:webHidden/>
              </w:rPr>
              <w:fldChar w:fldCharType="end"/>
            </w:r>
          </w:hyperlink>
        </w:p>
        <w:p w:rsidR="00454AA2" w14:paraId="2E013A8E" w14:textId="2112A36A">
          <w:pPr>
            <w:pStyle w:val="TOC2"/>
            <w:rPr>
              <w:rFonts w:eastAsiaTheme="minorEastAsia"/>
              <w:noProof/>
              <w:color w:val="auto"/>
            </w:rPr>
          </w:pPr>
          <w:hyperlink w:anchor="_Toc88047463" w:history="1">
            <w:r w:rsidRPr="00F16FAF">
              <w:rPr>
                <w:rStyle w:val="Hyperlink"/>
                <w:noProof/>
              </w:rPr>
              <w:t>Introduction</w:t>
            </w:r>
            <w:r>
              <w:rPr>
                <w:noProof/>
                <w:webHidden/>
              </w:rPr>
              <w:tab/>
            </w:r>
            <w:r>
              <w:rPr>
                <w:noProof/>
                <w:webHidden/>
              </w:rPr>
              <w:fldChar w:fldCharType="begin"/>
            </w:r>
            <w:r>
              <w:rPr>
                <w:noProof/>
                <w:webHidden/>
              </w:rPr>
              <w:instrText xml:space="preserve"> PAGEREF _Toc88047463 \h </w:instrText>
            </w:r>
            <w:r>
              <w:rPr>
                <w:noProof/>
                <w:webHidden/>
              </w:rPr>
              <w:fldChar w:fldCharType="separate"/>
            </w:r>
            <w:r>
              <w:rPr>
                <w:noProof/>
                <w:webHidden/>
              </w:rPr>
              <w:t>2</w:t>
            </w:r>
            <w:r>
              <w:rPr>
                <w:noProof/>
                <w:webHidden/>
              </w:rPr>
              <w:fldChar w:fldCharType="end"/>
            </w:r>
          </w:hyperlink>
        </w:p>
        <w:p w:rsidR="00454AA2" w14:paraId="0030366D" w14:textId="5AA1CD19">
          <w:pPr>
            <w:pStyle w:val="TOC2"/>
            <w:rPr>
              <w:rFonts w:eastAsiaTheme="minorEastAsia"/>
              <w:noProof/>
              <w:color w:val="auto"/>
            </w:rPr>
          </w:pPr>
          <w:hyperlink w:anchor="_Toc88047464" w:history="1">
            <w:r w:rsidRPr="00F16FAF">
              <w:rPr>
                <w:rStyle w:val="Hyperlink"/>
                <w:noProof/>
              </w:rPr>
              <w:t>A.1. Legal Justification</w:t>
            </w:r>
            <w:r>
              <w:rPr>
                <w:noProof/>
                <w:webHidden/>
              </w:rPr>
              <w:tab/>
            </w:r>
            <w:r>
              <w:rPr>
                <w:noProof/>
                <w:webHidden/>
              </w:rPr>
              <w:fldChar w:fldCharType="begin"/>
            </w:r>
            <w:r>
              <w:rPr>
                <w:noProof/>
                <w:webHidden/>
              </w:rPr>
              <w:instrText xml:space="preserve"> PAGEREF _Toc88047464 \h </w:instrText>
            </w:r>
            <w:r>
              <w:rPr>
                <w:noProof/>
                <w:webHidden/>
              </w:rPr>
              <w:fldChar w:fldCharType="separate"/>
            </w:r>
            <w:r>
              <w:rPr>
                <w:noProof/>
                <w:webHidden/>
              </w:rPr>
              <w:t>3</w:t>
            </w:r>
            <w:r>
              <w:rPr>
                <w:noProof/>
                <w:webHidden/>
              </w:rPr>
              <w:fldChar w:fldCharType="end"/>
            </w:r>
          </w:hyperlink>
        </w:p>
        <w:p w:rsidR="00454AA2" w14:paraId="54A4A918" w14:textId="338A3FE4">
          <w:pPr>
            <w:pStyle w:val="TOC2"/>
            <w:rPr>
              <w:rFonts w:eastAsiaTheme="minorEastAsia"/>
              <w:noProof/>
              <w:color w:val="auto"/>
            </w:rPr>
          </w:pPr>
          <w:hyperlink w:anchor="_Toc88047465" w:history="1">
            <w:r w:rsidRPr="00F16FAF">
              <w:rPr>
                <w:rStyle w:val="Hyperlink"/>
                <w:noProof/>
              </w:rPr>
              <w:t>A.2. Needs and Uses of Data</w:t>
            </w:r>
            <w:r>
              <w:rPr>
                <w:noProof/>
                <w:webHidden/>
              </w:rPr>
              <w:tab/>
            </w:r>
            <w:r>
              <w:rPr>
                <w:noProof/>
                <w:webHidden/>
              </w:rPr>
              <w:fldChar w:fldCharType="begin"/>
            </w:r>
            <w:r>
              <w:rPr>
                <w:noProof/>
                <w:webHidden/>
              </w:rPr>
              <w:instrText xml:space="preserve"> PAGEREF _Toc88047465 \h </w:instrText>
            </w:r>
            <w:r>
              <w:rPr>
                <w:noProof/>
                <w:webHidden/>
              </w:rPr>
              <w:fldChar w:fldCharType="separate"/>
            </w:r>
            <w:r>
              <w:rPr>
                <w:noProof/>
                <w:webHidden/>
              </w:rPr>
              <w:t>6</w:t>
            </w:r>
            <w:r>
              <w:rPr>
                <w:noProof/>
                <w:webHidden/>
              </w:rPr>
              <w:fldChar w:fldCharType="end"/>
            </w:r>
          </w:hyperlink>
        </w:p>
        <w:p w:rsidR="00454AA2" w14:paraId="4BF7F215" w14:textId="61EF5702">
          <w:pPr>
            <w:pStyle w:val="TOC2"/>
            <w:rPr>
              <w:rFonts w:eastAsiaTheme="minorEastAsia"/>
              <w:noProof/>
              <w:color w:val="auto"/>
            </w:rPr>
          </w:pPr>
          <w:hyperlink w:anchor="_Toc88047466" w:history="1">
            <w:r w:rsidRPr="00F16FAF">
              <w:rPr>
                <w:rStyle w:val="Hyperlink"/>
                <w:noProof/>
              </w:rPr>
              <w:t>A.3. Use of Technology</w:t>
            </w:r>
            <w:r>
              <w:rPr>
                <w:noProof/>
                <w:webHidden/>
              </w:rPr>
              <w:tab/>
            </w:r>
            <w:r>
              <w:rPr>
                <w:noProof/>
                <w:webHidden/>
              </w:rPr>
              <w:fldChar w:fldCharType="begin"/>
            </w:r>
            <w:r>
              <w:rPr>
                <w:noProof/>
                <w:webHidden/>
              </w:rPr>
              <w:instrText xml:space="preserve"> PAGEREF _Toc88047466 \h </w:instrText>
            </w:r>
            <w:r>
              <w:rPr>
                <w:noProof/>
                <w:webHidden/>
              </w:rPr>
              <w:fldChar w:fldCharType="separate"/>
            </w:r>
            <w:r>
              <w:rPr>
                <w:noProof/>
                <w:webHidden/>
              </w:rPr>
              <w:t>7</w:t>
            </w:r>
            <w:r>
              <w:rPr>
                <w:noProof/>
                <w:webHidden/>
              </w:rPr>
              <w:fldChar w:fldCharType="end"/>
            </w:r>
          </w:hyperlink>
        </w:p>
        <w:p w:rsidR="00454AA2" w14:paraId="020EFB3B" w14:textId="70028CAB">
          <w:pPr>
            <w:pStyle w:val="TOC2"/>
            <w:rPr>
              <w:rFonts w:eastAsiaTheme="minorEastAsia"/>
              <w:noProof/>
              <w:color w:val="auto"/>
            </w:rPr>
          </w:pPr>
          <w:hyperlink w:anchor="_Toc88047467" w:history="1">
            <w:r w:rsidRPr="00F16FAF">
              <w:rPr>
                <w:rStyle w:val="Hyperlink"/>
                <w:noProof/>
              </w:rPr>
              <w:t>A.4. Efforts to Identify Duplication</w:t>
            </w:r>
            <w:r>
              <w:rPr>
                <w:noProof/>
                <w:webHidden/>
              </w:rPr>
              <w:tab/>
            </w:r>
            <w:r>
              <w:rPr>
                <w:noProof/>
                <w:webHidden/>
              </w:rPr>
              <w:fldChar w:fldCharType="begin"/>
            </w:r>
            <w:r>
              <w:rPr>
                <w:noProof/>
                <w:webHidden/>
              </w:rPr>
              <w:instrText xml:space="preserve"> PAGEREF _Toc88047467 \h </w:instrText>
            </w:r>
            <w:r>
              <w:rPr>
                <w:noProof/>
                <w:webHidden/>
              </w:rPr>
              <w:fldChar w:fldCharType="separate"/>
            </w:r>
            <w:r>
              <w:rPr>
                <w:noProof/>
                <w:webHidden/>
              </w:rPr>
              <w:t>7</w:t>
            </w:r>
            <w:r>
              <w:rPr>
                <w:noProof/>
                <w:webHidden/>
              </w:rPr>
              <w:fldChar w:fldCharType="end"/>
            </w:r>
          </w:hyperlink>
        </w:p>
        <w:p w:rsidR="00454AA2" w14:paraId="13C8B39E" w14:textId="37837494">
          <w:pPr>
            <w:pStyle w:val="TOC2"/>
            <w:rPr>
              <w:rFonts w:eastAsiaTheme="minorEastAsia"/>
              <w:noProof/>
              <w:color w:val="auto"/>
            </w:rPr>
          </w:pPr>
          <w:hyperlink w:anchor="_Toc88047468" w:history="1">
            <w:r w:rsidRPr="00F16FAF">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_Toc88047468 \h </w:instrText>
            </w:r>
            <w:r>
              <w:rPr>
                <w:noProof/>
                <w:webHidden/>
              </w:rPr>
              <w:fldChar w:fldCharType="separate"/>
            </w:r>
            <w:r>
              <w:rPr>
                <w:noProof/>
                <w:webHidden/>
              </w:rPr>
              <w:t>8</w:t>
            </w:r>
            <w:r>
              <w:rPr>
                <w:noProof/>
                <w:webHidden/>
              </w:rPr>
              <w:fldChar w:fldCharType="end"/>
            </w:r>
          </w:hyperlink>
        </w:p>
        <w:p w:rsidR="00454AA2" w14:paraId="159F7C2F" w14:textId="09B36E1F">
          <w:pPr>
            <w:pStyle w:val="TOC2"/>
            <w:rPr>
              <w:rFonts w:eastAsiaTheme="minorEastAsia"/>
              <w:noProof/>
              <w:color w:val="auto"/>
            </w:rPr>
          </w:pPr>
          <w:hyperlink w:anchor="_Toc88047469" w:history="1">
            <w:r w:rsidRPr="00F16FAF">
              <w:rPr>
                <w:rStyle w:val="Hyperlink"/>
                <w:noProof/>
              </w:rPr>
              <w:t>A.6. Consequences of Less-Frequent Reporting</w:t>
            </w:r>
            <w:r>
              <w:rPr>
                <w:noProof/>
                <w:webHidden/>
              </w:rPr>
              <w:tab/>
            </w:r>
            <w:r>
              <w:rPr>
                <w:noProof/>
                <w:webHidden/>
              </w:rPr>
              <w:fldChar w:fldCharType="begin"/>
            </w:r>
            <w:r>
              <w:rPr>
                <w:noProof/>
                <w:webHidden/>
              </w:rPr>
              <w:instrText xml:space="preserve"> PAGEREF _Toc88047469 \h </w:instrText>
            </w:r>
            <w:r>
              <w:rPr>
                <w:noProof/>
                <w:webHidden/>
              </w:rPr>
              <w:fldChar w:fldCharType="separate"/>
            </w:r>
            <w:r>
              <w:rPr>
                <w:noProof/>
                <w:webHidden/>
              </w:rPr>
              <w:t>8</w:t>
            </w:r>
            <w:r>
              <w:rPr>
                <w:noProof/>
                <w:webHidden/>
              </w:rPr>
              <w:fldChar w:fldCharType="end"/>
            </w:r>
          </w:hyperlink>
        </w:p>
        <w:p w:rsidR="00454AA2" w14:paraId="226BE201" w14:textId="60E82CD5">
          <w:pPr>
            <w:pStyle w:val="TOC2"/>
            <w:rPr>
              <w:rFonts w:eastAsiaTheme="minorEastAsia"/>
              <w:noProof/>
              <w:color w:val="auto"/>
            </w:rPr>
          </w:pPr>
          <w:hyperlink w:anchor="_Toc88047470" w:history="1">
            <w:r w:rsidRPr="00F16FAF">
              <w:rPr>
                <w:rStyle w:val="Hyperlink"/>
                <w:noProof/>
              </w:rPr>
              <w:t>A.7. Compliance with 5 CFR 1320.5</w:t>
            </w:r>
            <w:r>
              <w:rPr>
                <w:noProof/>
                <w:webHidden/>
              </w:rPr>
              <w:tab/>
            </w:r>
            <w:r>
              <w:rPr>
                <w:noProof/>
                <w:webHidden/>
              </w:rPr>
              <w:fldChar w:fldCharType="begin"/>
            </w:r>
            <w:r>
              <w:rPr>
                <w:noProof/>
                <w:webHidden/>
              </w:rPr>
              <w:instrText xml:space="preserve"> PAGEREF _Toc88047470 \h </w:instrText>
            </w:r>
            <w:r>
              <w:rPr>
                <w:noProof/>
                <w:webHidden/>
              </w:rPr>
              <w:fldChar w:fldCharType="separate"/>
            </w:r>
            <w:r>
              <w:rPr>
                <w:noProof/>
                <w:webHidden/>
              </w:rPr>
              <w:t>9</w:t>
            </w:r>
            <w:r>
              <w:rPr>
                <w:noProof/>
                <w:webHidden/>
              </w:rPr>
              <w:fldChar w:fldCharType="end"/>
            </w:r>
          </w:hyperlink>
        </w:p>
        <w:p w:rsidR="00454AA2" w14:paraId="1FCA0C6B" w14:textId="71355B74">
          <w:pPr>
            <w:pStyle w:val="TOC2"/>
            <w:rPr>
              <w:rFonts w:eastAsiaTheme="minorEastAsia"/>
              <w:noProof/>
              <w:color w:val="auto"/>
            </w:rPr>
          </w:pPr>
          <w:hyperlink w:anchor="_Toc88047471" w:history="1">
            <w:r w:rsidRPr="00F16FAF">
              <w:rPr>
                <w:rStyle w:val="Hyperlink"/>
                <w:noProof/>
              </w:rPr>
              <w:t>A.8. Summary of Consultations Outside of the Agency</w:t>
            </w:r>
            <w:r>
              <w:rPr>
                <w:noProof/>
                <w:webHidden/>
              </w:rPr>
              <w:tab/>
            </w:r>
            <w:r>
              <w:rPr>
                <w:noProof/>
                <w:webHidden/>
              </w:rPr>
              <w:fldChar w:fldCharType="begin"/>
            </w:r>
            <w:r>
              <w:rPr>
                <w:noProof/>
                <w:webHidden/>
              </w:rPr>
              <w:instrText xml:space="preserve"> PAGEREF _Toc88047471 \h </w:instrText>
            </w:r>
            <w:r>
              <w:rPr>
                <w:noProof/>
                <w:webHidden/>
              </w:rPr>
              <w:fldChar w:fldCharType="separate"/>
            </w:r>
            <w:r>
              <w:rPr>
                <w:noProof/>
                <w:webHidden/>
              </w:rPr>
              <w:t>10</w:t>
            </w:r>
            <w:r>
              <w:rPr>
                <w:noProof/>
                <w:webHidden/>
              </w:rPr>
              <w:fldChar w:fldCharType="end"/>
            </w:r>
          </w:hyperlink>
        </w:p>
        <w:p w:rsidR="00454AA2" w14:paraId="254B265C" w14:textId="6B23C01B">
          <w:pPr>
            <w:pStyle w:val="TOC2"/>
            <w:rPr>
              <w:rFonts w:eastAsiaTheme="minorEastAsia"/>
              <w:noProof/>
              <w:color w:val="auto"/>
            </w:rPr>
          </w:pPr>
          <w:hyperlink w:anchor="_Toc88047472" w:history="1">
            <w:r w:rsidRPr="00F16FAF">
              <w:rPr>
                <w:rStyle w:val="Hyperlink"/>
                <w:noProof/>
              </w:rPr>
              <w:t>A.9. Payments or Gifts to Respondents</w:t>
            </w:r>
            <w:r>
              <w:rPr>
                <w:noProof/>
                <w:webHidden/>
              </w:rPr>
              <w:tab/>
            </w:r>
            <w:r>
              <w:rPr>
                <w:noProof/>
                <w:webHidden/>
              </w:rPr>
              <w:fldChar w:fldCharType="begin"/>
            </w:r>
            <w:r>
              <w:rPr>
                <w:noProof/>
                <w:webHidden/>
              </w:rPr>
              <w:instrText xml:space="preserve"> PAGEREF _Toc88047472 \h </w:instrText>
            </w:r>
            <w:r>
              <w:rPr>
                <w:noProof/>
                <w:webHidden/>
              </w:rPr>
              <w:fldChar w:fldCharType="separate"/>
            </w:r>
            <w:r>
              <w:rPr>
                <w:noProof/>
                <w:webHidden/>
              </w:rPr>
              <w:t>11</w:t>
            </w:r>
            <w:r>
              <w:rPr>
                <w:noProof/>
                <w:webHidden/>
              </w:rPr>
              <w:fldChar w:fldCharType="end"/>
            </w:r>
          </w:hyperlink>
        </w:p>
        <w:p w:rsidR="00454AA2" w14:paraId="4F0B67D2" w14:textId="7879AA26">
          <w:pPr>
            <w:pStyle w:val="TOC2"/>
            <w:rPr>
              <w:rFonts w:eastAsiaTheme="minorEastAsia"/>
              <w:noProof/>
              <w:color w:val="auto"/>
            </w:rPr>
          </w:pPr>
          <w:hyperlink w:anchor="_Toc88047473" w:history="1">
            <w:r w:rsidRPr="00F16FAF">
              <w:rPr>
                <w:rStyle w:val="Hyperlink"/>
                <w:noProof/>
              </w:rPr>
              <w:t>A.10. Provisions for Protection of Information</w:t>
            </w:r>
            <w:r>
              <w:rPr>
                <w:noProof/>
                <w:webHidden/>
              </w:rPr>
              <w:tab/>
            </w:r>
            <w:r>
              <w:rPr>
                <w:noProof/>
                <w:webHidden/>
              </w:rPr>
              <w:fldChar w:fldCharType="begin"/>
            </w:r>
            <w:r>
              <w:rPr>
                <w:noProof/>
                <w:webHidden/>
              </w:rPr>
              <w:instrText xml:space="preserve"> PAGEREF _Toc88047473 \h </w:instrText>
            </w:r>
            <w:r>
              <w:rPr>
                <w:noProof/>
                <w:webHidden/>
              </w:rPr>
              <w:fldChar w:fldCharType="separate"/>
            </w:r>
            <w:r>
              <w:rPr>
                <w:noProof/>
                <w:webHidden/>
              </w:rPr>
              <w:t>11</w:t>
            </w:r>
            <w:r>
              <w:rPr>
                <w:noProof/>
                <w:webHidden/>
              </w:rPr>
              <w:fldChar w:fldCharType="end"/>
            </w:r>
          </w:hyperlink>
        </w:p>
        <w:p w:rsidR="00454AA2" w14:paraId="039AB950" w14:textId="392D0F50">
          <w:pPr>
            <w:pStyle w:val="TOC2"/>
            <w:rPr>
              <w:rFonts w:eastAsiaTheme="minorEastAsia"/>
              <w:noProof/>
              <w:color w:val="auto"/>
            </w:rPr>
          </w:pPr>
          <w:hyperlink w:anchor="_Toc88047474" w:history="1">
            <w:r w:rsidRPr="00F16FAF">
              <w:rPr>
                <w:rStyle w:val="Hyperlink"/>
                <w:noProof/>
              </w:rPr>
              <w:t>A.11. Justification for Sensitive Questions</w:t>
            </w:r>
            <w:r>
              <w:rPr>
                <w:noProof/>
                <w:webHidden/>
              </w:rPr>
              <w:tab/>
            </w:r>
            <w:r>
              <w:rPr>
                <w:noProof/>
                <w:webHidden/>
              </w:rPr>
              <w:fldChar w:fldCharType="begin"/>
            </w:r>
            <w:r>
              <w:rPr>
                <w:noProof/>
                <w:webHidden/>
              </w:rPr>
              <w:instrText xml:space="preserve"> PAGEREF _Toc88047474 \h </w:instrText>
            </w:r>
            <w:r>
              <w:rPr>
                <w:noProof/>
                <w:webHidden/>
              </w:rPr>
              <w:fldChar w:fldCharType="separate"/>
            </w:r>
            <w:r>
              <w:rPr>
                <w:noProof/>
                <w:webHidden/>
              </w:rPr>
              <w:t>11</w:t>
            </w:r>
            <w:r>
              <w:rPr>
                <w:noProof/>
                <w:webHidden/>
              </w:rPr>
              <w:fldChar w:fldCharType="end"/>
            </w:r>
          </w:hyperlink>
        </w:p>
        <w:p w:rsidR="00454AA2" w14:paraId="61C3D341" w14:textId="650ECE66">
          <w:pPr>
            <w:pStyle w:val="TOC2"/>
            <w:rPr>
              <w:rFonts w:eastAsiaTheme="minorEastAsia"/>
              <w:noProof/>
              <w:color w:val="auto"/>
            </w:rPr>
          </w:pPr>
          <w:hyperlink w:anchor="_Toc88047475" w:history="1">
            <w:r w:rsidRPr="00F16FAF">
              <w:rPr>
                <w:rStyle w:val="Hyperlink"/>
                <w:noProof/>
              </w:rPr>
              <w:t xml:space="preserve">A.12A. Estimate of Respondent Burden Hours </w:t>
            </w:r>
            <w:r>
              <w:rPr>
                <w:noProof/>
                <w:webHidden/>
              </w:rPr>
              <w:tab/>
            </w:r>
            <w:r>
              <w:rPr>
                <w:noProof/>
                <w:webHidden/>
              </w:rPr>
              <w:fldChar w:fldCharType="begin"/>
            </w:r>
            <w:r>
              <w:rPr>
                <w:noProof/>
                <w:webHidden/>
              </w:rPr>
              <w:instrText xml:space="preserve"> PAGEREF _Toc88047475 \h </w:instrText>
            </w:r>
            <w:r>
              <w:rPr>
                <w:noProof/>
                <w:webHidden/>
              </w:rPr>
              <w:fldChar w:fldCharType="separate"/>
            </w:r>
            <w:r>
              <w:rPr>
                <w:noProof/>
                <w:webHidden/>
              </w:rPr>
              <w:t>11</w:t>
            </w:r>
            <w:r>
              <w:rPr>
                <w:noProof/>
                <w:webHidden/>
              </w:rPr>
              <w:fldChar w:fldCharType="end"/>
            </w:r>
          </w:hyperlink>
        </w:p>
        <w:p w:rsidR="00454AA2" w14:paraId="308C505D" w14:textId="027A5F9C">
          <w:pPr>
            <w:pStyle w:val="TOC2"/>
            <w:rPr>
              <w:rFonts w:eastAsiaTheme="minorEastAsia"/>
              <w:noProof/>
              <w:color w:val="auto"/>
            </w:rPr>
          </w:pPr>
          <w:hyperlink w:anchor="_Toc88047476" w:history="1">
            <w:r w:rsidRPr="00F16FAF">
              <w:rPr>
                <w:rStyle w:val="Hyperlink"/>
                <w:noProof/>
              </w:rPr>
              <w:t xml:space="preserve">A.12B. Estimate of Annual Cost to Respondent for Burden Hours </w:t>
            </w:r>
            <w:r>
              <w:rPr>
                <w:noProof/>
                <w:webHidden/>
              </w:rPr>
              <w:tab/>
            </w:r>
            <w:r>
              <w:rPr>
                <w:noProof/>
                <w:webHidden/>
              </w:rPr>
              <w:fldChar w:fldCharType="begin"/>
            </w:r>
            <w:r>
              <w:rPr>
                <w:noProof/>
                <w:webHidden/>
              </w:rPr>
              <w:instrText xml:space="preserve"> PAGEREF _Toc88047476 \h </w:instrText>
            </w:r>
            <w:r>
              <w:rPr>
                <w:noProof/>
                <w:webHidden/>
              </w:rPr>
              <w:fldChar w:fldCharType="separate"/>
            </w:r>
            <w:r>
              <w:rPr>
                <w:noProof/>
                <w:webHidden/>
              </w:rPr>
              <w:t>13</w:t>
            </w:r>
            <w:r>
              <w:rPr>
                <w:noProof/>
                <w:webHidden/>
              </w:rPr>
              <w:fldChar w:fldCharType="end"/>
            </w:r>
          </w:hyperlink>
        </w:p>
        <w:p w:rsidR="00454AA2" w14:paraId="11F3BAE8" w14:textId="76191499">
          <w:pPr>
            <w:pStyle w:val="TOC2"/>
            <w:rPr>
              <w:rFonts w:eastAsiaTheme="minorEastAsia"/>
              <w:noProof/>
              <w:color w:val="auto"/>
            </w:rPr>
          </w:pPr>
          <w:hyperlink w:anchor="_Toc88047477" w:history="1">
            <w:r w:rsidRPr="00F16FAF">
              <w:rPr>
                <w:rStyle w:val="Hyperlink"/>
                <w:noProof/>
              </w:rPr>
              <w:t>A.13. Other Estimated Annual Cost to Respondents</w:t>
            </w:r>
            <w:r>
              <w:rPr>
                <w:noProof/>
                <w:webHidden/>
              </w:rPr>
              <w:tab/>
            </w:r>
            <w:r>
              <w:rPr>
                <w:noProof/>
                <w:webHidden/>
              </w:rPr>
              <w:fldChar w:fldCharType="begin"/>
            </w:r>
            <w:r>
              <w:rPr>
                <w:noProof/>
                <w:webHidden/>
              </w:rPr>
              <w:instrText xml:space="preserve"> PAGEREF _Toc88047477 \h </w:instrText>
            </w:r>
            <w:r>
              <w:rPr>
                <w:noProof/>
                <w:webHidden/>
              </w:rPr>
              <w:fldChar w:fldCharType="separate"/>
            </w:r>
            <w:r>
              <w:rPr>
                <w:noProof/>
                <w:webHidden/>
              </w:rPr>
              <w:t>15</w:t>
            </w:r>
            <w:r>
              <w:rPr>
                <w:noProof/>
                <w:webHidden/>
              </w:rPr>
              <w:fldChar w:fldCharType="end"/>
            </w:r>
          </w:hyperlink>
        </w:p>
        <w:p w:rsidR="00454AA2" w14:paraId="4E5615D2" w14:textId="64A0E92D">
          <w:pPr>
            <w:pStyle w:val="TOC2"/>
            <w:rPr>
              <w:rFonts w:eastAsiaTheme="minorEastAsia"/>
              <w:noProof/>
              <w:color w:val="auto"/>
            </w:rPr>
          </w:pPr>
          <w:hyperlink w:anchor="_Toc88047478" w:history="1">
            <w:r w:rsidRPr="00F16FAF">
              <w:rPr>
                <w:rStyle w:val="Hyperlink"/>
                <w:noProof/>
              </w:rPr>
              <w:t>A.14. Annual Cost to the Federal Government</w:t>
            </w:r>
            <w:r>
              <w:rPr>
                <w:noProof/>
                <w:webHidden/>
              </w:rPr>
              <w:tab/>
            </w:r>
            <w:r>
              <w:rPr>
                <w:noProof/>
                <w:webHidden/>
              </w:rPr>
              <w:fldChar w:fldCharType="begin"/>
            </w:r>
            <w:r>
              <w:rPr>
                <w:noProof/>
                <w:webHidden/>
              </w:rPr>
              <w:instrText xml:space="preserve"> PAGEREF _Toc88047478 \h </w:instrText>
            </w:r>
            <w:r>
              <w:rPr>
                <w:noProof/>
                <w:webHidden/>
              </w:rPr>
              <w:fldChar w:fldCharType="separate"/>
            </w:r>
            <w:r>
              <w:rPr>
                <w:noProof/>
                <w:webHidden/>
              </w:rPr>
              <w:t>15</w:t>
            </w:r>
            <w:r>
              <w:rPr>
                <w:noProof/>
                <w:webHidden/>
              </w:rPr>
              <w:fldChar w:fldCharType="end"/>
            </w:r>
          </w:hyperlink>
        </w:p>
        <w:p w:rsidR="00454AA2" w14:paraId="578FF453" w14:textId="7385D3EF">
          <w:pPr>
            <w:pStyle w:val="TOC2"/>
            <w:rPr>
              <w:rFonts w:eastAsiaTheme="minorEastAsia"/>
              <w:noProof/>
              <w:color w:val="auto"/>
            </w:rPr>
          </w:pPr>
          <w:hyperlink w:anchor="_Toc88047479" w:history="1">
            <w:r w:rsidRPr="00F16FAF">
              <w:rPr>
                <w:rStyle w:val="Hyperlink"/>
                <w:noProof/>
              </w:rPr>
              <w:t>A.15. Reasons for Changes in Burden</w:t>
            </w:r>
            <w:r>
              <w:rPr>
                <w:noProof/>
                <w:webHidden/>
              </w:rPr>
              <w:tab/>
            </w:r>
            <w:r>
              <w:rPr>
                <w:noProof/>
                <w:webHidden/>
              </w:rPr>
              <w:fldChar w:fldCharType="begin"/>
            </w:r>
            <w:r>
              <w:rPr>
                <w:noProof/>
                <w:webHidden/>
              </w:rPr>
              <w:instrText xml:space="preserve"> PAGEREF _Toc88047479 \h </w:instrText>
            </w:r>
            <w:r>
              <w:rPr>
                <w:noProof/>
                <w:webHidden/>
              </w:rPr>
              <w:fldChar w:fldCharType="separate"/>
            </w:r>
            <w:r>
              <w:rPr>
                <w:noProof/>
                <w:webHidden/>
              </w:rPr>
              <w:t>15</w:t>
            </w:r>
            <w:r>
              <w:rPr>
                <w:noProof/>
                <w:webHidden/>
              </w:rPr>
              <w:fldChar w:fldCharType="end"/>
            </w:r>
          </w:hyperlink>
        </w:p>
        <w:p w:rsidR="00454AA2" w14:paraId="489D0897" w14:textId="25886020">
          <w:pPr>
            <w:pStyle w:val="TOC2"/>
            <w:rPr>
              <w:rFonts w:eastAsiaTheme="minorEastAsia"/>
              <w:noProof/>
              <w:color w:val="auto"/>
            </w:rPr>
          </w:pPr>
          <w:hyperlink w:anchor="_Toc88047480" w:history="1">
            <w:r w:rsidRPr="00F16FAF">
              <w:rPr>
                <w:rStyle w:val="Hyperlink"/>
                <w:noProof/>
              </w:rPr>
              <w:t>A.16. Collection, Tabulation, and Publication Plans</w:t>
            </w:r>
            <w:r>
              <w:rPr>
                <w:noProof/>
                <w:webHidden/>
              </w:rPr>
              <w:tab/>
            </w:r>
            <w:r>
              <w:rPr>
                <w:noProof/>
                <w:webHidden/>
              </w:rPr>
              <w:fldChar w:fldCharType="begin"/>
            </w:r>
            <w:r>
              <w:rPr>
                <w:noProof/>
                <w:webHidden/>
              </w:rPr>
              <w:instrText xml:space="preserve"> PAGEREF _Toc88047480 \h </w:instrText>
            </w:r>
            <w:r>
              <w:rPr>
                <w:noProof/>
                <w:webHidden/>
              </w:rPr>
              <w:fldChar w:fldCharType="separate"/>
            </w:r>
            <w:r>
              <w:rPr>
                <w:noProof/>
                <w:webHidden/>
              </w:rPr>
              <w:t>15</w:t>
            </w:r>
            <w:r>
              <w:rPr>
                <w:noProof/>
                <w:webHidden/>
              </w:rPr>
              <w:fldChar w:fldCharType="end"/>
            </w:r>
          </w:hyperlink>
        </w:p>
        <w:p w:rsidR="00454AA2" w14:paraId="4B5F6D09" w14:textId="0499AD78">
          <w:pPr>
            <w:pStyle w:val="TOC2"/>
            <w:rPr>
              <w:rFonts w:eastAsiaTheme="minorEastAsia"/>
              <w:noProof/>
              <w:color w:val="auto"/>
            </w:rPr>
          </w:pPr>
          <w:hyperlink w:anchor="_Toc88047481" w:history="1">
            <w:r w:rsidRPr="00F16FAF">
              <w:rPr>
                <w:rStyle w:val="Hyperlink"/>
                <w:noProof/>
              </w:rPr>
              <w:t>A.17. OMB Number and Expiration Date</w:t>
            </w:r>
            <w:r>
              <w:rPr>
                <w:noProof/>
                <w:webHidden/>
              </w:rPr>
              <w:tab/>
            </w:r>
            <w:r>
              <w:rPr>
                <w:noProof/>
                <w:webHidden/>
              </w:rPr>
              <w:fldChar w:fldCharType="begin"/>
            </w:r>
            <w:r>
              <w:rPr>
                <w:noProof/>
                <w:webHidden/>
              </w:rPr>
              <w:instrText xml:space="preserve"> PAGEREF _Toc88047481 \h </w:instrText>
            </w:r>
            <w:r>
              <w:rPr>
                <w:noProof/>
                <w:webHidden/>
              </w:rPr>
              <w:fldChar w:fldCharType="separate"/>
            </w:r>
            <w:r>
              <w:rPr>
                <w:noProof/>
                <w:webHidden/>
              </w:rPr>
              <w:t>15</w:t>
            </w:r>
            <w:r>
              <w:rPr>
                <w:noProof/>
                <w:webHidden/>
              </w:rPr>
              <w:fldChar w:fldCharType="end"/>
            </w:r>
          </w:hyperlink>
        </w:p>
        <w:p w:rsidR="00454AA2" w14:paraId="26E6C67E" w14:textId="403B30FC">
          <w:pPr>
            <w:pStyle w:val="TOC2"/>
            <w:rPr>
              <w:rFonts w:eastAsiaTheme="minorEastAsia"/>
              <w:noProof/>
              <w:color w:val="auto"/>
            </w:rPr>
          </w:pPr>
          <w:hyperlink w:anchor="_Toc88047482" w:history="1">
            <w:r w:rsidRPr="00F16FAF">
              <w:rPr>
                <w:rStyle w:val="Hyperlink"/>
                <w:noProof/>
              </w:rPr>
              <w:t>A.18. Certification Statement</w:t>
            </w:r>
            <w:r>
              <w:rPr>
                <w:noProof/>
                <w:webHidden/>
              </w:rPr>
              <w:tab/>
            </w:r>
            <w:r>
              <w:rPr>
                <w:noProof/>
                <w:webHidden/>
              </w:rPr>
              <w:fldChar w:fldCharType="begin"/>
            </w:r>
            <w:r>
              <w:rPr>
                <w:noProof/>
                <w:webHidden/>
              </w:rPr>
              <w:instrText xml:space="preserve"> PAGEREF _Toc88047482 \h </w:instrText>
            </w:r>
            <w:r>
              <w:rPr>
                <w:noProof/>
                <w:webHidden/>
              </w:rPr>
              <w:fldChar w:fldCharType="separate"/>
            </w:r>
            <w:r>
              <w:rPr>
                <w:noProof/>
                <w:webHidden/>
              </w:rPr>
              <w:t>16</w:t>
            </w:r>
            <w:r>
              <w:rPr>
                <w:noProof/>
                <w:webHidden/>
              </w:rPr>
              <w:fldChar w:fldCharType="end"/>
            </w:r>
          </w:hyperlink>
        </w:p>
        <w:p w:rsidR="0059212D" w14:paraId="6499CD60" w14:textId="7E59898A">
          <w:r>
            <w:rPr>
              <w:b/>
              <w:bCs/>
              <w:noProof/>
            </w:rPr>
            <w:fldChar w:fldCharType="end"/>
          </w:r>
        </w:p>
      </w:sdtContent>
    </w:sdt>
    <w:p w:rsidR="001F3A8F" w:rsidP="00D928FD" w14:paraId="7B68BD21" w14:textId="77777777"/>
    <w:p w:rsidR="00D928FD" w:rsidP="00D928FD" w14:paraId="7C2C9259" w14:textId="77777777">
      <w:pPr>
        <w:sectPr w:rsidSect="00725453">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14:paraId="54F747CF" w14:textId="77777777">
      <w:pPr>
        <w:spacing w:line="240" w:lineRule="auto"/>
      </w:pPr>
    </w:p>
    <w:p w:rsidR="00933D5D" w:rsidP="00933D5D" w14:paraId="2D8AA432" w14:textId="77777777">
      <w:pPr>
        <w:tabs>
          <w:tab w:val="left" w:pos="7365"/>
        </w:tabs>
      </w:pPr>
      <w:r>
        <w:tab/>
      </w:r>
    </w:p>
    <w:p w:rsidR="00041909" w:rsidRPr="00933D5D" w:rsidP="00933D5D" w14:paraId="3AC9DD65" w14:textId="77777777">
      <w:pPr>
        <w:tabs>
          <w:tab w:val="left" w:pos="7365"/>
        </w:tabs>
        <w:sectPr w:rsidSect="00725453">
          <w:footerReference w:type="first" r:id="rId13"/>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244CE3" w14:paraId="73F20AF4" w14:textId="77777777">
      <w:pPr>
        <w:pStyle w:val="Heading2"/>
      </w:pPr>
      <w:bookmarkStart w:id="1" w:name="_Toc88047463"/>
      <w:r>
        <w:t>Introdu</w:t>
      </w:r>
      <w:r w:rsidR="00844524">
        <w:t>ction</w:t>
      </w:r>
      <w:bookmarkEnd w:id="1"/>
    </w:p>
    <w:p w:rsidR="006D42EC" w:rsidRPr="006D42EC" w:rsidP="00844524" w14:paraId="279B26A2" w14:textId="721AC96B">
      <w:pPr>
        <w:rPr>
          <w:b/>
        </w:rPr>
      </w:pPr>
      <w:r w:rsidRPr="006D42EC">
        <w:rPr>
          <w:b/>
        </w:rPr>
        <w:t>Provide a brief introduction of the Information Collection Request.</w:t>
      </w:r>
      <w:r w:rsidR="006C0F47">
        <w:rPr>
          <w:b/>
        </w:rPr>
        <w:t xml:space="preserve"> </w:t>
      </w:r>
      <w:r w:rsidRPr="006D42EC">
        <w:rPr>
          <w:b/>
        </w:rPr>
        <w:t>Include the purpose of this collection, note the publication of the 60-Day Federal Register Notice, and provide the list of forms within this collection.</w:t>
      </w:r>
    </w:p>
    <w:p w:rsidR="00A41763" w:rsidP="00A41763" w14:paraId="0625CF39" w14:textId="40D701EC">
      <w:r w:rsidRPr="005826E8">
        <w:t xml:space="preserve">The U.S. Department of Energy (DOE) intends to </w:t>
      </w:r>
      <w:r w:rsidR="00BC27AA">
        <w:t>revise</w:t>
      </w:r>
      <w:r w:rsidRPr="005826E8">
        <w:t xml:space="preserve"> the Certification Reports, Compliance Statements</w:t>
      </w:r>
      <w:r w:rsidR="00F75180">
        <w:t>, Application for a Test Procedure Waiver, and Recordkeeping</w:t>
      </w:r>
      <w:r w:rsidRPr="005826E8">
        <w:t xml:space="preserve"> for</w:t>
      </w:r>
      <w:r w:rsidR="006E7D3F">
        <w:t xml:space="preserve"> </w:t>
      </w:r>
      <w:r w:rsidR="00F75180">
        <w:t>C</w:t>
      </w:r>
      <w:r w:rsidRPr="005826E8">
        <w:t>onsumer Products and Commercial/Industrial Equipment subject to Energy or Water Conservation Standards Package under OMB No. 1910-1400.</w:t>
      </w:r>
      <w:r w:rsidR="006C0F47">
        <w:t xml:space="preserve">  </w:t>
      </w:r>
      <w:r w:rsidR="008813FA">
        <w:t>The 60-Day Federal Register Notice was published on September 26, 2023 [88 FR 65994].</w:t>
      </w:r>
    </w:p>
    <w:p w:rsidR="00F75180" w:rsidP="00FA7DBC" w14:paraId="18E0F046" w14:textId="33569256">
      <w:pPr>
        <w:pStyle w:val="BodyText"/>
      </w:pPr>
      <w:r>
        <w:t>Forms included within this collection include certification report templates for the following cover</w:t>
      </w:r>
      <w:r w:rsidRPr="00670B5A">
        <w:t>ed products: (1) Consumer refrigerators, refrigerator-freezers and freezers</w:t>
      </w:r>
      <w:r w:rsidR="00AB0E7B">
        <w:t xml:space="preserve"> (220.1)</w:t>
      </w:r>
      <w:r w:rsidRPr="00670B5A">
        <w:t>; (2) Room air conditioners</w:t>
      </w:r>
      <w:r w:rsidR="00AB0E7B">
        <w:t xml:space="preserve"> (220.2)</w:t>
      </w:r>
      <w:r w:rsidRPr="00670B5A">
        <w:t>; (3) Central air conditioners and central air conditioning heat pumps</w:t>
      </w:r>
      <w:r w:rsidR="00DF4B9C">
        <w:t xml:space="preserve"> (220.89, 220.90)</w:t>
      </w:r>
      <w:r w:rsidRPr="00670B5A">
        <w:t>; (4) Consumer water heaters</w:t>
      </w:r>
      <w:r w:rsidR="00A201FB">
        <w:t xml:space="preserve"> (220.6</w:t>
      </w:r>
      <w:r w:rsidR="00DF4B9C">
        <w:t>, 220.92</w:t>
      </w:r>
      <w:r w:rsidR="00A201FB">
        <w:t>)</w:t>
      </w:r>
      <w:r w:rsidRPr="00670B5A">
        <w:t>; (5) Consumer furnaces and boilers</w:t>
      </w:r>
      <w:r w:rsidR="00A201FB">
        <w:t xml:space="preserve"> (220.7)</w:t>
      </w:r>
      <w:r w:rsidRPr="00670B5A">
        <w:t>; (6) Dishwashers</w:t>
      </w:r>
      <w:r w:rsidR="00A201FB">
        <w:t xml:space="preserve"> (220.8)</w:t>
      </w:r>
      <w:r w:rsidRPr="00670B5A">
        <w:t>; (7) Residential clothes washers</w:t>
      </w:r>
      <w:r w:rsidR="00A201FB">
        <w:t xml:space="preserve"> (220.9)</w:t>
      </w:r>
      <w:r w:rsidRPr="00670B5A">
        <w:t>; (8) Clothes dryers</w:t>
      </w:r>
      <w:r w:rsidR="00DE085B">
        <w:t xml:space="preserve"> (</w:t>
      </w:r>
      <w:r w:rsidR="00BE2A3E">
        <w:t>220.68, 220.69)</w:t>
      </w:r>
      <w:r w:rsidRPr="00670B5A">
        <w:t>; (9) Direct heating equipment</w:t>
      </w:r>
      <w:r w:rsidR="00B951C9">
        <w:t xml:space="preserve"> (220.11)</w:t>
      </w:r>
      <w:r w:rsidRPr="00670B5A">
        <w:t>; (10) Cooking products</w:t>
      </w:r>
      <w:r w:rsidR="00B951C9">
        <w:t xml:space="preserve"> (220.12</w:t>
      </w:r>
      <w:r w:rsidR="005B65DE">
        <w:t xml:space="preserve">, </w:t>
      </w:r>
      <w:r w:rsidR="007E3002">
        <w:t>220.76</w:t>
      </w:r>
      <w:r w:rsidR="001F4822">
        <w:t>, 220.</w:t>
      </w:r>
      <w:r w:rsidR="00E90AC3">
        <w:t>98, 220.99</w:t>
      </w:r>
      <w:r w:rsidR="00B951C9">
        <w:t>)</w:t>
      </w:r>
      <w:r w:rsidRPr="00670B5A">
        <w:t>; (11</w:t>
      </w:r>
      <w:r w:rsidRPr="00193610">
        <w:t>) Pool heaters</w:t>
      </w:r>
      <w:r w:rsidRPr="00193610" w:rsidR="00B951C9">
        <w:t xml:space="preserve"> (220.13)</w:t>
      </w:r>
      <w:r w:rsidRPr="00193610">
        <w:t>; (</w:t>
      </w:r>
      <w:r w:rsidRPr="00193610" w:rsidR="00DF10DD">
        <w:t>12</w:t>
      </w:r>
      <w:r w:rsidRPr="00193610">
        <w:t>) Fluorescent lamp ballasts</w:t>
      </w:r>
      <w:r w:rsidRPr="00193610" w:rsidR="00B951C9">
        <w:t xml:space="preserve"> (</w:t>
      </w:r>
      <w:r w:rsidRPr="00193610" w:rsidR="005945CF">
        <w:t>220.14)</w:t>
      </w:r>
      <w:r w:rsidRPr="00193610">
        <w:t>; (</w:t>
      </w:r>
      <w:r w:rsidRPr="00193610" w:rsidR="00DF10DD">
        <w:t>13</w:t>
      </w:r>
      <w:r w:rsidRPr="00193610">
        <w:t>)</w:t>
      </w:r>
      <w:r w:rsidRPr="00DC7408" w:rsidR="00581BA7">
        <w:t xml:space="preserve"> General service fluorescent lamps (220.15)</w:t>
      </w:r>
      <w:r w:rsidRPr="00193610">
        <w:t>; (</w:t>
      </w:r>
      <w:r w:rsidRPr="00193610" w:rsidR="00DF10DD">
        <w:t>14</w:t>
      </w:r>
      <w:r w:rsidRPr="00193610">
        <w:t>) Faucets</w:t>
      </w:r>
      <w:r w:rsidR="00483D97">
        <w:t xml:space="preserve"> (220.18)</w:t>
      </w:r>
      <w:r w:rsidRPr="00670B5A">
        <w:t>; (</w:t>
      </w:r>
      <w:r w:rsidRPr="00670B5A" w:rsidR="00DF10DD">
        <w:t>1</w:t>
      </w:r>
      <w:r w:rsidR="00DF10DD">
        <w:t>5</w:t>
      </w:r>
      <w:r w:rsidRPr="00670B5A">
        <w:t>) Showerheads</w:t>
      </w:r>
      <w:r w:rsidR="004B6512">
        <w:t xml:space="preserve"> (220.19)</w:t>
      </w:r>
      <w:r w:rsidRPr="00670B5A">
        <w:t>; (</w:t>
      </w:r>
      <w:r w:rsidRPr="00670B5A" w:rsidR="00DF10DD">
        <w:t>1</w:t>
      </w:r>
      <w:r w:rsidR="00DF10DD">
        <w:t>6</w:t>
      </w:r>
      <w:r w:rsidRPr="00670B5A">
        <w:t>) Water closets</w:t>
      </w:r>
      <w:r w:rsidR="004B6512">
        <w:t xml:space="preserve"> (220.20)</w:t>
      </w:r>
      <w:r w:rsidRPr="00670B5A">
        <w:t>; (</w:t>
      </w:r>
      <w:r w:rsidRPr="00670B5A" w:rsidR="00DF10DD">
        <w:t>1</w:t>
      </w:r>
      <w:r w:rsidR="00DF10DD">
        <w:t>7</w:t>
      </w:r>
      <w:r w:rsidRPr="00670B5A">
        <w:t>) Urinals</w:t>
      </w:r>
      <w:r w:rsidR="004B6512">
        <w:t xml:space="preserve"> (220.21)</w:t>
      </w:r>
      <w:r w:rsidRPr="00670B5A">
        <w:t>; (</w:t>
      </w:r>
      <w:r w:rsidRPr="00670B5A" w:rsidR="00DF10DD">
        <w:t>1</w:t>
      </w:r>
      <w:r w:rsidR="00DF10DD">
        <w:t>8</w:t>
      </w:r>
      <w:r w:rsidRPr="00670B5A">
        <w:t>) Ceiling fans</w:t>
      </w:r>
      <w:r w:rsidR="004B6512">
        <w:t xml:space="preserve"> (220.22)</w:t>
      </w:r>
      <w:r w:rsidRPr="00670B5A">
        <w:t>; (</w:t>
      </w:r>
      <w:r w:rsidR="00DF10DD">
        <w:t>19</w:t>
      </w:r>
      <w:r w:rsidRPr="00670B5A">
        <w:t>) Ceiling fan light kits</w:t>
      </w:r>
      <w:r w:rsidR="00DF4B9C">
        <w:t xml:space="preserve"> (220.94)</w:t>
      </w:r>
      <w:r w:rsidRPr="00670B5A">
        <w:t>; (</w:t>
      </w:r>
      <w:r w:rsidRPr="00670B5A" w:rsidR="00DF10DD">
        <w:t>2</w:t>
      </w:r>
      <w:r w:rsidR="00DF10DD">
        <w:t>0</w:t>
      </w:r>
      <w:r w:rsidRPr="00670B5A">
        <w:t>) Torchieres</w:t>
      </w:r>
      <w:r w:rsidR="00A67B2E">
        <w:t xml:space="preserve"> (220.25</w:t>
      </w:r>
      <w:r w:rsidRPr="007218FF" w:rsidR="00A67B2E">
        <w:t>)</w:t>
      </w:r>
      <w:r w:rsidRPr="007218FF">
        <w:t>; (2</w:t>
      </w:r>
      <w:r w:rsidRPr="007218FF" w:rsidR="00DF10DD">
        <w:t>1</w:t>
      </w:r>
      <w:r w:rsidRPr="007218FF">
        <w:t>)</w:t>
      </w:r>
      <w:r w:rsidRPr="007218FF" w:rsidR="0065435E">
        <w:t xml:space="preserve"> </w:t>
      </w:r>
      <w:r w:rsidRPr="00DC7408" w:rsidR="0065435E">
        <w:t>General service lamps including,</w:t>
      </w:r>
      <w:r w:rsidRPr="007218FF" w:rsidR="0065435E">
        <w:t xml:space="preserve"> compact fluorescent lamps (220.</w:t>
      </w:r>
      <w:r w:rsidRPr="007218FF" w:rsidR="0032632F">
        <w:t>102</w:t>
      </w:r>
      <w:r w:rsidRPr="007218FF" w:rsidR="0065435E">
        <w:t>),</w:t>
      </w:r>
      <w:r w:rsidRPr="00DC7408" w:rsidR="0065435E">
        <w:t xml:space="preserve"> general service incandescent lamps (220.17),</w:t>
      </w:r>
      <w:r w:rsidRPr="00DC7408" w:rsidR="00D22390">
        <w:t xml:space="preserve"> i</w:t>
      </w:r>
      <w:r w:rsidRPr="00DC7408" w:rsidR="0065435E">
        <w:t>ntegrated light-emitting diode lamps (</w:t>
      </w:r>
      <w:r w:rsidRPr="00DC7408" w:rsidR="00D908A7">
        <w:t>220.103</w:t>
      </w:r>
      <w:r w:rsidRPr="00DC7408" w:rsidR="0065435E">
        <w:t>)</w:t>
      </w:r>
      <w:r w:rsidRPr="00DC7408" w:rsidR="002D405B">
        <w:t>, and candelabra base incandescent lamps and intermediate base incandescent lamps (220.32)</w:t>
      </w:r>
      <w:r w:rsidRPr="007218FF">
        <w:t>; (</w:t>
      </w:r>
      <w:r w:rsidRPr="007218FF" w:rsidR="00DF10DD">
        <w:t>22</w:t>
      </w:r>
      <w:r w:rsidRPr="007218FF">
        <w:t>) Dehumidifiers</w:t>
      </w:r>
      <w:r w:rsidRPr="007218FF" w:rsidR="00DF1013">
        <w:t xml:space="preserve"> (220.</w:t>
      </w:r>
      <w:r w:rsidRPr="007218FF" w:rsidR="0027450F">
        <w:t>27)</w:t>
      </w:r>
      <w:r w:rsidRPr="007218FF">
        <w:t>; (</w:t>
      </w:r>
      <w:r w:rsidRPr="007218FF" w:rsidR="00DF10DD">
        <w:t>23</w:t>
      </w:r>
      <w:r w:rsidRPr="007218FF">
        <w:t>) External power supplies</w:t>
      </w:r>
      <w:r w:rsidRPr="007218FF" w:rsidR="0027450F">
        <w:t xml:space="preserve"> (220.28, 220.30</w:t>
      </w:r>
      <w:r w:rsidRPr="007218FF" w:rsidR="008C19A0">
        <w:t>, 220.83</w:t>
      </w:r>
      <w:r w:rsidRPr="007218FF" w:rsidR="006F191A">
        <w:t>)</w:t>
      </w:r>
      <w:r w:rsidRPr="007218FF">
        <w:t>; (</w:t>
      </w:r>
      <w:r w:rsidRPr="007218FF" w:rsidR="00DF10DD">
        <w:t>24</w:t>
      </w:r>
      <w:r w:rsidRPr="007218FF">
        <w:t>) Battery chargers</w:t>
      </w:r>
      <w:r w:rsidR="008C19A0">
        <w:t xml:space="preserve"> (220.82</w:t>
      </w:r>
      <w:r w:rsidR="00DF4B9C">
        <w:t>, 220.93</w:t>
      </w:r>
      <w:r w:rsidR="008C19A0">
        <w:t>)</w:t>
      </w:r>
      <w:r w:rsidRPr="00670B5A">
        <w:t xml:space="preserve">; </w:t>
      </w:r>
      <w:r w:rsidR="00786F93">
        <w:t xml:space="preserve">(25) </w:t>
      </w:r>
      <w:r w:rsidRPr="002D405B" w:rsidR="002D405B">
        <w:t xml:space="preserve">incandescent reflector lamps </w:t>
      </w:r>
      <w:r w:rsidR="002D405B">
        <w:t>(</w:t>
      </w:r>
      <w:r w:rsidRPr="002D405B" w:rsidR="002D405B">
        <w:t>220.16</w:t>
      </w:r>
      <w:r w:rsidR="002D405B">
        <w:t xml:space="preserve">, </w:t>
      </w:r>
      <w:r w:rsidRPr="002D405B" w:rsidR="002D405B">
        <w:t>220.81</w:t>
      </w:r>
      <w:r w:rsidR="002D405B">
        <w:t>)</w:t>
      </w:r>
      <w:r w:rsidRPr="00670B5A">
        <w:t>; (</w:t>
      </w:r>
      <w:r w:rsidRPr="00670B5A" w:rsidR="00DF10DD">
        <w:t>2</w:t>
      </w:r>
      <w:r w:rsidR="00DF10DD">
        <w:t>6</w:t>
      </w:r>
      <w:r w:rsidRPr="00670B5A">
        <w:t>) Commercial warm air furnaces</w:t>
      </w:r>
      <w:r w:rsidR="008312C0">
        <w:t xml:space="preserve"> (220.36)</w:t>
      </w:r>
      <w:r w:rsidRPr="00670B5A">
        <w:t>; (</w:t>
      </w:r>
      <w:r w:rsidRPr="00670B5A" w:rsidR="00DF10DD">
        <w:t>2</w:t>
      </w:r>
      <w:r w:rsidR="00DF10DD">
        <w:t>7</w:t>
      </w:r>
      <w:r w:rsidRPr="00670B5A">
        <w:t>) Commercial refrigerators, freezers, and refrigerator-freezers</w:t>
      </w:r>
      <w:r w:rsidR="006F191A">
        <w:t xml:space="preserve"> (220.</w:t>
      </w:r>
      <w:r w:rsidR="008312C0">
        <w:t>34, 220.35)</w:t>
      </w:r>
      <w:r w:rsidRPr="00670B5A">
        <w:t>; (</w:t>
      </w:r>
      <w:r w:rsidRPr="00670B5A" w:rsidR="00DF10DD">
        <w:t>2</w:t>
      </w:r>
      <w:r w:rsidR="00DF10DD">
        <w:t>8</w:t>
      </w:r>
      <w:r w:rsidRPr="00670B5A">
        <w:t>) Commercial heating and air conditioning equipment</w:t>
      </w:r>
      <w:r w:rsidR="008312C0">
        <w:t xml:space="preserve"> (220.</w:t>
      </w:r>
      <w:r w:rsidR="00C7000A">
        <w:t>38, 220.40,</w:t>
      </w:r>
      <w:r w:rsidR="00460AB5">
        <w:t xml:space="preserve"> 220.73, 220.74, 220.75</w:t>
      </w:r>
      <w:r w:rsidR="0026121E">
        <w:t>, 220.96)</w:t>
      </w:r>
      <w:r w:rsidRPr="00670B5A">
        <w:t>; (</w:t>
      </w:r>
      <w:r w:rsidR="00DF10DD">
        <w:t>29</w:t>
      </w:r>
      <w:r w:rsidRPr="00670B5A">
        <w:t>) Commercial water heating equipment</w:t>
      </w:r>
      <w:r w:rsidR="00C7000A">
        <w:t xml:space="preserve"> (220.41, 220.42</w:t>
      </w:r>
      <w:r w:rsidR="001934E1">
        <w:t>, 220.43, 220.44)</w:t>
      </w:r>
      <w:r w:rsidRPr="00670B5A">
        <w:t>; (</w:t>
      </w:r>
      <w:r w:rsidRPr="00670B5A" w:rsidR="00DF10DD">
        <w:t>3</w:t>
      </w:r>
      <w:r w:rsidR="00DF10DD">
        <w:t>0</w:t>
      </w:r>
      <w:r w:rsidRPr="00670B5A">
        <w:t>) Automatic commercial ice makers</w:t>
      </w:r>
      <w:r w:rsidR="000B0CCD">
        <w:t xml:space="preserve"> (220.45)</w:t>
      </w:r>
      <w:r w:rsidRPr="00670B5A">
        <w:t>; (</w:t>
      </w:r>
      <w:r w:rsidRPr="00670B5A" w:rsidR="00DF10DD">
        <w:t>3</w:t>
      </w:r>
      <w:r w:rsidR="00DF10DD">
        <w:t>1</w:t>
      </w:r>
      <w:r w:rsidRPr="00670B5A">
        <w:t>) Commercial clothes washers</w:t>
      </w:r>
      <w:r w:rsidR="000B0CCD">
        <w:t xml:space="preserve"> (220.46)</w:t>
      </w:r>
      <w:r w:rsidRPr="00670B5A">
        <w:t>; (</w:t>
      </w:r>
      <w:r w:rsidRPr="00670B5A" w:rsidR="00DF10DD">
        <w:t>3</w:t>
      </w:r>
      <w:r w:rsidR="00DF10DD">
        <w:t>2</w:t>
      </w:r>
      <w:r w:rsidRPr="00670B5A">
        <w:t>) Distribution transformers</w:t>
      </w:r>
      <w:r w:rsidR="000B0CCD">
        <w:t xml:space="preserve"> (220.</w:t>
      </w:r>
      <w:r w:rsidR="008D436F">
        <w:t>47, 220.48, 220.49, 220.50, 220.51, 220.52)</w:t>
      </w:r>
      <w:r w:rsidRPr="00670B5A">
        <w:t>; (</w:t>
      </w:r>
      <w:r w:rsidRPr="00670B5A" w:rsidR="00DF10DD">
        <w:t>3</w:t>
      </w:r>
      <w:r w:rsidR="00DF10DD">
        <w:t>3</w:t>
      </w:r>
      <w:r w:rsidRPr="00670B5A">
        <w:t>) Illuminated exit signs</w:t>
      </w:r>
      <w:r w:rsidR="008D436F">
        <w:t xml:space="preserve"> (220.</w:t>
      </w:r>
      <w:r w:rsidR="00061D9C">
        <w:t>53)</w:t>
      </w:r>
      <w:r w:rsidRPr="00670B5A">
        <w:t>; (</w:t>
      </w:r>
      <w:r w:rsidRPr="00670B5A" w:rsidR="00DF10DD">
        <w:t>3</w:t>
      </w:r>
      <w:r w:rsidR="00DF10DD">
        <w:t>4</w:t>
      </w:r>
      <w:r w:rsidRPr="00670B5A">
        <w:t>) Traffic signal modules and pedestrian modules</w:t>
      </w:r>
      <w:r w:rsidR="00061D9C">
        <w:t xml:space="preserve"> (220.54)</w:t>
      </w:r>
      <w:r w:rsidRPr="00670B5A">
        <w:t>; (</w:t>
      </w:r>
      <w:r w:rsidRPr="00670B5A" w:rsidR="00DF10DD">
        <w:t>3</w:t>
      </w:r>
      <w:r w:rsidR="00DF10DD">
        <w:t>5</w:t>
      </w:r>
      <w:r w:rsidRPr="00670B5A">
        <w:t>) Commercial unit heaters</w:t>
      </w:r>
      <w:r w:rsidR="00061D9C">
        <w:t xml:space="preserve"> (220.55)</w:t>
      </w:r>
      <w:r w:rsidRPr="00670B5A">
        <w:t>; (</w:t>
      </w:r>
      <w:r w:rsidRPr="00670B5A" w:rsidR="00DF10DD">
        <w:t>3</w:t>
      </w:r>
      <w:r w:rsidR="00DF10DD">
        <w:t>6</w:t>
      </w:r>
      <w:r w:rsidRPr="00670B5A">
        <w:t>) Commercial pre-rinse spray valves</w:t>
      </w:r>
      <w:r w:rsidR="00061D9C">
        <w:t xml:space="preserve"> (220.56)</w:t>
      </w:r>
      <w:r w:rsidRPr="00670B5A">
        <w:t>; (</w:t>
      </w:r>
      <w:r w:rsidRPr="00670B5A" w:rsidR="00DF10DD">
        <w:t>3</w:t>
      </w:r>
      <w:r w:rsidR="00DF10DD">
        <w:t>7</w:t>
      </w:r>
      <w:r w:rsidRPr="00670B5A">
        <w:t>) Refrigerated bottled or canned beverage vending machines</w:t>
      </w:r>
      <w:r w:rsidR="00061D9C">
        <w:t xml:space="preserve"> (220.57)</w:t>
      </w:r>
      <w:r w:rsidRPr="00670B5A">
        <w:t>; (</w:t>
      </w:r>
      <w:r w:rsidRPr="00670B5A" w:rsidR="00DF10DD">
        <w:t>3</w:t>
      </w:r>
      <w:r w:rsidR="00DF10DD">
        <w:t>8</w:t>
      </w:r>
      <w:r w:rsidRPr="00670B5A">
        <w:t>) Walk-in coolers and walk-in freezers and certain components</w:t>
      </w:r>
      <w:r w:rsidR="00D60BAD">
        <w:t xml:space="preserve"> (220.58, 220.59, 220.60)</w:t>
      </w:r>
      <w:r w:rsidRPr="00670B5A">
        <w:t>; (</w:t>
      </w:r>
      <w:r w:rsidR="00DF10DD">
        <w:t>39</w:t>
      </w:r>
      <w:r w:rsidRPr="00670B5A">
        <w:t>) Metal halide lamp ballasts and fixtures</w:t>
      </w:r>
      <w:r w:rsidR="00D60BAD">
        <w:t xml:space="preserve"> (</w:t>
      </w:r>
      <w:r w:rsidR="00956092">
        <w:t>220.62)</w:t>
      </w:r>
      <w:r w:rsidR="00D60BAD">
        <w:t>;</w:t>
      </w:r>
      <w:r w:rsidRPr="00670B5A">
        <w:t xml:space="preserve"> (4</w:t>
      </w:r>
      <w:r w:rsidR="00DF10DD">
        <w:t>0</w:t>
      </w:r>
      <w:r w:rsidRPr="00670B5A">
        <w:t>) Furnace fans</w:t>
      </w:r>
      <w:r w:rsidR="008C19A0">
        <w:t xml:space="preserve"> (220.84)</w:t>
      </w:r>
      <w:r w:rsidRPr="00670B5A">
        <w:t>; (</w:t>
      </w:r>
      <w:r w:rsidRPr="00670B5A" w:rsidR="007B146D">
        <w:t>4</w:t>
      </w:r>
      <w:r w:rsidR="00DF10DD">
        <w:t>1</w:t>
      </w:r>
      <w:r w:rsidRPr="00670B5A">
        <w:t>) Pumps</w:t>
      </w:r>
      <w:r w:rsidR="00097775">
        <w:t xml:space="preserve"> (220.86</w:t>
      </w:r>
      <w:r w:rsidR="00DF4B9C">
        <w:t>, 220.87</w:t>
      </w:r>
      <w:r w:rsidR="00097775">
        <w:t>)</w:t>
      </w:r>
      <w:r w:rsidRPr="00670B5A">
        <w:t>; (</w:t>
      </w:r>
      <w:r w:rsidRPr="00670B5A" w:rsidR="007B146D">
        <w:t>4</w:t>
      </w:r>
      <w:r w:rsidR="00DF10DD">
        <w:t>2</w:t>
      </w:r>
      <w:r w:rsidRPr="00670B5A">
        <w:t>) Commercial packaged boilers</w:t>
      </w:r>
      <w:r w:rsidR="00460AB5">
        <w:t xml:space="preserve"> (220.70, 220.71)</w:t>
      </w:r>
      <w:r w:rsidRPr="00670B5A">
        <w:t>; (</w:t>
      </w:r>
      <w:r w:rsidRPr="00670B5A" w:rsidR="007B146D">
        <w:t>4</w:t>
      </w:r>
      <w:r w:rsidR="00DF10DD">
        <w:t>3</w:t>
      </w:r>
      <w:r w:rsidRPr="00670B5A">
        <w:t>) Consumer miscellaneous refrigeration equipment</w:t>
      </w:r>
      <w:r w:rsidR="008C19A0">
        <w:t xml:space="preserve"> (220.</w:t>
      </w:r>
      <w:r w:rsidR="00097775">
        <w:t>85)</w:t>
      </w:r>
      <w:r w:rsidRPr="00670B5A">
        <w:t>; (</w:t>
      </w:r>
      <w:r w:rsidRPr="00670B5A" w:rsidR="007B146D">
        <w:t>4</w:t>
      </w:r>
      <w:r w:rsidR="00DF10DD">
        <w:t>4</w:t>
      </w:r>
      <w:r w:rsidRPr="00670B5A">
        <w:t>) Portable air conditioners</w:t>
      </w:r>
      <w:r w:rsidR="00DF4B9C">
        <w:t xml:space="preserve"> (220.95)</w:t>
      </w:r>
      <w:r w:rsidRPr="00670B5A">
        <w:t>; (</w:t>
      </w:r>
      <w:r w:rsidRPr="00670B5A" w:rsidR="007B146D">
        <w:t>4</w:t>
      </w:r>
      <w:r w:rsidR="00DF10DD">
        <w:t>5</w:t>
      </w:r>
      <w:r w:rsidRPr="00670B5A">
        <w:t>) Compressors</w:t>
      </w:r>
      <w:r w:rsidR="00E90AC3">
        <w:t xml:space="preserve"> (220.101)</w:t>
      </w:r>
      <w:r w:rsidRPr="00670B5A">
        <w:t>; (</w:t>
      </w:r>
      <w:r w:rsidRPr="00670B5A" w:rsidR="007B146D">
        <w:t>4</w:t>
      </w:r>
      <w:r w:rsidR="00DF10DD">
        <w:t>6</w:t>
      </w:r>
      <w:r w:rsidRPr="00670B5A">
        <w:t>) Electric motors</w:t>
      </w:r>
      <w:r w:rsidR="00DA2E4A">
        <w:t xml:space="preserve"> and small electric motors</w:t>
      </w:r>
      <w:r w:rsidR="007E3002">
        <w:t xml:space="preserve"> (220.77, 220.78, </w:t>
      </w:r>
      <w:r w:rsidR="00AD23EC">
        <w:t>220.79)</w:t>
      </w:r>
      <w:r>
        <w:t>;</w:t>
      </w:r>
      <w:r w:rsidRPr="00670B5A">
        <w:t xml:space="preserve"> </w:t>
      </w:r>
      <w:r w:rsidRPr="00F75180">
        <w:t>(</w:t>
      </w:r>
      <w:r w:rsidR="007B146D">
        <w:t>4</w:t>
      </w:r>
      <w:r w:rsidR="00DF10DD">
        <w:t>7</w:t>
      </w:r>
      <w:r w:rsidRPr="00F75180">
        <w:t>) dedicated-purpose pool pump motors</w:t>
      </w:r>
      <w:r w:rsidR="0026121E">
        <w:t xml:space="preserve"> (220.97)</w:t>
      </w:r>
      <w:r w:rsidRPr="00F75180">
        <w:t>; and (</w:t>
      </w:r>
      <w:r w:rsidR="00DF10DD">
        <w:t>48</w:t>
      </w:r>
      <w:r w:rsidRPr="00F75180">
        <w:t>) air cleaners</w:t>
      </w:r>
      <w:r w:rsidR="00E90AC3">
        <w:t xml:space="preserve"> (220.100)</w:t>
      </w:r>
      <w:r w:rsidRPr="00C81147">
        <w:t>.</w:t>
      </w:r>
    </w:p>
    <w:p w:rsidR="00FA7DBC" w:rsidP="00FA7DBC" w14:paraId="3A99F8F1" w14:textId="31AD826A">
      <w:pPr>
        <w:pStyle w:val="BodyText"/>
      </w:pPr>
      <w:r>
        <w:t xml:space="preserve">Certification of compliance to DOE is a mechanism that helps manufacturers understand their obligations for distributing models of covered products and equipment that are subject to energy conservation standards. Certification reports include characteristics of covered products or equipment used to determine which standard applies to a given basic model, and they also help DOE identify models and/or regulated entities that may not </w:t>
      </w:r>
      <w:r>
        <w:t>be in compliance with</w:t>
      </w:r>
      <w:r>
        <w:t xml:space="preserve"> the applicable regulations.</w:t>
      </w:r>
    </w:p>
    <w:p w:rsidR="00800C91" w:rsidP="001B0F3B" w14:paraId="012FAED4" w14:textId="6A70FDCB">
      <w:pPr>
        <w:pStyle w:val="BodyText"/>
      </w:pPr>
      <w:r>
        <w:t xml:space="preserve">DOE </w:t>
      </w:r>
      <w:r w:rsidR="0015787E">
        <w:t>has</w:t>
      </w:r>
      <w:r>
        <w:t xml:space="preserve"> </w:t>
      </w:r>
      <w:r w:rsidR="0062543D">
        <w:t xml:space="preserve">also </w:t>
      </w:r>
      <w:r w:rsidR="00DE7146">
        <w:t>published</w:t>
      </w:r>
      <w:r w:rsidR="0062543D">
        <w:t xml:space="preserve"> a</w:t>
      </w:r>
      <w:r>
        <w:t xml:space="preserve"> rulemaking proposal for various covered products and covered equipment that </w:t>
      </w:r>
      <w:r w:rsidR="0015787E">
        <w:t>would</w:t>
      </w:r>
      <w:r>
        <w:t xml:space="preserve"> amend the information collection requirements for certain products and equipment subject to energy conservation standards. </w:t>
      </w:r>
      <w:r w:rsidR="00FA7DBC">
        <w:t xml:space="preserve">For the products and equipment addressed in this </w:t>
      </w:r>
      <w:r w:rsidR="006B0F8C">
        <w:t>revision</w:t>
      </w:r>
      <w:r w:rsidR="00FA7DBC">
        <w:t xml:space="preserve">, DOE has identified areas in which the certification reporting requirements are not consistent with the information required to </w:t>
      </w:r>
      <w:r w:rsidRPr="0058066A" w:rsidR="00FA7DBC">
        <w:t xml:space="preserve">verify </w:t>
      </w:r>
      <w:r>
        <w:t xml:space="preserve">compliance </w:t>
      </w:r>
      <w:r w:rsidR="00FA7DBC">
        <w:t>with current energy conservation standards</w:t>
      </w:r>
      <w:r>
        <w:t>, new information that needs to be collected pursuant to statutory direction, and new models that will need to be submitted as a result of a change to a definition for products where compliance with certification requirements is already required</w:t>
      </w:r>
      <w:r w:rsidR="00FA7DBC">
        <w:t>.</w:t>
      </w:r>
      <w:r w:rsidR="006C0F47">
        <w:t xml:space="preserve">  </w:t>
      </w:r>
    </w:p>
    <w:p w:rsidR="00800C91" w:rsidRPr="00800C91" w:rsidP="00800C91" w14:paraId="19DAA72B" w14:textId="35542FA6">
      <w:pPr>
        <w:pStyle w:val="BodyText"/>
        <w:numPr>
          <w:ilvl w:val="0"/>
          <w:numId w:val="49"/>
        </w:numPr>
      </w:pPr>
      <w:r>
        <w:t xml:space="preserve">On </w:t>
      </w:r>
      <w:r w:rsidR="00DE156C">
        <w:t>September 29</w:t>
      </w:r>
      <w:r w:rsidR="00E009E0">
        <w:t>, 2023</w:t>
      </w:r>
      <w:r>
        <w:t>,</w:t>
      </w:r>
      <w:r w:rsidR="001B0F3B">
        <w:t xml:space="preserve"> DOE </w:t>
      </w:r>
      <w:r w:rsidR="00F118A2">
        <w:t>published</w:t>
      </w:r>
      <w:r w:rsidRPr="00D4619E" w:rsidR="001B0F3B">
        <w:rPr>
          <w:rFonts w:ascii="Calibri" w:hAnsi="Calibri" w:cs="Calibri"/>
        </w:rPr>
        <w:t xml:space="preserve"> a notice of proposed rulemaking titled “</w:t>
      </w:r>
      <w:r w:rsidRPr="00E009E0" w:rsidR="00E009E0">
        <w:rPr>
          <w:rFonts w:ascii="Calibri" w:hAnsi="Calibri" w:cs="Calibri"/>
        </w:rPr>
        <w:t>Certification Requirements, Labeling Requirements, and Enforcement Provisions for Certain Consumer Products and Commercial Equipment</w:t>
      </w:r>
      <w:r w:rsidRPr="00D4619E" w:rsidR="001B0F3B">
        <w:rPr>
          <w:rFonts w:ascii="Calibri" w:hAnsi="Calibri" w:cs="Calibri"/>
        </w:rPr>
        <w:t>”</w:t>
      </w:r>
      <w:r w:rsidR="009C3D3E">
        <w:rPr>
          <w:rFonts w:ascii="Calibri" w:hAnsi="Calibri" w:cs="Calibri"/>
        </w:rPr>
        <w:t xml:space="preserve"> </w:t>
      </w:r>
      <w:r w:rsidR="00DE156C">
        <w:rPr>
          <w:rFonts w:ascii="Calibri" w:hAnsi="Calibri" w:cs="Calibri"/>
        </w:rPr>
        <w:t>[88 FR 67458]</w:t>
      </w:r>
      <w:r w:rsidR="008C6979">
        <w:rPr>
          <w:rFonts w:ascii="Calibri" w:hAnsi="Calibri" w:cs="Calibri"/>
        </w:rPr>
        <w:t xml:space="preserve">. </w:t>
      </w:r>
    </w:p>
    <w:p w:rsidR="00085C1D" w:rsidRPr="00A41763" w:rsidP="00FA6E00" w14:paraId="16205F64" w14:textId="73DF780D">
      <w:pPr>
        <w:pStyle w:val="BodyText"/>
      </w:pPr>
      <w:r>
        <w:rPr>
          <w:rFonts w:ascii="Calibri" w:hAnsi="Calibri" w:cs="Calibri"/>
        </w:rPr>
        <w:t>Th</w:t>
      </w:r>
      <w:r w:rsidR="00E009E0">
        <w:rPr>
          <w:rFonts w:ascii="Calibri" w:hAnsi="Calibri" w:cs="Calibri"/>
        </w:rPr>
        <w:t>is</w:t>
      </w:r>
      <w:r>
        <w:rPr>
          <w:rFonts w:ascii="Calibri" w:hAnsi="Calibri" w:cs="Calibri"/>
        </w:rPr>
        <w:t xml:space="preserve"> notice </w:t>
      </w:r>
      <w:r w:rsidRPr="007E684C" w:rsidR="00800C91">
        <w:t>propos</w:t>
      </w:r>
      <w:r w:rsidR="00800C91">
        <w:t>e</w:t>
      </w:r>
      <w:r w:rsidR="00C87B12">
        <w:t>d</w:t>
      </w:r>
      <w:r w:rsidRPr="007E684C" w:rsidR="001B0F3B">
        <w:t xml:space="preserve"> </w:t>
      </w:r>
      <w:r w:rsidR="00FA6E00">
        <w:t>changes to certain information collection</w:t>
      </w:r>
      <w:r w:rsidRPr="007E684C" w:rsidR="001B0F3B">
        <w:t xml:space="preserve"> for these products</w:t>
      </w:r>
      <w:r w:rsidR="001B0F3B">
        <w:t xml:space="preserve"> and equipment t</w:t>
      </w:r>
      <w:r w:rsidRPr="007E684C" w:rsidR="001B0F3B">
        <w:t xml:space="preserve">o </w:t>
      </w:r>
      <w:r w:rsidR="00FA6E00">
        <w:t xml:space="preserve">help </w:t>
      </w:r>
      <w:r w:rsidRPr="007E684C" w:rsidR="001B0F3B">
        <w:t xml:space="preserve">ensure reporting </w:t>
      </w:r>
      <w:r w:rsidR="00FA6E00">
        <w:t>is</w:t>
      </w:r>
      <w:r w:rsidRPr="007E684C" w:rsidR="001B0F3B">
        <w:t xml:space="preserve"> consistent with currently applicable energy conservation standards </w:t>
      </w:r>
      <w:r w:rsidR="00FA6E00">
        <w:t xml:space="preserve">and metrics </w:t>
      </w:r>
      <w:r w:rsidRPr="007E684C" w:rsidR="001B0F3B">
        <w:t>and to ensure DOE has the information necessary to determine the appropriate classification of products for the application of standards.</w:t>
      </w:r>
      <w:r w:rsidR="001B0F3B">
        <w:t xml:space="preserve"> </w:t>
      </w:r>
      <w:r w:rsidR="0098732D">
        <w:t xml:space="preserve">Some proposed changes do not affect reporting forms. </w:t>
      </w:r>
      <w:r w:rsidR="005826E8">
        <w:t xml:space="preserve">Forms </w:t>
      </w:r>
      <w:r w:rsidR="00497295">
        <w:t xml:space="preserve">to be </w:t>
      </w:r>
      <w:r w:rsidR="00C57040">
        <w:t>modified</w:t>
      </w:r>
      <w:r w:rsidR="005826E8">
        <w:t xml:space="preserve"> </w:t>
      </w:r>
      <w:r w:rsidR="00497295">
        <w:t>as a result of</w:t>
      </w:r>
      <w:r w:rsidR="005826E8">
        <w:t xml:space="preserve"> this collection </w:t>
      </w:r>
      <w:r w:rsidR="00497295">
        <w:t xml:space="preserve">revision </w:t>
      </w:r>
      <w:r w:rsidR="00670B5A">
        <w:t>include certification report templates for the following cover</w:t>
      </w:r>
      <w:r w:rsidRPr="00670B5A" w:rsidR="00670B5A">
        <w:t>ed products</w:t>
      </w:r>
      <w:r w:rsidRPr="00670B5A" w:rsidR="005826E8">
        <w:t xml:space="preserve">: </w:t>
      </w:r>
      <w:r w:rsidRPr="00670B5A" w:rsidR="00670B5A">
        <w:t>(</w:t>
      </w:r>
      <w:r>
        <w:t>1</w:t>
      </w:r>
      <w:r w:rsidRPr="00670B5A" w:rsidR="00670B5A">
        <w:t xml:space="preserve">) </w:t>
      </w:r>
      <w:r w:rsidR="00452944">
        <w:t>Central air conditioners and heat pumps</w:t>
      </w:r>
      <w:r w:rsidR="007C2849">
        <w:t xml:space="preserve"> (220.</w:t>
      </w:r>
      <w:r w:rsidR="001A20D2">
        <w:t>89)</w:t>
      </w:r>
      <w:r w:rsidRPr="00670B5A" w:rsidR="00670B5A">
        <w:t>; (</w:t>
      </w:r>
      <w:r>
        <w:t>2</w:t>
      </w:r>
      <w:r w:rsidRPr="00670B5A" w:rsidR="00670B5A">
        <w:t>)</w:t>
      </w:r>
      <w:r w:rsidR="00FD3F00">
        <w:t xml:space="preserve"> Pool heaters</w:t>
      </w:r>
      <w:r w:rsidR="001A20D2">
        <w:t xml:space="preserve"> (220.13)</w:t>
      </w:r>
      <w:r w:rsidR="00FD3F00">
        <w:t>;</w:t>
      </w:r>
      <w:r w:rsidRPr="00670B5A" w:rsidR="00670B5A">
        <w:t xml:space="preserve"> (</w:t>
      </w:r>
      <w:r w:rsidR="000747BF">
        <w:t>3</w:t>
      </w:r>
      <w:r w:rsidRPr="00670B5A" w:rsidR="00670B5A">
        <w:t xml:space="preserve">) </w:t>
      </w:r>
      <w:r w:rsidR="00FD3F00">
        <w:t>External power supplies</w:t>
      </w:r>
      <w:r w:rsidR="00150645">
        <w:t xml:space="preserve"> (220.28, 220.30, 220.83)</w:t>
      </w:r>
      <w:r w:rsidR="00FD3F00">
        <w:t>;</w:t>
      </w:r>
      <w:r w:rsidR="009B0B37">
        <w:t xml:space="preserve"> (</w:t>
      </w:r>
      <w:r w:rsidR="002411A0">
        <w:t>4</w:t>
      </w:r>
      <w:r w:rsidR="009B0B37">
        <w:t>)</w:t>
      </w:r>
      <w:r w:rsidRPr="00670B5A" w:rsidR="00670B5A">
        <w:t xml:space="preserve"> </w:t>
      </w:r>
      <w:r w:rsidR="00FD3F00">
        <w:t>T</w:t>
      </w:r>
      <w:r w:rsidRPr="00FD3F00" w:rsidR="00FD3F00">
        <w:t xml:space="preserve">hree-phase less than 65,000 Btu/h </w:t>
      </w:r>
      <w:r w:rsidR="00FD3F00">
        <w:t>air-cooled commercial unitary air conditioners and heat pumps</w:t>
      </w:r>
      <w:r w:rsidR="00150645">
        <w:t xml:space="preserve"> (220.39)</w:t>
      </w:r>
      <w:r w:rsidR="00FD3F00">
        <w:t>; (</w:t>
      </w:r>
      <w:r w:rsidR="002411A0">
        <w:t>5</w:t>
      </w:r>
      <w:r w:rsidR="00FD3F00">
        <w:t xml:space="preserve">) Commercial </w:t>
      </w:r>
      <w:r w:rsidR="0099280A">
        <w:t>water heating equipment</w:t>
      </w:r>
      <w:r w:rsidR="00E652C3">
        <w:t xml:space="preserve"> (220.41, 220.43)</w:t>
      </w:r>
      <w:r w:rsidR="00FD3F00">
        <w:t>; (</w:t>
      </w:r>
      <w:r w:rsidR="00B24CCF">
        <w:t>6</w:t>
      </w:r>
      <w:r w:rsidR="00FD3F00">
        <w:t>) Automatic commercial ice makers</w:t>
      </w:r>
      <w:r w:rsidR="00B24CCF">
        <w:t xml:space="preserve"> (220.45)</w:t>
      </w:r>
      <w:r w:rsidR="00FD3F00">
        <w:t>; (</w:t>
      </w:r>
      <w:r w:rsidR="00B24CCF">
        <w:t>7</w:t>
      </w:r>
      <w:r w:rsidR="00FD3F00">
        <w:t>) Walk-in coolers and freezers</w:t>
      </w:r>
      <w:r w:rsidR="00B24CCF">
        <w:t xml:space="preserve"> (220.59, 220.60)</w:t>
      </w:r>
      <w:r w:rsidR="00FD3F00">
        <w:t>; (</w:t>
      </w:r>
      <w:r w:rsidR="00B24CCF">
        <w:t>8</w:t>
      </w:r>
      <w:r w:rsidR="00FD3F00">
        <w:t xml:space="preserve">) </w:t>
      </w:r>
      <w:r w:rsidR="0099280A">
        <w:t>T</w:t>
      </w:r>
      <w:r w:rsidRPr="00FD3F00" w:rsidR="0099280A">
        <w:t xml:space="preserve">hree-phase less than 65,000 Btu/h </w:t>
      </w:r>
      <w:r w:rsidR="0099280A">
        <w:t>air-cooled v</w:t>
      </w:r>
      <w:r w:rsidR="00FD3F00">
        <w:t>ariable refrigerant flow (VRF) air conditioners and heat pumps</w:t>
      </w:r>
      <w:r w:rsidR="00C7000A">
        <w:t xml:space="preserve"> (220.39)</w:t>
      </w:r>
      <w:r w:rsidR="00FD3F00">
        <w:t>; (</w:t>
      </w:r>
      <w:r w:rsidR="00B24CCF">
        <w:t>9</w:t>
      </w:r>
      <w:r w:rsidR="00FD3F00">
        <w:t>) Computer room air conditioners</w:t>
      </w:r>
      <w:r w:rsidR="00B24CCF">
        <w:t xml:space="preserve"> (220.74)</w:t>
      </w:r>
      <w:r w:rsidR="00FD3F00">
        <w:t>; (1</w:t>
      </w:r>
      <w:r w:rsidR="00B24CCF">
        <w:t>0</w:t>
      </w:r>
      <w:r w:rsidR="00FD3F00">
        <w:t>) Single-package vertical air conditioners and heat pumps</w:t>
      </w:r>
      <w:r w:rsidR="00B24CCF">
        <w:t xml:space="preserve"> (220.75)</w:t>
      </w:r>
      <w:r w:rsidR="00FD3F00">
        <w:t>; (</w:t>
      </w:r>
      <w:r w:rsidR="0099280A">
        <w:t>1</w:t>
      </w:r>
      <w:r w:rsidR="00B24CCF">
        <w:t>1</w:t>
      </w:r>
      <w:r w:rsidR="00FD3F00">
        <w:t>) Dishwashers</w:t>
      </w:r>
      <w:r w:rsidR="00B24CCF">
        <w:t xml:space="preserve"> (220.8)</w:t>
      </w:r>
      <w:r w:rsidR="00FD3F00">
        <w:t>; (1</w:t>
      </w:r>
      <w:r w:rsidR="00B24CCF">
        <w:t>2</w:t>
      </w:r>
      <w:r w:rsidR="00FD3F00">
        <w:t>) Battery chargers</w:t>
      </w:r>
      <w:r w:rsidR="00654DE6">
        <w:t xml:space="preserve"> (220.82)</w:t>
      </w:r>
      <w:r w:rsidR="00FD3F00">
        <w:t>; (1</w:t>
      </w:r>
      <w:r w:rsidR="00736D73">
        <w:t>3</w:t>
      </w:r>
      <w:r w:rsidR="00FD3F00">
        <w:t>) De</w:t>
      </w:r>
      <w:r w:rsidR="0098732D">
        <w:t>dicated purpose pool pump motors</w:t>
      </w:r>
      <w:r w:rsidR="00736D73">
        <w:t xml:space="preserve"> (220.97)</w:t>
      </w:r>
      <w:r w:rsidR="0098732D">
        <w:t>; (</w:t>
      </w:r>
      <w:r w:rsidR="0099280A">
        <w:t>1</w:t>
      </w:r>
      <w:r w:rsidR="00C42E18">
        <w:t>4</w:t>
      </w:r>
      <w:r w:rsidR="0098732D">
        <w:t xml:space="preserve">) </w:t>
      </w:r>
      <w:r w:rsidR="00452944">
        <w:t>Residential clothes washers</w:t>
      </w:r>
      <w:r w:rsidR="00AC03C7">
        <w:t xml:space="preserve"> (220.9)</w:t>
      </w:r>
      <w:r w:rsidRPr="00670B5A" w:rsidR="00670B5A">
        <w:t>; (</w:t>
      </w:r>
      <w:r w:rsidR="0099280A">
        <w:t>1</w:t>
      </w:r>
      <w:r w:rsidR="00C42E18">
        <w:t>5</w:t>
      </w:r>
      <w:r w:rsidRPr="00670B5A" w:rsidR="00670B5A">
        <w:t xml:space="preserve">) </w:t>
      </w:r>
      <w:r w:rsidR="0098732D">
        <w:t>Portable air conditioners</w:t>
      </w:r>
      <w:r w:rsidR="00AC03C7">
        <w:t xml:space="preserve"> (220.95)</w:t>
      </w:r>
      <w:r w:rsidR="0098732D">
        <w:t>; (</w:t>
      </w:r>
      <w:r w:rsidR="0099280A">
        <w:t>1</w:t>
      </w:r>
      <w:r w:rsidR="00C42E18">
        <w:t>6</w:t>
      </w:r>
      <w:r w:rsidR="0098732D">
        <w:t>) Direct-expansion dedicated outdoor air systems</w:t>
      </w:r>
      <w:r w:rsidR="00AC03C7">
        <w:t xml:space="preserve"> (220.96)</w:t>
      </w:r>
      <w:r w:rsidRPr="00670B5A" w:rsidR="00670B5A">
        <w:t>;</w:t>
      </w:r>
      <w:r w:rsidR="0098732D">
        <w:t xml:space="preserve"> </w:t>
      </w:r>
      <w:r w:rsidR="008239E7">
        <w:t xml:space="preserve">and </w:t>
      </w:r>
      <w:r w:rsidR="0098732D">
        <w:t>(</w:t>
      </w:r>
      <w:r w:rsidR="00C42E18">
        <w:t>17</w:t>
      </w:r>
      <w:r w:rsidR="0098732D">
        <w:t>) Air cleaners</w:t>
      </w:r>
      <w:r w:rsidR="00AC03C7">
        <w:t xml:space="preserve"> (220.</w:t>
      </w:r>
      <w:r w:rsidR="008239E7">
        <w:t>100)</w:t>
      </w:r>
      <w:r w:rsidR="00FA6E00">
        <w:t>.</w:t>
      </w:r>
      <w:r w:rsidR="0098732D">
        <w:t xml:space="preserve"> </w:t>
      </w:r>
    </w:p>
    <w:p w:rsidR="008C734C" w:rsidP="00244CE3" w14:paraId="4A5EE8C5" w14:textId="77777777">
      <w:pPr>
        <w:pStyle w:val="Heading2"/>
      </w:pPr>
      <w:bookmarkStart w:id="2" w:name="_Toc88047464"/>
      <w:r>
        <w:t>A.1. Legal Justification</w:t>
      </w:r>
      <w:bookmarkEnd w:id="2"/>
    </w:p>
    <w:p w:rsidR="00A41763" w:rsidRPr="00A41763" w:rsidP="00A41763" w14:paraId="361497F9"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FA6E00" w:rsidRPr="005826E8" w:rsidP="00FA6E00" w14:paraId="49F60177" w14:textId="79BC0879">
      <w:pPr>
        <w:rPr>
          <w:iCs/>
        </w:rPr>
      </w:pPr>
      <w:r w:rsidRPr="005826E8">
        <w:rPr>
          <w:iCs/>
        </w:rPr>
        <w:t xml:space="preserve">Pursuant to the Energy Policy and Conservation Act of 1975 (“EPCA” or “the Act”), Public Law 94-163 (42 U.S.C. § 6291–6317, as codified), DOE regulates the energy efficiency of </w:t>
      </w:r>
      <w:r w:rsidRPr="005826E8">
        <w:rPr>
          <w:iCs/>
        </w:rPr>
        <w:t>a number of</w:t>
      </w:r>
      <w:r w:rsidRPr="005826E8">
        <w:rPr>
          <w:iCs/>
        </w:rPr>
        <w:t xml:space="preserve"> consumer products, and commercial and industrial equipment.</w:t>
      </w:r>
      <w:r w:rsidR="006C0F47">
        <w:rPr>
          <w:iCs/>
        </w:rPr>
        <w:t xml:space="preserve"> </w:t>
      </w:r>
      <w:r w:rsidRPr="005826E8">
        <w:rPr>
          <w:iCs/>
        </w:rPr>
        <w:t>Title III, Part B</w:t>
      </w:r>
      <w:r w:rsidRPr="005826E8">
        <w:rPr>
          <w:iCs/>
          <w:vertAlign w:val="superscript"/>
        </w:rPr>
        <w:t>2</w:t>
      </w:r>
      <w:r w:rsidRPr="005826E8">
        <w:rPr>
          <w:iCs/>
        </w:rPr>
        <w:t xml:space="preserve"> of EPCA established the Energy Conservation Program for Consumer Products Other Than Automobiles, which sets forth a variety of provisions designed to improve energy efficiency of covered consumer products (“covered products”).</w:t>
      </w:r>
      <w:r w:rsidR="006C0F47">
        <w:rPr>
          <w:iCs/>
        </w:rPr>
        <w:t xml:space="preserve"> </w:t>
      </w:r>
      <w:r w:rsidRPr="005826E8">
        <w:rPr>
          <w:iCs/>
        </w:rPr>
        <w:t>Title III, Part C</w:t>
      </w:r>
      <w:r w:rsidRPr="005826E8">
        <w:rPr>
          <w:iCs/>
          <w:vertAlign w:val="superscript"/>
        </w:rPr>
        <w:t>3</w:t>
      </w:r>
      <w:r w:rsidRPr="005826E8">
        <w:rPr>
          <w:iCs/>
        </w:rPr>
        <w:t xml:space="preserve"> of EPCA, added by Public Law 95-619, Title IV, § 441(a), established the Energy Conservation Program for Certain Industrial Equipment, which sets forth a variety of provisions designed to improve energy efficiency of covered commercial and industrial equipment (collectively referred to as “covered equipment”).</w:t>
      </w:r>
      <w:r w:rsidR="006C0F47">
        <w:rPr>
          <w:iCs/>
        </w:rPr>
        <w:t xml:space="preserve"> </w:t>
      </w:r>
      <w:r w:rsidRPr="005826E8">
        <w:rPr>
          <w:iCs/>
        </w:rPr>
        <w:t xml:space="preserve"> </w:t>
      </w:r>
    </w:p>
    <w:p w:rsidR="00FA6E00" w:rsidRPr="005826E8" w:rsidP="00FA6E00" w14:paraId="7DA306D2" w14:textId="71606B01">
      <w:pPr>
        <w:rPr>
          <w:iCs/>
        </w:rPr>
      </w:pPr>
      <w:r w:rsidRPr="005826E8">
        <w:rPr>
          <w:iCs/>
        </w:rPr>
        <w:t>Under EPCA, DOE’s energy conservation program consists essentially of four parts: (1) testing, (2) labeling, (3) Federal energy conservation standards, and (4) certification and enforcement procedures.</w:t>
      </w:r>
      <w:r w:rsidR="006C0F47">
        <w:rPr>
          <w:iCs/>
        </w:rPr>
        <w:t xml:space="preserve">  </w:t>
      </w:r>
      <w:r w:rsidRPr="005826E8">
        <w:rPr>
          <w:iCs/>
        </w:rPr>
        <w:t>For consumer products, relevant provisions of the Act specifically include definitions (42 U.S.C. § 6291), energy conservation standards (42 U.S.C. § 6295), test procedures (42 U.S.C. § 6293), labeling provisions (42 U.S.C. § 6294), and the authority to require information and reports from manufacturers (42 U.S.C. § 6296).</w:t>
      </w:r>
      <w:r w:rsidR="006C0F47">
        <w:rPr>
          <w:iCs/>
        </w:rPr>
        <w:t xml:space="preserve"> </w:t>
      </w:r>
      <w:r w:rsidRPr="005826E8">
        <w:rPr>
          <w:iCs/>
        </w:rPr>
        <w:t xml:space="preserve">For covered equipment, relevant provisions of the Act include definitions (42 U.S.C. § 6311), energy conservation standards (42 U.S.C. § 6313), test procedures (42 U.S.C. § 6314), labeling provisions (42 U.S.C. § 6315), and the authority to require information and reports from manufacturers (42 U.S.C. § 6316). </w:t>
      </w:r>
    </w:p>
    <w:p w:rsidR="00FA6E00" w:rsidRPr="005826E8" w:rsidP="00FA6E00" w14:paraId="7249A943" w14:textId="77777777">
      <w:pPr>
        <w:rPr>
          <w:iCs/>
        </w:rPr>
      </w:pPr>
      <w:r w:rsidRPr="005826E8">
        <w:rPr>
          <w:iCs/>
        </w:rPr>
        <w:t>EPCA authorizes DOE to enforce compliance with the energy and water conservation standards established for the covered products and covered equipment (42 U.S.C. §</w:t>
      </w:r>
      <w:r>
        <w:rPr>
          <w:iCs/>
        </w:rPr>
        <w:t xml:space="preserve"> </w:t>
      </w:r>
      <w:r w:rsidRPr="005826E8">
        <w:rPr>
          <w:iCs/>
        </w:rPr>
        <w:t xml:space="preserve">6299-6305; 42 U.S.C. § 6316). </w:t>
      </w:r>
      <w:r>
        <w:rPr>
          <w:iCs/>
        </w:rPr>
        <w:t xml:space="preserve">Additionally, </w:t>
      </w:r>
      <w:r w:rsidRPr="005826E8">
        <w:rPr>
          <w:iCs/>
        </w:rPr>
        <w:t>EPCA authorizes the Secretary of Energy to prescribe reporting and recordkeeping rules for the covered products, stating that:</w:t>
      </w:r>
    </w:p>
    <w:p w:rsidR="00FA6E00" w:rsidRPr="005826E8" w:rsidP="00FA6E00" w14:paraId="0EEF5CAA" w14:textId="67F0637F">
      <w:pPr>
        <w:rPr>
          <w:iCs/>
        </w:rPr>
      </w:pPr>
      <w:r w:rsidRPr="005826E8">
        <w:rPr>
          <w:iCs/>
        </w:rPr>
        <w:t>For purposes of carrying out this part, the Secretary may require, under this part or other provision of law administered by the Secretary, each manufacturer of a covered product to submit information or reports to the Secretary with respect to energy efficiency, energy use, or, in the case of showerheads, faucets, water closets, and urinals, water use of such covered product to ensure compliance with the requirements of this part (42 U.S.C. § 6296(d)).</w:t>
      </w:r>
      <w:r w:rsidR="006C0F47">
        <w:rPr>
          <w:iCs/>
        </w:rPr>
        <w:t xml:space="preserve"> </w:t>
      </w:r>
      <w:r w:rsidRPr="005826E8">
        <w:rPr>
          <w:iCs/>
        </w:rPr>
        <w:t>This authorization is generally extended to covered equipment as well (42 U.S.C. § 6316(a) and (b)).</w:t>
      </w:r>
      <w:r w:rsidR="006C0F47">
        <w:rPr>
          <w:iCs/>
        </w:rPr>
        <w:t xml:space="preserve">  </w:t>
      </w:r>
    </w:p>
    <w:p w:rsidR="00FA6E00" w:rsidRPr="005826E8" w:rsidP="00FA6E00" w14:paraId="0FC299D6" w14:textId="3BC0A57F">
      <w:pPr>
        <w:rPr>
          <w:iCs/>
        </w:rPr>
      </w:pPr>
      <w:r>
        <w:rPr>
          <w:iCs/>
        </w:rPr>
        <w:t xml:space="preserve">Under the authority provided in EPCA, </w:t>
      </w:r>
      <w:r w:rsidRPr="00CB25D9">
        <w:rPr>
          <w:iCs/>
        </w:rPr>
        <w:t xml:space="preserve">DOE has promulgated enforcement regulations that include reporting requirements </w:t>
      </w:r>
      <w:r>
        <w:rPr>
          <w:iCs/>
        </w:rPr>
        <w:t xml:space="preserve">and records retention requirements </w:t>
      </w:r>
      <w:r w:rsidRPr="00CB25D9">
        <w:rPr>
          <w:iCs/>
        </w:rPr>
        <w:t>for covered products and equipment.</w:t>
      </w:r>
      <w:r w:rsidR="006C0F47">
        <w:rPr>
          <w:iCs/>
        </w:rPr>
        <w:t xml:space="preserve"> </w:t>
      </w:r>
      <w:r w:rsidRPr="00CB25D9">
        <w:rPr>
          <w:iCs/>
        </w:rPr>
        <w:t>See title 10 of the Code of Federal Regulations (“CFR”) part 429.</w:t>
      </w:r>
      <w:r w:rsidR="006C0F47">
        <w:rPr>
          <w:iCs/>
        </w:rPr>
        <w:t xml:space="preserve"> </w:t>
      </w:r>
      <w:r w:rsidRPr="00CB25D9">
        <w:rPr>
          <w:iCs/>
        </w:rPr>
        <w:t>The certification regulations ensure that DOE has the information it needs to assess whether regulated products and equipment sold in the United States comply with the law.</w:t>
      </w:r>
      <w:r w:rsidR="006C0F47">
        <w:rPr>
          <w:iCs/>
        </w:rPr>
        <w:t xml:space="preserve"> </w:t>
      </w:r>
      <w:r w:rsidRPr="00CB25D9">
        <w:rPr>
          <w:iCs/>
        </w:rPr>
        <w:t>On March 7, 2011, the Department published in the Federal Register a final rule regarding Certification, Compliance, and Enforcement for Consumer Products and Commercial and Industrial Equipment, which revised, consolidated, and streamlined the Department's existing certification, compliance, and enforcement regulations for certain consumer products and commercial and industrial equipment covered under EPCA.</w:t>
      </w:r>
      <w:r w:rsidR="006C0F47">
        <w:rPr>
          <w:iCs/>
        </w:rPr>
        <w:t xml:space="preserve"> </w:t>
      </w:r>
      <w:r w:rsidRPr="00CB25D9">
        <w:rPr>
          <w:iCs/>
        </w:rPr>
        <w:t>76 FR 12422.</w:t>
      </w:r>
      <w:r w:rsidR="006C0F47">
        <w:rPr>
          <w:iCs/>
        </w:rPr>
        <w:t xml:space="preserve"> </w:t>
      </w:r>
      <w:r w:rsidRPr="00CB25D9">
        <w:rPr>
          <w:iCs/>
        </w:rPr>
        <w:t>Since that time, DOE has also completed multiple rulemakings regarding Certification for specific covered products or equipment.</w:t>
      </w:r>
      <w:r w:rsidR="006C0F47">
        <w:rPr>
          <w:iCs/>
        </w:rPr>
        <w:t xml:space="preserve"> </w:t>
      </w:r>
      <w:r w:rsidRPr="00CB25D9">
        <w:rPr>
          <w:iCs/>
        </w:rPr>
        <w:t>See, for example, the May 5, 2014, final rule regarding certification of commercial and industrial HVAC, refrigeration, and water heating equipment</w:t>
      </w:r>
      <w:r>
        <w:rPr>
          <w:iCs/>
        </w:rPr>
        <w:t xml:space="preserve">, where DOE adopted certification regulations and supplemental testing instructions </w:t>
      </w:r>
      <w:r>
        <w:rPr>
          <w:iCs/>
        </w:rPr>
        <w:t>as a result of</w:t>
      </w:r>
      <w:r>
        <w:rPr>
          <w:iCs/>
        </w:rPr>
        <w:t xml:space="preserve"> a negotiated rulemaking</w:t>
      </w:r>
      <w:r w:rsidRPr="00CB25D9">
        <w:rPr>
          <w:iCs/>
        </w:rPr>
        <w:t>.</w:t>
      </w:r>
      <w:r w:rsidR="006C0F47">
        <w:rPr>
          <w:iCs/>
        </w:rPr>
        <w:t xml:space="preserve"> </w:t>
      </w:r>
      <w:r w:rsidRPr="00CB25D9">
        <w:rPr>
          <w:iCs/>
        </w:rPr>
        <w:t>79 FR 25486.</w:t>
      </w:r>
      <w:r w:rsidR="006C0F47">
        <w:rPr>
          <w:iCs/>
        </w:rPr>
        <w:t xml:space="preserve">  </w:t>
      </w:r>
    </w:p>
    <w:p w:rsidR="00FA6E00" w:rsidRPr="005826E8" w:rsidP="00FA6E00" w14:paraId="52B7781C" w14:textId="0CA61694">
      <w:pPr>
        <w:rPr>
          <w:iCs/>
        </w:rPr>
      </w:pPr>
      <w:r w:rsidRPr="005826E8">
        <w:rPr>
          <w:iCs/>
        </w:rPr>
        <w:t>Additionally, EPCA directs DOE to establish labeling requirements for covered industrial and commercial equipment when specified criteria is met.</w:t>
      </w:r>
      <w:r w:rsidR="006C0F47">
        <w:rPr>
          <w:iCs/>
        </w:rPr>
        <w:t xml:space="preserve"> </w:t>
      </w:r>
      <w:r w:rsidRPr="005826E8">
        <w:rPr>
          <w:iCs/>
        </w:rPr>
        <w:t>If the Department has prescribed test procedures for any class of covered equipment, a labeling rule applicable to such class of covered equipment must be prescribed (42 U.S.C. § 6315(a)).</w:t>
      </w:r>
      <w:r w:rsidR="006C0F47">
        <w:rPr>
          <w:iCs/>
        </w:rPr>
        <w:t xml:space="preserve"> </w:t>
      </w:r>
      <w:r w:rsidRPr="005826E8">
        <w:rPr>
          <w:iCs/>
        </w:rPr>
        <w:t xml:space="preserve"> DOE has established labeling requirements under the authority in 42 U.S.C. § 6315 for electric motors (10 CFR § 431.31), walk-in coolers and freezers (10 CFR § 431.305), and pumps (10 CFR § 431.466)</w:t>
      </w:r>
      <w:r>
        <w:rPr>
          <w:iCs/>
        </w:rPr>
        <w:t>, which also fall under this information collection</w:t>
      </w:r>
      <w:r w:rsidRPr="005826E8">
        <w:rPr>
          <w:iCs/>
        </w:rPr>
        <w:t>. </w:t>
      </w:r>
      <w:r w:rsidR="0098732D">
        <w:rPr>
          <w:iCs/>
        </w:rPr>
        <w:t xml:space="preserve">This notice proposes to modify the current labeling requirements for walk-in cooler and freezer panels in </w:t>
      </w:r>
      <w:r w:rsidRPr="005826E8" w:rsidR="0098732D">
        <w:rPr>
          <w:iCs/>
        </w:rPr>
        <w:t>10 CFR § 431.305</w:t>
      </w:r>
      <w:r w:rsidR="0098732D">
        <w:rPr>
          <w:iCs/>
        </w:rPr>
        <w:t xml:space="preserve"> to establish labeling requirements for circulator pumps </w:t>
      </w:r>
      <w:r w:rsidRPr="005826E8" w:rsidR="0098732D">
        <w:rPr>
          <w:iCs/>
        </w:rPr>
        <w:t>10 CFR § 431.</w:t>
      </w:r>
      <w:r w:rsidR="0098732D">
        <w:rPr>
          <w:iCs/>
        </w:rPr>
        <w:t>466.</w:t>
      </w:r>
    </w:p>
    <w:p w:rsidR="00FA6E00" w:rsidRPr="005826E8" w:rsidP="00FA6E00" w14:paraId="63879B64" w14:textId="1CDE0767">
      <w:pPr>
        <w:rPr>
          <w:iCs/>
        </w:rPr>
      </w:pPr>
      <w:r w:rsidRPr="005826E8">
        <w:rPr>
          <w:iCs/>
        </w:rPr>
        <w:t>DOE</w:t>
      </w:r>
      <w:r>
        <w:rPr>
          <w:iCs/>
        </w:rPr>
        <w:t xml:space="preserve">’s currently approved information collection includes </w:t>
      </w:r>
      <w:r w:rsidRPr="005826E8">
        <w:rPr>
          <w:iCs/>
        </w:rPr>
        <w:t xml:space="preserve">the following </w:t>
      </w:r>
      <w:r w:rsidR="006B70DA">
        <w:rPr>
          <w:iCs/>
        </w:rPr>
        <w:t>seven</w:t>
      </w:r>
      <w:r w:rsidRPr="005826E8">
        <w:rPr>
          <w:iCs/>
        </w:rPr>
        <w:t xml:space="preserve"> aspects of the appliance standards program: (1) gathering data and submitting the certification and compliance reports</w:t>
      </w:r>
      <w:r>
        <w:rPr>
          <w:iCs/>
        </w:rPr>
        <w:t>, including supplemental testing instructions,</w:t>
      </w:r>
      <w:r w:rsidRPr="005826E8">
        <w:rPr>
          <w:iCs/>
        </w:rPr>
        <w:t xml:space="preserve"> for each basic model distributed in commerce in the U.S.; (2) maintaining records underlying the certified ratings for each basic model including test data and the associated calculations; (3) applications for a test procedure waiver, which manufacturers may elect to submit if they manufacture a basic model that cannot be tested pursuant to the DOE test procedure; (4) applications requesting an extension of the date by which representations must be made in accordance with any new or amended DOE test procedure; (5) labeling of certain covered equipment</w:t>
      </w:r>
      <w:r>
        <w:rPr>
          <w:iCs/>
        </w:rPr>
        <w:t xml:space="preserve">; (6) submitting shipments/sales information for select products; and (7) applications for </w:t>
      </w:r>
      <w:r w:rsidR="00FA2678">
        <w:rPr>
          <w:iCs/>
        </w:rPr>
        <w:t>electric motors certification bodies to be recognized</w:t>
      </w:r>
      <w:r w:rsidRPr="005826E8">
        <w:rPr>
          <w:iCs/>
        </w:rPr>
        <w:t>.</w:t>
      </w:r>
      <w:r w:rsidR="006C0F47">
        <w:rPr>
          <w:iCs/>
        </w:rPr>
        <w:t xml:space="preserve"> </w:t>
      </w:r>
      <w:r w:rsidRPr="005826E8">
        <w:rPr>
          <w:iCs/>
        </w:rPr>
        <w:t xml:space="preserve"> </w:t>
      </w:r>
    </w:p>
    <w:p w:rsidR="00FA6E00" w:rsidRPr="00360065" w:rsidP="00FA6E00" w14:paraId="646147A2" w14:textId="02DD533D">
      <w:pPr>
        <w:rPr>
          <w:iCs/>
        </w:rPr>
      </w:pPr>
      <w:r w:rsidRPr="005826E8">
        <w:rPr>
          <w:iCs/>
        </w:rPr>
        <w:t>This collection includes all covered products and equipment subject to DOE’s regulatory requirements described in 10 CFR § 429, 430, and 431.</w:t>
      </w:r>
      <w:r w:rsidR="006C0F47">
        <w:rPr>
          <w:iCs/>
        </w:rPr>
        <w:t xml:space="preserve"> </w:t>
      </w:r>
      <w:r w:rsidRPr="005826E8">
        <w:rPr>
          <w:iCs/>
        </w:rPr>
        <w:t>More specifically, DOE’s certification and compliance requirements are described in 10 CFR § 431.35-36 for electric motors and 10 CFR § 429 for all other products.</w:t>
      </w:r>
      <w:r w:rsidR="006C0F47">
        <w:rPr>
          <w:iCs/>
        </w:rPr>
        <w:t xml:space="preserve"> </w:t>
      </w:r>
      <w:r w:rsidRPr="005826E8">
        <w:rPr>
          <w:iCs/>
        </w:rPr>
        <w:t>DOE’s records retention requirements are described in 10 CFR § 429.71.</w:t>
      </w:r>
      <w:r w:rsidR="006C0F47">
        <w:rPr>
          <w:iCs/>
        </w:rPr>
        <w:t xml:space="preserve"> </w:t>
      </w:r>
      <w:r w:rsidRPr="005826E8">
        <w:rPr>
          <w:iCs/>
        </w:rPr>
        <w:t>DOE’s application for a test procedure waiver process is described in 10 CFR § 430.27 and 431.401.</w:t>
      </w:r>
      <w:r w:rsidR="006C0F47">
        <w:rPr>
          <w:iCs/>
        </w:rPr>
        <w:t xml:space="preserve"> </w:t>
      </w:r>
      <w:r w:rsidRPr="005826E8">
        <w:rPr>
          <w:iCs/>
        </w:rPr>
        <w:t>EPCA authorizes the Secretary of Energy to grant an extension of the date by which representations must be made in accordance with any new or amended DOE test procedure</w:t>
      </w:r>
      <w:r>
        <w:rPr>
          <w:iCs/>
        </w:rPr>
        <w:t xml:space="preserve"> </w:t>
      </w:r>
      <w:r w:rsidRPr="005826E8">
        <w:rPr>
          <w:iCs/>
        </w:rPr>
        <w:t>((42 U.S.C § 6293(c)(3) and 42 U.S.C § 6313(d)(2))).</w:t>
      </w:r>
      <w:r w:rsidR="006C0F47">
        <w:rPr>
          <w:iCs/>
        </w:rPr>
        <w:t xml:space="preserve"> </w:t>
      </w:r>
      <w:r w:rsidRPr="005826E8">
        <w:rPr>
          <w:iCs/>
        </w:rPr>
        <w:t>The labeling requirements for electric motors, walk-in coolers and freezers, and pumps are at 10 CFR § 431.31, 431.305, and 431.466, respectively.</w:t>
      </w:r>
      <w:r w:rsidR="006C0F47">
        <w:rPr>
          <w:iCs/>
        </w:rPr>
        <w:t xml:space="preserve">  </w:t>
      </w:r>
    </w:p>
    <w:p w:rsidR="007C3491" w:rsidP="00FA6E00" w14:paraId="5DF7296C" w14:textId="7E487C23">
      <w:pPr>
        <w:pStyle w:val="BodyText"/>
        <w:rPr>
          <w:szCs w:val="24"/>
        </w:rPr>
      </w:pPr>
      <w:r>
        <w:rPr>
          <w:szCs w:val="24"/>
        </w:rPr>
        <w:t xml:space="preserve">DOE is revising its currently approved information collection for the following covered </w:t>
      </w:r>
      <w:r w:rsidRPr="002D5B83">
        <w:rPr>
          <w:szCs w:val="24"/>
        </w:rPr>
        <w:t>products</w:t>
      </w:r>
      <w:r>
        <w:rPr>
          <w:szCs w:val="24"/>
        </w:rPr>
        <w:t xml:space="preserve"> and equipment</w:t>
      </w:r>
      <w:r>
        <w:rPr>
          <w:szCs w:val="24"/>
        </w:rPr>
        <w:t>:</w:t>
      </w:r>
      <w:r w:rsidR="0098732D">
        <w:rPr>
          <w:szCs w:val="24"/>
        </w:rPr>
        <w:t xml:space="preserve"> </w:t>
      </w:r>
      <w:r w:rsidR="0098732D">
        <w:t>Central air conditioners and heat pumps</w:t>
      </w:r>
      <w:r w:rsidRPr="00670B5A" w:rsidR="0098732D">
        <w:t xml:space="preserve">; </w:t>
      </w:r>
      <w:r w:rsidR="0098732D">
        <w:t>Pool heaters; Ceiling fan light kits; Dehumidifiers</w:t>
      </w:r>
      <w:r w:rsidRPr="00670B5A" w:rsidR="0098732D">
        <w:t>;</w:t>
      </w:r>
      <w:r w:rsidR="006C0F47">
        <w:t xml:space="preserve">  </w:t>
      </w:r>
      <w:r w:rsidR="0098732D">
        <w:t>External power supplies; T</w:t>
      </w:r>
      <w:r w:rsidRPr="00FD3F00" w:rsidR="0098732D">
        <w:t xml:space="preserve">hree-phase less than 65,000 Btu/h </w:t>
      </w:r>
      <w:r w:rsidR="0098732D">
        <w:t xml:space="preserve">air-cooled commercial unitary air conditioners and heat pumps; Commercial water heaters; Automatic commercial ice makers; Walk-in coolers and freezers; </w:t>
      </w:r>
      <w:r w:rsidR="00827575">
        <w:t xml:space="preserve">Three-phase less than 65,000 Btu/h </w:t>
      </w:r>
      <w:r w:rsidR="0098732D">
        <w:t>Variable refrigerant flow (VRF) air conditioners and heat pumps; Computer room air conditioners; Single-package vertical air conditioners and heat pumps; Dishwashers; Battery chargers; Commercial and industrial pumps; Dedicated purpose pool pump motors; Residential clothes washers</w:t>
      </w:r>
      <w:r w:rsidRPr="00670B5A" w:rsidR="0098732D">
        <w:t xml:space="preserve">; </w:t>
      </w:r>
      <w:r w:rsidR="0098732D">
        <w:t>Portable air conditioners; Direct-expansion dedicated outdoor air systems; Air cleaners; and Compressors</w:t>
      </w:r>
      <w:r w:rsidR="00C34BE9">
        <w:rPr>
          <w:szCs w:val="24"/>
        </w:rPr>
        <w:t>.</w:t>
      </w:r>
      <w:r>
        <w:rPr>
          <w:szCs w:val="24"/>
        </w:rPr>
        <w:t xml:space="preserve"> </w:t>
      </w:r>
      <w:r w:rsidRPr="006E48F3">
        <w:rPr>
          <w:szCs w:val="24"/>
        </w:rPr>
        <w:t>(42 U.S.C. 6292(a</w:t>
      </w:r>
      <w:r w:rsidRPr="006E48F3">
        <w:rPr>
          <w:szCs w:val="24"/>
        </w:rPr>
        <w:t>)(</w:t>
      </w:r>
      <w:r w:rsidRPr="006E48F3">
        <w:rPr>
          <w:szCs w:val="24"/>
        </w:rPr>
        <w:t>4-6) and (</w:t>
      </w:r>
      <w:r w:rsidRPr="006E48F3">
        <w:t xml:space="preserve">14); </w:t>
      </w:r>
      <w:r w:rsidRPr="006E48F3">
        <w:rPr>
          <w:szCs w:val="24"/>
        </w:rPr>
        <w:t xml:space="preserve">42 U.S.C. 6295(u) and (ff); </w:t>
      </w:r>
      <w:r w:rsidRPr="006E48F3">
        <w:t>42 U.S.C. 6311(1)(A) and (H)</w:t>
      </w:r>
      <w:r w:rsidRPr="006E48F3">
        <w:rPr>
          <w:szCs w:val="24"/>
        </w:rPr>
        <w:t>)</w:t>
      </w:r>
    </w:p>
    <w:p w:rsidR="007C3491" w:rsidRPr="002D5B83" w:rsidP="007C3491" w14:paraId="5BA622DB" w14:textId="4D989C37">
      <w:pPr>
        <w:pStyle w:val="BodyText"/>
        <w:rPr>
          <w:szCs w:val="24"/>
        </w:rPr>
      </w:pPr>
      <w:r w:rsidRPr="002D5B83">
        <w:rPr>
          <w:szCs w:val="24"/>
        </w:rPr>
        <w:t>The Federal testing requirements consist of test procedures that manufacturers of covered products</w:t>
      </w:r>
      <w:r>
        <w:rPr>
          <w:szCs w:val="24"/>
        </w:rPr>
        <w:t xml:space="preserve"> and equipment</w:t>
      </w:r>
      <w:r w:rsidRPr="002D5B83">
        <w:rPr>
          <w:szCs w:val="24"/>
        </w:rPr>
        <w:t xml:space="preserve"> must use as the basis for: (1) certifying to DOE that their products</w:t>
      </w:r>
      <w:r>
        <w:rPr>
          <w:szCs w:val="24"/>
        </w:rPr>
        <w:t xml:space="preserve"> or equipment</w:t>
      </w:r>
      <w:r w:rsidRPr="002D5B83">
        <w:rPr>
          <w:szCs w:val="24"/>
        </w:rPr>
        <w:t xml:space="preserve"> comply with the applicable energy conservation standards adopted pursuant to EPCA (42 U.S.C. 6295(s)</w:t>
      </w:r>
      <w:r>
        <w:rPr>
          <w:szCs w:val="24"/>
        </w:rPr>
        <w:t>; 42 U.S.C. 6316(a)</w:t>
      </w:r>
      <w:r w:rsidRPr="002D5B83">
        <w:rPr>
          <w:szCs w:val="24"/>
        </w:rPr>
        <w:t>), and (2) making representations about the efficiency of those consumer products</w:t>
      </w:r>
      <w:r>
        <w:rPr>
          <w:szCs w:val="24"/>
        </w:rPr>
        <w:t xml:space="preserve"> or industrial equipment</w:t>
      </w:r>
      <w:r w:rsidRPr="002D5B83">
        <w:rPr>
          <w:szCs w:val="24"/>
        </w:rPr>
        <w:t xml:space="preserve"> (42 U.S.C. 6293(c)</w:t>
      </w:r>
      <w:r>
        <w:rPr>
          <w:szCs w:val="24"/>
        </w:rPr>
        <w:t>; 42 U.S.C. 6314(d)</w:t>
      </w:r>
      <w:r w:rsidRPr="002D5B83">
        <w:rPr>
          <w:szCs w:val="24"/>
        </w:rPr>
        <w:t>).</w:t>
      </w:r>
      <w:r w:rsidR="006C0F47">
        <w:rPr>
          <w:szCs w:val="24"/>
        </w:rPr>
        <w:t xml:space="preserve"> </w:t>
      </w:r>
      <w:r w:rsidRPr="002D5B83">
        <w:rPr>
          <w:szCs w:val="24"/>
        </w:rPr>
        <w:t xml:space="preserve">Similarly, DOE must use these test procedures to determine whether the products </w:t>
      </w:r>
      <w:r>
        <w:rPr>
          <w:szCs w:val="24"/>
        </w:rPr>
        <w:t xml:space="preserve">or equipment </w:t>
      </w:r>
      <w:r w:rsidRPr="002D5B83">
        <w:rPr>
          <w:szCs w:val="24"/>
        </w:rPr>
        <w:t>comply with relevant standards promulgated under EPCA.</w:t>
      </w:r>
      <w:r w:rsidR="006C0F47">
        <w:rPr>
          <w:szCs w:val="24"/>
        </w:rPr>
        <w:t xml:space="preserve"> </w:t>
      </w:r>
      <w:r w:rsidRPr="002D5B83">
        <w:rPr>
          <w:szCs w:val="24"/>
        </w:rPr>
        <w:t>(42 U.S.C. 6295(s)</w:t>
      </w:r>
      <w:r>
        <w:rPr>
          <w:szCs w:val="24"/>
        </w:rPr>
        <w:t>;</w:t>
      </w:r>
      <w:r w:rsidRPr="00FE400B">
        <w:rPr>
          <w:szCs w:val="24"/>
        </w:rPr>
        <w:t xml:space="preserve"> </w:t>
      </w:r>
      <w:r>
        <w:rPr>
          <w:szCs w:val="24"/>
        </w:rPr>
        <w:t>42 U.S.C. 6316(a)</w:t>
      </w:r>
      <w:r w:rsidRPr="002D5B83">
        <w:rPr>
          <w:szCs w:val="24"/>
        </w:rPr>
        <w:t>)</w:t>
      </w:r>
    </w:p>
    <w:p w:rsidR="0031152E" w:rsidP="007C3491" w14:paraId="5B21CE66" w14:textId="193A1DEF">
      <w:pPr>
        <w:pStyle w:val="BodyText"/>
        <w:rPr>
          <w:szCs w:val="24"/>
        </w:rPr>
      </w:pPr>
      <w:r w:rsidRPr="0071601F">
        <w:rPr>
          <w:szCs w:val="24"/>
        </w:rPr>
        <w:t>EPCA authorize</w:t>
      </w:r>
      <w:r>
        <w:rPr>
          <w:szCs w:val="24"/>
        </w:rPr>
        <w:t>s</w:t>
      </w:r>
      <w:r w:rsidRPr="0071601F">
        <w:rPr>
          <w:szCs w:val="24"/>
        </w:rPr>
        <w:t xml:space="preserve"> DOE to enforce compliance with the energy and water conservation standards established for </w:t>
      </w:r>
      <w:r>
        <w:rPr>
          <w:szCs w:val="24"/>
        </w:rPr>
        <w:t xml:space="preserve">covered </w:t>
      </w:r>
      <w:r w:rsidRPr="0071601F">
        <w:rPr>
          <w:szCs w:val="24"/>
        </w:rPr>
        <w:t>products</w:t>
      </w:r>
      <w:r>
        <w:rPr>
          <w:szCs w:val="24"/>
        </w:rPr>
        <w:t xml:space="preserve"> and equipment</w:t>
      </w:r>
      <w:r w:rsidRPr="0071601F">
        <w:rPr>
          <w:szCs w:val="24"/>
        </w:rPr>
        <w:t>.</w:t>
      </w:r>
      <w:r w:rsidR="006C0F47">
        <w:rPr>
          <w:szCs w:val="24"/>
        </w:rPr>
        <w:t xml:space="preserve"> </w:t>
      </w:r>
      <w:r w:rsidRPr="0071601F">
        <w:rPr>
          <w:szCs w:val="24"/>
        </w:rPr>
        <w:t>(</w:t>
      </w:r>
      <w:r w:rsidRPr="00A93198">
        <w:rPr>
          <w:szCs w:val="24"/>
        </w:rPr>
        <w:t>42 U.S.C. 6299</w:t>
      </w:r>
      <w:r w:rsidRPr="0071601F">
        <w:rPr>
          <w:szCs w:val="24"/>
        </w:rPr>
        <w:t>-6305</w:t>
      </w:r>
      <w:r>
        <w:rPr>
          <w:szCs w:val="24"/>
        </w:rPr>
        <w:t>; 42 U.S.C. 6316(a)-(b)</w:t>
      </w:r>
      <w:r w:rsidRPr="0071601F">
        <w:rPr>
          <w:szCs w:val="24"/>
        </w:rPr>
        <w:t>)</w:t>
      </w:r>
      <w:r w:rsidR="006C0F47">
        <w:rPr>
          <w:szCs w:val="24"/>
        </w:rPr>
        <w:t xml:space="preserve"> </w:t>
      </w:r>
      <w:r w:rsidRPr="0071601F">
        <w:rPr>
          <w:szCs w:val="24"/>
        </w:rPr>
        <w:t xml:space="preserve">DOE has promulgated enforcement regulations that include </w:t>
      </w:r>
      <w:r>
        <w:rPr>
          <w:szCs w:val="24"/>
        </w:rPr>
        <w:t>reporting</w:t>
      </w:r>
      <w:r w:rsidRPr="0071601F">
        <w:rPr>
          <w:szCs w:val="24"/>
        </w:rPr>
        <w:t xml:space="preserve"> requirements</w:t>
      </w:r>
      <w:r>
        <w:rPr>
          <w:szCs w:val="24"/>
        </w:rPr>
        <w:t xml:space="preserve"> for</w:t>
      </w:r>
      <w:r w:rsidR="0008145D">
        <w:rPr>
          <w:szCs w:val="24"/>
        </w:rPr>
        <w:t xml:space="preserve"> the</w:t>
      </w:r>
      <w:r>
        <w:rPr>
          <w:szCs w:val="24"/>
        </w:rPr>
        <w:t xml:space="preserve"> covered products and equipment</w:t>
      </w:r>
      <w:r w:rsidR="0008145D">
        <w:rPr>
          <w:szCs w:val="24"/>
        </w:rPr>
        <w:t xml:space="preserve"> addressed in this proposed rule.</w:t>
      </w:r>
      <w:r w:rsidR="006C0F47">
        <w:rPr>
          <w:szCs w:val="24"/>
        </w:rPr>
        <w:t xml:space="preserve"> </w:t>
      </w:r>
      <w:r w:rsidRPr="0071601F">
        <w:rPr>
          <w:i/>
          <w:iCs/>
          <w:szCs w:val="24"/>
        </w:rPr>
        <w:t>See</w:t>
      </w:r>
      <w:r>
        <w:rPr>
          <w:szCs w:val="24"/>
        </w:rPr>
        <w:t xml:space="preserve"> </w:t>
      </w:r>
      <w:r>
        <w:t xml:space="preserve">title </w:t>
      </w:r>
      <w:r w:rsidRPr="0017016E">
        <w:t xml:space="preserve">10 </w:t>
      </w:r>
      <w:r>
        <w:t xml:space="preserve">of the Code of Federal Regulations (“CFR”) </w:t>
      </w:r>
      <w:r>
        <w:rPr>
          <w:szCs w:val="24"/>
        </w:rPr>
        <w:t xml:space="preserve">part </w:t>
      </w:r>
      <w:r w:rsidRPr="0071601F">
        <w:rPr>
          <w:szCs w:val="24"/>
        </w:rPr>
        <w:t>4</w:t>
      </w:r>
      <w:r>
        <w:rPr>
          <w:szCs w:val="24"/>
        </w:rPr>
        <w:t>29</w:t>
      </w:r>
      <w:r w:rsidR="0064337D">
        <w:rPr>
          <w:szCs w:val="24"/>
        </w:rPr>
        <w:t>, and part 431 for electric motors</w:t>
      </w:r>
      <w:r>
        <w:rPr>
          <w:szCs w:val="24"/>
        </w:rPr>
        <w:t>.</w:t>
      </w:r>
      <w:r w:rsidR="006C0F47">
        <w:rPr>
          <w:szCs w:val="24"/>
        </w:rPr>
        <w:t xml:space="preserve"> </w:t>
      </w:r>
      <w:r w:rsidR="0008145D">
        <w:rPr>
          <w:szCs w:val="24"/>
        </w:rPr>
        <w:t xml:space="preserve">In the case of electric instantaneous water heaters, dedicated </w:t>
      </w:r>
      <w:r w:rsidR="0008145D">
        <w:rPr>
          <w:szCs w:val="24"/>
        </w:rPr>
        <w:t>purpose pool pump motors, and air cleaners, which do not currently have reporting requirements, DOE is proposing reporting requirements in this notice</w:t>
      </w:r>
      <w:r>
        <w:rPr>
          <w:szCs w:val="24"/>
        </w:rPr>
        <w:t xml:space="preserve"> </w:t>
      </w:r>
      <w:r w:rsidR="0008145D">
        <w:rPr>
          <w:szCs w:val="24"/>
        </w:rPr>
        <w:t xml:space="preserve">for inclusion in part 429. </w:t>
      </w:r>
      <w:r>
        <w:rPr>
          <w:szCs w:val="24"/>
        </w:rPr>
        <w:t xml:space="preserve">The </w:t>
      </w:r>
      <w:r w:rsidRPr="0071601F">
        <w:rPr>
          <w:szCs w:val="24"/>
        </w:rPr>
        <w:t xml:space="preserve">certification regulations ensure that </w:t>
      </w:r>
      <w:r>
        <w:rPr>
          <w:szCs w:val="24"/>
        </w:rPr>
        <w:t>DOE</w:t>
      </w:r>
      <w:r w:rsidRPr="0071601F">
        <w:rPr>
          <w:szCs w:val="24"/>
        </w:rPr>
        <w:t xml:space="preserve"> has the information it needs to </w:t>
      </w:r>
      <w:r>
        <w:rPr>
          <w:szCs w:val="24"/>
        </w:rPr>
        <w:t xml:space="preserve">assess whether </w:t>
      </w:r>
      <w:r w:rsidRPr="0071601F">
        <w:rPr>
          <w:szCs w:val="24"/>
        </w:rPr>
        <w:t>regulated products</w:t>
      </w:r>
      <w:r>
        <w:rPr>
          <w:szCs w:val="24"/>
        </w:rPr>
        <w:t xml:space="preserve"> and equipment</w:t>
      </w:r>
      <w:r w:rsidRPr="0071601F">
        <w:rPr>
          <w:szCs w:val="24"/>
        </w:rPr>
        <w:t xml:space="preserve"> sold in the United States comply with the law.</w:t>
      </w:r>
    </w:p>
    <w:p w:rsidR="005826E8" w:rsidRPr="005826E8" w:rsidP="005826E8" w14:paraId="63E7A9C6" w14:textId="659B18D6">
      <w:pPr>
        <w:rPr>
          <w:iCs/>
        </w:rPr>
      </w:pPr>
      <w:r w:rsidRPr="005826E8">
        <w:rPr>
          <w:iCs/>
        </w:rPr>
        <w:t xml:space="preserve">DOE is revising the information collected on the energy and water efficiency of </w:t>
      </w:r>
      <w:r w:rsidR="00321453">
        <w:rPr>
          <w:iCs/>
        </w:rPr>
        <w:t xml:space="preserve">certain </w:t>
      </w:r>
      <w:r w:rsidRPr="005826E8">
        <w:rPr>
          <w:iCs/>
        </w:rPr>
        <w:t>consumer products and commercial equipment manufactured for distribution in commerce in the United States.</w:t>
      </w:r>
      <w:r w:rsidR="006C0F47">
        <w:rPr>
          <w:iCs/>
        </w:rPr>
        <w:t xml:space="preserve">  </w:t>
      </w:r>
      <w:r w:rsidRPr="005826E8">
        <w:rPr>
          <w:iCs/>
        </w:rPr>
        <w:t>Specifically, DOE is submitting for approval paperwork requirements associated with gathering data and submitting the certification and compliance reports for each basic model distributed in commerce in the U.S.</w:t>
      </w:r>
      <w:r w:rsidRPr="005826E8" w:rsidR="00C82321">
        <w:rPr>
          <w:iCs/>
        </w:rPr>
        <w:t xml:space="preserve"> </w:t>
      </w:r>
    </w:p>
    <w:p w:rsidR="008C734C" w:rsidP="00244CE3" w14:paraId="1E5F62D5" w14:textId="77777777">
      <w:pPr>
        <w:pStyle w:val="Heading2"/>
      </w:pPr>
      <w:bookmarkStart w:id="3" w:name="_Toc88047465"/>
      <w:r>
        <w:t>A.2. Needs and Uses of Data</w:t>
      </w:r>
      <w:bookmarkEnd w:id="3"/>
    </w:p>
    <w:p w:rsidR="00A41763" w:rsidP="00A41763" w14:paraId="4C5F51F5" w14:textId="77777777">
      <w:pPr>
        <w:rPr>
          <w:b/>
          <w:bCs/>
        </w:rPr>
      </w:pPr>
      <w:r w:rsidRPr="00A41763">
        <w:rPr>
          <w:b/>
          <w:bCs/>
        </w:rPr>
        <w:t xml:space="preserve">Indicate how, by whom, and for what purpose the information is to be used. Except for a new collection, indicate the actual use the agency has made of the information received from the current collection </w:t>
      </w:r>
    </w:p>
    <w:p w:rsidR="00066714" w:rsidP="00066714" w14:paraId="195DA14E" w14:textId="59328A7E">
      <w:r w:rsidRPr="009553E4">
        <w:t xml:space="preserve">This is </w:t>
      </w:r>
      <w:r w:rsidR="00D67FE9">
        <w:t>a revision</w:t>
      </w:r>
      <w:r w:rsidR="00F75180">
        <w:t xml:space="preserve"> of</w:t>
      </w:r>
      <w:r w:rsidR="00F3178D">
        <w:t xml:space="preserve"> a currently approved </w:t>
      </w:r>
      <w:r w:rsidR="0034388A">
        <w:t>collection</w:t>
      </w:r>
      <w:r w:rsidR="000B2731">
        <w:t xml:space="preserve"> </w:t>
      </w:r>
      <w:r w:rsidRPr="00F418E5">
        <w:t>(</w:t>
      </w:r>
      <w:r>
        <w:t xml:space="preserve">OMB </w:t>
      </w:r>
      <w:r w:rsidRPr="00F418E5">
        <w:t xml:space="preserve">Control #1910-1400, </w:t>
      </w:r>
      <w:r w:rsidRPr="00764F7D">
        <w:t>Certification Reports, Compliance Statements, Application for a Test Procedure Waiver, and Recordkeeping for Consumer Products and Commercial/Industrial Equipment subject to Energy or Water Conservation Standards</w:t>
      </w:r>
      <w:r w:rsidRPr="00F418E5">
        <w:t xml:space="preserve">). </w:t>
      </w:r>
      <w:r>
        <w:t>The certification and compliance reports</w:t>
      </w:r>
      <w:r w:rsidR="00E85DFB">
        <w:t>, supplemental testing instructions, and shipments/sales information</w:t>
      </w:r>
      <w:r>
        <w:t xml:space="preserve"> will continue to be used by the Department to assess compliance with energy and water conservation standards</w:t>
      </w:r>
      <w:r w:rsidR="002E1895">
        <w:t xml:space="preserve"> and associated regulations.</w:t>
      </w:r>
      <w:r>
        <w:t xml:space="preserve"> The data maintained by the manufacturer will be used to calculate the certified ratings for each basic model in preparation for submitting the certification report, and it may be provided to DOE upon request so that DOE can verify that the manufacturer conducted the DOE test procedure, applied the appropriate sampling plans, correctly calculated the certified rating for a basic model, and is compliant with the Federal energy or water conservation standards. DOE currently uses the information </w:t>
      </w:r>
      <w:r w:rsidRPr="00F418E5">
        <w:t>collected to systematically enforce applicable energy and water conservation standards for covered products and commercial and industrial equipment and provide for more accurate, comprehensive information about the energy and water use characteristics of products sold in the United States.</w:t>
      </w:r>
      <w:r w:rsidR="006C0F47">
        <w:t xml:space="preserve"> </w:t>
      </w:r>
    </w:p>
    <w:p w:rsidR="00F93C72" w:rsidP="00881A2E" w14:paraId="7199738A" w14:textId="78AE079D">
      <w:r>
        <w:t xml:space="preserve">Each </w:t>
      </w:r>
      <w:r w:rsidR="007F4BFE">
        <w:t>of DOE’s</w:t>
      </w:r>
      <w:r w:rsidR="00B46695">
        <w:t xml:space="preserve"> compliance</w:t>
      </w:r>
      <w:r w:rsidR="007F4BFE">
        <w:t xml:space="preserve"> certification templates are designed </w:t>
      </w:r>
      <w:r w:rsidR="00402BB7">
        <w:t>identically</w:t>
      </w:r>
      <w:r w:rsidR="007F4BFE">
        <w:t xml:space="preserve">, </w:t>
      </w:r>
      <w:r w:rsidR="009B01C0">
        <w:t>consisting</w:t>
      </w:r>
      <w:r w:rsidR="007F4BFE">
        <w:t xml:space="preserve"> of two components</w:t>
      </w:r>
      <w:r w:rsidR="00214A81">
        <w:t xml:space="preserve">: (1) a </w:t>
      </w:r>
      <w:r w:rsidR="002718C2">
        <w:t>certification tab, and (2) an input tab.</w:t>
      </w:r>
      <w:r w:rsidR="002238B8">
        <w:t xml:space="preserve"> </w:t>
      </w:r>
      <w:r>
        <w:t>A</w:t>
      </w:r>
      <w:r w:rsidR="004029A0">
        <w:t xml:space="preserve">ll </w:t>
      </w:r>
      <w:r w:rsidR="00402BB7">
        <w:t xml:space="preserve">templates </w:t>
      </w:r>
      <w:r>
        <w:t xml:space="preserve">include the same information on the certification tab. This tab </w:t>
      </w:r>
      <w:r w:rsidR="00402BB7">
        <w:t>contains</w:t>
      </w:r>
      <w:r w:rsidRPr="00F93C72">
        <w:t xml:space="preserve"> </w:t>
      </w:r>
      <w:r>
        <w:t xml:space="preserve">the template-specific form number, OMB control number, the burden disclosure statement, instructions for completing the form, the template version number, </w:t>
      </w:r>
      <w:r w:rsidR="00094EEE">
        <w:t>the required compliance statement</w:t>
      </w:r>
      <w:r>
        <w:t xml:space="preserve"> and signature line</w:t>
      </w:r>
      <w:r w:rsidR="001F3F96">
        <w:t xml:space="preserve"> (10 CFR Part 429.12(c))</w:t>
      </w:r>
      <w:r w:rsidR="00094EEE">
        <w:t>,</w:t>
      </w:r>
      <w:r w:rsidR="002E1C19">
        <w:t xml:space="preserve"> input cells for </w:t>
      </w:r>
      <w:r w:rsidR="000625C9">
        <w:t xml:space="preserve">certifiers to report </w:t>
      </w:r>
      <w:r>
        <w:t xml:space="preserve">whether they are a U.S. manufacturer or importer, and the certifier’s </w:t>
      </w:r>
      <w:r w:rsidR="000625C9">
        <w:t>contact information</w:t>
      </w:r>
      <w:r>
        <w:t>. DOE’s regulations also allow a third party to certify on behalf of a manufacturer. 10 CFR 429.12(g) Every certification tab also includes a section for third party representatives to specify their contact information, if applicable</w:t>
      </w:r>
      <w:r w:rsidR="008D5467">
        <w:t xml:space="preserve">. </w:t>
      </w:r>
    </w:p>
    <w:p w:rsidR="00881A2E" w:rsidP="00881A2E" w14:paraId="4B24026E" w14:textId="5BE5B36C">
      <w:r>
        <w:t xml:space="preserve">The input tab for each template </w:t>
      </w:r>
      <w:r w:rsidR="00A51835">
        <w:t xml:space="preserve">collects </w:t>
      </w:r>
      <w:r w:rsidR="00F93C72">
        <w:t xml:space="preserve">both </w:t>
      </w:r>
      <w:r w:rsidR="00A51835">
        <w:t>general product certification information as required in 10 CFR Part 429.12(b)</w:t>
      </w:r>
      <w:r w:rsidR="00F93C72">
        <w:t xml:space="preserve"> and product specific certification requirements outlined in 10 CFR 429.14 through 429.69</w:t>
      </w:r>
      <w:r w:rsidR="00A51835">
        <w:t xml:space="preserve">. The general certification information includes product class, manufacturer name, brand name, </w:t>
      </w:r>
      <w:r w:rsidR="00A51835">
        <w:t>basic model number</w:t>
      </w:r>
      <w:r>
        <w:rPr>
          <w:rStyle w:val="FootnoteReference"/>
        </w:rPr>
        <w:footnoteReference w:id="3"/>
      </w:r>
      <w:r w:rsidR="00A51835">
        <w:t>, individual model number</w:t>
      </w:r>
      <w:r>
        <w:rPr>
          <w:rStyle w:val="FootnoteReference"/>
        </w:rPr>
        <w:footnoteReference w:id="4"/>
      </w:r>
      <w:r w:rsidR="00A51835">
        <w:t>, the status of the basic model being certified (i.e., new, discontinued, correction to a previous certification, existing</w:t>
      </w:r>
      <w:r>
        <w:t xml:space="preserve"> model, or failed an industry certification program), test sample size, whether the certification is based on a test procedure waiver and the date of such a wavier, and whether the certification is based on </w:t>
      </w:r>
      <w:r w:rsidRPr="00881A2E">
        <w:t>relief from an applicable energy conservation standard and the date such relief was issued by DOE's Office of Hearings and Appeals</w:t>
      </w:r>
      <w:r>
        <w:t xml:space="preserve">. </w:t>
      </w:r>
      <w:r w:rsidR="00DA2287">
        <w:t xml:space="preserve">The product specific certification information varies by template and typically collects capacity and efficiency metrics relevant for determining compliance with the appropriate energy conservation standard. For certain products, DOE also collects information needed </w:t>
      </w:r>
      <w:r w:rsidR="00DA2287">
        <w:t>in order to</w:t>
      </w:r>
      <w:r w:rsidR="00DA2287">
        <w:t xml:space="preserve"> conduct the applicable test procedure for a given product. </w:t>
      </w:r>
    </w:p>
    <w:p w:rsidR="008C734C" w:rsidP="00244CE3" w14:paraId="1A1B7133" w14:textId="77777777">
      <w:pPr>
        <w:pStyle w:val="Heading2"/>
      </w:pPr>
      <w:bookmarkStart w:id="4" w:name="_Toc88047466"/>
      <w:r>
        <w:t>A.</w:t>
      </w:r>
      <w:r w:rsidRPr="00A41763" w:rsidR="00A41763">
        <w:t xml:space="preserve">3. </w:t>
      </w:r>
      <w:r>
        <w:t>Use of Technology</w:t>
      </w:r>
      <w:bookmarkEnd w:id="4"/>
    </w:p>
    <w:p w:rsidR="00A41763" w:rsidRPr="00A41763" w:rsidP="00A41763" w14:paraId="29D263CE"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F94BB1" w:rsidP="00F94BB1" w14:paraId="55351CD5" w14:textId="590DBC93">
      <w:pPr>
        <w:pStyle w:val="PlainText"/>
      </w:pPr>
      <w:r w:rsidRPr="006D614D">
        <w:rPr>
          <w:iCs/>
        </w:rPr>
        <w:t>DOE currently requires manufacturers or their representatives to prepare and submit certification reports using DOE’s electronic Web-based tool, the Compliance and Certification Management System (CCMS), which is the primary mechanism for submitting certification reports to DOE.</w:t>
      </w:r>
      <w:r w:rsidR="006C0F47">
        <w:rPr>
          <w:iCs/>
        </w:rPr>
        <w:t xml:space="preserve"> </w:t>
      </w:r>
      <w:r w:rsidRPr="006D614D">
        <w:rPr>
          <w:iCs/>
        </w:rPr>
        <w:t>Manufacturers of electric motors may alternatively submit certification reports via certified mail.</w:t>
      </w:r>
      <w:r w:rsidR="006C0F47">
        <w:rPr>
          <w:iCs/>
        </w:rPr>
        <w:t xml:space="preserve"> </w:t>
      </w:r>
      <w:r>
        <w:t>Although DOE allow</w:t>
      </w:r>
      <w:r w:rsidR="00B3666E">
        <w:t>s</w:t>
      </w:r>
      <w:r>
        <w:t xml:space="preserve"> for certification via certified mail for certain product types, 100% of certifications are done electronically. </w:t>
      </w:r>
    </w:p>
    <w:p w:rsidR="007E7951" w:rsidP="00F94BB1" w14:paraId="7C127CDC" w14:textId="77777777">
      <w:pPr>
        <w:pStyle w:val="PlainText"/>
      </w:pPr>
    </w:p>
    <w:p w:rsidR="006D614D" w:rsidRPr="006D614D" w:rsidP="006D614D" w14:paraId="75E76CFA" w14:textId="7F18A672">
      <w:pPr>
        <w:rPr>
          <w:iCs/>
        </w:rPr>
      </w:pPr>
      <w:r w:rsidRPr="006D614D">
        <w:rPr>
          <w:iCs/>
        </w:rPr>
        <w:t>CCMS currently has product specific templates which manufacturers are required to use when submitting certification data to DOE.</w:t>
      </w:r>
      <w:r w:rsidR="006C0F47">
        <w:rPr>
          <w:iCs/>
        </w:rPr>
        <w:t xml:space="preserve"> </w:t>
      </w:r>
      <w:r w:rsidRPr="006D614D">
        <w:rPr>
          <w:iCs/>
        </w:rPr>
        <w:t xml:space="preserve">See </w:t>
      </w:r>
      <w:hyperlink r:id="rId14" w:history="1">
        <w:r w:rsidRPr="006D614D">
          <w:rPr>
            <w:rStyle w:val="Hyperlink"/>
            <w:iCs/>
          </w:rPr>
          <w:t>http://www.regulations.doe.gov/ccms</w:t>
        </w:r>
      </w:hyperlink>
      <w:r w:rsidRPr="006D614D">
        <w:rPr>
          <w:iCs/>
        </w:rPr>
        <w:t>.</w:t>
      </w:r>
      <w:r w:rsidR="006C0F47">
        <w:rPr>
          <w:iCs/>
        </w:rPr>
        <w:t xml:space="preserve"> </w:t>
      </w:r>
      <w:r w:rsidRPr="006D614D">
        <w:rPr>
          <w:iCs/>
        </w:rPr>
        <w:t>DOE believes the availability of electronic filing through the CCMS system reduces reporting burdens, streamlines the process, and provides the Department with needed information in a standardized, more accessible form.</w:t>
      </w:r>
      <w:r w:rsidR="006C0F47">
        <w:rPr>
          <w:iCs/>
        </w:rPr>
        <w:t xml:space="preserve"> </w:t>
      </w:r>
      <w:r w:rsidRPr="006D614D">
        <w:rPr>
          <w:iCs/>
        </w:rPr>
        <w:t>This electronic filing system also ensures that records are recorded in a permanent, systematic way.</w:t>
      </w:r>
      <w:r w:rsidR="006C0F47">
        <w:rPr>
          <w:iCs/>
        </w:rPr>
        <w:t xml:space="preserve"> </w:t>
      </w:r>
      <w:r w:rsidRPr="006D614D">
        <w:rPr>
          <w:iCs/>
        </w:rPr>
        <w:t>Moreover, manufacturers also rely on CCMS reporting to satisfy certain reporting requirements established by the Federal Trade Commission (FTC) under 16 CFR § 305.8, thereby reducing duplicative reporting.</w:t>
      </w:r>
    </w:p>
    <w:p w:rsidR="008C734C" w:rsidP="00244CE3" w14:paraId="1D3FF961" w14:textId="77777777">
      <w:pPr>
        <w:pStyle w:val="Heading2"/>
      </w:pPr>
      <w:bookmarkStart w:id="5" w:name="_Toc88047467"/>
      <w:r>
        <w:t>A.</w:t>
      </w:r>
      <w:r w:rsidRPr="00A41763" w:rsidR="00A41763">
        <w:t xml:space="preserve">4. </w:t>
      </w:r>
      <w:r>
        <w:t>Efforts to Identify Duplication</w:t>
      </w:r>
      <w:bookmarkEnd w:id="5"/>
    </w:p>
    <w:p w:rsidR="00A41763" w:rsidRPr="00A41763" w:rsidP="00A41763" w14:paraId="3A4EB59C" w14:textId="77777777">
      <w:r w:rsidRPr="00A41763">
        <w:rPr>
          <w:b/>
          <w:bCs/>
        </w:rPr>
        <w:t xml:space="preserve">Describe efforts to identify duplication. </w:t>
      </w:r>
    </w:p>
    <w:p w:rsidR="00096355" w:rsidRPr="00096355" w:rsidP="00096355" w14:paraId="62E75C74" w14:textId="559717A9">
      <w:pPr>
        <w:rPr>
          <w:iCs/>
        </w:rPr>
      </w:pPr>
      <w:r w:rsidRPr="00096355">
        <w:rPr>
          <w:iCs/>
        </w:rPr>
        <w:t>In limited cases, some of the energy efficiency, energy use, or water use information required to fulfill the certification requirements under DOE’s regulations can be obtained from other publicly available product directories, such as the Air-Conditioning, Heating, and Refrigeration Institute directory of certified products, the International Association of Plumbing and Mechanical Officials product listing directory, the ENERGY STAR product listing, and the California Energy Commission’s appliance efficiency database.</w:t>
      </w:r>
      <w:r w:rsidR="006C0F47">
        <w:rPr>
          <w:iCs/>
        </w:rPr>
        <w:t xml:space="preserve"> </w:t>
      </w:r>
      <w:r w:rsidRPr="00096355">
        <w:rPr>
          <w:iCs/>
        </w:rPr>
        <w:t xml:space="preserve">These directories typically only contain information on the energy use or efficiency of a subset </w:t>
      </w:r>
      <w:r w:rsidRPr="00096355">
        <w:rPr>
          <w:iCs/>
        </w:rPr>
        <w:t>of basic models that are covered by DOE’s regulatory program.</w:t>
      </w:r>
      <w:r w:rsidR="006C0F47">
        <w:rPr>
          <w:iCs/>
        </w:rPr>
        <w:t xml:space="preserve"> </w:t>
      </w:r>
      <w:r w:rsidRPr="00096355">
        <w:rPr>
          <w:iCs/>
        </w:rPr>
        <w:t>These voluntary programs allow manufacturers to submit ratings information.</w:t>
      </w:r>
      <w:r w:rsidR="006C0F47">
        <w:rPr>
          <w:iCs/>
        </w:rPr>
        <w:t xml:space="preserve"> </w:t>
      </w:r>
      <w:r w:rsidRPr="00096355">
        <w:rPr>
          <w:iCs/>
        </w:rPr>
        <w:t>To a certain extent, DOE allows the use of voluntary programs in its certification process to help avoid duplication of efforts and undue reporting burden.</w:t>
      </w:r>
      <w:r w:rsidR="006C0F47">
        <w:rPr>
          <w:iCs/>
        </w:rPr>
        <w:t xml:space="preserve"> </w:t>
      </w:r>
      <w:r w:rsidRPr="00096355">
        <w:rPr>
          <w:iCs/>
        </w:rPr>
        <w:t xml:space="preserve">For example, the manufacturer must use the same test results for a given basic model to determine his or her certified rating assuming the testing was done in accordance </w:t>
      </w:r>
      <w:r w:rsidR="007D48F7">
        <w:rPr>
          <w:iCs/>
        </w:rPr>
        <w:t>with</w:t>
      </w:r>
      <w:r w:rsidRPr="00096355" w:rsidR="007D48F7">
        <w:rPr>
          <w:iCs/>
        </w:rPr>
        <w:t xml:space="preserve"> </w:t>
      </w:r>
      <w:r w:rsidRPr="00096355">
        <w:rPr>
          <w:iCs/>
        </w:rPr>
        <w:t>DOE’s testing and sampling procedures.</w:t>
      </w:r>
      <w:r w:rsidR="006C0F47">
        <w:rPr>
          <w:iCs/>
        </w:rPr>
        <w:t xml:space="preserve"> </w:t>
      </w:r>
      <w:r w:rsidRPr="00096355">
        <w:rPr>
          <w:iCs/>
        </w:rPr>
        <w:t xml:space="preserve">DOE allows manufacturers, at their discretion, to elect a third-party, (e.g. a voluntary trade organization or a third-party laboratory), to file the certification report on its behalf. </w:t>
      </w:r>
    </w:p>
    <w:p w:rsidR="00096355" w:rsidRPr="00096355" w:rsidP="00096355" w14:paraId="60D2AAFA" w14:textId="5AEAFFA9">
      <w:pPr>
        <w:rPr>
          <w:iCs/>
        </w:rPr>
      </w:pPr>
      <w:r w:rsidRPr="00096355">
        <w:rPr>
          <w:iCs/>
        </w:rPr>
        <w:t>DOE cannot ensure the information maintained in other publicly available databases has been collected in accordance with DOE’s testing procedures, sampling plans for certification testing, and certification requirements.</w:t>
      </w:r>
      <w:bookmarkStart w:id="6" w:name="_Hlk489014300"/>
      <w:r w:rsidR="006C0F47">
        <w:rPr>
          <w:iCs/>
        </w:rPr>
        <w:t xml:space="preserve"> </w:t>
      </w:r>
      <w:r w:rsidRPr="00096355">
        <w:rPr>
          <w:iCs/>
        </w:rPr>
        <w:t xml:space="preserve">There is no comprehensive alternative database that contains </w:t>
      </w:r>
      <w:r w:rsidRPr="00096355">
        <w:rPr>
          <w:iCs/>
        </w:rPr>
        <w:t>all of</w:t>
      </w:r>
      <w:r w:rsidRPr="00096355">
        <w:rPr>
          <w:iCs/>
        </w:rPr>
        <w:t xml:space="preserve"> the information for basic models of covered products and covered equipment distributed in commerce in the U.S. as required by DOE’s certification program that DOE could use to satisfy these provisions.</w:t>
      </w:r>
      <w:r w:rsidR="006C0F47">
        <w:rPr>
          <w:iCs/>
        </w:rPr>
        <w:t xml:space="preserve"> </w:t>
      </w:r>
      <w:r w:rsidRPr="00096355">
        <w:rPr>
          <w:iCs/>
        </w:rPr>
        <w:t>Instead, in instances when similar information is required for multiple programs, DOE encourages manufacturers to utilize the same testing and rating information to minimize duplication as much as possible.</w:t>
      </w:r>
      <w:r w:rsidR="006C0F47">
        <w:rPr>
          <w:iCs/>
        </w:rPr>
        <w:t xml:space="preserve"> </w:t>
      </w:r>
    </w:p>
    <w:bookmarkEnd w:id="6"/>
    <w:p w:rsidR="00FB3ACA" w:rsidP="00096355" w14:paraId="59D717B6" w14:textId="5A47185D">
      <w:pPr>
        <w:rPr>
          <w:iCs/>
        </w:rPr>
      </w:pPr>
      <w:r w:rsidRPr="00096355">
        <w:rPr>
          <w:iCs/>
        </w:rPr>
        <w:t>DOE understands that manufacturers already maintain these types of records in the normal course of design, engineering, and performance testing a product.</w:t>
      </w:r>
      <w:r w:rsidR="006C0F47">
        <w:rPr>
          <w:iCs/>
        </w:rPr>
        <w:t xml:space="preserve"> </w:t>
      </w:r>
      <w:r w:rsidRPr="00096355">
        <w:rPr>
          <w:iCs/>
        </w:rPr>
        <w:t>Thus, DOE believes that the records retention requirements in 10 CFR § 429.71 are part of everyday business for most manufacturers.</w:t>
      </w:r>
    </w:p>
    <w:p w:rsidR="00096355" w:rsidRPr="00096355" w:rsidP="00096355" w14:paraId="6B5240A2" w14:textId="747E801F">
      <w:pPr>
        <w:rPr>
          <w:iCs/>
        </w:rPr>
      </w:pPr>
      <w:r w:rsidRPr="00096355">
        <w:rPr>
          <w:iCs/>
        </w:rPr>
        <w:t>As discussed, DOE collects certification information for the Federal Trade Commission as well.</w:t>
      </w:r>
      <w:r w:rsidR="006C0F47">
        <w:rPr>
          <w:iCs/>
        </w:rPr>
        <w:t xml:space="preserve"> </w:t>
      </w:r>
      <w:r w:rsidRPr="00096355">
        <w:rPr>
          <w:iCs/>
        </w:rPr>
        <w:t>Thus, manufacturers subject to FTC’s labeling regulations, as well as DOE’s regulatory program for energy and water conservation, will only have to submit a single certification report and compliance statement to the Department through CCMS to satisfy the requirements of both agencies.</w:t>
      </w:r>
    </w:p>
    <w:p w:rsidR="008C734C" w:rsidP="00244CE3" w14:paraId="2DE2F6CB" w14:textId="77777777">
      <w:pPr>
        <w:pStyle w:val="Heading2"/>
      </w:pPr>
      <w:bookmarkStart w:id="7" w:name="_Toc88047468"/>
      <w:r>
        <w:t>A.</w:t>
      </w:r>
      <w:r w:rsidRPr="00A41763" w:rsidR="00A41763">
        <w:t xml:space="preserve">5. </w:t>
      </w:r>
      <w:r w:rsidRPr="008C734C">
        <w:t>Provisions for Reducing Burden on Small Businesses</w:t>
      </w:r>
      <w:bookmarkEnd w:id="7"/>
      <w:r w:rsidRPr="008C734C">
        <w:t xml:space="preserve"> </w:t>
      </w:r>
    </w:p>
    <w:p w:rsidR="00A41763" w:rsidRPr="00A41763" w:rsidP="00A41763" w14:paraId="7722A528" w14:textId="77777777">
      <w:r w:rsidRPr="00A41763">
        <w:rPr>
          <w:b/>
          <w:bCs/>
        </w:rPr>
        <w:t xml:space="preserve">If the collection of information impacts small businesses or other small entities, describe any methods used to minimize burden. </w:t>
      </w:r>
    </w:p>
    <w:p w:rsidR="008C734C" w:rsidRPr="0061746A" w:rsidP="00A41763" w14:paraId="797D6B6C" w14:textId="7DBF82DF">
      <w:pPr>
        <w:rPr>
          <w:iCs/>
        </w:rPr>
      </w:pPr>
      <w:r w:rsidRPr="0061746A">
        <w:rPr>
          <w:iCs/>
        </w:rPr>
        <w:t xml:space="preserve">Small businesses that manufacture or import covered products or equipment subject to Federal energy or water conservation standards </w:t>
      </w:r>
      <w:r w:rsidR="00B21191">
        <w:rPr>
          <w:iCs/>
        </w:rPr>
        <w:t>must</w:t>
      </w:r>
      <w:r w:rsidRPr="0061746A">
        <w:rPr>
          <w:iCs/>
        </w:rPr>
        <w:t xml:space="preserve"> certify each basic model prior to distribution in commerce, and annually thereafter.</w:t>
      </w:r>
      <w:r w:rsidR="006C0F47">
        <w:rPr>
          <w:iCs/>
        </w:rPr>
        <w:t xml:space="preserve"> </w:t>
      </w:r>
      <w:r w:rsidRPr="0061746A">
        <w:rPr>
          <w:iCs/>
        </w:rPr>
        <w:t>Consequently, DOE expects small businesses to be impacted by this collection of information.</w:t>
      </w:r>
      <w:r w:rsidR="006C0F47">
        <w:rPr>
          <w:iCs/>
        </w:rPr>
        <w:t xml:space="preserve"> </w:t>
      </w:r>
      <w:r w:rsidRPr="0061746A">
        <w:rPr>
          <w:iCs/>
        </w:rPr>
        <w:t>DOE has tried to minimize the reporting burden as much as possible by: (1) accepting only electronic submissions; (2) providing preformatted templates that clearly lay out the certification and compliance requirements for each product; and (3) allowing manufacturers to group individual models into basic models for the purposes of certification to reduce the number of discrete models reported to the Department.</w:t>
      </w:r>
      <w:r w:rsidR="006C0F47">
        <w:rPr>
          <w:iCs/>
        </w:rPr>
        <w:t xml:space="preserve">  </w:t>
      </w:r>
    </w:p>
    <w:p w:rsidR="008C734C" w:rsidP="00244CE3" w14:paraId="5B8F11A8" w14:textId="77777777">
      <w:pPr>
        <w:pStyle w:val="Heading2"/>
      </w:pPr>
      <w:bookmarkStart w:id="8" w:name="_Toc88047469"/>
      <w:r>
        <w:t>A.</w:t>
      </w:r>
      <w:r w:rsidRPr="00A41763" w:rsidR="00A41763">
        <w:t xml:space="preserve">6. </w:t>
      </w:r>
      <w:r w:rsidRPr="008C734C">
        <w:t>Consequences of Less-Frequent Reporting</w:t>
      </w:r>
      <w:bookmarkEnd w:id="8"/>
    </w:p>
    <w:p w:rsidR="00A41763" w:rsidRPr="00A41763" w:rsidP="00A41763" w14:paraId="1AA54AF3"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008C734C" w:rsidP="00A41763" w14:paraId="73EE5049" w14:textId="79CF3073">
      <w:pPr>
        <w:rPr>
          <w:iCs/>
        </w:rPr>
      </w:pPr>
      <w:r w:rsidRPr="00F237B9">
        <w:rPr>
          <w:iCs/>
        </w:rPr>
        <w:t xml:space="preserve">Manufacturer self-certification provides the foundation for the Department of Energy's ability to effectively enforce its regulations without engaging in the exorbitant expense of testing every model of covered consumer products and commercial/industrial equipment manufactured and distributed in U.S. </w:t>
      </w:r>
      <w:r w:rsidRPr="00F237B9">
        <w:rPr>
          <w:iCs/>
        </w:rPr>
        <w:t>commerce.</w:t>
      </w:r>
      <w:r w:rsidR="006C0F47">
        <w:rPr>
          <w:iCs/>
        </w:rPr>
        <w:t xml:space="preserve"> </w:t>
      </w:r>
      <w:r w:rsidRPr="00F237B9">
        <w:rPr>
          <w:iCs/>
        </w:rPr>
        <w:t xml:space="preserve">DOE, instead, relies upon manufacturers to test their own products and provide DOE with the minimally required information to demonstrate the compliance of those products with federal energy conservation standards through </w:t>
      </w:r>
      <w:r w:rsidR="0014327D">
        <w:rPr>
          <w:iCs/>
        </w:rPr>
        <w:t xml:space="preserve">annual </w:t>
      </w:r>
      <w:r w:rsidRPr="00F237B9">
        <w:rPr>
          <w:iCs/>
        </w:rPr>
        <w:t>submission of certification reports.</w:t>
      </w:r>
      <w:r w:rsidR="006C0F47">
        <w:rPr>
          <w:iCs/>
        </w:rPr>
        <w:t xml:space="preserve"> </w:t>
      </w:r>
      <w:r w:rsidRPr="00F237B9">
        <w:rPr>
          <w:iCs/>
        </w:rPr>
        <w:t>DOE further educates consumers and distributors in the marketplace about the efficiency of these products by publicly posting the information provided by manufacturers in their certification reports.</w:t>
      </w:r>
    </w:p>
    <w:p w:rsidR="00D1392F" w:rsidRPr="00F418E5" w:rsidP="00D1392F" w14:paraId="44399332" w14:textId="7718E618">
      <w:r w:rsidRPr="0097178D">
        <w:t>DOE’s existing regulations require that manufacturers certify: (1) new basic models before distribution in commerce; (2) existing basic models, whose certified rating remains valid, annually; (3) existing basic models, whose design is altered resulting in a change in rating that is more consumptive or less efficient, at the time the design change is made; and (4) previously certified basic models that have been discontinued annually.</w:t>
      </w:r>
      <w:r w:rsidR="006C0F47">
        <w:t xml:space="preserve"> </w:t>
      </w:r>
      <w:r w:rsidRPr="00F418E5">
        <w:t xml:space="preserve">If a manufacturer does not comply with the </w:t>
      </w:r>
      <w:r w:rsidR="00612836">
        <w:t xml:space="preserve">annual </w:t>
      </w:r>
      <w:r w:rsidRPr="00F418E5">
        <w:t xml:space="preserve">reporting requirements in 10 CFR </w:t>
      </w:r>
      <w:r>
        <w:t>§ 429</w:t>
      </w:r>
      <w:r w:rsidRPr="00F418E5">
        <w:t xml:space="preserve">, there is a risk that a </w:t>
      </w:r>
      <w:r>
        <w:t>basic model of covered equipment could</w:t>
      </w:r>
      <w:r w:rsidRPr="00F418E5">
        <w:t xml:space="preserve"> be sold into the market with energy or water efficiency below the required </w:t>
      </w:r>
      <w:r>
        <w:t>f</w:t>
      </w:r>
      <w:r w:rsidRPr="00F418E5">
        <w:t>ederal levels.</w:t>
      </w:r>
      <w:r w:rsidR="006C0F47">
        <w:t xml:space="preserve"> </w:t>
      </w:r>
      <w:r w:rsidRPr="00F418E5">
        <w:t>This would have two negative effects</w:t>
      </w:r>
      <w:r w:rsidR="00762CD4">
        <w:t xml:space="preserve"> as it relates to enforcement</w:t>
      </w:r>
      <w:r w:rsidRPr="00F418E5">
        <w:t xml:space="preserve">: (1) it would distort the market by rewarding a company that is in violation because its products would be more cost-competitive than </w:t>
      </w:r>
      <w:r>
        <w:t xml:space="preserve">the products of </w:t>
      </w:r>
      <w:r w:rsidRPr="00F418E5">
        <w:t xml:space="preserve">a company that </w:t>
      </w:r>
      <w:r w:rsidRPr="00F418E5">
        <w:t>is in compliance</w:t>
      </w:r>
      <w:r w:rsidRPr="00F418E5">
        <w:t>; and (2) it would prevent the nation from benefiting from cost-effective energy savings with each non-compliant unit sold.</w:t>
      </w:r>
      <w:r w:rsidR="006C0F47">
        <w:t xml:space="preserve"> </w:t>
      </w:r>
      <w:r w:rsidR="00B33EDD">
        <w:t xml:space="preserve">Lowering the </w:t>
      </w:r>
      <w:r w:rsidR="004C0267">
        <w:t>frequency of certification would also significantly reduce the data quality</w:t>
      </w:r>
      <w:r w:rsidR="00C7293E">
        <w:t xml:space="preserve"> </w:t>
      </w:r>
      <w:r w:rsidR="004C0267">
        <w:t xml:space="preserve">of the certification database </w:t>
      </w:r>
      <w:r w:rsidR="00A857D8">
        <w:t xml:space="preserve">DOE publishes </w:t>
      </w:r>
      <w:r w:rsidR="007437AB">
        <w:t xml:space="preserve">to inform consumers of </w:t>
      </w:r>
      <w:r w:rsidR="00AA1AF2">
        <w:t xml:space="preserve">models </w:t>
      </w:r>
      <w:r w:rsidR="00116F13">
        <w:t xml:space="preserve">and their efficiencies </w:t>
      </w:r>
      <w:r w:rsidR="00AA1AF2">
        <w:t xml:space="preserve">available on the marketplace. </w:t>
      </w:r>
    </w:p>
    <w:p w:rsidR="00D1392F" w:rsidRPr="00D1392F" w:rsidP="00A41763" w14:paraId="3D9F0BFE" w14:textId="66752E38">
      <w:r w:rsidRPr="00F418E5">
        <w:t>DOE is not aware of any technological or legal obstacles to reducing burden.</w:t>
      </w:r>
      <w:r w:rsidR="006C0F47">
        <w:t xml:space="preserve"> </w:t>
      </w:r>
      <w:r w:rsidRPr="00F418E5">
        <w:t>DOE understands that manufacturers of consumer products and commercial equipment routinely test their products, as energy efficiency and water savings are key marketing materials for purchasers.</w:t>
      </w:r>
    </w:p>
    <w:p w:rsidR="008C734C" w:rsidP="00244CE3" w14:paraId="188AF569" w14:textId="77777777">
      <w:pPr>
        <w:pStyle w:val="Heading2"/>
      </w:pPr>
      <w:bookmarkStart w:id="9" w:name="_Toc88047470"/>
      <w:r>
        <w:t>A.</w:t>
      </w:r>
      <w:r w:rsidRPr="00A41763" w:rsidR="00A41763">
        <w:t xml:space="preserve">7. </w:t>
      </w:r>
      <w:r w:rsidRPr="008C734C">
        <w:t>Compliance with 5 CFR 1320.5</w:t>
      </w:r>
      <w:bookmarkEnd w:id="9"/>
    </w:p>
    <w:p w:rsidR="00A41763" w:rsidRPr="00A41763" w:rsidP="00A41763" w14:paraId="25F57E69" w14:textId="77777777">
      <w:r w:rsidRPr="00A41763">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06340C" w:rsidRPr="0006340C" w:rsidP="0006340C" w14:paraId="03C094B4" w14:textId="28B45EAC">
      <w:pPr>
        <w:rPr>
          <w:iCs/>
        </w:rPr>
      </w:pPr>
      <w:r w:rsidRPr="0006340C">
        <w:rPr>
          <w:iCs/>
        </w:rPr>
        <w:t xml:space="preserve">Of the special circumstances listed above, </w:t>
      </w:r>
      <w:r w:rsidR="005C5F68">
        <w:rPr>
          <w:iCs/>
        </w:rPr>
        <w:t>one</w:t>
      </w:r>
      <w:r w:rsidRPr="0006340C">
        <w:rPr>
          <w:iCs/>
        </w:rPr>
        <w:t xml:space="preserve"> may apply to this information collection: (h) requiring respondents to submit proprietary trade secrets, or other confidential information unless the agency can demonstrate that it has instituted procedures to protect the information’s confidentiality to the extent permitted by law. </w:t>
      </w:r>
    </w:p>
    <w:p w:rsidR="008C734C" w:rsidRPr="0006340C" w:rsidP="00A41763" w14:paraId="3BEC7899" w14:textId="55BDD56F">
      <w:pPr>
        <w:rPr>
          <w:iCs/>
        </w:rPr>
      </w:pPr>
      <w:r w:rsidRPr="0006340C">
        <w:rPr>
          <w:iCs/>
        </w:rPr>
        <w:t>The Department collects both public and confidential information from manufacturers as part of its certification and compliance process.</w:t>
      </w:r>
      <w:r w:rsidR="006C0F47">
        <w:rPr>
          <w:iCs/>
        </w:rPr>
        <w:t xml:space="preserve"> </w:t>
      </w:r>
      <w:r w:rsidRPr="0006340C">
        <w:rPr>
          <w:iCs/>
        </w:rPr>
        <w:t>Specifically, the Department believes that making data accessible to the public provides increased transparency and accountability to the Department’s regulatory regime.</w:t>
      </w:r>
      <w:r w:rsidR="006C0F47">
        <w:rPr>
          <w:iCs/>
        </w:rPr>
        <w:t xml:space="preserve"> </w:t>
      </w:r>
      <w:r w:rsidRPr="0006340C">
        <w:rPr>
          <w:iCs/>
        </w:rPr>
        <w:t xml:space="preserve">At the same time, the Department recognizes that certain information may be confidential in </w:t>
      </w:r>
      <w:r w:rsidRPr="0006340C" w:rsidR="003B0A78">
        <w:rPr>
          <w:iCs/>
        </w:rPr>
        <w:t>nature and</w:t>
      </w:r>
      <w:r w:rsidRPr="0006340C">
        <w:rPr>
          <w:iCs/>
        </w:rPr>
        <w:t xml:space="preserve"> exempt by law from public disclosure.</w:t>
      </w:r>
      <w:r w:rsidR="006C0F47">
        <w:rPr>
          <w:iCs/>
        </w:rPr>
        <w:t xml:space="preserve"> </w:t>
      </w:r>
      <w:r w:rsidRPr="0006340C">
        <w:rPr>
          <w:iCs/>
        </w:rPr>
        <w:t>To balance these interests, DOE has adopted a framework for addressing the public disclosure of information submitted to DOE under Part 429, while protecting valid claims of confidential business information.</w:t>
      </w:r>
      <w:r w:rsidR="006C0F47">
        <w:rPr>
          <w:iCs/>
        </w:rPr>
        <w:t xml:space="preserve"> </w:t>
      </w:r>
      <w:r w:rsidRPr="0006340C">
        <w:rPr>
          <w:iCs/>
        </w:rPr>
        <w:t>First, certain categories of certification information will be considered a matter of public record that DOE makes available to the public on its website.</w:t>
      </w:r>
      <w:r w:rsidR="006C0F47">
        <w:rPr>
          <w:iCs/>
        </w:rPr>
        <w:t xml:space="preserve"> </w:t>
      </w:r>
      <w:r w:rsidRPr="0006340C">
        <w:rPr>
          <w:iCs/>
        </w:rPr>
        <w:t xml:space="preserve">Second, for all other information submitted pursuant to Part 429, </w:t>
      </w:r>
      <w:r w:rsidR="00C47D42">
        <w:rPr>
          <w:iCs/>
        </w:rPr>
        <w:t>DOE’s regulations</w:t>
      </w:r>
      <w:r w:rsidRPr="0006340C">
        <w:rPr>
          <w:iCs/>
        </w:rPr>
        <w:t xml:space="preserve"> </w:t>
      </w:r>
      <w:r w:rsidRPr="0006340C" w:rsidR="003B0A78">
        <w:rPr>
          <w:iCs/>
        </w:rPr>
        <w:t>provide</w:t>
      </w:r>
      <w:r w:rsidRPr="0006340C">
        <w:rPr>
          <w:iCs/>
        </w:rPr>
        <w:t xml:space="preserve"> a mechanism for submitting parties to claim confidentiality on a case-by-case basis at the time of submission.</w:t>
      </w:r>
      <w:r w:rsidR="006C0F47">
        <w:rPr>
          <w:iCs/>
        </w:rPr>
        <w:t xml:space="preserve"> </w:t>
      </w:r>
      <w:r w:rsidRPr="0006340C">
        <w:rPr>
          <w:iCs/>
        </w:rPr>
        <w:t>DOE may defer acting on any requests for confidentiality until DOE receives a request for the disclosure of the information covered by the request.</w:t>
      </w:r>
      <w:r w:rsidR="006C0F47">
        <w:rPr>
          <w:iCs/>
        </w:rPr>
        <w:t xml:space="preserve"> </w:t>
      </w:r>
      <w:r w:rsidRPr="0006340C">
        <w:rPr>
          <w:iCs/>
        </w:rPr>
        <w:t>The information will be treated as confidential until DOE acts on the request and all subsequent appeal proceedings have been exhausted.</w:t>
      </w:r>
      <w:r w:rsidR="006C0F47">
        <w:rPr>
          <w:iCs/>
        </w:rPr>
        <w:t xml:space="preserve"> </w:t>
      </w:r>
      <w:r w:rsidRPr="0006340C">
        <w:rPr>
          <w:iCs/>
        </w:rPr>
        <w:t xml:space="preserve">This approach provides submitters with an opportunity to express claims of confidentiality with particularity at the time the information is submitted, including a request for information to remain confidential for a set </w:t>
      </w:r>
      <w:r w:rsidRPr="0006340C">
        <w:rPr>
          <w:iCs/>
        </w:rPr>
        <w:t>period of time</w:t>
      </w:r>
      <w:r w:rsidRPr="0006340C">
        <w:rPr>
          <w:iCs/>
        </w:rPr>
        <w:t xml:space="preserve">, such as prior to a </w:t>
      </w:r>
      <w:r w:rsidR="00C47D42">
        <w:rPr>
          <w:iCs/>
        </w:rPr>
        <w:t>public product launch.</w:t>
      </w:r>
      <w:r w:rsidR="006C0F47">
        <w:rPr>
          <w:iCs/>
        </w:rPr>
        <w:t xml:space="preserve"> </w:t>
      </w:r>
      <w:r w:rsidRPr="0006340C">
        <w:rPr>
          <w:iCs/>
        </w:rPr>
        <w:t>Furthermore, it will allow the Department to determine whether a particular piece of information is exempt from public disclosure by law on a case-by-case, fact specific basis.</w:t>
      </w:r>
      <w:r w:rsidR="006C0F47">
        <w:rPr>
          <w:iCs/>
        </w:rPr>
        <w:t xml:space="preserve"> </w:t>
      </w:r>
      <w:r w:rsidRPr="0006340C">
        <w:rPr>
          <w:iCs/>
        </w:rPr>
        <w:t xml:space="preserve">In this way, DOE can both consider confidentiality claims effectively, and respond to disclosure requests promptly, while protecting against unlawful disclosure of information. </w:t>
      </w:r>
    </w:p>
    <w:p w:rsidR="008C734C" w:rsidP="00244CE3" w14:paraId="79DB4C03" w14:textId="77777777">
      <w:pPr>
        <w:pStyle w:val="Heading2"/>
      </w:pPr>
      <w:bookmarkStart w:id="10" w:name="_Toc88047471"/>
      <w:r>
        <w:t>A.</w:t>
      </w:r>
      <w:r w:rsidRPr="00A41763" w:rsidR="00A41763">
        <w:t xml:space="preserve">8. </w:t>
      </w:r>
      <w:r w:rsidRPr="008C734C">
        <w:t>Summary of Consultations Outside of the Agency</w:t>
      </w:r>
      <w:bookmarkEnd w:id="10"/>
    </w:p>
    <w:p w:rsidR="00A41763" w:rsidP="00A41763" w14:paraId="6D000566" w14:textId="2B66815F">
      <w:pPr>
        <w:rPr>
          <w:b/>
          <w:bCs/>
        </w:rPr>
      </w:pPr>
      <w:r w:rsidRPr="00A41763">
        <w:rPr>
          <w:b/>
          <w:bCs/>
        </w:rPr>
        <w:t xml:space="preserve">If applicable, provide a copy and identify the date and page number of </w:t>
      </w:r>
      <w:r w:rsidRPr="00A41763">
        <w:rPr>
          <w:b/>
          <w:bCs/>
        </w:rPr>
        <w:t>publication</w:t>
      </w:r>
      <w:r w:rsidRPr="00A41763">
        <w:rPr>
          <w:b/>
          <w:bCs/>
        </w:rPr>
        <w:t xml:space="preserve"> in the Federal Register of the agency’s notice, required by 5</w:t>
      </w:r>
      <w:r w:rsidR="00F127EF">
        <w:rPr>
          <w:b/>
          <w:bCs/>
        </w:rPr>
        <w:t xml:space="preserve"> </w:t>
      </w:r>
      <w:r w:rsidRPr="00A41763">
        <w:rPr>
          <w:b/>
          <w:bCs/>
        </w:rPr>
        <w:t>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1F652E" w:rsidP="001F652E" w14:paraId="71982FDD" w14:textId="6EB1F5BD">
      <w:r>
        <w:t xml:space="preserve">On September 26, 2023, the Department published DOE published a 60-Day Federal Register Notice announcing the extension of this information collection. 88 FR 65994. </w:t>
      </w:r>
      <w:r w:rsidR="00E12CC5">
        <w:t xml:space="preserve">In this notice, DOE </w:t>
      </w:r>
      <w:r w:rsidR="00A02C61">
        <w:t>invited</w:t>
      </w:r>
      <w:r w:rsidR="00E12CC5">
        <w:t xml:space="preserve"> comments </w:t>
      </w:r>
      <w:r w:rsidRPr="00772831" w:rsidR="00772831">
        <w:t>on: (</w:t>
      </w:r>
      <w:r w:rsidR="00772831">
        <w:t>1</w:t>
      </w:r>
      <w:r w:rsidRPr="00772831" w:rsidR="00772831">
        <w:t>) Whether the proposed collection of information is necessary for the proper performance of the functions of the agency, including whether the information shall have practical utility; (</w:t>
      </w:r>
      <w:r w:rsidR="00772831">
        <w:t>2</w:t>
      </w:r>
      <w:r w:rsidRPr="00772831" w:rsidR="00772831">
        <w:t>) the accuracy of the agency's estimate of the burden of the proposed collection of information, including the validity of the methodology and assumptions used; (</w:t>
      </w:r>
      <w:r w:rsidR="00772831">
        <w:t>3</w:t>
      </w:r>
      <w:r w:rsidRPr="00772831" w:rsidR="00772831">
        <w:t>) ways to enhance the quality, utility, and clarity of the information to be collected; and (</w:t>
      </w:r>
      <w:r w:rsidR="00772831">
        <w:t>4</w:t>
      </w:r>
      <w:r w:rsidRPr="00772831" w:rsidR="00772831">
        <w:t>) ways to minimize the burden of the collection of information on respondents, including through the use of automated collection techniques or other forms of information technology.</w:t>
      </w:r>
      <w:r w:rsidR="00772831">
        <w:t xml:space="preserve"> </w:t>
      </w:r>
      <w:r>
        <w:t>DOE received comments regarding the information collection content, which are summarized and responded to in a separate word document.</w:t>
      </w:r>
      <w:r w:rsidR="006C0F47">
        <w:t xml:space="preserve"> </w:t>
      </w:r>
      <w:r>
        <w:t>This document is titled, “‘Certification Reports, Compliance Statements, Application for a Test Procedure Waiver, and Recordkeeping for Consumer Products and Commercial/Industrial Equipment subject to Energy or Water Conservation Standards</w:t>
      </w:r>
      <w:r w:rsidR="009F3AFC">
        <w:t>.”</w:t>
      </w:r>
    </w:p>
    <w:p w:rsidR="003C7917" w:rsidP="003C7917" w14:paraId="4D0F543A" w14:textId="799BE6CA">
      <w:pPr>
        <w:rPr>
          <w:iCs/>
        </w:rPr>
      </w:pPr>
      <w:r>
        <w:t>In addition, DOE periodically conducts notice-and-comment rulemakings to update its product specific certification requirements</w:t>
      </w:r>
      <w:r>
        <w:t xml:space="preserve"> and collect feedback from stakeholders on DOE’s certification process including the availability of data, frequency of collection, and data elements collected. </w:t>
      </w:r>
      <w:r>
        <w:rPr>
          <w:iCs/>
        </w:rPr>
        <w:t xml:space="preserve">Most recently, on </w:t>
      </w:r>
      <w:r w:rsidRPr="003C7917">
        <w:rPr>
          <w:iCs/>
        </w:rPr>
        <w:t>September 29, 2023, DOE published a notice of proposed rulemaking titled “Certification Requirements, Labeling Requirements, and Enforcement Provisions for Certain Consumer Products and Commercial Equipment” [88 FR 67458]. This notice proposed changes to help ensure reporting is consistent with currently applicable energy conservation standards and metrics and to ensure DOE has the information necessary to determine the appropriate classification of products for the application of standards.</w:t>
      </w:r>
      <w:r w:rsidR="00035E46">
        <w:rPr>
          <w:iCs/>
        </w:rPr>
        <w:t xml:space="preserve"> DOE also held a public</w:t>
      </w:r>
      <w:r w:rsidR="00C61503">
        <w:rPr>
          <w:iCs/>
        </w:rPr>
        <w:t xml:space="preserve"> meeting via</w:t>
      </w:r>
      <w:r w:rsidR="00035E46">
        <w:rPr>
          <w:iCs/>
        </w:rPr>
        <w:t xml:space="preserve"> webinar </w:t>
      </w:r>
      <w:r w:rsidR="00C61503">
        <w:rPr>
          <w:iCs/>
        </w:rPr>
        <w:t xml:space="preserve">on October </w:t>
      </w:r>
      <w:r w:rsidR="005F6B6C">
        <w:rPr>
          <w:iCs/>
        </w:rPr>
        <w:t>26, 2023</w:t>
      </w:r>
      <w:r>
        <w:rPr>
          <w:rStyle w:val="FootnoteReference"/>
          <w:iCs/>
        </w:rPr>
        <w:footnoteReference w:id="5"/>
      </w:r>
      <w:r w:rsidR="005F6B6C">
        <w:rPr>
          <w:iCs/>
        </w:rPr>
        <w:t xml:space="preserve"> to</w:t>
      </w:r>
      <w:r w:rsidR="0073034F">
        <w:rPr>
          <w:iCs/>
        </w:rPr>
        <w:t xml:space="preserve"> provide an overview of the amendments proposed</w:t>
      </w:r>
      <w:r w:rsidR="00FE1427">
        <w:rPr>
          <w:iCs/>
        </w:rPr>
        <w:t xml:space="preserve"> in the September 2023 </w:t>
      </w:r>
      <w:r w:rsidR="00792196">
        <w:rPr>
          <w:iCs/>
        </w:rPr>
        <w:t>notice of proposed rulemaking</w:t>
      </w:r>
      <w:r w:rsidR="00FE1427">
        <w:rPr>
          <w:iCs/>
        </w:rPr>
        <w:t xml:space="preserve"> and</w:t>
      </w:r>
      <w:r w:rsidR="005F6B6C">
        <w:rPr>
          <w:iCs/>
        </w:rPr>
        <w:t xml:space="preserve"> solicit comments and feedback from </w:t>
      </w:r>
      <w:r w:rsidR="0053646E">
        <w:rPr>
          <w:iCs/>
        </w:rPr>
        <w:t>persons outside of DOE</w:t>
      </w:r>
      <w:r w:rsidR="00FE1427">
        <w:rPr>
          <w:iCs/>
        </w:rPr>
        <w:t xml:space="preserve"> regarding collection of data.</w:t>
      </w:r>
      <w:r w:rsidR="00FB2804">
        <w:rPr>
          <w:iCs/>
        </w:rPr>
        <w:t xml:space="preserve"> </w:t>
      </w:r>
    </w:p>
    <w:p w:rsidR="003C7917" w:rsidP="003C7917" w14:paraId="33369283" w14:textId="1020FB10">
      <w:pPr>
        <w:rPr>
          <w:iCs/>
        </w:rPr>
      </w:pPr>
      <w:r>
        <w:rPr>
          <w:iCs/>
        </w:rPr>
        <w:t xml:space="preserve">Lastly, DOE’s </w:t>
      </w:r>
      <w:r w:rsidRPr="00926290" w:rsidR="00DB2FD6">
        <w:rPr>
          <w:iCs/>
        </w:rPr>
        <w:t>Compliance Certification Management System (CCMS)</w:t>
      </w:r>
      <w:r w:rsidR="00DB2FD6">
        <w:rPr>
          <w:iCs/>
        </w:rPr>
        <w:t xml:space="preserve"> includes both a phone number and email feature to allow users to contact DOE and the site administrators at any time </w:t>
      </w:r>
      <w:r w:rsidR="00DB2FD6">
        <w:rPr>
          <w:iCs/>
        </w:rPr>
        <w:t>in order to</w:t>
      </w:r>
      <w:r w:rsidR="00DB2FD6">
        <w:rPr>
          <w:iCs/>
        </w:rPr>
        <w:t xml:space="preserve"> ask technical questions or provide feedback on any aspect of the certification process including </w:t>
      </w:r>
      <w:r w:rsidRPr="00926290" w:rsidR="00DB2FD6">
        <w:rPr>
          <w:iCs/>
        </w:rPr>
        <w:t xml:space="preserve">the clarity of instructions, reporting format, and on the data elements to be report. </w:t>
      </w:r>
      <w:r w:rsidR="00FB2804">
        <w:rPr>
          <w:iCs/>
        </w:rPr>
        <w:t>DOE also informally meets with trade associations and other stakeholders</w:t>
      </w:r>
      <w:r w:rsidR="007772AC">
        <w:rPr>
          <w:iCs/>
        </w:rPr>
        <w:t xml:space="preserve"> that use </w:t>
      </w:r>
      <w:r w:rsidR="00FB2804">
        <w:rPr>
          <w:iCs/>
        </w:rPr>
        <w:t>CCMS</w:t>
      </w:r>
      <w:r w:rsidR="007772AC">
        <w:rPr>
          <w:iCs/>
        </w:rPr>
        <w:t>.</w:t>
      </w:r>
      <w:r w:rsidR="00FB2804">
        <w:rPr>
          <w:iCs/>
        </w:rPr>
        <w:t xml:space="preserve"> </w:t>
      </w:r>
      <w:r w:rsidR="00DB2FD6">
        <w:rPr>
          <w:iCs/>
        </w:rPr>
        <w:t>DOE routinely reviews this information to improve and update its certification processes.</w:t>
      </w:r>
    </w:p>
    <w:p w:rsidR="007772AC" w:rsidP="001F652E" w14:paraId="52A828B2" w14:textId="6FD9DFAB">
      <w:r>
        <w:rPr>
          <w:iCs/>
        </w:rPr>
        <w:t>DOE has offered stakeholders being affected by this revision multiple opportunities to provide feed</w:t>
      </w:r>
      <w:r>
        <w:rPr>
          <w:iCs/>
        </w:rPr>
        <w:t xml:space="preserve">back on its certification process. Therefore, </w:t>
      </w:r>
      <w:r>
        <w:rPr>
          <w:iCs/>
        </w:rPr>
        <w:t>DOE has not conducted informal, small group sessions to solicit</w:t>
      </w:r>
      <w:r w:rsidR="007E6704">
        <w:rPr>
          <w:iCs/>
        </w:rPr>
        <w:t xml:space="preserve"> additional</w:t>
      </w:r>
      <w:r>
        <w:rPr>
          <w:iCs/>
        </w:rPr>
        <w:t xml:space="preserve"> feedback from </w:t>
      </w:r>
      <w:r>
        <w:rPr>
          <w:iCs/>
        </w:rPr>
        <w:t>stakeholders.</w:t>
      </w:r>
    </w:p>
    <w:p w:rsidR="008C734C" w:rsidP="00244CE3" w14:paraId="76D79919" w14:textId="0F9C7062">
      <w:pPr>
        <w:pStyle w:val="Heading2"/>
      </w:pPr>
      <w:bookmarkStart w:id="11" w:name="_Toc88047472"/>
      <w:r>
        <w:t>A.</w:t>
      </w:r>
      <w:r w:rsidRPr="00A41763" w:rsidR="00A41763">
        <w:t xml:space="preserve">9. </w:t>
      </w:r>
      <w:r w:rsidRPr="008C734C">
        <w:t>Payments or Gifts to Respondents</w:t>
      </w:r>
      <w:bookmarkEnd w:id="11"/>
      <w:r w:rsidRPr="008C734C">
        <w:t xml:space="preserve"> </w:t>
      </w:r>
    </w:p>
    <w:p w:rsidR="00A41763" w:rsidRPr="00A41763" w:rsidP="00A41763" w14:paraId="4819503D"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008C734C" w:rsidP="00A41763" w14:paraId="319128F7" w14:textId="0E696B61">
      <w:pPr>
        <w:rPr>
          <w:b/>
          <w:bCs/>
        </w:rPr>
      </w:pPr>
      <w:r w:rsidRPr="00F418E5">
        <w:t>There is no payment or gift to any respondents.</w:t>
      </w:r>
      <w:r w:rsidR="006C0F47">
        <w:t xml:space="preserve"> </w:t>
      </w:r>
      <w:r w:rsidRPr="00F418E5">
        <w:t>Respondents are required to comply by regulation.</w:t>
      </w:r>
    </w:p>
    <w:p w:rsidR="008C734C" w:rsidP="00244CE3" w14:paraId="28DD67F8" w14:textId="77777777">
      <w:pPr>
        <w:pStyle w:val="Heading2"/>
      </w:pPr>
      <w:bookmarkStart w:id="12" w:name="_Toc88047473"/>
      <w:r>
        <w:t>A.</w:t>
      </w:r>
      <w:r w:rsidRPr="00A41763" w:rsidR="00A41763">
        <w:t xml:space="preserve">10. </w:t>
      </w:r>
      <w:r w:rsidRPr="008C734C">
        <w:t>Provisions for Protection of Information</w:t>
      </w:r>
      <w:bookmarkEnd w:id="12"/>
      <w:r w:rsidRPr="008C734C">
        <w:t xml:space="preserve"> </w:t>
      </w:r>
    </w:p>
    <w:p w:rsidR="00A41763" w:rsidRPr="00A41763" w:rsidP="00A41763" w14:paraId="50EA5F92" w14:textId="77777777">
      <w:r w:rsidRPr="00A41763">
        <w:rPr>
          <w:b/>
          <w:bCs/>
        </w:rPr>
        <w:t xml:space="preserve">Describe any assurance of confidentiality provided to respondents and the basis for the assurance in statute, regulation, or agency policy. </w:t>
      </w:r>
    </w:p>
    <w:p w:rsidR="00B13EF5" w:rsidP="00A41763" w14:paraId="24589389" w14:textId="00EEEB30">
      <w:pPr>
        <w:rPr>
          <w:iCs/>
        </w:rPr>
      </w:pPr>
      <w:r>
        <w:t>None of the data to be submitted under the proposed regulations in this notice is specifically identified</w:t>
      </w:r>
      <w:r w:rsidR="00214E7D">
        <w:t xml:space="preserve"> as confidential business information</w:t>
      </w:r>
      <w:r>
        <w:t>.</w:t>
      </w:r>
      <w:r>
        <w:t xml:space="preserve"> 10 CFR 429.7(c) specifies the procedure for submitting any data that a manufacturer believes should be treated as confidential and exempt by law from public disclosure.</w:t>
      </w:r>
    </w:p>
    <w:p w:rsidR="00F056C3" w:rsidP="00244CE3" w14:paraId="104CE4B4" w14:textId="77777777">
      <w:pPr>
        <w:pStyle w:val="Heading2"/>
      </w:pPr>
      <w:bookmarkStart w:id="13" w:name="_Toc88047474"/>
      <w:r>
        <w:t>A.</w:t>
      </w:r>
      <w:r w:rsidRPr="00A41763" w:rsidR="00A41763">
        <w:t xml:space="preserve">11. </w:t>
      </w:r>
      <w:r w:rsidRPr="00F056C3">
        <w:t>Justification for Sensitive Questions</w:t>
      </w:r>
      <w:bookmarkEnd w:id="13"/>
      <w:r w:rsidRPr="00F056C3">
        <w:t xml:space="preserve"> </w:t>
      </w:r>
    </w:p>
    <w:p w:rsidR="00A41763" w:rsidRPr="00A41763" w:rsidP="00A41763" w14:paraId="70EE922C"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F056C3">
        <w:rPr>
          <w:b/>
          <w:bCs/>
        </w:rPr>
        <w:t xml:space="preserve">s to be made </w:t>
      </w:r>
      <w:r w:rsidR="00F056C3">
        <w:rPr>
          <w:b/>
          <w:bCs/>
        </w:rPr>
        <w:t>of the information</w:t>
      </w:r>
      <w:r w:rsidRPr="00A41763">
        <w:rPr>
          <w:b/>
          <w:bCs/>
        </w:rPr>
        <w:t xml:space="preserve">, the explanation to be given to persons from whom the information is requested, and any steps to be taken to obtain their consent. </w:t>
      </w:r>
    </w:p>
    <w:p w:rsidR="00F056C3" w:rsidP="00A41763" w14:paraId="13672E00" w14:textId="195E8053">
      <w:pPr>
        <w:rPr>
          <w:b/>
          <w:bCs/>
        </w:rPr>
      </w:pPr>
      <w:r w:rsidRPr="00F418E5">
        <w:t>There are no questions of a sensitive nature in this collection of information.</w:t>
      </w:r>
    </w:p>
    <w:p w:rsidR="00F056C3" w:rsidP="00244CE3" w14:paraId="785C6EA5" w14:textId="77777777">
      <w:pPr>
        <w:pStyle w:val="Heading2"/>
      </w:pPr>
      <w:bookmarkStart w:id="14" w:name="_Toc88047475"/>
      <w:r>
        <w:t>A.</w:t>
      </w:r>
      <w:r w:rsidRPr="00A41763" w:rsidR="00A41763">
        <w:t>12</w:t>
      </w:r>
      <w:r w:rsidR="006F3C12">
        <w:t>A</w:t>
      </w:r>
      <w:r w:rsidRPr="00A41763" w:rsidR="00A41763">
        <w:t xml:space="preserve">. </w:t>
      </w:r>
      <w:r w:rsidRPr="00F056C3">
        <w:t xml:space="preserve">Estimate of Respondent Burden Hours </w:t>
      </w:r>
      <w:bookmarkEnd w:id="14"/>
    </w:p>
    <w:p w:rsidR="00AC69E8" w:rsidRPr="001B35CA" w:rsidP="001B35CA" w14:paraId="0D0D9612" w14:textId="77777777">
      <w:pPr>
        <w:rPr>
          <w:b/>
          <w:bCs/>
        </w:rPr>
      </w:pPr>
      <w:r w:rsidRPr="00A41763">
        <w:rPr>
          <w:b/>
          <w:bCs/>
        </w:rPr>
        <w:t xml:space="preserve">Provide estimates of the </w:t>
      </w:r>
      <w:r w:rsidRPr="00B43716">
        <w:rPr>
          <w:b/>
          <w:bCs/>
        </w:rPr>
        <w:t>hour burden of the collection of information</w:t>
      </w:r>
      <w:r w:rsidRPr="00A41763">
        <w:rPr>
          <w:b/>
          <w:bCs/>
        </w:rPr>
        <w:t xml:space="preserve">. The statement should indicate the number of respondents, frequency of response, annual hour burden, and </w:t>
      </w:r>
      <w:r w:rsidRPr="001B35CA">
        <w:rPr>
          <w:b/>
          <w:bCs/>
        </w:rPr>
        <w:t>an explanation of how the burden was estimated</w:t>
      </w:r>
      <w:r w:rsidRPr="00A41763">
        <w:rPr>
          <w:b/>
          <w:bCs/>
        </w:rPr>
        <w:t xml:space="preserve">. Unless directed to do so, DOE should not conduct special surveys to obtain information on which to base hour burden estimates. Consultation with a sample fewer than 10 potential respondents is desirable. </w:t>
      </w:r>
    </w:p>
    <w:p w:rsidR="008C0AB5" w:rsidRPr="008C0AB5" w:rsidP="00363344" w14:paraId="6B3CCEC0" w14:textId="0ACA3F76">
      <w:pPr>
        <w:rPr>
          <w:b/>
          <w:bCs/>
        </w:rPr>
      </w:pPr>
      <w:r w:rsidRPr="00AC69E8">
        <w:rPr>
          <w:b/>
          <w:bCs/>
        </w:rPr>
        <w:t>Provide estimates of annualized cost to respondents for the hour</w:t>
      </w:r>
      <w:r>
        <w:rPr>
          <w:b/>
          <w:bCs/>
        </w:rPr>
        <w:t xml:space="preserve"> </w:t>
      </w:r>
      <w:r w:rsidRPr="00AC69E8">
        <w:rPr>
          <w:b/>
          <w:bCs/>
        </w:rPr>
        <w:t xml:space="preserve">burdens for collections of information, identifying and using appropriate wage rate categories. The cost of contracting out or paying outside parties for information collection activities should not be </w:t>
      </w:r>
      <w:r w:rsidRPr="008C0AB5">
        <w:rPr>
          <w:b/>
          <w:bCs/>
        </w:rPr>
        <w:t>included here. Instead, this cost should be included under ‘Annual Cost to Federal Government’.</w:t>
      </w:r>
      <w:r w:rsidRPr="00AC69E8">
        <w:rPr>
          <w:b/>
          <w:bCs/>
        </w:rPr>
        <w:t xml:space="preserve"> </w:t>
      </w:r>
    </w:p>
    <w:p w:rsidR="009550A0" w:rsidP="009550A0" w14:paraId="0434506B" w14:textId="7D492108">
      <w:pPr>
        <w:pStyle w:val="BodyText"/>
      </w:pPr>
      <w:bookmarkStart w:id="15" w:name="_Toc31193510"/>
      <w:r>
        <w:t xml:space="preserve">DOE </w:t>
      </w:r>
      <w:r w:rsidR="00E32E99">
        <w:t xml:space="preserve">has </w:t>
      </w:r>
      <w:r>
        <w:t>estimate</w:t>
      </w:r>
      <w:r w:rsidR="00E32E99">
        <w:t>d</w:t>
      </w:r>
      <w:r>
        <w:t xml:space="preserve"> the total annual reporting and recordkeeping burden imposed on manufacturers of </w:t>
      </w:r>
      <w:r w:rsidR="00F127EF">
        <w:t>the products and equipment that would be</w:t>
      </w:r>
      <w:r>
        <w:t xml:space="preserve"> subject to the amended certification reporting requirements </w:t>
      </w:r>
      <w:r w:rsidR="00404E99">
        <w:t>as a result of</w:t>
      </w:r>
      <w:r w:rsidR="00404E99">
        <w:t xml:space="preserve"> this proposed</w:t>
      </w:r>
      <w:r w:rsidR="00E30DCF">
        <w:t xml:space="preserve"> revision</w:t>
      </w:r>
      <w:r>
        <w:t>.</w:t>
      </w:r>
      <w:r w:rsidR="006C0F47">
        <w:t xml:space="preserve"> </w:t>
      </w:r>
      <w:r>
        <w:t xml:space="preserve">These estimates </w:t>
      </w:r>
      <w:r>
        <w:t>take into account</w:t>
      </w:r>
      <w:r>
        <w:t xml:space="preserve"> the time necessary to develop any additional testing documentation, maintain any additional documentation supporting the development of the certified rating for each basic model, complete any additional certification, and submit any additional required documents to DOE electronically.</w:t>
      </w:r>
    </w:p>
    <w:p w:rsidR="009550A0" w:rsidRPr="006E48F3" w:rsidP="009550A0" w14:paraId="540E2A15" w14:textId="3C43DC84">
      <w:pPr>
        <w:pStyle w:val="BodyText"/>
      </w:pPr>
      <w:r w:rsidRPr="006E48F3">
        <w:t xml:space="preserve">DOE has tentatively determined that these proposed </w:t>
      </w:r>
      <w:r w:rsidRPr="006E48F3" w:rsidR="00E30DCF">
        <w:t>revision</w:t>
      </w:r>
      <w:r w:rsidRPr="006E48F3">
        <w:t>s would not impose additional costs for manufacturers of</w:t>
      </w:r>
      <w:r w:rsidRPr="006E48F3" w:rsidR="006E48F3">
        <w:t xml:space="preserve"> CAC/HPs, DWs, RCWs, dehumidifiers, EPSs, battery chargers, CRACs, 3-phase ACUACs and ACUHPs with cooling capacity of less than 65,000 Btu/h</w:t>
      </w:r>
      <w:r w:rsidR="007E1B49">
        <w:t xml:space="preserve"> </w:t>
      </w:r>
      <w:r w:rsidRPr="006E48F3" w:rsidR="006E48F3">
        <w:t>three-phase, less than 65,000 Btu/h ACUACs and ACUHPs, 3-phase VRF with cooling capacity of less than 65,000 Btu/h</w:t>
      </w:r>
      <w:r w:rsidR="006E48F3">
        <w:t xml:space="preserve"> </w:t>
      </w:r>
      <w:r w:rsidRPr="006E48F3" w:rsidR="006E48F3">
        <w:t>three-phase, less than 65,000 Btu/h VRF, electric storage CWHs, ACIMs, walk-ins, commercial and industrial pumps, portable ACs, compressors, and SPVUs, and CFLKs</w:t>
      </w:r>
      <w:r w:rsidRPr="006E48F3">
        <w:t xml:space="preserve">, because manufacturers of these products or equipment are already submitting certification reports to DOE and should have readily available the information that DOE is proposing to collect as part of this rulemaking. </w:t>
      </w:r>
      <w:r w:rsidRPr="006E48F3" w:rsidR="006E48F3">
        <w:t>Additionally, for portable ACs, manufacturers may optionally submit certification reports to DOE and the costs associated with certification requirements for portable ACs were already accounted for in the January 2020 Portable ACs ECS Final Rule.</w:t>
      </w:r>
    </w:p>
    <w:p w:rsidR="000368D7" w:rsidP="000368D7" w14:paraId="5D3E2F56" w14:textId="7B5CFC3B">
      <w:r>
        <w:t xml:space="preserve">DOE’s </w:t>
      </w:r>
      <w:r w:rsidRPr="00F91015">
        <w:t>propos</w:t>
      </w:r>
      <w:r>
        <w:t>ed</w:t>
      </w:r>
      <w:r w:rsidRPr="00F91015">
        <w:t xml:space="preserve"> amend</w:t>
      </w:r>
      <w:r>
        <w:t>ments</w:t>
      </w:r>
      <w:r w:rsidRPr="00F91015">
        <w:t xml:space="preserve"> </w:t>
      </w:r>
      <w:r>
        <w:t>w</w:t>
      </w:r>
      <w:r w:rsidRPr="00F91015">
        <w:t xml:space="preserve">ould require new certification reporting for </w:t>
      </w:r>
      <w:r w:rsidR="00F127EF">
        <w:t xml:space="preserve">manufacturers and importers of </w:t>
      </w:r>
      <w:r w:rsidR="00BF0742">
        <w:t>electric pool heaters, commercial electric instantaneous water heaters, dedicated purpose pool pump motors, direct expansion dedicated outdoor air systems, air cleaners, and compressors</w:t>
      </w:r>
      <w:r w:rsidRPr="00F91015">
        <w:t>.</w:t>
      </w:r>
      <w:r w:rsidR="006C0F47">
        <w:t xml:space="preserve"> </w:t>
      </w:r>
      <w:r>
        <w:t xml:space="preserve">DOE estimates there are </w:t>
      </w:r>
      <w:r w:rsidR="00084759">
        <w:t>14</w:t>
      </w:r>
      <w:r>
        <w:t xml:space="preserve"> manufacturers of electric </w:t>
      </w:r>
      <w:r w:rsidR="00084759">
        <w:t>pool heaters, 12 manufacturers of DX-DOAS, nine manufacturers of commercial electric instantaneous water heaters, five manufacturers of DPPPMs, and 43 manufacturers of air cleaners</w:t>
      </w:r>
      <w:r>
        <w:t xml:space="preserve"> that would have to submit annual certification reports to DOE for those products based on the proposed reporting requirements.</w:t>
      </w:r>
      <w:r w:rsidR="006C0F47">
        <w:t xml:space="preserve"> </w:t>
      </w:r>
      <w:r w:rsidRPr="00F418E5">
        <w:t xml:space="preserve">DOE estimated that it will take each respondent approximately </w:t>
      </w:r>
      <w:r>
        <w:t>35</w:t>
      </w:r>
      <w:r w:rsidRPr="00F418E5">
        <w:t xml:space="preserve"> hours total per </w:t>
      </w:r>
      <w:r>
        <w:t>submission,</w:t>
      </w:r>
      <w:r w:rsidRPr="00F418E5">
        <w:t xml:space="preserve"> per year to comply with the certification requirements based on </w:t>
      </w:r>
      <w:r>
        <w:t>20</w:t>
      </w:r>
      <w:r w:rsidRPr="00F418E5">
        <w:t xml:space="preserve"> hours of technician/technical work and </w:t>
      </w:r>
      <w:r>
        <w:t>15</w:t>
      </w:r>
      <w:r w:rsidRPr="00F418E5">
        <w:t xml:space="preserve"> hours clerical work</w:t>
      </w:r>
      <w:r>
        <w:t xml:space="preserve"> to </w:t>
      </w:r>
      <w:r>
        <w:t>actually submit</w:t>
      </w:r>
      <w:r>
        <w:t xml:space="preserve"> the CCMS templates</w:t>
      </w:r>
      <w:r w:rsidRPr="00F418E5">
        <w:t>.</w:t>
      </w:r>
      <w:r w:rsidR="006C0F47">
        <w:t xml:space="preserve"> </w:t>
      </w:r>
      <w:r>
        <w:t xml:space="preserve">For the purposes of estimating burden, DOE assumed that each </w:t>
      </w:r>
      <w:r w:rsidR="00505D15">
        <w:t>manufacturer</w:t>
      </w:r>
      <w:r>
        <w:t xml:space="preserve"> </w:t>
      </w:r>
      <w:r>
        <w:t>will</w:t>
      </w:r>
      <w:r>
        <w:t xml:space="preserve"> submit </w:t>
      </w:r>
      <w:r w:rsidR="00505D15">
        <w:t>a single</w:t>
      </w:r>
      <w:r>
        <w:t xml:space="preserve"> CCMS template during the course of the year, which is encompassed in the 35 hours total per company, per year estimate.</w:t>
      </w:r>
      <w:r w:rsidR="006C0F47">
        <w:t xml:space="preserve"> </w:t>
      </w:r>
    </w:p>
    <w:bookmarkEnd w:id="15"/>
    <w:p w:rsidR="0075381B" w:rsidP="0075381B" w14:paraId="473B7240" w14:textId="0C2E0D69">
      <w:pPr>
        <w:pStyle w:val="BodyText"/>
      </w:pPr>
      <w:r>
        <w:t xml:space="preserve">Table A1 below shows the additional reporting burden that DOE estimated for products affected by the </w:t>
      </w:r>
      <w:r w:rsidR="00DE156C">
        <w:t xml:space="preserve">September 29, </w:t>
      </w:r>
      <w:r w:rsidR="00DE156C">
        <w:t>2023</w:t>
      </w:r>
      <w:r>
        <w:t xml:space="preserve"> proposed rule, as well as the total reporting burden for all other products that are included in the extension of the existing information collection.</w:t>
      </w:r>
    </w:p>
    <w:p w:rsidR="0062543D" w:rsidRPr="00D86344" w:rsidP="0075381B" w14:paraId="5D95BDA0" w14:textId="77777777">
      <w:pPr>
        <w:pStyle w:val="BodyText"/>
      </w:pPr>
    </w:p>
    <w:tbl>
      <w:tblPr>
        <w:tblW w:w="9450" w:type="dxa"/>
        <w:tblLook w:val="04A0"/>
      </w:tblPr>
      <w:tblGrid>
        <w:gridCol w:w="1429"/>
        <w:gridCol w:w="1346"/>
        <w:gridCol w:w="1296"/>
        <w:gridCol w:w="1509"/>
        <w:gridCol w:w="1233"/>
        <w:gridCol w:w="1377"/>
        <w:gridCol w:w="1260"/>
      </w:tblGrid>
      <w:tr w14:paraId="76F7C2E7" w14:textId="77777777" w:rsidTr="00926290">
        <w:tblPrEx>
          <w:tblW w:w="9450" w:type="dxa"/>
          <w:tblLook w:val="04A0"/>
        </w:tblPrEx>
        <w:trPr>
          <w:trHeight w:val="360"/>
        </w:trPr>
        <w:tc>
          <w:tcPr>
            <w:tcW w:w="8190" w:type="dxa"/>
            <w:gridSpan w:val="6"/>
            <w:tcBorders>
              <w:top w:val="nil"/>
              <w:left w:val="nil"/>
              <w:bottom w:val="single" w:sz="4" w:space="0" w:color="auto"/>
              <w:right w:val="nil"/>
            </w:tcBorders>
            <w:shd w:val="clear" w:color="auto" w:fill="auto"/>
            <w:hideMark/>
          </w:tcPr>
          <w:p w:rsidR="006F3C12" w:rsidRPr="006F3C12" w:rsidP="006F3C12" w14:paraId="5A278BC5" w14:textId="74F3C1EA">
            <w:pPr>
              <w:spacing w:after="0" w:line="240" w:lineRule="auto"/>
              <w:jc w:val="center"/>
              <w:rPr>
                <w:rFonts w:ascii="Calibri" w:eastAsia="Times New Roman" w:hAnsi="Calibri" w:cs="Arial"/>
                <w:b/>
                <w:bCs/>
                <w:color w:val="0070C0"/>
                <w:sz w:val="28"/>
                <w:szCs w:val="28"/>
              </w:rPr>
            </w:pPr>
            <w:r w:rsidRPr="006F3C12">
              <w:rPr>
                <w:rFonts w:ascii="Calibri" w:eastAsia="Times New Roman" w:hAnsi="Calibri" w:cs="Arial"/>
                <w:b/>
                <w:bCs/>
                <w:color w:val="0070C0"/>
                <w:sz w:val="28"/>
                <w:szCs w:val="28"/>
              </w:rPr>
              <w:t xml:space="preserve">Table A1. Estimated Respondent </w:t>
            </w:r>
            <w:r w:rsidR="00537A91">
              <w:rPr>
                <w:rFonts w:ascii="Calibri" w:eastAsia="Times New Roman" w:hAnsi="Calibri" w:cs="Arial"/>
                <w:b/>
                <w:bCs/>
                <w:color w:val="0070C0"/>
                <w:sz w:val="28"/>
                <w:szCs w:val="28"/>
              </w:rPr>
              <w:t xml:space="preserve">Hour </w:t>
            </w:r>
            <w:r w:rsidRPr="006F3C12">
              <w:rPr>
                <w:rFonts w:ascii="Calibri" w:eastAsia="Times New Roman" w:hAnsi="Calibri" w:cs="Arial"/>
                <w:b/>
                <w:bCs/>
                <w:color w:val="0070C0"/>
                <w:sz w:val="28"/>
                <w:szCs w:val="28"/>
              </w:rPr>
              <w:t>Burden</w:t>
            </w:r>
            <w:r>
              <w:rPr>
                <w:rStyle w:val="FootnoteReference"/>
                <w:rFonts w:ascii="Calibri" w:eastAsia="Times New Roman" w:hAnsi="Calibri" w:cs="Arial"/>
                <w:b/>
                <w:bCs/>
                <w:color w:val="0070C0"/>
                <w:sz w:val="28"/>
                <w:szCs w:val="28"/>
              </w:rPr>
              <w:footnoteReference w:id="6"/>
            </w:r>
          </w:p>
        </w:tc>
        <w:tc>
          <w:tcPr>
            <w:tcW w:w="1260" w:type="dxa"/>
            <w:tcBorders>
              <w:top w:val="nil"/>
              <w:left w:val="nil"/>
              <w:bottom w:val="nil"/>
              <w:right w:val="nil"/>
            </w:tcBorders>
            <w:shd w:val="clear" w:color="auto" w:fill="auto"/>
            <w:noWrap/>
            <w:vAlign w:val="bottom"/>
            <w:hideMark/>
          </w:tcPr>
          <w:p w:rsidR="006F3C12" w:rsidRPr="006F3C12" w:rsidP="006F3C12" w14:paraId="3A29F70F" w14:textId="77777777">
            <w:pPr>
              <w:spacing w:after="0" w:line="240" w:lineRule="auto"/>
              <w:jc w:val="center"/>
              <w:rPr>
                <w:rFonts w:ascii="Calibri" w:eastAsia="Times New Roman" w:hAnsi="Calibri" w:cs="Arial"/>
                <w:b/>
                <w:bCs/>
                <w:color w:val="0070C0"/>
                <w:sz w:val="28"/>
                <w:szCs w:val="28"/>
              </w:rPr>
            </w:pPr>
          </w:p>
        </w:tc>
      </w:tr>
      <w:tr w14:paraId="00BBD620" w14:textId="77777777" w:rsidTr="00926290">
        <w:tblPrEx>
          <w:tblW w:w="9450" w:type="dxa"/>
          <w:tblLook w:val="04A0"/>
        </w:tblPrEx>
        <w:trPr>
          <w:trHeight w:val="765"/>
        </w:trPr>
        <w:tc>
          <w:tcPr>
            <w:tcW w:w="1429" w:type="dxa"/>
            <w:tcBorders>
              <w:top w:val="nil"/>
              <w:left w:val="single" w:sz="4" w:space="0" w:color="auto"/>
              <w:bottom w:val="single" w:sz="4" w:space="0" w:color="auto"/>
              <w:right w:val="single" w:sz="4" w:space="0" w:color="auto"/>
            </w:tcBorders>
            <w:shd w:val="clear" w:color="auto" w:fill="00B0F0"/>
            <w:vAlign w:val="center"/>
            <w:hideMark/>
          </w:tcPr>
          <w:p w:rsidR="006F3C12" w:rsidRPr="006F3C12" w:rsidP="006F3C12" w14:paraId="19FD0A90" w14:textId="1B12AE66">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Information Collection</w:t>
            </w:r>
          </w:p>
        </w:tc>
        <w:tc>
          <w:tcPr>
            <w:tcW w:w="1346" w:type="dxa"/>
            <w:tcBorders>
              <w:top w:val="nil"/>
              <w:left w:val="nil"/>
              <w:bottom w:val="single" w:sz="4" w:space="0" w:color="auto"/>
              <w:right w:val="single" w:sz="4" w:space="0" w:color="auto"/>
            </w:tcBorders>
            <w:shd w:val="clear" w:color="auto" w:fill="00B0F0"/>
            <w:vAlign w:val="center"/>
            <w:hideMark/>
          </w:tcPr>
          <w:p w:rsidR="006F3C12" w:rsidRPr="006F3C12" w:rsidP="006F3C12" w14:paraId="1B8AE67E"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1296" w:type="dxa"/>
            <w:tcBorders>
              <w:top w:val="nil"/>
              <w:left w:val="nil"/>
              <w:bottom w:val="single" w:sz="4" w:space="0" w:color="auto"/>
              <w:right w:val="single" w:sz="4" w:space="0" w:color="auto"/>
            </w:tcBorders>
            <w:shd w:val="clear" w:color="auto" w:fill="00B0F0"/>
            <w:vAlign w:val="center"/>
            <w:hideMark/>
          </w:tcPr>
          <w:p w:rsidR="006F3C12" w:rsidRPr="006F3C12" w:rsidP="002F1CF8" w14:paraId="3AB941BF"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Number of Respondents</w:t>
            </w:r>
          </w:p>
        </w:tc>
        <w:tc>
          <w:tcPr>
            <w:tcW w:w="1509" w:type="dxa"/>
            <w:tcBorders>
              <w:top w:val="nil"/>
              <w:left w:val="nil"/>
              <w:bottom w:val="single" w:sz="4" w:space="0" w:color="auto"/>
              <w:right w:val="single" w:sz="4" w:space="0" w:color="auto"/>
            </w:tcBorders>
            <w:shd w:val="clear" w:color="auto" w:fill="00B0F0"/>
            <w:vAlign w:val="center"/>
            <w:hideMark/>
          </w:tcPr>
          <w:p w:rsidR="006F3C12" w:rsidRPr="006F3C12" w:rsidP="002F1CF8" w14:paraId="701C0B49"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Number of Responses</w:t>
            </w:r>
          </w:p>
        </w:tc>
        <w:tc>
          <w:tcPr>
            <w:tcW w:w="1233" w:type="dxa"/>
            <w:tcBorders>
              <w:top w:val="nil"/>
              <w:left w:val="nil"/>
              <w:bottom w:val="single" w:sz="4" w:space="0" w:color="auto"/>
              <w:right w:val="single" w:sz="4" w:space="0" w:color="auto"/>
            </w:tcBorders>
            <w:shd w:val="clear" w:color="auto" w:fill="00B0F0"/>
            <w:vAlign w:val="center"/>
            <w:hideMark/>
          </w:tcPr>
          <w:p w:rsidR="006F3C12" w:rsidRPr="006F3C12" w:rsidP="002F1CF8" w14:paraId="7EE9D39F"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Burden Hours Per Response</w:t>
            </w:r>
          </w:p>
        </w:tc>
        <w:tc>
          <w:tcPr>
            <w:tcW w:w="1377" w:type="dxa"/>
            <w:tcBorders>
              <w:top w:val="nil"/>
              <w:left w:val="nil"/>
              <w:bottom w:val="single" w:sz="4" w:space="0" w:color="auto"/>
              <w:right w:val="single" w:sz="4" w:space="0" w:color="auto"/>
            </w:tcBorders>
            <w:shd w:val="clear" w:color="auto" w:fill="00B0F0"/>
            <w:vAlign w:val="center"/>
            <w:hideMark/>
          </w:tcPr>
          <w:p w:rsidR="006F3C12" w:rsidRPr="006F3C12" w:rsidP="002F1CF8" w14:paraId="6B686E60"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Burden Hours</w:t>
            </w:r>
          </w:p>
        </w:tc>
        <w:tc>
          <w:tcPr>
            <w:tcW w:w="1260" w:type="dxa"/>
            <w:tcBorders>
              <w:top w:val="single" w:sz="4" w:space="0" w:color="auto"/>
              <w:left w:val="nil"/>
              <w:bottom w:val="single" w:sz="4" w:space="0" w:color="auto"/>
              <w:right w:val="single" w:sz="4" w:space="0" w:color="auto"/>
            </w:tcBorders>
            <w:shd w:val="clear" w:color="auto" w:fill="00B0F0"/>
            <w:vAlign w:val="center"/>
            <w:hideMark/>
          </w:tcPr>
          <w:p w:rsidR="006F3C12" w:rsidRPr="006F3C12" w:rsidP="002F1CF8" w14:paraId="205F3D35"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Reporting Frequency</w:t>
            </w:r>
          </w:p>
        </w:tc>
      </w:tr>
      <w:tr w14:paraId="79234C96" w14:textId="77777777" w:rsidTr="00926290">
        <w:tblPrEx>
          <w:tblW w:w="9450" w:type="dxa"/>
          <w:tblLook w:val="04A0"/>
        </w:tblPrEx>
        <w:trPr>
          <w:trHeight w:val="255"/>
        </w:trPr>
        <w:tc>
          <w:tcPr>
            <w:tcW w:w="1429" w:type="dxa"/>
            <w:tcBorders>
              <w:top w:val="nil"/>
              <w:left w:val="single" w:sz="4" w:space="0" w:color="auto"/>
              <w:bottom w:val="single" w:sz="4" w:space="0" w:color="auto"/>
              <w:right w:val="single" w:sz="4" w:space="0" w:color="auto"/>
            </w:tcBorders>
            <w:shd w:val="clear" w:color="auto" w:fill="auto"/>
            <w:vAlign w:val="center"/>
            <w:hideMark/>
          </w:tcPr>
          <w:p w:rsidR="006F3C12" w:rsidRPr="006F3C12" w:rsidP="0057784D" w14:paraId="4112421F" w14:textId="3C1AC046">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DOE F 220.</w:t>
            </w:r>
            <w:r w:rsidR="00344FE7">
              <w:rPr>
                <w:rFonts w:ascii="Calibri" w:eastAsia="Times New Roman" w:hAnsi="Calibri" w:cs="Arial"/>
                <w:color w:val="000000"/>
                <w:sz w:val="20"/>
                <w:szCs w:val="20"/>
              </w:rPr>
              <w:t>13</w:t>
            </w:r>
            <w:r w:rsidR="00DE156C">
              <w:rPr>
                <w:rFonts w:ascii="Calibri" w:eastAsia="Times New Roman" w:hAnsi="Calibri" w:cs="Arial"/>
                <w:color w:val="000000"/>
                <w:sz w:val="20"/>
                <w:szCs w:val="20"/>
              </w:rPr>
              <w:t xml:space="preserve"> (new)</w:t>
            </w:r>
          </w:p>
        </w:tc>
        <w:tc>
          <w:tcPr>
            <w:tcW w:w="1346" w:type="dxa"/>
            <w:tcBorders>
              <w:top w:val="nil"/>
              <w:left w:val="nil"/>
              <w:bottom w:val="single" w:sz="4" w:space="0" w:color="auto"/>
              <w:right w:val="single" w:sz="4" w:space="0" w:color="auto"/>
            </w:tcBorders>
            <w:shd w:val="clear" w:color="auto" w:fill="auto"/>
            <w:noWrap/>
            <w:vAlign w:val="center"/>
            <w:hideMark/>
          </w:tcPr>
          <w:p w:rsidR="006F3C12" w:rsidRPr="006F3C12" w:rsidP="0057784D" w14:paraId="747F7773" w14:textId="5AE2CB41">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Manufacturer</w:t>
            </w:r>
          </w:p>
        </w:tc>
        <w:tc>
          <w:tcPr>
            <w:tcW w:w="1296" w:type="dxa"/>
            <w:tcBorders>
              <w:top w:val="nil"/>
              <w:left w:val="nil"/>
              <w:bottom w:val="single" w:sz="4" w:space="0" w:color="auto"/>
              <w:right w:val="single" w:sz="4" w:space="0" w:color="auto"/>
            </w:tcBorders>
            <w:shd w:val="clear" w:color="auto" w:fill="auto"/>
            <w:noWrap/>
            <w:vAlign w:val="center"/>
          </w:tcPr>
          <w:p w:rsidR="006F3C12" w:rsidRPr="006F3C12" w:rsidP="0057784D" w14:paraId="59167A6D" w14:textId="7C8F6BB3">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w:t>
            </w:r>
            <w:r w:rsidR="00084759">
              <w:rPr>
                <w:rFonts w:ascii="Calibri" w:eastAsia="Times New Roman" w:hAnsi="Calibri" w:cs="Arial"/>
                <w:color w:val="000000"/>
                <w:sz w:val="20"/>
                <w:szCs w:val="20"/>
              </w:rPr>
              <w:t>4</w:t>
            </w:r>
          </w:p>
        </w:tc>
        <w:tc>
          <w:tcPr>
            <w:tcW w:w="1509" w:type="dxa"/>
            <w:tcBorders>
              <w:top w:val="nil"/>
              <w:left w:val="nil"/>
              <w:bottom w:val="single" w:sz="4" w:space="0" w:color="auto"/>
              <w:right w:val="single" w:sz="4" w:space="0" w:color="auto"/>
            </w:tcBorders>
            <w:shd w:val="clear" w:color="auto" w:fill="E2A5AC"/>
            <w:noWrap/>
            <w:vAlign w:val="center"/>
          </w:tcPr>
          <w:p w:rsidR="006F3C12" w:rsidRPr="006F3C12" w:rsidP="0057784D" w14:paraId="4E6386FB" w14:textId="1AC3C44C">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w:t>
            </w:r>
            <w:r w:rsidR="00FE464A">
              <w:rPr>
                <w:rFonts w:ascii="Calibri" w:eastAsia="Times New Roman" w:hAnsi="Calibri" w:cs="Arial"/>
                <w:color w:val="000000"/>
                <w:sz w:val="20"/>
                <w:szCs w:val="20"/>
              </w:rPr>
              <w:t>4</w:t>
            </w:r>
          </w:p>
        </w:tc>
        <w:tc>
          <w:tcPr>
            <w:tcW w:w="1233" w:type="dxa"/>
            <w:tcBorders>
              <w:top w:val="nil"/>
              <w:left w:val="nil"/>
              <w:bottom w:val="single" w:sz="4" w:space="0" w:color="auto"/>
              <w:right w:val="single" w:sz="4" w:space="0" w:color="auto"/>
            </w:tcBorders>
            <w:shd w:val="clear" w:color="auto" w:fill="auto"/>
            <w:noWrap/>
            <w:vAlign w:val="center"/>
          </w:tcPr>
          <w:p w:rsidR="006F3C12" w:rsidRPr="006F3C12" w:rsidP="0057784D" w14:paraId="5B3E2DCA" w14:textId="3062E602">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35</w:t>
            </w:r>
          </w:p>
        </w:tc>
        <w:tc>
          <w:tcPr>
            <w:tcW w:w="1377" w:type="dxa"/>
            <w:tcBorders>
              <w:top w:val="nil"/>
              <w:left w:val="nil"/>
              <w:bottom w:val="single" w:sz="4" w:space="0" w:color="auto"/>
              <w:right w:val="single" w:sz="4" w:space="0" w:color="auto"/>
            </w:tcBorders>
            <w:shd w:val="clear" w:color="auto" w:fill="E2A5AC"/>
            <w:noWrap/>
            <w:vAlign w:val="center"/>
          </w:tcPr>
          <w:p w:rsidR="006F3C12" w:rsidRPr="006F3C12" w:rsidP="0057784D" w14:paraId="7B6F79B8" w14:textId="65EF5A3A">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490</w:t>
            </w:r>
          </w:p>
        </w:tc>
        <w:tc>
          <w:tcPr>
            <w:tcW w:w="1260" w:type="dxa"/>
            <w:tcBorders>
              <w:top w:val="nil"/>
              <w:left w:val="nil"/>
              <w:bottom w:val="single" w:sz="4" w:space="0" w:color="auto"/>
              <w:right w:val="single" w:sz="4" w:space="0" w:color="auto"/>
            </w:tcBorders>
            <w:shd w:val="clear" w:color="auto" w:fill="auto"/>
            <w:noWrap/>
            <w:vAlign w:val="center"/>
          </w:tcPr>
          <w:p w:rsidR="006F3C12" w:rsidRPr="006F3C12" w:rsidP="0057784D" w14:paraId="7E9D71CA" w14:textId="5FBFED8C">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w:t>
            </w:r>
          </w:p>
        </w:tc>
      </w:tr>
      <w:tr w14:paraId="7432E229" w14:textId="77777777" w:rsidTr="00926290">
        <w:tblPrEx>
          <w:tblW w:w="9450" w:type="dxa"/>
          <w:tblLook w:val="04A0"/>
        </w:tblPrEx>
        <w:trPr>
          <w:trHeight w:val="255"/>
        </w:trPr>
        <w:tc>
          <w:tcPr>
            <w:tcW w:w="1429" w:type="dxa"/>
            <w:tcBorders>
              <w:top w:val="nil"/>
              <w:left w:val="single" w:sz="4" w:space="0" w:color="auto"/>
              <w:bottom w:val="single" w:sz="4" w:space="0" w:color="auto"/>
              <w:right w:val="single" w:sz="4" w:space="0" w:color="auto"/>
            </w:tcBorders>
            <w:shd w:val="clear" w:color="auto" w:fill="auto"/>
            <w:vAlign w:val="center"/>
            <w:hideMark/>
          </w:tcPr>
          <w:p w:rsidR="006F3C12" w:rsidRPr="006F3C12" w:rsidP="0057784D" w14:paraId="5A3E2095" w14:textId="0CD1F7EF">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D</w:t>
            </w:r>
            <w:r w:rsidR="0042735D">
              <w:rPr>
                <w:rFonts w:ascii="Calibri" w:eastAsia="Times New Roman" w:hAnsi="Calibri" w:cs="Arial"/>
                <w:color w:val="000000"/>
                <w:sz w:val="20"/>
                <w:szCs w:val="20"/>
              </w:rPr>
              <w:t>O</w:t>
            </w:r>
            <w:r>
              <w:rPr>
                <w:rFonts w:ascii="Calibri" w:eastAsia="Times New Roman" w:hAnsi="Calibri" w:cs="Arial"/>
                <w:color w:val="000000"/>
                <w:sz w:val="20"/>
                <w:szCs w:val="20"/>
              </w:rPr>
              <w:t>E F 220.</w:t>
            </w:r>
            <w:r w:rsidR="00344FE7">
              <w:rPr>
                <w:rFonts w:ascii="Calibri" w:eastAsia="Times New Roman" w:hAnsi="Calibri" w:cs="Arial"/>
                <w:color w:val="000000"/>
                <w:sz w:val="20"/>
                <w:szCs w:val="20"/>
              </w:rPr>
              <w:t>43</w:t>
            </w:r>
            <w:r w:rsidR="00DE156C">
              <w:rPr>
                <w:rFonts w:ascii="Calibri" w:eastAsia="Times New Roman" w:hAnsi="Calibri" w:cs="Arial"/>
                <w:color w:val="000000"/>
                <w:sz w:val="20"/>
                <w:szCs w:val="20"/>
              </w:rPr>
              <w:t xml:space="preserve"> (new)</w:t>
            </w:r>
          </w:p>
        </w:tc>
        <w:tc>
          <w:tcPr>
            <w:tcW w:w="1346" w:type="dxa"/>
            <w:tcBorders>
              <w:top w:val="nil"/>
              <w:left w:val="nil"/>
              <w:bottom w:val="single" w:sz="4" w:space="0" w:color="auto"/>
              <w:right w:val="single" w:sz="4" w:space="0" w:color="auto"/>
            </w:tcBorders>
            <w:shd w:val="clear" w:color="auto" w:fill="auto"/>
            <w:noWrap/>
            <w:vAlign w:val="center"/>
            <w:hideMark/>
          </w:tcPr>
          <w:p w:rsidR="006F3C12" w:rsidRPr="006F3C12" w:rsidP="0057784D" w14:paraId="1C74EB58" w14:textId="47313CDD">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Manufacturer</w:t>
            </w:r>
          </w:p>
        </w:tc>
        <w:tc>
          <w:tcPr>
            <w:tcW w:w="1296" w:type="dxa"/>
            <w:tcBorders>
              <w:top w:val="nil"/>
              <w:left w:val="nil"/>
              <w:bottom w:val="single" w:sz="4" w:space="0" w:color="auto"/>
              <w:right w:val="single" w:sz="4" w:space="0" w:color="auto"/>
            </w:tcBorders>
            <w:shd w:val="clear" w:color="auto" w:fill="auto"/>
            <w:noWrap/>
            <w:vAlign w:val="center"/>
          </w:tcPr>
          <w:p w:rsidR="00344FE7" w:rsidRPr="006F3C12" w:rsidP="0057784D" w14:paraId="4C754212" w14:textId="010A2EA1">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9</w:t>
            </w:r>
          </w:p>
        </w:tc>
        <w:tc>
          <w:tcPr>
            <w:tcW w:w="1509" w:type="dxa"/>
            <w:tcBorders>
              <w:top w:val="nil"/>
              <w:left w:val="nil"/>
              <w:bottom w:val="single" w:sz="4" w:space="0" w:color="auto"/>
              <w:right w:val="single" w:sz="4" w:space="0" w:color="auto"/>
            </w:tcBorders>
            <w:shd w:val="clear" w:color="auto" w:fill="E2A5AC"/>
            <w:noWrap/>
            <w:vAlign w:val="center"/>
          </w:tcPr>
          <w:p w:rsidR="00FE464A" w:rsidRPr="006F3C12" w:rsidP="00FE464A" w14:paraId="497481BB" w14:textId="634E5E7D">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9</w:t>
            </w:r>
          </w:p>
        </w:tc>
        <w:tc>
          <w:tcPr>
            <w:tcW w:w="1233" w:type="dxa"/>
            <w:tcBorders>
              <w:top w:val="nil"/>
              <w:left w:val="nil"/>
              <w:bottom w:val="single" w:sz="4" w:space="0" w:color="auto"/>
              <w:right w:val="single" w:sz="4" w:space="0" w:color="auto"/>
            </w:tcBorders>
            <w:shd w:val="clear" w:color="auto" w:fill="auto"/>
            <w:noWrap/>
            <w:vAlign w:val="center"/>
          </w:tcPr>
          <w:p w:rsidR="006F3C12" w:rsidRPr="006F3C12" w:rsidP="0057784D" w14:paraId="15A1D0EE" w14:textId="7AD754D0">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35</w:t>
            </w:r>
          </w:p>
        </w:tc>
        <w:tc>
          <w:tcPr>
            <w:tcW w:w="1377" w:type="dxa"/>
            <w:tcBorders>
              <w:top w:val="nil"/>
              <w:left w:val="nil"/>
              <w:bottom w:val="single" w:sz="4" w:space="0" w:color="auto"/>
              <w:right w:val="single" w:sz="4" w:space="0" w:color="auto"/>
            </w:tcBorders>
            <w:shd w:val="clear" w:color="auto" w:fill="E2A5AC"/>
            <w:noWrap/>
            <w:vAlign w:val="center"/>
          </w:tcPr>
          <w:p w:rsidR="006F3C12" w:rsidRPr="006F3C12" w:rsidP="0057784D" w14:paraId="7BD906CF" w14:textId="2A655124">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315</w:t>
            </w:r>
          </w:p>
        </w:tc>
        <w:tc>
          <w:tcPr>
            <w:tcW w:w="1260" w:type="dxa"/>
            <w:tcBorders>
              <w:top w:val="nil"/>
              <w:left w:val="nil"/>
              <w:bottom w:val="single" w:sz="4" w:space="0" w:color="auto"/>
              <w:right w:val="single" w:sz="4" w:space="0" w:color="auto"/>
            </w:tcBorders>
            <w:shd w:val="clear" w:color="auto" w:fill="auto"/>
            <w:noWrap/>
            <w:vAlign w:val="center"/>
          </w:tcPr>
          <w:p w:rsidR="006F3C12" w:rsidRPr="006F3C12" w:rsidP="0057784D" w14:paraId="4FE736EC" w14:textId="61090573">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w:t>
            </w:r>
          </w:p>
        </w:tc>
      </w:tr>
      <w:tr w14:paraId="4FFB9D11" w14:textId="77777777" w:rsidTr="00926290">
        <w:tblPrEx>
          <w:tblW w:w="9450" w:type="dxa"/>
          <w:tblLook w:val="04A0"/>
        </w:tblPrEx>
        <w:trPr>
          <w:trHeight w:val="255"/>
        </w:trPr>
        <w:tc>
          <w:tcPr>
            <w:tcW w:w="1429" w:type="dxa"/>
            <w:tcBorders>
              <w:top w:val="nil"/>
              <w:left w:val="single" w:sz="4" w:space="0" w:color="auto"/>
              <w:bottom w:val="single" w:sz="4" w:space="0" w:color="auto"/>
              <w:right w:val="single" w:sz="4" w:space="0" w:color="auto"/>
            </w:tcBorders>
            <w:shd w:val="clear" w:color="auto" w:fill="auto"/>
            <w:vAlign w:val="center"/>
          </w:tcPr>
          <w:p w:rsidR="00344FE7" w:rsidP="00344FE7" w14:paraId="2003571D" w14:textId="6B473F66">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DOE F 220.96</w:t>
            </w:r>
            <w:r w:rsidR="00DE156C">
              <w:rPr>
                <w:rFonts w:ascii="Calibri" w:eastAsia="Times New Roman" w:hAnsi="Calibri" w:cs="Arial"/>
                <w:color w:val="000000"/>
                <w:sz w:val="20"/>
                <w:szCs w:val="20"/>
              </w:rPr>
              <w:t xml:space="preserve"> (new)</w:t>
            </w:r>
          </w:p>
        </w:tc>
        <w:tc>
          <w:tcPr>
            <w:tcW w:w="1346" w:type="dxa"/>
            <w:tcBorders>
              <w:top w:val="nil"/>
              <w:left w:val="nil"/>
              <w:bottom w:val="single" w:sz="4" w:space="0" w:color="auto"/>
              <w:right w:val="single" w:sz="4" w:space="0" w:color="auto"/>
            </w:tcBorders>
            <w:shd w:val="clear" w:color="auto" w:fill="auto"/>
            <w:noWrap/>
            <w:vAlign w:val="center"/>
          </w:tcPr>
          <w:p w:rsidR="00344FE7" w:rsidP="00344FE7" w14:paraId="3B31A98F" w14:textId="3C02D243">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Manufacturer</w:t>
            </w:r>
          </w:p>
        </w:tc>
        <w:tc>
          <w:tcPr>
            <w:tcW w:w="1296" w:type="dxa"/>
            <w:tcBorders>
              <w:top w:val="nil"/>
              <w:left w:val="nil"/>
              <w:bottom w:val="single" w:sz="4" w:space="0" w:color="auto"/>
              <w:right w:val="single" w:sz="4" w:space="0" w:color="auto"/>
            </w:tcBorders>
            <w:shd w:val="clear" w:color="auto" w:fill="auto"/>
            <w:noWrap/>
            <w:vAlign w:val="center"/>
          </w:tcPr>
          <w:p w:rsidR="00344FE7" w:rsidP="00344FE7" w14:paraId="7B42AB5C" w14:textId="43E5F6A4">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12</w:t>
            </w:r>
          </w:p>
        </w:tc>
        <w:tc>
          <w:tcPr>
            <w:tcW w:w="1509" w:type="dxa"/>
            <w:tcBorders>
              <w:top w:val="nil"/>
              <w:left w:val="nil"/>
              <w:bottom w:val="single" w:sz="4" w:space="0" w:color="auto"/>
              <w:right w:val="single" w:sz="4" w:space="0" w:color="auto"/>
            </w:tcBorders>
            <w:shd w:val="clear" w:color="auto" w:fill="E2A5AC"/>
            <w:noWrap/>
            <w:vAlign w:val="center"/>
          </w:tcPr>
          <w:p w:rsidR="00344FE7" w:rsidP="00344FE7" w14:paraId="47B4F583" w14:textId="508BDB2B">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w:t>
            </w:r>
            <w:r w:rsidR="00FE464A">
              <w:rPr>
                <w:rFonts w:ascii="Calibri" w:eastAsia="Times New Roman" w:hAnsi="Calibri" w:cs="Arial"/>
                <w:color w:val="000000"/>
                <w:sz w:val="20"/>
                <w:szCs w:val="20"/>
              </w:rPr>
              <w:t>2</w:t>
            </w:r>
          </w:p>
        </w:tc>
        <w:tc>
          <w:tcPr>
            <w:tcW w:w="1233" w:type="dxa"/>
            <w:tcBorders>
              <w:top w:val="nil"/>
              <w:left w:val="nil"/>
              <w:bottom w:val="single" w:sz="4" w:space="0" w:color="auto"/>
              <w:right w:val="single" w:sz="4" w:space="0" w:color="auto"/>
            </w:tcBorders>
            <w:shd w:val="clear" w:color="auto" w:fill="auto"/>
            <w:noWrap/>
            <w:vAlign w:val="center"/>
          </w:tcPr>
          <w:p w:rsidR="00344FE7" w:rsidP="00344FE7" w14:paraId="043B7DA2" w14:textId="224AB154">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35</w:t>
            </w:r>
          </w:p>
        </w:tc>
        <w:tc>
          <w:tcPr>
            <w:tcW w:w="1377" w:type="dxa"/>
            <w:tcBorders>
              <w:top w:val="nil"/>
              <w:left w:val="nil"/>
              <w:bottom w:val="single" w:sz="4" w:space="0" w:color="auto"/>
              <w:right w:val="single" w:sz="4" w:space="0" w:color="auto"/>
            </w:tcBorders>
            <w:shd w:val="clear" w:color="auto" w:fill="E2A5AC"/>
            <w:noWrap/>
            <w:vAlign w:val="center"/>
          </w:tcPr>
          <w:p w:rsidR="00344FE7" w:rsidP="00344FE7" w14:paraId="794F578F" w14:textId="0BE6A567">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420</w:t>
            </w:r>
          </w:p>
        </w:tc>
        <w:tc>
          <w:tcPr>
            <w:tcW w:w="1260" w:type="dxa"/>
            <w:tcBorders>
              <w:top w:val="nil"/>
              <w:left w:val="nil"/>
              <w:bottom w:val="single" w:sz="4" w:space="0" w:color="auto"/>
              <w:right w:val="single" w:sz="4" w:space="0" w:color="auto"/>
            </w:tcBorders>
            <w:shd w:val="clear" w:color="auto" w:fill="auto"/>
            <w:noWrap/>
            <w:vAlign w:val="center"/>
          </w:tcPr>
          <w:p w:rsidR="00344FE7" w:rsidP="00344FE7" w14:paraId="73DF137D" w14:textId="3222F4B4">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w:t>
            </w:r>
          </w:p>
        </w:tc>
      </w:tr>
      <w:tr w14:paraId="1289F4DB" w14:textId="77777777" w:rsidTr="00926290">
        <w:tblPrEx>
          <w:tblW w:w="9450" w:type="dxa"/>
          <w:tblLook w:val="04A0"/>
        </w:tblPrEx>
        <w:trPr>
          <w:trHeight w:val="255"/>
        </w:trPr>
        <w:tc>
          <w:tcPr>
            <w:tcW w:w="1429" w:type="dxa"/>
            <w:tcBorders>
              <w:top w:val="nil"/>
              <w:left w:val="single" w:sz="4" w:space="0" w:color="auto"/>
              <w:bottom w:val="single" w:sz="4" w:space="0" w:color="auto"/>
              <w:right w:val="single" w:sz="4" w:space="0" w:color="auto"/>
            </w:tcBorders>
            <w:shd w:val="clear" w:color="auto" w:fill="auto"/>
            <w:vAlign w:val="center"/>
          </w:tcPr>
          <w:p w:rsidR="00344FE7" w:rsidP="00344FE7" w14:paraId="727E61BE" w14:textId="4D23E342">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DOE F 220.97</w:t>
            </w:r>
            <w:r w:rsidR="00DE156C">
              <w:rPr>
                <w:rFonts w:ascii="Calibri" w:eastAsia="Times New Roman" w:hAnsi="Calibri" w:cs="Arial"/>
                <w:color w:val="000000"/>
                <w:sz w:val="20"/>
                <w:szCs w:val="20"/>
              </w:rPr>
              <w:t xml:space="preserve"> (new)</w:t>
            </w:r>
          </w:p>
        </w:tc>
        <w:tc>
          <w:tcPr>
            <w:tcW w:w="1346" w:type="dxa"/>
            <w:tcBorders>
              <w:top w:val="nil"/>
              <w:left w:val="nil"/>
              <w:bottom w:val="single" w:sz="4" w:space="0" w:color="auto"/>
              <w:right w:val="single" w:sz="4" w:space="0" w:color="auto"/>
            </w:tcBorders>
            <w:shd w:val="clear" w:color="auto" w:fill="auto"/>
            <w:noWrap/>
            <w:vAlign w:val="center"/>
          </w:tcPr>
          <w:p w:rsidR="00344FE7" w:rsidP="00344FE7" w14:paraId="7578A9EF" w14:textId="53493260">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Manufacturer</w:t>
            </w:r>
          </w:p>
        </w:tc>
        <w:tc>
          <w:tcPr>
            <w:tcW w:w="1296" w:type="dxa"/>
            <w:tcBorders>
              <w:top w:val="nil"/>
              <w:left w:val="nil"/>
              <w:bottom w:val="single" w:sz="4" w:space="0" w:color="auto"/>
              <w:right w:val="single" w:sz="4" w:space="0" w:color="auto"/>
            </w:tcBorders>
            <w:shd w:val="clear" w:color="auto" w:fill="auto"/>
            <w:noWrap/>
            <w:vAlign w:val="center"/>
          </w:tcPr>
          <w:p w:rsidR="00344FE7" w:rsidP="00344FE7" w14:paraId="311C3607" w14:textId="35C1945A">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5</w:t>
            </w:r>
          </w:p>
        </w:tc>
        <w:tc>
          <w:tcPr>
            <w:tcW w:w="1509" w:type="dxa"/>
            <w:tcBorders>
              <w:top w:val="nil"/>
              <w:left w:val="nil"/>
              <w:bottom w:val="single" w:sz="4" w:space="0" w:color="auto"/>
              <w:right w:val="single" w:sz="4" w:space="0" w:color="auto"/>
            </w:tcBorders>
            <w:shd w:val="clear" w:color="auto" w:fill="E2A5AC"/>
            <w:noWrap/>
            <w:vAlign w:val="center"/>
          </w:tcPr>
          <w:p w:rsidR="00344FE7" w:rsidP="00344FE7" w14:paraId="22517C4B" w14:textId="2063E0D5">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5</w:t>
            </w:r>
          </w:p>
        </w:tc>
        <w:tc>
          <w:tcPr>
            <w:tcW w:w="1233" w:type="dxa"/>
            <w:tcBorders>
              <w:top w:val="nil"/>
              <w:left w:val="nil"/>
              <w:bottom w:val="single" w:sz="4" w:space="0" w:color="auto"/>
              <w:right w:val="single" w:sz="4" w:space="0" w:color="auto"/>
            </w:tcBorders>
            <w:shd w:val="clear" w:color="auto" w:fill="auto"/>
            <w:noWrap/>
            <w:vAlign w:val="center"/>
          </w:tcPr>
          <w:p w:rsidR="00344FE7" w:rsidP="00344FE7" w14:paraId="2B1A033E" w14:textId="58925184">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35</w:t>
            </w:r>
          </w:p>
        </w:tc>
        <w:tc>
          <w:tcPr>
            <w:tcW w:w="1377" w:type="dxa"/>
            <w:tcBorders>
              <w:top w:val="nil"/>
              <w:left w:val="nil"/>
              <w:bottom w:val="single" w:sz="4" w:space="0" w:color="auto"/>
              <w:right w:val="single" w:sz="4" w:space="0" w:color="auto"/>
            </w:tcBorders>
            <w:shd w:val="clear" w:color="auto" w:fill="E2A5AC"/>
            <w:noWrap/>
            <w:vAlign w:val="center"/>
          </w:tcPr>
          <w:p w:rsidR="00344FE7" w:rsidP="00344FE7" w14:paraId="1FFB2BA1" w14:textId="2A64134C">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175</w:t>
            </w:r>
          </w:p>
        </w:tc>
        <w:tc>
          <w:tcPr>
            <w:tcW w:w="1260" w:type="dxa"/>
            <w:tcBorders>
              <w:top w:val="nil"/>
              <w:left w:val="nil"/>
              <w:bottom w:val="single" w:sz="4" w:space="0" w:color="auto"/>
              <w:right w:val="single" w:sz="4" w:space="0" w:color="auto"/>
            </w:tcBorders>
            <w:shd w:val="clear" w:color="auto" w:fill="auto"/>
            <w:noWrap/>
            <w:vAlign w:val="center"/>
          </w:tcPr>
          <w:p w:rsidR="00344FE7" w:rsidP="00344FE7" w14:paraId="01C58B9F" w14:textId="021274C3">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w:t>
            </w:r>
          </w:p>
        </w:tc>
      </w:tr>
      <w:tr w14:paraId="32CCCF76" w14:textId="77777777" w:rsidTr="00926290">
        <w:tblPrEx>
          <w:tblW w:w="9450" w:type="dxa"/>
          <w:tblLook w:val="04A0"/>
        </w:tblPrEx>
        <w:trPr>
          <w:trHeight w:val="255"/>
        </w:trPr>
        <w:tc>
          <w:tcPr>
            <w:tcW w:w="1429" w:type="dxa"/>
            <w:tcBorders>
              <w:top w:val="nil"/>
              <w:left w:val="single" w:sz="4" w:space="0" w:color="auto"/>
              <w:bottom w:val="single" w:sz="4" w:space="0" w:color="auto"/>
              <w:right w:val="single" w:sz="4" w:space="0" w:color="auto"/>
            </w:tcBorders>
            <w:shd w:val="clear" w:color="auto" w:fill="auto"/>
            <w:vAlign w:val="center"/>
          </w:tcPr>
          <w:p w:rsidR="00344FE7" w:rsidP="00344FE7" w14:paraId="42B9FFC7" w14:textId="75E255C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DOE F 220.100</w:t>
            </w:r>
            <w:r w:rsidR="00DE156C">
              <w:rPr>
                <w:rFonts w:ascii="Calibri" w:eastAsia="Times New Roman" w:hAnsi="Calibri" w:cs="Arial"/>
                <w:color w:val="000000"/>
                <w:sz w:val="20"/>
                <w:szCs w:val="20"/>
              </w:rPr>
              <w:t xml:space="preserve"> (new)</w:t>
            </w:r>
          </w:p>
        </w:tc>
        <w:tc>
          <w:tcPr>
            <w:tcW w:w="1346" w:type="dxa"/>
            <w:tcBorders>
              <w:top w:val="nil"/>
              <w:left w:val="nil"/>
              <w:bottom w:val="single" w:sz="4" w:space="0" w:color="auto"/>
              <w:right w:val="single" w:sz="4" w:space="0" w:color="auto"/>
            </w:tcBorders>
            <w:shd w:val="clear" w:color="auto" w:fill="auto"/>
            <w:noWrap/>
            <w:vAlign w:val="center"/>
          </w:tcPr>
          <w:p w:rsidR="00344FE7" w:rsidP="00344FE7" w14:paraId="74963A86" w14:textId="7B9723F6">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Manufacturer</w:t>
            </w:r>
          </w:p>
        </w:tc>
        <w:tc>
          <w:tcPr>
            <w:tcW w:w="1296" w:type="dxa"/>
            <w:tcBorders>
              <w:top w:val="nil"/>
              <w:left w:val="nil"/>
              <w:bottom w:val="single" w:sz="4" w:space="0" w:color="auto"/>
              <w:right w:val="single" w:sz="4" w:space="0" w:color="auto"/>
            </w:tcBorders>
            <w:shd w:val="clear" w:color="auto" w:fill="auto"/>
            <w:noWrap/>
            <w:vAlign w:val="center"/>
          </w:tcPr>
          <w:p w:rsidR="00344FE7" w:rsidP="00344FE7" w14:paraId="42502097" w14:textId="7DB5472E">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43</w:t>
            </w:r>
          </w:p>
        </w:tc>
        <w:tc>
          <w:tcPr>
            <w:tcW w:w="1509" w:type="dxa"/>
            <w:tcBorders>
              <w:top w:val="nil"/>
              <w:left w:val="nil"/>
              <w:bottom w:val="single" w:sz="4" w:space="0" w:color="auto"/>
              <w:right w:val="single" w:sz="4" w:space="0" w:color="auto"/>
            </w:tcBorders>
            <w:shd w:val="clear" w:color="auto" w:fill="E2A5AC"/>
            <w:noWrap/>
            <w:vAlign w:val="center"/>
          </w:tcPr>
          <w:p w:rsidR="00344FE7" w:rsidP="00344FE7" w14:paraId="16FF08B7" w14:textId="32B5078C">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43</w:t>
            </w:r>
          </w:p>
        </w:tc>
        <w:tc>
          <w:tcPr>
            <w:tcW w:w="1233" w:type="dxa"/>
            <w:tcBorders>
              <w:top w:val="nil"/>
              <w:left w:val="nil"/>
              <w:bottom w:val="single" w:sz="4" w:space="0" w:color="auto"/>
              <w:right w:val="single" w:sz="4" w:space="0" w:color="auto"/>
            </w:tcBorders>
            <w:shd w:val="clear" w:color="auto" w:fill="auto"/>
            <w:noWrap/>
            <w:vAlign w:val="center"/>
          </w:tcPr>
          <w:p w:rsidR="00344FE7" w:rsidP="00344FE7" w14:paraId="50FE0F60" w14:textId="544327F3">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35</w:t>
            </w:r>
          </w:p>
        </w:tc>
        <w:tc>
          <w:tcPr>
            <w:tcW w:w="1377" w:type="dxa"/>
            <w:tcBorders>
              <w:top w:val="nil"/>
              <w:left w:val="nil"/>
              <w:bottom w:val="single" w:sz="4" w:space="0" w:color="auto"/>
              <w:right w:val="single" w:sz="4" w:space="0" w:color="auto"/>
            </w:tcBorders>
            <w:shd w:val="clear" w:color="auto" w:fill="E2A5AC"/>
            <w:noWrap/>
            <w:vAlign w:val="center"/>
          </w:tcPr>
          <w:p w:rsidR="00344FE7" w:rsidP="00344FE7" w14:paraId="3DA0A6DF" w14:textId="5C450AE5">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1505</w:t>
            </w:r>
          </w:p>
        </w:tc>
        <w:tc>
          <w:tcPr>
            <w:tcW w:w="1260" w:type="dxa"/>
            <w:tcBorders>
              <w:top w:val="nil"/>
              <w:left w:val="nil"/>
              <w:bottom w:val="single" w:sz="4" w:space="0" w:color="auto"/>
              <w:right w:val="single" w:sz="4" w:space="0" w:color="auto"/>
            </w:tcBorders>
            <w:shd w:val="clear" w:color="auto" w:fill="auto"/>
            <w:noWrap/>
            <w:vAlign w:val="center"/>
          </w:tcPr>
          <w:p w:rsidR="00344FE7" w:rsidP="00344FE7" w14:paraId="572EA069" w14:textId="19160860">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w:t>
            </w:r>
          </w:p>
        </w:tc>
      </w:tr>
      <w:tr w14:paraId="55C5C868" w14:textId="77777777" w:rsidTr="00A35128">
        <w:tblPrEx>
          <w:tblW w:w="9450" w:type="dxa"/>
          <w:tblLook w:val="04A0"/>
        </w:tblPrEx>
        <w:trPr>
          <w:trHeight w:val="255"/>
        </w:trPr>
        <w:tc>
          <w:tcPr>
            <w:tcW w:w="1429" w:type="dxa"/>
            <w:tcBorders>
              <w:top w:val="nil"/>
              <w:left w:val="single" w:sz="4" w:space="0" w:color="auto"/>
              <w:bottom w:val="single" w:sz="4" w:space="0" w:color="auto"/>
              <w:right w:val="single" w:sz="4" w:space="0" w:color="auto"/>
            </w:tcBorders>
            <w:shd w:val="clear" w:color="auto" w:fill="auto"/>
            <w:vAlign w:val="center"/>
          </w:tcPr>
          <w:p w:rsidR="00B94EBC" w:rsidP="00344FE7" w14:paraId="7719BF79" w14:textId="6B7932BA">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Certification of Compliance Federal Standards</w:t>
            </w:r>
          </w:p>
        </w:tc>
        <w:tc>
          <w:tcPr>
            <w:tcW w:w="1346" w:type="dxa"/>
            <w:tcBorders>
              <w:top w:val="nil"/>
              <w:left w:val="nil"/>
              <w:bottom w:val="single" w:sz="4" w:space="0" w:color="auto"/>
              <w:right w:val="single" w:sz="4" w:space="0" w:color="auto"/>
            </w:tcBorders>
            <w:shd w:val="clear" w:color="auto" w:fill="auto"/>
            <w:noWrap/>
            <w:vAlign w:val="center"/>
          </w:tcPr>
          <w:p w:rsidR="00B94EBC" w:rsidP="00344FE7" w14:paraId="31D38F33" w14:textId="2B85883C">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Manufacturer</w:t>
            </w:r>
          </w:p>
        </w:tc>
        <w:tc>
          <w:tcPr>
            <w:tcW w:w="1296" w:type="dxa"/>
            <w:tcBorders>
              <w:top w:val="nil"/>
              <w:left w:val="nil"/>
              <w:bottom w:val="single" w:sz="4" w:space="0" w:color="auto"/>
              <w:right w:val="single" w:sz="4" w:space="0" w:color="auto"/>
            </w:tcBorders>
            <w:shd w:val="clear" w:color="auto" w:fill="auto"/>
            <w:noWrap/>
            <w:vAlign w:val="center"/>
          </w:tcPr>
          <w:p w:rsidR="00B94EBC" w:rsidP="00344FE7" w14:paraId="1C297650" w14:textId="690609AD">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2,000</w:t>
            </w:r>
          </w:p>
        </w:tc>
        <w:tc>
          <w:tcPr>
            <w:tcW w:w="1509" w:type="dxa"/>
            <w:tcBorders>
              <w:top w:val="nil"/>
              <w:left w:val="nil"/>
              <w:bottom w:val="single" w:sz="4" w:space="0" w:color="auto"/>
              <w:right w:val="single" w:sz="4" w:space="0" w:color="auto"/>
            </w:tcBorders>
            <w:shd w:val="clear" w:color="auto" w:fill="E2A5AC"/>
            <w:noWrap/>
            <w:vAlign w:val="center"/>
          </w:tcPr>
          <w:p w:rsidR="00B94EBC" w:rsidP="00344FE7" w14:paraId="7DACAC48" w14:textId="043699F8">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20,000</w:t>
            </w:r>
          </w:p>
        </w:tc>
        <w:tc>
          <w:tcPr>
            <w:tcW w:w="1233" w:type="dxa"/>
            <w:tcBorders>
              <w:top w:val="nil"/>
              <w:left w:val="nil"/>
              <w:bottom w:val="single" w:sz="4" w:space="0" w:color="auto"/>
              <w:right w:val="single" w:sz="4" w:space="0" w:color="auto"/>
            </w:tcBorders>
            <w:shd w:val="clear" w:color="auto" w:fill="auto"/>
            <w:noWrap/>
            <w:vAlign w:val="center"/>
          </w:tcPr>
          <w:p w:rsidR="00B94EBC" w:rsidP="00344FE7" w14:paraId="645A4276" w14:textId="10DE5141">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35</w:t>
            </w:r>
          </w:p>
        </w:tc>
        <w:tc>
          <w:tcPr>
            <w:tcW w:w="1377" w:type="dxa"/>
            <w:tcBorders>
              <w:top w:val="nil"/>
              <w:left w:val="nil"/>
              <w:bottom w:val="single" w:sz="4" w:space="0" w:color="auto"/>
              <w:right w:val="single" w:sz="4" w:space="0" w:color="auto"/>
            </w:tcBorders>
            <w:shd w:val="clear" w:color="auto" w:fill="E2A5AC"/>
            <w:noWrap/>
            <w:vAlign w:val="center"/>
          </w:tcPr>
          <w:p w:rsidR="00B94EBC" w:rsidP="00344FE7" w14:paraId="75B48FE4" w14:textId="06D44A14">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700,000</w:t>
            </w:r>
          </w:p>
        </w:tc>
        <w:tc>
          <w:tcPr>
            <w:tcW w:w="1260" w:type="dxa"/>
            <w:tcBorders>
              <w:top w:val="nil"/>
              <w:left w:val="nil"/>
              <w:bottom w:val="single" w:sz="4" w:space="0" w:color="auto"/>
              <w:right w:val="single" w:sz="4" w:space="0" w:color="auto"/>
            </w:tcBorders>
            <w:shd w:val="clear" w:color="auto" w:fill="auto"/>
            <w:noWrap/>
            <w:vAlign w:val="center"/>
          </w:tcPr>
          <w:p w:rsidR="00B94EBC" w:rsidP="00344FE7" w14:paraId="2B0114AA" w14:textId="0E846FA5">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10</w:t>
            </w:r>
          </w:p>
        </w:tc>
      </w:tr>
      <w:tr w14:paraId="52D795D5" w14:textId="77777777" w:rsidTr="00A35128">
        <w:tblPrEx>
          <w:tblW w:w="9450" w:type="dxa"/>
          <w:tblLook w:val="04A0"/>
        </w:tblPrEx>
        <w:trPr>
          <w:trHeight w:val="255"/>
        </w:trPr>
        <w:tc>
          <w:tcPr>
            <w:tcW w:w="1429" w:type="dxa"/>
            <w:tcBorders>
              <w:top w:val="nil"/>
              <w:left w:val="single" w:sz="4" w:space="0" w:color="auto"/>
              <w:bottom w:val="single" w:sz="4" w:space="0" w:color="auto"/>
              <w:right w:val="single" w:sz="4" w:space="0" w:color="auto"/>
            </w:tcBorders>
            <w:shd w:val="clear" w:color="auto" w:fill="auto"/>
            <w:vAlign w:val="center"/>
          </w:tcPr>
          <w:p w:rsidR="00B94EBC" w:rsidP="00344FE7" w14:paraId="6E857E9D" w14:textId="266F20F0">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Supplemental Testing Instructions (STI)</w:t>
            </w:r>
          </w:p>
        </w:tc>
        <w:tc>
          <w:tcPr>
            <w:tcW w:w="1346" w:type="dxa"/>
            <w:tcBorders>
              <w:top w:val="nil"/>
              <w:left w:val="nil"/>
              <w:bottom w:val="single" w:sz="4" w:space="0" w:color="auto"/>
              <w:right w:val="single" w:sz="4" w:space="0" w:color="auto"/>
            </w:tcBorders>
            <w:shd w:val="clear" w:color="auto" w:fill="auto"/>
            <w:noWrap/>
            <w:vAlign w:val="center"/>
          </w:tcPr>
          <w:p w:rsidR="00B94EBC" w:rsidP="00344FE7" w14:paraId="12573CC2" w14:textId="69CDFA06">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Manufacturer</w:t>
            </w:r>
          </w:p>
        </w:tc>
        <w:tc>
          <w:tcPr>
            <w:tcW w:w="1296" w:type="dxa"/>
            <w:tcBorders>
              <w:top w:val="nil"/>
              <w:left w:val="nil"/>
              <w:bottom w:val="single" w:sz="4" w:space="0" w:color="auto"/>
              <w:right w:val="single" w:sz="4" w:space="0" w:color="auto"/>
            </w:tcBorders>
            <w:shd w:val="clear" w:color="auto" w:fill="auto"/>
            <w:noWrap/>
            <w:vAlign w:val="center"/>
          </w:tcPr>
          <w:p w:rsidR="00B94EBC" w:rsidP="00926290" w14:paraId="37C28B5C" w14:textId="678B14A9">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100  (</w:t>
            </w:r>
            <w:r>
              <w:rPr>
                <w:rFonts w:ascii="Calibri" w:eastAsia="Times New Roman" w:hAnsi="Calibri" w:cs="Arial"/>
                <w:color w:val="000000"/>
                <w:sz w:val="20"/>
                <w:szCs w:val="20"/>
              </w:rPr>
              <w:t>part of 2000 above)</w:t>
            </w:r>
          </w:p>
        </w:tc>
        <w:tc>
          <w:tcPr>
            <w:tcW w:w="1509" w:type="dxa"/>
            <w:tcBorders>
              <w:top w:val="nil"/>
              <w:left w:val="nil"/>
              <w:bottom w:val="single" w:sz="4" w:space="0" w:color="auto"/>
              <w:right w:val="single" w:sz="4" w:space="0" w:color="auto"/>
            </w:tcBorders>
            <w:shd w:val="clear" w:color="auto" w:fill="E2A5AC"/>
            <w:noWrap/>
            <w:vAlign w:val="center"/>
          </w:tcPr>
          <w:p w:rsidR="00B94EBC" w:rsidP="00344FE7" w14:paraId="3D691AB2" w14:textId="183A145B">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3,000</w:t>
            </w:r>
          </w:p>
        </w:tc>
        <w:tc>
          <w:tcPr>
            <w:tcW w:w="1233" w:type="dxa"/>
            <w:tcBorders>
              <w:top w:val="nil"/>
              <w:left w:val="nil"/>
              <w:bottom w:val="single" w:sz="4" w:space="0" w:color="auto"/>
              <w:right w:val="single" w:sz="4" w:space="0" w:color="auto"/>
            </w:tcBorders>
            <w:shd w:val="clear" w:color="auto" w:fill="auto"/>
            <w:noWrap/>
            <w:vAlign w:val="center"/>
          </w:tcPr>
          <w:p w:rsidR="00B94EBC" w:rsidP="00344FE7" w14:paraId="0431E314" w14:textId="258080AF">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16</w:t>
            </w:r>
          </w:p>
        </w:tc>
        <w:tc>
          <w:tcPr>
            <w:tcW w:w="1377" w:type="dxa"/>
            <w:tcBorders>
              <w:top w:val="nil"/>
              <w:left w:val="nil"/>
              <w:bottom w:val="single" w:sz="4" w:space="0" w:color="auto"/>
              <w:right w:val="single" w:sz="4" w:space="0" w:color="auto"/>
            </w:tcBorders>
            <w:shd w:val="clear" w:color="auto" w:fill="E2A5AC"/>
            <w:noWrap/>
            <w:vAlign w:val="center"/>
          </w:tcPr>
          <w:p w:rsidR="00B94EBC" w:rsidP="00344FE7" w14:paraId="08E12387" w14:textId="07A28CB1">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48,000</w:t>
            </w:r>
          </w:p>
        </w:tc>
        <w:tc>
          <w:tcPr>
            <w:tcW w:w="1260" w:type="dxa"/>
            <w:tcBorders>
              <w:top w:val="nil"/>
              <w:left w:val="nil"/>
              <w:bottom w:val="single" w:sz="4" w:space="0" w:color="auto"/>
              <w:right w:val="single" w:sz="4" w:space="0" w:color="auto"/>
            </w:tcBorders>
            <w:shd w:val="clear" w:color="auto" w:fill="auto"/>
            <w:noWrap/>
            <w:vAlign w:val="center"/>
          </w:tcPr>
          <w:p w:rsidR="00B94EBC" w:rsidP="00344FE7" w14:paraId="401C9A6E" w14:textId="72A95A86">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30</w:t>
            </w:r>
          </w:p>
        </w:tc>
      </w:tr>
      <w:tr w14:paraId="3B1DDE08" w14:textId="77777777" w:rsidTr="00A35128">
        <w:tblPrEx>
          <w:tblW w:w="9450" w:type="dxa"/>
          <w:tblLook w:val="04A0"/>
        </w:tblPrEx>
        <w:trPr>
          <w:trHeight w:val="255"/>
        </w:trPr>
        <w:tc>
          <w:tcPr>
            <w:tcW w:w="1429" w:type="dxa"/>
            <w:tcBorders>
              <w:top w:val="nil"/>
              <w:left w:val="single" w:sz="4" w:space="0" w:color="auto"/>
              <w:bottom w:val="single" w:sz="4" w:space="0" w:color="auto"/>
              <w:right w:val="single" w:sz="4" w:space="0" w:color="auto"/>
            </w:tcBorders>
            <w:shd w:val="clear" w:color="auto" w:fill="auto"/>
            <w:vAlign w:val="center"/>
          </w:tcPr>
          <w:p w:rsidR="00B94EBC" w:rsidP="00344FE7" w14:paraId="699A087C" w14:textId="5BEE580A">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 xml:space="preserve">Test Procedure (TP) Waiver </w:t>
            </w:r>
          </w:p>
        </w:tc>
        <w:tc>
          <w:tcPr>
            <w:tcW w:w="1346" w:type="dxa"/>
            <w:tcBorders>
              <w:top w:val="nil"/>
              <w:left w:val="nil"/>
              <w:bottom w:val="single" w:sz="4" w:space="0" w:color="auto"/>
              <w:right w:val="single" w:sz="4" w:space="0" w:color="auto"/>
            </w:tcBorders>
            <w:shd w:val="clear" w:color="auto" w:fill="auto"/>
            <w:noWrap/>
            <w:vAlign w:val="center"/>
          </w:tcPr>
          <w:p w:rsidR="00B94EBC" w:rsidP="00344FE7" w14:paraId="55447A67" w14:textId="24DFDFFD">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Manufacturer</w:t>
            </w:r>
          </w:p>
        </w:tc>
        <w:tc>
          <w:tcPr>
            <w:tcW w:w="1296" w:type="dxa"/>
            <w:tcBorders>
              <w:top w:val="nil"/>
              <w:left w:val="nil"/>
              <w:bottom w:val="single" w:sz="4" w:space="0" w:color="auto"/>
              <w:right w:val="single" w:sz="4" w:space="0" w:color="auto"/>
            </w:tcBorders>
            <w:shd w:val="clear" w:color="auto" w:fill="auto"/>
            <w:noWrap/>
            <w:vAlign w:val="center"/>
          </w:tcPr>
          <w:p w:rsidR="00B94EBC" w:rsidP="00344FE7" w14:paraId="3F1896D6" w14:textId="00F3C86F">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25 (part of 2000 above)</w:t>
            </w:r>
          </w:p>
        </w:tc>
        <w:tc>
          <w:tcPr>
            <w:tcW w:w="1509" w:type="dxa"/>
            <w:tcBorders>
              <w:top w:val="nil"/>
              <w:left w:val="nil"/>
              <w:bottom w:val="single" w:sz="4" w:space="0" w:color="auto"/>
              <w:right w:val="single" w:sz="4" w:space="0" w:color="auto"/>
            </w:tcBorders>
            <w:shd w:val="clear" w:color="auto" w:fill="E2A5AC"/>
            <w:noWrap/>
            <w:vAlign w:val="center"/>
          </w:tcPr>
          <w:p w:rsidR="00B94EBC" w:rsidP="00344FE7" w14:paraId="2D5F6C48" w14:textId="6D79B039">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50</w:t>
            </w:r>
          </w:p>
        </w:tc>
        <w:tc>
          <w:tcPr>
            <w:tcW w:w="1233" w:type="dxa"/>
            <w:tcBorders>
              <w:top w:val="nil"/>
              <w:left w:val="nil"/>
              <w:bottom w:val="single" w:sz="4" w:space="0" w:color="auto"/>
              <w:right w:val="single" w:sz="4" w:space="0" w:color="auto"/>
            </w:tcBorders>
            <w:shd w:val="clear" w:color="auto" w:fill="auto"/>
            <w:noWrap/>
            <w:vAlign w:val="center"/>
          </w:tcPr>
          <w:p w:rsidR="00B94EBC" w:rsidP="00344FE7" w14:paraId="40C9C625" w14:textId="790907A0">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160</w:t>
            </w:r>
          </w:p>
        </w:tc>
        <w:tc>
          <w:tcPr>
            <w:tcW w:w="1377" w:type="dxa"/>
            <w:tcBorders>
              <w:top w:val="nil"/>
              <w:left w:val="nil"/>
              <w:bottom w:val="single" w:sz="4" w:space="0" w:color="auto"/>
              <w:right w:val="single" w:sz="4" w:space="0" w:color="auto"/>
            </w:tcBorders>
            <w:shd w:val="clear" w:color="auto" w:fill="E2A5AC"/>
            <w:noWrap/>
            <w:vAlign w:val="center"/>
          </w:tcPr>
          <w:p w:rsidR="00B94EBC" w:rsidP="00344FE7" w14:paraId="17C357EE" w14:textId="3C16588E">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8,000</w:t>
            </w:r>
          </w:p>
        </w:tc>
        <w:tc>
          <w:tcPr>
            <w:tcW w:w="1260" w:type="dxa"/>
            <w:tcBorders>
              <w:top w:val="nil"/>
              <w:left w:val="nil"/>
              <w:bottom w:val="single" w:sz="4" w:space="0" w:color="auto"/>
              <w:right w:val="single" w:sz="4" w:space="0" w:color="auto"/>
            </w:tcBorders>
            <w:shd w:val="clear" w:color="auto" w:fill="auto"/>
            <w:noWrap/>
            <w:vAlign w:val="center"/>
          </w:tcPr>
          <w:p w:rsidR="00B94EBC" w:rsidP="00344FE7" w14:paraId="3C10FACF" w14:textId="6B75D9D7">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2</w:t>
            </w:r>
          </w:p>
        </w:tc>
      </w:tr>
      <w:tr w14:paraId="3462A72F" w14:textId="77777777" w:rsidTr="00A35128">
        <w:tblPrEx>
          <w:tblW w:w="9450" w:type="dxa"/>
          <w:tblLook w:val="04A0"/>
        </w:tblPrEx>
        <w:trPr>
          <w:trHeight w:val="255"/>
        </w:trPr>
        <w:tc>
          <w:tcPr>
            <w:tcW w:w="1429" w:type="dxa"/>
            <w:tcBorders>
              <w:top w:val="nil"/>
              <w:left w:val="single" w:sz="4" w:space="0" w:color="auto"/>
              <w:bottom w:val="single" w:sz="4" w:space="0" w:color="auto"/>
              <w:right w:val="single" w:sz="4" w:space="0" w:color="auto"/>
            </w:tcBorders>
            <w:shd w:val="clear" w:color="auto" w:fill="auto"/>
            <w:vAlign w:val="center"/>
          </w:tcPr>
          <w:p w:rsidR="00B94EBC" w:rsidP="00344FE7" w14:paraId="20E35424" w14:textId="46F1B3B4">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 xml:space="preserve">Extension of representation </w:t>
            </w:r>
          </w:p>
        </w:tc>
        <w:tc>
          <w:tcPr>
            <w:tcW w:w="1346" w:type="dxa"/>
            <w:tcBorders>
              <w:top w:val="nil"/>
              <w:left w:val="nil"/>
              <w:bottom w:val="single" w:sz="4" w:space="0" w:color="auto"/>
              <w:right w:val="single" w:sz="4" w:space="0" w:color="auto"/>
            </w:tcBorders>
            <w:shd w:val="clear" w:color="auto" w:fill="auto"/>
            <w:noWrap/>
            <w:vAlign w:val="center"/>
          </w:tcPr>
          <w:p w:rsidR="00B94EBC" w:rsidP="00344FE7" w14:paraId="4C1FB953" w14:textId="10BA3EA9">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Manufacturer</w:t>
            </w:r>
          </w:p>
        </w:tc>
        <w:tc>
          <w:tcPr>
            <w:tcW w:w="1296" w:type="dxa"/>
            <w:tcBorders>
              <w:top w:val="nil"/>
              <w:left w:val="nil"/>
              <w:bottom w:val="single" w:sz="4" w:space="0" w:color="auto"/>
              <w:right w:val="single" w:sz="4" w:space="0" w:color="auto"/>
            </w:tcBorders>
            <w:shd w:val="clear" w:color="auto" w:fill="auto"/>
            <w:noWrap/>
            <w:vAlign w:val="center"/>
          </w:tcPr>
          <w:p w:rsidR="00B94EBC" w:rsidP="00344FE7" w14:paraId="78159398" w14:textId="7B93854D">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25 (part of 2000 above)</w:t>
            </w:r>
          </w:p>
        </w:tc>
        <w:tc>
          <w:tcPr>
            <w:tcW w:w="1509" w:type="dxa"/>
            <w:tcBorders>
              <w:top w:val="nil"/>
              <w:left w:val="nil"/>
              <w:bottom w:val="single" w:sz="4" w:space="0" w:color="auto"/>
              <w:right w:val="single" w:sz="4" w:space="0" w:color="auto"/>
            </w:tcBorders>
            <w:shd w:val="clear" w:color="auto" w:fill="E2A5AC"/>
            <w:noWrap/>
            <w:vAlign w:val="center"/>
          </w:tcPr>
          <w:p w:rsidR="00B94EBC" w:rsidP="00344FE7" w14:paraId="6ECC2461" w14:textId="4C57A1E6">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50</w:t>
            </w:r>
          </w:p>
        </w:tc>
        <w:tc>
          <w:tcPr>
            <w:tcW w:w="1233" w:type="dxa"/>
            <w:tcBorders>
              <w:top w:val="nil"/>
              <w:left w:val="nil"/>
              <w:bottom w:val="single" w:sz="4" w:space="0" w:color="auto"/>
              <w:right w:val="single" w:sz="4" w:space="0" w:color="auto"/>
            </w:tcBorders>
            <w:shd w:val="clear" w:color="auto" w:fill="auto"/>
            <w:noWrap/>
            <w:vAlign w:val="center"/>
          </w:tcPr>
          <w:p w:rsidR="00B94EBC" w:rsidP="00344FE7" w14:paraId="289C8850" w14:textId="6BEEE2C7">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160</w:t>
            </w:r>
          </w:p>
        </w:tc>
        <w:tc>
          <w:tcPr>
            <w:tcW w:w="1377" w:type="dxa"/>
            <w:tcBorders>
              <w:top w:val="nil"/>
              <w:left w:val="nil"/>
              <w:bottom w:val="single" w:sz="4" w:space="0" w:color="auto"/>
              <w:right w:val="single" w:sz="4" w:space="0" w:color="auto"/>
            </w:tcBorders>
            <w:shd w:val="clear" w:color="auto" w:fill="E2A5AC"/>
            <w:noWrap/>
            <w:vAlign w:val="center"/>
          </w:tcPr>
          <w:p w:rsidR="00B94EBC" w:rsidP="00344FE7" w14:paraId="18262E45" w14:textId="75F03FDE">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8,000</w:t>
            </w:r>
          </w:p>
        </w:tc>
        <w:tc>
          <w:tcPr>
            <w:tcW w:w="1260" w:type="dxa"/>
            <w:tcBorders>
              <w:top w:val="nil"/>
              <w:left w:val="nil"/>
              <w:bottom w:val="single" w:sz="4" w:space="0" w:color="auto"/>
              <w:right w:val="single" w:sz="4" w:space="0" w:color="auto"/>
            </w:tcBorders>
            <w:shd w:val="clear" w:color="auto" w:fill="auto"/>
            <w:noWrap/>
            <w:vAlign w:val="center"/>
          </w:tcPr>
          <w:p w:rsidR="00B94EBC" w:rsidP="00344FE7" w14:paraId="0BC9D24E" w14:textId="764014B1">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2</w:t>
            </w:r>
          </w:p>
        </w:tc>
      </w:tr>
      <w:tr w14:paraId="1FB2E7F1" w14:textId="77777777" w:rsidTr="00A35128">
        <w:tblPrEx>
          <w:tblW w:w="9450" w:type="dxa"/>
          <w:tblLook w:val="04A0"/>
        </w:tblPrEx>
        <w:trPr>
          <w:trHeight w:val="255"/>
        </w:trPr>
        <w:tc>
          <w:tcPr>
            <w:tcW w:w="1429" w:type="dxa"/>
            <w:tcBorders>
              <w:top w:val="nil"/>
              <w:left w:val="single" w:sz="4" w:space="0" w:color="auto"/>
              <w:bottom w:val="single" w:sz="4" w:space="0" w:color="auto"/>
              <w:right w:val="single" w:sz="4" w:space="0" w:color="auto"/>
            </w:tcBorders>
            <w:shd w:val="clear" w:color="auto" w:fill="auto"/>
            <w:vAlign w:val="center"/>
          </w:tcPr>
          <w:p w:rsidR="00803609" w:rsidP="00344FE7" w14:paraId="6CCCF34A" w14:textId="334C74A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Labeling</w:t>
            </w:r>
          </w:p>
        </w:tc>
        <w:tc>
          <w:tcPr>
            <w:tcW w:w="1346" w:type="dxa"/>
            <w:tcBorders>
              <w:top w:val="nil"/>
              <w:left w:val="nil"/>
              <w:bottom w:val="single" w:sz="4" w:space="0" w:color="auto"/>
              <w:right w:val="single" w:sz="4" w:space="0" w:color="auto"/>
            </w:tcBorders>
            <w:shd w:val="clear" w:color="auto" w:fill="auto"/>
            <w:noWrap/>
            <w:vAlign w:val="center"/>
          </w:tcPr>
          <w:p w:rsidR="00803609" w:rsidP="00344FE7" w14:paraId="0D9E5A31" w14:textId="76154EC0">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Manufacturer</w:t>
            </w:r>
          </w:p>
        </w:tc>
        <w:tc>
          <w:tcPr>
            <w:tcW w:w="1296" w:type="dxa"/>
            <w:tcBorders>
              <w:top w:val="nil"/>
              <w:left w:val="nil"/>
              <w:bottom w:val="single" w:sz="4" w:space="0" w:color="auto"/>
              <w:right w:val="single" w:sz="4" w:space="0" w:color="auto"/>
            </w:tcBorders>
            <w:shd w:val="clear" w:color="auto" w:fill="auto"/>
            <w:noWrap/>
            <w:vAlign w:val="center"/>
          </w:tcPr>
          <w:p w:rsidR="00803609" w:rsidP="00344FE7" w14:paraId="0EF6CA78" w14:textId="6AB1827A">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205 (part of 2000 above)</w:t>
            </w:r>
          </w:p>
        </w:tc>
        <w:tc>
          <w:tcPr>
            <w:tcW w:w="1509" w:type="dxa"/>
            <w:tcBorders>
              <w:top w:val="nil"/>
              <w:left w:val="nil"/>
              <w:bottom w:val="single" w:sz="4" w:space="0" w:color="auto"/>
              <w:right w:val="single" w:sz="4" w:space="0" w:color="auto"/>
            </w:tcBorders>
            <w:shd w:val="clear" w:color="auto" w:fill="E2A5AC"/>
            <w:noWrap/>
            <w:vAlign w:val="center"/>
          </w:tcPr>
          <w:p w:rsidR="00803609" w:rsidP="00344FE7" w14:paraId="2CC207B4" w14:textId="3DBD6DC6">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9,06</w:t>
            </w:r>
            <w:r w:rsidR="00A35128">
              <w:rPr>
                <w:rFonts w:ascii="Calibri" w:eastAsia="Times New Roman" w:hAnsi="Calibri" w:cs="Arial"/>
                <w:color w:val="000000"/>
                <w:sz w:val="20"/>
                <w:szCs w:val="20"/>
              </w:rPr>
              <w:t>0</w:t>
            </w:r>
          </w:p>
        </w:tc>
        <w:tc>
          <w:tcPr>
            <w:tcW w:w="1233" w:type="dxa"/>
            <w:tcBorders>
              <w:top w:val="nil"/>
              <w:left w:val="nil"/>
              <w:bottom w:val="single" w:sz="4" w:space="0" w:color="auto"/>
              <w:right w:val="single" w:sz="4" w:space="0" w:color="auto"/>
            </w:tcBorders>
            <w:shd w:val="clear" w:color="auto" w:fill="auto"/>
            <w:noWrap/>
            <w:vAlign w:val="center"/>
          </w:tcPr>
          <w:p w:rsidR="00803609" w:rsidP="00344FE7" w14:paraId="2AAE6161" w14:textId="30247DCC">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w:t>
            </w:r>
          </w:p>
        </w:tc>
        <w:tc>
          <w:tcPr>
            <w:tcW w:w="1377" w:type="dxa"/>
            <w:tcBorders>
              <w:top w:val="nil"/>
              <w:left w:val="nil"/>
              <w:bottom w:val="single" w:sz="4" w:space="0" w:color="auto"/>
              <w:right w:val="single" w:sz="4" w:space="0" w:color="auto"/>
            </w:tcBorders>
            <w:shd w:val="clear" w:color="auto" w:fill="E2A5AC"/>
            <w:noWrap/>
            <w:vAlign w:val="center"/>
          </w:tcPr>
          <w:p w:rsidR="00803609" w:rsidP="00344FE7" w14:paraId="7EDA89AC" w14:textId="272924FD">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9,06</w:t>
            </w:r>
            <w:r w:rsidR="00A35128">
              <w:rPr>
                <w:rFonts w:ascii="Calibri" w:eastAsia="Times New Roman" w:hAnsi="Calibri" w:cs="Arial"/>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tcPr>
          <w:p w:rsidR="00803609" w:rsidP="00344FE7" w14:paraId="20E0779C" w14:textId="35608C5F">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44.2</w:t>
            </w:r>
          </w:p>
        </w:tc>
      </w:tr>
      <w:tr w14:paraId="129D0E47" w14:textId="77777777" w:rsidTr="00926290">
        <w:tblPrEx>
          <w:tblW w:w="9450" w:type="dxa"/>
          <w:tblLook w:val="04A0"/>
        </w:tblPrEx>
        <w:trPr>
          <w:trHeight w:val="255"/>
        </w:trPr>
        <w:tc>
          <w:tcPr>
            <w:tcW w:w="1429" w:type="dxa"/>
            <w:tcBorders>
              <w:top w:val="nil"/>
              <w:left w:val="single" w:sz="4" w:space="0" w:color="auto"/>
              <w:bottom w:val="single" w:sz="4" w:space="0" w:color="auto"/>
              <w:right w:val="single" w:sz="4" w:space="0" w:color="auto"/>
            </w:tcBorders>
            <w:shd w:val="clear" w:color="auto" w:fill="auto"/>
            <w:vAlign w:val="center"/>
            <w:hideMark/>
          </w:tcPr>
          <w:p w:rsidR="00FE464A" w:rsidRPr="006F3C12" w:rsidP="00FE464A" w14:paraId="6E362E1B"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1346" w:type="dxa"/>
            <w:tcBorders>
              <w:top w:val="nil"/>
              <w:left w:val="nil"/>
              <w:bottom w:val="single" w:sz="4" w:space="0" w:color="auto"/>
              <w:right w:val="single" w:sz="4" w:space="0" w:color="auto"/>
            </w:tcBorders>
            <w:shd w:val="clear" w:color="auto" w:fill="333333" w:themeFill="background2"/>
            <w:noWrap/>
            <w:vAlign w:val="center"/>
            <w:hideMark/>
          </w:tcPr>
          <w:p w:rsidR="00FE464A" w:rsidRPr="006F3C12" w:rsidP="00FE464A" w14:paraId="2F93B44D" w14:textId="3DCDD475">
            <w:pPr>
              <w:spacing w:after="0" w:line="240" w:lineRule="auto"/>
              <w:jc w:val="center"/>
              <w:rPr>
                <w:rFonts w:ascii="Calibri" w:eastAsia="Times New Roman" w:hAnsi="Calibri" w:cs="Arial"/>
                <w:b/>
                <w:bCs/>
                <w:color w:val="000000"/>
                <w:sz w:val="20"/>
                <w:szCs w:val="20"/>
              </w:rPr>
            </w:pPr>
          </w:p>
        </w:tc>
        <w:tc>
          <w:tcPr>
            <w:tcW w:w="1296" w:type="dxa"/>
            <w:tcBorders>
              <w:top w:val="nil"/>
              <w:left w:val="nil"/>
              <w:bottom w:val="single" w:sz="4" w:space="0" w:color="auto"/>
              <w:right w:val="single" w:sz="4" w:space="0" w:color="auto"/>
            </w:tcBorders>
            <w:shd w:val="clear" w:color="auto" w:fill="E2A5AC"/>
            <w:noWrap/>
            <w:vAlign w:val="center"/>
            <w:hideMark/>
          </w:tcPr>
          <w:p w:rsidR="00FE464A" w:rsidRPr="006F3C12" w:rsidP="00FE464A" w14:paraId="5078B66D" w14:textId="7435CC4D">
            <w:pPr>
              <w:spacing w:after="0" w:line="240" w:lineRule="auto"/>
              <w:jc w:val="center"/>
              <w:rPr>
                <w:rFonts w:ascii="Calibri" w:eastAsia="Times New Roman" w:hAnsi="Calibri" w:cs="Arial"/>
                <w:b/>
                <w:bCs/>
                <w:color w:val="000000"/>
                <w:sz w:val="20"/>
                <w:szCs w:val="20"/>
              </w:rPr>
            </w:pPr>
            <w:r>
              <w:rPr>
                <w:rFonts w:ascii="Calibri" w:eastAsia="Times New Roman" w:hAnsi="Calibri" w:cs="Arial"/>
                <w:b/>
                <w:bCs/>
                <w:color w:val="000000"/>
                <w:sz w:val="20"/>
                <w:szCs w:val="20"/>
              </w:rPr>
              <w:t>2,083</w:t>
            </w:r>
          </w:p>
        </w:tc>
        <w:tc>
          <w:tcPr>
            <w:tcW w:w="1509" w:type="dxa"/>
            <w:tcBorders>
              <w:top w:val="nil"/>
              <w:left w:val="nil"/>
              <w:bottom w:val="single" w:sz="4" w:space="0" w:color="auto"/>
              <w:right w:val="single" w:sz="4" w:space="0" w:color="auto"/>
            </w:tcBorders>
            <w:shd w:val="clear" w:color="auto" w:fill="E2A5AC"/>
            <w:noWrap/>
            <w:vAlign w:val="center"/>
            <w:hideMark/>
          </w:tcPr>
          <w:p w:rsidR="00FE464A" w:rsidRPr="006F3C12" w:rsidP="00FE464A" w14:paraId="41FB663D" w14:textId="6AE564B1">
            <w:pPr>
              <w:spacing w:after="0" w:line="240" w:lineRule="auto"/>
              <w:jc w:val="center"/>
              <w:rPr>
                <w:rFonts w:ascii="Calibri" w:eastAsia="Times New Roman" w:hAnsi="Calibri" w:cs="Arial"/>
                <w:b/>
                <w:bCs/>
                <w:color w:val="000000"/>
                <w:sz w:val="20"/>
                <w:szCs w:val="20"/>
              </w:rPr>
            </w:pPr>
            <w:r>
              <w:rPr>
                <w:rFonts w:ascii="Calibri" w:eastAsia="Times New Roman" w:hAnsi="Calibri" w:cs="Arial"/>
                <w:b/>
                <w:bCs/>
                <w:color w:val="000000"/>
                <w:sz w:val="20"/>
                <w:szCs w:val="20"/>
              </w:rPr>
              <w:t>3</w:t>
            </w:r>
            <w:r w:rsidR="007B0831">
              <w:rPr>
                <w:rFonts w:ascii="Calibri" w:eastAsia="Times New Roman" w:hAnsi="Calibri" w:cs="Arial"/>
                <w:b/>
                <w:bCs/>
                <w:color w:val="000000"/>
                <w:sz w:val="20"/>
                <w:szCs w:val="20"/>
              </w:rPr>
              <w:t>2,2</w:t>
            </w:r>
            <w:r w:rsidR="00B578A6">
              <w:rPr>
                <w:rFonts w:ascii="Calibri" w:eastAsia="Times New Roman" w:hAnsi="Calibri" w:cs="Arial"/>
                <w:b/>
                <w:bCs/>
                <w:color w:val="000000"/>
                <w:sz w:val="20"/>
                <w:szCs w:val="20"/>
              </w:rPr>
              <w:t>4</w:t>
            </w:r>
            <w:r w:rsidR="00A35128">
              <w:rPr>
                <w:rFonts w:ascii="Calibri" w:eastAsia="Times New Roman" w:hAnsi="Calibri" w:cs="Arial"/>
                <w:b/>
                <w:bCs/>
                <w:color w:val="000000"/>
                <w:sz w:val="20"/>
                <w:szCs w:val="20"/>
              </w:rPr>
              <w:t>3</w:t>
            </w:r>
          </w:p>
        </w:tc>
        <w:tc>
          <w:tcPr>
            <w:tcW w:w="1233" w:type="dxa"/>
            <w:tcBorders>
              <w:top w:val="nil"/>
              <w:left w:val="nil"/>
              <w:bottom w:val="single" w:sz="4" w:space="0" w:color="auto"/>
              <w:right w:val="single" w:sz="4" w:space="0" w:color="auto"/>
            </w:tcBorders>
            <w:shd w:val="clear" w:color="auto" w:fill="333333" w:themeFill="background2"/>
            <w:noWrap/>
            <w:vAlign w:val="center"/>
            <w:hideMark/>
          </w:tcPr>
          <w:p w:rsidR="00FE464A" w:rsidRPr="006F3C12" w:rsidP="00FE464A" w14:paraId="648E088D" w14:textId="34EF6FB7">
            <w:pPr>
              <w:spacing w:after="0" w:line="240" w:lineRule="auto"/>
              <w:jc w:val="center"/>
              <w:rPr>
                <w:rFonts w:ascii="Calibri" w:eastAsia="Times New Roman" w:hAnsi="Calibri" w:cs="Arial"/>
                <w:b/>
                <w:bCs/>
                <w:color w:val="000000"/>
                <w:sz w:val="20"/>
                <w:szCs w:val="20"/>
              </w:rPr>
            </w:pPr>
          </w:p>
        </w:tc>
        <w:tc>
          <w:tcPr>
            <w:tcW w:w="1377" w:type="dxa"/>
            <w:tcBorders>
              <w:top w:val="nil"/>
              <w:left w:val="nil"/>
              <w:bottom w:val="single" w:sz="4" w:space="0" w:color="auto"/>
              <w:right w:val="single" w:sz="4" w:space="0" w:color="auto"/>
            </w:tcBorders>
            <w:shd w:val="clear" w:color="auto" w:fill="E2A5AC"/>
            <w:noWrap/>
            <w:vAlign w:val="center"/>
            <w:hideMark/>
          </w:tcPr>
          <w:p w:rsidR="00FE464A" w:rsidRPr="006F3C12" w:rsidP="00FE464A" w14:paraId="37EAF39F" w14:textId="7D54CB70">
            <w:pPr>
              <w:spacing w:after="0" w:line="240" w:lineRule="auto"/>
              <w:jc w:val="center"/>
              <w:rPr>
                <w:rFonts w:ascii="Calibri" w:eastAsia="Times New Roman" w:hAnsi="Calibri" w:cs="Arial"/>
                <w:b/>
                <w:bCs/>
                <w:color w:val="000000"/>
                <w:sz w:val="20"/>
                <w:szCs w:val="20"/>
              </w:rPr>
            </w:pPr>
            <w:bookmarkStart w:id="16" w:name="_Hlk169611426"/>
            <w:r>
              <w:rPr>
                <w:rFonts w:ascii="Calibri" w:eastAsia="Times New Roman" w:hAnsi="Calibri" w:cs="Arial"/>
                <w:b/>
                <w:bCs/>
                <w:color w:val="000000"/>
                <w:sz w:val="20"/>
                <w:szCs w:val="20"/>
              </w:rPr>
              <w:t>77</w:t>
            </w:r>
            <w:r w:rsidR="00B578A6">
              <w:rPr>
                <w:rFonts w:ascii="Calibri" w:eastAsia="Times New Roman" w:hAnsi="Calibri" w:cs="Arial"/>
                <w:b/>
                <w:bCs/>
                <w:color w:val="000000"/>
                <w:sz w:val="20"/>
                <w:szCs w:val="20"/>
              </w:rPr>
              <w:t>5,96</w:t>
            </w:r>
            <w:r w:rsidR="00A35128">
              <w:rPr>
                <w:rFonts w:ascii="Calibri" w:eastAsia="Times New Roman" w:hAnsi="Calibri" w:cs="Arial"/>
                <w:b/>
                <w:bCs/>
                <w:color w:val="000000"/>
                <w:sz w:val="20"/>
                <w:szCs w:val="20"/>
              </w:rPr>
              <w:t>5</w:t>
            </w:r>
            <w:bookmarkEnd w:id="16"/>
          </w:p>
        </w:tc>
        <w:tc>
          <w:tcPr>
            <w:tcW w:w="1260" w:type="dxa"/>
            <w:tcBorders>
              <w:top w:val="nil"/>
              <w:left w:val="nil"/>
              <w:bottom w:val="single" w:sz="4" w:space="0" w:color="auto"/>
              <w:right w:val="single" w:sz="4" w:space="0" w:color="auto"/>
            </w:tcBorders>
            <w:shd w:val="clear" w:color="auto" w:fill="333333" w:themeFill="background2"/>
            <w:noWrap/>
            <w:vAlign w:val="center"/>
            <w:hideMark/>
          </w:tcPr>
          <w:p w:rsidR="00FE464A" w:rsidRPr="006F3C12" w:rsidP="00FE464A" w14:paraId="4B90F1E7" w14:textId="609D816A">
            <w:pPr>
              <w:spacing w:after="0" w:line="240" w:lineRule="auto"/>
              <w:jc w:val="center"/>
              <w:rPr>
                <w:rFonts w:ascii="Calibri" w:eastAsia="Times New Roman" w:hAnsi="Calibri" w:cs="Arial"/>
                <w:b/>
                <w:bCs/>
                <w:color w:val="000000"/>
                <w:sz w:val="20"/>
                <w:szCs w:val="20"/>
              </w:rPr>
            </w:pPr>
          </w:p>
        </w:tc>
      </w:tr>
    </w:tbl>
    <w:p w:rsidR="00EF4635" w:rsidP="00EF4635" w14:paraId="0F1DA1AF" w14:textId="77777777"/>
    <w:p w:rsidR="006F3C12" w:rsidP="00244CE3" w14:paraId="50D1E598" w14:textId="77777777">
      <w:pPr>
        <w:pStyle w:val="Heading2"/>
      </w:pPr>
      <w:bookmarkStart w:id="17" w:name="_Toc88047476"/>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 xml:space="preserve">Burden Hours </w:t>
      </w:r>
      <w:bookmarkEnd w:id="17"/>
    </w:p>
    <w:p w:rsidR="00F32088" w:rsidRPr="00FE39BD" w:rsidP="00F32088" w14:paraId="56DA74BE" w14:textId="50DE9E0D">
      <w:r>
        <w:t>DOE updated the estimated wage rate using data provided in comments submitted by</w:t>
      </w:r>
      <w:r w:rsidR="0012219D">
        <w:t xml:space="preserve"> American Lighting Association</w:t>
      </w:r>
      <w:r>
        <w:t xml:space="preserve"> </w:t>
      </w:r>
      <w:r w:rsidR="0012219D">
        <w:t>(</w:t>
      </w:r>
      <w:r>
        <w:t>ALA</w:t>
      </w:r>
      <w:r w:rsidR="0012219D">
        <w:t>)</w:t>
      </w:r>
      <w:r>
        <w:t xml:space="preserve"> </w:t>
      </w:r>
      <w:r w:rsidRPr="00305EB7">
        <w:rPr>
          <w:i/>
          <w:iCs/>
        </w:rPr>
        <w:t>et al</w:t>
      </w:r>
      <w:r>
        <w:t>. in response to the August 2017 Information Collection Extension notice</w:t>
      </w:r>
      <w:r>
        <w:rPr>
          <w:rStyle w:val="FootnoteReference"/>
        </w:rPr>
        <w:footnoteReference w:id="7"/>
      </w:r>
      <w:r>
        <w:t xml:space="preserve"> and </w:t>
      </w:r>
      <w:r>
        <w:t>data from the Bureau of Labor Statistics (BLS) Occupation Employment and Wage Statistics.</w:t>
      </w:r>
      <w:r>
        <w:rPr>
          <w:rStyle w:val="FootnoteReference"/>
        </w:rPr>
        <w:footnoteReference w:id="8"/>
      </w:r>
      <w:r>
        <w:t xml:space="preserve"> In the ALA </w:t>
      </w:r>
      <w:r>
        <w:rPr>
          <w:i/>
          <w:iCs/>
        </w:rPr>
        <w:t>et al.</w:t>
      </w:r>
      <w:r>
        <w:t xml:space="preserve"> comment, </w:t>
      </w:r>
      <w:r w:rsidR="00781D00">
        <w:t>Association of Home Appliance Manufacturers (</w:t>
      </w:r>
      <w:r>
        <w:t>AHAM</w:t>
      </w:r>
      <w:r w:rsidR="00781D00">
        <w:t>)</w:t>
      </w:r>
      <w:r>
        <w:t xml:space="preserve"> and </w:t>
      </w:r>
      <w:r w:rsidR="00781D00">
        <w:t>National Electrical Manufacturers Association (</w:t>
      </w:r>
      <w:r>
        <w:t>NEMA</w:t>
      </w:r>
      <w:r w:rsidR="00781D00">
        <w:t>)</w:t>
      </w:r>
      <w:r>
        <w:t xml:space="preserve"> provided the percentage of total reporting hours by employee type. DOE matched occupation profiles from BLS’s Occupational Employment and Wage Statistics to these employee types provided by AHAM and NEMA. Table A2 displays the BLS occupation profile used for each employee type listed in the ALA </w:t>
      </w:r>
      <w:r>
        <w:rPr>
          <w:i/>
          <w:iCs/>
        </w:rPr>
        <w:t xml:space="preserve">et al. </w:t>
      </w:r>
      <w:r>
        <w:t>comment and the associated BLS mean hour wage for each BLS occupation profile.</w:t>
      </w:r>
    </w:p>
    <w:p w:rsidR="00F32088" w:rsidP="00F32088" w14:paraId="15BD719F" w14:textId="77777777">
      <w:pPr>
        <w:keepNext/>
        <w:keepLines/>
        <w:jc w:val="center"/>
        <w:rPr>
          <w:rFonts w:ascii="Calibri" w:eastAsia="Times New Roman" w:hAnsi="Calibri" w:cs="Arial"/>
          <w:b/>
          <w:bCs/>
          <w:color w:val="0070C0"/>
          <w:sz w:val="28"/>
          <w:szCs w:val="28"/>
        </w:rPr>
      </w:pPr>
      <w:r>
        <w:rPr>
          <w:rFonts w:ascii="Calibri" w:eastAsia="Times New Roman" w:hAnsi="Calibri" w:cs="Arial"/>
          <w:b/>
          <w:bCs/>
          <w:color w:val="0070C0"/>
          <w:sz w:val="28"/>
          <w:szCs w:val="28"/>
        </w:rPr>
        <w:t>Table A2</w:t>
      </w:r>
      <w:r w:rsidRPr="006F3C12">
        <w:rPr>
          <w:rFonts w:ascii="Calibri" w:eastAsia="Times New Roman" w:hAnsi="Calibri" w:cs="Arial"/>
          <w:b/>
          <w:bCs/>
          <w:color w:val="0070C0"/>
          <w:sz w:val="28"/>
          <w:szCs w:val="28"/>
        </w:rPr>
        <w:t xml:space="preserve">. </w:t>
      </w:r>
      <w:r>
        <w:rPr>
          <w:rFonts w:ascii="Calibri" w:eastAsia="Times New Roman" w:hAnsi="Calibri" w:cs="Arial"/>
          <w:b/>
          <w:bCs/>
          <w:color w:val="0070C0"/>
          <w:sz w:val="28"/>
          <w:szCs w:val="28"/>
        </w:rPr>
        <w:t>Employee Type Matched to the BLS Occupation Profile</w:t>
      </w:r>
    </w:p>
    <w:tbl>
      <w:tblPr>
        <w:tblStyle w:val="GridTableLight"/>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1584"/>
        <w:gridCol w:w="4032"/>
        <w:gridCol w:w="1296"/>
      </w:tblGrid>
      <w:tr w14:paraId="710BA903" w14:textId="77777777" w:rsidTr="00FF0B8E">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48" w:type="dxa"/>
            <w:shd w:val="clear" w:color="auto" w:fill="00B0F0"/>
            <w:vAlign w:val="center"/>
          </w:tcPr>
          <w:p w:rsidR="00F32088" w:rsidRPr="00104E79" w:rsidP="00FF0B8E" w14:paraId="1FBC9703" w14:textId="77777777">
            <w:pPr>
              <w:keepNext/>
              <w:keepLines/>
              <w:jc w:val="center"/>
              <w:rPr>
                <w:b/>
                <w:bCs/>
                <w:sz w:val="20"/>
                <w:szCs w:val="20"/>
              </w:rPr>
            </w:pPr>
            <w:r w:rsidRPr="00104E79">
              <w:rPr>
                <w:b/>
                <w:bCs/>
                <w:sz w:val="20"/>
                <w:szCs w:val="20"/>
              </w:rPr>
              <w:t>Employee Type</w:t>
            </w:r>
          </w:p>
          <w:p w:rsidR="00F32088" w:rsidRPr="00104E79" w:rsidP="00FF0B8E" w14:paraId="20FA150D" w14:textId="77777777">
            <w:pPr>
              <w:keepNext/>
              <w:keepLines/>
              <w:jc w:val="center"/>
              <w:rPr>
                <w:b/>
                <w:bCs/>
                <w:sz w:val="20"/>
                <w:szCs w:val="20"/>
              </w:rPr>
            </w:pPr>
            <w:r w:rsidRPr="00104E79">
              <w:rPr>
                <w:b/>
                <w:bCs/>
                <w:sz w:val="20"/>
                <w:szCs w:val="20"/>
              </w:rPr>
              <w:t>(</w:t>
            </w:r>
            <w:r w:rsidRPr="00104E79">
              <w:rPr>
                <w:b/>
                <w:bCs/>
                <w:sz w:val="20"/>
                <w:szCs w:val="20"/>
              </w:rPr>
              <w:t>from</w:t>
            </w:r>
            <w:r w:rsidRPr="00104E79">
              <w:rPr>
                <w:b/>
                <w:bCs/>
                <w:sz w:val="20"/>
                <w:szCs w:val="20"/>
              </w:rPr>
              <w:t xml:space="preserve"> ALA </w:t>
            </w:r>
            <w:r>
              <w:rPr>
                <w:b/>
                <w:bCs/>
                <w:sz w:val="20"/>
                <w:szCs w:val="20"/>
              </w:rPr>
              <w:t>e</w:t>
            </w:r>
            <w:r w:rsidRPr="00104E79">
              <w:rPr>
                <w:b/>
                <w:bCs/>
                <w:i/>
                <w:iCs/>
                <w:sz w:val="20"/>
                <w:szCs w:val="20"/>
              </w:rPr>
              <w:t>t al.</w:t>
            </w:r>
            <w:r w:rsidRPr="00104E79">
              <w:rPr>
                <w:b/>
                <w:bCs/>
                <w:sz w:val="20"/>
                <w:szCs w:val="20"/>
              </w:rPr>
              <w:t>)</w:t>
            </w:r>
          </w:p>
        </w:tc>
        <w:tc>
          <w:tcPr>
            <w:tcW w:w="1584" w:type="dxa"/>
            <w:shd w:val="clear" w:color="auto" w:fill="00B0F0"/>
            <w:vAlign w:val="center"/>
          </w:tcPr>
          <w:p w:rsidR="00F32088" w:rsidRPr="00104E79" w:rsidP="00FF0B8E" w14:paraId="350647B9" w14:textId="77777777">
            <w:pPr>
              <w:keepNext/>
              <w:keepLines/>
              <w:jc w:val="center"/>
              <w:rPr>
                <w:b/>
                <w:bCs/>
                <w:sz w:val="20"/>
                <w:szCs w:val="20"/>
              </w:rPr>
            </w:pPr>
            <w:r>
              <w:rPr>
                <w:b/>
                <w:bCs/>
                <w:sz w:val="20"/>
                <w:szCs w:val="20"/>
              </w:rPr>
              <w:t>BLS Occupation Profile Number</w:t>
            </w:r>
          </w:p>
        </w:tc>
        <w:tc>
          <w:tcPr>
            <w:tcW w:w="4032" w:type="dxa"/>
            <w:shd w:val="clear" w:color="auto" w:fill="00B0F0"/>
            <w:vAlign w:val="center"/>
          </w:tcPr>
          <w:p w:rsidR="00F32088" w:rsidRPr="00104E79" w:rsidP="00FF0B8E" w14:paraId="4CFA604B" w14:textId="77777777">
            <w:pPr>
              <w:keepNext/>
              <w:keepLines/>
              <w:jc w:val="center"/>
              <w:rPr>
                <w:b/>
                <w:bCs/>
                <w:sz w:val="20"/>
                <w:szCs w:val="20"/>
              </w:rPr>
            </w:pPr>
            <w:r>
              <w:rPr>
                <w:b/>
                <w:bCs/>
                <w:sz w:val="20"/>
                <w:szCs w:val="20"/>
              </w:rPr>
              <w:t>BLS Occupation Profile Description</w:t>
            </w:r>
          </w:p>
        </w:tc>
        <w:tc>
          <w:tcPr>
            <w:tcW w:w="1296" w:type="dxa"/>
            <w:shd w:val="clear" w:color="auto" w:fill="00B0F0"/>
            <w:vAlign w:val="center"/>
          </w:tcPr>
          <w:p w:rsidR="00F32088" w:rsidP="00FF0B8E" w14:paraId="3C4D0027" w14:textId="77777777">
            <w:pPr>
              <w:keepNext/>
              <w:keepLines/>
              <w:jc w:val="center"/>
              <w:rPr>
                <w:b/>
                <w:bCs/>
                <w:sz w:val="20"/>
                <w:szCs w:val="20"/>
              </w:rPr>
            </w:pPr>
            <w:r>
              <w:rPr>
                <w:b/>
                <w:bCs/>
                <w:sz w:val="20"/>
                <w:szCs w:val="20"/>
              </w:rPr>
              <w:t>Mean Hourly Wage</w:t>
            </w:r>
          </w:p>
        </w:tc>
      </w:tr>
      <w:tr w14:paraId="31EE7C91" w14:textId="77777777" w:rsidTr="00FF0B8E">
        <w:tblPrEx>
          <w:tblW w:w="9360" w:type="dxa"/>
          <w:tblLook w:val="04A0"/>
        </w:tblPrEx>
        <w:tc>
          <w:tcPr>
            <w:tcW w:w="2448" w:type="dxa"/>
            <w:vAlign w:val="center"/>
          </w:tcPr>
          <w:p w:rsidR="00F32088" w:rsidRPr="00104E79" w:rsidP="00FF0B8E" w14:paraId="675FD7EA" w14:textId="77777777">
            <w:pPr>
              <w:keepNext/>
              <w:keepLines/>
              <w:rPr>
                <w:sz w:val="20"/>
                <w:szCs w:val="20"/>
              </w:rPr>
            </w:pPr>
            <w:r w:rsidRPr="00F034AC">
              <w:t>Product</w:t>
            </w:r>
            <w:r>
              <w:t xml:space="preserve"> </w:t>
            </w:r>
            <w:r w:rsidRPr="00F034AC">
              <w:t>/</w:t>
            </w:r>
            <w:r>
              <w:t xml:space="preserve"> </w:t>
            </w:r>
            <w:r w:rsidRPr="00F034AC">
              <w:t>Compliance</w:t>
            </w:r>
            <w:r>
              <w:t xml:space="preserve"> </w:t>
            </w:r>
            <w:r w:rsidRPr="00F034AC">
              <w:t>/</w:t>
            </w:r>
            <w:r>
              <w:t xml:space="preserve"> </w:t>
            </w:r>
            <w:r w:rsidRPr="00F034AC">
              <w:t>Design Engineer</w:t>
            </w:r>
          </w:p>
        </w:tc>
        <w:tc>
          <w:tcPr>
            <w:tcW w:w="1584" w:type="dxa"/>
            <w:vAlign w:val="center"/>
          </w:tcPr>
          <w:p w:rsidR="00F32088" w:rsidRPr="00104E79" w:rsidP="00FF0B8E" w14:paraId="62EB27B6" w14:textId="77777777">
            <w:pPr>
              <w:keepNext/>
              <w:keepLines/>
              <w:jc w:val="center"/>
              <w:rPr>
                <w:sz w:val="20"/>
                <w:szCs w:val="20"/>
              </w:rPr>
            </w:pPr>
            <w:r w:rsidRPr="00B71283">
              <w:t>17-2141</w:t>
            </w:r>
          </w:p>
        </w:tc>
        <w:tc>
          <w:tcPr>
            <w:tcW w:w="4032" w:type="dxa"/>
            <w:vAlign w:val="center"/>
          </w:tcPr>
          <w:p w:rsidR="00F32088" w:rsidRPr="00104E79" w:rsidP="00FF0B8E" w14:paraId="725F6D0C" w14:textId="77777777">
            <w:pPr>
              <w:keepNext/>
              <w:keepLines/>
              <w:rPr>
                <w:sz w:val="20"/>
                <w:szCs w:val="20"/>
              </w:rPr>
            </w:pPr>
            <w:r w:rsidRPr="009D00C5">
              <w:t>Mechanical Engineers</w:t>
            </w:r>
          </w:p>
        </w:tc>
        <w:tc>
          <w:tcPr>
            <w:tcW w:w="1296" w:type="dxa"/>
            <w:vAlign w:val="center"/>
          </w:tcPr>
          <w:p w:rsidR="00F32088" w:rsidRPr="009D00C5" w:rsidP="00FF0B8E" w14:paraId="51E74FD5" w14:textId="13220916">
            <w:pPr>
              <w:keepNext/>
              <w:keepLines/>
              <w:jc w:val="center"/>
            </w:pPr>
            <w:r w:rsidRPr="00747D9C">
              <w:t>$</w:t>
            </w:r>
            <w:r w:rsidR="00DC3EFC">
              <w:t>50.59</w:t>
            </w:r>
          </w:p>
        </w:tc>
      </w:tr>
      <w:tr w14:paraId="0CA5896D" w14:textId="77777777" w:rsidTr="00FF0B8E">
        <w:tblPrEx>
          <w:tblW w:w="9360" w:type="dxa"/>
          <w:tblLook w:val="04A0"/>
        </w:tblPrEx>
        <w:tc>
          <w:tcPr>
            <w:tcW w:w="2448" w:type="dxa"/>
            <w:vAlign w:val="center"/>
          </w:tcPr>
          <w:p w:rsidR="00F32088" w:rsidRPr="00104E79" w:rsidP="00FF0B8E" w14:paraId="252D8684" w14:textId="77777777">
            <w:pPr>
              <w:keepNext/>
              <w:keepLines/>
              <w:rPr>
                <w:sz w:val="20"/>
                <w:szCs w:val="20"/>
              </w:rPr>
            </w:pPr>
            <w:r w:rsidRPr="00F034AC">
              <w:t>Lab Technician</w:t>
            </w:r>
          </w:p>
        </w:tc>
        <w:tc>
          <w:tcPr>
            <w:tcW w:w="1584" w:type="dxa"/>
            <w:vAlign w:val="center"/>
          </w:tcPr>
          <w:p w:rsidR="00F32088" w:rsidRPr="00104E79" w:rsidP="00FF0B8E" w14:paraId="5E8E4680" w14:textId="77777777">
            <w:pPr>
              <w:keepNext/>
              <w:keepLines/>
              <w:jc w:val="center"/>
              <w:rPr>
                <w:sz w:val="20"/>
                <w:szCs w:val="20"/>
              </w:rPr>
            </w:pPr>
            <w:r w:rsidRPr="00B71283">
              <w:t>17-3027</w:t>
            </w:r>
          </w:p>
        </w:tc>
        <w:tc>
          <w:tcPr>
            <w:tcW w:w="4032" w:type="dxa"/>
            <w:vAlign w:val="center"/>
          </w:tcPr>
          <w:p w:rsidR="00F32088" w:rsidRPr="00104E79" w:rsidP="00FF0B8E" w14:paraId="13338075" w14:textId="77777777">
            <w:pPr>
              <w:keepNext/>
              <w:keepLines/>
              <w:rPr>
                <w:sz w:val="20"/>
                <w:szCs w:val="20"/>
              </w:rPr>
            </w:pPr>
            <w:r w:rsidRPr="009D00C5">
              <w:t>Mechanical Engineering Technologists and Technicians</w:t>
            </w:r>
          </w:p>
        </w:tc>
        <w:tc>
          <w:tcPr>
            <w:tcW w:w="1296" w:type="dxa"/>
            <w:vAlign w:val="center"/>
          </w:tcPr>
          <w:p w:rsidR="00F32088" w:rsidRPr="009D00C5" w:rsidP="00FF0B8E" w14:paraId="39D3C7D2" w14:textId="1BC35062">
            <w:pPr>
              <w:keepNext/>
              <w:keepLines/>
              <w:jc w:val="center"/>
            </w:pPr>
            <w:r w:rsidRPr="00747D9C">
              <w:t>$</w:t>
            </w:r>
            <w:r w:rsidR="00DC3EFC">
              <w:t>32.69</w:t>
            </w:r>
          </w:p>
        </w:tc>
      </w:tr>
      <w:tr w14:paraId="7E71EC28" w14:textId="77777777" w:rsidTr="00FF0B8E">
        <w:tblPrEx>
          <w:tblW w:w="9360" w:type="dxa"/>
          <w:tblLook w:val="04A0"/>
        </w:tblPrEx>
        <w:tc>
          <w:tcPr>
            <w:tcW w:w="2448" w:type="dxa"/>
            <w:vAlign w:val="center"/>
          </w:tcPr>
          <w:p w:rsidR="00F32088" w:rsidRPr="00104E79" w:rsidP="00FF0B8E" w14:paraId="4595CEAC" w14:textId="77777777">
            <w:pPr>
              <w:keepNext/>
              <w:keepLines/>
              <w:rPr>
                <w:sz w:val="20"/>
                <w:szCs w:val="20"/>
              </w:rPr>
            </w:pPr>
            <w:r w:rsidRPr="00F034AC">
              <w:t>Plant / Product Manager</w:t>
            </w:r>
          </w:p>
        </w:tc>
        <w:tc>
          <w:tcPr>
            <w:tcW w:w="1584" w:type="dxa"/>
            <w:vAlign w:val="center"/>
          </w:tcPr>
          <w:p w:rsidR="00F32088" w:rsidRPr="00104E79" w:rsidP="00FF0B8E" w14:paraId="1F267F8B" w14:textId="77777777">
            <w:pPr>
              <w:keepNext/>
              <w:keepLines/>
              <w:jc w:val="center"/>
              <w:rPr>
                <w:sz w:val="20"/>
                <w:szCs w:val="20"/>
              </w:rPr>
            </w:pPr>
            <w:r w:rsidRPr="00B71283">
              <w:t>11-3051</w:t>
            </w:r>
          </w:p>
        </w:tc>
        <w:tc>
          <w:tcPr>
            <w:tcW w:w="4032" w:type="dxa"/>
            <w:vAlign w:val="center"/>
          </w:tcPr>
          <w:p w:rsidR="00F32088" w:rsidRPr="00104E79" w:rsidP="00FF0B8E" w14:paraId="22F7AFEB" w14:textId="77777777">
            <w:pPr>
              <w:keepNext/>
              <w:keepLines/>
              <w:rPr>
                <w:sz w:val="20"/>
                <w:szCs w:val="20"/>
              </w:rPr>
            </w:pPr>
            <w:r w:rsidRPr="009D00C5">
              <w:t>Industrial Production Managers</w:t>
            </w:r>
          </w:p>
        </w:tc>
        <w:tc>
          <w:tcPr>
            <w:tcW w:w="1296" w:type="dxa"/>
            <w:vAlign w:val="center"/>
          </w:tcPr>
          <w:p w:rsidR="00F32088" w:rsidRPr="009D00C5" w:rsidP="00FF0B8E" w14:paraId="13249B99" w14:textId="2EEF8CB4">
            <w:pPr>
              <w:keepNext/>
              <w:keepLines/>
              <w:jc w:val="center"/>
            </w:pPr>
            <w:r w:rsidRPr="00747D9C">
              <w:t>$</w:t>
            </w:r>
            <w:r w:rsidR="00505698">
              <w:t>60.53</w:t>
            </w:r>
          </w:p>
        </w:tc>
      </w:tr>
      <w:tr w14:paraId="526DAA0D" w14:textId="77777777" w:rsidTr="00FF0B8E">
        <w:tblPrEx>
          <w:tblW w:w="9360" w:type="dxa"/>
          <w:tblLook w:val="04A0"/>
        </w:tblPrEx>
        <w:tc>
          <w:tcPr>
            <w:tcW w:w="2448" w:type="dxa"/>
            <w:vAlign w:val="center"/>
          </w:tcPr>
          <w:p w:rsidR="00F32088" w:rsidRPr="00104E79" w:rsidP="00FF0B8E" w14:paraId="737DC7D8" w14:textId="77777777">
            <w:pPr>
              <w:keepNext/>
              <w:keepLines/>
              <w:rPr>
                <w:sz w:val="20"/>
                <w:szCs w:val="20"/>
              </w:rPr>
            </w:pPr>
            <w:r w:rsidRPr="00F034AC">
              <w:t>Data Entry Personnel</w:t>
            </w:r>
          </w:p>
        </w:tc>
        <w:tc>
          <w:tcPr>
            <w:tcW w:w="1584" w:type="dxa"/>
            <w:vAlign w:val="center"/>
          </w:tcPr>
          <w:p w:rsidR="00F32088" w:rsidRPr="00104E79" w:rsidP="00FF0B8E" w14:paraId="3B68997D" w14:textId="77777777">
            <w:pPr>
              <w:keepNext/>
              <w:keepLines/>
              <w:jc w:val="center"/>
              <w:rPr>
                <w:sz w:val="20"/>
                <w:szCs w:val="20"/>
              </w:rPr>
            </w:pPr>
            <w:r w:rsidRPr="00B71283">
              <w:t>43-9021</w:t>
            </w:r>
          </w:p>
        </w:tc>
        <w:tc>
          <w:tcPr>
            <w:tcW w:w="4032" w:type="dxa"/>
            <w:vAlign w:val="center"/>
          </w:tcPr>
          <w:p w:rsidR="00F32088" w:rsidRPr="00104E79" w:rsidP="00FF0B8E" w14:paraId="36D5192B" w14:textId="77777777">
            <w:pPr>
              <w:keepNext/>
              <w:keepLines/>
              <w:rPr>
                <w:sz w:val="20"/>
                <w:szCs w:val="20"/>
              </w:rPr>
            </w:pPr>
            <w:r w:rsidRPr="009D00C5">
              <w:t>Data Entry Keyers</w:t>
            </w:r>
          </w:p>
        </w:tc>
        <w:tc>
          <w:tcPr>
            <w:tcW w:w="1296" w:type="dxa"/>
            <w:vAlign w:val="center"/>
          </w:tcPr>
          <w:p w:rsidR="00F32088" w:rsidRPr="009D00C5" w:rsidP="00FF0B8E" w14:paraId="28334869" w14:textId="36F5ABB5">
            <w:pPr>
              <w:keepNext/>
              <w:keepLines/>
              <w:jc w:val="center"/>
            </w:pPr>
            <w:r w:rsidRPr="00747D9C">
              <w:t>$</w:t>
            </w:r>
            <w:r w:rsidR="00505698">
              <w:t>19.29</w:t>
            </w:r>
          </w:p>
        </w:tc>
      </w:tr>
      <w:tr w14:paraId="27806231" w14:textId="77777777" w:rsidTr="00FF0B8E">
        <w:tblPrEx>
          <w:tblW w:w="9360" w:type="dxa"/>
          <w:tblLook w:val="04A0"/>
        </w:tblPrEx>
        <w:tc>
          <w:tcPr>
            <w:tcW w:w="2448" w:type="dxa"/>
            <w:vAlign w:val="center"/>
          </w:tcPr>
          <w:p w:rsidR="00F32088" w:rsidRPr="00104E79" w:rsidP="00FF0B8E" w14:paraId="5421A09E" w14:textId="77777777">
            <w:pPr>
              <w:keepNext/>
              <w:keepLines/>
              <w:rPr>
                <w:sz w:val="20"/>
                <w:szCs w:val="20"/>
              </w:rPr>
            </w:pPr>
            <w:r w:rsidRPr="00F034AC">
              <w:t>Compliance Officers</w:t>
            </w:r>
          </w:p>
        </w:tc>
        <w:tc>
          <w:tcPr>
            <w:tcW w:w="1584" w:type="dxa"/>
            <w:vAlign w:val="center"/>
          </w:tcPr>
          <w:p w:rsidR="00F32088" w:rsidRPr="00104E79" w:rsidP="00FF0B8E" w14:paraId="291BBCD2" w14:textId="77777777">
            <w:pPr>
              <w:keepNext/>
              <w:keepLines/>
              <w:jc w:val="center"/>
              <w:rPr>
                <w:sz w:val="20"/>
                <w:szCs w:val="20"/>
              </w:rPr>
            </w:pPr>
            <w:r w:rsidRPr="00B71283">
              <w:t>13-1041</w:t>
            </w:r>
          </w:p>
        </w:tc>
        <w:tc>
          <w:tcPr>
            <w:tcW w:w="4032" w:type="dxa"/>
            <w:vAlign w:val="center"/>
          </w:tcPr>
          <w:p w:rsidR="00F32088" w:rsidRPr="00104E79" w:rsidP="00FF0B8E" w14:paraId="28277B97" w14:textId="77777777">
            <w:pPr>
              <w:keepNext/>
              <w:keepLines/>
              <w:rPr>
                <w:sz w:val="20"/>
                <w:szCs w:val="20"/>
              </w:rPr>
            </w:pPr>
            <w:r w:rsidRPr="009D00C5">
              <w:t>Compliance Officers</w:t>
            </w:r>
          </w:p>
        </w:tc>
        <w:tc>
          <w:tcPr>
            <w:tcW w:w="1296" w:type="dxa"/>
            <w:vAlign w:val="center"/>
          </w:tcPr>
          <w:p w:rsidR="00F32088" w:rsidRPr="009D00C5" w:rsidP="00FF0B8E" w14:paraId="0DBD0548" w14:textId="09C92230">
            <w:pPr>
              <w:keepNext/>
              <w:keepLines/>
              <w:jc w:val="center"/>
            </w:pPr>
            <w:r w:rsidRPr="00747D9C">
              <w:t>$</w:t>
            </w:r>
            <w:r w:rsidR="00505698">
              <w:t>38.55</w:t>
            </w:r>
          </w:p>
        </w:tc>
      </w:tr>
      <w:tr w14:paraId="10B467DD" w14:textId="77777777" w:rsidTr="00FF0B8E">
        <w:tblPrEx>
          <w:tblW w:w="9360" w:type="dxa"/>
          <w:tblLook w:val="04A0"/>
        </w:tblPrEx>
        <w:tc>
          <w:tcPr>
            <w:tcW w:w="2448" w:type="dxa"/>
            <w:vAlign w:val="center"/>
          </w:tcPr>
          <w:p w:rsidR="00F32088" w:rsidRPr="00104E79" w:rsidP="00FF0B8E" w14:paraId="0343ACC6" w14:textId="77777777">
            <w:pPr>
              <w:keepNext/>
              <w:keepLines/>
              <w:rPr>
                <w:sz w:val="20"/>
                <w:szCs w:val="20"/>
              </w:rPr>
            </w:pPr>
            <w:r w:rsidRPr="00F034AC">
              <w:t>Regulatory Affairs</w:t>
            </w:r>
          </w:p>
        </w:tc>
        <w:tc>
          <w:tcPr>
            <w:tcW w:w="1584" w:type="dxa"/>
            <w:vAlign w:val="center"/>
          </w:tcPr>
          <w:p w:rsidR="00F32088" w:rsidRPr="00104E79" w:rsidP="00FF0B8E" w14:paraId="5647D988" w14:textId="77777777">
            <w:pPr>
              <w:keepNext/>
              <w:keepLines/>
              <w:jc w:val="center"/>
              <w:rPr>
                <w:sz w:val="20"/>
                <w:szCs w:val="20"/>
              </w:rPr>
            </w:pPr>
            <w:r w:rsidRPr="00B71283">
              <w:t>23-1011</w:t>
            </w:r>
          </w:p>
        </w:tc>
        <w:tc>
          <w:tcPr>
            <w:tcW w:w="4032" w:type="dxa"/>
            <w:vAlign w:val="center"/>
          </w:tcPr>
          <w:p w:rsidR="00F32088" w:rsidRPr="00104E79" w:rsidP="00FF0B8E" w14:paraId="1D7119B1" w14:textId="77777777">
            <w:pPr>
              <w:keepNext/>
              <w:keepLines/>
              <w:rPr>
                <w:sz w:val="20"/>
                <w:szCs w:val="20"/>
              </w:rPr>
            </w:pPr>
            <w:r w:rsidRPr="009D00C5">
              <w:t>Lawyers</w:t>
            </w:r>
          </w:p>
        </w:tc>
        <w:tc>
          <w:tcPr>
            <w:tcW w:w="1296" w:type="dxa"/>
            <w:vAlign w:val="center"/>
          </w:tcPr>
          <w:p w:rsidR="00F32088" w:rsidRPr="009D00C5" w:rsidP="00FF0B8E" w14:paraId="16F35945" w14:textId="04314057">
            <w:pPr>
              <w:keepNext/>
              <w:keepLines/>
              <w:jc w:val="center"/>
            </w:pPr>
            <w:r w:rsidRPr="00747D9C">
              <w:t>$</w:t>
            </w:r>
            <w:r w:rsidR="00505698">
              <w:t>84.84</w:t>
            </w:r>
          </w:p>
        </w:tc>
      </w:tr>
      <w:tr w14:paraId="6A565F2C" w14:textId="77777777" w:rsidTr="00FF0B8E">
        <w:tblPrEx>
          <w:tblW w:w="9360" w:type="dxa"/>
          <w:tblLook w:val="04A0"/>
        </w:tblPrEx>
        <w:tc>
          <w:tcPr>
            <w:tcW w:w="2448" w:type="dxa"/>
            <w:vAlign w:val="center"/>
          </w:tcPr>
          <w:p w:rsidR="00F32088" w:rsidRPr="00104E79" w:rsidP="00FF0B8E" w14:paraId="74013ACF" w14:textId="77777777">
            <w:pPr>
              <w:keepNext/>
              <w:keepLines/>
              <w:rPr>
                <w:sz w:val="20"/>
                <w:szCs w:val="20"/>
              </w:rPr>
            </w:pPr>
            <w:r w:rsidRPr="00F034AC">
              <w:t>Other</w:t>
            </w:r>
          </w:p>
        </w:tc>
        <w:tc>
          <w:tcPr>
            <w:tcW w:w="1584" w:type="dxa"/>
            <w:vAlign w:val="center"/>
          </w:tcPr>
          <w:p w:rsidR="00F32088" w:rsidRPr="00104E79" w:rsidP="00FF0B8E" w14:paraId="6E3A19DF" w14:textId="77777777">
            <w:pPr>
              <w:keepNext/>
              <w:keepLines/>
              <w:jc w:val="center"/>
              <w:rPr>
                <w:sz w:val="20"/>
                <w:szCs w:val="20"/>
              </w:rPr>
            </w:pPr>
            <w:r w:rsidRPr="00B71283">
              <w:t>43-0000</w:t>
            </w:r>
          </w:p>
        </w:tc>
        <w:tc>
          <w:tcPr>
            <w:tcW w:w="4032" w:type="dxa"/>
            <w:vAlign w:val="center"/>
          </w:tcPr>
          <w:p w:rsidR="00F32088" w:rsidRPr="00104E79" w:rsidP="00FF0B8E" w14:paraId="45FF77D2" w14:textId="77777777">
            <w:pPr>
              <w:keepNext/>
              <w:keepLines/>
              <w:rPr>
                <w:sz w:val="20"/>
                <w:szCs w:val="20"/>
              </w:rPr>
            </w:pPr>
            <w:r w:rsidRPr="009D00C5">
              <w:t>Office and Administrative Support Occupations</w:t>
            </w:r>
          </w:p>
        </w:tc>
        <w:tc>
          <w:tcPr>
            <w:tcW w:w="1296" w:type="dxa"/>
            <w:vAlign w:val="center"/>
          </w:tcPr>
          <w:p w:rsidR="00F32088" w:rsidRPr="009D00C5" w:rsidP="00FF0B8E" w14:paraId="74A49E35" w14:textId="707E0638">
            <w:pPr>
              <w:keepNext/>
              <w:keepLines/>
              <w:jc w:val="center"/>
            </w:pPr>
            <w:r w:rsidRPr="00747D9C">
              <w:t>$</w:t>
            </w:r>
            <w:r w:rsidR="00505698">
              <w:t>23.05</w:t>
            </w:r>
          </w:p>
        </w:tc>
      </w:tr>
    </w:tbl>
    <w:p w:rsidR="00F32088" w:rsidP="00F32088" w14:paraId="0E8E0802" w14:textId="77777777"/>
    <w:p w:rsidR="00F32088" w:rsidP="00F32088" w14:paraId="79D5F337" w14:textId="74B2F825">
      <w:r>
        <w:t>Based on the mean hourly wage from the BLS, DOE estimated a blended wage rate of $</w:t>
      </w:r>
      <w:r w:rsidR="009D3249">
        <w:t>44.43</w:t>
      </w:r>
      <w:r>
        <w:t xml:space="preserve"> per hour using the AHAM p</w:t>
      </w:r>
      <w:r w:rsidRPr="0045082D">
        <w:t xml:space="preserve">ercentage of </w:t>
      </w:r>
      <w:r>
        <w:t>t</w:t>
      </w:r>
      <w:r w:rsidRPr="0045082D">
        <w:t xml:space="preserve">otal </w:t>
      </w:r>
      <w:r>
        <w:t>r</w:t>
      </w:r>
      <w:r w:rsidRPr="0045082D">
        <w:t xml:space="preserve">eporting </w:t>
      </w:r>
      <w:r>
        <w:t>h</w:t>
      </w:r>
      <w:r w:rsidRPr="0045082D">
        <w:t>ours</w:t>
      </w:r>
      <w:r>
        <w:t xml:space="preserve"> and $</w:t>
      </w:r>
      <w:r w:rsidR="0092401E">
        <w:t>51.41</w:t>
      </w:r>
      <w:r>
        <w:t xml:space="preserve"> per hour using the NEMA </w:t>
      </w:r>
      <w:r w:rsidRPr="0011318B">
        <w:t>percentage of total reporting hours</w:t>
      </w:r>
      <w:r>
        <w:t xml:space="preserve"> reporting. DOE used the higher NEMA blended wage rate to calculate the estimated reporting burden. DOE also used BLS’s</w:t>
      </w:r>
      <w:r w:rsidRPr="0011318B">
        <w:t xml:space="preserve"> Employer Costs for Employee Compensation</w:t>
      </w:r>
      <w:r>
        <w:rPr>
          <w:rStyle w:val="FootnoteReference"/>
        </w:rPr>
        <w:footnoteReference w:id="9"/>
      </w:r>
      <w:r>
        <w:t xml:space="preserve"> to estimate the fully burdened labor rate of an employee to the employer.</w:t>
      </w:r>
      <w:r w:rsidR="006C0F47">
        <w:t xml:space="preserve"> </w:t>
      </w:r>
      <w:r>
        <w:t xml:space="preserve">Based on data from the </w:t>
      </w:r>
      <w:r w:rsidR="0092401E">
        <w:t>June</w:t>
      </w:r>
      <w:r>
        <w:t xml:space="preserve"> 202</w:t>
      </w:r>
      <w:r w:rsidR="0092401E">
        <w:t>4</w:t>
      </w:r>
      <w:r>
        <w:t xml:space="preserve"> report, BLS estimated that wages and salary account for 70.</w:t>
      </w:r>
      <w:r w:rsidR="0092401E">
        <w:t>3</w:t>
      </w:r>
      <w:r>
        <w:t xml:space="preserve"> percent of an employee’s total compensation for the private industry worker. Therefore, DOE estimated the fully burdened labor rate is $</w:t>
      </w:r>
      <w:r w:rsidR="0092401E">
        <w:t>73</w:t>
      </w:r>
      <w:r>
        <w:t xml:space="preserve"> per hour when rounded to the nearest dollar.</w:t>
      </w:r>
      <w:r>
        <w:rPr>
          <w:rStyle w:val="FootnoteReference"/>
        </w:rPr>
        <w:footnoteReference w:id="10"/>
      </w:r>
    </w:p>
    <w:p w:rsidR="00AC1EBA" w:rsidP="00713B0A" w14:paraId="667126AF" w14:textId="10E6A140">
      <w:r w:rsidRPr="00EF4635">
        <w:t xml:space="preserve">DOE </w:t>
      </w:r>
      <w:r>
        <w:t>used this updated wage estimate to</w:t>
      </w:r>
      <w:r w:rsidRPr="00EF4635">
        <w:t xml:space="preserve"> </w:t>
      </w:r>
      <w:r>
        <w:t xml:space="preserve">calculate </w:t>
      </w:r>
      <w:r w:rsidRPr="00EF4635">
        <w:t xml:space="preserve">the total annual reporting and recordkeeping burden imposed on manufacturers of all consumer products and commercial and </w:t>
      </w:r>
      <w:r>
        <w:t xml:space="preserve">industrial equipment. </w:t>
      </w:r>
      <w:r w:rsidRPr="00EF4635">
        <w:t xml:space="preserve">These estimates </w:t>
      </w:r>
      <w:r w:rsidRPr="00EF4635">
        <w:t>take into account</w:t>
      </w:r>
      <w:r w:rsidRPr="00EF4635">
        <w:t xml:space="preserve"> the time necessary to develop testing documentation, maintain records underlying the certified rating, complete the certification, submit all required documents to DOE electronically, and applying for a test procedure waiver and/or an extension of representation requirements, as needed.</w:t>
      </w:r>
      <w:r w:rsidR="0062543D">
        <w:t xml:space="preserve"> Table A3 below shows the new additional estimated burden associated with </w:t>
      </w:r>
      <w:r w:rsidR="0062543D">
        <w:t xml:space="preserve">products covered by the </w:t>
      </w:r>
      <w:r w:rsidR="003B6FB7">
        <w:t xml:space="preserve">September 23, </w:t>
      </w:r>
      <w:r w:rsidR="003B6FB7">
        <w:t>2023</w:t>
      </w:r>
      <w:r w:rsidR="0062543D">
        <w:t xml:space="preserve"> proposed rule, and the existing estimated cost burden for all other products covered by the existing information collection that DOE has proposed to extend.</w:t>
      </w:r>
    </w:p>
    <w:p w:rsidR="00713B0A" w:rsidRPr="00EF4635" w:rsidP="00500D6E" w14:paraId="2AE84C40" w14:textId="2F108548">
      <w:pPr>
        <w:keepNext/>
        <w:keepLines/>
      </w:pPr>
      <w:r>
        <w:rPr>
          <w:rFonts w:ascii="Calibri" w:eastAsia="Times New Roman" w:hAnsi="Calibri" w:cs="Arial"/>
          <w:b/>
          <w:bCs/>
          <w:color w:val="0070C0"/>
          <w:sz w:val="28"/>
          <w:szCs w:val="28"/>
        </w:rPr>
        <w:t>Table A3</w:t>
      </w:r>
      <w:r w:rsidRPr="006F3C12">
        <w:rPr>
          <w:rFonts w:ascii="Calibri" w:eastAsia="Times New Roman" w:hAnsi="Calibri" w:cs="Arial"/>
          <w:b/>
          <w:bCs/>
          <w:color w:val="0070C0"/>
          <w:sz w:val="28"/>
          <w:szCs w:val="28"/>
        </w:rPr>
        <w:t xml:space="preserve">. </w:t>
      </w:r>
      <w:r>
        <w:rPr>
          <w:rFonts w:ascii="Calibri" w:eastAsia="Times New Roman" w:hAnsi="Calibri" w:cs="Arial"/>
          <w:b/>
          <w:bCs/>
          <w:color w:val="0070C0"/>
          <w:sz w:val="28"/>
          <w:szCs w:val="28"/>
        </w:rPr>
        <w:t xml:space="preserve">Estimated </w:t>
      </w:r>
      <w:r w:rsidR="00305EB7">
        <w:rPr>
          <w:rFonts w:ascii="Calibri" w:eastAsia="Times New Roman" w:hAnsi="Calibri" w:cs="Arial"/>
          <w:b/>
          <w:bCs/>
          <w:color w:val="0070C0"/>
          <w:sz w:val="28"/>
          <w:szCs w:val="28"/>
        </w:rPr>
        <w:t xml:space="preserve">Respondent Cost </w:t>
      </w:r>
      <w:r>
        <w:rPr>
          <w:rFonts w:ascii="Calibri" w:eastAsia="Times New Roman" w:hAnsi="Calibri" w:cs="Arial"/>
          <w:b/>
          <w:bCs/>
          <w:color w:val="0070C0"/>
          <w:sz w:val="28"/>
          <w:szCs w:val="28"/>
        </w:rPr>
        <w:t>Burden</w:t>
      </w:r>
    </w:p>
    <w:tbl>
      <w:tblPr>
        <w:tblW w:w="7432" w:type="dxa"/>
        <w:tblInd w:w="-5" w:type="dxa"/>
        <w:tblLook w:val="04A0"/>
      </w:tblPr>
      <w:tblGrid>
        <w:gridCol w:w="2592"/>
        <w:gridCol w:w="1890"/>
        <w:gridCol w:w="2950"/>
      </w:tblGrid>
      <w:tr w14:paraId="4044CABF" w14:textId="77777777" w:rsidTr="00AC1EBA">
        <w:tblPrEx>
          <w:tblW w:w="7432" w:type="dxa"/>
          <w:tblInd w:w="-5" w:type="dxa"/>
          <w:tblLook w:val="04A0"/>
        </w:tblPrEx>
        <w:trPr>
          <w:trHeight w:val="765"/>
        </w:trPr>
        <w:tc>
          <w:tcPr>
            <w:tcW w:w="2592"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AC1EBA" w:rsidRPr="006F3C12" w:rsidP="00AC1EBA" w14:paraId="0FE6136C" w14:textId="77777777">
            <w:pPr>
              <w:keepNext/>
              <w:keepLines/>
              <w:spacing w:after="0" w:line="240" w:lineRule="auto"/>
              <w:jc w:val="center"/>
              <w:rPr>
                <w:rFonts w:ascii="Calibri" w:eastAsia="Times New Roman" w:hAnsi="Calibri" w:cs="Arial"/>
                <w:b/>
                <w:bCs/>
                <w:sz w:val="20"/>
                <w:szCs w:val="20"/>
              </w:rPr>
            </w:pPr>
            <w:bookmarkStart w:id="18" w:name="_Hlk63168723"/>
            <w:r>
              <w:rPr>
                <w:rFonts w:ascii="Calibri" w:eastAsia="Times New Roman" w:hAnsi="Calibri" w:cs="Arial"/>
                <w:b/>
                <w:bCs/>
                <w:sz w:val="20"/>
                <w:szCs w:val="20"/>
              </w:rPr>
              <w:t>Total Annual Burden Hours</w:t>
            </w:r>
          </w:p>
        </w:tc>
        <w:tc>
          <w:tcPr>
            <w:tcW w:w="1890" w:type="dxa"/>
            <w:tcBorders>
              <w:top w:val="single" w:sz="4" w:space="0" w:color="auto"/>
              <w:left w:val="nil"/>
              <w:bottom w:val="single" w:sz="4" w:space="0" w:color="auto"/>
              <w:right w:val="single" w:sz="4" w:space="0" w:color="auto"/>
            </w:tcBorders>
            <w:shd w:val="clear" w:color="000000" w:fill="00B0F0"/>
            <w:vAlign w:val="center"/>
            <w:hideMark/>
          </w:tcPr>
          <w:p w:rsidR="00AC1EBA" w:rsidRPr="006F3C12" w:rsidP="00500D6E" w14:paraId="0883D1F5" w14:textId="77777777">
            <w:pPr>
              <w:keepNext/>
              <w:keepLines/>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Hourly Wage Rate</w:t>
            </w:r>
          </w:p>
        </w:tc>
        <w:tc>
          <w:tcPr>
            <w:tcW w:w="2950" w:type="dxa"/>
            <w:tcBorders>
              <w:top w:val="single" w:sz="4" w:space="0" w:color="auto"/>
              <w:left w:val="nil"/>
              <w:bottom w:val="single" w:sz="4" w:space="0" w:color="auto"/>
              <w:right w:val="single" w:sz="4" w:space="0" w:color="auto"/>
            </w:tcBorders>
            <w:shd w:val="clear" w:color="000000" w:fill="00B0F0"/>
            <w:vAlign w:val="center"/>
            <w:hideMark/>
          </w:tcPr>
          <w:p w:rsidR="00AC1EBA" w:rsidRPr="006F3C12" w:rsidP="00305EB7" w14:paraId="441A4E90" w14:textId="77777777">
            <w:pPr>
              <w:keepNext/>
              <w:keepLines/>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Respondent Costs</w:t>
            </w:r>
          </w:p>
        </w:tc>
      </w:tr>
      <w:tr w14:paraId="79BB30F3" w14:textId="77777777" w:rsidTr="00AC1EBA">
        <w:tblPrEx>
          <w:tblW w:w="7432" w:type="dxa"/>
          <w:tblInd w:w="-5" w:type="dxa"/>
          <w:tblLook w:val="04A0"/>
        </w:tblPrEx>
        <w:trPr>
          <w:trHeight w:val="255"/>
        </w:trPr>
        <w:tc>
          <w:tcPr>
            <w:tcW w:w="2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EBA" w:rsidRPr="006F3C12" w:rsidP="00AC1EBA" w14:paraId="14F0C0E0" w14:textId="7AC4C6D3">
            <w:pPr>
              <w:keepNext/>
              <w:keepLines/>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2</w:t>
            </w:r>
            <w:r w:rsidR="00084759">
              <w:rPr>
                <w:rFonts w:ascii="Calibri" w:eastAsia="Times New Roman" w:hAnsi="Calibri" w:cs="Arial"/>
                <w:color w:val="000000"/>
                <w:sz w:val="20"/>
                <w:szCs w:val="20"/>
              </w:rPr>
              <w:t>905</w:t>
            </w:r>
            <w:r w:rsidR="0062543D">
              <w:rPr>
                <w:rFonts w:ascii="Calibri" w:eastAsia="Times New Roman" w:hAnsi="Calibri" w:cs="Arial"/>
                <w:color w:val="000000"/>
                <w:sz w:val="20"/>
                <w:szCs w:val="20"/>
              </w:rPr>
              <w:t xml:space="preserve"> (new)</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AC1EBA" w:rsidRPr="006F3C12" w:rsidP="00500D6E" w14:paraId="73241A34" w14:textId="7C42B95F">
            <w:pPr>
              <w:keepNext/>
              <w:keepLines/>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w:t>
            </w:r>
            <w:r w:rsidR="00E1672A">
              <w:rPr>
                <w:rFonts w:ascii="Calibri" w:eastAsia="Times New Roman" w:hAnsi="Calibri" w:cs="Arial"/>
                <w:color w:val="000000"/>
                <w:sz w:val="20"/>
                <w:szCs w:val="20"/>
              </w:rPr>
              <w:t>73</w:t>
            </w:r>
          </w:p>
        </w:tc>
        <w:tc>
          <w:tcPr>
            <w:tcW w:w="2950" w:type="dxa"/>
            <w:tcBorders>
              <w:top w:val="single" w:sz="4" w:space="0" w:color="auto"/>
              <w:left w:val="nil"/>
              <w:bottom w:val="single" w:sz="4" w:space="0" w:color="auto"/>
              <w:right w:val="single" w:sz="4" w:space="0" w:color="auto"/>
            </w:tcBorders>
            <w:shd w:val="clear" w:color="000000" w:fill="E2A5AC"/>
            <w:noWrap/>
            <w:vAlign w:val="center"/>
            <w:hideMark/>
          </w:tcPr>
          <w:p w:rsidR="00AC1EBA" w:rsidRPr="006F3C12" w:rsidP="00305EB7" w14:paraId="4B0E2C02" w14:textId="26CE6F8B">
            <w:pPr>
              <w:keepNext/>
              <w:keepLines/>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w:t>
            </w:r>
            <w:r w:rsidR="00331452">
              <w:rPr>
                <w:rFonts w:ascii="Calibri" w:eastAsia="Times New Roman" w:hAnsi="Calibri" w:cs="Arial"/>
                <w:color w:val="000000"/>
                <w:sz w:val="20"/>
                <w:szCs w:val="20"/>
              </w:rPr>
              <w:t>212,065</w:t>
            </w:r>
          </w:p>
        </w:tc>
      </w:tr>
      <w:tr w14:paraId="1AFBF9DA" w14:textId="77777777" w:rsidTr="00AC1EBA">
        <w:tblPrEx>
          <w:tblW w:w="7432" w:type="dxa"/>
          <w:tblInd w:w="-5" w:type="dxa"/>
          <w:tblLook w:val="04A0"/>
        </w:tblPrEx>
        <w:trPr>
          <w:trHeight w:val="255"/>
        </w:trPr>
        <w:tc>
          <w:tcPr>
            <w:tcW w:w="2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543D" w:rsidP="00AC1EBA" w14:paraId="35816F61" w14:textId="2474B179">
            <w:pPr>
              <w:keepNext/>
              <w:keepLines/>
              <w:spacing w:after="0" w:line="240" w:lineRule="auto"/>
              <w:jc w:val="center"/>
              <w:rPr>
                <w:rFonts w:ascii="Calibri" w:eastAsia="Times New Roman" w:hAnsi="Calibri" w:cs="Arial"/>
                <w:color w:val="000000"/>
                <w:sz w:val="20"/>
                <w:szCs w:val="20"/>
              </w:rPr>
            </w:pPr>
            <w:bookmarkStart w:id="19" w:name="_Hlk169611392"/>
            <w:r>
              <w:rPr>
                <w:rFonts w:ascii="Calibri" w:eastAsia="Times New Roman" w:hAnsi="Calibri" w:cs="Arial"/>
                <w:color w:val="000000"/>
                <w:sz w:val="20"/>
                <w:szCs w:val="20"/>
              </w:rPr>
              <w:t>773</w:t>
            </w:r>
            <w:r w:rsidR="00174352">
              <w:rPr>
                <w:rFonts w:ascii="Calibri" w:eastAsia="Times New Roman" w:hAnsi="Calibri" w:cs="Arial"/>
                <w:color w:val="000000"/>
                <w:sz w:val="20"/>
                <w:szCs w:val="20"/>
              </w:rPr>
              <w:t>,</w:t>
            </w:r>
            <w:r w:rsidR="00B578A6">
              <w:rPr>
                <w:rFonts w:ascii="Calibri" w:eastAsia="Times New Roman" w:hAnsi="Calibri" w:cs="Arial"/>
                <w:color w:val="000000"/>
                <w:sz w:val="20"/>
                <w:szCs w:val="20"/>
              </w:rPr>
              <w:t>06</w:t>
            </w:r>
            <w:r w:rsidR="00A35128">
              <w:rPr>
                <w:rFonts w:ascii="Calibri" w:eastAsia="Times New Roman" w:hAnsi="Calibri" w:cs="Arial"/>
                <w:color w:val="000000"/>
                <w:sz w:val="20"/>
                <w:szCs w:val="20"/>
              </w:rPr>
              <w:t>0</w:t>
            </w:r>
            <w:bookmarkEnd w:id="19"/>
            <w:r>
              <w:rPr>
                <w:rFonts w:ascii="Calibri" w:eastAsia="Times New Roman" w:hAnsi="Calibri" w:cs="Arial"/>
                <w:color w:val="000000"/>
                <w:sz w:val="20"/>
                <w:szCs w:val="20"/>
              </w:rPr>
              <w:t>(existing)</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62543D" w:rsidP="00500D6E" w14:paraId="419AA0A6" w14:textId="5F6000CE">
            <w:pPr>
              <w:keepNext/>
              <w:keepLines/>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w:t>
            </w:r>
            <w:r w:rsidR="00E1672A">
              <w:rPr>
                <w:rFonts w:ascii="Calibri" w:eastAsia="Times New Roman" w:hAnsi="Calibri" w:cs="Arial"/>
                <w:color w:val="000000"/>
                <w:sz w:val="20"/>
                <w:szCs w:val="20"/>
              </w:rPr>
              <w:t>73</w:t>
            </w:r>
          </w:p>
        </w:tc>
        <w:tc>
          <w:tcPr>
            <w:tcW w:w="2950" w:type="dxa"/>
            <w:tcBorders>
              <w:top w:val="single" w:sz="4" w:space="0" w:color="auto"/>
              <w:left w:val="nil"/>
              <w:bottom w:val="single" w:sz="4" w:space="0" w:color="auto"/>
              <w:right w:val="single" w:sz="4" w:space="0" w:color="auto"/>
            </w:tcBorders>
            <w:shd w:val="clear" w:color="000000" w:fill="E2A5AC"/>
            <w:noWrap/>
            <w:vAlign w:val="center"/>
          </w:tcPr>
          <w:p w:rsidR="0062543D" w:rsidP="00305EB7" w14:paraId="6411D3EC" w14:textId="4218F10E">
            <w:pPr>
              <w:keepNext/>
              <w:keepLines/>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w:t>
            </w:r>
            <w:bookmarkStart w:id="20" w:name="_Hlk169611476"/>
            <w:r w:rsidR="006971BD">
              <w:rPr>
                <w:rFonts w:ascii="Calibri" w:eastAsia="Times New Roman" w:hAnsi="Calibri" w:cs="Arial"/>
                <w:color w:val="000000"/>
                <w:sz w:val="20"/>
                <w:szCs w:val="20"/>
              </w:rPr>
              <w:t>56,433,</w:t>
            </w:r>
            <w:r w:rsidR="00A35128">
              <w:rPr>
                <w:rFonts w:ascii="Calibri" w:eastAsia="Times New Roman" w:hAnsi="Calibri" w:cs="Arial"/>
                <w:color w:val="000000"/>
                <w:sz w:val="20"/>
                <w:szCs w:val="20"/>
              </w:rPr>
              <w:t>380</w:t>
            </w:r>
            <w:bookmarkEnd w:id="20"/>
          </w:p>
        </w:tc>
      </w:tr>
      <w:tr w14:paraId="4EB6C8FF" w14:textId="77777777" w:rsidTr="00AC1EBA">
        <w:tblPrEx>
          <w:tblW w:w="7432" w:type="dxa"/>
          <w:tblInd w:w="-5" w:type="dxa"/>
          <w:tblLook w:val="04A0"/>
        </w:tblPrEx>
        <w:trPr>
          <w:trHeight w:val="255"/>
        </w:trPr>
        <w:tc>
          <w:tcPr>
            <w:tcW w:w="2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5AC" w:rsidP="00AC1EBA" w14:paraId="19477DA3" w14:textId="51E470F0">
            <w:pPr>
              <w:keepNext/>
              <w:keepLines/>
              <w:spacing w:after="0" w:line="240" w:lineRule="auto"/>
              <w:jc w:val="center"/>
              <w:rPr>
                <w:rFonts w:ascii="Calibri" w:eastAsia="Times New Roman" w:hAnsi="Calibri" w:cs="Arial"/>
                <w:color w:val="000000"/>
                <w:sz w:val="20"/>
                <w:szCs w:val="20"/>
              </w:rPr>
            </w:pPr>
            <w:r w:rsidRPr="000215AC">
              <w:rPr>
                <w:rFonts w:ascii="Calibri" w:eastAsia="Times New Roman" w:hAnsi="Calibri" w:cs="Arial"/>
                <w:color w:val="000000"/>
                <w:sz w:val="20"/>
                <w:szCs w:val="20"/>
              </w:rPr>
              <w:t>775,96</w:t>
            </w:r>
            <w:r w:rsidR="00A35128">
              <w:rPr>
                <w:rFonts w:ascii="Calibri" w:eastAsia="Times New Roman" w:hAnsi="Calibri" w:cs="Arial"/>
                <w:color w:val="000000"/>
                <w:sz w:val="20"/>
                <w:szCs w:val="20"/>
              </w:rPr>
              <w:t>5</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0215AC" w:rsidP="00500D6E" w14:paraId="66AB9959" w14:textId="43CD92A2">
            <w:pPr>
              <w:keepNext/>
              <w:keepLines/>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w:t>
            </w:r>
            <w:r w:rsidR="00E1672A">
              <w:rPr>
                <w:rFonts w:ascii="Calibri" w:eastAsia="Times New Roman" w:hAnsi="Calibri" w:cs="Arial"/>
                <w:color w:val="000000"/>
                <w:sz w:val="20"/>
                <w:szCs w:val="20"/>
              </w:rPr>
              <w:t>73</w:t>
            </w:r>
          </w:p>
        </w:tc>
        <w:tc>
          <w:tcPr>
            <w:tcW w:w="2950" w:type="dxa"/>
            <w:tcBorders>
              <w:top w:val="single" w:sz="4" w:space="0" w:color="auto"/>
              <w:left w:val="nil"/>
              <w:bottom w:val="single" w:sz="4" w:space="0" w:color="auto"/>
              <w:right w:val="single" w:sz="4" w:space="0" w:color="auto"/>
            </w:tcBorders>
            <w:shd w:val="clear" w:color="000000" w:fill="E2A5AC"/>
            <w:noWrap/>
            <w:vAlign w:val="center"/>
          </w:tcPr>
          <w:p w:rsidR="000215AC" w:rsidP="00305EB7" w14:paraId="6026E1F1" w14:textId="6C4D3AAC">
            <w:pPr>
              <w:keepNext/>
              <w:keepLines/>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w:t>
            </w:r>
            <w:r w:rsidR="00A144B9">
              <w:rPr>
                <w:rFonts w:ascii="Calibri" w:eastAsia="Times New Roman" w:hAnsi="Calibri" w:cs="Arial"/>
                <w:color w:val="000000"/>
                <w:sz w:val="20"/>
                <w:szCs w:val="20"/>
              </w:rPr>
              <w:t>56,645,</w:t>
            </w:r>
            <w:r w:rsidR="00A35128">
              <w:rPr>
                <w:rFonts w:ascii="Calibri" w:eastAsia="Times New Roman" w:hAnsi="Calibri" w:cs="Arial"/>
                <w:color w:val="000000"/>
                <w:sz w:val="20"/>
                <w:szCs w:val="20"/>
              </w:rPr>
              <w:t>445</w:t>
            </w:r>
          </w:p>
        </w:tc>
      </w:tr>
      <w:bookmarkEnd w:id="18"/>
    </w:tbl>
    <w:p w:rsidR="00F056C3" w:rsidP="00A41763" w14:paraId="40C7CF5B" w14:textId="77777777">
      <w:pPr>
        <w:rPr>
          <w:b/>
          <w:bCs/>
        </w:rPr>
      </w:pPr>
    </w:p>
    <w:p w:rsidR="00F056C3" w:rsidP="00244CE3" w14:paraId="4C6AB2BF" w14:textId="77777777">
      <w:pPr>
        <w:pStyle w:val="Heading2"/>
      </w:pPr>
      <w:bookmarkStart w:id="21" w:name="_Toc88047477"/>
      <w:r>
        <w:t>A.</w:t>
      </w:r>
      <w:r w:rsidRPr="00A41763" w:rsidR="00A41763">
        <w:t xml:space="preserve">13. </w:t>
      </w:r>
      <w:r w:rsidR="006F3C12">
        <w:t xml:space="preserve">Other Estimated </w:t>
      </w:r>
      <w:r w:rsidRPr="00F056C3">
        <w:t xml:space="preserve">Annual Cost to </w:t>
      </w:r>
      <w:r w:rsidR="00FE2197">
        <w:t>Respondents</w:t>
      </w:r>
      <w:bookmarkEnd w:id="21"/>
    </w:p>
    <w:p w:rsidR="00A41763" w:rsidRPr="00A41763" w:rsidP="00A41763" w14:paraId="34581750" w14:textId="77777777">
      <w:r w:rsidRPr="00A41763">
        <w:rPr>
          <w:b/>
          <w:bCs/>
        </w:rPr>
        <w:t xml:space="preserve">Provide an estimate for the total annual cost burden to respondents or recordkeepers resulting from the collection of information. </w:t>
      </w:r>
    </w:p>
    <w:p w:rsidR="003644B4" w:rsidRPr="003644B4" w:rsidP="003644B4" w14:paraId="779996E0" w14:textId="32440B8C">
      <w:r>
        <w:t xml:space="preserve">DOE estimates there to be no other annual costs to respondents as </w:t>
      </w:r>
      <w:r w:rsidR="003B0A78">
        <w:t>all</w:t>
      </w:r>
      <w:r>
        <w:t xml:space="preserve"> the capital and operation costs associated with the collection of this information would already be made as part of customary business practices. </w:t>
      </w:r>
    </w:p>
    <w:p w:rsidR="00F056C3" w:rsidP="00244CE3" w14:paraId="66958A1C" w14:textId="77777777">
      <w:pPr>
        <w:pStyle w:val="Heading2"/>
      </w:pPr>
      <w:bookmarkStart w:id="22" w:name="_Toc88047478"/>
      <w:r>
        <w:t>A.</w:t>
      </w:r>
      <w:r w:rsidRPr="00A41763" w:rsidR="00A41763">
        <w:t xml:space="preserve">14. </w:t>
      </w:r>
      <w:r w:rsidR="00FE2197">
        <w:t>Annual Cost to the Federal Government</w:t>
      </w:r>
      <w:bookmarkEnd w:id="22"/>
      <w:r w:rsidRPr="00F056C3">
        <w:t xml:space="preserve"> </w:t>
      </w:r>
    </w:p>
    <w:p w:rsidR="00A41763" w:rsidRPr="00A41763" w:rsidP="00A41763" w14:paraId="11E04A7D" w14:textId="77777777">
      <w:r w:rsidRPr="00A41763">
        <w:rPr>
          <w:b/>
          <w:bCs/>
        </w:rPr>
        <w:t xml:space="preserve">Provide estimates of annualized cost to the Federal government. </w:t>
      </w:r>
    </w:p>
    <w:p w:rsidR="00903E51" w:rsidRPr="002C6D21" w:rsidP="00903E51" w14:paraId="31DA2752" w14:textId="15BD246C">
      <w:r w:rsidRPr="002C6D21">
        <w:t>DOE estimates the total additional annual reporting and recordkeeping burden imposed on the Federal government will be $</w:t>
      </w:r>
      <w:r w:rsidR="00466F3F">
        <w:t>545,617.28</w:t>
      </w:r>
      <w:r w:rsidRPr="002C6D21">
        <w:t xml:space="preserve">.  This estimate accounts for time spent by 2 Federal staff and 3 contractors to maintain the certification templates and CCMS website.  DOE is already using </w:t>
      </w:r>
      <w:r>
        <w:t>an</w:t>
      </w:r>
      <w:r w:rsidRPr="002C6D21">
        <w:t xml:space="preserve"> online collection system as its method for submission for certain covered consumer products and commercial equipment. The annual cost is to maintain the system, set up new users, respond to user questions, and review certifications</w:t>
      </w:r>
    </w:p>
    <w:tbl>
      <w:tblPr>
        <w:tblStyle w:val="GridTableLight"/>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1207"/>
        <w:gridCol w:w="1380"/>
        <w:gridCol w:w="1191"/>
        <w:gridCol w:w="905"/>
        <w:gridCol w:w="1509"/>
      </w:tblGrid>
      <w:tr w14:paraId="7561E315" w14:textId="77777777" w:rsidTr="00903E51">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76"/>
        </w:trPr>
        <w:tc>
          <w:tcPr>
            <w:tcW w:w="3168" w:type="dxa"/>
            <w:shd w:val="clear" w:color="auto" w:fill="00B0F0"/>
            <w:noWrap/>
            <w:hideMark/>
          </w:tcPr>
          <w:p w:rsidR="00903E51" w:rsidRPr="00926290" w:rsidP="000B151D" w14:paraId="192346D7" w14:textId="77777777">
            <w:pPr>
              <w:jc w:val="center"/>
              <w:rPr>
                <w:b/>
                <w:sz w:val="20"/>
                <w:szCs w:val="20"/>
              </w:rPr>
            </w:pPr>
            <w:r w:rsidRPr="00926290">
              <w:rPr>
                <w:b/>
                <w:sz w:val="20"/>
                <w:szCs w:val="20"/>
              </w:rPr>
              <w:t>Team Member</w:t>
            </w:r>
          </w:p>
        </w:tc>
        <w:tc>
          <w:tcPr>
            <w:tcW w:w="1207" w:type="dxa"/>
            <w:shd w:val="clear" w:color="auto" w:fill="00B0F0"/>
            <w:hideMark/>
          </w:tcPr>
          <w:p w:rsidR="00903E51" w:rsidRPr="00903E51" w:rsidP="000B151D" w14:paraId="7961559B" w14:textId="77777777">
            <w:pPr>
              <w:jc w:val="center"/>
              <w:rPr>
                <w:b/>
                <w:sz w:val="20"/>
                <w:szCs w:val="20"/>
              </w:rPr>
            </w:pPr>
            <w:r w:rsidRPr="00926290">
              <w:rPr>
                <w:b/>
                <w:sz w:val="20"/>
                <w:szCs w:val="20"/>
              </w:rPr>
              <w:t>Hourly Wage Rate</w:t>
            </w:r>
          </w:p>
        </w:tc>
        <w:tc>
          <w:tcPr>
            <w:tcW w:w="1380" w:type="dxa"/>
            <w:shd w:val="clear" w:color="auto" w:fill="00B0F0"/>
            <w:hideMark/>
          </w:tcPr>
          <w:p w:rsidR="00903E51" w:rsidRPr="00903E51" w:rsidP="000B151D" w14:paraId="261E21A8" w14:textId="77777777">
            <w:pPr>
              <w:jc w:val="center"/>
              <w:rPr>
                <w:b/>
                <w:sz w:val="20"/>
                <w:szCs w:val="20"/>
              </w:rPr>
            </w:pPr>
            <w:r w:rsidRPr="00926290">
              <w:rPr>
                <w:b/>
                <w:sz w:val="20"/>
                <w:szCs w:val="20"/>
              </w:rPr>
              <w:t>Wage as % of Total Comp</w:t>
            </w:r>
            <w:r>
              <w:rPr>
                <w:b/>
                <w:sz w:val="20"/>
                <w:szCs w:val="20"/>
                <w:vertAlign w:val="superscript"/>
              </w:rPr>
              <w:footnoteReference w:id="11"/>
            </w:r>
          </w:p>
        </w:tc>
        <w:tc>
          <w:tcPr>
            <w:tcW w:w="1191" w:type="dxa"/>
            <w:shd w:val="clear" w:color="auto" w:fill="00B0F0"/>
            <w:hideMark/>
          </w:tcPr>
          <w:p w:rsidR="00903E51" w:rsidRPr="00903E51" w:rsidP="000B151D" w14:paraId="6CFDF7BB" w14:textId="77777777">
            <w:pPr>
              <w:jc w:val="center"/>
              <w:rPr>
                <w:b/>
                <w:sz w:val="20"/>
                <w:szCs w:val="20"/>
              </w:rPr>
            </w:pPr>
            <w:r w:rsidRPr="00926290">
              <w:rPr>
                <w:b/>
                <w:sz w:val="20"/>
                <w:szCs w:val="20"/>
              </w:rPr>
              <w:t>Fully Burdened Hourly Rate</w:t>
            </w:r>
          </w:p>
        </w:tc>
        <w:tc>
          <w:tcPr>
            <w:tcW w:w="905" w:type="dxa"/>
            <w:shd w:val="clear" w:color="auto" w:fill="00B0F0"/>
            <w:hideMark/>
          </w:tcPr>
          <w:p w:rsidR="00903E51" w:rsidRPr="00903E51" w:rsidP="000B151D" w14:paraId="6615A8A2" w14:textId="77777777">
            <w:pPr>
              <w:jc w:val="center"/>
              <w:rPr>
                <w:b/>
                <w:sz w:val="20"/>
                <w:szCs w:val="20"/>
              </w:rPr>
            </w:pPr>
            <w:r w:rsidRPr="00926290">
              <w:rPr>
                <w:b/>
                <w:sz w:val="20"/>
                <w:szCs w:val="20"/>
              </w:rPr>
              <w:t>Yearly Hours</w:t>
            </w:r>
          </w:p>
        </w:tc>
        <w:tc>
          <w:tcPr>
            <w:tcW w:w="1509" w:type="dxa"/>
            <w:shd w:val="clear" w:color="auto" w:fill="00B0F0"/>
            <w:hideMark/>
          </w:tcPr>
          <w:p w:rsidR="00903E51" w:rsidRPr="00903E51" w:rsidP="000B151D" w14:paraId="67F337AD" w14:textId="77777777">
            <w:pPr>
              <w:jc w:val="center"/>
              <w:rPr>
                <w:b/>
                <w:sz w:val="20"/>
                <w:szCs w:val="20"/>
              </w:rPr>
            </w:pPr>
            <w:r w:rsidRPr="00926290">
              <w:rPr>
                <w:b/>
                <w:sz w:val="20"/>
                <w:szCs w:val="20"/>
              </w:rPr>
              <w:t>Annual Cost</w:t>
            </w:r>
          </w:p>
        </w:tc>
      </w:tr>
      <w:tr w14:paraId="4C972E3D" w14:textId="77777777" w:rsidTr="00903E51">
        <w:tblPrEx>
          <w:tblW w:w="9360" w:type="dxa"/>
          <w:tblLook w:val="04A0"/>
        </w:tblPrEx>
        <w:trPr>
          <w:trHeight w:val="297"/>
        </w:trPr>
        <w:tc>
          <w:tcPr>
            <w:tcW w:w="3168" w:type="dxa"/>
            <w:noWrap/>
            <w:hideMark/>
          </w:tcPr>
          <w:p w:rsidR="00903E51" w:rsidRPr="00926290" w:rsidP="00926290" w14:paraId="70DBE6FA" w14:textId="77777777">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DOE Lawyer</w:t>
            </w:r>
            <w:r>
              <w:rPr>
                <w:rFonts w:ascii="Calibri" w:eastAsia="Times New Roman" w:hAnsi="Calibri" w:cs="Arial"/>
                <w:color w:val="000000"/>
                <w:sz w:val="20"/>
                <w:szCs w:val="20"/>
                <w:vertAlign w:val="superscript"/>
              </w:rPr>
              <w:footnoteReference w:id="12"/>
            </w:r>
          </w:p>
        </w:tc>
        <w:tc>
          <w:tcPr>
            <w:tcW w:w="1207" w:type="dxa"/>
            <w:noWrap/>
            <w:hideMark/>
          </w:tcPr>
          <w:p w:rsidR="00903E51" w:rsidRPr="00926290" w:rsidP="00926290" w14:paraId="3F38F7B0" w14:textId="77777777">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 xml:space="preserve">$76.58 </w:t>
            </w:r>
          </w:p>
        </w:tc>
        <w:tc>
          <w:tcPr>
            <w:tcW w:w="1380" w:type="dxa"/>
            <w:noWrap/>
            <w:hideMark/>
          </w:tcPr>
          <w:p w:rsidR="00903E51" w:rsidRPr="00926290" w:rsidP="00926290" w14:paraId="0782DFF3" w14:textId="142B0FD0">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6</w:t>
            </w:r>
            <w:r w:rsidR="00C413AD">
              <w:rPr>
                <w:rFonts w:ascii="Calibri" w:eastAsia="Times New Roman" w:hAnsi="Calibri" w:cs="Arial"/>
                <w:color w:val="000000"/>
                <w:sz w:val="20"/>
                <w:szCs w:val="20"/>
              </w:rPr>
              <w:t>1.</w:t>
            </w:r>
            <w:r w:rsidR="00B72F34">
              <w:rPr>
                <w:rFonts w:ascii="Calibri" w:eastAsia="Times New Roman" w:hAnsi="Calibri" w:cs="Arial"/>
                <w:color w:val="000000"/>
                <w:sz w:val="20"/>
                <w:szCs w:val="20"/>
              </w:rPr>
              <w:t>6</w:t>
            </w:r>
            <w:r w:rsidRPr="00926290">
              <w:rPr>
                <w:rFonts w:ascii="Calibri" w:eastAsia="Times New Roman" w:hAnsi="Calibri" w:cs="Arial"/>
                <w:color w:val="000000"/>
                <w:sz w:val="20"/>
                <w:szCs w:val="20"/>
              </w:rPr>
              <w:t>%</w:t>
            </w:r>
          </w:p>
        </w:tc>
        <w:tc>
          <w:tcPr>
            <w:tcW w:w="1191" w:type="dxa"/>
            <w:noWrap/>
            <w:hideMark/>
          </w:tcPr>
          <w:p w:rsidR="00903E51" w:rsidRPr="00926290" w:rsidP="00926290" w14:paraId="42D62BEB" w14:textId="530A6A77">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$12</w:t>
            </w:r>
            <w:r w:rsidR="000C0BB1">
              <w:rPr>
                <w:rFonts w:ascii="Calibri" w:eastAsia="Times New Roman" w:hAnsi="Calibri" w:cs="Arial"/>
                <w:color w:val="000000"/>
                <w:sz w:val="20"/>
                <w:szCs w:val="20"/>
              </w:rPr>
              <w:t>4.32</w:t>
            </w:r>
          </w:p>
        </w:tc>
        <w:tc>
          <w:tcPr>
            <w:tcW w:w="905" w:type="dxa"/>
            <w:noWrap/>
            <w:hideMark/>
          </w:tcPr>
          <w:p w:rsidR="00903E51" w:rsidRPr="00926290" w:rsidP="00926290" w14:paraId="2D5FAA84" w14:textId="77777777">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624</w:t>
            </w:r>
          </w:p>
        </w:tc>
        <w:tc>
          <w:tcPr>
            <w:tcW w:w="1509" w:type="dxa"/>
            <w:noWrap/>
            <w:hideMark/>
          </w:tcPr>
          <w:p w:rsidR="00903E51" w:rsidRPr="00926290" w:rsidP="00926290" w14:paraId="4A1D631E" w14:textId="51A33125">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$77,</w:t>
            </w:r>
            <w:r w:rsidR="00FE5DCC">
              <w:rPr>
                <w:rFonts w:ascii="Calibri" w:eastAsia="Times New Roman" w:hAnsi="Calibri" w:cs="Arial"/>
                <w:color w:val="000000"/>
                <w:sz w:val="20"/>
                <w:szCs w:val="20"/>
              </w:rPr>
              <w:t>57</w:t>
            </w:r>
            <w:r w:rsidR="0081190D">
              <w:rPr>
                <w:rFonts w:ascii="Calibri" w:eastAsia="Times New Roman" w:hAnsi="Calibri" w:cs="Arial"/>
                <w:color w:val="000000"/>
                <w:sz w:val="20"/>
                <w:szCs w:val="20"/>
              </w:rPr>
              <w:t>6</w:t>
            </w:r>
            <w:r w:rsidRPr="00926290">
              <w:rPr>
                <w:rFonts w:ascii="Calibri" w:eastAsia="Times New Roman" w:hAnsi="Calibri" w:cs="Arial"/>
                <w:color w:val="000000"/>
                <w:sz w:val="20"/>
                <w:szCs w:val="20"/>
              </w:rPr>
              <w:t xml:space="preserve"> </w:t>
            </w:r>
          </w:p>
        </w:tc>
      </w:tr>
      <w:tr w14:paraId="08ACDA11" w14:textId="77777777" w:rsidTr="00903E51">
        <w:tblPrEx>
          <w:tblW w:w="9360" w:type="dxa"/>
          <w:tblLook w:val="04A0"/>
        </w:tblPrEx>
        <w:trPr>
          <w:trHeight w:val="288"/>
        </w:trPr>
        <w:tc>
          <w:tcPr>
            <w:tcW w:w="3168" w:type="dxa"/>
            <w:noWrap/>
            <w:hideMark/>
          </w:tcPr>
          <w:p w:rsidR="00903E51" w:rsidRPr="00926290" w:rsidP="00926290" w14:paraId="44900D3F" w14:textId="77777777">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DOE Engineer</w:t>
            </w:r>
            <w:r>
              <w:rPr>
                <w:rFonts w:ascii="Calibri" w:eastAsia="Times New Roman" w:hAnsi="Calibri" w:cs="Arial"/>
                <w:color w:val="000000"/>
                <w:sz w:val="20"/>
                <w:szCs w:val="20"/>
                <w:vertAlign w:val="superscript"/>
              </w:rPr>
              <w:footnoteReference w:id="13"/>
            </w:r>
          </w:p>
        </w:tc>
        <w:tc>
          <w:tcPr>
            <w:tcW w:w="1207" w:type="dxa"/>
            <w:noWrap/>
            <w:hideMark/>
          </w:tcPr>
          <w:p w:rsidR="00903E51" w:rsidRPr="00926290" w:rsidP="00926290" w14:paraId="6558F4BD" w14:textId="7CA13114">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$54.5</w:t>
            </w:r>
            <w:r w:rsidR="00B47128">
              <w:rPr>
                <w:rFonts w:ascii="Calibri" w:eastAsia="Times New Roman" w:hAnsi="Calibri" w:cs="Arial"/>
                <w:color w:val="000000"/>
                <w:sz w:val="20"/>
                <w:szCs w:val="20"/>
              </w:rPr>
              <w:t>3</w:t>
            </w:r>
            <w:r w:rsidRPr="00926290">
              <w:rPr>
                <w:rFonts w:ascii="Calibri" w:eastAsia="Times New Roman" w:hAnsi="Calibri" w:cs="Arial"/>
                <w:color w:val="000000"/>
                <w:sz w:val="20"/>
                <w:szCs w:val="20"/>
              </w:rPr>
              <w:t xml:space="preserve"> </w:t>
            </w:r>
          </w:p>
        </w:tc>
        <w:tc>
          <w:tcPr>
            <w:tcW w:w="1380" w:type="dxa"/>
            <w:noWrap/>
            <w:hideMark/>
          </w:tcPr>
          <w:p w:rsidR="00903E51" w:rsidRPr="00926290" w:rsidP="00926290" w14:paraId="20B1E21C" w14:textId="4EE4C7E6">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6</w:t>
            </w:r>
            <w:r w:rsidR="00B72F34">
              <w:rPr>
                <w:rFonts w:ascii="Calibri" w:eastAsia="Times New Roman" w:hAnsi="Calibri" w:cs="Arial"/>
                <w:color w:val="000000"/>
                <w:sz w:val="20"/>
                <w:szCs w:val="20"/>
              </w:rPr>
              <w:t>1.6</w:t>
            </w:r>
            <w:r w:rsidRPr="00926290">
              <w:rPr>
                <w:rFonts w:ascii="Calibri" w:eastAsia="Times New Roman" w:hAnsi="Calibri" w:cs="Arial"/>
                <w:color w:val="000000"/>
                <w:sz w:val="20"/>
                <w:szCs w:val="20"/>
              </w:rPr>
              <w:t>%</w:t>
            </w:r>
          </w:p>
        </w:tc>
        <w:tc>
          <w:tcPr>
            <w:tcW w:w="1191" w:type="dxa"/>
            <w:noWrap/>
            <w:hideMark/>
          </w:tcPr>
          <w:p w:rsidR="00903E51" w:rsidRPr="00926290" w:rsidP="00926290" w14:paraId="633C11C7" w14:textId="39D5914E">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$88.</w:t>
            </w:r>
            <w:r w:rsidR="000C0BB1">
              <w:rPr>
                <w:rFonts w:ascii="Calibri" w:eastAsia="Times New Roman" w:hAnsi="Calibri" w:cs="Arial"/>
                <w:color w:val="000000"/>
                <w:sz w:val="20"/>
                <w:szCs w:val="20"/>
              </w:rPr>
              <w:t>52</w:t>
            </w:r>
            <w:r w:rsidRPr="00926290">
              <w:rPr>
                <w:rFonts w:ascii="Calibri" w:eastAsia="Times New Roman" w:hAnsi="Calibri" w:cs="Arial"/>
                <w:color w:val="000000"/>
                <w:sz w:val="20"/>
                <w:szCs w:val="20"/>
              </w:rPr>
              <w:t xml:space="preserve"> </w:t>
            </w:r>
          </w:p>
        </w:tc>
        <w:tc>
          <w:tcPr>
            <w:tcW w:w="905" w:type="dxa"/>
            <w:noWrap/>
            <w:hideMark/>
          </w:tcPr>
          <w:p w:rsidR="00903E51" w:rsidRPr="00926290" w:rsidP="00926290" w14:paraId="1282F5AF" w14:textId="77777777">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624</w:t>
            </w:r>
          </w:p>
        </w:tc>
        <w:tc>
          <w:tcPr>
            <w:tcW w:w="1509" w:type="dxa"/>
            <w:noWrap/>
            <w:hideMark/>
          </w:tcPr>
          <w:p w:rsidR="00903E51" w:rsidRPr="00926290" w:rsidP="00926290" w14:paraId="4517EDC0" w14:textId="51343381">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$55,</w:t>
            </w:r>
            <w:r w:rsidR="00EA5C81">
              <w:rPr>
                <w:rFonts w:ascii="Calibri" w:eastAsia="Times New Roman" w:hAnsi="Calibri" w:cs="Arial"/>
                <w:color w:val="000000"/>
                <w:sz w:val="20"/>
                <w:szCs w:val="20"/>
              </w:rPr>
              <w:t>23</w:t>
            </w:r>
            <w:r w:rsidR="005A34F9">
              <w:rPr>
                <w:rFonts w:ascii="Calibri" w:eastAsia="Times New Roman" w:hAnsi="Calibri" w:cs="Arial"/>
                <w:color w:val="000000"/>
                <w:sz w:val="20"/>
                <w:szCs w:val="20"/>
              </w:rPr>
              <w:t>6</w:t>
            </w:r>
            <w:r w:rsidRPr="00926290">
              <w:rPr>
                <w:rFonts w:ascii="Calibri" w:eastAsia="Times New Roman" w:hAnsi="Calibri" w:cs="Arial"/>
                <w:color w:val="000000"/>
                <w:sz w:val="20"/>
                <w:szCs w:val="20"/>
              </w:rPr>
              <w:t xml:space="preserve"> </w:t>
            </w:r>
          </w:p>
        </w:tc>
      </w:tr>
      <w:tr w14:paraId="354DB723" w14:textId="77777777" w:rsidTr="00903E51">
        <w:tblPrEx>
          <w:tblW w:w="9360" w:type="dxa"/>
          <w:tblLook w:val="04A0"/>
        </w:tblPrEx>
        <w:trPr>
          <w:trHeight w:val="288"/>
        </w:trPr>
        <w:tc>
          <w:tcPr>
            <w:tcW w:w="3168" w:type="dxa"/>
            <w:noWrap/>
            <w:hideMark/>
          </w:tcPr>
          <w:p w:rsidR="00903E51" w:rsidRPr="00926290" w:rsidP="00926290" w14:paraId="63F76684" w14:textId="77777777">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Contractor Support Staff (admin)</w:t>
            </w:r>
            <w:r>
              <w:rPr>
                <w:rFonts w:ascii="Calibri" w:eastAsia="Times New Roman" w:hAnsi="Calibri" w:cs="Arial"/>
                <w:color w:val="000000"/>
                <w:sz w:val="20"/>
                <w:szCs w:val="20"/>
                <w:vertAlign w:val="superscript"/>
              </w:rPr>
              <w:footnoteReference w:id="14"/>
            </w:r>
          </w:p>
        </w:tc>
        <w:tc>
          <w:tcPr>
            <w:tcW w:w="1207" w:type="dxa"/>
            <w:noWrap/>
            <w:hideMark/>
          </w:tcPr>
          <w:p w:rsidR="00903E51" w:rsidRPr="00926290" w:rsidP="00926290" w14:paraId="2524C90C" w14:textId="77777777">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 xml:space="preserve">$23.05 </w:t>
            </w:r>
          </w:p>
        </w:tc>
        <w:tc>
          <w:tcPr>
            <w:tcW w:w="1380" w:type="dxa"/>
            <w:noWrap/>
            <w:hideMark/>
          </w:tcPr>
          <w:p w:rsidR="00903E51" w:rsidRPr="00926290" w:rsidP="00926290" w14:paraId="0F4184D7" w14:textId="60C4C2C4">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70</w:t>
            </w:r>
            <w:r w:rsidR="00C413AD">
              <w:rPr>
                <w:rFonts w:ascii="Calibri" w:eastAsia="Times New Roman" w:hAnsi="Calibri" w:cs="Arial"/>
                <w:color w:val="000000"/>
                <w:sz w:val="20"/>
                <w:szCs w:val="20"/>
              </w:rPr>
              <w:t>.3</w:t>
            </w:r>
            <w:r w:rsidRPr="00926290">
              <w:rPr>
                <w:rFonts w:ascii="Calibri" w:eastAsia="Times New Roman" w:hAnsi="Calibri" w:cs="Arial"/>
                <w:color w:val="000000"/>
                <w:sz w:val="20"/>
                <w:szCs w:val="20"/>
              </w:rPr>
              <w:t>%</w:t>
            </w:r>
          </w:p>
        </w:tc>
        <w:tc>
          <w:tcPr>
            <w:tcW w:w="1191" w:type="dxa"/>
            <w:noWrap/>
            <w:hideMark/>
          </w:tcPr>
          <w:p w:rsidR="00903E51" w:rsidRPr="00926290" w:rsidP="00926290" w14:paraId="5F91D76A" w14:textId="5AA8B15B">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$3</w:t>
            </w:r>
            <w:r w:rsidR="000C0BB1">
              <w:rPr>
                <w:rFonts w:ascii="Calibri" w:eastAsia="Times New Roman" w:hAnsi="Calibri" w:cs="Arial"/>
                <w:color w:val="000000"/>
                <w:sz w:val="20"/>
                <w:szCs w:val="20"/>
              </w:rPr>
              <w:t>2.79</w:t>
            </w:r>
            <w:r w:rsidRPr="00926290">
              <w:rPr>
                <w:rFonts w:ascii="Calibri" w:eastAsia="Times New Roman" w:hAnsi="Calibri" w:cs="Arial"/>
                <w:color w:val="000000"/>
                <w:sz w:val="20"/>
                <w:szCs w:val="20"/>
              </w:rPr>
              <w:t xml:space="preserve"> </w:t>
            </w:r>
          </w:p>
        </w:tc>
        <w:tc>
          <w:tcPr>
            <w:tcW w:w="905" w:type="dxa"/>
            <w:noWrap/>
            <w:hideMark/>
          </w:tcPr>
          <w:p w:rsidR="00903E51" w:rsidRPr="00926290" w:rsidP="00926290" w14:paraId="7901D6E5" w14:textId="77777777">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2080</w:t>
            </w:r>
          </w:p>
        </w:tc>
        <w:tc>
          <w:tcPr>
            <w:tcW w:w="1509" w:type="dxa"/>
            <w:noWrap/>
            <w:hideMark/>
          </w:tcPr>
          <w:p w:rsidR="00903E51" w:rsidRPr="00926290" w:rsidP="00926290" w14:paraId="569E03C7" w14:textId="14A8D391">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w:t>
            </w:r>
            <w:r w:rsidR="00EA5C81">
              <w:rPr>
                <w:rFonts w:ascii="Calibri" w:eastAsia="Times New Roman" w:hAnsi="Calibri" w:cs="Arial"/>
                <w:color w:val="000000"/>
                <w:sz w:val="20"/>
                <w:szCs w:val="20"/>
              </w:rPr>
              <w:t>68,</w:t>
            </w:r>
            <w:r w:rsidR="005A34F9">
              <w:rPr>
                <w:rFonts w:ascii="Calibri" w:eastAsia="Times New Roman" w:hAnsi="Calibri" w:cs="Arial"/>
                <w:color w:val="000000"/>
                <w:sz w:val="20"/>
                <w:szCs w:val="20"/>
              </w:rPr>
              <w:t>203</w:t>
            </w:r>
            <w:r w:rsidRPr="00926290">
              <w:rPr>
                <w:rFonts w:ascii="Calibri" w:eastAsia="Times New Roman" w:hAnsi="Calibri" w:cs="Arial"/>
                <w:color w:val="000000"/>
                <w:sz w:val="20"/>
                <w:szCs w:val="20"/>
              </w:rPr>
              <w:t xml:space="preserve"> </w:t>
            </w:r>
          </w:p>
        </w:tc>
      </w:tr>
      <w:tr w14:paraId="15D30D94" w14:textId="77777777" w:rsidTr="00903E51">
        <w:tblPrEx>
          <w:tblW w:w="9360" w:type="dxa"/>
          <w:tblLook w:val="04A0"/>
        </w:tblPrEx>
        <w:trPr>
          <w:trHeight w:val="288"/>
        </w:trPr>
        <w:tc>
          <w:tcPr>
            <w:tcW w:w="3168" w:type="dxa"/>
            <w:noWrap/>
            <w:hideMark/>
          </w:tcPr>
          <w:p w:rsidR="00903E51" w:rsidRPr="00926290" w:rsidP="00926290" w14:paraId="3A05171F" w14:textId="77777777">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Contractor Database Architect</w:t>
            </w:r>
            <w:r>
              <w:rPr>
                <w:rFonts w:ascii="Calibri" w:eastAsia="Times New Roman" w:hAnsi="Calibri" w:cs="Arial"/>
                <w:color w:val="000000"/>
                <w:sz w:val="20"/>
                <w:szCs w:val="20"/>
                <w:vertAlign w:val="superscript"/>
              </w:rPr>
              <w:footnoteReference w:id="15"/>
            </w:r>
          </w:p>
        </w:tc>
        <w:tc>
          <w:tcPr>
            <w:tcW w:w="1207" w:type="dxa"/>
            <w:noWrap/>
            <w:hideMark/>
          </w:tcPr>
          <w:p w:rsidR="00903E51" w:rsidRPr="00926290" w:rsidP="00926290" w14:paraId="7054E124" w14:textId="77777777">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 xml:space="preserve">$65.88 </w:t>
            </w:r>
          </w:p>
        </w:tc>
        <w:tc>
          <w:tcPr>
            <w:tcW w:w="1380" w:type="dxa"/>
            <w:noWrap/>
            <w:hideMark/>
          </w:tcPr>
          <w:p w:rsidR="00903E51" w:rsidRPr="00926290" w:rsidP="00926290" w14:paraId="034E1CF7" w14:textId="206491D7">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70</w:t>
            </w:r>
            <w:r w:rsidR="00C413AD">
              <w:rPr>
                <w:rFonts w:ascii="Calibri" w:eastAsia="Times New Roman" w:hAnsi="Calibri" w:cs="Arial"/>
                <w:color w:val="000000"/>
                <w:sz w:val="20"/>
                <w:szCs w:val="20"/>
              </w:rPr>
              <w:t>.3</w:t>
            </w:r>
            <w:r w:rsidRPr="00926290">
              <w:rPr>
                <w:rFonts w:ascii="Calibri" w:eastAsia="Times New Roman" w:hAnsi="Calibri" w:cs="Arial"/>
                <w:color w:val="000000"/>
                <w:sz w:val="20"/>
                <w:szCs w:val="20"/>
              </w:rPr>
              <w:t>%</w:t>
            </w:r>
          </w:p>
        </w:tc>
        <w:tc>
          <w:tcPr>
            <w:tcW w:w="1191" w:type="dxa"/>
            <w:noWrap/>
            <w:hideMark/>
          </w:tcPr>
          <w:p w:rsidR="00903E51" w:rsidRPr="00926290" w:rsidP="00926290" w14:paraId="66B9DF02" w14:textId="2BC91D8C">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w:t>
            </w:r>
            <w:r w:rsidR="00FE5DCC">
              <w:rPr>
                <w:rFonts w:ascii="Calibri" w:eastAsia="Times New Roman" w:hAnsi="Calibri" w:cs="Arial"/>
                <w:color w:val="000000"/>
                <w:sz w:val="20"/>
                <w:szCs w:val="20"/>
              </w:rPr>
              <w:t>93.71</w:t>
            </w:r>
            <w:r w:rsidRPr="00926290">
              <w:rPr>
                <w:rFonts w:ascii="Calibri" w:eastAsia="Times New Roman" w:hAnsi="Calibri" w:cs="Arial"/>
                <w:color w:val="000000"/>
                <w:sz w:val="20"/>
                <w:szCs w:val="20"/>
              </w:rPr>
              <w:t xml:space="preserve"> </w:t>
            </w:r>
          </w:p>
        </w:tc>
        <w:tc>
          <w:tcPr>
            <w:tcW w:w="905" w:type="dxa"/>
            <w:noWrap/>
            <w:hideMark/>
          </w:tcPr>
          <w:p w:rsidR="00903E51" w:rsidRPr="00926290" w:rsidP="00926290" w14:paraId="03AD412D" w14:textId="77777777">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2080</w:t>
            </w:r>
          </w:p>
        </w:tc>
        <w:tc>
          <w:tcPr>
            <w:tcW w:w="1509" w:type="dxa"/>
            <w:noWrap/>
            <w:hideMark/>
          </w:tcPr>
          <w:p w:rsidR="00903E51" w:rsidRPr="00926290" w:rsidP="00926290" w14:paraId="28A9FF9D" w14:textId="5D7F3C5B">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w:t>
            </w:r>
            <w:r w:rsidR="00EA5C81">
              <w:rPr>
                <w:rFonts w:ascii="Calibri" w:eastAsia="Times New Roman" w:hAnsi="Calibri" w:cs="Arial"/>
                <w:color w:val="000000"/>
                <w:sz w:val="20"/>
                <w:szCs w:val="20"/>
              </w:rPr>
              <w:t>194,9</w:t>
            </w:r>
            <w:r w:rsidR="001B6E0F">
              <w:rPr>
                <w:rFonts w:ascii="Calibri" w:eastAsia="Times New Roman" w:hAnsi="Calibri" w:cs="Arial"/>
                <w:color w:val="000000"/>
                <w:sz w:val="20"/>
                <w:szCs w:val="20"/>
              </w:rPr>
              <w:t>1</w:t>
            </w:r>
            <w:r w:rsidR="00F92A27">
              <w:rPr>
                <w:rFonts w:ascii="Calibri" w:eastAsia="Times New Roman" w:hAnsi="Calibri" w:cs="Arial"/>
                <w:color w:val="000000"/>
                <w:sz w:val="20"/>
                <w:szCs w:val="20"/>
              </w:rPr>
              <w:t>7</w:t>
            </w:r>
            <w:r w:rsidRPr="00926290">
              <w:rPr>
                <w:rFonts w:ascii="Calibri" w:eastAsia="Times New Roman" w:hAnsi="Calibri" w:cs="Arial"/>
                <w:color w:val="000000"/>
                <w:sz w:val="20"/>
                <w:szCs w:val="20"/>
              </w:rPr>
              <w:t xml:space="preserve"> </w:t>
            </w:r>
          </w:p>
        </w:tc>
      </w:tr>
      <w:tr w14:paraId="23FE2F30" w14:textId="77777777" w:rsidTr="00903E51">
        <w:tblPrEx>
          <w:tblW w:w="9360" w:type="dxa"/>
          <w:tblLook w:val="04A0"/>
        </w:tblPrEx>
        <w:trPr>
          <w:trHeight w:val="288"/>
        </w:trPr>
        <w:tc>
          <w:tcPr>
            <w:tcW w:w="3168" w:type="dxa"/>
            <w:noWrap/>
            <w:hideMark/>
          </w:tcPr>
          <w:p w:rsidR="00903E51" w:rsidRPr="00926290" w:rsidP="00926290" w14:paraId="0CE2FFBE" w14:textId="77777777">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Contractor Engineering Support</w:t>
            </w:r>
            <w:r>
              <w:rPr>
                <w:rFonts w:ascii="Calibri" w:eastAsia="Times New Roman" w:hAnsi="Calibri" w:cs="Arial"/>
                <w:color w:val="000000"/>
                <w:sz w:val="20"/>
                <w:szCs w:val="20"/>
                <w:vertAlign w:val="superscript"/>
              </w:rPr>
              <w:footnoteReference w:id="16"/>
            </w:r>
          </w:p>
        </w:tc>
        <w:tc>
          <w:tcPr>
            <w:tcW w:w="1207" w:type="dxa"/>
            <w:noWrap/>
            <w:hideMark/>
          </w:tcPr>
          <w:p w:rsidR="00903E51" w:rsidRPr="00926290" w:rsidP="00926290" w14:paraId="7B79C48E" w14:textId="77777777">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 xml:space="preserve">$50.59 </w:t>
            </w:r>
          </w:p>
        </w:tc>
        <w:tc>
          <w:tcPr>
            <w:tcW w:w="1380" w:type="dxa"/>
            <w:noWrap/>
            <w:hideMark/>
          </w:tcPr>
          <w:p w:rsidR="00903E51" w:rsidRPr="00926290" w:rsidP="00926290" w14:paraId="0976860F" w14:textId="5309A9BF">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70</w:t>
            </w:r>
            <w:r w:rsidR="00C413AD">
              <w:rPr>
                <w:rFonts w:ascii="Calibri" w:eastAsia="Times New Roman" w:hAnsi="Calibri" w:cs="Arial"/>
                <w:color w:val="000000"/>
                <w:sz w:val="20"/>
                <w:szCs w:val="20"/>
              </w:rPr>
              <w:t>.3</w:t>
            </w:r>
            <w:r w:rsidRPr="00926290">
              <w:rPr>
                <w:rFonts w:ascii="Calibri" w:eastAsia="Times New Roman" w:hAnsi="Calibri" w:cs="Arial"/>
                <w:color w:val="000000"/>
                <w:sz w:val="20"/>
                <w:szCs w:val="20"/>
              </w:rPr>
              <w:t>%</w:t>
            </w:r>
          </w:p>
        </w:tc>
        <w:tc>
          <w:tcPr>
            <w:tcW w:w="1191" w:type="dxa"/>
            <w:noWrap/>
            <w:hideMark/>
          </w:tcPr>
          <w:p w:rsidR="00903E51" w:rsidRPr="00926290" w:rsidP="00926290" w14:paraId="23019457" w14:textId="753B473F">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w:t>
            </w:r>
            <w:r w:rsidR="00FE5DCC">
              <w:rPr>
                <w:rFonts w:ascii="Calibri" w:eastAsia="Times New Roman" w:hAnsi="Calibri" w:cs="Arial"/>
                <w:color w:val="000000"/>
                <w:sz w:val="20"/>
                <w:szCs w:val="20"/>
              </w:rPr>
              <w:t>71.96</w:t>
            </w:r>
            <w:r w:rsidRPr="00926290">
              <w:rPr>
                <w:rFonts w:ascii="Calibri" w:eastAsia="Times New Roman" w:hAnsi="Calibri" w:cs="Arial"/>
                <w:color w:val="000000"/>
                <w:sz w:val="20"/>
                <w:szCs w:val="20"/>
              </w:rPr>
              <w:t xml:space="preserve"> </w:t>
            </w:r>
          </w:p>
        </w:tc>
        <w:tc>
          <w:tcPr>
            <w:tcW w:w="905" w:type="dxa"/>
            <w:noWrap/>
            <w:hideMark/>
          </w:tcPr>
          <w:p w:rsidR="00903E51" w:rsidRPr="00926290" w:rsidP="00926290" w14:paraId="0EA48B80" w14:textId="77777777">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2080</w:t>
            </w:r>
          </w:p>
        </w:tc>
        <w:tc>
          <w:tcPr>
            <w:tcW w:w="1509" w:type="dxa"/>
            <w:noWrap/>
            <w:hideMark/>
          </w:tcPr>
          <w:p w:rsidR="00903E51" w:rsidRPr="00926290" w:rsidP="00926290" w14:paraId="59886253" w14:textId="7E293411">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$1</w:t>
            </w:r>
            <w:r w:rsidR="00EA5C81">
              <w:rPr>
                <w:rFonts w:ascii="Calibri" w:eastAsia="Times New Roman" w:hAnsi="Calibri" w:cs="Arial"/>
                <w:color w:val="000000"/>
                <w:sz w:val="20"/>
                <w:szCs w:val="20"/>
              </w:rPr>
              <w:t>49,</w:t>
            </w:r>
            <w:r w:rsidR="00235354">
              <w:rPr>
                <w:rFonts w:ascii="Calibri" w:eastAsia="Times New Roman" w:hAnsi="Calibri" w:cs="Arial"/>
                <w:color w:val="000000"/>
                <w:sz w:val="20"/>
                <w:szCs w:val="20"/>
              </w:rPr>
              <w:t>6</w:t>
            </w:r>
            <w:r w:rsidR="004F737A">
              <w:rPr>
                <w:rFonts w:ascii="Calibri" w:eastAsia="Times New Roman" w:hAnsi="Calibri" w:cs="Arial"/>
                <w:color w:val="000000"/>
                <w:sz w:val="20"/>
                <w:szCs w:val="20"/>
              </w:rPr>
              <w:t>7</w:t>
            </w:r>
            <w:r w:rsidR="001E27BC">
              <w:rPr>
                <w:rFonts w:ascii="Calibri" w:eastAsia="Times New Roman" w:hAnsi="Calibri" w:cs="Arial"/>
                <w:color w:val="000000"/>
                <w:sz w:val="20"/>
                <w:szCs w:val="20"/>
              </w:rPr>
              <w:t>7</w:t>
            </w:r>
            <w:r w:rsidRPr="00926290">
              <w:rPr>
                <w:rFonts w:ascii="Calibri" w:eastAsia="Times New Roman" w:hAnsi="Calibri" w:cs="Arial"/>
                <w:color w:val="000000"/>
                <w:sz w:val="20"/>
                <w:szCs w:val="20"/>
              </w:rPr>
              <w:t xml:space="preserve"> </w:t>
            </w:r>
          </w:p>
        </w:tc>
      </w:tr>
      <w:tr w14:paraId="26240893" w14:textId="77777777" w:rsidTr="00903E51">
        <w:tblPrEx>
          <w:tblW w:w="9360" w:type="dxa"/>
          <w:tblLook w:val="04A0"/>
        </w:tblPrEx>
        <w:trPr>
          <w:trHeight w:val="288"/>
        </w:trPr>
        <w:tc>
          <w:tcPr>
            <w:tcW w:w="3168" w:type="dxa"/>
            <w:noWrap/>
            <w:hideMark/>
          </w:tcPr>
          <w:p w:rsidR="00903E51" w:rsidRPr="00926290" w:rsidP="00926290" w14:paraId="4EFAB532" w14:textId="77777777">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Total</w:t>
            </w:r>
          </w:p>
        </w:tc>
        <w:tc>
          <w:tcPr>
            <w:tcW w:w="1207" w:type="dxa"/>
            <w:noWrap/>
            <w:hideMark/>
          </w:tcPr>
          <w:p w:rsidR="00903E51" w:rsidRPr="00926290" w:rsidP="00926290" w14:paraId="03061423" w14:textId="77777777">
            <w:pPr>
              <w:keepNext/>
              <w:keepLines/>
              <w:spacing w:line="240" w:lineRule="auto"/>
              <w:jc w:val="center"/>
              <w:rPr>
                <w:rFonts w:ascii="Calibri" w:eastAsia="Times New Roman" w:hAnsi="Calibri" w:cs="Arial"/>
                <w:color w:val="000000"/>
                <w:sz w:val="20"/>
                <w:szCs w:val="20"/>
              </w:rPr>
            </w:pPr>
          </w:p>
        </w:tc>
        <w:tc>
          <w:tcPr>
            <w:tcW w:w="1380" w:type="dxa"/>
            <w:noWrap/>
            <w:hideMark/>
          </w:tcPr>
          <w:p w:rsidR="00903E51" w:rsidRPr="00926290" w:rsidP="00926290" w14:paraId="1B3F3572" w14:textId="77777777">
            <w:pPr>
              <w:keepNext/>
              <w:keepLines/>
              <w:spacing w:line="240" w:lineRule="auto"/>
              <w:jc w:val="center"/>
              <w:rPr>
                <w:rFonts w:ascii="Calibri" w:eastAsia="Times New Roman" w:hAnsi="Calibri" w:cs="Arial"/>
                <w:color w:val="000000"/>
                <w:sz w:val="20"/>
                <w:szCs w:val="20"/>
              </w:rPr>
            </w:pPr>
          </w:p>
        </w:tc>
        <w:tc>
          <w:tcPr>
            <w:tcW w:w="1191" w:type="dxa"/>
            <w:noWrap/>
          </w:tcPr>
          <w:p w:rsidR="00903E51" w:rsidRPr="00926290" w:rsidP="00926290" w14:paraId="62F208C4" w14:textId="77777777">
            <w:pPr>
              <w:keepNext/>
              <w:keepLines/>
              <w:spacing w:line="240" w:lineRule="auto"/>
              <w:jc w:val="center"/>
              <w:rPr>
                <w:rFonts w:ascii="Calibri" w:eastAsia="Times New Roman" w:hAnsi="Calibri" w:cs="Arial"/>
                <w:color w:val="000000"/>
                <w:sz w:val="20"/>
                <w:szCs w:val="20"/>
              </w:rPr>
            </w:pPr>
          </w:p>
        </w:tc>
        <w:tc>
          <w:tcPr>
            <w:tcW w:w="905" w:type="dxa"/>
            <w:noWrap/>
          </w:tcPr>
          <w:p w:rsidR="00903E51" w:rsidRPr="00926290" w:rsidP="00926290" w14:paraId="7A473A71" w14:textId="77777777">
            <w:pPr>
              <w:keepNext/>
              <w:keepLines/>
              <w:spacing w:line="240" w:lineRule="auto"/>
              <w:jc w:val="center"/>
              <w:rPr>
                <w:rFonts w:ascii="Calibri" w:eastAsia="Times New Roman" w:hAnsi="Calibri" w:cs="Arial"/>
                <w:color w:val="000000"/>
                <w:sz w:val="20"/>
                <w:szCs w:val="20"/>
              </w:rPr>
            </w:pPr>
          </w:p>
        </w:tc>
        <w:tc>
          <w:tcPr>
            <w:tcW w:w="1509" w:type="dxa"/>
            <w:noWrap/>
            <w:hideMark/>
          </w:tcPr>
          <w:p w:rsidR="00903E51" w:rsidRPr="00926290" w:rsidP="00926290" w14:paraId="1999E8D4" w14:textId="0DBF7DDE">
            <w:pPr>
              <w:keepNext/>
              <w:keepLines/>
              <w:spacing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w:t>
            </w:r>
            <w:r w:rsidR="00235354">
              <w:rPr>
                <w:rFonts w:ascii="Calibri" w:eastAsia="Times New Roman" w:hAnsi="Calibri" w:cs="Arial"/>
                <w:color w:val="000000"/>
                <w:sz w:val="20"/>
                <w:szCs w:val="20"/>
              </w:rPr>
              <w:t>545,6</w:t>
            </w:r>
            <w:r w:rsidR="004F737A">
              <w:rPr>
                <w:rFonts w:ascii="Calibri" w:eastAsia="Times New Roman" w:hAnsi="Calibri" w:cs="Arial"/>
                <w:color w:val="000000"/>
                <w:sz w:val="20"/>
                <w:szCs w:val="20"/>
              </w:rPr>
              <w:t>0</w:t>
            </w:r>
            <w:r w:rsidR="001E27BC">
              <w:rPr>
                <w:rFonts w:ascii="Calibri" w:eastAsia="Times New Roman" w:hAnsi="Calibri" w:cs="Arial"/>
                <w:color w:val="000000"/>
                <w:sz w:val="20"/>
                <w:szCs w:val="20"/>
              </w:rPr>
              <w:t>9</w:t>
            </w:r>
          </w:p>
        </w:tc>
      </w:tr>
    </w:tbl>
    <w:p w:rsidR="006D42EC" w:rsidP="00244CE3" w14:paraId="0C86123C" w14:textId="77777777">
      <w:pPr>
        <w:pStyle w:val="Heading2"/>
      </w:pPr>
      <w:bookmarkStart w:id="23" w:name="_Toc88047479"/>
      <w:r>
        <w:t>A.</w:t>
      </w:r>
      <w:r w:rsidRPr="00A41763" w:rsidR="00A41763">
        <w:t xml:space="preserve">15. </w:t>
      </w:r>
      <w:r>
        <w:t>Reasons for Changes in Burden</w:t>
      </w:r>
      <w:bookmarkEnd w:id="23"/>
    </w:p>
    <w:p w:rsidR="00A41763" w:rsidRPr="00A41763" w:rsidP="00A41763" w14:paraId="0E76313C" w14:textId="77777777">
      <w:r w:rsidRPr="00A41763">
        <w:rPr>
          <w:b/>
          <w:bCs/>
        </w:rPr>
        <w:t xml:space="preserve">Explain the reasons for any program changes or adjustments reported in Items 13 (or 14) of OMB Form 83-I. </w:t>
      </w:r>
    </w:p>
    <w:p w:rsidR="00A41763" w:rsidRPr="008F2C01" w:rsidP="000E7E2C" w14:paraId="674B8F6E" w14:textId="07B482BE">
      <w:pPr>
        <w:rPr>
          <w:iCs/>
        </w:rPr>
      </w:pPr>
      <w:r>
        <w:t>Th</w:t>
      </w:r>
      <w:r w:rsidR="000E7E2C">
        <w:t>is PRA revision adds the costs associated with the</w:t>
      </w:r>
      <w:r w:rsidR="00BD3990">
        <w:t xml:space="preserve"> </w:t>
      </w:r>
      <w:r w:rsidR="00980D94">
        <w:t xml:space="preserve">September 23, </w:t>
      </w:r>
      <w:r w:rsidR="00980D94">
        <w:t>2023</w:t>
      </w:r>
      <w:r w:rsidR="007E6704">
        <w:t xml:space="preserve"> </w:t>
      </w:r>
      <w:r w:rsidR="00BF1FDD">
        <w:t>proposed rule, “</w:t>
      </w:r>
      <w:r w:rsidRPr="003C7917" w:rsidR="00BF1FDD">
        <w:rPr>
          <w:iCs/>
        </w:rPr>
        <w:t>Certification Requirements, Labeling Requirements, and Enforcement Provisions for Certain Consumer Products and Commercial Equipment</w:t>
      </w:r>
      <w:r w:rsidR="005D35A2">
        <w:t>.</w:t>
      </w:r>
      <w:r w:rsidR="00BF1FDD">
        <w:t>”</w:t>
      </w:r>
      <w:r w:rsidR="005D35A2">
        <w:t xml:space="preserve"> </w:t>
      </w:r>
      <w:r w:rsidRPr="003C7917" w:rsidR="00BF1FDD">
        <w:rPr>
          <w:iCs/>
        </w:rPr>
        <w:t>88 FR 67458</w:t>
      </w:r>
      <w:r w:rsidR="00BF1FDD">
        <w:rPr>
          <w:iCs/>
        </w:rPr>
        <w:t xml:space="preserve">. </w:t>
      </w:r>
      <w:r w:rsidR="00352302">
        <w:rPr>
          <w:iCs/>
        </w:rPr>
        <w:t xml:space="preserve">Since the </w:t>
      </w:r>
      <w:r w:rsidR="00B2796E">
        <w:rPr>
          <w:iCs/>
        </w:rPr>
        <w:t>last PRA revision</w:t>
      </w:r>
      <w:r w:rsidR="00425BBB">
        <w:rPr>
          <w:iCs/>
        </w:rPr>
        <w:t>, the estimated fully burdened labor rate has increased</w:t>
      </w:r>
      <w:r w:rsidR="00E47AD1">
        <w:rPr>
          <w:iCs/>
        </w:rPr>
        <w:t>. Therefore</w:t>
      </w:r>
      <w:r w:rsidR="003B754B">
        <w:rPr>
          <w:iCs/>
        </w:rPr>
        <w:t>,</w:t>
      </w:r>
      <w:r w:rsidR="002E7C02">
        <w:rPr>
          <w:iCs/>
        </w:rPr>
        <w:t xml:space="preserve"> the estimates in this section reflect </w:t>
      </w:r>
      <w:r w:rsidR="008F2C01">
        <w:rPr>
          <w:iCs/>
        </w:rPr>
        <w:t>the increased labor rate estimate and the estimated annual burden of existing requirements has been adjusted.</w:t>
      </w:r>
    </w:p>
    <w:tbl>
      <w:tblPr>
        <w:tblW w:w="9360" w:type="dxa"/>
        <w:jc w:val="center"/>
        <w:tblLayout w:type="fixed"/>
        <w:tblCellMar>
          <w:left w:w="115" w:type="dxa"/>
          <w:right w:w="115" w:type="dxa"/>
        </w:tblCellMar>
        <w:tblLook w:val="04A0"/>
      </w:tblPr>
      <w:tblGrid>
        <w:gridCol w:w="1872"/>
        <w:gridCol w:w="1872"/>
        <w:gridCol w:w="1872"/>
        <w:gridCol w:w="1872"/>
        <w:gridCol w:w="1872"/>
      </w:tblGrid>
      <w:tr w14:paraId="658B18CB" w14:textId="77777777" w:rsidTr="00545C0F">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shd w:val="clear" w:color="auto" w:fill="auto"/>
            <w:noWrap/>
            <w:vAlign w:val="bottom"/>
            <w:hideMark/>
          </w:tcPr>
          <w:p w:rsidR="008A7E5F" w:rsidRPr="00812C91" w:rsidP="00A12BC3" w14:paraId="58CA577C" w14:textId="77777777">
            <w:pPr>
              <w:keepNext/>
              <w:keepLines/>
              <w:spacing w:after="0" w:line="240" w:lineRule="auto"/>
              <w:jc w:val="center"/>
              <w:rPr>
                <w:rFonts w:ascii="Arial" w:eastAsia="Times New Roman" w:hAnsi="Arial" w:cs="Arial"/>
                <w:b/>
                <w:color w:val="0070C0"/>
                <w:sz w:val="28"/>
                <w:szCs w:val="28"/>
              </w:rPr>
            </w:pPr>
            <w:r>
              <w:br w:type="page"/>
            </w:r>
            <w:r w:rsidRPr="00812C91">
              <w:rPr>
                <w:rFonts w:ascii="Arial" w:eastAsia="Times New Roman" w:hAnsi="Arial" w:cs="Arial"/>
                <w:b/>
                <w:color w:val="0070C0"/>
                <w:sz w:val="28"/>
                <w:szCs w:val="28"/>
              </w:rPr>
              <w:t>Table A</w:t>
            </w:r>
            <w:r w:rsidR="00D01BEA">
              <w:rPr>
                <w:rFonts w:ascii="Arial" w:eastAsia="Times New Roman" w:hAnsi="Arial" w:cs="Arial"/>
                <w:b/>
                <w:color w:val="0070C0"/>
                <w:sz w:val="28"/>
                <w:szCs w:val="28"/>
              </w:rPr>
              <w:t>4</w:t>
            </w:r>
            <w:r w:rsidRPr="00812C91">
              <w:rPr>
                <w:rFonts w:ascii="Arial" w:eastAsia="Times New Roman" w:hAnsi="Arial" w:cs="Arial"/>
                <w:b/>
                <w:color w:val="0070C0"/>
                <w:sz w:val="28"/>
                <w:szCs w:val="28"/>
              </w:rPr>
              <w:t>. ICR Summary of Burden</w:t>
            </w:r>
          </w:p>
        </w:tc>
      </w:tr>
      <w:tr w14:paraId="427FCE27" w14:textId="77777777" w:rsidTr="00D14AC1">
        <w:tblPrEx>
          <w:tblW w:w="9360" w:type="dxa"/>
          <w:jc w:val="center"/>
          <w:tblLayout w:type="fixed"/>
          <w:tblCellMar>
            <w:left w:w="115" w:type="dxa"/>
            <w:right w:w="115" w:type="dxa"/>
          </w:tblCellMar>
          <w:tblLook w:val="04A0"/>
        </w:tblPrEx>
        <w:trPr>
          <w:trHeight w:val="510"/>
          <w:jc w:val="center"/>
        </w:trPr>
        <w:tc>
          <w:tcPr>
            <w:tcW w:w="1872"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8A7E5F" w:rsidRPr="00812C91" w:rsidP="00A12BC3" w14:paraId="24432167" w14:textId="77777777">
            <w:pPr>
              <w:keepNext/>
              <w:keepLines/>
              <w:spacing w:after="0" w:line="240" w:lineRule="auto"/>
              <w:jc w:val="center"/>
              <w:rPr>
                <w:rFonts w:ascii="Calibri" w:eastAsia="Times New Roman" w:hAnsi="Calibri" w:cs="Arial"/>
                <w:b/>
                <w:bCs/>
                <w:color w:val="FFFFFF"/>
                <w:sz w:val="20"/>
                <w:szCs w:val="20"/>
              </w:rPr>
            </w:pPr>
            <w:r w:rsidRPr="00812C91">
              <w:rPr>
                <w:rFonts w:ascii="Calibri" w:eastAsia="Times New Roman" w:hAnsi="Calibri" w:cs="Arial"/>
                <w:b/>
                <w:bCs/>
                <w:color w:val="FFFFFF"/>
                <w:sz w:val="20"/>
                <w:szCs w:val="20"/>
              </w:rPr>
              <w:t> </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A12BC3" w14:paraId="3E653759" w14:textId="77777777">
            <w:pPr>
              <w:keepNext/>
              <w:keepLines/>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Requested</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A12BC3" w14:paraId="4C091D62" w14:textId="77777777">
            <w:pPr>
              <w:keepNext/>
              <w:keepLines/>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Program Change Due to Agency Discretion</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A12BC3" w14:paraId="14B92075" w14:textId="77777777">
            <w:pPr>
              <w:keepNext/>
              <w:keepLines/>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Change Due to Adjustment in Agency Estimate</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A12BC3" w14:paraId="1D1ED28B" w14:textId="77777777">
            <w:pPr>
              <w:keepNext/>
              <w:keepLines/>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Previously Approved</w:t>
            </w:r>
          </w:p>
        </w:tc>
      </w:tr>
      <w:tr w14:paraId="7069FB93" w14:textId="77777777" w:rsidTr="00D14AC1">
        <w:tblPrEx>
          <w:tblW w:w="9360" w:type="dxa"/>
          <w:jc w:val="center"/>
          <w:tblLayout w:type="fixed"/>
          <w:tblCellMar>
            <w:left w:w="115" w:type="dxa"/>
            <w:right w:w="115" w:type="dxa"/>
          </w:tblCellMar>
          <w:tblLook w:val="04A0"/>
        </w:tblPrEx>
        <w:trPr>
          <w:trHeight w:val="525"/>
          <w:jc w:val="center"/>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BF1FDD" w:rsidRPr="00926290" w:rsidP="00926290" w14:paraId="3C1475BA" w14:textId="77777777">
            <w:pPr>
              <w:keepNext/>
              <w:keepLines/>
              <w:spacing w:after="0"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Total Number of Responses</w:t>
            </w:r>
          </w:p>
        </w:tc>
        <w:tc>
          <w:tcPr>
            <w:tcW w:w="1872" w:type="dxa"/>
            <w:tcBorders>
              <w:top w:val="nil"/>
              <w:left w:val="nil"/>
              <w:bottom w:val="single" w:sz="4" w:space="0" w:color="auto"/>
              <w:right w:val="single" w:sz="4" w:space="0" w:color="auto"/>
            </w:tcBorders>
            <w:shd w:val="clear" w:color="auto" w:fill="auto"/>
            <w:vAlign w:val="center"/>
            <w:hideMark/>
          </w:tcPr>
          <w:p w:rsidR="00BF1FDD" w:rsidRPr="00926290" w:rsidP="00BF1FDD" w14:paraId="77F525F3" w14:textId="33085E1C">
            <w:pPr>
              <w:keepNext/>
              <w:keepLines/>
              <w:spacing w:after="0"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32,24</w:t>
            </w:r>
            <w:r>
              <w:rPr>
                <w:rFonts w:ascii="Calibri" w:eastAsia="Times New Roman" w:hAnsi="Calibri" w:cs="Arial"/>
                <w:color w:val="000000"/>
                <w:sz w:val="20"/>
                <w:szCs w:val="20"/>
              </w:rPr>
              <w:t>3</w:t>
            </w:r>
          </w:p>
        </w:tc>
        <w:tc>
          <w:tcPr>
            <w:tcW w:w="1872" w:type="dxa"/>
            <w:tcBorders>
              <w:top w:val="nil"/>
              <w:left w:val="nil"/>
              <w:bottom w:val="single" w:sz="4" w:space="0" w:color="auto"/>
              <w:right w:val="single" w:sz="4" w:space="0" w:color="auto"/>
            </w:tcBorders>
            <w:shd w:val="clear" w:color="auto" w:fill="auto"/>
            <w:vAlign w:val="center"/>
            <w:hideMark/>
          </w:tcPr>
          <w:p w:rsidR="00BF1FDD" w:rsidRPr="00926290" w:rsidP="00BF1FDD" w14:paraId="12BDE320" w14:textId="630F1CA8">
            <w:pPr>
              <w:keepNext/>
              <w:keepLines/>
              <w:spacing w:after="0"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8</w:t>
            </w:r>
            <w:r>
              <w:rPr>
                <w:rFonts w:ascii="Calibri" w:eastAsia="Times New Roman" w:hAnsi="Calibri" w:cs="Arial"/>
                <w:color w:val="000000"/>
                <w:sz w:val="20"/>
                <w:szCs w:val="20"/>
              </w:rPr>
              <w:t>3</w:t>
            </w:r>
          </w:p>
        </w:tc>
        <w:tc>
          <w:tcPr>
            <w:tcW w:w="1872" w:type="dxa"/>
            <w:tcBorders>
              <w:top w:val="nil"/>
              <w:left w:val="nil"/>
              <w:bottom w:val="single" w:sz="4" w:space="0" w:color="auto"/>
              <w:right w:val="single" w:sz="4" w:space="0" w:color="auto"/>
            </w:tcBorders>
            <w:shd w:val="clear" w:color="auto" w:fill="auto"/>
            <w:vAlign w:val="center"/>
            <w:hideMark/>
          </w:tcPr>
          <w:p w:rsidR="00BF1FDD" w:rsidRPr="00926290" w:rsidP="00BF1FDD" w14:paraId="19BF023E" w14:textId="3AB56AA7">
            <w:pPr>
              <w:keepNext/>
              <w:keepLines/>
              <w:spacing w:after="0"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0</w:t>
            </w:r>
          </w:p>
        </w:tc>
        <w:tc>
          <w:tcPr>
            <w:tcW w:w="1872" w:type="dxa"/>
            <w:tcBorders>
              <w:top w:val="nil"/>
              <w:left w:val="nil"/>
              <w:bottom w:val="single" w:sz="4" w:space="0" w:color="auto"/>
              <w:right w:val="single" w:sz="4" w:space="0" w:color="auto"/>
            </w:tcBorders>
            <w:shd w:val="clear" w:color="auto" w:fill="auto"/>
            <w:vAlign w:val="center"/>
            <w:hideMark/>
          </w:tcPr>
          <w:p w:rsidR="00BF1FDD" w:rsidRPr="00926290" w:rsidP="00BF1FDD" w14:paraId="4FC5C02A" w14:textId="55CB339E">
            <w:pPr>
              <w:keepNext/>
              <w:keepLines/>
              <w:spacing w:after="0" w:line="240" w:lineRule="auto"/>
              <w:jc w:val="center"/>
              <w:rPr>
                <w:rFonts w:ascii="Calibri" w:eastAsia="Times New Roman" w:hAnsi="Calibri" w:cs="Arial"/>
                <w:color w:val="000000"/>
                <w:sz w:val="20"/>
                <w:szCs w:val="20"/>
              </w:rPr>
            </w:pPr>
            <w:r w:rsidRPr="00683335">
              <w:rPr>
                <w:rFonts w:ascii="Calibri" w:eastAsia="Times New Roman" w:hAnsi="Calibri" w:cs="Arial"/>
                <w:color w:val="576170"/>
                <w:sz w:val="20"/>
                <w:szCs w:val="20"/>
              </w:rPr>
              <w:t>32</w:t>
            </w:r>
            <w:r>
              <w:rPr>
                <w:rFonts w:ascii="Calibri" w:eastAsia="Times New Roman" w:hAnsi="Calibri" w:cs="Arial"/>
                <w:color w:val="576170"/>
                <w:sz w:val="20"/>
                <w:szCs w:val="20"/>
              </w:rPr>
              <w:t>,</w:t>
            </w:r>
            <w:r w:rsidRPr="00683335">
              <w:rPr>
                <w:rFonts w:ascii="Calibri" w:eastAsia="Times New Roman" w:hAnsi="Calibri" w:cs="Arial"/>
                <w:color w:val="576170"/>
                <w:sz w:val="20"/>
                <w:szCs w:val="20"/>
              </w:rPr>
              <w:t>16</w:t>
            </w:r>
            <w:r>
              <w:rPr>
                <w:rFonts w:ascii="Calibri" w:eastAsia="Times New Roman" w:hAnsi="Calibri" w:cs="Arial"/>
                <w:color w:val="576170"/>
                <w:sz w:val="20"/>
                <w:szCs w:val="20"/>
              </w:rPr>
              <w:t>0</w:t>
            </w:r>
          </w:p>
        </w:tc>
      </w:tr>
      <w:tr w14:paraId="486B688B" w14:textId="77777777" w:rsidTr="00D14AC1">
        <w:tblPrEx>
          <w:tblW w:w="9360" w:type="dxa"/>
          <w:jc w:val="center"/>
          <w:tblLayout w:type="fixed"/>
          <w:tblCellMar>
            <w:left w:w="115" w:type="dxa"/>
            <w:right w:w="115" w:type="dxa"/>
          </w:tblCellMar>
          <w:tblLook w:val="04A0"/>
        </w:tblPrEx>
        <w:trPr>
          <w:trHeight w:val="525"/>
          <w:jc w:val="center"/>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1FDD" w:rsidRPr="00926290" w:rsidP="00926290" w14:paraId="2CE51AF5" w14:textId="77777777">
            <w:pPr>
              <w:keepNext/>
              <w:keepLines/>
              <w:spacing w:after="0"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Total Time Burden (</w:t>
            </w:r>
            <w:r w:rsidRPr="00926290">
              <w:rPr>
                <w:rFonts w:ascii="Calibri" w:eastAsia="Times New Roman" w:hAnsi="Calibri" w:cs="Arial"/>
                <w:color w:val="000000"/>
                <w:sz w:val="20"/>
                <w:szCs w:val="20"/>
              </w:rPr>
              <w:t>Hr</w:t>
            </w:r>
            <w:r w:rsidRPr="00926290">
              <w:rPr>
                <w:rFonts w:ascii="Calibri" w:eastAsia="Times New Roman" w:hAnsi="Calibri" w:cs="Arial"/>
                <w:color w:val="000000"/>
                <w:sz w:val="20"/>
                <w:szCs w:val="20"/>
              </w:rPr>
              <w:t>)</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BF1FDD" w:rsidRPr="00926290" w:rsidP="00BF1FDD" w14:paraId="6C47F9D9" w14:textId="6F882563">
            <w:pPr>
              <w:keepNext/>
              <w:keepLines/>
              <w:spacing w:after="0"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775,96</w:t>
            </w:r>
            <w:r>
              <w:rPr>
                <w:rFonts w:ascii="Calibri" w:eastAsia="Times New Roman" w:hAnsi="Calibri" w:cs="Arial"/>
                <w:color w:val="000000"/>
                <w:sz w:val="20"/>
                <w:szCs w:val="20"/>
              </w:rPr>
              <w:t>5</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BF1FDD" w:rsidRPr="00926290" w:rsidP="00BF1FDD" w14:paraId="2048F9A9" w14:textId="550F43DF">
            <w:pPr>
              <w:keepNext/>
              <w:keepLines/>
              <w:spacing w:after="0"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2,90</w:t>
            </w:r>
            <w:r>
              <w:rPr>
                <w:rFonts w:ascii="Calibri" w:eastAsia="Times New Roman" w:hAnsi="Calibri" w:cs="Arial"/>
                <w:color w:val="000000"/>
                <w:sz w:val="20"/>
                <w:szCs w:val="20"/>
              </w:rPr>
              <w:t>5</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BF1FDD" w:rsidRPr="00926290" w:rsidP="00BF1FDD" w14:paraId="2A9E9DBD" w14:textId="32486442">
            <w:pPr>
              <w:keepNext/>
              <w:keepLines/>
              <w:spacing w:after="0"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0</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BF1FDD" w:rsidRPr="00926290" w:rsidP="00BF1FDD" w14:paraId="2216313B" w14:textId="45AB940F">
            <w:pPr>
              <w:keepNext/>
              <w:keepLines/>
              <w:spacing w:after="0" w:line="240" w:lineRule="auto"/>
              <w:jc w:val="center"/>
              <w:rPr>
                <w:rFonts w:ascii="Calibri" w:eastAsia="Times New Roman" w:hAnsi="Calibri" w:cs="Arial"/>
                <w:color w:val="000000"/>
                <w:sz w:val="20"/>
                <w:szCs w:val="20"/>
              </w:rPr>
            </w:pPr>
            <w:r>
              <w:rPr>
                <w:rFonts w:ascii="Calibri" w:eastAsia="Times New Roman" w:hAnsi="Calibri" w:cs="Arial"/>
                <w:color w:val="576170"/>
                <w:sz w:val="20"/>
                <w:szCs w:val="20"/>
              </w:rPr>
              <w:t>773,060</w:t>
            </w:r>
          </w:p>
        </w:tc>
      </w:tr>
      <w:tr w14:paraId="09C7904B" w14:textId="77777777" w:rsidTr="00D14AC1">
        <w:tblPrEx>
          <w:tblW w:w="9360" w:type="dxa"/>
          <w:jc w:val="center"/>
          <w:tblLayout w:type="fixed"/>
          <w:tblCellMar>
            <w:left w:w="115" w:type="dxa"/>
            <w:right w:w="115" w:type="dxa"/>
          </w:tblCellMar>
          <w:tblLook w:val="04A0"/>
        </w:tblPrEx>
        <w:trPr>
          <w:trHeight w:val="525"/>
          <w:jc w:val="center"/>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BF1FDD" w:rsidRPr="00926290" w:rsidP="00926290" w14:paraId="5B967A9B" w14:textId="77777777">
            <w:pPr>
              <w:keepNext/>
              <w:keepLines/>
              <w:spacing w:after="0"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Total Cost Burden</w:t>
            </w:r>
          </w:p>
        </w:tc>
        <w:tc>
          <w:tcPr>
            <w:tcW w:w="1872" w:type="dxa"/>
            <w:tcBorders>
              <w:top w:val="single" w:sz="4" w:space="0" w:color="auto"/>
              <w:left w:val="nil"/>
              <w:bottom w:val="single" w:sz="4" w:space="0" w:color="auto"/>
              <w:right w:val="single" w:sz="4" w:space="0" w:color="auto"/>
            </w:tcBorders>
            <w:shd w:val="clear" w:color="auto" w:fill="auto"/>
            <w:vAlign w:val="center"/>
          </w:tcPr>
          <w:p w:rsidR="00BF1FDD" w:rsidRPr="00926290" w:rsidP="00BF1FDD" w14:paraId="36EA6B8B" w14:textId="78ACD868">
            <w:pPr>
              <w:keepNext/>
              <w:keepLines/>
              <w:spacing w:after="0" w:line="240" w:lineRule="auto"/>
              <w:jc w:val="center"/>
              <w:rPr>
                <w:rFonts w:ascii="Calibri" w:eastAsia="Times New Roman" w:hAnsi="Calibri" w:cs="Arial"/>
                <w:color w:val="000000"/>
                <w:sz w:val="20"/>
                <w:szCs w:val="20"/>
              </w:rPr>
            </w:pPr>
            <w:r w:rsidRPr="00926290">
              <w:rPr>
                <w:rFonts w:ascii="Calibri" w:eastAsia="Times New Roman" w:hAnsi="Calibri" w:cs="Arial"/>
                <w:color w:val="000000"/>
                <w:sz w:val="20"/>
                <w:szCs w:val="20"/>
              </w:rPr>
              <w:t>$56,645,</w:t>
            </w:r>
            <w:r>
              <w:rPr>
                <w:rFonts w:ascii="Calibri" w:eastAsia="Times New Roman" w:hAnsi="Calibri" w:cs="Arial"/>
                <w:color w:val="000000"/>
                <w:sz w:val="20"/>
                <w:szCs w:val="20"/>
              </w:rPr>
              <w:t>445</w:t>
            </w:r>
          </w:p>
        </w:tc>
        <w:tc>
          <w:tcPr>
            <w:tcW w:w="1872" w:type="dxa"/>
            <w:tcBorders>
              <w:top w:val="single" w:sz="4" w:space="0" w:color="auto"/>
              <w:left w:val="nil"/>
              <w:bottom w:val="single" w:sz="4" w:space="0" w:color="auto"/>
              <w:right w:val="single" w:sz="4" w:space="0" w:color="auto"/>
            </w:tcBorders>
            <w:shd w:val="clear" w:color="auto" w:fill="auto"/>
            <w:vAlign w:val="center"/>
          </w:tcPr>
          <w:p w:rsidR="00BF1FDD" w:rsidRPr="00926290" w:rsidP="00BF1FDD" w14:paraId="5A2C882A" w14:textId="012C8F33">
            <w:pPr>
              <w:keepNext/>
              <w:keepLines/>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$212,065</w:t>
            </w:r>
          </w:p>
        </w:tc>
        <w:tc>
          <w:tcPr>
            <w:tcW w:w="1872" w:type="dxa"/>
            <w:tcBorders>
              <w:top w:val="single" w:sz="4" w:space="0" w:color="auto"/>
              <w:left w:val="nil"/>
              <w:bottom w:val="single" w:sz="4" w:space="0" w:color="auto"/>
              <w:right w:val="single" w:sz="4" w:space="0" w:color="auto"/>
            </w:tcBorders>
            <w:shd w:val="clear" w:color="auto" w:fill="auto"/>
            <w:vAlign w:val="center"/>
          </w:tcPr>
          <w:p w:rsidR="00BF1FDD" w:rsidRPr="00926290" w:rsidP="00BF1FDD" w14:paraId="797096D6" w14:textId="257E460F">
            <w:pPr>
              <w:keepNext/>
              <w:keepLines/>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$4,638,360</w:t>
            </w:r>
          </w:p>
        </w:tc>
        <w:tc>
          <w:tcPr>
            <w:tcW w:w="1872" w:type="dxa"/>
            <w:tcBorders>
              <w:top w:val="single" w:sz="4" w:space="0" w:color="auto"/>
              <w:left w:val="nil"/>
              <w:bottom w:val="single" w:sz="4" w:space="0" w:color="auto"/>
              <w:right w:val="single" w:sz="4" w:space="0" w:color="auto"/>
            </w:tcBorders>
            <w:shd w:val="clear" w:color="auto" w:fill="auto"/>
            <w:vAlign w:val="center"/>
          </w:tcPr>
          <w:p w:rsidR="00BF1FDD" w:rsidRPr="00926290" w:rsidP="00BF1FDD" w14:paraId="6F5778F0" w14:textId="1B5B47F2">
            <w:pPr>
              <w:keepNext/>
              <w:keepLines/>
              <w:spacing w:after="0" w:line="240" w:lineRule="auto"/>
              <w:jc w:val="center"/>
              <w:rPr>
                <w:rFonts w:ascii="Calibri" w:eastAsia="Times New Roman" w:hAnsi="Calibri" w:cs="Arial"/>
                <w:color w:val="000000"/>
                <w:sz w:val="20"/>
                <w:szCs w:val="20"/>
              </w:rPr>
            </w:pPr>
            <w:r>
              <w:rPr>
                <w:rFonts w:ascii="Calibri" w:eastAsia="Times New Roman" w:hAnsi="Calibri" w:cs="Arial"/>
                <w:color w:val="576170"/>
                <w:sz w:val="20"/>
                <w:szCs w:val="20"/>
              </w:rPr>
              <w:t>$</w:t>
            </w:r>
            <w:r>
              <w:rPr>
                <w:rFonts w:ascii="Calibri" w:eastAsia="Times New Roman" w:hAnsi="Calibri" w:cs="Arial"/>
                <w:color w:val="000000"/>
                <w:sz w:val="20"/>
                <w:szCs w:val="20"/>
              </w:rPr>
              <w:t>51,795,020</w:t>
            </w:r>
          </w:p>
        </w:tc>
      </w:tr>
    </w:tbl>
    <w:p w:rsidR="00D854D8" w:rsidP="00A41763" w14:paraId="47F73F86" w14:textId="77777777"/>
    <w:p w:rsidR="00F056C3" w:rsidP="00244CE3" w14:paraId="734CCCF2" w14:textId="77777777">
      <w:pPr>
        <w:pStyle w:val="Heading2"/>
      </w:pPr>
      <w:bookmarkStart w:id="24" w:name="_Toc88047480"/>
      <w:r>
        <w:t>A.</w:t>
      </w:r>
      <w:r w:rsidRPr="00A41763" w:rsidR="00A41763">
        <w:t xml:space="preserve">16. </w:t>
      </w:r>
      <w:r w:rsidRPr="00F056C3">
        <w:t>Collection, Tabulation, and Publication Plans</w:t>
      </w:r>
      <w:bookmarkEnd w:id="24"/>
      <w:r w:rsidRPr="00F056C3">
        <w:t xml:space="preserve"> </w:t>
      </w:r>
    </w:p>
    <w:p w:rsidR="00A41763" w:rsidRPr="00A41763" w:rsidP="00A41763" w14:paraId="645F54E0" w14:textId="77777777">
      <w:r w:rsidRPr="00A41763">
        <w:rPr>
          <w:b/>
          <w:bCs/>
        </w:rPr>
        <w:t xml:space="preserve">For collections whose results will be published, outline the plans for tabulation and publication. </w:t>
      </w:r>
    </w:p>
    <w:p w:rsidR="00822713" w:rsidP="00822713" w14:paraId="12A5C402" w14:textId="2508248E">
      <w:r>
        <w:t>A subset of this dataset will be published online. The certification data that DOE has identified as public will be placed in DOE’s certification database at:</w:t>
      </w:r>
      <w:r w:rsidR="006C0F47">
        <w:t xml:space="preserve"> </w:t>
      </w:r>
      <w:hyperlink r:id="rId15" w:history="1">
        <w:r w:rsidRPr="00AE3F07">
          <w:rPr>
            <w:rStyle w:val="Hyperlink"/>
          </w:rPr>
          <w:t>http://www.regulations.doe.gov/certification-data/</w:t>
        </w:r>
      </w:hyperlink>
      <w:r>
        <w:t xml:space="preserve">. </w:t>
      </w:r>
    </w:p>
    <w:p w:rsidR="00822713" w:rsidRPr="00822713" w:rsidP="00A41763" w14:paraId="2764BDAF" w14:textId="5B99B5EC">
      <w:pPr>
        <w:rPr>
          <w:color w:val="00B0F0"/>
        </w:rPr>
      </w:pPr>
      <w:r>
        <w:t xml:space="preserve">Applications for test procedure waivers are published in the Federal Register for comment, as required by DOE’s regulations. </w:t>
      </w:r>
    </w:p>
    <w:p w:rsidR="00F056C3" w:rsidP="00244CE3" w14:paraId="6F6AF7A9" w14:textId="77777777">
      <w:pPr>
        <w:pStyle w:val="Heading2"/>
      </w:pPr>
      <w:bookmarkStart w:id="25" w:name="_Toc88047481"/>
      <w:r>
        <w:t>A.</w:t>
      </w:r>
      <w:r w:rsidRPr="00A41763" w:rsidR="00A41763">
        <w:t xml:space="preserve">17. </w:t>
      </w:r>
      <w:r w:rsidRPr="00F056C3">
        <w:t>OMB Number and Expiration Date</w:t>
      </w:r>
      <w:bookmarkEnd w:id="25"/>
      <w:r w:rsidRPr="00F056C3">
        <w:t xml:space="preserve"> </w:t>
      </w:r>
    </w:p>
    <w:p w:rsidR="00A41763" w:rsidRPr="00A41763" w:rsidP="00A41763" w14:paraId="75ABF80A" w14:textId="77777777">
      <w:r w:rsidRPr="00A41763">
        <w:rPr>
          <w:b/>
          <w:bCs/>
        </w:rPr>
        <w:t xml:space="preserve">If seeking approval to not display the expiration date for OMB approval of the information collection, explain the reasons why display would be inappropriate. </w:t>
      </w:r>
    </w:p>
    <w:p w:rsidR="00822713" w:rsidRPr="00822713" w:rsidP="00822713" w14:paraId="4EF0140E" w14:textId="740C05B2">
      <w:r>
        <w:rPr>
          <w:iCs/>
        </w:rPr>
        <w:t>DOE is not seeking to remove the OMB expiration date.</w:t>
      </w:r>
      <w:r w:rsidR="006C0F47">
        <w:rPr>
          <w:iCs/>
        </w:rPr>
        <w:t xml:space="preserve"> </w:t>
      </w:r>
    </w:p>
    <w:p w:rsidR="00F056C3" w:rsidP="00244CE3" w14:paraId="3DE17335" w14:textId="77777777">
      <w:pPr>
        <w:pStyle w:val="Heading2"/>
      </w:pPr>
      <w:bookmarkStart w:id="26" w:name="_Toc88047482"/>
      <w:r>
        <w:t>A.</w:t>
      </w:r>
      <w:r w:rsidRPr="00A41763" w:rsidR="00A41763">
        <w:t xml:space="preserve">18. </w:t>
      </w:r>
      <w:r w:rsidRPr="00F056C3">
        <w:t>Certification Statement</w:t>
      </w:r>
      <w:bookmarkEnd w:id="26"/>
      <w:r w:rsidRPr="00F056C3">
        <w:t xml:space="preserve"> </w:t>
      </w:r>
    </w:p>
    <w:p w:rsidR="00A41763" w:rsidRPr="00A41763" w:rsidP="00A41763" w14:paraId="0D0D98FD" w14:textId="77777777">
      <w:r w:rsidRPr="00A41763">
        <w:rPr>
          <w:b/>
          <w:bCs/>
        </w:rPr>
        <w:t xml:space="preserve">Explain each exception to the certification statement identified in Item 19 of OMB Form 83-I. </w:t>
      </w:r>
    </w:p>
    <w:p w:rsidR="00A41763" w:rsidRPr="00822713" w:rsidP="00A41763" w14:paraId="5DB2E87E" w14:textId="13816F6A">
      <w:r>
        <w:rPr>
          <w:iCs/>
        </w:rPr>
        <w:t>There are no exceptions.</w:t>
      </w:r>
      <w:r w:rsidRPr="00822713">
        <w:rPr>
          <w:iCs/>
        </w:rPr>
        <w:t xml:space="preserve"> </w:t>
      </w:r>
    </w:p>
    <w:sectPr w:rsidSect="00933D5D">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84D" w:rsidRPr="001F3A8F" w:rsidP="00616E46" w14:paraId="51CE4A60" w14:textId="6EB61311">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A66A81">
          <w:t>Supporting Statement for Certification Reports, for Certain Consumer Products and Commercial Equipment Subject to Energy or Water Conservation Standards.</w:t>
        </w:r>
      </w:sdtContent>
    </w:sdt>
    <w:r>
      <w:t xml:space="preserve"> </w:t>
    </w:r>
    <w:r>
      <w:tab/>
      <w:t xml:space="preserve"> </w:t>
    </w:r>
    <w:r>
      <w:fldChar w:fldCharType="begin"/>
    </w:r>
    <w:r>
      <w:instrText xml:space="preserve"> PAGE   \* MERGEFORMAT </w:instrText>
    </w:r>
    <w:r>
      <w:fldChar w:fldCharType="separate"/>
    </w:r>
    <w:r>
      <w:rPr>
        <w:noProof/>
      </w:rPr>
      <w:t>13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84D" w:rsidP="00760677" w14:paraId="3B221494"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57784D" w14:paraId="257C3D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84D" w:rsidP="00760677" w14:paraId="7C2C9520"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57784D" w:rsidP="00760677" w14:paraId="5561E78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84D" w:rsidRPr="001F3A8F" w:rsidP="00616E46" w14:paraId="582358D5" w14:textId="740F4660">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A66A81">
          <w:t>Supporting Statement for Certification Reports, for Certain Consumer Products and Commercial Equipment Subject to Energy or Water Conservation Standards.</w:t>
        </w:r>
      </w:sdtContent>
    </w:sdt>
    <w:r>
      <w:t xml:space="preserve"> </w:t>
    </w:r>
    <w:r>
      <w:tab/>
      <w:t xml:space="preserve"> </w:t>
    </w:r>
    <w:r>
      <w:fldChar w:fldCharType="begin"/>
    </w:r>
    <w:r>
      <w:instrText xml:space="preserve"> PAGE   \* MERGEFORMAT </w:instrText>
    </w:r>
    <w: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D7CE7" w:rsidP="00536CE1" w14:paraId="7982253D" w14:textId="77777777">
      <w:pPr>
        <w:spacing w:after="0" w:line="240" w:lineRule="auto"/>
      </w:pPr>
      <w:r>
        <w:separator/>
      </w:r>
    </w:p>
  </w:footnote>
  <w:footnote w:type="continuationSeparator" w:id="1">
    <w:p w:rsidR="001D7CE7" w:rsidP="00536CE1" w14:paraId="539EDB4A" w14:textId="77777777">
      <w:pPr>
        <w:spacing w:after="0" w:line="240" w:lineRule="auto"/>
      </w:pPr>
      <w:r>
        <w:continuationSeparator/>
      </w:r>
    </w:p>
  </w:footnote>
  <w:footnote w:type="continuationNotice" w:id="2">
    <w:p w:rsidR="001D7CE7" w14:paraId="55C6C3A9" w14:textId="77777777">
      <w:pPr>
        <w:spacing w:after="0" w:line="240" w:lineRule="auto"/>
      </w:pPr>
    </w:p>
  </w:footnote>
  <w:footnote w:id="3">
    <w:p w:rsidR="00A51835" w14:paraId="4FB4792F" w14:textId="18A44BD8">
      <w:pPr>
        <w:pStyle w:val="FootnoteText"/>
      </w:pPr>
      <w:r>
        <w:rPr>
          <w:rStyle w:val="FootnoteReference"/>
        </w:rPr>
        <w:footnoteRef/>
      </w:r>
      <w:r>
        <w:t xml:space="preserve"> </w:t>
      </w:r>
      <w:r w:rsidRPr="00A51835">
        <w:t xml:space="preserve">For external power supplies </w:t>
      </w:r>
      <w:r>
        <w:t xml:space="preserve">manufacturers may elect to </w:t>
      </w:r>
      <w:r w:rsidRPr="00A51835">
        <w:t>certif</w:t>
      </w:r>
      <w:r>
        <w:t>y</w:t>
      </w:r>
      <w:r w:rsidRPr="00A51835">
        <w:t xml:space="preserve"> based on design families</w:t>
      </w:r>
      <w:r>
        <w:t xml:space="preserve"> and in that case would submit </w:t>
      </w:r>
      <w:r w:rsidRPr="00A51835">
        <w:t xml:space="preserve">the design family model number and the individual manufacturer's model numbers covered by that design family must be submitted for each brand. For distribution transformers, </w:t>
      </w:r>
      <w:r>
        <w:t xml:space="preserve">manufacturers may elect to certify using </w:t>
      </w:r>
      <w:r w:rsidRPr="00A51835">
        <w:t>kVA grouping</w:t>
      </w:r>
      <w:r>
        <w:t>s, in which case the manufacturer would certify the KVA grouping</w:t>
      </w:r>
      <w:r w:rsidRPr="00A51835">
        <w:t xml:space="preserve"> model number for each brand. </w:t>
      </w:r>
    </w:p>
  </w:footnote>
  <w:footnote w:id="4">
    <w:p w:rsidR="00A51835" w14:paraId="3D2E6E0B" w14:textId="53352EB6">
      <w:pPr>
        <w:pStyle w:val="FootnoteText"/>
      </w:pPr>
      <w:r>
        <w:rPr>
          <w:rStyle w:val="FootnoteReference"/>
        </w:rPr>
        <w:footnoteRef/>
      </w:r>
      <w:r>
        <w:t xml:space="preserve"> </w:t>
      </w:r>
      <w:r w:rsidRPr="00A51835">
        <w:t xml:space="preserve">For commercial HVAC, </w:t>
      </w:r>
      <w:r>
        <w:t>water heating</w:t>
      </w:r>
      <w:r w:rsidRPr="00A51835">
        <w:t>, and refrigeration equipment, an individual manufacturer model number may be identified as a “private model number</w:t>
      </w:r>
      <w:r>
        <w:t>.</w:t>
      </w:r>
      <w:r w:rsidRPr="00A51835">
        <w:t>”</w:t>
      </w:r>
    </w:p>
  </w:footnote>
  <w:footnote w:id="5">
    <w:p w:rsidR="00E44493" w14:paraId="787BDA14" w14:textId="59EC99A4">
      <w:pPr>
        <w:pStyle w:val="FootnoteText"/>
      </w:pPr>
      <w:r>
        <w:rPr>
          <w:rStyle w:val="FootnoteReference"/>
        </w:rPr>
        <w:footnoteRef/>
      </w:r>
      <w:r>
        <w:t xml:space="preserve"> </w:t>
      </w:r>
      <w:r w:rsidR="00686BB6">
        <w:t>A transcript of the public meeting can be found</w:t>
      </w:r>
      <w:r w:rsidR="00D716A2">
        <w:t xml:space="preserve"> </w:t>
      </w:r>
      <w:r w:rsidR="00A47C1E">
        <w:t xml:space="preserve">here: </w:t>
      </w:r>
      <w:r w:rsidRPr="00A47C1E" w:rsidR="00A47C1E">
        <w:t>www.regulations.gov/docket/EERE-2023-BT-CE-0001</w:t>
      </w:r>
      <w:r w:rsidR="00A47C1E">
        <w:t>-</w:t>
      </w:r>
      <w:r w:rsidR="007D12F8">
        <w:t>0006</w:t>
      </w:r>
    </w:p>
  </w:footnote>
  <w:footnote w:id="6">
    <w:p w:rsidR="0057784D" w:rsidP="002E3B1D" w14:paraId="46632BD0" w14:textId="1B5A3B6B">
      <w:pPr>
        <w:pStyle w:val="FootnoteText"/>
      </w:pPr>
      <w:r>
        <w:rPr>
          <w:rStyle w:val="FootnoteReference"/>
        </w:rPr>
        <w:footnoteRef/>
      </w:r>
      <w:r>
        <w:t xml:space="preserve"> </w:t>
      </w:r>
      <w:r w:rsidRPr="000A5997">
        <w:t xml:space="preserve">These estimates </w:t>
      </w:r>
      <w:r w:rsidRPr="000A5997">
        <w:t>take into account</w:t>
      </w:r>
      <w:r w:rsidRPr="000A5997">
        <w:t xml:space="preserve"> the time necessary to develop testing documentation, maintain records underlying the certified rating, complete the certification, submit all required documents to DOE electronically, and applying for a test procedure waiver and/or an extension of representation requirements, as needed</w:t>
      </w:r>
      <w:r>
        <w:t>.</w:t>
      </w:r>
    </w:p>
  </w:footnote>
  <w:footnote w:id="7">
    <w:p w:rsidR="00F32088" w:rsidP="002E3B1D" w14:paraId="00710FB5" w14:textId="77777777">
      <w:pPr>
        <w:pStyle w:val="FootnoteText"/>
      </w:pPr>
      <w:r>
        <w:rPr>
          <w:rStyle w:val="FootnoteReference"/>
        </w:rPr>
        <w:footnoteRef/>
      </w:r>
      <w:r>
        <w:t xml:space="preserve"> </w:t>
      </w:r>
      <w:r w:rsidRPr="005873E9">
        <w:t>https://www.regulations.gov/comment/EERE-2017-BT-CRT-0054-0005</w:t>
      </w:r>
    </w:p>
  </w:footnote>
  <w:footnote w:id="8">
    <w:p w:rsidR="00F32088" w:rsidP="002E3B1D" w14:paraId="0C74524C" w14:textId="1FE8580A">
      <w:pPr>
        <w:pStyle w:val="FootnoteText"/>
      </w:pPr>
      <w:r>
        <w:rPr>
          <w:rStyle w:val="FootnoteReference"/>
        </w:rPr>
        <w:footnoteRef/>
      </w:r>
      <w:r>
        <w:t xml:space="preserve"> DOE used data from the </w:t>
      </w:r>
      <w:r w:rsidR="00D14059">
        <w:t>April</w:t>
      </w:r>
      <w:r>
        <w:t xml:space="preserve"> 202</w:t>
      </w:r>
      <w:r w:rsidR="00CC396A">
        <w:t>4</w:t>
      </w:r>
      <w:r>
        <w:t xml:space="preserve"> release. See: h</w:t>
      </w:r>
      <w:r w:rsidRPr="0045082D">
        <w:t>ttps://www.bls.gov/oes/</w:t>
      </w:r>
    </w:p>
  </w:footnote>
  <w:footnote w:id="9">
    <w:p w:rsidR="00F32088" w:rsidP="002E3B1D" w14:paraId="6585E248" w14:textId="2F862CFC">
      <w:pPr>
        <w:pStyle w:val="FootnoteText"/>
      </w:pPr>
      <w:r>
        <w:rPr>
          <w:rStyle w:val="FootnoteReference"/>
        </w:rPr>
        <w:footnoteRef/>
      </w:r>
      <w:r>
        <w:t xml:space="preserve"> </w:t>
      </w:r>
      <w:r w:rsidRPr="00CC396A" w:rsidR="00CC396A">
        <w:t>https://www.bls.gov/news.release/pdf/ecec.pdf</w:t>
      </w:r>
    </w:p>
  </w:footnote>
  <w:footnote w:id="10">
    <w:p w:rsidR="00F32088" w:rsidP="002E3B1D" w14:paraId="5C46E418" w14:textId="4001C837">
      <w:pPr>
        <w:pStyle w:val="FootnoteText"/>
      </w:pPr>
      <w:r>
        <w:rPr>
          <w:rStyle w:val="FootnoteReference"/>
        </w:rPr>
        <w:footnoteRef/>
      </w:r>
      <w:r>
        <w:t xml:space="preserve"> $</w:t>
      </w:r>
      <w:r w:rsidR="00F94A41">
        <w:t>51.41</w:t>
      </w:r>
      <w:r>
        <w:t xml:space="preserve"> / 0.70</w:t>
      </w:r>
      <w:r w:rsidR="00F94A41">
        <w:t>3</w:t>
      </w:r>
      <w:r>
        <w:t xml:space="preserve"> = $</w:t>
      </w:r>
      <w:r w:rsidR="00F94A41">
        <w:t>73.13</w:t>
      </w:r>
    </w:p>
  </w:footnote>
  <w:footnote w:id="11">
    <w:p w:rsidR="00903E51" w:rsidP="00903E51" w14:paraId="69838D6C" w14:textId="562BFFA3">
      <w:pPr>
        <w:pStyle w:val="FootnoteText"/>
      </w:pPr>
      <w:r>
        <w:rPr>
          <w:rStyle w:val="FootnoteReference"/>
        </w:rPr>
        <w:footnoteRef/>
      </w:r>
      <w:r>
        <w:t xml:space="preserve"> </w:t>
      </w:r>
      <w:hyperlink r:id="rId1" w:history="1">
        <w:r w:rsidRPr="008B2946">
          <w:rPr>
            <w:rStyle w:val="Hyperlink"/>
          </w:rPr>
          <w:t>https://www.bls.gov/news.release/pdf/ecec.pdf</w:t>
        </w:r>
      </w:hyperlink>
      <w:r>
        <w:t xml:space="preserve"> </w:t>
      </w:r>
    </w:p>
  </w:footnote>
  <w:footnote w:id="12">
    <w:p w:rsidR="00903E51" w:rsidP="00903E51" w14:paraId="76D551A8" w14:textId="098F0458">
      <w:pPr>
        <w:pStyle w:val="FootnoteText"/>
      </w:pPr>
      <w:r>
        <w:rPr>
          <w:rStyle w:val="FootnoteReference"/>
        </w:rPr>
        <w:footnoteRef/>
      </w:r>
      <w:r>
        <w:t xml:space="preserve"> </w:t>
      </w:r>
      <w:hyperlink r:id="rId2" w:history="1">
        <w:r w:rsidRPr="008B2946">
          <w:rPr>
            <w:rStyle w:val="Hyperlink"/>
          </w:rPr>
          <w:t>https://www.bls.gov/oes/current/oes231011.htm</w:t>
        </w:r>
      </w:hyperlink>
      <w:r>
        <w:t xml:space="preserve"> </w:t>
      </w:r>
    </w:p>
  </w:footnote>
  <w:footnote w:id="13">
    <w:p w:rsidR="00903E51" w:rsidP="00903E51" w14:paraId="70AA89AC" w14:textId="277B237A">
      <w:pPr>
        <w:pStyle w:val="FootnoteText"/>
      </w:pPr>
      <w:r>
        <w:rPr>
          <w:rStyle w:val="FootnoteReference"/>
        </w:rPr>
        <w:footnoteRef/>
      </w:r>
      <w:r>
        <w:t xml:space="preserve"> </w:t>
      </w:r>
      <w:hyperlink r:id="rId3" w:history="1">
        <w:r w:rsidRPr="008B2946">
          <w:rPr>
            <w:rStyle w:val="Hyperlink"/>
          </w:rPr>
          <w:t>https://www.bls.gov/oes/current/oes172141.htm</w:t>
        </w:r>
      </w:hyperlink>
      <w:r>
        <w:t xml:space="preserve"> </w:t>
      </w:r>
    </w:p>
  </w:footnote>
  <w:footnote w:id="14">
    <w:p w:rsidR="00903E51" w:rsidP="00903E51" w14:paraId="59707E33" w14:textId="6A1AFADF">
      <w:pPr>
        <w:pStyle w:val="FootnoteText"/>
      </w:pPr>
      <w:r>
        <w:rPr>
          <w:rStyle w:val="FootnoteReference"/>
        </w:rPr>
        <w:footnoteRef/>
      </w:r>
      <w:r>
        <w:t xml:space="preserve"> </w:t>
      </w:r>
      <w:hyperlink r:id="rId4" w:history="1">
        <w:r w:rsidRPr="008B2946">
          <w:rPr>
            <w:rStyle w:val="Hyperlink"/>
          </w:rPr>
          <w:t>https://www.bls.gov/oes/current/oes430000.htm</w:t>
        </w:r>
      </w:hyperlink>
      <w:r>
        <w:t xml:space="preserve"> </w:t>
      </w:r>
    </w:p>
  </w:footnote>
  <w:footnote w:id="15">
    <w:p w:rsidR="00903E51" w:rsidP="00903E51" w14:paraId="4BA647F6" w14:textId="5F3EF696">
      <w:pPr>
        <w:pStyle w:val="FootnoteText"/>
      </w:pPr>
      <w:r>
        <w:rPr>
          <w:rStyle w:val="FootnoteReference"/>
        </w:rPr>
        <w:footnoteRef/>
      </w:r>
      <w:r>
        <w:t xml:space="preserve"> </w:t>
      </w:r>
      <w:hyperlink r:id="rId5" w:history="1">
        <w:r w:rsidRPr="00022620" w:rsidR="00926290">
          <w:rPr>
            <w:rStyle w:val="Hyperlink"/>
          </w:rPr>
          <w:t>https://www.bls.gov/oes/current/oes151243.htm</w:t>
        </w:r>
      </w:hyperlink>
    </w:p>
  </w:footnote>
  <w:footnote w:id="16">
    <w:p w:rsidR="00903E51" w:rsidP="00903E51" w14:paraId="4523959D" w14:textId="6F886448">
      <w:pPr>
        <w:pStyle w:val="FootnoteText"/>
      </w:pPr>
      <w:r>
        <w:rPr>
          <w:rStyle w:val="FootnoteReference"/>
        </w:rPr>
        <w:footnoteRef/>
      </w:r>
      <w:r>
        <w:t xml:space="preserve"> </w:t>
      </w:r>
      <w:hyperlink r:id="rId3" w:history="1">
        <w:r w:rsidRPr="008B2946">
          <w:rPr>
            <w:rStyle w:val="Hyperlink"/>
          </w:rPr>
          <w:t>https://www.bls.gov/oes/current/oes172141.htm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84D" w:rsidP="00725453" w14:paraId="3DA00A6F"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1D5205FD"/>
    <w:multiLevelType w:val="hybridMultilevel"/>
    <w:tmpl w:val="BF3CE3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F867F5"/>
    <w:multiLevelType w:val="hybridMultilevel"/>
    <w:tmpl w:val="50206DF8"/>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2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1733498942">
    <w:abstractNumId w:val="10"/>
  </w:num>
  <w:num w:numId="2" w16cid:durableId="138807142">
    <w:abstractNumId w:val="9"/>
  </w:num>
  <w:num w:numId="3" w16cid:durableId="1126659379">
    <w:abstractNumId w:val="7"/>
  </w:num>
  <w:num w:numId="4" w16cid:durableId="335039023">
    <w:abstractNumId w:val="6"/>
  </w:num>
  <w:num w:numId="5" w16cid:durableId="790586095">
    <w:abstractNumId w:val="5"/>
  </w:num>
  <w:num w:numId="6" w16cid:durableId="1313096316">
    <w:abstractNumId w:val="4"/>
  </w:num>
  <w:num w:numId="7" w16cid:durableId="21906767">
    <w:abstractNumId w:val="8"/>
  </w:num>
  <w:num w:numId="8" w16cid:durableId="1591696097">
    <w:abstractNumId w:val="3"/>
  </w:num>
  <w:num w:numId="9" w16cid:durableId="1921789341">
    <w:abstractNumId w:val="2"/>
  </w:num>
  <w:num w:numId="10" w16cid:durableId="1996493400">
    <w:abstractNumId w:val="1"/>
  </w:num>
  <w:num w:numId="11" w16cid:durableId="266235676">
    <w:abstractNumId w:val="0"/>
  </w:num>
  <w:num w:numId="12" w16cid:durableId="1628274191">
    <w:abstractNumId w:val="18"/>
  </w:num>
  <w:num w:numId="13" w16cid:durableId="1443956629">
    <w:abstractNumId w:val="12"/>
  </w:num>
  <w:num w:numId="14" w16cid:durableId="1714380051">
    <w:abstractNumId w:val="15"/>
  </w:num>
  <w:num w:numId="15" w16cid:durableId="1214270207">
    <w:abstractNumId w:val="17"/>
  </w:num>
  <w:num w:numId="16" w16cid:durableId="1687631699">
    <w:abstractNumId w:val="10"/>
  </w:num>
  <w:num w:numId="17" w16cid:durableId="1380321232">
    <w:abstractNumId w:val="10"/>
  </w:num>
  <w:num w:numId="18" w16cid:durableId="1145128145">
    <w:abstractNumId w:val="16"/>
  </w:num>
  <w:num w:numId="19" w16cid:durableId="18411176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9863576">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622269587">
    <w:abstractNumId w:val="10"/>
  </w:num>
  <w:num w:numId="22" w16cid:durableId="292374415">
    <w:abstractNumId w:val="10"/>
  </w:num>
  <w:num w:numId="23" w16cid:durableId="1792825263">
    <w:abstractNumId w:val="10"/>
  </w:num>
  <w:num w:numId="24" w16cid:durableId="1491365232">
    <w:abstractNumId w:val="10"/>
  </w:num>
  <w:num w:numId="25" w16cid:durableId="814222630">
    <w:abstractNumId w:val="10"/>
  </w:num>
  <w:num w:numId="26" w16cid:durableId="2012679089">
    <w:abstractNumId w:val="19"/>
  </w:num>
  <w:num w:numId="27" w16cid:durableId="280115326">
    <w:abstractNumId w:val="10"/>
  </w:num>
  <w:num w:numId="28" w16cid:durableId="679047349">
    <w:abstractNumId w:val="19"/>
  </w:num>
  <w:num w:numId="29" w16cid:durableId="742871713">
    <w:abstractNumId w:val="19"/>
  </w:num>
  <w:num w:numId="30" w16cid:durableId="1364163051">
    <w:abstractNumId w:val="19"/>
  </w:num>
  <w:num w:numId="31" w16cid:durableId="1239704922">
    <w:abstractNumId w:val="10"/>
  </w:num>
  <w:num w:numId="32" w16cid:durableId="958996071">
    <w:abstractNumId w:val="10"/>
  </w:num>
  <w:num w:numId="33" w16cid:durableId="256835643">
    <w:abstractNumId w:val="10"/>
  </w:num>
  <w:num w:numId="34" w16cid:durableId="1477838087">
    <w:abstractNumId w:val="9"/>
  </w:num>
  <w:num w:numId="35" w16cid:durableId="1686859994">
    <w:abstractNumId w:val="7"/>
  </w:num>
  <w:num w:numId="36" w16cid:durableId="785350583">
    <w:abstractNumId w:val="6"/>
  </w:num>
  <w:num w:numId="37" w16cid:durableId="581722378">
    <w:abstractNumId w:val="5"/>
  </w:num>
  <w:num w:numId="38" w16cid:durableId="658190190">
    <w:abstractNumId w:val="12"/>
  </w:num>
  <w:num w:numId="39" w16cid:durableId="721713066">
    <w:abstractNumId w:val="19"/>
  </w:num>
  <w:num w:numId="40" w16cid:durableId="1017849895">
    <w:abstractNumId w:val="19"/>
  </w:num>
  <w:num w:numId="41" w16cid:durableId="1907299772">
    <w:abstractNumId w:val="19"/>
  </w:num>
  <w:num w:numId="42" w16cid:durableId="915361490">
    <w:abstractNumId w:val="12"/>
  </w:num>
  <w:num w:numId="43" w16cid:durableId="1757550465">
    <w:abstractNumId w:val="12"/>
  </w:num>
  <w:num w:numId="44" w16cid:durableId="1829712864">
    <w:abstractNumId w:val="12"/>
  </w:num>
  <w:num w:numId="45" w16cid:durableId="2146190872">
    <w:abstractNumId w:val="12"/>
  </w:num>
  <w:num w:numId="46" w16cid:durableId="1312171852">
    <w:abstractNumId w:val="11"/>
  </w:num>
  <w:num w:numId="47" w16cid:durableId="43219062">
    <w:abstractNumId w:val="20"/>
  </w:num>
  <w:num w:numId="48" w16cid:durableId="276764878">
    <w:abstractNumId w:val="20"/>
  </w:num>
  <w:num w:numId="49" w16cid:durableId="528837994">
    <w:abstractNumId w:val="13"/>
  </w:num>
  <w:num w:numId="50" w16cid:durableId="15304828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characterSpacingControl w:val="doNotCompress"/>
  <w:footnotePr>
    <w:pos w:val="beneathTex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63"/>
    <w:rsid w:val="0000019D"/>
    <w:rsid w:val="0000364C"/>
    <w:rsid w:val="000040D7"/>
    <w:rsid w:val="00004135"/>
    <w:rsid w:val="000041A1"/>
    <w:rsid w:val="000053BB"/>
    <w:rsid w:val="00011718"/>
    <w:rsid w:val="00011B3F"/>
    <w:rsid w:val="000128BD"/>
    <w:rsid w:val="00012F7E"/>
    <w:rsid w:val="00013373"/>
    <w:rsid w:val="0001339B"/>
    <w:rsid w:val="000142E5"/>
    <w:rsid w:val="00014429"/>
    <w:rsid w:val="00014A6B"/>
    <w:rsid w:val="00015DA7"/>
    <w:rsid w:val="000175C3"/>
    <w:rsid w:val="00020615"/>
    <w:rsid w:val="0002066A"/>
    <w:rsid w:val="000212EB"/>
    <w:rsid w:val="0002151D"/>
    <w:rsid w:val="000215AC"/>
    <w:rsid w:val="000216CA"/>
    <w:rsid w:val="00021D41"/>
    <w:rsid w:val="00022620"/>
    <w:rsid w:val="0002290E"/>
    <w:rsid w:val="00024091"/>
    <w:rsid w:val="000248CE"/>
    <w:rsid w:val="00024E1E"/>
    <w:rsid w:val="00034458"/>
    <w:rsid w:val="000349FB"/>
    <w:rsid w:val="00034A4B"/>
    <w:rsid w:val="00035E46"/>
    <w:rsid w:val="0003677F"/>
    <w:rsid w:val="000368D7"/>
    <w:rsid w:val="00036E4B"/>
    <w:rsid w:val="00040FF1"/>
    <w:rsid w:val="00041909"/>
    <w:rsid w:val="00043660"/>
    <w:rsid w:val="0004493C"/>
    <w:rsid w:val="000457E4"/>
    <w:rsid w:val="00046117"/>
    <w:rsid w:val="00046593"/>
    <w:rsid w:val="00047C08"/>
    <w:rsid w:val="00051E95"/>
    <w:rsid w:val="00053F3B"/>
    <w:rsid w:val="0005401F"/>
    <w:rsid w:val="00055769"/>
    <w:rsid w:val="00056EC3"/>
    <w:rsid w:val="00061D9C"/>
    <w:rsid w:val="000625C9"/>
    <w:rsid w:val="00062CFE"/>
    <w:rsid w:val="0006340C"/>
    <w:rsid w:val="000634F9"/>
    <w:rsid w:val="000644B7"/>
    <w:rsid w:val="00066714"/>
    <w:rsid w:val="00070E18"/>
    <w:rsid w:val="0007129A"/>
    <w:rsid w:val="00071D48"/>
    <w:rsid w:val="000747BF"/>
    <w:rsid w:val="00076FDB"/>
    <w:rsid w:val="0008145D"/>
    <w:rsid w:val="000831C4"/>
    <w:rsid w:val="000844CA"/>
    <w:rsid w:val="00084759"/>
    <w:rsid w:val="0008587C"/>
    <w:rsid w:val="00085C1D"/>
    <w:rsid w:val="000867FA"/>
    <w:rsid w:val="000947DE"/>
    <w:rsid w:val="00094EEE"/>
    <w:rsid w:val="00096355"/>
    <w:rsid w:val="00097775"/>
    <w:rsid w:val="000A0B29"/>
    <w:rsid w:val="000A1B35"/>
    <w:rsid w:val="000A4A6C"/>
    <w:rsid w:val="000A5997"/>
    <w:rsid w:val="000A603A"/>
    <w:rsid w:val="000A6F86"/>
    <w:rsid w:val="000A7AEF"/>
    <w:rsid w:val="000B015F"/>
    <w:rsid w:val="000B0760"/>
    <w:rsid w:val="000B0CCD"/>
    <w:rsid w:val="000B151D"/>
    <w:rsid w:val="000B2731"/>
    <w:rsid w:val="000B3FBE"/>
    <w:rsid w:val="000B4ED4"/>
    <w:rsid w:val="000B59AD"/>
    <w:rsid w:val="000C0115"/>
    <w:rsid w:val="000C0BB1"/>
    <w:rsid w:val="000C28E1"/>
    <w:rsid w:val="000C3C9E"/>
    <w:rsid w:val="000C505F"/>
    <w:rsid w:val="000C5311"/>
    <w:rsid w:val="000C53C3"/>
    <w:rsid w:val="000C5EC7"/>
    <w:rsid w:val="000C61E2"/>
    <w:rsid w:val="000D0A07"/>
    <w:rsid w:val="000D14AD"/>
    <w:rsid w:val="000D1DFB"/>
    <w:rsid w:val="000D2C9A"/>
    <w:rsid w:val="000D30C4"/>
    <w:rsid w:val="000E1F07"/>
    <w:rsid w:val="000E20D1"/>
    <w:rsid w:val="000E3554"/>
    <w:rsid w:val="000E4F0C"/>
    <w:rsid w:val="000E7E2C"/>
    <w:rsid w:val="000F040A"/>
    <w:rsid w:val="000F7623"/>
    <w:rsid w:val="000F7662"/>
    <w:rsid w:val="000F76FE"/>
    <w:rsid w:val="00100717"/>
    <w:rsid w:val="001034E8"/>
    <w:rsid w:val="00104E79"/>
    <w:rsid w:val="001061ED"/>
    <w:rsid w:val="00106A14"/>
    <w:rsid w:val="00106B9C"/>
    <w:rsid w:val="00107F2B"/>
    <w:rsid w:val="00111DB6"/>
    <w:rsid w:val="00112A69"/>
    <w:rsid w:val="0011318B"/>
    <w:rsid w:val="0011541D"/>
    <w:rsid w:val="00115B52"/>
    <w:rsid w:val="001169C1"/>
    <w:rsid w:val="00116F13"/>
    <w:rsid w:val="00121C1A"/>
    <w:rsid w:val="0012219D"/>
    <w:rsid w:val="00122FE7"/>
    <w:rsid w:val="00124428"/>
    <w:rsid w:val="0012736E"/>
    <w:rsid w:val="00127E16"/>
    <w:rsid w:val="00130001"/>
    <w:rsid w:val="00131618"/>
    <w:rsid w:val="00131BAB"/>
    <w:rsid w:val="00132F4A"/>
    <w:rsid w:val="00134BDD"/>
    <w:rsid w:val="00136614"/>
    <w:rsid w:val="00141163"/>
    <w:rsid w:val="00142FA5"/>
    <w:rsid w:val="0014327D"/>
    <w:rsid w:val="00144760"/>
    <w:rsid w:val="00146069"/>
    <w:rsid w:val="00146601"/>
    <w:rsid w:val="00147303"/>
    <w:rsid w:val="00150645"/>
    <w:rsid w:val="00154192"/>
    <w:rsid w:val="00155774"/>
    <w:rsid w:val="00156A20"/>
    <w:rsid w:val="0015787E"/>
    <w:rsid w:val="00160BC8"/>
    <w:rsid w:val="00160D20"/>
    <w:rsid w:val="00162F63"/>
    <w:rsid w:val="001643E2"/>
    <w:rsid w:val="001659AC"/>
    <w:rsid w:val="001659AD"/>
    <w:rsid w:val="00166AB5"/>
    <w:rsid w:val="00167425"/>
    <w:rsid w:val="0017016E"/>
    <w:rsid w:val="001711DA"/>
    <w:rsid w:val="0017328D"/>
    <w:rsid w:val="00174352"/>
    <w:rsid w:val="0017487F"/>
    <w:rsid w:val="00175CEE"/>
    <w:rsid w:val="00177430"/>
    <w:rsid w:val="001807A3"/>
    <w:rsid w:val="00180BF0"/>
    <w:rsid w:val="001875EC"/>
    <w:rsid w:val="00187D84"/>
    <w:rsid w:val="0019081F"/>
    <w:rsid w:val="001934E1"/>
    <w:rsid w:val="00193610"/>
    <w:rsid w:val="001947D5"/>
    <w:rsid w:val="001963FB"/>
    <w:rsid w:val="00196BBB"/>
    <w:rsid w:val="00197B1B"/>
    <w:rsid w:val="001A0340"/>
    <w:rsid w:val="001A0BAB"/>
    <w:rsid w:val="001A20D2"/>
    <w:rsid w:val="001A2AFA"/>
    <w:rsid w:val="001A58B3"/>
    <w:rsid w:val="001A6D92"/>
    <w:rsid w:val="001A6E1E"/>
    <w:rsid w:val="001A6E9A"/>
    <w:rsid w:val="001A6FAF"/>
    <w:rsid w:val="001B0E69"/>
    <w:rsid w:val="001B0F3B"/>
    <w:rsid w:val="001B35CA"/>
    <w:rsid w:val="001B3FEE"/>
    <w:rsid w:val="001B5BA1"/>
    <w:rsid w:val="001B62D9"/>
    <w:rsid w:val="001B640E"/>
    <w:rsid w:val="001B6585"/>
    <w:rsid w:val="001B6CB7"/>
    <w:rsid w:val="001B6E0F"/>
    <w:rsid w:val="001C1AF5"/>
    <w:rsid w:val="001C214A"/>
    <w:rsid w:val="001C2D60"/>
    <w:rsid w:val="001C4A75"/>
    <w:rsid w:val="001C5287"/>
    <w:rsid w:val="001C723B"/>
    <w:rsid w:val="001C76B7"/>
    <w:rsid w:val="001D03A8"/>
    <w:rsid w:val="001D1FAB"/>
    <w:rsid w:val="001D5877"/>
    <w:rsid w:val="001D6593"/>
    <w:rsid w:val="001D6AC0"/>
    <w:rsid w:val="001D72F5"/>
    <w:rsid w:val="001D7CE7"/>
    <w:rsid w:val="001E16DD"/>
    <w:rsid w:val="001E23C5"/>
    <w:rsid w:val="001E27BC"/>
    <w:rsid w:val="001F2E03"/>
    <w:rsid w:val="001F3A8F"/>
    <w:rsid w:val="001F3F96"/>
    <w:rsid w:val="001F3FC4"/>
    <w:rsid w:val="001F4822"/>
    <w:rsid w:val="001F5F2C"/>
    <w:rsid w:val="001F652E"/>
    <w:rsid w:val="001F679D"/>
    <w:rsid w:val="002008B4"/>
    <w:rsid w:val="00200E55"/>
    <w:rsid w:val="00201F24"/>
    <w:rsid w:val="002054BE"/>
    <w:rsid w:val="00211C4B"/>
    <w:rsid w:val="002127CE"/>
    <w:rsid w:val="00212F5D"/>
    <w:rsid w:val="00214705"/>
    <w:rsid w:val="00214A81"/>
    <w:rsid w:val="00214E7D"/>
    <w:rsid w:val="00215842"/>
    <w:rsid w:val="002207DF"/>
    <w:rsid w:val="00221AC2"/>
    <w:rsid w:val="002238B8"/>
    <w:rsid w:val="00224F73"/>
    <w:rsid w:val="00225606"/>
    <w:rsid w:val="002266AA"/>
    <w:rsid w:val="00227E4B"/>
    <w:rsid w:val="0023015A"/>
    <w:rsid w:val="00231602"/>
    <w:rsid w:val="00231A00"/>
    <w:rsid w:val="00233E14"/>
    <w:rsid w:val="00235354"/>
    <w:rsid w:val="0023708A"/>
    <w:rsid w:val="00240E10"/>
    <w:rsid w:val="002411A0"/>
    <w:rsid w:val="00243AA4"/>
    <w:rsid w:val="00243D0F"/>
    <w:rsid w:val="002447B0"/>
    <w:rsid w:val="00244CE3"/>
    <w:rsid w:val="00244E5F"/>
    <w:rsid w:val="002450EC"/>
    <w:rsid w:val="00247D76"/>
    <w:rsid w:val="002500A2"/>
    <w:rsid w:val="0025022D"/>
    <w:rsid w:val="00252962"/>
    <w:rsid w:val="0025305F"/>
    <w:rsid w:val="002530BB"/>
    <w:rsid w:val="002556F3"/>
    <w:rsid w:val="00256478"/>
    <w:rsid w:val="00256602"/>
    <w:rsid w:val="00260EDF"/>
    <w:rsid w:val="0026121E"/>
    <w:rsid w:val="0026267D"/>
    <w:rsid w:val="00264148"/>
    <w:rsid w:val="00270BFC"/>
    <w:rsid w:val="002718C2"/>
    <w:rsid w:val="00271B12"/>
    <w:rsid w:val="002722D9"/>
    <w:rsid w:val="00274179"/>
    <w:rsid w:val="002741C0"/>
    <w:rsid w:val="0027450D"/>
    <w:rsid w:val="0027450F"/>
    <w:rsid w:val="00277A24"/>
    <w:rsid w:val="00281FD4"/>
    <w:rsid w:val="00282F05"/>
    <w:rsid w:val="002833BD"/>
    <w:rsid w:val="00283DEE"/>
    <w:rsid w:val="0028562A"/>
    <w:rsid w:val="0029020C"/>
    <w:rsid w:val="00291F3B"/>
    <w:rsid w:val="00292568"/>
    <w:rsid w:val="002945D5"/>
    <w:rsid w:val="00294A78"/>
    <w:rsid w:val="00294C47"/>
    <w:rsid w:val="00295BBE"/>
    <w:rsid w:val="00295C06"/>
    <w:rsid w:val="002A324E"/>
    <w:rsid w:val="002A4B97"/>
    <w:rsid w:val="002A4DF7"/>
    <w:rsid w:val="002A64EA"/>
    <w:rsid w:val="002A6D10"/>
    <w:rsid w:val="002A709E"/>
    <w:rsid w:val="002A7C73"/>
    <w:rsid w:val="002B03DD"/>
    <w:rsid w:val="002B0591"/>
    <w:rsid w:val="002B0BE0"/>
    <w:rsid w:val="002B0FD2"/>
    <w:rsid w:val="002B5DCC"/>
    <w:rsid w:val="002B7B50"/>
    <w:rsid w:val="002C15EA"/>
    <w:rsid w:val="002C1FBA"/>
    <w:rsid w:val="002C2D2A"/>
    <w:rsid w:val="002C303B"/>
    <w:rsid w:val="002C378C"/>
    <w:rsid w:val="002C5125"/>
    <w:rsid w:val="002C67C8"/>
    <w:rsid w:val="002C6D21"/>
    <w:rsid w:val="002C6DC4"/>
    <w:rsid w:val="002C70F7"/>
    <w:rsid w:val="002D2BC8"/>
    <w:rsid w:val="002D405B"/>
    <w:rsid w:val="002D5A96"/>
    <w:rsid w:val="002D5B83"/>
    <w:rsid w:val="002E0B52"/>
    <w:rsid w:val="002E1895"/>
    <w:rsid w:val="002E1C19"/>
    <w:rsid w:val="002E3910"/>
    <w:rsid w:val="002E3B1D"/>
    <w:rsid w:val="002E3FD5"/>
    <w:rsid w:val="002E5BCC"/>
    <w:rsid w:val="002E64F6"/>
    <w:rsid w:val="002E7A38"/>
    <w:rsid w:val="002E7C02"/>
    <w:rsid w:val="002F01FD"/>
    <w:rsid w:val="002F17CD"/>
    <w:rsid w:val="002F1CF8"/>
    <w:rsid w:val="002F35D2"/>
    <w:rsid w:val="002F4104"/>
    <w:rsid w:val="002F6C8A"/>
    <w:rsid w:val="0030219E"/>
    <w:rsid w:val="00303B07"/>
    <w:rsid w:val="00304100"/>
    <w:rsid w:val="00304162"/>
    <w:rsid w:val="00305EB7"/>
    <w:rsid w:val="00306516"/>
    <w:rsid w:val="00306F27"/>
    <w:rsid w:val="0031152E"/>
    <w:rsid w:val="00312079"/>
    <w:rsid w:val="003133F3"/>
    <w:rsid w:val="003138C4"/>
    <w:rsid w:val="00313C6D"/>
    <w:rsid w:val="00314D5A"/>
    <w:rsid w:val="00321453"/>
    <w:rsid w:val="00321EBA"/>
    <w:rsid w:val="003220A2"/>
    <w:rsid w:val="00323E50"/>
    <w:rsid w:val="00325693"/>
    <w:rsid w:val="0032579A"/>
    <w:rsid w:val="0032632F"/>
    <w:rsid w:val="00326D13"/>
    <w:rsid w:val="003301EC"/>
    <w:rsid w:val="00331452"/>
    <w:rsid w:val="00332B75"/>
    <w:rsid w:val="00336564"/>
    <w:rsid w:val="0034155A"/>
    <w:rsid w:val="0034388A"/>
    <w:rsid w:val="003447FB"/>
    <w:rsid w:val="00344FE7"/>
    <w:rsid w:val="00345872"/>
    <w:rsid w:val="003469CB"/>
    <w:rsid w:val="00350C8B"/>
    <w:rsid w:val="00351313"/>
    <w:rsid w:val="00351A73"/>
    <w:rsid w:val="00351EE1"/>
    <w:rsid w:val="00352302"/>
    <w:rsid w:val="00353C8A"/>
    <w:rsid w:val="00356167"/>
    <w:rsid w:val="00360065"/>
    <w:rsid w:val="00360B6D"/>
    <w:rsid w:val="00363331"/>
    <w:rsid w:val="00363344"/>
    <w:rsid w:val="003644B4"/>
    <w:rsid w:val="00367A68"/>
    <w:rsid w:val="00371E14"/>
    <w:rsid w:val="00373208"/>
    <w:rsid w:val="00374AD4"/>
    <w:rsid w:val="00375E46"/>
    <w:rsid w:val="00376B92"/>
    <w:rsid w:val="00383DB3"/>
    <w:rsid w:val="003854B2"/>
    <w:rsid w:val="0038581F"/>
    <w:rsid w:val="00385AE6"/>
    <w:rsid w:val="00387C8D"/>
    <w:rsid w:val="00391ED0"/>
    <w:rsid w:val="00392DD0"/>
    <w:rsid w:val="00393EA7"/>
    <w:rsid w:val="00396BCB"/>
    <w:rsid w:val="00396D01"/>
    <w:rsid w:val="00397002"/>
    <w:rsid w:val="00397825"/>
    <w:rsid w:val="003A0A00"/>
    <w:rsid w:val="003A1073"/>
    <w:rsid w:val="003A10F3"/>
    <w:rsid w:val="003A1EB5"/>
    <w:rsid w:val="003A3906"/>
    <w:rsid w:val="003A5747"/>
    <w:rsid w:val="003A6D04"/>
    <w:rsid w:val="003B03A4"/>
    <w:rsid w:val="003B0A78"/>
    <w:rsid w:val="003B156F"/>
    <w:rsid w:val="003B56A6"/>
    <w:rsid w:val="003B5E97"/>
    <w:rsid w:val="003B63EC"/>
    <w:rsid w:val="003B6D4D"/>
    <w:rsid w:val="003B6F28"/>
    <w:rsid w:val="003B6FB7"/>
    <w:rsid w:val="003B754B"/>
    <w:rsid w:val="003C03EA"/>
    <w:rsid w:val="003C3FD6"/>
    <w:rsid w:val="003C690C"/>
    <w:rsid w:val="003C6EB0"/>
    <w:rsid w:val="003C7917"/>
    <w:rsid w:val="003D4D3A"/>
    <w:rsid w:val="003D5028"/>
    <w:rsid w:val="003E204C"/>
    <w:rsid w:val="003E206C"/>
    <w:rsid w:val="003E2740"/>
    <w:rsid w:val="003E39D2"/>
    <w:rsid w:val="003E40FA"/>
    <w:rsid w:val="003E6612"/>
    <w:rsid w:val="003E7CE9"/>
    <w:rsid w:val="003F24ED"/>
    <w:rsid w:val="003F4C85"/>
    <w:rsid w:val="003F529E"/>
    <w:rsid w:val="004029A0"/>
    <w:rsid w:val="00402BB7"/>
    <w:rsid w:val="00402EF7"/>
    <w:rsid w:val="0040431B"/>
    <w:rsid w:val="00404E99"/>
    <w:rsid w:val="004079CD"/>
    <w:rsid w:val="00407CCE"/>
    <w:rsid w:val="004111EE"/>
    <w:rsid w:val="004127E8"/>
    <w:rsid w:val="00414B77"/>
    <w:rsid w:val="00423F70"/>
    <w:rsid w:val="00424C81"/>
    <w:rsid w:val="004252E3"/>
    <w:rsid w:val="00425BBB"/>
    <w:rsid w:val="00426481"/>
    <w:rsid w:val="00426FF1"/>
    <w:rsid w:val="0042735D"/>
    <w:rsid w:val="00427DAF"/>
    <w:rsid w:val="004324A2"/>
    <w:rsid w:val="00432966"/>
    <w:rsid w:val="004343BA"/>
    <w:rsid w:val="004344A8"/>
    <w:rsid w:val="00434C34"/>
    <w:rsid w:val="004355C3"/>
    <w:rsid w:val="00440B3B"/>
    <w:rsid w:val="00442286"/>
    <w:rsid w:val="00443F21"/>
    <w:rsid w:val="00443F23"/>
    <w:rsid w:val="004463A9"/>
    <w:rsid w:val="00446A8F"/>
    <w:rsid w:val="00447560"/>
    <w:rsid w:val="0045082D"/>
    <w:rsid w:val="00452944"/>
    <w:rsid w:val="00454AA2"/>
    <w:rsid w:val="00454EBE"/>
    <w:rsid w:val="0045608E"/>
    <w:rsid w:val="0045662F"/>
    <w:rsid w:val="00460AB5"/>
    <w:rsid w:val="00461BC1"/>
    <w:rsid w:val="00461C50"/>
    <w:rsid w:val="00462207"/>
    <w:rsid w:val="00466959"/>
    <w:rsid w:val="00466F3F"/>
    <w:rsid w:val="004754D2"/>
    <w:rsid w:val="0047784B"/>
    <w:rsid w:val="00477C18"/>
    <w:rsid w:val="0048207A"/>
    <w:rsid w:val="00483D97"/>
    <w:rsid w:val="00487081"/>
    <w:rsid w:val="00491D38"/>
    <w:rsid w:val="0049227D"/>
    <w:rsid w:val="004946F0"/>
    <w:rsid w:val="00495792"/>
    <w:rsid w:val="00497295"/>
    <w:rsid w:val="00497C2A"/>
    <w:rsid w:val="004A54A2"/>
    <w:rsid w:val="004A5788"/>
    <w:rsid w:val="004B088B"/>
    <w:rsid w:val="004B1075"/>
    <w:rsid w:val="004B4028"/>
    <w:rsid w:val="004B59A8"/>
    <w:rsid w:val="004B6512"/>
    <w:rsid w:val="004B680E"/>
    <w:rsid w:val="004C0267"/>
    <w:rsid w:val="004C09B9"/>
    <w:rsid w:val="004C1D92"/>
    <w:rsid w:val="004C277B"/>
    <w:rsid w:val="004C3DAD"/>
    <w:rsid w:val="004C40ED"/>
    <w:rsid w:val="004D05FB"/>
    <w:rsid w:val="004D08F3"/>
    <w:rsid w:val="004D1AC8"/>
    <w:rsid w:val="004D2077"/>
    <w:rsid w:val="004D29C7"/>
    <w:rsid w:val="004E2349"/>
    <w:rsid w:val="004E2BA8"/>
    <w:rsid w:val="004E2F40"/>
    <w:rsid w:val="004E5931"/>
    <w:rsid w:val="004E62DB"/>
    <w:rsid w:val="004E6813"/>
    <w:rsid w:val="004F006E"/>
    <w:rsid w:val="004F0CD0"/>
    <w:rsid w:val="004F1E19"/>
    <w:rsid w:val="004F3132"/>
    <w:rsid w:val="004F7305"/>
    <w:rsid w:val="004F737A"/>
    <w:rsid w:val="00500D6E"/>
    <w:rsid w:val="00504119"/>
    <w:rsid w:val="00505698"/>
    <w:rsid w:val="00505D15"/>
    <w:rsid w:val="005065CF"/>
    <w:rsid w:val="00506BB4"/>
    <w:rsid w:val="0050705F"/>
    <w:rsid w:val="00510870"/>
    <w:rsid w:val="00514057"/>
    <w:rsid w:val="005170D3"/>
    <w:rsid w:val="0052142E"/>
    <w:rsid w:val="0052493A"/>
    <w:rsid w:val="00526F15"/>
    <w:rsid w:val="0052783E"/>
    <w:rsid w:val="00531237"/>
    <w:rsid w:val="00531EB0"/>
    <w:rsid w:val="00532678"/>
    <w:rsid w:val="00535CAF"/>
    <w:rsid w:val="00535EF2"/>
    <w:rsid w:val="00536054"/>
    <w:rsid w:val="0053646E"/>
    <w:rsid w:val="0053654B"/>
    <w:rsid w:val="00536CE1"/>
    <w:rsid w:val="005376FE"/>
    <w:rsid w:val="00537A91"/>
    <w:rsid w:val="0054180D"/>
    <w:rsid w:val="00541C01"/>
    <w:rsid w:val="00541C5A"/>
    <w:rsid w:val="00545C0F"/>
    <w:rsid w:val="0054718C"/>
    <w:rsid w:val="00547B53"/>
    <w:rsid w:val="005515CD"/>
    <w:rsid w:val="0055394C"/>
    <w:rsid w:val="0055473E"/>
    <w:rsid w:val="005579EC"/>
    <w:rsid w:val="005600A4"/>
    <w:rsid w:val="00560B89"/>
    <w:rsid w:val="005627D8"/>
    <w:rsid w:val="00562961"/>
    <w:rsid w:val="005643D4"/>
    <w:rsid w:val="0056573B"/>
    <w:rsid w:val="00565A08"/>
    <w:rsid w:val="0056702F"/>
    <w:rsid w:val="005678F2"/>
    <w:rsid w:val="00567B43"/>
    <w:rsid w:val="0057016A"/>
    <w:rsid w:val="00571D8F"/>
    <w:rsid w:val="0057367D"/>
    <w:rsid w:val="005741CC"/>
    <w:rsid w:val="005748D7"/>
    <w:rsid w:val="0057784D"/>
    <w:rsid w:val="0058066A"/>
    <w:rsid w:val="005811A1"/>
    <w:rsid w:val="00581BA7"/>
    <w:rsid w:val="005826E8"/>
    <w:rsid w:val="00585BE3"/>
    <w:rsid w:val="005873E9"/>
    <w:rsid w:val="0059212D"/>
    <w:rsid w:val="0059376E"/>
    <w:rsid w:val="005945CF"/>
    <w:rsid w:val="00596638"/>
    <w:rsid w:val="00596F64"/>
    <w:rsid w:val="005976F9"/>
    <w:rsid w:val="005A12B8"/>
    <w:rsid w:val="005A34F9"/>
    <w:rsid w:val="005A551E"/>
    <w:rsid w:val="005A743C"/>
    <w:rsid w:val="005A7476"/>
    <w:rsid w:val="005A74BF"/>
    <w:rsid w:val="005A7E75"/>
    <w:rsid w:val="005B2B58"/>
    <w:rsid w:val="005B65DE"/>
    <w:rsid w:val="005C00FA"/>
    <w:rsid w:val="005C1C9A"/>
    <w:rsid w:val="005C2D89"/>
    <w:rsid w:val="005C3597"/>
    <w:rsid w:val="005C485B"/>
    <w:rsid w:val="005C5F68"/>
    <w:rsid w:val="005C6921"/>
    <w:rsid w:val="005C7B29"/>
    <w:rsid w:val="005D1B15"/>
    <w:rsid w:val="005D35A2"/>
    <w:rsid w:val="005D39D7"/>
    <w:rsid w:val="005D5956"/>
    <w:rsid w:val="005D6F63"/>
    <w:rsid w:val="005D7378"/>
    <w:rsid w:val="005E36CE"/>
    <w:rsid w:val="005E5984"/>
    <w:rsid w:val="005E5EBD"/>
    <w:rsid w:val="005E7886"/>
    <w:rsid w:val="005F1C12"/>
    <w:rsid w:val="005F44C0"/>
    <w:rsid w:val="005F4848"/>
    <w:rsid w:val="005F528E"/>
    <w:rsid w:val="005F6090"/>
    <w:rsid w:val="005F6B6C"/>
    <w:rsid w:val="005F7B70"/>
    <w:rsid w:val="0060029F"/>
    <w:rsid w:val="006007CE"/>
    <w:rsid w:val="00605AAB"/>
    <w:rsid w:val="00611CBE"/>
    <w:rsid w:val="00612836"/>
    <w:rsid w:val="006164E8"/>
    <w:rsid w:val="00616E46"/>
    <w:rsid w:val="0061746A"/>
    <w:rsid w:val="006175A5"/>
    <w:rsid w:val="0062008C"/>
    <w:rsid w:val="00620319"/>
    <w:rsid w:val="00620797"/>
    <w:rsid w:val="00621DF2"/>
    <w:rsid w:val="00624504"/>
    <w:rsid w:val="0062543D"/>
    <w:rsid w:val="00626096"/>
    <w:rsid w:val="00626494"/>
    <w:rsid w:val="00631FDB"/>
    <w:rsid w:val="0063276A"/>
    <w:rsid w:val="0063369D"/>
    <w:rsid w:val="00641DE2"/>
    <w:rsid w:val="00642DBE"/>
    <w:rsid w:val="0064337D"/>
    <w:rsid w:val="00643384"/>
    <w:rsid w:val="006447C5"/>
    <w:rsid w:val="0064505B"/>
    <w:rsid w:val="006509E0"/>
    <w:rsid w:val="0065105A"/>
    <w:rsid w:val="0065105D"/>
    <w:rsid w:val="00652A34"/>
    <w:rsid w:val="006533FF"/>
    <w:rsid w:val="0065406F"/>
    <w:rsid w:val="0065435E"/>
    <w:rsid w:val="00654DE6"/>
    <w:rsid w:val="006603F3"/>
    <w:rsid w:val="0066188C"/>
    <w:rsid w:val="00663EC4"/>
    <w:rsid w:val="0066410C"/>
    <w:rsid w:val="006655E5"/>
    <w:rsid w:val="00666BE0"/>
    <w:rsid w:val="00667314"/>
    <w:rsid w:val="00670B5A"/>
    <w:rsid w:val="00670B95"/>
    <w:rsid w:val="006731FC"/>
    <w:rsid w:val="00677C5F"/>
    <w:rsid w:val="00682EC7"/>
    <w:rsid w:val="00683335"/>
    <w:rsid w:val="00684B5C"/>
    <w:rsid w:val="006865C0"/>
    <w:rsid w:val="00686BB6"/>
    <w:rsid w:val="00687566"/>
    <w:rsid w:val="00687C84"/>
    <w:rsid w:val="00687D5B"/>
    <w:rsid w:val="0069086A"/>
    <w:rsid w:val="00694133"/>
    <w:rsid w:val="006941E4"/>
    <w:rsid w:val="006947B2"/>
    <w:rsid w:val="00695663"/>
    <w:rsid w:val="00696E4D"/>
    <w:rsid w:val="006971BD"/>
    <w:rsid w:val="006A0797"/>
    <w:rsid w:val="006A0BC7"/>
    <w:rsid w:val="006A38D6"/>
    <w:rsid w:val="006A5787"/>
    <w:rsid w:val="006B03DF"/>
    <w:rsid w:val="006B0F8C"/>
    <w:rsid w:val="006B36BE"/>
    <w:rsid w:val="006B453A"/>
    <w:rsid w:val="006B564B"/>
    <w:rsid w:val="006B70DA"/>
    <w:rsid w:val="006C0062"/>
    <w:rsid w:val="006C097E"/>
    <w:rsid w:val="006C0F47"/>
    <w:rsid w:val="006C127D"/>
    <w:rsid w:val="006C1C29"/>
    <w:rsid w:val="006C2DC3"/>
    <w:rsid w:val="006D02EE"/>
    <w:rsid w:val="006D0439"/>
    <w:rsid w:val="006D42EC"/>
    <w:rsid w:val="006D5048"/>
    <w:rsid w:val="006D614D"/>
    <w:rsid w:val="006E219A"/>
    <w:rsid w:val="006E48F3"/>
    <w:rsid w:val="006E68A6"/>
    <w:rsid w:val="006E7D3F"/>
    <w:rsid w:val="006F1908"/>
    <w:rsid w:val="006F191A"/>
    <w:rsid w:val="006F3C12"/>
    <w:rsid w:val="006F4235"/>
    <w:rsid w:val="006F5F4C"/>
    <w:rsid w:val="006F7DE2"/>
    <w:rsid w:val="00702DA7"/>
    <w:rsid w:val="007034B0"/>
    <w:rsid w:val="00704B7D"/>
    <w:rsid w:val="00707692"/>
    <w:rsid w:val="00711414"/>
    <w:rsid w:val="00713B0A"/>
    <w:rsid w:val="0071601F"/>
    <w:rsid w:val="007170D2"/>
    <w:rsid w:val="00717BA4"/>
    <w:rsid w:val="00720883"/>
    <w:rsid w:val="007218FF"/>
    <w:rsid w:val="007243E1"/>
    <w:rsid w:val="00725453"/>
    <w:rsid w:val="0072598D"/>
    <w:rsid w:val="00727337"/>
    <w:rsid w:val="0073034F"/>
    <w:rsid w:val="00730DA0"/>
    <w:rsid w:val="007318F9"/>
    <w:rsid w:val="00732056"/>
    <w:rsid w:val="00736D73"/>
    <w:rsid w:val="00737591"/>
    <w:rsid w:val="007407D7"/>
    <w:rsid w:val="00740B72"/>
    <w:rsid w:val="007431A7"/>
    <w:rsid w:val="007437AB"/>
    <w:rsid w:val="007438F2"/>
    <w:rsid w:val="007443DF"/>
    <w:rsid w:val="007475A7"/>
    <w:rsid w:val="00747D9C"/>
    <w:rsid w:val="00751772"/>
    <w:rsid w:val="00753320"/>
    <w:rsid w:val="0075381B"/>
    <w:rsid w:val="00755B93"/>
    <w:rsid w:val="00755C3D"/>
    <w:rsid w:val="007576EF"/>
    <w:rsid w:val="00760677"/>
    <w:rsid w:val="00761C12"/>
    <w:rsid w:val="00762CD4"/>
    <w:rsid w:val="00764709"/>
    <w:rsid w:val="00764F7D"/>
    <w:rsid w:val="007658BA"/>
    <w:rsid w:val="00772831"/>
    <w:rsid w:val="00774A0D"/>
    <w:rsid w:val="00776CF4"/>
    <w:rsid w:val="007772AC"/>
    <w:rsid w:val="00777E63"/>
    <w:rsid w:val="00781D00"/>
    <w:rsid w:val="007843FD"/>
    <w:rsid w:val="00784F89"/>
    <w:rsid w:val="00785B26"/>
    <w:rsid w:val="00786336"/>
    <w:rsid w:val="00786F93"/>
    <w:rsid w:val="00787DE1"/>
    <w:rsid w:val="007912A5"/>
    <w:rsid w:val="00791F78"/>
    <w:rsid w:val="00791FF5"/>
    <w:rsid w:val="00792196"/>
    <w:rsid w:val="00792DCE"/>
    <w:rsid w:val="00793161"/>
    <w:rsid w:val="007951D6"/>
    <w:rsid w:val="00797227"/>
    <w:rsid w:val="00797497"/>
    <w:rsid w:val="007A0E7F"/>
    <w:rsid w:val="007A243D"/>
    <w:rsid w:val="007A4378"/>
    <w:rsid w:val="007A4992"/>
    <w:rsid w:val="007B04C1"/>
    <w:rsid w:val="007B0831"/>
    <w:rsid w:val="007B146D"/>
    <w:rsid w:val="007B5547"/>
    <w:rsid w:val="007C2849"/>
    <w:rsid w:val="007C3491"/>
    <w:rsid w:val="007C5141"/>
    <w:rsid w:val="007C57DD"/>
    <w:rsid w:val="007C5CE9"/>
    <w:rsid w:val="007D12F8"/>
    <w:rsid w:val="007D39CC"/>
    <w:rsid w:val="007D48F7"/>
    <w:rsid w:val="007D64FD"/>
    <w:rsid w:val="007D6AAF"/>
    <w:rsid w:val="007D74B6"/>
    <w:rsid w:val="007D762E"/>
    <w:rsid w:val="007E1629"/>
    <w:rsid w:val="007E1B49"/>
    <w:rsid w:val="007E29F8"/>
    <w:rsid w:val="007E3002"/>
    <w:rsid w:val="007E48C0"/>
    <w:rsid w:val="007E5905"/>
    <w:rsid w:val="007E5A11"/>
    <w:rsid w:val="007E6704"/>
    <w:rsid w:val="007E684C"/>
    <w:rsid w:val="007E73E6"/>
    <w:rsid w:val="007E76D2"/>
    <w:rsid w:val="007E7951"/>
    <w:rsid w:val="007F017A"/>
    <w:rsid w:val="007F1256"/>
    <w:rsid w:val="007F1305"/>
    <w:rsid w:val="007F1954"/>
    <w:rsid w:val="007F21D7"/>
    <w:rsid w:val="007F2AA8"/>
    <w:rsid w:val="007F4BFE"/>
    <w:rsid w:val="007F5282"/>
    <w:rsid w:val="008001FE"/>
    <w:rsid w:val="008003CB"/>
    <w:rsid w:val="008009E2"/>
    <w:rsid w:val="00800C91"/>
    <w:rsid w:val="00802833"/>
    <w:rsid w:val="00803609"/>
    <w:rsid w:val="008057F8"/>
    <w:rsid w:val="0081190D"/>
    <w:rsid w:val="00811910"/>
    <w:rsid w:val="00812C91"/>
    <w:rsid w:val="008156EC"/>
    <w:rsid w:val="00815A0B"/>
    <w:rsid w:val="00817E91"/>
    <w:rsid w:val="008213F9"/>
    <w:rsid w:val="00822087"/>
    <w:rsid w:val="00822713"/>
    <w:rsid w:val="008239E7"/>
    <w:rsid w:val="00824A37"/>
    <w:rsid w:val="00827575"/>
    <w:rsid w:val="008307E1"/>
    <w:rsid w:val="008312C0"/>
    <w:rsid w:val="008332F1"/>
    <w:rsid w:val="00836D61"/>
    <w:rsid w:val="00836D62"/>
    <w:rsid w:val="008371FD"/>
    <w:rsid w:val="00841287"/>
    <w:rsid w:val="00844524"/>
    <w:rsid w:val="00844538"/>
    <w:rsid w:val="00850AA0"/>
    <w:rsid w:val="008526FB"/>
    <w:rsid w:val="00852769"/>
    <w:rsid w:val="00854149"/>
    <w:rsid w:val="00855387"/>
    <w:rsid w:val="0085558E"/>
    <w:rsid w:val="008568FB"/>
    <w:rsid w:val="00856D8D"/>
    <w:rsid w:val="00860773"/>
    <w:rsid w:val="00865AC0"/>
    <w:rsid w:val="00865B7C"/>
    <w:rsid w:val="0086692D"/>
    <w:rsid w:val="00867160"/>
    <w:rsid w:val="008704AB"/>
    <w:rsid w:val="0087205B"/>
    <w:rsid w:val="008732B4"/>
    <w:rsid w:val="00873AE7"/>
    <w:rsid w:val="00874FB8"/>
    <w:rsid w:val="00876E85"/>
    <w:rsid w:val="0087711D"/>
    <w:rsid w:val="008774B2"/>
    <w:rsid w:val="008813FA"/>
    <w:rsid w:val="00881A2E"/>
    <w:rsid w:val="00882E7D"/>
    <w:rsid w:val="00883F47"/>
    <w:rsid w:val="00891612"/>
    <w:rsid w:val="00891718"/>
    <w:rsid w:val="00893460"/>
    <w:rsid w:val="00895669"/>
    <w:rsid w:val="00895751"/>
    <w:rsid w:val="008977CB"/>
    <w:rsid w:val="00897946"/>
    <w:rsid w:val="008A3276"/>
    <w:rsid w:val="008A3447"/>
    <w:rsid w:val="008A41C0"/>
    <w:rsid w:val="008A41FF"/>
    <w:rsid w:val="008A6788"/>
    <w:rsid w:val="008A69EA"/>
    <w:rsid w:val="008A7E5F"/>
    <w:rsid w:val="008B1CC8"/>
    <w:rsid w:val="008B2946"/>
    <w:rsid w:val="008B466C"/>
    <w:rsid w:val="008B4C72"/>
    <w:rsid w:val="008B52AB"/>
    <w:rsid w:val="008B54FD"/>
    <w:rsid w:val="008B69DC"/>
    <w:rsid w:val="008C0699"/>
    <w:rsid w:val="008C0AA3"/>
    <w:rsid w:val="008C0AB5"/>
    <w:rsid w:val="008C19A0"/>
    <w:rsid w:val="008C39A3"/>
    <w:rsid w:val="008C4C68"/>
    <w:rsid w:val="008C6979"/>
    <w:rsid w:val="008C6D91"/>
    <w:rsid w:val="008C734C"/>
    <w:rsid w:val="008C7427"/>
    <w:rsid w:val="008C7D7A"/>
    <w:rsid w:val="008D0256"/>
    <w:rsid w:val="008D20E8"/>
    <w:rsid w:val="008D3B38"/>
    <w:rsid w:val="008D436F"/>
    <w:rsid w:val="008D5467"/>
    <w:rsid w:val="008E1671"/>
    <w:rsid w:val="008E1ED5"/>
    <w:rsid w:val="008E2B8D"/>
    <w:rsid w:val="008E2FE5"/>
    <w:rsid w:val="008E4BF2"/>
    <w:rsid w:val="008E676F"/>
    <w:rsid w:val="008E7840"/>
    <w:rsid w:val="008E7A92"/>
    <w:rsid w:val="008F074B"/>
    <w:rsid w:val="008F0E9C"/>
    <w:rsid w:val="008F16EC"/>
    <w:rsid w:val="008F2C01"/>
    <w:rsid w:val="008F4CBD"/>
    <w:rsid w:val="008F559C"/>
    <w:rsid w:val="009017AD"/>
    <w:rsid w:val="00901BED"/>
    <w:rsid w:val="009036F2"/>
    <w:rsid w:val="00903E51"/>
    <w:rsid w:val="00903FF5"/>
    <w:rsid w:val="00905735"/>
    <w:rsid w:val="0090788C"/>
    <w:rsid w:val="00910BC1"/>
    <w:rsid w:val="009131B9"/>
    <w:rsid w:val="0091409C"/>
    <w:rsid w:val="009209F3"/>
    <w:rsid w:val="0092401E"/>
    <w:rsid w:val="0092493C"/>
    <w:rsid w:val="009249A1"/>
    <w:rsid w:val="00926290"/>
    <w:rsid w:val="0092691A"/>
    <w:rsid w:val="00930AEB"/>
    <w:rsid w:val="00933016"/>
    <w:rsid w:val="00933D5D"/>
    <w:rsid w:val="00935805"/>
    <w:rsid w:val="009368F3"/>
    <w:rsid w:val="0094354D"/>
    <w:rsid w:val="009439A0"/>
    <w:rsid w:val="00945150"/>
    <w:rsid w:val="009464D2"/>
    <w:rsid w:val="00947C42"/>
    <w:rsid w:val="00950489"/>
    <w:rsid w:val="009505AF"/>
    <w:rsid w:val="009550A0"/>
    <w:rsid w:val="009553E4"/>
    <w:rsid w:val="009553E5"/>
    <w:rsid w:val="00956092"/>
    <w:rsid w:val="00957DE9"/>
    <w:rsid w:val="00957EDE"/>
    <w:rsid w:val="009612C7"/>
    <w:rsid w:val="009616F7"/>
    <w:rsid w:val="009630BD"/>
    <w:rsid w:val="00963CF9"/>
    <w:rsid w:val="00965A44"/>
    <w:rsid w:val="00965DE8"/>
    <w:rsid w:val="009660CF"/>
    <w:rsid w:val="009663B1"/>
    <w:rsid w:val="00967D7C"/>
    <w:rsid w:val="0097082E"/>
    <w:rsid w:val="00970DD0"/>
    <w:rsid w:val="009714B4"/>
    <w:rsid w:val="0097178D"/>
    <w:rsid w:val="00971E18"/>
    <w:rsid w:val="0097299A"/>
    <w:rsid w:val="0097548D"/>
    <w:rsid w:val="009757AD"/>
    <w:rsid w:val="00980053"/>
    <w:rsid w:val="00980B6A"/>
    <w:rsid w:val="00980D94"/>
    <w:rsid w:val="009818F9"/>
    <w:rsid w:val="00983BED"/>
    <w:rsid w:val="00984FF7"/>
    <w:rsid w:val="0098618F"/>
    <w:rsid w:val="0098732D"/>
    <w:rsid w:val="00987C32"/>
    <w:rsid w:val="00991646"/>
    <w:rsid w:val="0099280A"/>
    <w:rsid w:val="00993F29"/>
    <w:rsid w:val="0099448B"/>
    <w:rsid w:val="00997347"/>
    <w:rsid w:val="009A31C1"/>
    <w:rsid w:val="009A5C8B"/>
    <w:rsid w:val="009A69B7"/>
    <w:rsid w:val="009B01C0"/>
    <w:rsid w:val="009B0B37"/>
    <w:rsid w:val="009B17A5"/>
    <w:rsid w:val="009B19CE"/>
    <w:rsid w:val="009B37C2"/>
    <w:rsid w:val="009B3B41"/>
    <w:rsid w:val="009B4D8C"/>
    <w:rsid w:val="009B63C1"/>
    <w:rsid w:val="009C01F9"/>
    <w:rsid w:val="009C202F"/>
    <w:rsid w:val="009C3A7A"/>
    <w:rsid w:val="009C3D3E"/>
    <w:rsid w:val="009C771C"/>
    <w:rsid w:val="009C77F7"/>
    <w:rsid w:val="009D00C5"/>
    <w:rsid w:val="009D3249"/>
    <w:rsid w:val="009D4613"/>
    <w:rsid w:val="009D4CC9"/>
    <w:rsid w:val="009D6BA7"/>
    <w:rsid w:val="009E023A"/>
    <w:rsid w:val="009E48F1"/>
    <w:rsid w:val="009E49F0"/>
    <w:rsid w:val="009E584F"/>
    <w:rsid w:val="009E5ABC"/>
    <w:rsid w:val="009E5B9C"/>
    <w:rsid w:val="009E70BF"/>
    <w:rsid w:val="009E75B6"/>
    <w:rsid w:val="009E7F7F"/>
    <w:rsid w:val="009F3AFC"/>
    <w:rsid w:val="009F4ED1"/>
    <w:rsid w:val="00A00D71"/>
    <w:rsid w:val="00A00EDF"/>
    <w:rsid w:val="00A0135D"/>
    <w:rsid w:val="00A01B5B"/>
    <w:rsid w:val="00A02C61"/>
    <w:rsid w:val="00A0690B"/>
    <w:rsid w:val="00A107CB"/>
    <w:rsid w:val="00A112B7"/>
    <w:rsid w:val="00A12BC3"/>
    <w:rsid w:val="00A13220"/>
    <w:rsid w:val="00A144B9"/>
    <w:rsid w:val="00A1569A"/>
    <w:rsid w:val="00A15C89"/>
    <w:rsid w:val="00A20027"/>
    <w:rsid w:val="00A201FB"/>
    <w:rsid w:val="00A20E78"/>
    <w:rsid w:val="00A2380F"/>
    <w:rsid w:val="00A256EC"/>
    <w:rsid w:val="00A26A17"/>
    <w:rsid w:val="00A26ECE"/>
    <w:rsid w:val="00A30169"/>
    <w:rsid w:val="00A312A3"/>
    <w:rsid w:val="00A3366C"/>
    <w:rsid w:val="00A33D9F"/>
    <w:rsid w:val="00A35128"/>
    <w:rsid w:val="00A35BBD"/>
    <w:rsid w:val="00A37229"/>
    <w:rsid w:val="00A378C4"/>
    <w:rsid w:val="00A413EC"/>
    <w:rsid w:val="00A41763"/>
    <w:rsid w:val="00A418C9"/>
    <w:rsid w:val="00A42FE6"/>
    <w:rsid w:val="00A43F1D"/>
    <w:rsid w:val="00A44E0F"/>
    <w:rsid w:val="00A47C1E"/>
    <w:rsid w:val="00A51835"/>
    <w:rsid w:val="00A53670"/>
    <w:rsid w:val="00A545AF"/>
    <w:rsid w:val="00A60A8F"/>
    <w:rsid w:val="00A62537"/>
    <w:rsid w:val="00A640E8"/>
    <w:rsid w:val="00A66A81"/>
    <w:rsid w:val="00A67B2E"/>
    <w:rsid w:val="00A70717"/>
    <w:rsid w:val="00A718A7"/>
    <w:rsid w:val="00A71B4A"/>
    <w:rsid w:val="00A72AA8"/>
    <w:rsid w:val="00A74C9B"/>
    <w:rsid w:val="00A80F8E"/>
    <w:rsid w:val="00A842CA"/>
    <w:rsid w:val="00A851C1"/>
    <w:rsid w:val="00A857D8"/>
    <w:rsid w:val="00A86F2B"/>
    <w:rsid w:val="00A874E4"/>
    <w:rsid w:val="00A87BD5"/>
    <w:rsid w:val="00A9052D"/>
    <w:rsid w:val="00A93198"/>
    <w:rsid w:val="00A93478"/>
    <w:rsid w:val="00A94687"/>
    <w:rsid w:val="00A96868"/>
    <w:rsid w:val="00A97FE7"/>
    <w:rsid w:val="00AA1AF2"/>
    <w:rsid w:val="00AA1C94"/>
    <w:rsid w:val="00AA3D91"/>
    <w:rsid w:val="00AA3FD0"/>
    <w:rsid w:val="00AA40FB"/>
    <w:rsid w:val="00AA46CA"/>
    <w:rsid w:val="00AA5652"/>
    <w:rsid w:val="00AA65BC"/>
    <w:rsid w:val="00AA7EFA"/>
    <w:rsid w:val="00AB0E7B"/>
    <w:rsid w:val="00AB4475"/>
    <w:rsid w:val="00AB61B3"/>
    <w:rsid w:val="00AC03C7"/>
    <w:rsid w:val="00AC105E"/>
    <w:rsid w:val="00AC1EBA"/>
    <w:rsid w:val="00AC27C0"/>
    <w:rsid w:val="00AC323A"/>
    <w:rsid w:val="00AC5297"/>
    <w:rsid w:val="00AC5EB4"/>
    <w:rsid w:val="00AC69E8"/>
    <w:rsid w:val="00AD06CE"/>
    <w:rsid w:val="00AD23EC"/>
    <w:rsid w:val="00AD4200"/>
    <w:rsid w:val="00AD53B2"/>
    <w:rsid w:val="00AD62B2"/>
    <w:rsid w:val="00AD6357"/>
    <w:rsid w:val="00AD7F81"/>
    <w:rsid w:val="00AE0C40"/>
    <w:rsid w:val="00AE1010"/>
    <w:rsid w:val="00AE3F07"/>
    <w:rsid w:val="00AE49F2"/>
    <w:rsid w:val="00AE4CA9"/>
    <w:rsid w:val="00AE6862"/>
    <w:rsid w:val="00AF0B82"/>
    <w:rsid w:val="00AF0C07"/>
    <w:rsid w:val="00AF1501"/>
    <w:rsid w:val="00AF367D"/>
    <w:rsid w:val="00AF45FD"/>
    <w:rsid w:val="00AF73DA"/>
    <w:rsid w:val="00AF7987"/>
    <w:rsid w:val="00B01E76"/>
    <w:rsid w:val="00B066B0"/>
    <w:rsid w:val="00B074CC"/>
    <w:rsid w:val="00B10CAB"/>
    <w:rsid w:val="00B120DE"/>
    <w:rsid w:val="00B12FAB"/>
    <w:rsid w:val="00B13AD7"/>
    <w:rsid w:val="00B13EF5"/>
    <w:rsid w:val="00B14334"/>
    <w:rsid w:val="00B16266"/>
    <w:rsid w:val="00B17D4F"/>
    <w:rsid w:val="00B21191"/>
    <w:rsid w:val="00B2386E"/>
    <w:rsid w:val="00B24CCF"/>
    <w:rsid w:val="00B2618C"/>
    <w:rsid w:val="00B26224"/>
    <w:rsid w:val="00B2796E"/>
    <w:rsid w:val="00B33EDD"/>
    <w:rsid w:val="00B3529A"/>
    <w:rsid w:val="00B35A1F"/>
    <w:rsid w:val="00B35E2A"/>
    <w:rsid w:val="00B3666E"/>
    <w:rsid w:val="00B3796B"/>
    <w:rsid w:val="00B41D12"/>
    <w:rsid w:val="00B4246D"/>
    <w:rsid w:val="00B4263D"/>
    <w:rsid w:val="00B43716"/>
    <w:rsid w:val="00B463DB"/>
    <w:rsid w:val="00B46556"/>
    <w:rsid w:val="00B46695"/>
    <w:rsid w:val="00B466B9"/>
    <w:rsid w:val="00B47128"/>
    <w:rsid w:val="00B478F5"/>
    <w:rsid w:val="00B47A9B"/>
    <w:rsid w:val="00B50EC6"/>
    <w:rsid w:val="00B51346"/>
    <w:rsid w:val="00B533AC"/>
    <w:rsid w:val="00B56F49"/>
    <w:rsid w:val="00B578A6"/>
    <w:rsid w:val="00B63D09"/>
    <w:rsid w:val="00B6512A"/>
    <w:rsid w:val="00B70ECF"/>
    <w:rsid w:val="00B71283"/>
    <w:rsid w:val="00B72F34"/>
    <w:rsid w:val="00B7442A"/>
    <w:rsid w:val="00B807F5"/>
    <w:rsid w:val="00B80ED5"/>
    <w:rsid w:val="00B829A2"/>
    <w:rsid w:val="00B859DB"/>
    <w:rsid w:val="00B86C42"/>
    <w:rsid w:val="00B8762C"/>
    <w:rsid w:val="00B87969"/>
    <w:rsid w:val="00B93365"/>
    <w:rsid w:val="00B93A75"/>
    <w:rsid w:val="00B94B6B"/>
    <w:rsid w:val="00B94EBC"/>
    <w:rsid w:val="00B950BD"/>
    <w:rsid w:val="00B951C9"/>
    <w:rsid w:val="00B97002"/>
    <w:rsid w:val="00BA0539"/>
    <w:rsid w:val="00BA0F01"/>
    <w:rsid w:val="00BA3913"/>
    <w:rsid w:val="00BA3BAB"/>
    <w:rsid w:val="00BA5406"/>
    <w:rsid w:val="00BA6CE4"/>
    <w:rsid w:val="00BB1C7D"/>
    <w:rsid w:val="00BB2195"/>
    <w:rsid w:val="00BB2F70"/>
    <w:rsid w:val="00BB6629"/>
    <w:rsid w:val="00BB6CF4"/>
    <w:rsid w:val="00BB6D3D"/>
    <w:rsid w:val="00BC09F1"/>
    <w:rsid w:val="00BC14C3"/>
    <w:rsid w:val="00BC1ABE"/>
    <w:rsid w:val="00BC1CC7"/>
    <w:rsid w:val="00BC1E14"/>
    <w:rsid w:val="00BC20AC"/>
    <w:rsid w:val="00BC27AA"/>
    <w:rsid w:val="00BC3361"/>
    <w:rsid w:val="00BC33E7"/>
    <w:rsid w:val="00BC461E"/>
    <w:rsid w:val="00BC4ADB"/>
    <w:rsid w:val="00BC4DB9"/>
    <w:rsid w:val="00BC5D6A"/>
    <w:rsid w:val="00BC725C"/>
    <w:rsid w:val="00BC77FA"/>
    <w:rsid w:val="00BD1B46"/>
    <w:rsid w:val="00BD2F20"/>
    <w:rsid w:val="00BD3990"/>
    <w:rsid w:val="00BD4F62"/>
    <w:rsid w:val="00BD570D"/>
    <w:rsid w:val="00BE26CB"/>
    <w:rsid w:val="00BE2A3E"/>
    <w:rsid w:val="00BE3D09"/>
    <w:rsid w:val="00BE4AFD"/>
    <w:rsid w:val="00BE5CE4"/>
    <w:rsid w:val="00BE776E"/>
    <w:rsid w:val="00BF0742"/>
    <w:rsid w:val="00BF19C3"/>
    <w:rsid w:val="00BF1FDD"/>
    <w:rsid w:val="00BF2410"/>
    <w:rsid w:val="00BF2F57"/>
    <w:rsid w:val="00BF348B"/>
    <w:rsid w:val="00BF5519"/>
    <w:rsid w:val="00BF6D80"/>
    <w:rsid w:val="00C00590"/>
    <w:rsid w:val="00C00F90"/>
    <w:rsid w:val="00C04647"/>
    <w:rsid w:val="00C058CF"/>
    <w:rsid w:val="00C07A54"/>
    <w:rsid w:val="00C101CB"/>
    <w:rsid w:val="00C12551"/>
    <w:rsid w:val="00C128D4"/>
    <w:rsid w:val="00C130A4"/>
    <w:rsid w:val="00C133A3"/>
    <w:rsid w:val="00C13CAC"/>
    <w:rsid w:val="00C20096"/>
    <w:rsid w:val="00C211CD"/>
    <w:rsid w:val="00C21521"/>
    <w:rsid w:val="00C25328"/>
    <w:rsid w:val="00C30A39"/>
    <w:rsid w:val="00C31584"/>
    <w:rsid w:val="00C3254B"/>
    <w:rsid w:val="00C330C3"/>
    <w:rsid w:val="00C33F41"/>
    <w:rsid w:val="00C3425F"/>
    <w:rsid w:val="00C34BE9"/>
    <w:rsid w:val="00C35A48"/>
    <w:rsid w:val="00C35CDA"/>
    <w:rsid w:val="00C36325"/>
    <w:rsid w:val="00C371A3"/>
    <w:rsid w:val="00C3744D"/>
    <w:rsid w:val="00C413AD"/>
    <w:rsid w:val="00C42E18"/>
    <w:rsid w:val="00C42E66"/>
    <w:rsid w:val="00C43A84"/>
    <w:rsid w:val="00C45F34"/>
    <w:rsid w:val="00C47825"/>
    <w:rsid w:val="00C47D42"/>
    <w:rsid w:val="00C50FA0"/>
    <w:rsid w:val="00C5544B"/>
    <w:rsid w:val="00C568CE"/>
    <w:rsid w:val="00C57040"/>
    <w:rsid w:val="00C60E44"/>
    <w:rsid w:val="00C61503"/>
    <w:rsid w:val="00C62BC1"/>
    <w:rsid w:val="00C64137"/>
    <w:rsid w:val="00C658E4"/>
    <w:rsid w:val="00C65C48"/>
    <w:rsid w:val="00C663C7"/>
    <w:rsid w:val="00C67E38"/>
    <w:rsid w:val="00C7000A"/>
    <w:rsid w:val="00C70697"/>
    <w:rsid w:val="00C711A2"/>
    <w:rsid w:val="00C72577"/>
    <w:rsid w:val="00C7266E"/>
    <w:rsid w:val="00C7293E"/>
    <w:rsid w:val="00C74D85"/>
    <w:rsid w:val="00C758B1"/>
    <w:rsid w:val="00C76C66"/>
    <w:rsid w:val="00C80D16"/>
    <w:rsid w:val="00C81147"/>
    <w:rsid w:val="00C81996"/>
    <w:rsid w:val="00C8213E"/>
    <w:rsid w:val="00C82321"/>
    <w:rsid w:val="00C82DF9"/>
    <w:rsid w:val="00C846E3"/>
    <w:rsid w:val="00C84BC3"/>
    <w:rsid w:val="00C85E78"/>
    <w:rsid w:val="00C86249"/>
    <w:rsid w:val="00C86C40"/>
    <w:rsid w:val="00C86CA2"/>
    <w:rsid w:val="00C86D1E"/>
    <w:rsid w:val="00C87190"/>
    <w:rsid w:val="00C87B12"/>
    <w:rsid w:val="00C94CE3"/>
    <w:rsid w:val="00CA1564"/>
    <w:rsid w:val="00CA27EF"/>
    <w:rsid w:val="00CA3FDC"/>
    <w:rsid w:val="00CA4BE3"/>
    <w:rsid w:val="00CA61F7"/>
    <w:rsid w:val="00CA7C8A"/>
    <w:rsid w:val="00CB180D"/>
    <w:rsid w:val="00CB25D9"/>
    <w:rsid w:val="00CB44E8"/>
    <w:rsid w:val="00CB7978"/>
    <w:rsid w:val="00CC1D12"/>
    <w:rsid w:val="00CC1E67"/>
    <w:rsid w:val="00CC220B"/>
    <w:rsid w:val="00CC27E2"/>
    <w:rsid w:val="00CC396A"/>
    <w:rsid w:val="00CC3B50"/>
    <w:rsid w:val="00CC410F"/>
    <w:rsid w:val="00CD4BE9"/>
    <w:rsid w:val="00CD6A23"/>
    <w:rsid w:val="00CE10AE"/>
    <w:rsid w:val="00CE16A8"/>
    <w:rsid w:val="00CE1E38"/>
    <w:rsid w:val="00CE1EB6"/>
    <w:rsid w:val="00CE2FA6"/>
    <w:rsid w:val="00CE3EE5"/>
    <w:rsid w:val="00CE42E9"/>
    <w:rsid w:val="00CE7CCF"/>
    <w:rsid w:val="00CF5230"/>
    <w:rsid w:val="00CF7819"/>
    <w:rsid w:val="00D001E4"/>
    <w:rsid w:val="00D007C6"/>
    <w:rsid w:val="00D00AA8"/>
    <w:rsid w:val="00D01BEA"/>
    <w:rsid w:val="00D02778"/>
    <w:rsid w:val="00D02B6C"/>
    <w:rsid w:val="00D032A0"/>
    <w:rsid w:val="00D1392F"/>
    <w:rsid w:val="00D13E84"/>
    <w:rsid w:val="00D14059"/>
    <w:rsid w:val="00D14AA8"/>
    <w:rsid w:val="00D14AC1"/>
    <w:rsid w:val="00D161DE"/>
    <w:rsid w:val="00D16409"/>
    <w:rsid w:val="00D17918"/>
    <w:rsid w:val="00D22390"/>
    <w:rsid w:val="00D241EB"/>
    <w:rsid w:val="00D27536"/>
    <w:rsid w:val="00D300F4"/>
    <w:rsid w:val="00D308B8"/>
    <w:rsid w:val="00D31E92"/>
    <w:rsid w:val="00D32757"/>
    <w:rsid w:val="00D3344B"/>
    <w:rsid w:val="00D34F2A"/>
    <w:rsid w:val="00D40175"/>
    <w:rsid w:val="00D40C39"/>
    <w:rsid w:val="00D42010"/>
    <w:rsid w:val="00D45406"/>
    <w:rsid w:val="00D4619E"/>
    <w:rsid w:val="00D4746A"/>
    <w:rsid w:val="00D50946"/>
    <w:rsid w:val="00D51F7E"/>
    <w:rsid w:val="00D52BA5"/>
    <w:rsid w:val="00D55243"/>
    <w:rsid w:val="00D566FD"/>
    <w:rsid w:val="00D60265"/>
    <w:rsid w:val="00D60AF2"/>
    <w:rsid w:val="00D60BAD"/>
    <w:rsid w:val="00D62912"/>
    <w:rsid w:val="00D62F90"/>
    <w:rsid w:val="00D63E74"/>
    <w:rsid w:val="00D67FE9"/>
    <w:rsid w:val="00D715C4"/>
    <w:rsid w:val="00D716A2"/>
    <w:rsid w:val="00D75B6A"/>
    <w:rsid w:val="00D76B17"/>
    <w:rsid w:val="00D80EB9"/>
    <w:rsid w:val="00D841CD"/>
    <w:rsid w:val="00D854D8"/>
    <w:rsid w:val="00D86344"/>
    <w:rsid w:val="00D908A7"/>
    <w:rsid w:val="00D908BC"/>
    <w:rsid w:val="00D925E1"/>
    <w:rsid w:val="00D928FD"/>
    <w:rsid w:val="00D93D34"/>
    <w:rsid w:val="00D96267"/>
    <w:rsid w:val="00DA13AD"/>
    <w:rsid w:val="00DA2287"/>
    <w:rsid w:val="00DA2E4A"/>
    <w:rsid w:val="00DA522D"/>
    <w:rsid w:val="00DA5EAD"/>
    <w:rsid w:val="00DB1398"/>
    <w:rsid w:val="00DB2FD6"/>
    <w:rsid w:val="00DB3E25"/>
    <w:rsid w:val="00DB6548"/>
    <w:rsid w:val="00DC3EFC"/>
    <w:rsid w:val="00DC7408"/>
    <w:rsid w:val="00DC79E3"/>
    <w:rsid w:val="00DD2CEB"/>
    <w:rsid w:val="00DD3DAA"/>
    <w:rsid w:val="00DD47D0"/>
    <w:rsid w:val="00DD51E1"/>
    <w:rsid w:val="00DD5999"/>
    <w:rsid w:val="00DD7230"/>
    <w:rsid w:val="00DE0062"/>
    <w:rsid w:val="00DE085B"/>
    <w:rsid w:val="00DE156C"/>
    <w:rsid w:val="00DE2D54"/>
    <w:rsid w:val="00DE44D7"/>
    <w:rsid w:val="00DE6EA8"/>
    <w:rsid w:val="00DE7146"/>
    <w:rsid w:val="00DF1013"/>
    <w:rsid w:val="00DF10DD"/>
    <w:rsid w:val="00DF2FDB"/>
    <w:rsid w:val="00DF4B9C"/>
    <w:rsid w:val="00DF7BD7"/>
    <w:rsid w:val="00E009E0"/>
    <w:rsid w:val="00E00A6D"/>
    <w:rsid w:val="00E02BB0"/>
    <w:rsid w:val="00E03CE6"/>
    <w:rsid w:val="00E12CC5"/>
    <w:rsid w:val="00E13716"/>
    <w:rsid w:val="00E15395"/>
    <w:rsid w:val="00E15A76"/>
    <w:rsid w:val="00E1672A"/>
    <w:rsid w:val="00E20D71"/>
    <w:rsid w:val="00E229EF"/>
    <w:rsid w:val="00E249A3"/>
    <w:rsid w:val="00E254D1"/>
    <w:rsid w:val="00E25869"/>
    <w:rsid w:val="00E266FF"/>
    <w:rsid w:val="00E27661"/>
    <w:rsid w:val="00E27A2C"/>
    <w:rsid w:val="00E3048F"/>
    <w:rsid w:val="00E30C73"/>
    <w:rsid w:val="00E30DCF"/>
    <w:rsid w:val="00E32E99"/>
    <w:rsid w:val="00E367E7"/>
    <w:rsid w:val="00E37FEE"/>
    <w:rsid w:val="00E43941"/>
    <w:rsid w:val="00E44493"/>
    <w:rsid w:val="00E46A45"/>
    <w:rsid w:val="00E47AD1"/>
    <w:rsid w:val="00E47DB3"/>
    <w:rsid w:val="00E50181"/>
    <w:rsid w:val="00E50372"/>
    <w:rsid w:val="00E509A9"/>
    <w:rsid w:val="00E51F8B"/>
    <w:rsid w:val="00E5242A"/>
    <w:rsid w:val="00E53398"/>
    <w:rsid w:val="00E54A61"/>
    <w:rsid w:val="00E54AE9"/>
    <w:rsid w:val="00E55B76"/>
    <w:rsid w:val="00E618E4"/>
    <w:rsid w:val="00E621D9"/>
    <w:rsid w:val="00E627B6"/>
    <w:rsid w:val="00E627E7"/>
    <w:rsid w:val="00E643FA"/>
    <w:rsid w:val="00E64E91"/>
    <w:rsid w:val="00E652C3"/>
    <w:rsid w:val="00E66AE2"/>
    <w:rsid w:val="00E71C11"/>
    <w:rsid w:val="00E738B2"/>
    <w:rsid w:val="00E745AF"/>
    <w:rsid w:val="00E74B45"/>
    <w:rsid w:val="00E74DA4"/>
    <w:rsid w:val="00E76ECC"/>
    <w:rsid w:val="00E7754D"/>
    <w:rsid w:val="00E80AF5"/>
    <w:rsid w:val="00E80E81"/>
    <w:rsid w:val="00E81B89"/>
    <w:rsid w:val="00E85B15"/>
    <w:rsid w:val="00E85DFB"/>
    <w:rsid w:val="00E872A3"/>
    <w:rsid w:val="00E90AC3"/>
    <w:rsid w:val="00E91432"/>
    <w:rsid w:val="00E91B5A"/>
    <w:rsid w:val="00E94C4D"/>
    <w:rsid w:val="00E962C0"/>
    <w:rsid w:val="00E9797F"/>
    <w:rsid w:val="00EA01DC"/>
    <w:rsid w:val="00EA0F14"/>
    <w:rsid w:val="00EA5C81"/>
    <w:rsid w:val="00EB2F05"/>
    <w:rsid w:val="00EB38A7"/>
    <w:rsid w:val="00EB6CC8"/>
    <w:rsid w:val="00EC1BDC"/>
    <w:rsid w:val="00EC53A5"/>
    <w:rsid w:val="00EC7B59"/>
    <w:rsid w:val="00ED6E45"/>
    <w:rsid w:val="00ED73AB"/>
    <w:rsid w:val="00ED74F8"/>
    <w:rsid w:val="00EE04A9"/>
    <w:rsid w:val="00EE0CD6"/>
    <w:rsid w:val="00EE0F52"/>
    <w:rsid w:val="00EE125F"/>
    <w:rsid w:val="00EE2CAF"/>
    <w:rsid w:val="00EE33C9"/>
    <w:rsid w:val="00EE3A98"/>
    <w:rsid w:val="00EE3FDA"/>
    <w:rsid w:val="00EE43E4"/>
    <w:rsid w:val="00EE4426"/>
    <w:rsid w:val="00EE521C"/>
    <w:rsid w:val="00EE54AD"/>
    <w:rsid w:val="00EE5F35"/>
    <w:rsid w:val="00EE675E"/>
    <w:rsid w:val="00EE71C7"/>
    <w:rsid w:val="00EF1E7B"/>
    <w:rsid w:val="00EF23BA"/>
    <w:rsid w:val="00EF4635"/>
    <w:rsid w:val="00EF50CB"/>
    <w:rsid w:val="00EF5FF8"/>
    <w:rsid w:val="00EF6305"/>
    <w:rsid w:val="00F001EA"/>
    <w:rsid w:val="00F034AC"/>
    <w:rsid w:val="00F056C3"/>
    <w:rsid w:val="00F118A2"/>
    <w:rsid w:val="00F1214F"/>
    <w:rsid w:val="00F121FA"/>
    <w:rsid w:val="00F127EF"/>
    <w:rsid w:val="00F14BF6"/>
    <w:rsid w:val="00F15EAC"/>
    <w:rsid w:val="00F16B90"/>
    <w:rsid w:val="00F16FAF"/>
    <w:rsid w:val="00F17B3D"/>
    <w:rsid w:val="00F20AAC"/>
    <w:rsid w:val="00F22A83"/>
    <w:rsid w:val="00F237B9"/>
    <w:rsid w:val="00F3178D"/>
    <w:rsid w:val="00F32088"/>
    <w:rsid w:val="00F33F13"/>
    <w:rsid w:val="00F34959"/>
    <w:rsid w:val="00F34F19"/>
    <w:rsid w:val="00F418E5"/>
    <w:rsid w:val="00F4206B"/>
    <w:rsid w:val="00F42A70"/>
    <w:rsid w:val="00F4315C"/>
    <w:rsid w:val="00F44A21"/>
    <w:rsid w:val="00F44FCB"/>
    <w:rsid w:val="00F4726D"/>
    <w:rsid w:val="00F501E8"/>
    <w:rsid w:val="00F50BA0"/>
    <w:rsid w:val="00F52D20"/>
    <w:rsid w:val="00F52E64"/>
    <w:rsid w:val="00F546C3"/>
    <w:rsid w:val="00F56DAC"/>
    <w:rsid w:val="00F56DBC"/>
    <w:rsid w:val="00F575F0"/>
    <w:rsid w:val="00F57AE7"/>
    <w:rsid w:val="00F61EA4"/>
    <w:rsid w:val="00F64506"/>
    <w:rsid w:val="00F6664C"/>
    <w:rsid w:val="00F668B0"/>
    <w:rsid w:val="00F6704F"/>
    <w:rsid w:val="00F71A26"/>
    <w:rsid w:val="00F736FD"/>
    <w:rsid w:val="00F74386"/>
    <w:rsid w:val="00F750E7"/>
    <w:rsid w:val="00F75180"/>
    <w:rsid w:val="00F80AF1"/>
    <w:rsid w:val="00F81DCB"/>
    <w:rsid w:val="00F82167"/>
    <w:rsid w:val="00F8298C"/>
    <w:rsid w:val="00F8615E"/>
    <w:rsid w:val="00F8712F"/>
    <w:rsid w:val="00F90245"/>
    <w:rsid w:val="00F90D95"/>
    <w:rsid w:val="00F91015"/>
    <w:rsid w:val="00F912B7"/>
    <w:rsid w:val="00F920D9"/>
    <w:rsid w:val="00F92A27"/>
    <w:rsid w:val="00F93C72"/>
    <w:rsid w:val="00F93FE2"/>
    <w:rsid w:val="00F94781"/>
    <w:rsid w:val="00F94A41"/>
    <w:rsid w:val="00F94BB1"/>
    <w:rsid w:val="00F9783B"/>
    <w:rsid w:val="00FA1B29"/>
    <w:rsid w:val="00FA2678"/>
    <w:rsid w:val="00FA2B0D"/>
    <w:rsid w:val="00FA5388"/>
    <w:rsid w:val="00FA6E00"/>
    <w:rsid w:val="00FA7DBC"/>
    <w:rsid w:val="00FB08E3"/>
    <w:rsid w:val="00FB194C"/>
    <w:rsid w:val="00FB2804"/>
    <w:rsid w:val="00FB3ACA"/>
    <w:rsid w:val="00FB654A"/>
    <w:rsid w:val="00FB6BF3"/>
    <w:rsid w:val="00FB7F02"/>
    <w:rsid w:val="00FB7FBD"/>
    <w:rsid w:val="00FC4EE7"/>
    <w:rsid w:val="00FC5A70"/>
    <w:rsid w:val="00FC7934"/>
    <w:rsid w:val="00FD0282"/>
    <w:rsid w:val="00FD397B"/>
    <w:rsid w:val="00FD3F00"/>
    <w:rsid w:val="00FD4B01"/>
    <w:rsid w:val="00FD50EB"/>
    <w:rsid w:val="00FD52F2"/>
    <w:rsid w:val="00FD6B38"/>
    <w:rsid w:val="00FD7CDC"/>
    <w:rsid w:val="00FE0FFE"/>
    <w:rsid w:val="00FE1427"/>
    <w:rsid w:val="00FE16E6"/>
    <w:rsid w:val="00FE2197"/>
    <w:rsid w:val="00FE39BD"/>
    <w:rsid w:val="00FE400B"/>
    <w:rsid w:val="00FE464A"/>
    <w:rsid w:val="00FE58E0"/>
    <w:rsid w:val="00FE5C7D"/>
    <w:rsid w:val="00FE5DCC"/>
    <w:rsid w:val="00FE6CD6"/>
    <w:rsid w:val="00FE74D0"/>
    <w:rsid w:val="00FE7BDA"/>
    <w:rsid w:val="00FF0B8E"/>
    <w:rsid w:val="00FF5E41"/>
    <w:rsid w:val="00FF6BB1"/>
    <w:rsid w:val="096DAC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C4C86B"/>
  <w15:docId w15:val="{4E5C246A-E8CC-4BE1-95BC-C9056BC3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244CE3"/>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244CE3"/>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unhideWhenUsed/>
    <w:locked/>
    <w:rsid w:val="00015DA7"/>
    <w:pPr>
      <w:spacing w:after="120"/>
    </w:pPr>
  </w:style>
  <w:style w:type="character" w:customStyle="1" w:styleId="BodyTextChar">
    <w:name w:val="Body Text Char"/>
    <w:basedOn w:val="DefaultParagraphFont"/>
    <w:link w:val="BodyText"/>
    <w:uiPriority w:val="99"/>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2450EC"/>
    <w:pPr>
      <w:numPr>
        <w:numId w:val="50"/>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aliases w:val=" Char, Char2,Char,Char1,Char11,Char12,Char2,Char21,Char22,Char3,Char4,Footnote,Footnote Text - Preamble,Footnote Text - Preamble1,Footnote Text - Preamble11,Footnote Text - Preamble12,Footnote Text - Preamble2,Footnote Text - Preamble3,fn"/>
    <w:basedOn w:val="Normal"/>
    <w:link w:val="FootnoteTextChar"/>
    <w:autoRedefine/>
    <w:uiPriority w:val="7"/>
    <w:qFormat/>
    <w:rsid w:val="002E3B1D"/>
    <w:pPr>
      <w:spacing w:after="0" w:line="240" w:lineRule="atLeast"/>
      <w:contextualSpacing/>
    </w:pPr>
    <w:rPr>
      <w:sz w:val="18"/>
    </w:rPr>
  </w:style>
  <w:style w:type="character" w:customStyle="1" w:styleId="FootnoteTextChar">
    <w:name w:val="Footnote Text Char"/>
    <w:aliases w:val="Char Char,Char1 Char,Char11 Char,Char2 Char,Char21 Char,Char3 Char,Char4 Char,Footnote Text - Preamble Char,Footnote Text - Preamble1 Char,Footnote Text - Preamble11 Char,Footnote Text - Preamble2 Char,Footnote Text - Preamble3 Char"/>
    <w:basedOn w:val="DefaultParagraphFont"/>
    <w:link w:val="FootnoteText"/>
    <w:uiPriority w:val="7"/>
    <w:rsid w:val="002E3B1D"/>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3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locked/>
    <w:rsid w:val="002A709E"/>
    <w:rPr>
      <w:color w:val="5D9732" w:themeColor="followedHyperlink"/>
      <w:u w:val="single"/>
    </w:rPr>
  </w:style>
  <w:style w:type="character" w:styleId="CommentReference">
    <w:name w:val="annotation reference"/>
    <w:basedOn w:val="DefaultParagraphFont"/>
    <w:uiPriority w:val="99"/>
    <w:unhideWhenUsed/>
    <w:locked/>
    <w:rsid w:val="005826E8"/>
    <w:rPr>
      <w:sz w:val="16"/>
      <w:szCs w:val="16"/>
    </w:rPr>
  </w:style>
  <w:style w:type="paragraph" w:styleId="CommentText">
    <w:name w:val="annotation text"/>
    <w:basedOn w:val="Normal"/>
    <w:link w:val="CommentTextChar"/>
    <w:uiPriority w:val="99"/>
    <w:unhideWhenUsed/>
    <w:locked/>
    <w:rsid w:val="005826E8"/>
    <w:pPr>
      <w:spacing w:line="240" w:lineRule="auto"/>
    </w:pPr>
    <w:rPr>
      <w:sz w:val="20"/>
      <w:szCs w:val="20"/>
    </w:rPr>
  </w:style>
  <w:style w:type="character" w:customStyle="1" w:styleId="CommentTextChar">
    <w:name w:val="Comment Text Char"/>
    <w:basedOn w:val="DefaultParagraphFont"/>
    <w:link w:val="CommentText"/>
    <w:uiPriority w:val="99"/>
    <w:rsid w:val="005826E8"/>
    <w:rPr>
      <w:sz w:val="20"/>
      <w:szCs w:val="20"/>
    </w:rPr>
  </w:style>
  <w:style w:type="paragraph" w:styleId="CommentSubject">
    <w:name w:val="annotation subject"/>
    <w:basedOn w:val="CommentText"/>
    <w:next w:val="CommentText"/>
    <w:link w:val="CommentSubjectChar"/>
    <w:uiPriority w:val="99"/>
    <w:semiHidden/>
    <w:unhideWhenUsed/>
    <w:locked/>
    <w:rsid w:val="005826E8"/>
    <w:rPr>
      <w:b/>
      <w:bCs/>
    </w:rPr>
  </w:style>
  <w:style w:type="character" w:customStyle="1" w:styleId="CommentSubjectChar">
    <w:name w:val="Comment Subject Char"/>
    <w:basedOn w:val="CommentTextChar"/>
    <w:link w:val="CommentSubject"/>
    <w:uiPriority w:val="99"/>
    <w:semiHidden/>
    <w:rsid w:val="005826E8"/>
    <w:rPr>
      <w:b/>
      <w:bCs/>
      <w:sz w:val="20"/>
      <w:szCs w:val="20"/>
    </w:rPr>
  </w:style>
  <w:style w:type="paragraph" w:styleId="HTMLPreformatted">
    <w:name w:val="HTML Preformatted"/>
    <w:basedOn w:val="Normal"/>
    <w:link w:val="HTMLPreformattedChar"/>
    <w:locked/>
    <w:rsid w:val="001C1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C1AF5"/>
    <w:rPr>
      <w:rFonts w:ascii="Courier New" w:eastAsia="Times New Roman" w:hAnsi="Courier New" w:cs="Courier New"/>
      <w:sz w:val="20"/>
      <w:szCs w:val="20"/>
    </w:rPr>
  </w:style>
  <w:style w:type="paragraph" w:styleId="Revision">
    <w:name w:val="Revision"/>
    <w:hidden/>
    <w:uiPriority w:val="99"/>
    <w:semiHidden/>
    <w:rsid w:val="00713B0A"/>
    <w:pPr>
      <w:spacing w:after="0"/>
    </w:pPr>
  </w:style>
  <w:style w:type="paragraph" w:styleId="PlainText">
    <w:name w:val="Plain Text"/>
    <w:basedOn w:val="Normal"/>
    <w:link w:val="PlainTextChar"/>
    <w:uiPriority w:val="99"/>
    <w:semiHidden/>
    <w:unhideWhenUsed/>
    <w:locked/>
    <w:rsid w:val="00F94BB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94BB1"/>
    <w:rPr>
      <w:rFonts w:ascii="Calibri" w:hAnsi="Calibri"/>
      <w:szCs w:val="21"/>
    </w:rPr>
  </w:style>
  <w:style w:type="table" w:styleId="GridTableLight">
    <w:name w:val="Grid Table Light"/>
    <w:basedOn w:val="TableNormal"/>
    <w:uiPriority w:val="40"/>
    <w:rsid w:val="00104E7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FCIssueStds">
    <w:name w:val="RFC Issue Stds"/>
    <w:basedOn w:val="BodyText"/>
    <w:next w:val="BodyText"/>
    <w:link w:val="RFCIssueStdsChar"/>
    <w:qFormat/>
    <w:rsid w:val="00C85E78"/>
    <w:pPr>
      <w:tabs>
        <w:tab w:val="left" w:pos="360"/>
        <w:tab w:val="left" w:pos="720"/>
        <w:tab w:val="left" w:pos="1080"/>
      </w:tabs>
      <w:spacing w:after="0" w:line="480" w:lineRule="auto"/>
      <w:ind w:firstLine="720"/>
    </w:pPr>
    <w:rPr>
      <w:rFonts w:ascii="Times New Roman" w:eastAsia="SimSun" w:hAnsi="Times New Roman" w:cs="Times New Roman"/>
      <w:sz w:val="24"/>
    </w:rPr>
  </w:style>
  <w:style w:type="character" w:customStyle="1" w:styleId="RFCIssueStdsChar">
    <w:name w:val="RFC Issue Stds Char"/>
    <w:basedOn w:val="DefaultParagraphFont"/>
    <w:link w:val="RFCIssueStds"/>
    <w:rsid w:val="00C85E78"/>
    <w:rPr>
      <w:rFonts w:ascii="Times New Roman" w:eastAsia="SimSun" w:hAnsi="Times New Roman" w:cs="Times New Roman"/>
      <w:sz w:val="24"/>
    </w:rPr>
  </w:style>
  <w:style w:type="character" w:customStyle="1" w:styleId="normaltextrun">
    <w:name w:val="normaltextrun"/>
    <w:basedOn w:val="DefaultParagraphFont"/>
    <w:rsid w:val="00EB6CC8"/>
  </w:style>
  <w:style w:type="character" w:styleId="Mention">
    <w:name w:val="Mention"/>
    <w:basedOn w:val="DefaultParagraphFont"/>
    <w:uiPriority w:val="99"/>
    <w:unhideWhenUsed/>
    <w:rsid w:val="00792196"/>
    <w:rPr>
      <w:color w:val="2B579A"/>
      <w:shd w:val="clear" w:color="auto" w:fill="E1DFDD"/>
    </w:rPr>
  </w:style>
  <w:style w:type="character" w:styleId="UnresolvedMention">
    <w:name w:val="Unresolved Mention"/>
    <w:basedOn w:val="DefaultParagraphFont"/>
    <w:uiPriority w:val="99"/>
    <w:semiHidden/>
    <w:unhideWhenUsed/>
    <w:rsid w:val="00903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http://www.regulations.doe.gov/ccms" TargetMode="External" /><Relationship Id="rId15" Type="http://schemas.openxmlformats.org/officeDocument/2006/relationships/hyperlink" Target="http://www.regulations.doe.gov/certification-data/" TargetMode="External" /><Relationship Id="rId16" Type="http://schemas.openxmlformats.org/officeDocument/2006/relationships/footer" Target="footer4.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 Id="rId2" Type="http://schemas.openxmlformats.org/officeDocument/2006/relationships/hyperlink" Target="https://www.bls.gov/oes/current/oes231011.htm" TargetMode="External" /><Relationship Id="rId3" Type="http://schemas.openxmlformats.org/officeDocument/2006/relationships/hyperlink" Target="https://www.bls.gov/oes/current/oes172141.htm" TargetMode="External" /><Relationship Id="rId4" Type="http://schemas.openxmlformats.org/officeDocument/2006/relationships/hyperlink" Target="https://www.bls.gov/oes/current/oes430000.htm" TargetMode="External" /><Relationship Id="rId5" Type="http://schemas.openxmlformats.org/officeDocument/2006/relationships/hyperlink" Target="https://www.bls.gov/oes/current/oes151243.htm"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022CD"/>
    <w:rsid w:val="00024039"/>
    <w:rsid w:val="000457E4"/>
    <w:rsid w:val="000C5EC7"/>
    <w:rsid w:val="000D4905"/>
    <w:rsid w:val="000D5B06"/>
    <w:rsid w:val="00174A98"/>
    <w:rsid w:val="00202FB8"/>
    <w:rsid w:val="002054BE"/>
    <w:rsid w:val="002745E3"/>
    <w:rsid w:val="00285773"/>
    <w:rsid w:val="003035C2"/>
    <w:rsid w:val="003358DE"/>
    <w:rsid w:val="00344B13"/>
    <w:rsid w:val="00365BF5"/>
    <w:rsid w:val="00386626"/>
    <w:rsid w:val="003E1C3D"/>
    <w:rsid w:val="00442286"/>
    <w:rsid w:val="004F5E81"/>
    <w:rsid w:val="005430FB"/>
    <w:rsid w:val="005547CC"/>
    <w:rsid w:val="005B4584"/>
    <w:rsid w:val="0065501B"/>
    <w:rsid w:val="00716749"/>
    <w:rsid w:val="00770762"/>
    <w:rsid w:val="0078266B"/>
    <w:rsid w:val="008729FF"/>
    <w:rsid w:val="008732B4"/>
    <w:rsid w:val="0097548D"/>
    <w:rsid w:val="009E75B6"/>
    <w:rsid w:val="009F36B8"/>
    <w:rsid w:val="00AA0673"/>
    <w:rsid w:val="00B3701E"/>
    <w:rsid w:val="00BB3F3B"/>
    <w:rsid w:val="00C22EEA"/>
    <w:rsid w:val="00C86FA0"/>
    <w:rsid w:val="00CC13BD"/>
    <w:rsid w:val="00CE2FA6"/>
    <w:rsid w:val="00D17918"/>
    <w:rsid w:val="00DE0640"/>
    <w:rsid w:val="00E964F8"/>
    <w:rsid w:val="00EC3281"/>
    <w:rsid w:val="00EF1E7B"/>
    <w:rsid w:val="00F22A83"/>
    <w:rsid w:val="00F533A3"/>
    <w:rsid w:val="00F80C55"/>
    <w:rsid w:val="00FC77FC"/>
    <w:rsid w:val="00FE733E"/>
    <w:rsid w:val="00FF5E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bfe1b6-d5ea-4072-b8d0-9ef77ba6cdba" xsi:nil="true"/>
    <_ip_UnifiedCompliancePolicyUIAction xmlns="http://schemas.microsoft.com/sharepoint/v3" xsi:nil="true"/>
    <lcf76f155ced4ddcb4097134ff3c332f xmlns="e4fe5609-e731-4950-aac3-24a8ce5e60aa">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7C0DD1FDEDEA141A1E110EA22EE011A" ma:contentTypeVersion="14" ma:contentTypeDescription="Create a new document." ma:contentTypeScope="" ma:versionID="6f06a58a3d5c060865badf7955e650e8">
  <xsd:schema xmlns:xsd="http://www.w3.org/2001/XMLSchema" xmlns:xs="http://www.w3.org/2001/XMLSchema" xmlns:p="http://schemas.microsoft.com/office/2006/metadata/properties" xmlns:ns1="http://schemas.microsoft.com/sharepoint/v3" xmlns:ns2="e4fe5609-e731-4950-aac3-24a8ce5e60aa" xmlns:ns3="60f0d1d5-43ef-4dc2-aad3-41e9518621be" xmlns:ns4="40bfe1b6-d5ea-4072-b8d0-9ef77ba6cdba" targetNamespace="http://schemas.microsoft.com/office/2006/metadata/properties" ma:root="true" ma:fieldsID="119a92dc57791c55d3fda30fd1a0623e" ns1:_="" ns2:_="" ns3:_="" ns4:_="">
    <xsd:import namespace="http://schemas.microsoft.com/sharepoint/v3"/>
    <xsd:import namespace="e4fe5609-e731-4950-aac3-24a8ce5e60aa"/>
    <xsd:import namespace="60f0d1d5-43ef-4dc2-aad3-41e9518621be"/>
    <xsd:import namespace="40bfe1b6-d5ea-4072-b8d0-9ef77ba6cdb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fe5609-e731-4950-aac3-24a8ce5e6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0d1d5-43ef-4dc2-aad3-41e9518621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bfe1b6-d5ea-4072-b8d0-9ef77ba6cd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924cbc-575a-459f-9251-b1e0ebf0be59}" ma:internalName="TaxCatchAll" ma:showField="CatchAllData" ma:web="40bfe1b6-d5ea-4072-b8d0-9ef77ba6cd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B97CA7-1522-4CCA-9069-84D2974F1076}">
  <ds:schemaRefs>
    <ds:schemaRef ds:uri="http://schemas.microsoft.com/sharepoint/v3/contenttype/forms"/>
  </ds:schemaRefs>
</ds:datastoreItem>
</file>

<file path=customXml/itemProps3.xml><?xml version="1.0" encoding="utf-8"?>
<ds:datastoreItem xmlns:ds="http://schemas.openxmlformats.org/officeDocument/2006/customXml" ds:itemID="{29741CB3-472A-4C84-ACCB-D86CCDD01ACD}">
  <ds:schemaRefs>
    <ds:schemaRef ds:uri="http://schemas.microsoft.com/office/2006/metadata/properties"/>
    <ds:schemaRef ds:uri="http://schemas.microsoft.com/office/infopath/2007/PartnerControls"/>
    <ds:schemaRef ds:uri="40bfe1b6-d5ea-4072-b8d0-9ef77ba6cdba"/>
    <ds:schemaRef ds:uri="http://schemas.microsoft.com/sharepoint/v3"/>
    <ds:schemaRef ds:uri="e4fe5609-e731-4950-aac3-24a8ce5e60aa"/>
  </ds:schemaRefs>
</ds:datastoreItem>
</file>

<file path=customXml/itemProps4.xml><?xml version="1.0" encoding="utf-8"?>
<ds:datastoreItem xmlns:ds="http://schemas.openxmlformats.org/officeDocument/2006/customXml" ds:itemID="{E46115B6-3C03-49CA-A45D-2F7BD9468955}">
  <ds:schemaRefs>
    <ds:schemaRef ds:uri="http://schemas.openxmlformats.org/officeDocument/2006/bibliography"/>
  </ds:schemaRefs>
</ds:datastoreItem>
</file>

<file path=customXml/itemProps5.xml><?xml version="1.0" encoding="utf-8"?>
<ds:datastoreItem xmlns:ds="http://schemas.openxmlformats.org/officeDocument/2006/customXml" ds:itemID="{126314C8-D6CE-40B5-B020-4E4EF0EA8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fe5609-e731-4950-aac3-24a8ce5e60aa"/>
    <ds:schemaRef ds:uri="60f0d1d5-43ef-4dc2-aad3-41e9518621be"/>
    <ds:schemaRef ds:uri="40bfe1b6-d5ea-4072-b8d0-9ef77ba6c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7400</Words>
  <Characters>42181</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Supporting Statement for Certification Reports, for Certain Consumer Products and Commercial Equipment Subject to Energy or Water Conservation Standards.</vt:lpstr>
    </vt:vector>
  </TitlesOfParts>
  <Company/>
  <LinksUpToDate>false</LinksUpToDate>
  <CharactersWithSpaces>49483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Certification Reports, for Certain Consumer Products and Commercial Equipment Subject to Energy or Water Conservation Standards.</dc:title>
  <dc:subject>Improving the Quality and Scope of EIA Data</dc:subject>
  <dc:creator>Stroud, Lawrence</dc:creator>
  <cp:lastModifiedBy>Degitz, Laura</cp:lastModifiedBy>
  <cp:revision>9</cp:revision>
  <cp:lastPrinted>2011-12-12T20:42:00Z</cp:lastPrinted>
  <dcterms:created xsi:type="dcterms:W3CDTF">2024-09-13T17:22:00Z</dcterms:created>
  <dcterms:modified xsi:type="dcterms:W3CDTF">2024-09-13T20:36:00Z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0x01010097C0DD1FDEDEA141A1E110EA22EE011A</vt:lpwstr>
  </property>
  <property fmtid="{D5CDD505-2E9C-101B-9397-08002B2CF9AE}" pid="3" name="DOE_LifecycleState">
    <vt:lpwstr>1;#Draft|44aca65a-a2b8-4064-ac99-6d3b27b9c145</vt:lpwstr>
  </property>
  <property fmtid="{D5CDD505-2E9C-101B-9397-08002B2CF9AE}" pid="4" name="DOE_OwningOrg">
    <vt:lpwstr>3;#Deputy CIO for Enterprise Policy, Portfolio Management, and Governance|51403432-c5a0-4592-a980-fb9060c28c16</vt:lpwstr>
  </property>
  <property fmtid="{D5CDD505-2E9C-101B-9397-08002B2CF9AE}" pid="5" name="DOE_ProjectStatus">
    <vt:lpwstr>2;#Open|f87294c0-5917-49a1-8b9f-b6ecaae62a21</vt:lpwstr>
  </property>
  <property fmtid="{D5CDD505-2E9C-101B-9397-08002B2CF9AE}" pid="6" name="DOE_RecordsDispositionSchedule">
    <vt:lpwstr>5;#Technology management administrative records MODIFIED (GRS 3_1_001)|26f2434b-601c-4546-9d3c-939d49d8f687</vt:lpwstr>
  </property>
  <property fmtid="{D5CDD505-2E9C-101B-9397-08002B2CF9AE}" pid="7" name="lcf76f155ced4ddcb4097134ff3c332f">
    <vt:lpwstr/>
  </property>
  <property fmtid="{D5CDD505-2E9C-101B-9397-08002B2CF9AE}" pid="8" name="MediaServiceImageTags">
    <vt:lpwstr/>
  </property>
</Properties>
</file>