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D77" w:rsidRPr="000F731C" w:rsidP="00717D77" w14:paraId="5CDF3FB7" w14:textId="77777777">
      <w:pPr>
        <w:pStyle w:val="Title"/>
      </w:pPr>
      <w:r w:rsidRPr="000F731C">
        <w:t>Supporting Statement for an Information Collection Request (ICR)</w:t>
      </w:r>
      <w:r w:rsidRPr="000F731C">
        <w:br/>
        <w:t>Under the Paperwork Reduction Act (PRA)</w:t>
      </w:r>
    </w:p>
    <w:p w:rsidR="00717D77" w:rsidRPr="00B41A83" w:rsidP="00717D77" w14:paraId="7B9C3F58" w14:textId="77777777">
      <w:pPr>
        <w:pStyle w:val="Heading1"/>
      </w:pPr>
      <w:r w:rsidRPr="00B41A83">
        <w:t>EXECUTIVE SUMMARY</w:t>
      </w:r>
    </w:p>
    <w:p w:rsidR="00717D77" w:rsidP="00717D77" w14:paraId="34371A71" w14:textId="77777777">
      <w:pPr>
        <w:pStyle w:val="Heading2"/>
      </w:pPr>
      <w: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7F695F20" w14:textId="77777777" w:rsidTr="00D177F6">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717D77" w:rsidRPr="000F731C" w:rsidP="00D177F6" w14:paraId="40FE241D" w14:textId="77777777">
            <w:pPr>
              <w:rPr>
                <w:b/>
                <w:bCs/>
              </w:rPr>
            </w:pPr>
            <w:r w:rsidRPr="000F731C">
              <w:rPr>
                <w:b/>
                <w:bCs/>
              </w:rPr>
              <w:t>Title:</w:t>
            </w:r>
          </w:p>
        </w:tc>
        <w:tc>
          <w:tcPr>
            <w:tcW w:w="7122" w:type="dxa"/>
          </w:tcPr>
          <w:p w:rsidR="00717D77" w:rsidRPr="001403E3" w:rsidP="00D177F6" w14:paraId="70BC35D0" w14:textId="77777777">
            <w:r w:rsidRPr="001403E3">
              <w:rPr>
                <w:rFonts w:cs="Times New Roman"/>
                <w:bCs/>
              </w:rPr>
              <w:t>Chemical-Specific Rules under the Toxic Substances Control Act Section 8(a); C</w:t>
            </w:r>
            <w:r w:rsidRPr="001403E3">
              <w:rPr>
                <w:rFonts w:cs="Times New Roman"/>
              </w:rPr>
              <w:t>ertain Nanoscale Materials</w:t>
            </w:r>
          </w:p>
        </w:tc>
      </w:tr>
      <w:tr w14:paraId="1BC9C04A" w14:textId="77777777" w:rsidTr="00D177F6">
        <w:tblPrEx>
          <w:tblW w:w="5021" w:type="pct"/>
          <w:tblInd w:w="252" w:type="dxa"/>
          <w:tblLook w:val="04A0"/>
        </w:tblPrEx>
        <w:trPr>
          <w:trHeight w:val="514"/>
        </w:trPr>
        <w:tc>
          <w:tcPr>
            <w:tcW w:w="2277" w:type="dxa"/>
          </w:tcPr>
          <w:p w:rsidR="00717D77" w:rsidRPr="00E6036A" w:rsidP="00D177F6" w14:paraId="0873447E" w14:textId="77777777">
            <w:pPr>
              <w:rPr>
                <w:b/>
                <w:bCs/>
              </w:rPr>
            </w:pPr>
            <w:r w:rsidRPr="00E6036A">
              <w:rPr>
                <w:b/>
                <w:bCs/>
              </w:rPr>
              <w:t>EPA ICR No.:</w:t>
            </w:r>
          </w:p>
        </w:tc>
        <w:tc>
          <w:tcPr>
            <w:tcW w:w="7122" w:type="dxa"/>
          </w:tcPr>
          <w:p w:rsidR="00717D77" w:rsidRPr="00532761" w:rsidP="00D177F6" w14:paraId="49173E9C" w14:textId="54143044">
            <w:r w:rsidRPr="00487D06">
              <w:t>2517.04</w:t>
            </w:r>
          </w:p>
        </w:tc>
      </w:tr>
      <w:tr w14:paraId="4598658D" w14:textId="77777777" w:rsidTr="00D177F6">
        <w:tblPrEx>
          <w:tblW w:w="5021" w:type="pct"/>
          <w:tblInd w:w="252" w:type="dxa"/>
          <w:tblLook w:val="04A0"/>
        </w:tblPrEx>
        <w:trPr>
          <w:trHeight w:val="514"/>
        </w:trPr>
        <w:tc>
          <w:tcPr>
            <w:tcW w:w="2277" w:type="dxa"/>
          </w:tcPr>
          <w:p w:rsidR="00717D77" w:rsidRPr="002A523B" w:rsidP="00D177F6" w14:paraId="25E293A7" w14:textId="77777777">
            <w:pPr>
              <w:rPr>
                <w:b/>
                <w:bCs/>
              </w:rPr>
            </w:pPr>
            <w:r w:rsidRPr="002A523B">
              <w:rPr>
                <w:b/>
                <w:bCs/>
              </w:rPr>
              <w:t>OMB Control No.:</w:t>
            </w:r>
          </w:p>
        </w:tc>
        <w:tc>
          <w:tcPr>
            <w:tcW w:w="7122" w:type="dxa"/>
          </w:tcPr>
          <w:p w:rsidR="00717D77" w:rsidRPr="00532761" w:rsidP="00D177F6" w14:paraId="00472D10" w14:textId="77777777">
            <w:r w:rsidRPr="00532761">
              <w:t>2070-0194</w:t>
            </w:r>
          </w:p>
        </w:tc>
      </w:tr>
      <w:tr w14:paraId="47E9EBBF" w14:textId="77777777" w:rsidTr="00D177F6">
        <w:tblPrEx>
          <w:tblW w:w="5021" w:type="pct"/>
          <w:tblInd w:w="252" w:type="dxa"/>
          <w:tblLook w:val="04A0"/>
        </w:tblPrEx>
        <w:trPr>
          <w:trHeight w:val="606"/>
        </w:trPr>
        <w:tc>
          <w:tcPr>
            <w:tcW w:w="2277" w:type="dxa"/>
          </w:tcPr>
          <w:p w:rsidR="00717D77" w:rsidRPr="000F731C" w:rsidP="00D177F6" w14:paraId="027CA88C" w14:textId="77777777">
            <w:pPr>
              <w:rPr>
                <w:b/>
                <w:bCs/>
              </w:rPr>
            </w:pPr>
            <w:r w:rsidRPr="000F731C">
              <w:rPr>
                <w:b/>
                <w:bCs/>
              </w:rPr>
              <w:t>Docket ID No.:</w:t>
            </w:r>
          </w:p>
        </w:tc>
        <w:tc>
          <w:tcPr>
            <w:tcW w:w="7122" w:type="dxa"/>
          </w:tcPr>
          <w:p w:rsidR="00717D77" w:rsidRPr="00532761" w:rsidP="00D177F6" w14:paraId="035AA7F4" w14:textId="77777777">
            <w:r w:rsidRPr="00532761">
              <w:t>EPA-HQ-OPPT-2010-0572</w:t>
            </w:r>
          </w:p>
        </w:tc>
      </w:tr>
    </w:tbl>
    <w:p w:rsidR="00717D77" w:rsidP="00717D77" w14:paraId="7405E061" w14:textId="77777777">
      <w:pPr>
        <w:pStyle w:val="Heading2"/>
      </w:pPr>
      <w:r w:rsidRPr="00F44B08">
        <w:t>Abstract</w:t>
      </w:r>
    </w:p>
    <w:p w:rsidR="00717D77" w:rsidP="006C103A" w14:paraId="207DF0A3" w14:textId="77777777">
      <w:r w:rsidRPr="0057780D">
        <w:t xml:space="preserve">This information collection request (ICR) covers reporting and recordkeeping requirements for persons who manufacture or process chemical substances as nanoscale materials under the authority of section 8(a) of the Toxic Substances Control Act (TSCA). </w:t>
      </w:r>
    </w:p>
    <w:p w:rsidR="00717D77" w:rsidRPr="009B0BED" w:rsidP="006C103A" w14:paraId="08C2D8F9" w14:textId="77777777">
      <w:pPr>
        <w:pStyle w:val="Heading3"/>
        <w:jc w:val="center"/>
        <w:rPr>
          <w:i w:val="0"/>
          <w:iCs/>
          <w:u w:val="none"/>
        </w:rPr>
      </w:pPr>
      <w:r w:rsidRPr="009B0BED">
        <w:rPr>
          <w:i w:val="0"/>
          <w:iCs/>
          <w:u w:val="none"/>
        </w:rPr>
        <w:t>Summary Total Burden and Costs</w:t>
      </w:r>
    </w:p>
    <w:tbl>
      <w:tblPr>
        <w:tblW w:w="4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0"/>
        <w:gridCol w:w="1518"/>
        <w:gridCol w:w="1403"/>
        <w:gridCol w:w="1324"/>
        <w:gridCol w:w="1041"/>
        <w:gridCol w:w="1107"/>
      </w:tblGrid>
      <w:tr w14:paraId="7B25D011" w14:textId="77777777" w:rsidTr="003F1D17">
        <w:tblPrEx>
          <w:tblW w:w="4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75" w:type="dxa"/>
            <w:shd w:val="clear" w:color="auto" w:fill="auto"/>
            <w:vAlign w:val="bottom"/>
          </w:tcPr>
          <w:p w:rsidR="00B450D9" w:rsidRPr="001F2DF7" w:rsidP="00B450D9" w14:paraId="360A902A" w14:textId="77777777">
            <w:pPr>
              <w:pStyle w:val="NoSpacing"/>
              <w:jc w:val="center"/>
              <w:rPr>
                <w:sz w:val="22"/>
                <w:szCs w:val="20"/>
                <w:highlight w:val="yellow"/>
              </w:rPr>
            </w:pPr>
            <w:r w:rsidRPr="001F2DF7">
              <w:rPr>
                <w:sz w:val="22"/>
                <w:szCs w:val="20"/>
              </w:rPr>
              <w:t>Information Collection</w:t>
            </w:r>
          </w:p>
        </w:tc>
        <w:tc>
          <w:tcPr>
            <w:tcW w:w="1523" w:type="dxa"/>
            <w:shd w:val="clear" w:color="auto" w:fill="auto"/>
            <w:vAlign w:val="bottom"/>
          </w:tcPr>
          <w:p w:rsidR="00B450D9" w:rsidRPr="001F2DF7" w:rsidP="00B450D9" w14:paraId="4E496E94" w14:textId="264E23CA">
            <w:pPr>
              <w:pStyle w:val="NoSpacing"/>
              <w:jc w:val="center"/>
              <w:rPr>
                <w:sz w:val="22"/>
                <w:szCs w:val="20"/>
              </w:rPr>
            </w:pPr>
            <w:r>
              <w:rPr>
                <w:sz w:val="22"/>
                <w:szCs w:val="20"/>
              </w:rPr>
              <w:t xml:space="preserve">Annual </w:t>
            </w:r>
            <w:r w:rsidRPr="001F2DF7">
              <w:rPr>
                <w:sz w:val="22"/>
                <w:szCs w:val="20"/>
              </w:rPr>
              <w:t>Number of Respondents</w:t>
            </w:r>
          </w:p>
        </w:tc>
        <w:tc>
          <w:tcPr>
            <w:tcW w:w="1403" w:type="dxa"/>
            <w:vAlign w:val="bottom"/>
          </w:tcPr>
          <w:p w:rsidR="00B450D9" w:rsidRPr="001F2DF7" w:rsidP="00B450D9" w14:paraId="11DD61F1" w14:textId="3834C30B">
            <w:pPr>
              <w:pStyle w:val="NoSpacing"/>
              <w:jc w:val="center"/>
              <w:rPr>
                <w:sz w:val="22"/>
                <w:szCs w:val="20"/>
              </w:rPr>
            </w:pPr>
            <w:r w:rsidRPr="001F2DF7">
              <w:rPr>
                <w:sz w:val="22"/>
                <w:szCs w:val="20"/>
              </w:rPr>
              <w:t>Responses per Respondent</w:t>
            </w:r>
          </w:p>
        </w:tc>
        <w:tc>
          <w:tcPr>
            <w:tcW w:w="1331" w:type="dxa"/>
            <w:shd w:val="clear" w:color="auto" w:fill="auto"/>
            <w:vAlign w:val="bottom"/>
          </w:tcPr>
          <w:p w:rsidR="00B450D9" w:rsidRPr="001F2DF7" w:rsidP="00B450D9" w14:paraId="7223FD01" w14:textId="56078089">
            <w:pPr>
              <w:pStyle w:val="NoSpacing"/>
              <w:jc w:val="center"/>
              <w:rPr>
                <w:sz w:val="22"/>
                <w:szCs w:val="20"/>
              </w:rPr>
            </w:pPr>
            <w:r w:rsidRPr="001F2DF7">
              <w:rPr>
                <w:sz w:val="22"/>
                <w:szCs w:val="20"/>
              </w:rPr>
              <w:t>Annual Number of Responses</w:t>
            </w:r>
          </w:p>
        </w:tc>
        <w:tc>
          <w:tcPr>
            <w:tcW w:w="1121" w:type="dxa"/>
            <w:shd w:val="clear" w:color="auto" w:fill="auto"/>
            <w:vAlign w:val="bottom"/>
          </w:tcPr>
          <w:p w:rsidR="00B450D9" w:rsidRPr="001F2DF7" w:rsidP="00B450D9" w14:paraId="51C3CB99" w14:textId="77777777">
            <w:pPr>
              <w:pStyle w:val="NoSpacing"/>
              <w:jc w:val="center"/>
              <w:rPr>
                <w:sz w:val="22"/>
                <w:szCs w:val="20"/>
              </w:rPr>
            </w:pPr>
            <w:r w:rsidRPr="001F2DF7">
              <w:rPr>
                <w:sz w:val="22"/>
                <w:szCs w:val="20"/>
              </w:rPr>
              <w:t>Annual Time Burden</w:t>
            </w:r>
            <w:r>
              <w:rPr>
                <w:sz w:val="22"/>
                <w:szCs w:val="20"/>
              </w:rPr>
              <w:t xml:space="preserve"> </w:t>
            </w:r>
            <w:r w:rsidRPr="001F2DF7">
              <w:rPr>
                <w:sz w:val="22"/>
                <w:szCs w:val="20"/>
              </w:rPr>
              <w:t>(Hours)</w:t>
            </w:r>
          </w:p>
        </w:tc>
        <w:tc>
          <w:tcPr>
            <w:tcW w:w="1158" w:type="dxa"/>
            <w:vAlign w:val="bottom"/>
          </w:tcPr>
          <w:p w:rsidR="00B450D9" w:rsidRPr="001F2DF7" w:rsidP="00B450D9" w14:paraId="5F6685BF" w14:textId="77777777">
            <w:pPr>
              <w:pStyle w:val="NoSpacing"/>
              <w:jc w:val="center"/>
              <w:rPr>
                <w:sz w:val="22"/>
                <w:szCs w:val="20"/>
              </w:rPr>
            </w:pPr>
            <w:r w:rsidRPr="001F2DF7">
              <w:rPr>
                <w:sz w:val="22"/>
                <w:szCs w:val="20"/>
              </w:rPr>
              <w:t>Annual Cost Burden (Dollars)</w:t>
            </w:r>
          </w:p>
        </w:tc>
      </w:tr>
      <w:tr w14:paraId="69D93188" w14:textId="77777777" w:rsidTr="003F1D17">
        <w:tblPrEx>
          <w:tblW w:w="4392" w:type="pct"/>
          <w:tblLook w:val="01E0"/>
        </w:tblPrEx>
        <w:tc>
          <w:tcPr>
            <w:tcW w:w="1875" w:type="dxa"/>
            <w:shd w:val="clear" w:color="auto" w:fill="auto"/>
          </w:tcPr>
          <w:p w:rsidR="00B450D9" w:rsidRPr="001F2DF7" w:rsidP="00B450D9" w14:paraId="74AC1AA7" w14:textId="33CF195A">
            <w:pPr>
              <w:pStyle w:val="NoSpacing"/>
              <w:rPr>
                <w:sz w:val="22"/>
                <w:szCs w:val="20"/>
              </w:rPr>
            </w:pPr>
            <w:r>
              <w:rPr>
                <w:sz w:val="22"/>
                <w:szCs w:val="20"/>
              </w:rPr>
              <w:t xml:space="preserve">Form Completion, Confidential Business Information (CBI) Substantiation, Form Submission, Recordkeeping, and Rule Familiarization (Manufactures &amp; Processors) </w:t>
            </w:r>
          </w:p>
        </w:tc>
        <w:tc>
          <w:tcPr>
            <w:tcW w:w="1523" w:type="dxa"/>
            <w:shd w:val="clear" w:color="auto" w:fill="auto"/>
            <w:vAlign w:val="center"/>
          </w:tcPr>
          <w:p w:rsidR="00B450D9" w:rsidRPr="001F2DF7" w:rsidP="00B450D9" w14:paraId="098769E3" w14:textId="20A4FA8F">
            <w:pPr>
              <w:pStyle w:val="NoSpacing"/>
              <w:jc w:val="center"/>
              <w:rPr>
                <w:sz w:val="22"/>
                <w:szCs w:val="20"/>
              </w:rPr>
            </w:pPr>
            <w:r>
              <w:rPr>
                <w:sz w:val="22"/>
                <w:szCs w:val="20"/>
              </w:rPr>
              <w:t>5.3</w:t>
            </w:r>
          </w:p>
        </w:tc>
        <w:tc>
          <w:tcPr>
            <w:tcW w:w="1403" w:type="dxa"/>
            <w:vAlign w:val="center"/>
          </w:tcPr>
          <w:p w:rsidR="00B450D9" w:rsidP="00B450D9" w14:paraId="06CCA2D9" w14:textId="5B2B4AD8">
            <w:pPr>
              <w:pStyle w:val="NoSpacing"/>
              <w:jc w:val="center"/>
              <w:rPr>
                <w:sz w:val="22"/>
                <w:szCs w:val="20"/>
              </w:rPr>
            </w:pPr>
            <w:r>
              <w:rPr>
                <w:sz w:val="22"/>
                <w:szCs w:val="20"/>
              </w:rPr>
              <w:t>1.7</w:t>
            </w:r>
          </w:p>
        </w:tc>
        <w:tc>
          <w:tcPr>
            <w:tcW w:w="1331" w:type="dxa"/>
            <w:shd w:val="clear" w:color="auto" w:fill="auto"/>
            <w:vAlign w:val="center"/>
          </w:tcPr>
          <w:p w:rsidR="00B450D9" w:rsidRPr="001F2DF7" w:rsidP="00B450D9" w14:paraId="2AF5EEA0" w14:textId="1744A5AE">
            <w:pPr>
              <w:pStyle w:val="NoSpacing"/>
              <w:jc w:val="center"/>
              <w:rPr>
                <w:sz w:val="22"/>
                <w:szCs w:val="20"/>
              </w:rPr>
            </w:pPr>
            <w:r>
              <w:rPr>
                <w:sz w:val="22"/>
                <w:szCs w:val="20"/>
              </w:rPr>
              <w:t>9</w:t>
            </w:r>
          </w:p>
        </w:tc>
        <w:tc>
          <w:tcPr>
            <w:tcW w:w="1121" w:type="dxa"/>
            <w:shd w:val="clear" w:color="auto" w:fill="auto"/>
            <w:vAlign w:val="center"/>
          </w:tcPr>
          <w:p w:rsidR="00B450D9" w:rsidRPr="001F2DF7" w:rsidP="00B450D9" w14:paraId="4AB5914B" w14:textId="3C3F65AF">
            <w:pPr>
              <w:pStyle w:val="NoSpacing"/>
              <w:jc w:val="center"/>
              <w:rPr>
                <w:sz w:val="22"/>
                <w:szCs w:val="20"/>
              </w:rPr>
            </w:pPr>
            <w:r>
              <w:rPr>
                <w:sz w:val="22"/>
                <w:szCs w:val="20"/>
              </w:rPr>
              <w:t>959</w:t>
            </w:r>
          </w:p>
        </w:tc>
        <w:tc>
          <w:tcPr>
            <w:tcW w:w="1158" w:type="dxa"/>
            <w:vAlign w:val="center"/>
          </w:tcPr>
          <w:p w:rsidR="00B450D9" w:rsidRPr="001F2DF7" w:rsidP="00B450D9" w14:paraId="3293C429" w14:textId="672CCDA1">
            <w:pPr>
              <w:pStyle w:val="NoSpacing"/>
              <w:jc w:val="center"/>
              <w:rPr>
                <w:sz w:val="22"/>
              </w:rPr>
            </w:pPr>
            <w:r w:rsidRPr="08B21934">
              <w:rPr>
                <w:sz w:val="22"/>
              </w:rPr>
              <w:t>$69,</w:t>
            </w:r>
            <w:r w:rsidR="00B81E74">
              <w:rPr>
                <w:sz w:val="22"/>
              </w:rPr>
              <w:t>280</w:t>
            </w:r>
          </w:p>
        </w:tc>
      </w:tr>
      <w:tr w14:paraId="7D0D1AB9" w14:textId="77777777" w:rsidTr="003F1D17">
        <w:tblPrEx>
          <w:tblW w:w="4392" w:type="pct"/>
          <w:tblLook w:val="01E0"/>
        </w:tblPrEx>
        <w:tc>
          <w:tcPr>
            <w:tcW w:w="1875" w:type="dxa"/>
            <w:shd w:val="clear" w:color="auto" w:fill="auto"/>
          </w:tcPr>
          <w:p w:rsidR="00B450D9" w:rsidRPr="001F2DF7" w:rsidP="00B450D9" w14:paraId="78DE6E63" w14:textId="77777777">
            <w:pPr>
              <w:pStyle w:val="NoSpacing"/>
              <w:rPr>
                <w:sz w:val="22"/>
                <w:szCs w:val="20"/>
              </w:rPr>
            </w:pPr>
            <w:r w:rsidRPr="001F2DF7">
              <w:rPr>
                <w:sz w:val="22"/>
                <w:szCs w:val="20"/>
              </w:rPr>
              <w:t xml:space="preserve">Total Agency </w:t>
            </w:r>
          </w:p>
        </w:tc>
        <w:tc>
          <w:tcPr>
            <w:tcW w:w="1523" w:type="dxa"/>
            <w:shd w:val="clear" w:color="auto" w:fill="E7E6E6" w:themeFill="background2"/>
          </w:tcPr>
          <w:p w:rsidR="00B450D9" w:rsidRPr="001F2DF7" w:rsidP="00B450D9" w14:paraId="083DB55B" w14:textId="77777777">
            <w:pPr>
              <w:pStyle w:val="NoSpacing"/>
              <w:jc w:val="center"/>
              <w:rPr>
                <w:sz w:val="22"/>
                <w:szCs w:val="20"/>
                <w:highlight w:val="yellow"/>
              </w:rPr>
            </w:pPr>
          </w:p>
        </w:tc>
        <w:tc>
          <w:tcPr>
            <w:tcW w:w="1403" w:type="dxa"/>
            <w:shd w:val="clear" w:color="auto" w:fill="E7E6E6" w:themeFill="background2"/>
          </w:tcPr>
          <w:p w:rsidR="00B450D9" w:rsidRPr="001F2DF7" w:rsidP="00B450D9" w14:paraId="6EED2F53" w14:textId="77777777">
            <w:pPr>
              <w:pStyle w:val="NoSpacing"/>
              <w:jc w:val="center"/>
              <w:rPr>
                <w:sz w:val="22"/>
                <w:szCs w:val="20"/>
                <w:highlight w:val="yellow"/>
              </w:rPr>
            </w:pPr>
          </w:p>
        </w:tc>
        <w:tc>
          <w:tcPr>
            <w:tcW w:w="1331" w:type="dxa"/>
            <w:shd w:val="clear" w:color="auto" w:fill="E7E6E6" w:themeFill="background2"/>
          </w:tcPr>
          <w:p w:rsidR="00B450D9" w:rsidRPr="001F2DF7" w:rsidP="00B450D9" w14:paraId="426316C9" w14:textId="70AF7B00">
            <w:pPr>
              <w:pStyle w:val="NoSpacing"/>
              <w:jc w:val="center"/>
              <w:rPr>
                <w:sz w:val="22"/>
                <w:szCs w:val="20"/>
                <w:highlight w:val="yellow"/>
              </w:rPr>
            </w:pPr>
          </w:p>
        </w:tc>
        <w:tc>
          <w:tcPr>
            <w:tcW w:w="1121" w:type="dxa"/>
            <w:shd w:val="clear" w:color="auto" w:fill="auto"/>
          </w:tcPr>
          <w:p w:rsidR="00B450D9" w:rsidRPr="00B71E95" w:rsidP="00B450D9" w14:paraId="0B79098A" w14:textId="6D89E5FE">
            <w:pPr>
              <w:pStyle w:val="NoSpacing"/>
              <w:jc w:val="center"/>
              <w:rPr>
                <w:sz w:val="22"/>
                <w:szCs w:val="20"/>
              </w:rPr>
            </w:pPr>
            <w:r w:rsidRPr="00B71E95">
              <w:rPr>
                <w:sz w:val="22"/>
                <w:szCs w:val="20"/>
              </w:rPr>
              <w:t>236</w:t>
            </w:r>
          </w:p>
        </w:tc>
        <w:tc>
          <w:tcPr>
            <w:tcW w:w="1158" w:type="dxa"/>
          </w:tcPr>
          <w:p w:rsidR="00B450D9" w:rsidRPr="00B71E95" w:rsidP="00B450D9" w14:paraId="3D6F9753" w14:textId="5E8E297F">
            <w:pPr>
              <w:pStyle w:val="NoSpacing"/>
              <w:jc w:val="center"/>
              <w:rPr>
                <w:sz w:val="22"/>
                <w:szCs w:val="20"/>
              </w:rPr>
            </w:pPr>
            <w:r w:rsidRPr="00B71E95">
              <w:rPr>
                <w:sz w:val="22"/>
                <w:szCs w:val="20"/>
              </w:rPr>
              <w:t>$23,956</w:t>
            </w:r>
          </w:p>
        </w:tc>
      </w:tr>
    </w:tbl>
    <w:p w:rsidR="00717D77" w:rsidRPr="00C54AF3" w:rsidP="00717D77" w14:paraId="7AC727A9" w14:textId="77777777">
      <w:pPr>
        <w:pStyle w:val="Heading1"/>
        <w:spacing w:before="480"/>
      </w:pPr>
      <w:r w:rsidRPr="00C54AF3">
        <w:t>SUPPORTING STATEMENT</w:t>
      </w:r>
    </w:p>
    <w:p w:rsidR="00717D77" w:rsidRPr="00C54AF3" w:rsidP="00717D77" w14:paraId="4549735C" w14:textId="77777777">
      <w:pPr>
        <w:pStyle w:val="Heading2"/>
      </w:pPr>
      <w:r w:rsidRPr="00C54AF3">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17D77" w:rsidRPr="009B05BF" w:rsidP="00717D77" w14:paraId="2DDB58BB" w14:textId="69BE06C4">
      <w:pPr>
        <w:pStyle w:val="NoSpacing"/>
        <w:rPr>
          <w:lang w:bidi="en-US"/>
        </w:rPr>
      </w:pPr>
      <w:r w:rsidRPr="00C54AF3">
        <w:t xml:space="preserve">The related legal authority is The Toxic Substances Control Act (TSCA) section 8(a), </w:t>
      </w:r>
      <w:bookmarkStart w:id="0" w:name="_Hlk140757515"/>
      <w:r w:rsidRPr="00C54AF3">
        <w:t xml:space="preserve">U. S. C. 2607 </w:t>
      </w:r>
      <w:bookmarkEnd w:id="0"/>
      <w:r w:rsidRPr="00C54AF3">
        <w:t xml:space="preserve">and </w:t>
      </w:r>
      <w:r w:rsidRPr="00C54AF3">
        <w:rPr>
          <w:lang w:bidi="en-US"/>
        </w:rPr>
        <w:t xml:space="preserve">implementing regulations in </w:t>
      </w:r>
      <w:r w:rsidRPr="00C54AF3">
        <w:t xml:space="preserve">40 CFR part 704.20. </w:t>
      </w:r>
      <w:r w:rsidRPr="00C54AF3">
        <w:rPr>
          <w:lang w:bidi="en-US"/>
        </w:rPr>
        <w:t xml:space="preserve">In addition, the EPA has guidance and other materials that are available at </w:t>
      </w:r>
      <w:r w:rsidRPr="006C103A">
        <w:rPr>
          <w:rStyle w:val="Hyperlink"/>
        </w:rPr>
        <w:t>https://www.epa.gov/reviewing-new-chemicals-under-toxic-substances-control-act-tsca/control-nanoscale-materials-under#info rule</w:t>
      </w:r>
      <w:r w:rsidRPr="009B05BF">
        <w:rPr>
          <w:lang w:bidi="en-US"/>
        </w:rPr>
        <w:t xml:space="preserve">. </w:t>
      </w:r>
    </w:p>
    <w:p w:rsidR="00717D77" w:rsidP="00717D77" w14:paraId="52E7BC46" w14:textId="77777777">
      <w:pPr>
        <w:pStyle w:val="NoSpacing"/>
        <w:spacing w:before="200"/>
      </w:pPr>
      <w:r w:rsidRPr="009B05BF">
        <w:t>The following provides a general overview for requirements</w:t>
      </w:r>
      <w:r w:rsidRPr="0057780D">
        <w:t xml:space="preserve"> covered in this ICR:</w:t>
      </w:r>
      <w:r>
        <w:t xml:space="preserve"> </w:t>
      </w:r>
    </w:p>
    <w:p w:rsidR="00F30B7B" w:rsidP="00717D77" w14:paraId="31021AE3" w14:textId="028F3D6C">
      <w:pPr>
        <w:pStyle w:val="NoSpacing"/>
        <w:spacing w:before="200"/>
      </w:pPr>
      <w:bookmarkStart w:id="1" w:name="_Hlk168058607"/>
      <w:r>
        <w:t xml:space="preserve">As defined in 40 CFR 704.20(b), potential respondents include those who can reasonably ascertain that they are manufacturers (defined by statute to include importers) and/or processors of a discrete form of a reportable chemical substance or mixture. (Additional information </w:t>
      </w:r>
      <w:r w:rsidR="00250B1F">
        <w:t>about the entities identified as potential respondents for the EPA estimates in this ICR, s</w:t>
      </w:r>
      <w:r>
        <w:t>ee also the answer to Question 12).</w:t>
      </w:r>
    </w:p>
    <w:bookmarkEnd w:id="1"/>
    <w:p w:rsidR="00717D77" w:rsidRPr="00C54AF3" w:rsidP="00717D77" w14:paraId="1F2EA811" w14:textId="77777777">
      <w:pPr>
        <w:pStyle w:val="NoSpacing"/>
        <w:spacing w:before="200"/>
        <w:rPr>
          <w:rFonts w:eastAsia="MS Mincho"/>
          <w:lang w:eastAsia="ja-JP"/>
        </w:rPr>
      </w:pPr>
      <w:r w:rsidRPr="00C54AF3">
        <w:rPr>
          <w:rFonts w:eastAsia="MS Mincho"/>
          <w:lang w:eastAsia="ja-JP"/>
        </w:rPr>
        <w:t xml:space="preserve">EPA is requiring that respondents provide all the information described below to the extent it is known or reasonably ascertainable. EPA is not requiring that respondents develop additional data for this information collection request. </w:t>
      </w:r>
    </w:p>
    <w:p w:rsidR="00717D77" w:rsidRPr="00C54AF3" w:rsidP="00717D77" w14:paraId="5BF25776" w14:textId="77777777">
      <w:pPr>
        <w:pStyle w:val="NoSpacing"/>
        <w:spacing w:before="200"/>
        <w:rPr>
          <w:rFonts w:eastAsia="MS Mincho"/>
          <w:lang w:eastAsia="ja-JP"/>
        </w:rPr>
      </w:pPr>
      <w:r w:rsidRPr="00C54AF3">
        <w:rPr>
          <w:rFonts w:eastAsia="MS Mincho"/>
          <w:lang w:eastAsia="ja-JP"/>
        </w:rPr>
        <w:t>1. Company name and other identifying information, address of company and site, technical contact and related information.</w:t>
      </w:r>
    </w:p>
    <w:p w:rsidR="00717D77" w:rsidRPr="00C54AF3" w:rsidP="00717D77" w14:paraId="7B12280C" w14:textId="77777777">
      <w:pPr>
        <w:pStyle w:val="NoSpacing"/>
        <w:spacing w:before="200"/>
        <w:rPr>
          <w:rFonts w:eastAsia="MS Mincho"/>
          <w:lang w:eastAsia="ja-JP"/>
        </w:rPr>
      </w:pPr>
      <w:r w:rsidRPr="00C54AF3">
        <w:rPr>
          <w:rFonts w:eastAsia="MS Mincho"/>
          <w:lang w:eastAsia="ja-JP"/>
        </w:rPr>
        <w:t>2. Common or trade name of the chemical substance.</w:t>
      </w:r>
    </w:p>
    <w:p w:rsidR="00717D77" w:rsidRPr="00C54AF3" w:rsidP="00717D77" w14:paraId="029760EE" w14:textId="77777777">
      <w:pPr>
        <w:autoSpaceDE w:val="0"/>
        <w:autoSpaceDN w:val="0"/>
        <w:adjustRightInd w:val="0"/>
        <w:rPr>
          <w:rFonts w:eastAsia="MS Mincho"/>
          <w:lang w:eastAsia="ja-JP"/>
        </w:rPr>
      </w:pPr>
      <w:r w:rsidRPr="00C54AF3">
        <w:rPr>
          <w:rFonts w:eastAsia="MS Mincho"/>
          <w:lang w:eastAsia="ja-JP"/>
        </w:rPr>
        <w:t xml:space="preserve">Chemical identity and molecular structure of substance.  </w:t>
      </w:r>
    </w:p>
    <w:p w:rsidR="00717D77" w:rsidRPr="0057780D" w:rsidP="00717D77" w14:paraId="046E34A6" w14:textId="77777777">
      <w:pPr>
        <w:autoSpaceDE w:val="0"/>
        <w:autoSpaceDN w:val="0"/>
        <w:adjustRightInd w:val="0"/>
        <w:rPr>
          <w:rFonts w:eastAsia="MS Mincho"/>
          <w:lang w:eastAsia="ja-JP"/>
        </w:rPr>
      </w:pPr>
      <w:r w:rsidRPr="00C54AF3">
        <w:rPr>
          <w:rFonts w:eastAsia="MS Mincho"/>
          <w:lang w:eastAsia="ja-JP"/>
        </w:rPr>
        <w:t>3. The following physical and environmenta</w:t>
      </w:r>
      <w:r w:rsidRPr="0057780D">
        <w:rPr>
          <w:rFonts w:eastAsia="MS Mincho"/>
          <w:lang w:eastAsia="ja-JP"/>
        </w:rPr>
        <w:t>l fate properties:</w:t>
      </w:r>
    </w:p>
    <w:p w:rsidR="00717D77" w:rsidRPr="0057780D" w:rsidP="00717D77" w14:paraId="12E681E7" w14:textId="77777777">
      <w:pPr>
        <w:autoSpaceDE w:val="0"/>
        <w:autoSpaceDN w:val="0"/>
        <w:adjustRightInd w:val="0"/>
        <w:ind w:left="720"/>
        <w:rPr>
          <w:rFonts w:eastAsia="MS Mincho"/>
          <w:lang w:eastAsia="ja-JP"/>
        </w:rPr>
      </w:pPr>
      <w:r w:rsidRPr="0057780D">
        <w:rPr>
          <w:rFonts w:eastAsia="MS Mincho"/>
          <w:lang w:eastAsia="ja-JP"/>
        </w:rPr>
        <w:t xml:space="preserve">Physical state </w:t>
      </w:r>
    </w:p>
    <w:p w:rsidR="00717D77" w:rsidRPr="0057780D" w:rsidP="00717D77" w14:paraId="30122ADD" w14:textId="77777777">
      <w:pPr>
        <w:autoSpaceDE w:val="0"/>
        <w:autoSpaceDN w:val="0"/>
        <w:adjustRightInd w:val="0"/>
        <w:ind w:left="720"/>
        <w:rPr>
          <w:rFonts w:eastAsia="MS Mincho"/>
          <w:lang w:eastAsia="ja-JP"/>
        </w:rPr>
      </w:pPr>
      <w:r w:rsidRPr="0057780D">
        <w:rPr>
          <w:rFonts w:eastAsia="MS Mincho"/>
          <w:lang w:eastAsia="ja-JP"/>
        </w:rPr>
        <w:t>Vapor pressure</w:t>
      </w:r>
    </w:p>
    <w:p w:rsidR="00717D77" w:rsidRPr="0057780D" w:rsidP="00717D77" w14:paraId="44033478" w14:textId="77777777">
      <w:pPr>
        <w:autoSpaceDE w:val="0"/>
        <w:autoSpaceDN w:val="0"/>
        <w:adjustRightInd w:val="0"/>
        <w:ind w:left="720"/>
        <w:rPr>
          <w:rFonts w:eastAsia="MS Mincho"/>
          <w:lang w:eastAsia="ja-JP"/>
        </w:rPr>
      </w:pPr>
      <w:r w:rsidRPr="0057780D">
        <w:rPr>
          <w:rFonts w:eastAsia="MS Mincho"/>
          <w:lang w:eastAsia="ja-JP"/>
        </w:rPr>
        <w:t>Density Solubility in water or other solvents</w:t>
      </w:r>
    </w:p>
    <w:p w:rsidR="00717D77" w:rsidRPr="0057780D" w:rsidP="00717D77" w14:paraId="4A00A910" w14:textId="77777777">
      <w:pPr>
        <w:autoSpaceDE w:val="0"/>
        <w:autoSpaceDN w:val="0"/>
        <w:adjustRightInd w:val="0"/>
        <w:ind w:left="720"/>
        <w:rPr>
          <w:rFonts w:eastAsia="MS Mincho"/>
          <w:lang w:eastAsia="ja-JP"/>
        </w:rPr>
      </w:pPr>
      <w:r w:rsidRPr="0057780D">
        <w:rPr>
          <w:rFonts w:eastAsia="MS Mincho"/>
          <w:lang w:eastAsia="ja-JP"/>
        </w:rPr>
        <w:t xml:space="preserve">Melting temperature </w:t>
      </w:r>
    </w:p>
    <w:p w:rsidR="00717D77" w:rsidRPr="0057780D" w:rsidP="00717D77" w14:paraId="1662954B" w14:textId="77777777">
      <w:pPr>
        <w:autoSpaceDE w:val="0"/>
        <w:autoSpaceDN w:val="0"/>
        <w:adjustRightInd w:val="0"/>
        <w:ind w:left="720"/>
        <w:rPr>
          <w:rFonts w:eastAsia="MS Mincho"/>
          <w:lang w:eastAsia="ja-JP"/>
        </w:rPr>
      </w:pPr>
      <w:r w:rsidRPr="0057780D">
        <w:rPr>
          <w:rFonts w:eastAsia="MS Mincho"/>
          <w:lang w:eastAsia="ja-JP"/>
        </w:rPr>
        <w:t>Boiling/sublimation temperature</w:t>
      </w:r>
    </w:p>
    <w:p w:rsidR="00717D77" w:rsidRPr="0057780D" w:rsidP="00717D77" w14:paraId="5F0626DA" w14:textId="77777777">
      <w:pPr>
        <w:autoSpaceDE w:val="0"/>
        <w:autoSpaceDN w:val="0"/>
        <w:adjustRightInd w:val="0"/>
        <w:ind w:left="720"/>
        <w:rPr>
          <w:rFonts w:eastAsia="MS Mincho"/>
          <w:lang w:eastAsia="ja-JP"/>
        </w:rPr>
      </w:pPr>
      <w:r w:rsidRPr="0057780D">
        <w:rPr>
          <w:rFonts w:eastAsia="MS Mincho"/>
          <w:lang w:eastAsia="ja-JP"/>
        </w:rPr>
        <w:t>Spectra Dissociation constant</w:t>
      </w:r>
    </w:p>
    <w:p w:rsidR="00717D77" w:rsidRPr="0057780D" w:rsidP="00717D77" w14:paraId="0A0D536A" w14:textId="77777777">
      <w:pPr>
        <w:autoSpaceDE w:val="0"/>
        <w:autoSpaceDN w:val="0"/>
        <w:adjustRightInd w:val="0"/>
        <w:ind w:left="720"/>
        <w:rPr>
          <w:rFonts w:eastAsia="MS Mincho"/>
          <w:lang w:eastAsia="ja-JP"/>
        </w:rPr>
      </w:pPr>
      <w:r w:rsidRPr="0057780D">
        <w:rPr>
          <w:rFonts w:eastAsia="MS Mincho"/>
          <w:lang w:eastAsia="ja-JP"/>
        </w:rPr>
        <w:t xml:space="preserve">Particle size distribution </w:t>
      </w:r>
    </w:p>
    <w:p w:rsidR="00717D77" w:rsidRPr="0057780D" w:rsidP="00717D77" w14:paraId="3C45B14C" w14:textId="77777777">
      <w:pPr>
        <w:autoSpaceDE w:val="0"/>
        <w:autoSpaceDN w:val="0"/>
        <w:adjustRightInd w:val="0"/>
        <w:ind w:left="720"/>
        <w:rPr>
          <w:rFonts w:eastAsia="MS Mincho"/>
          <w:lang w:eastAsia="ja-JP"/>
        </w:rPr>
      </w:pPr>
      <w:r w:rsidRPr="0057780D">
        <w:rPr>
          <w:rFonts w:eastAsia="MS Mincho"/>
          <w:lang w:eastAsia="ja-JP"/>
        </w:rPr>
        <w:t>Octanol/water partition coefficient</w:t>
      </w:r>
    </w:p>
    <w:p w:rsidR="00717D77" w:rsidRPr="0057780D" w:rsidP="00717D77" w14:paraId="58AF7564" w14:textId="77777777">
      <w:pPr>
        <w:autoSpaceDE w:val="0"/>
        <w:autoSpaceDN w:val="0"/>
        <w:adjustRightInd w:val="0"/>
        <w:ind w:left="720"/>
        <w:rPr>
          <w:rFonts w:eastAsia="MS Mincho"/>
          <w:lang w:eastAsia="ja-JP"/>
        </w:rPr>
      </w:pPr>
      <w:r w:rsidRPr="0057780D">
        <w:rPr>
          <w:rFonts w:eastAsia="MS Mincho"/>
          <w:lang w:eastAsia="ja-JP"/>
        </w:rPr>
        <w:t xml:space="preserve">Henry’s Law constant </w:t>
      </w:r>
    </w:p>
    <w:p w:rsidR="00717D77" w:rsidRPr="0057780D" w:rsidP="00717D77" w14:paraId="5E3773CA" w14:textId="77777777">
      <w:pPr>
        <w:autoSpaceDE w:val="0"/>
        <w:autoSpaceDN w:val="0"/>
        <w:adjustRightInd w:val="0"/>
        <w:ind w:left="720"/>
        <w:rPr>
          <w:rFonts w:eastAsia="MS Mincho"/>
          <w:lang w:eastAsia="ja-JP"/>
        </w:rPr>
      </w:pPr>
      <w:r w:rsidRPr="0057780D">
        <w:rPr>
          <w:rFonts w:eastAsia="MS Mincho"/>
          <w:lang w:eastAsia="ja-JP"/>
        </w:rPr>
        <w:t>Volatilization from water</w:t>
      </w:r>
    </w:p>
    <w:p w:rsidR="00717D77" w:rsidRPr="0057780D" w:rsidP="00717D77" w14:paraId="1061ECE5" w14:textId="77777777">
      <w:pPr>
        <w:autoSpaceDE w:val="0"/>
        <w:autoSpaceDN w:val="0"/>
        <w:adjustRightInd w:val="0"/>
        <w:ind w:left="720"/>
        <w:rPr>
          <w:rFonts w:eastAsia="MS Mincho"/>
          <w:lang w:eastAsia="ja-JP"/>
        </w:rPr>
      </w:pPr>
      <w:r w:rsidRPr="0057780D">
        <w:rPr>
          <w:rFonts w:eastAsia="MS Mincho"/>
          <w:lang w:eastAsia="ja-JP"/>
        </w:rPr>
        <w:t>pH Volatilization from soil</w:t>
      </w:r>
    </w:p>
    <w:p w:rsidR="00717D77" w:rsidRPr="0057780D" w:rsidP="00717D77" w14:paraId="17C9BEDF" w14:textId="77777777">
      <w:pPr>
        <w:autoSpaceDE w:val="0"/>
        <w:autoSpaceDN w:val="0"/>
        <w:adjustRightInd w:val="0"/>
        <w:ind w:left="720"/>
        <w:rPr>
          <w:rFonts w:eastAsia="MS Mincho"/>
          <w:lang w:eastAsia="ja-JP"/>
        </w:rPr>
      </w:pPr>
      <w:r w:rsidRPr="0057780D">
        <w:rPr>
          <w:rFonts w:eastAsia="MS Mincho"/>
          <w:lang w:eastAsia="ja-JP"/>
        </w:rPr>
        <w:t>Flammability Explodability</w:t>
      </w:r>
    </w:p>
    <w:p w:rsidR="00717D77" w:rsidRPr="0057780D" w:rsidP="00717D77" w14:paraId="31AC34E6" w14:textId="77777777">
      <w:pPr>
        <w:autoSpaceDE w:val="0"/>
        <w:autoSpaceDN w:val="0"/>
        <w:adjustRightInd w:val="0"/>
        <w:ind w:left="720"/>
        <w:rPr>
          <w:rFonts w:eastAsia="MS Mincho"/>
          <w:lang w:eastAsia="ja-JP"/>
        </w:rPr>
      </w:pPr>
      <w:r w:rsidRPr="0057780D">
        <w:rPr>
          <w:rFonts w:eastAsia="MS Mincho"/>
          <w:lang w:eastAsia="ja-JP"/>
        </w:rPr>
        <w:t>Adsorption coefficient Shape</w:t>
      </w:r>
    </w:p>
    <w:p w:rsidR="00717D77" w:rsidRPr="0057780D" w:rsidP="00717D77" w14:paraId="367624C3" w14:textId="77777777">
      <w:pPr>
        <w:autoSpaceDE w:val="0"/>
        <w:autoSpaceDN w:val="0"/>
        <w:adjustRightInd w:val="0"/>
        <w:ind w:left="720"/>
        <w:rPr>
          <w:rFonts w:eastAsia="MS Mincho"/>
          <w:lang w:eastAsia="ja-JP"/>
        </w:rPr>
      </w:pPr>
      <w:r w:rsidRPr="0057780D">
        <w:rPr>
          <w:rFonts w:eastAsia="MS Mincho"/>
          <w:lang w:eastAsia="ja-JP"/>
        </w:rPr>
        <w:t>Agglomeration state/dispersion state</w:t>
      </w:r>
    </w:p>
    <w:p w:rsidR="00717D77" w:rsidRPr="0057780D" w:rsidP="00717D77" w14:paraId="6D6D1212" w14:textId="77777777">
      <w:pPr>
        <w:autoSpaceDE w:val="0"/>
        <w:autoSpaceDN w:val="0"/>
        <w:adjustRightInd w:val="0"/>
        <w:ind w:left="720"/>
        <w:rPr>
          <w:rFonts w:eastAsia="MS Mincho"/>
          <w:lang w:eastAsia="ja-JP"/>
        </w:rPr>
      </w:pPr>
      <w:r w:rsidRPr="0057780D">
        <w:rPr>
          <w:rFonts w:eastAsia="MS Mincho"/>
          <w:lang w:eastAsia="ja-JP"/>
        </w:rPr>
        <w:t>Crystal structure</w:t>
      </w:r>
    </w:p>
    <w:p w:rsidR="00717D77" w:rsidRPr="0057780D" w:rsidP="00717D77" w14:paraId="0C5B3673" w14:textId="77777777">
      <w:pPr>
        <w:autoSpaceDE w:val="0"/>
        <w:autoSpaceDN w:val="0"/>
        <w:adjustRightInd w:val="0"/>
        <w:ind w:left="720"/>
        <w:rPr>
          <w:rFonts w:eastAsia="MS Mincho"/>
          <w:lang w:eastAsia="ja-JP"/>
        </w:rPr>
      </w:pPr>
      <w:r w:rsidRPr="0057780D">
        <w:rPr>
          <w:rFonts w:eastAsia="MS Mincho"/>
          <w:lang w:eastAsia="ja-JP"/>
        </w:rPr>
        <w:t xml:space="preserve">Chemical composition – including spatially averaged (bulk) and spatially resolved </w:t>
      </w:r>
    </w:p>
    <w:p w:rsidR="00717D77" w:rsidRPr="0057780D" w:rsidP="00717D77" w14:paraId="2244A1A3" w14:textId="5D758981">
      <w:pPr>
        <w:autoSpaceDE w:val="0"/>
        <w:autoSpaceDN w:val="0"/>
        <w:adjustRightInd w:val="0"/>
        <w:ind w:left="720"/>
        <w:rPr>
          <w:rFonts w:eastAsia="MS Mincho"/>
          <w:lang w:eastAsia="ja-JP"/>
        </w:rPr>
      </w:pPr>
      <w:r>
        <w:rPr>
          <w:rFonts w:eastAsia="MS Mincho"/>
          <w:lang w:eastAsia="ja-JP"/>
        </w:rPr>
        <w:t>H</w:t>
      </w:r>
      <w:r w:rsidRPr="0057780D">
        <w:rPr>
          <w:rFonts w:eastAsia="MS Mincho"/>
          <w:lang w:eastAsia="ja-JP"/>
        </w:rPr>
        <w:t>eterogeneous composition</w:t>
      </w:r>
    </w:p>
    <w:p w:rsidR="00717D77" w:rsidRPr="0057780D" w:rsidP="00717D77" w14:paraId="3DF9A51C" w14:textId="77777777">
      <w:pPr>
        <w:autoSpaceDE w:val="0"/>
        <w:autoSpaceDN w:val="0"/>
        <w:adjustRightInd w:val="0"/>
        <w:ind w:left="720"/>
        <w:rPr>
          <w:rFonts w:eastAsia="MS Mincho"/>
          <w:lang w:eastAsia="ja-JP"/>
        </w:rPr>
      </w:pPr>
      <w:r w:rsidRPr="0057780D">
        <w:rPr>
          <w:rFonts w:eastAsia="MS Mincho"/>
          <w:lang w:eastAsia="ja-JP"/>
        </w:rPr>
        <w:t>Surface area Surface chemistry</w:t>
      </w:r>
    </w:p>
    <w:p w:rsidR="00717D77" w:rsidRPr="0057780D" w:rsidP="00717D77" w14:paraId="2D3FF42C" w14:textId="77777777">
      <w:pPr>
        <w:autoSpaceDE w:val="0"/>
        <w:autoSpaceDN w:val="0"/>
        <w:adjustRightInd w:val="0"/>
        <w:ind w:left="720"/>
        <w:rPr>
          <w:rFonts w:eastAsia="MS Mincho"/>
          <w:lang w:eastAsia="ja-JP"/>
        </w:rPr>
      </w:pPr>
      <w:r w:rsidRPr="0057780D">
        <w:rPr>
          <w:rFonts w:eastAsia="MS Mincho"/>
          <w:lang w:eastAsia="ja-JP"/>
        </w:rPr>
        <w:t>Surface charge Porosity</w:t>
      </w:r>
    </w:p>
    <w:p w:rsidR="00717D77" w:rsidRPr="0057780D" w:rsidP="00717D77" w14:paraId="0986FD07" w14:textId="77777777">
      <w:pPr>
        <w:autoSpaceDE w:val="0"/>
        <w:autoSpaceDN w:val="0"/>
        <w:adjustRightInd w:val="0"/>
        <w:ind w:left="720"/>
        <w:rPr>
          <w:rFonts w:eastAsia="MS Mincho"/>
          <w:lang w:eastAsia="ja-JP"/>
        </w:rPr>
      </w:pPr>
      <w:r w:rsidRPr="0057780D">
        <w:rPr>
          <w:rFonts w:eastAsia="MS Mincho"/>
          <w:lang w:eastAsia="ja-JP"/>
        </w:rPr>
        <w:t>Surface reactivity average particle weight</w:t>
      </w:r>
    </w:p>
    <w:p w:rsidR="00717D77" w:rsidRPr="0057780D" w:rsidP="00717D77" w14:paraId="1AA59C22" w14:textId="77777777">
      <w:pPr>
        <w:autoSpaceDE w:val="0"/>
        <w:autoSpaceDN w:val="0"/>
        <w:adjustRightInd w:val="0"/>
        <w:ind w:left="720"/>
        <w:rPr>
          <w:rFonts w:eastAsia="MS Mincho"/>
          <w:lang w:eastAsia="ja-JP"/>
        </w:rPr>
      </w:pPr>
      <w:r w:rsidRPr="0057780D">
        <w:rPr>
          <w:rFonts w:eastAsia="MS Mincho"/>
          <w:lang w:eastAsia="ja-JP"/>
        </w:rPr>
        <w:t>Average particle surface area rate of sorption</w:t>
      </w:r>
    </w:p>
    <w:p w:rsidR="00717D77" w:rsidRPr="0057780D" w:rsidP="00717D77" w14:paraId="5E638CBB" w14:textId="77777777">
      <w:pPr>
        <w:autoSpaceDE w:val="0"/>
        <w:autoSpaceDN w:val="0"/>
        <w:adjustRightInd w:val="0"/>
        <w:ind w:left="720"/>
        <w:rPr>
          <w:rFonts w:eastAsia="MS Mincho"/>
          <w:lang w:eastAsia="ja-JP"/>
        </w:rPr>
      </w:pPr>
      <w:r w:rsidRPr="0057780D">
        <w:rPr>
          <w:rFonts w:eastAsia="MS Mincho"/>
          <w:lang w:eastAsia="ja-JP"/>
        </w:rPr>
        <w:t>Aggregation rate of diffusion</w:t>
      </w:r>
    </w:p>
    <w:p w:rsidR="00717D77" w:rsidRPr="0057780D" w:rsidP="00717D77" w14:paraId="2C1ACD9B" w14:textId="77777777">
      <w:pPr>
        <w:autoSpaceDE w:val="0"/>
        <w:autoSpaceDN w:val="0"/>
        <w:adjustRightInd w:val="0"/>
        <w:ind w:left="720"/>
        <w:rPr>
          <w:rFonts w:eastAsia="MS Mincho"/>
          <w:lang w:eastAsia="ja-JP"/>
        </w:rPr>
      </w:pPr>
      <w:r w:rsidRPr="0057780D">
        <w:rPr>
          <w:rFonts w:eastAsia="MS Mincho"/>
          <w:lang w:eastAsia="ja-JP"/>
        </w:rPr>
        <w:t>Wet and dry transport rate of gravitational settling</w:t>
      </w:r>
    </w:p>
    <w:p w:rsidR="00717D77" w:rsidRPr="0057780D" w:rsidP="00717D77" w14:paraId="1B4E8DD3" w14:textId="77777777">
      <w:pPr>
        <w:autoSpaceDE w:val="0"/>
        <w:autoSpaceDN w:val="0"/>
        <w:adjustRightInd w:val="0"/>
        <w:ind w:left="720"/>
        <w:rPr>
          <w:rFonts w:eastAsia="MS Mincho"/>
          <w:lang w:eastAsia="ja-JP"/>
        </w:rPr>
      </w:pPr>
      <w:r w:rsidRPr="0057780D">
        <w:rPr>
          <w:rFonts w:eastAsia="MS Mincho"/>
          <w:lang w:eastAsia="ja-JP"/>
        </w:rPr>
        <w:t>Bioaccumulation/biomagnification biodegradation</w:t>
      </w:r>
    </w:p>
    <w:p w:rsidR="00717D77" w:rsidRPr="0057780D" w:rsidP="00717D77" w14:paraId="2FA39B50" w14:textId="77777777">
      <w:pPr>
        <w:autoSpaceDE w:val="0"/>
        <w:autoSpaceDN w:val="0"/>
        <w:adjustRightInd w:val="0"/>
        <w:ind w:left="720"/>
        <w:rPr>
          <w:rFonts w:eastAsia="MS Mincho"/>
          <w:lang w:eastAsia="ja-JP"/>
        </w:rPr>
      </w:pPr>
      <w:r w:rsidRPr="0057780D">
        <w:rPr>
          <w:rFonts w:eastAsia="MS Mincho"/>
          <w:lang w:eastAsia="ja-JP"/>
        </w:rPr>
        <w:t>Particle count rate of deposition</w:t>
      </w:r>
    </w:p>
    <w:p w:rsidR="00717D77" w:rsidRPr="0057780D" w:rsidP="00717D77" w14:paraId="328A26BA" w14:textId="77777777">
      <w:pPr>
        <w:autoSpaceDE w:val="0"/>
        <w:autoSpaceDN w:val="0"/>
        <w:adjustRightInd w:val="0"/>
        <w:ind w:left="720"/>
        <w:rPr>
          <w:rFonts w:eastAsia="MS Mincho"/>
          <w:lang w:eastAsia="ja-JP"/>
        </w:rPr>
      </w:pPr>
      <w:r w:rsidRPr="0057780D">
        <w:rPr>
          <w:rFonts w:eastAsia="MS Mincho"/>
          <w:lang w:eastAsia="ja-JP"/>
        </w:rPr>
        <w:t>Surface/volume ratio average aerodynamic diameter</w:t>
      </w:r>
    </w:p>
    <w:p w:rsidR="00717D77" w:rsidRPr="0057780D" w:rsidP="00717D77" w14:paraId="78FC7F2A" w14:textId="77777777">
      <w:pPr>
        <w:autoSpaceDE w:val="0"/>
        <w:autoSpaceDN w:val="0"/>
        <w:adjustRightInd w:val="0"/>
        <w:ind w:left="720"/>
        <w:rPr>
          <w:rFonts w:eastAsia="MS Mincho"/>
          <w:lang w:eastAsia="ja-JP"/>
        </w:rPr>
      </w:pPr>
      <w:r w:rsidRPr="0057780D">
        <w:rPr>
          <w:rFonts w:eastAsia="MS Mincho"/>
          <w:lang w:eastAsia="ja-JP"/>
        </w:rPr>
        <w:t>Mobility through soil</w:t>
      </w:r>
    </w:p>
    <w:p w:rsidR="00717D77" w:rsidRPr="00C54AF3" w:rsidP="00717D77" w14:paraId="09A7670C" w14:textId="77777777">
      <w:pPr>
        <w:autoSpaceDE w:val="0"/>
        <w:autoSpaceDN w:val="0"/>
        <w:adjustRightInd w:val="0"/>
        <w:ind w:left="720"/>
        <w:rPr>
          <w:rFonts w:eastAsia="MS Mincho"/>
          <w:lang w:eastAsia="ja-JP"/>
        </w:rPr>
      </w:pPr>
      <w:r w:rsidRPr="00C54AF3">
        <w:rPr>
          <w:rFonts w:eastAsia="MS Mincho"/>
          <w:lang w:eastAsia="ja-JP"/>
        </w:rPr>
        <w:t>Influence of Redox and photochemical reaction</w:t>
      </w:r>
    </w:p>
    <w:p w:rsidR="00717D77" w:rsidRPr="00C54AF3" w:rsidP="00717D77" w14:paraId="7628E357" w14:textId="77777777">
      <w:pPr>
        <w:autoSpaceDE w:val="0"/>
        <w:autoSpaceDN w:val="0"/>
        <w:adjustRightInd w:val="0"/>
        <w:rPr>
          <w:rFonts w:eastAsia="MS Mincho"/>
          <w:lang w:eastAsia="ja-JP"/>
        </w:rPr>
      </w:pPr>
      <w:r w:rsidRPr="00C54AF3">
        <w:rPr>
          <w:rFonts w:eastAsia="MS Mincho"/>
          <w:lang w:eastAsia="ja-JP"/>
        </w:rPr>
        <w:t>4. Description of all uses including expected consumer uses.</w:t>
      </w:r>
    </w:p>
    <w:p w:rsidR="00717D77" w:rsidRPr="00C54AF3" w:rsidP="00717D77" w14:paraId="19A67259" w14:textId="77777777">
      <w:pPr>
        <w:autoSpaceDE w:val="0"/>
        <w:autoSpaceDN w:val="0"/>
        <w:adjustRightInd w:val="0"/>
        <w:rPr>
          <w:rFonts w:eastAsia="MS Mincho"/>
          <w:lang w:eastAsia="ja-JP"/>
        </w:rPr>
      </w:pPr>
      <w:r w:rsidRPr="00C54AF3">
        <w:rPr>
          <w:rFonts w:eastAsia="MS Mincho"/>
          <w:lang w:eastAsia="ja-JP"/>
        </w:rPr>
        <w:t>5. Estimate of the total amount of the chemicals substance to be manufactured including the amount for each use category.</w:t>
      </w:r>
    </w:p>
    <w:p w:rsidR="00717D77" w:rsidRPr="00C54AF3" w:rsidP="00717D77" w14:paraId="217D8FFC" w14:textId="77777777">
      <w:pPr>
        <w:autoSpaceDE w:val="0"/>
        <w:autoSpaceDN w:val="0"/>
        <w:adjustRightInd w:val="0"/>
        <w:rPr>
          <w:rFonts w:eastAsia="MS Mincho"/>
          <w:lang w:eastAsia="ja-JP"/>
        </w:rPr>
      </w:pPr>
      <w:r w:rsidRPr="00C54AF3">
        <w:rPr>
          <w:rFonts w:eastAsia="MS Mincho"/>
          <w:lang w:eastAsia="ja-JP"/>
        </w:rPr>
        <w:t>6. Description of byproducts and impurities resulting from manufacture, process, use or disposal of the chemical substance.</w:t>
      </w:r>
    </w:p>
    <w:p w:rsidR="00717D77" w:rsidRPr="0057780D" w:rsidP="00717D77" w14:paraId="69096D3E" w14:textId="1B647DB2">
      <w:pPr>
        <w:autoSpaceDE w:val="0"/>
        <w:autoSpaceDN w:val="0"/>
        <w:adjustRightInd w:val="0"/>
        <w:rPr>
          <w:rFonts w:eastAsia="MS Mincho"/>
          <w:lang w:eastAsia="ja-JP"/>
        </w:rPr>
      </w:pPr>
      <w:r w:rsidRPr="00C54AF3">
        <w:rPr>
          <w:rFonts w:eastAsia="MS Mincho"/>
          <w:lang w:eastAsia="ja-JP"/>
        </w:rPr>
        <w:t>7. For each type of workplace in the lifecycle, the same information requested on pp. 8-10 of the EPA PMN form (7710-25)</w:t>
      </w:r>
      <w:r w:rsidR="0059048C">
        <w:rPr>
          <w:rFonts w:eastAsia="MS Mincho"/>
          <w:lang w:eastAsia="ja-JP"/>
        </w:rPr>
        <w:t xml:space="preserve"> </w:t>
      </w:r>
      <w:r w:rsidR="00080A24">
        <w:rPr>
          <w:rFonts w:eastAsia="MS Mincho"/>
          <w:lang w:eastAsia="ja-JP"/>
        </w:rPr>
        <w:t>(</w:t>
      </w:r>
      <w:r w:rsidRPr="00AA03C8" w:rsidR="00080A24">
        <w:rPr>
          <w:rFonts w:eastAsia="MS Mincho"/>
          <w:b/>
          <w:bCs/>
          <w:lang w:eastAsia="ja-JP"/>
        </w:rPr>
        <w:t xml:space="preserve">Attachment </w:t>
      </w:r>
      <w:r w:rsidR="00224C7C">
        <w:rPr>
          <w:rFonts w:eastAsia="MS Mincho"/>
          <w:b/>
          <w:bCs/>
          <w:lang w:eastAsia="ja-JP"/>
        </w:rPr>
        <w:t>A</w:t>
      </w:r>
      <w:r w:rsidR="00080A24">
        <w:rPr>
          <w:rFonts w:eastAsia="MS Mincho"/>
          <w:lang w:eastAsia="ja-JP"/>
        </w:rPr>
        <w:t>)</w:t>
      </w:r>
      <w:r w:rsidRPr="00C54AF3">
        <w:rPr>
          <w:rFonts w:eastAsia="MS Mincho"/>
          <w:lang w:eastAsia="ja-JP"/>
        </w:rPr>
        <w:t xml:space="preserve"> would be helpful for releases and exposures, with the following additions.</w:t>
      </w:r>
    </w:p>
    <w:p w:rsidR="00717D77" w:rsidRPr="0057780D" w:rsidP="00717D77" w14:paraId="29B0D44B" w14:textId="77777777">
      <w:pPr>
        <w:autoSpaceDE w:val="0"/>
        <w:autoSpaceDN w:val="0"/>
        <w:adjustRightInd w:val="0"/>
        <w:rPr>
          <w:rFonts w:eastAsia="MS Mincho"/>
          <w:lang w:eastAsia="ja-JP"/>
        </w:rPr>
      </w:pPr>
      <w:r w:rsidRPr="0057780D">
        <w:rPr>
          <w:rFonts w:eastAsia="MS Mincho"/>
          <w:lang w:eastAsia="ja-JP"/>
        </w:rPr>
        <w:t>8. A brief overview of the lifecycle including all workplaces that manufacture, process, or use the chemical substance and all expected consumer uses.</w:t>
      </w:r>
    </w:p>
    <w:p w:rsidR="00717D77" w:rsidRPr="0057780D" w:rsidP="00717D77" w14:paraId="7FCD02E1" w14:textId="77777777">
      <w:pPr>
        <w:autoSpaceDE w:val="0"/>
        <w:autoSpaceDN w:val="0"/>
        <w:adjustRightInd w:val="0"/>
        <w:rPr>
          <w:rFonts w:eastAsia="MS Mincho"/>
          <w:lang w:eastAsia="ja-JP"/>
        </w:rPr>
      </w:pPr>
      <w:r w:rsidRPr="0057780D">
        <w:rPr>
          <w:rFonts w:eastAsia="MS Mincho"/>
          <w:lang w:eastAsia="ja-JP"/>
        </w:rPr>
        <w:t>9. For each release point for which control technology is used, the rationale for selecting the control, and, if available, data and measurement methods of waste treatment or purification efficiency studies for the chemical substance.</w:t>
      </w:r>
    </w:p>
    <w:p w:rsidR="00717D77" w:rsidRPr="0057780D" w:rsidP="00717D77" w14:paraId="76F4766F" w14:textId="77777777">
      <w:pPr>
        <w:autoSpaceDE w:val="0"/>
        <w:autoSpaceDN w:val="0"/>
        <w:adjustRightInd w:val="0"/>
        <w:rPr>
          <w:rFonts w:eastAsia="MS Mincho"/>
          <w:lang w:eastAsia="ja-JP"/>
        </w:rPr>
      </w:pPr>
      <w:r w:rsidRPr="0057780D">
        <w:rPr>
          <w:rFonts w:eastAsia="MS Mincho"/>
          <w:lang w:eastAsia="ja-JP"/>
        </w:rPr>
        <w:t>10. Regarding worker exposure information, personal or area monitoring data (in mass concentrations, surface area per mass, number of particles, etc.) for the chemical substance, including the measurement method(s) used to generate the data.</w:t>
      </w:r>
    </w:p>
    <w:p w:rsidR="00717D77" w:rsidRPr="0057780D" w:rsidP="00717D77" w14:paraId="1B70748A" w14:textId="77777777">
      <w:pPr>
        <w:autoSpaceDE w:val="0"/>
        <w:autoSpaceDN w:val="0"/>
        <w:adjustRightInd w:val="0"/>
        <w:rPr>
          <w:rFonts w:eastAsia="MS Mincho"/>
          <w:lang w:eastAsia="ja-JP"/>
        </w:rPr>
      </w:pPr>
      <w:r w:rsidRPr="0057780D">
        <w:rPr>
          <w:rFonts w:eastAsia="MS Mincho"/>
          <w:lang w:eastAsia="ja-JP"/>
        </w:rPr>
        <w:t>11. For each protective equipment or engineering control listed as worker protection, the rationale for selecting the protective equipment or engineering controls, and data (and methods used to generate the data) that were used in making the selection or that may help to indicate the effectiveness of the protective equipment or engineering controls.</w:t>
      </w:r>
    </w:p>
    <w:p w:rsidR="00717D77" w:rsidRPr="0057780D" w:rsidP="00717D77" w14:paraId="4433A17B" w14:textId="77777777">
      <w:pPr>
        <w:autoSpaceDE w:val="0"/>
        <w:autoSpaceDN w:val="0"/>
        <w:adjustRightInd w:val="0"/>
        <w:rPr>
          <w:rFonts w:eastAsia="MS Mincho"/>
          <w:lang w:eastAsia="ja-JP"/>
        </w:rPr>
      </w:pPr>
      <w:r w:rsidRPr="0057780D">
        <w:rPr>
          <w:rFonts w:eastAsia="MS Mincho"/>
          <w:lang w:eastAsia="ja-JP"/>
        </w:rPr>
        <w:t>12. Information on cleaning/reuse/disposal of used protective equipment (gloves, respirator cartridges, etc.).</w:t>
      </w:r>
    </w:p>
    <w:p w:rsidR="00717D77" w:rsidRPr="0057780D" w:rsidP="00717D77" w14:paraId="0BC6D33D" w14:textId="77777777">
      <w:pPr>
        <w:autoSpaceDE w:val="0"/>
        <w:autoSpaceDN w:val="0"/>
        <w:adjustRightInd w:val="0"/>
        <w:rPr>
          <w:rFonts w:eastAsia="MS Mincho"/>
          <w:lang w:eastAsia="ja-JP"/>
        </w:rPr>
      </w:pPr>
      <w:r w:rsidRPr="0057780D">
        <w:rPr>
          <w:rFonts w:eastAsia="MS Mincho"/>
          <w:lang w:eastAsia="ja-JP"/>
        </w:rPr>
        <w:t>13. Additional procedures or other equipment intended to mitigate exposures to the chemical substance.</w:t>
      </w:r>
    </w:p>
    <w:p w:rsidR="00717D77" w:rsidRPr="0057780D" w:rsidP="00717D77" w14:paraId="65A27FAF" w14:textId="5216BB30">
      <w:pPr>
        <w:autoSpaceDE w:val="0"/>
        <w:autoSpaceDN w:val="0"/>
        <w:adjustRightInd w:val="0"/>
        <w:rPr>
          <w:rFonts w:eastAsia="MS Mincho"/>
          <w:lang w:eastAsia="ja-JP"/>
        </w:rPr>
      </w:pPr>
      <w:r w:rsidRPr="0057780D">
        <w:rPr>
          <w:rFonts w:eastAsia="MS Mincho"/>
          <w:lang w:eastAsia="ja-JP"/>
        </w:rPr>
        <w:t xml:space="preserve">14. Description of worker training and hazard communication </w:t>
      </w:r>
      <w:r w:rsidR="001129AB">
        <w:rPr>
          <w:rFonts w:eastAsia="MS Mincho"/>
          <w:lang w:eastAsia="ja-JP"/>
        </w:rPr>
        <w:t>(</w:t>
      </w:r>
      <w:r w:rsidR="0059048C">
        <w:rPr>
          <w:rFonts w:eastAsia="MS Mincho"/>
          <w:lang w:eastAsia="ja-JP"/>
        </w:rPr>
        <w:t>Safety Data Sheet (</w:t>
      </w:r>
      <w:r w:rsidRPr="0057780D">
        <w:rPr>
          <w:rFonts w:eastAsia="MS Mincho"/>
          <w:lang w:eastAsia="ja-JP"/>
        </w:rPr>
        <w:t>SDS</w:t>
      </w:r>
      <w:r w:rsidR="0059048C">
        <w:rPr>
          <w:rFonts w:eastAsia="MS Mincho"/>
          <w:lang w:eastAsia="ja-JP"/>
        </w:rPr>
        <w:t>)</w:t>
      </w:r>
      <w:r w:rsidRPr="0057780D">
        <w:rPr>
          <w:rFonts w:eastAsia="MS Mincho"/>
          <w:lang w:eastAsia="ja-JP"/>
        </w:rPr>
        <w:t>, other) specific to the chemical substance.</w:t>
      </w:r>
    </w:p>
    <w:p w:rsidR="00717D77" w:rsidRPr="0057780D" w:rsidP="00717D77" w14:paraId="26094314" w14:textId="77777777">
      <w:pPr>
        <w:autoSpaceDE w:val="0"/>
        <w:autoSpaceDN w:val="0"/>
        <w:adjustRightInd w:val="0"/>
        <w:rPr>
          <w:rFonts w:eastAsia="MS Mincho"/>
          <w:lang w:eastAsia="ja-JP"/>
        </w:rPr>
      </w:pPr>
      <w:r w:rsidRPr="0057780D">
        <w:rPr>
          <w:rFonts w:eastAsia="MS Mincho"/>
          <w:lang w:eastAsia="ja-JP"/>
        </w:rPr>
        <w:t>15. Estimate of the total number of individuals other than workers exposed to the chemical substance and duration of exposure.</w:t>
      </w:r>
    </w:p>
    <w:p w:rsidR="00717D77" w:rsidRPr="00C54AF3" w:rsidP="00717D77" w14:paraId="4C5F1C53" w14:textId="77777777">
      <w:pPr>
        <w:autoSpaceDE w:val="0"/>
        <w:autoSpaceDN w:val="0"/>
        <w:adjustRightInd w:val="0"/>
        <w:rPr>
          <w:rFonts w:eastAsia="MS Mincho"/>
          <w:lang w:eastAsia="ja-JP"/>
        </w:rPr>
      </w:pPr>
      <w:r w:rsidRPr="0057780D">
        <w:rPr>
          <w:rFonts w:eastAsia="MS Mincho"/>
          <w:lang w:eastAsia="ja-JP"/>
        </w:rPr>
        <w:t xml:space="preserve">16. Manner or method of disposal for consumer use of products containing the chemical </w:t>
      </w:r>
      <w:r w:rsidRPr="00C54AF3">
        <w:rPr>
          <w:rFonts w:eastAsia="MS Mincho"/>
          <w:lang w:eastAsia="ja-JP"/>
        </w:rPr>
        <w:t xml:space="preserve">substance. </w:t>
      </w:r>
    </w:p>
    <w:p w:rsidR="00717D77" w:rsidRPr="0057780D" w:rsidP="00717D77" w14:paraId="77CE6F9F" w14:textId="77777777">
      <w:pPr>
        <w:autoSpaceDE w:val="0"/>
        <w:autoSpaceDN w:val="0"/>
        <w:adjustRightInd w:val="0"/>
        <w:rPr>
          <w:rFonts w:eastAsia="MS Mincho"/>
          <w:lang w:eastAsia="ja-JP"/>
        </w:rPr>
      </w:pPr>
      <w:r w:rsidRPr="00C54AF3">
        <w:rPr>
          <w:rFonts w:eastAsia="MS Mincho"/>
          <w:lang w:eastAsia="ja-JP"/>
        </w:rPr>
        <w:t>17. Any information in the submitter’s possession regarding health or environmental effects, environmental fate, worker safety, and material characterization, including any information</w:t>
      </w:r>
      <w:r w:rsidRPr="0057780D">
        <w:rPr>
          <w:rFonts w:eastAsia="MS Mincho"/>
          <w:lang w:eastAsia="ja-JP"/>
        </w:rPr>
        <w:t xml:space="preserve"> related to characterization of the chemical substance in the subject organism and test medium.</w:t>
      </w:r>
    </w:p>
    <w:p w:rsidR="00717D77" w:rsidRPr="005F6C03" w:rsidP="00717D77" w14:paraId="459D0DF0" w14:textId="77777777">
      <w:pPr>
        <w:pStyle w:val="Heading2"/>
      </w:pPr>
      <w:r>
        <w:t>2. Indicate how, by whom, and for what purpose the information is to be used. Except for a new collection, indicate the actual use the Agency has made of the information received from the current collection.</w:t>
      </w:r>
    </w:p>
    <w:p w:rsidR="00717D77" w:rsidRPr="000D4208" w:rsidP="00717D77" w14:paraId="352C8EAC" w14:textId="77777777">
      <w:r w:rsidRPr="000D4208">
        <w:t xml:space="preserve">Nanoscale materials or nanomaterials are chemical substances organized in structures in the scale of approximately 1 to 100 nanometers and may have different organizations and properties than the same chemical substances in a larger size. Nanoscale materials can be found in a wide variety of products, including electronics, automotive products, paints and coatings, metal-cutting tools, sports equipment, stain-free clothing and mattresses, and ink. There are hundreds of products already on the market that utilize nanoscale materials. It is recognized that some of these substances, because of their small size, exhibit novel and enhanced properties </w:t>
      </w:r>
      <w:r w:rsidRPr="000D4208">
        <w:t>not present</w:t>
      </w:r>
      <w:r w:rsidRPr="000D4208">
        <w:t xml:space="preserve"> in substances of larger dimensions. It is also widely recognized that there is limited data available on these types of substances. </w:t>
      </w:r>
    </w:p>
    <w:p w:rsidR="00717D77" w:rsidRPr="0057780D" w:rsidP="00717D77" w14:paraId="096A3833" w14:textId="77777777">
      <w:r w:rsidRPr="0057780D">
        <w:t xml:space="preserve">Some nanoscale materials are recognized as new chemical substances subject to notification requirements under TSCA section 5 because they are not contained on the TSCA Inventory. Therefore, they are subject to review for potential human health and environmental risks before they are manufactured and enter commerce. EPA has identified </w:t>
      </w:r>
      <w:r w:rsidRPr="001129AB">
        <w:t>over 275 nanoscale materials</w:t>
      </w:r>
      <w:r w:rsidRPr="0057780D">
        <w:t xml:space="preserve"> submitted as new chemicals under TSCA since January 2005. Other nanoscale materials have the same molecular identity as chemical substances which are already on the TSCA Inventory and as such are not subject to new chemical notification. The Agency has authority under TSCA §8(a) to collect information regarding chemical substances in commerce. The reporting of information associated with these nanoscale materials will provide EPA with data needed to determine appropriate action(s) under TSCA to reduce any risk to human health or the environment. </w:t>
      </w:r>
    </w:p>
    <w:p w:rsidR="00717D77" w:rsidRPr="0057780D" w:rsidP="00717D77" w14:paraId="4AFABC97" w14:textId="77777777">
      <w:r w:rsidRPr="0057780D">
        <w:t>Recordkeeping and reporting requirements are necessary to ensure effective implementation.</w:t>
      </w:r>
    </w:p>
    <w:p w:rsidR="00717D77" w:rsidP="00717D77" w14:paraId="1021D250" w14:textId="77777777">
      <w:pPr>
        <w:autoSpaceDE w:val="0"/>
        <w:autoSpaceDN w:val="0"/>
        <w:adjustRightInd w:val="0"/>
      </w:pPr>
      <w:r w:rsidRPr="0057780D">
        <w:t>The information collected will provide important baseline information on health and environmental effects, exposures, risks, management practices, and data needs that will assist EPA and others in properly assessing and managing risks related to nanoscale materials.</w:t>
      </w:r>
    </w:p>
    <w:p w:rsidR="00717D77" w:rsidRPr="0057780D" w:rsidP="00717D77" w14:paraId="7C8DF849" w14:textId="77777777">
      <w:pPr>
        <w:autoSpaceDE w:val="0"/>
        <w:autoSpaceDN w:val="0"/>
        <w:adjustRightInd w:val="0"/>
      </w:pPr>
      <w:r w:rsidRPr="0057780D">
        <w:t xml:space="preserve">Non-confidential portions of this information will also be made available to help the public understand how nanoscale materials are being used. Information collected through this rule will be used by EPA scientists to assist in determining how and whether certain nanoscale materials may present risks to human health and the environment. If the hazard, exposure, and risk information submitted by participants indicate that potential unreasonable risks may exist, the data will be used by EPA and the manufacturer to determine the appropriate action necessary to avoid or mitigate the risks. Furthermore, such information could be used for risk management, hazard </w:t>
      </w:r>
      <w:r w:rsidRPr="0057780D">
        <w:t xml:space="preserve">communication and right-to-know purposes, and product labels. EPA may also use the information to identify nanoscale materials that may not warrant future concerns or actions or should otherwise be treated as a lower priority for further consideration. </w:t>
      </w:r>
    </w:p>
    <w:p w:rsidR="00717D77" w:rsidRPr="0057780D" w:rsidP="00717D77" w14:paraId="6D7B15AF" w14:textId="77777777">
      <w:pPr>
        <w:autoSpaceDE w:val="0"/>
        <w:autoSpaceDN w:val="0"/>
        <w:adjustRightInd w:val="0"/>
      </w:pPr>
      <w:r w:rsidRPr="0057780D">
        <w:t xml:space="preserve">The information may also be used by other Federal agencies. Non-confidential portions of this information may be used by the public, academics, states, local and tribal government, as well as foreign governments and international organizations. </w:t>
      </w:r>
    </w:p>
    <w:p w:rsidR="00717D77" w:rsidP="00717D77" w14:paraId="25FBBC82" w14:textId="77777777">
      <w:pPr>
        <w:pStyle w:val="Heading2"/>
      </w:pPr>
      <w:r>
        <w:t xml:space="preserve">3. </w:t>
      </w:r>
      <w:r w:rsidRPr="00F02996">
        <w:t>Describe whether, and</w:t>
      </w:r>
      <w:r>
        <w:t xml:space="preserve"> to what extent, the collection of information involves the use of automated, electronic, mechanical, or other technological collection techniques or other forms of information technology, e.g., permitting electronic submission of responses</w:t>
      </w:r>
      <w:r w:rsidRPr="0061653A">
        <w:t>, and the basis for the decision for adopting this means of collection. Also describe any consideration of using information technology to reduce burden.</w:t>
      </w:r>
    </w:p>
    <w:p w:rsidR="00717D77" w:rsidP="00717D77" w14:paraId="457B8A4A" w14:textId="36E88584">
      <w:pPr>
        <w:rPr>
          <w:rFonts w:cs="Arial"/>
          <w:szCs w:val="24"/>
        </w:rPr>
      </w:pPr>
      <w:r>
        <w:rPr>
          <w:rFonts w:cs="Arial"/>
          <w:szCs w:val="24"/>
        </w:rPr>
        <w:t xml:space="preserve">Manufactures and processors of nano materials must submit information to the Agency electronically. </w:t>
      </w:r>
      <w:r w:rsidRPr="00B50BAB">
        <w:rPr>
          <w:rFonts w:cs="Arial"/>
          <w:color w:val="000000"/>
          <w:szCs w:val="24"/>
          <w:lang w:val="en"/>
        </w:rPr>
        <w:t xml:space="preserve">To file electronically, submitters must use the EPA provided application. To access the application, users must register with EPA’s Central Data Exchange (CDX). CDX is the Agency’s portal for submitting information to EPA in a secure manner. When registering, a user will need to ensure they are registering for the Chemical Safety and Pesticide Programs (CSPP) data flow which will provide them access to the Chemical Information Submission System (CISS) where the </w:t>
      </w:r>
      <w:r w:rsidR="00080A24">
        <w:rPr>
          <w:rFonts w:cs="Arial"/>
          <w:color w:val="000000"/>
          <w:szCs w:val="24"/>
          <w:lang w:val="en"/>
        </w:rPr>
        <w:t>submission can be accessed</w:t>
      </w:r>
      <w:r w:rsidR="001129AB">
        <w:rPr>
          <w:rFonts w:cs="Arial"/>
          <w:color w:val="000000"/>
          <w:szCs w:val="24"/>
          <w:lang w:val="en"/>
        </w:rPr>
        <w:t>.</w:t>
      </w:r>
      <w:r w:rsidRPr="00B50BAB">
        <w:rPr>
          <w:rFonts w:cs="Arial"/>
          <w:color w:val="000000"/>
          <w:szCs w:val="24"/>
          <w:lang w:val="en"/>
        </w:rPr>
        <w:t xml:space="preserve"> (Note: Users who have previously registered with CDX are able to add "Submission for Chemical Safety and Pesticide Program (CSPP)" to their current registration.) This reporting tool is compatible with Windows, Mac, Linux, and UNIX based computers, and uses "Extensible Markup Language" (XML) specifications for efficient data transmission across the Internet</w:t>
      </w:r>
      <w:r>
        <w:rPr>
          <w:rFonts w:cs="Arial"/>
          <w:color w:val="000000"/>
          <w:szCs w:val="24"/>
          <w:lang w:val="en"/>
        </w:rPr>
        <w:t xml:space="preserve"> (</w:t>
      </w:r>
      <w:r w:rsidRPr="00224C7C">
        <w:rPr>
          <w:rFonts w:cs="Arial"/>
          <w:b/>
          <w:bCs/>
          <w:color w:val="000000"/>
          <w:szCs w:val="24"/>
          <w:lang w:val="en"/>
        </w:rPr>
        <w:t xml:space="preserve">Attachment </w:t>
      </w:r>
      <w:r w:rsidR="00224C7C">
        <w:rPr>
          <w:rFonts w:cs="Arial"/>
          <w:b/>
          <w:bCs/>
          <w:color w:val="000000"/>
          <w:szCs w:val="24"/>
          <w:lang w:val="en"/>
        </w:rPr>
        <w:t>B</w:t>
      </w:r>
      <w:r>
        <w:rPr>
          <w:rFonts w:cs="Arial"/>
          <w:color w:val="000000"/>
          <w:szCs w:val="24"/>
          <w:lang w:val="en"/>
        </w:rPr>
        <w:t>)</w:t>
      </w:r>
      <w:r w:rsidRPr="00B50BAB">
        <w:rPr>
          <w:rFonts w:cs="Arial"/>
          <w:color w:val="000000"/>
          <w:szCs w:val="24"/>
          <w:lang w:val="en"/>
        </w:rPr>
        <w:t xml:space="preserve">. </w:t>
      </w:r>
    </w:p>
    <w:p w:rsidR="00717D77" w:rsidP="00717D77" w14:paraId="2F75022A" w14:textId="77777777">
      <w:pPr>
        <w:pStyle w:val="Heading2"/>
      </w:pPr>
      <w:r>
        <w:t xml:space="preserve">4. Describe efforts to identify duplication. </w:t>
      </w:r>
      <w:r w:rsidRPr="0061653A">
        <w:t>Show specifically why any similar information already available cannot be used or modified for use for the purposes described in Item 2 above.</w:t>
      </w:r>
    </w:p>
    <w:p w:rsidR="00717D77" w:rsidRPr="0072047D" w:rsidP="00717D77" w14:paraId="36E0D176" w14:textId="7840A15F">
      <w:r w:rsidRPr="0057780D">
        <w:t xml:space="preserve">Section 8(a)(5) of TSCA states, “the Administrator shall, to the extent feasible… not require reporting which is unnecessary or duplicative.” </w:t>
      </w:r>
      <w:r w:rsidRPr="0057780D">
        <w:rPr>
          <w:rFonts w:eastAsia="MS Mincho"/>
          <w:lang w:eastAsia="ja-JP"/>
        </w:rPr>
        <w:t xml:space="preserve">The </w:t>
      </w:r>
      <w:r w:rsidR="00187036">
        <w:rPr>
          <w:rFonts w:eastAsia="MS Mincho"/>
          <w:lang w:eastAsia="ja-JP"/>
        </w:rPr>
        <w:t>implementing regulations</w:t>
      </w:r>
      <w:r w:rsidRPr="0057780D">
        <w:rPr>
          <w:rFonts w:eastAsia="MS Mincho"/>
          <w:lang w:eastAsia="ja-JP"/>
        </w:rPr>
        <w:t xml:space="preserve"> indicates that any person </w:t>
      </w:r>
      <w:r w:rsidRPr="0057780D">
        <w:t>who submitted a TSCA new chemical notice on or after January 1, 2005</w:t>
      </w:r>
      <w:r>
        <w:t>,</w:t>
      </w:r>
      <w:r w:rsidRPr="0057780D">
        <w:t xml:space="preserve"> under 40 CFR part 720 or 723 for a nanoscale material that would be subject to the </w:t>
      </w:r>
      <w:r w:rsidR="00187036">
        <w:t>regulations</w:t>
      </w:r>
      <w:r w:rsidRPr="0057780D">
        <w:t xml:space="preserve"> does not need to submit a report for the nanoscale material </w:t>
      </w:r>
      <w:r w:rsidR="00187036">
        <w:t xml:space="preserve">information </w:t>
      </w:r>
      <w:r w:rsidRPr="0057780D">
        <w:t>previously submitted</w:t>
      </w:r>
      <w:r>
        <w:t xml:space="preserve">. </w:t>
      </w:r>
    </w:p>
    <w:p w:rsidR="00717D77" w:rsidP="00717D77" w14:paraId="69D06B4A" w14:textId="77777777">
      <w:pPr>
        <w:pStyle w:val="Heading2"/>
      </w:pPr>
      <w:r w:rsidRPr="00A2040B">
        <w:t>5. If the collection of information impacts</w:t>
      </w:r>
      <w:r>
        <w:t xml:space="preserve"> small businesses or other small entities, describe the methods used to minimize burden.</w:t>
      </w:r>
    </w:p>
    <w:p w:rsidR="00717D77" w:rsidRPr="0057780D" w:rsidP="00717D77" w14:paraId="7BB0E466" w14:textId="77777777">
      <w:r w:rsidRPr="0057780D">
        <w:t xml:space="preserve">The regulation exempts some small manufacturers and processors. However, as described in the regulation some small manufacturers and processors would be </w:t>
      </w:r>
      <w:r w:rsidRPr="0057780D">
        <w:t>required to report and keep records. All respondents to TSCA section 8(a) chemical-specific rules, including small businesses, are granted flexibility in their reporting methods.</w:t>
      </w:r>
    </w:p>
    <w:p w:rsidR="00717D77" w:rsidRPr="00C54AF3" w:rsidP="00717D77" w14:paraId="4C371A2F" w14:textId="77777777">
      <w:pPr>
        <w:pStyle w:val="Heading2"/>
      </w:pPr>
      <w:r w:rsidRPr="00642746">
        <w:t xml:space="preserve">6. </w:t>
      </w:r>
      <w:r w:rsidRPr="00C54AF3">
        <w:t xml:space="preserve">Describe the consequence to Federal program or policy activities if the collection is not conducted or is conducted less frequently, as well as any technical or legal obstacles to reducing burden. </w:t>
      </w:r>
    </w:p>
    <w:p w:rsidR="00717D77" w:rsidRPr="0057780D" w:rsidP="00717D77" w14:paraId="78F46419" w14:textId="77777777">
      <w:r w:rsidRPr="00C54AF3">
        <w:t>EPA requires reporting only once for manufacturers and processors f</w:t>
      </w:r>
      <w:r w:rsidRPr="00C54AF3">
        <w:rPr>
          <w:bCs/>
        </w:rPr>
        <w:t>or new discrete nanoscale materials before they are manufactured or processed</w:t>
      </w:r>
      <w:r w:rsidRPr="00C54AF3">
        <w:t>.</w:t>
      </w:r>
      <w:r w:rsidRPr="0057780D">
        <w:t xml:space="preserve">  </w:t>
      </w:r>
    </w:p>
    <w:p w:rsidR="00717D77" w:rsidP="00717D77" w14:paraId="52B109EB" w14:textId="77777777">
      <w:pPr>
        <w:pStyle w:val="Heading2"/>
      </w:pPr>
      <w:r>
        <w:t>7. Explain any special circumstances that require the collection to be conducted in a manner inconsistent with OMB guidelines.</w:t>
      </w:r>
    </w:p>
    <w:p w:rsidR="00717D77" w:rsidRPr="00652C31" w:rsidP="00717D77" w14:paraId="6CD65981" w14:textId="77777777">
      <w:pPr>
        <w:tabs>
          <w:tab w:val="left" w:pos="720"/>
        </w:tabs>
        <w:ind w:left="720" w:hanging="360"/>
        <w:rPr>
          <w:b/>
          <w:bCs/>
        </w:rPr>
      </w:pPr>
      <w:r w:rsidRPr="00652C31">
        <w:rPr>
          <w:b/>
          <w:bCs/>
        </w:rPr>
        <w:t>a)</w:t>
      </w:r>
      <w:r>
        <w:rPr>
          <w:b/>
          <w:bCs/>
        </w:rPr>
        <w:tab/>
      </w:r>
      <w:r w:rsidRPr="00652C31">
        <w:rPr>
          <w:b/>
          <w:bCs/>
        </w:rPr>
        <w:t xml:space="preserve">requiring respondents to report information </w:t>
      </w:r>
      <w:r w:rsidRPr="00C54AF3">
        <w:rPr>
          <w:b/>
          <w:bCs/>
        </w:rPr>
        <w:t>to the agency more often than quarterly;</w:t>
      </w:r>
    </w:p>
    <w:p w:rsidR="00717D77" w:rsidRPr="00652C31" w:rsidP="00717D77" w14:paraId="7634A199" w14:textId="77777777">
      <w:pPr>
        <w:tabs>
          <w:tab w:val="left" w:pos="720"/>
        </w:tabs>
        <w:ind w:left="720" w:hanging="360"/>
        <w:rPr>
          <w:b/>
          <w:bCs/>
        </w:rPr>
      </w:pPr>
      <w:r w:rsidRPr="00652C31">
        <w:rPr>
          <w:b/>
          <w:bCs/>
        </w:rPr>
        <w:t>b)</w:t>
      </w:r>
      <w:r>
        <w:rPr>
          <w:b/>
          <w:bCs/>
        </w:rPr>
        <w:tab/>
      </w:r>
      <w:r w:rsidRPr="00652C31">
        <w:rPr>
          <w:b/>
          <w:bCs/>
        </w:rPr>
        <w:t>requiring respondents to prepare a written response to a collection of information in fewer than 30 days after receipt of it;</w:t>
      </w:r>
    </w:p>
    <w:p w:rsidR="00717D77" w:rsidRPr="00652C31" w:rsidP="00717D77" w14:paraId="5C284E9C" w14:textId="77777777">
      <w:pPr>
        <w:tabs>
          <w:tab w:val="left" w:pos="720"/>
        </w:tabs>
        <w:ind w:left="720" w:hanging="360"/>
        <w:rPr>
          <w:b/>
          <w:bCs/>
        </w:rPr>
      </w:pPr>
      <w:r w:rsidRPr="00652C31">
        <w:rPr>
          <w:b/>
          <w:bCs/>
        </w:rPr>
        <w:t>c)</w:t>
      </w:r>
      <w:r>
        <w:rPr>
          <w:b/>
          <w:bCs/>
        </w:rPr>
        <w:tab/>
      </w:r>
      <w:r w:rsidRPr="00652C31">
        <w:rPr>
          <w:b/>
          <w:bCs/>
        </w:rPr>
        <w:t>requiring respondents to submit more than an original and two copies of any document;</w:t>
      </w:r>
    </w:p>
    <w:p w:rsidR="00717D77" w:rsidRPr="00652C31" w:rsidP="00717D77" w14:paraId="115CA365" w14:textId="77777777">
      <w:pPr>
        <w:tabs>
          <w:tab w:val="left" w:pos="720"/>
        </w:tabs>
        <w:ind w:left="720" w:hanging="360"/>
        <w:rPr>
          <w:b/>
          <w:bCs/>
        </w:rPr>
      </w:pPr>
      <w:r w:rsidRPr="00652C31">
        <w:rPr>
          <w:b/>
          <w:bCs/>
        </w:rPr>
        <w:t>d)</w:t>
      </w:r>
      <w:r>
        <w:rPr>
          <w:b/>
          <w:bCs/>
        </w:rPr>
        <w:tab/>
      </w:r>
      <w:r w:rsidRPr="00652C31">
        <w:rPr>
          <w:b/>
          <w:bCs/>
        </w:rPr>
        <w:t xml:space="preserve">requiring respondents to retain records, other than health, medical, government contract, grant-in-aid, or tax records, for </w:t>
      </w:r>
      <w:r w:rsidRPr="00C54AF3">
        <w:rPr>
          <w:b/>
          <w:bCs/>
        </w:rPr>
        <w:t>more than three years;</w:t>
      </w:r>
    </w:p>
    <w:p w:rsidR="00717D77" w:rsidRPr="00652C31" w:rsidP="00717D77" w14:paraId="29F522AC" w14:textId="77777777">
      <w:pPr>
        <w:tabs>
          <w:tab w:val="left" w:pos="720"/>
        </w:tabs>
        <w:ind w:left="720" w:hanging="360"/>
        <w:rPr>
          <w:b/>
          <w:bCs/>
        </w:rPr>
      </w:pPr>
      <w:r w:rsidRPr="00652C31">
        <w:rPr>
          <w:b/>
          <w:bCs/>
        </w:rPr>
        <w:t>e)</w:t>
      </w:r>
      <w:r>
        <w:rPr>
          <w:b/>
          <w:bCs/>
        </w:rPr>
        <w:tab/>
      </w:r>
      <w:r w:rsidRPr="00652C31">
        <w:rPr>
          <w:b/>
          <w:bCs/>
        </w:rPr>
        <w:t>in connection with a statistical survey, that is not designed to produce valid and reliable results that can be generalized to the universe of study;</w:t>
      </w:r>
    </w:p>
    <w:p w:rsidR="00717D77" w:rsidRPr="00652C31" w:rsidP="00717D77" w14:paraId="3C3FF72D" w14:textId="77777777">
      <w:pPr>
        <w:tabs>
          <w:tab w:val="left" w:pos="720"/>
        </w:tabs>
        <w:ind w:left="720" w:hanging="360"/>
        <w:rPr>
          <w:b/>
          <w:bCs/>
        </w:rPr>
      </w:pPr>
      <w:r w:rsidRPr="00652C31">
        <w:rPr>
          <w:b/>
          <w:bCs/>
        </w:rPr>
        <w:t>f)</w:t>
      </w:r>
      <w:r>
        <w:rPr>
          <w:b/>
          <w:bCs/>
        </w:rPr>
        <w:tab/>
      </w:r>
      <w:r w:rsidRPr="00652C31">
        <w:rPr>
          <w:b/>
          <w:bCs/>
        </w:rPr>
        <w:t>requiring the use of a statistical data classification that has not been reviewed and approved by OMB;</w:t>
      </w:r>
    </w:p>
    <w:p w:rsidR="00717D77" w:rsidRPr="00652C31" w:rsidP="00717D77" w14:paraId="7CFA5941" w14:textId="77777777">
      <w:pPr>
        <w:tabs>
          <w:tab w:val="left" w:pos="720"/>
        </w:tabs>
        <w:ind w:left="720" w:hanging="360"/>
        <w:rPr>
          <w:b/>
          <w:bCs/>
        </w:rPr>
      </w:pPr>
      <w:r w:rsidRPr="00652C31">
        <w:rPr>
          <w:b/>
          <w:bCs/>
        </w:rPr>
        <w:t>g)</w:t>
      </w:r>
      <w:r>
        <w:rPr>
          <w:b/>
          <w:bCs/>
        </w:rPr>
        <w:tab/>
      </w:r>
      <w:r w:rsidRPr="00652C3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7D77" w:rsidRPr="00652C31" w:rsidP="00717D77" w14:paraId="2B3EFFA3" w14:textId="77777777">
      <w:pPr>
        <w:tabs>
          <w:tab w:val="left" w:pos="720"/>
        </w:tabs>
        <w:ind w:left="720" w:hanging="360"/>
        <w:rPr>
          <w:b/>
          <w:bCs/>
        </w:rPr>
      </w:pPr>
      <w:r w:rsidRPr="00652C31">
        <w:rPr>
          <w:b/>
          <w:bCs/>
        </w:rPr>
        <w:t>h)</w:t>
      </w:r>
      <w:r>
        <w:rPr>
          <w:b/>
          <w:bCs/>
        </w:rPr>
        <w:tab/>
      </w:r>
      <w:r w:rsidRPr="00652C31">
        <w:rPr>
          <w:b/>
          <w:bCs/>
        </w:rPr>
        <w:t>requiring respondents to submit proprietary trade secrets, or other confidential information unless the agency can demonstrate that it has instituted procedures to protect the information's confidentiality to the extent permitted by law.</w:t>
      </w:r>
    </w:p>
    <w:p w:rsidR="00717D77" w:rsidP="00717D77" w14:paraId="2AE1CEC8" w14:textId="3319137D">
      <w:r w:rsidRPr="003F1D17">
        <w:t>The proposed collection does not create special circumstances requiring justification under 5 CFR 1320.5.</w:t>
      </w:r>
      <w:r w:rsidRPr="00C54AF3">
        <w:t xml:space="preserve"> </w:t>
      </w:r>
    </w:p>
    <w:p w:rsidR="00717D77" w:rsidP="00717D77" w14:paraId="33C69BD5" w14:textId="77777777">
      <w:pPr>
        <w:pStyle w:val="Heading2"/>
      </w:pPr>
      <w:r>
        <w:t xml:space="preserve">8. </w:t>
      </w:r>
      <w:r w:rsidRPr="00DA6B65">
        <w:t>If applicable, provide a</w:t>
      </w:r>
      <w:r>
        <w:t xml:space="preserve">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717D77" w:rsidP="00717D77" w14:paraId="655517AA" w14:textId="77777777">
      <w:pPr>
        <w:pStyle w:val="Heading2"/>
      </w:pPr>
      <w: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717D77" w:rsidP="00717D77" w14:paraId="0C79B412" w14:textId="77777777">
      <w:pPr>
        <w:pStyle w:val="Heading2"/>
      </w:pPr>
      <w:r w:rsidRPr="0061653A">
        <w:t xml:space="preserve">Consultation with representatives of those from whom information is to be obtained or those who must compile records should occur at least </w:t>
      </w:r>
      <w:r w:rsidRPr="00C54AF3">
        <w:t>once every 3 years - even if the collection of information activity is the same as in prior</w:t>
      </w:r>
      <w:r w:rsidRPr="0061653A">
        <w:t xml:space="preserve"> periods. There may be circumstances that may preclude consultation in a specific situation. These circumstances should be explained.</w:t>
      </w:r>
    </w:p>
    <w:p w:rsidR="00217467" w:rsidRPr="00217467" w:rsidP="00217467" w14:paraId="68CD6B23" w14:textId="08DAE6E0">
      <w:pPr>
        <w:rPr>
          <w:rFonts w:cs="Arial"/>
        </w:rPr>
      </w:pPr>
      <w:r w:rsidRPr="00217467">
        <w:rPr>
          <w:rFonts w:cs="Arial"/>
        </w:rPr>
        <w:t>Pursuant to 5 CFR 1320.8(d), EPA published a notice in the Federal Register on February 1, 2024</w:t>
      </w:r>
      <w:r>
        <w:rPr>
          <w:rFonts w:cs="Arial"/>
        </w:rPr>
        <w:t xml:space="preserve"> (88 FR 6520),</w:t>
      </w:r>
      <w:r w:rsidRPr="00487D06">
        <w:rPr>
          <w:rFonts w:cs="Arial"/>
          <w:color w:val="000000" w:themeColor="text1"/>
        </w:rPr>
        <w:t xml:space="preserve"> </w:t>
      </w:r>
      <w:r w:rsidRPr="00217467">
        <w:rPr>
          <w:rFonts w:cs="Arial"/>
        </w:rPr>
        <w:t>announcing the planned renewal of this information collection activity, soliciting public comment on specific aspects of the ICR and providing a 60-day public comment period.</w:t>
      </w:r>
    </w:p>
    <w:p w:rsidR="006C103A" w:rsidP="00217467" w14:paraId="0D90E353" w14:textId="77777777">
      <w:pPr>
        <w:rPr>
          <w:rFonts w:cs="Arial"/>
        </w:rPr>
      </w:pPr>
      <w:r w:rsidRPr="25857489">
        <w:rPr>
          <w:rFonts w:cs="Arial"/>
        </w:rPr>
        <w:t xml:space="preserve">The EPA also consulted </w:t>
      </w:r>
      <w:r w:rsidRPr="25857489" w:rsidR="2E5B5275">
        <w:rPr>
          <w:rFonts w:cs="Arial"/>
        </w:rPr>
        <w:t>9</w:t>
      </w:r>
      <w:r w:rsidRPr="25857489">
        <w:rPr>
          <w:rFonts w:cs="Arial"/>
        </w:rPr>
        <w:t xml:space="preserve"> stakeholders, specifically asking them for their assessment of the regulatory burden estimates expressed by the Agency in this ICR (</w:t>
      </w:r>
      <w:r w:rsidRPr="00224C7C" w:rsidR="000B6B08">
        <w:rPr>
          <w:rFonts w:cs="Arial"/>
          <w:b/>
          <w:bCs/>
        </w:rPr>
        <w:t xml:space="preserve">Attachment </w:t>
      </w:r>
      <w:r w:rsidR="00224C7C">
        <w:rPr>
          <w:rFonts w:cs="Arial"/>
          <w:b/>
          <w:bCs/>
        </w:rPr>
        <w:t>C</w:t>
      </w:r>
      <w:r w:rsidRPr="25857489" w:rsidR="000B6B08">
        <w:rPr>
          <w:rFonts w:cs="Arial"/>
        </w:rPr>
        <w:t>)</w:t>
      </w:r>
      <w:r w:rsidRPr="25857489">
        <w:rPr>
          <w:rFonts w:cs="Arial"/>
        </w:rPr>
        <w:t xml:space="preserve">. </w:t>
      </w:r>
    </w:p>
    <w:p w:rsidR="00217467" w:rsidRPr="00217467" w:rsidP="00217467" w14:paraId="2B941633" w14:textId="3F2BC77D">
      <w:pPr>
        <w:rPr>
          <w:rFonts w:cs="Arial"/>
        </w:rPr>
      </w:pPr>
      <w:r>
        <w:rPr>
          <w:rFonts w:cs="Arial"/>
        </w:rPr>
        <w:t>Two</w:t>
      </w:r>
      <w:r w:rsidRPr="25857489">
        <w:rPr>
          <w:rFonts w:cs="Arial"/>
        </w:rPr>
        <w:t xml:space="preserve"> stakeholders provided responses</w:t>
      </w:r>
      <w:r>
        <w:rPr>
          <w:rFonts w:cs="Arial"/>
        </w:rPr>
        <w:t xml:space="preserve"> (</w:t>
      </w:r>
      <w:r w:rsidRPr="00224C7C">
        <w:rPr>
          <w:rFonts w:cs="Arial"/>
          <w:b/>
          <w:bCs/>
        </w:rPr>
        <w:t xml:space="preserve">Attachment </w:t>
      </w:r>
      <w:r w:rsidR="00224C7C">
        <w:rPr>
          <w:rFonts w:cs="Arial"/>
          <w:b/>
          <w:bCs/>
        </w:rPr>
        <w:t>D</w:t>
      </w:r>
      <w:r>
        <w:rPr>
          <w:rFonts w:cs="Arial"/>
        </w:rPr>
        <w:t>)</w:t>
      </w:r>
      <w:r w:rsidRPr="25857489">
        <w:rPr>
          <w:rFonts w:cs="Arial"/>
        </w:rPr>
        <w:t>. The stakeholders consulted were:</w:t>
      </w:r>
    </w:p>
    <w:p w:rsidR="00217467" w:rsidP="00217467" w14:paraId="6B247F5C" w14:textId="29C7C54B">
      <w:pPr>
        <w:pStyle w:val="ListParagraph"/>
        <w:numPr>
          <w:ilvl w:val="0"/>
          <w:numId w:val="31"/>
        </w:numPr>
        <w:rPr>
          <w:rFonts w:cs="Arial"/>
        </w:rPr>
      </w:pPr>
      <w:r>
        <w:rPr>
          <w:rFonts w:cs="Arial"/>
        </w:rPr>
        <w:t>American Chemistry Council</w:t>
      </w:r>
    </w:p>
    <w:p w:rsidR="000B6B08" w:rsidP="00217467" w14:paraId="60613688" w14:textId="4B62AB7C">
      <w:pPr>
        <w:pStyle w:val="ListParagraph"/>
        <w:numPr>
          <w:ilvl w:val="0"/>
          <w:numId w:val="31"/>
        </w:numPr>
        <w:rPr>
          <w:rFonts w:cs="Arial"/>
        </w:rPr>
      </w:pPr>
      <w:r w:rsidRPr="25857489">
        <w:rPr>
          <w:rFonts w:cs="Arial"/>
        </w:rPr>
        <w:t>Na</w:t>
      </w:r>
      <w:r w:rsidRPr="25857489" w:rsidR="62877309">
        <w:rPr>
          <w:rFonts w:cs="Arial"/>
        </w:rPr>
        <w:t>no Business Commercialization Association</w:t>
      </w:r>
      <w:r w:rsidRPr="25857489" w:rsidR="0164CA68">
        <w:rPr>
          <w:rFonts w:cs="Arial"/>
        </w:rPr>
        <w:t xml:space="preserve"> (</w:t>
      </w:r>
      <w:r w:rsidRPr="25857489" w:rsidR="0164CA68">
        <w:rPr>
          <w:rFonts w:cs="Arial"/>
        </w:rPr>
        <w:t>NanoBCA</w:t>
      </w:r>
      <w:r w:rsidRPr="25857489" w:rsidR="0164CA68">
        <w:rPr>
          <w:rFonts w:cs="Arial"/>
        </w:rPr>
        <w:t>)</w:t>
      </w:r>
    </w:p>
    <w:p w:rsidR="000B6B08" w:rsidP="00217467" w14:paraId="29302E3F" w14:textId="1BDF354E">
      <w:pPr>
        <w:pStyle w:val="ListParagraph"/>
        <w:numPr>
          <w:ilvl w:val="0"/>
          <w:numId w:val="31"/>
        </w:numPr>
        <w:rPr>
          <w:rFonts w:cs="Arial"/>
        </w:rPr>
      </w:pPr>
      <w:r w:rsidRPr="25857489">
        <w:rPr>
          <w:rFonts w:cs="Arial"/>
        </w:rPr>
        <w:t xml:space="preserve">American </w:t>
      </w:r>
      <w:r w:rsidRPr="25857489">
        <w:rPr>
          <w:rFonts w:cs="Arial"/>
        </w:rPr>
        <w:t xml:space="preserve">Cleaning </w:t>
      </w:r>
      <w:r w:rsidRPr="25857489" w:rsidR="00E629A9">
        <w:rPr>
          <w:rFonts w:cs="Arial"/>
        </w:rPr>
        <w:t>Institute</w:t>
      </w:r>
    </w:p>
    <w:p w:rsidR="00A40A5D" w:rsidP="00217467" w14:paraId="31BA29BF" w14:textId="1B0699D7">
      <w:pPr>
        <w:pStyle w:val="ListParagraph"/>
        <w:numPr>
          <w:ilvl w:val="0"/>
          <w:numId w:val="31"/>
        </w:numPr>
        <w:rPr>
          <w:rFonts w:cs="Arial"/>
        </w:rPr>
      </w:pPr>
      <w:r w:rsidRPr="25857489">
        <w:rPr>
          <w:rFonts w:cs="Arial"/>
        </w:rPr>
        <w:t>Society of Chemical Manufacturers and Affiliates (SOCMA)</w:t>
      </w:r>
    </w:p>
    <w:p w:rsidR="00A40A5D" w:rsidP="00217467" w14:paraId="53E59C66" w14:textId="07D43674">
      <w:pPr>
        <w:pStyle w:val="ListParagraph"/>
        <w:numPr>
          <w:ilvl w:val="0"/>
          <w:numId w:val="31"/>
        </w:numPr>
        <w:rPr>
          <w:rFonts w:cs="Arial"/>
        </w:rPr>
      </w:pPr>
      <w:r w:rsidRPr="25857489">
        <w:rPr>
          <w:rFonts w:cs="Arial"/>
        </w:rPr>
        <w:t>Association of International Automobile Manufacturers</w:t>
      </w:r>
    </w:p>
    <w:p w:rsidR="00E629A9" w:rsidP="00217467" w14:paraId="19934829" w14:textId="72F59923">
      <w:pPr>
        <w:pStyle w:val="ListParagraph"/>
        <w:numPr>
          <w:ilvl w:val="0"/>
          <w:numId w:val="31"/>
        </w:numPr>
        <w:rPr>
          <w:rFonts w:cs="Arial"/>
        </w:rPr>
      </w:pPr>
      <w:r w:rsidRPr="25857489">
        <w:rPr>
          <w:rFonts w:cs="Arial"/>
        </w:rPr>
        <w:t>Plastics Industry</w:t>
      </w:r>
      <w:r w:rsidRPr="25857489" w:rsidR="293B585D">
        <w:rPr>
          <w:rFonts w:cs="Arial"/>
        </w:rPr>
        <w:t xml:space="preserve"> Association</w:t>
      </w:r>
    </w:p>
    <w:p w:rsidR="00942D05" w:rsidP="00942D05" w14:paraId="360C3CF1" w14:textId="6281403B">
      <w:pPr>
        <w:pStyle w:val="ListParagraph"/>
        <w:numPr>
          <w:ilvl w:val="0"/>
          <w:numId w:val="31"/>
        </w:numPr>
        <w:rPr>
          <w:rFonts w:cs="Arial"/>
        </w:rPr>
      </w:pPr>
      <w:r w:rsidRPr="25857489">
        <w:rPr>
          <w:rFonts w:cs="Arial"/>
        </w:rPr>
        <w:t>BASF</w:t>
      </w:r>
    </w:p>
    <w:p w:rsidR="3187811A" w:rsidP="22E3C9DE" w14:paraId="5E35F5F6" w14:textId="5F4AA62F">
      <w:pPr>
        <w:pStyle w:val="ListParagraph"/>
        <w:numPr>
          <w:ilvl w:val="0"/>
          <w:numId w:val="31"/>
        </w:numPr>
        <w:rPr>
          <w:rFonts w:cs="Arial"/>
        </w:rPr>
      </w:pPr>
      <w:r w:rsidRPr="22E3C9DE">
        <w:rPr>
          <w:rFonts w:cs="Arial"/>
        </w:rPr>
        <w:t>Bergeson and Cam</w:t>
      </w:r>
      <w:r w:rsidRPr="22E3C9DE" w:rsidR="5AC94FC3">
        <w:rPr>
          <w:rFonts w:cs="Arial"/>
        </w:rPr>
        <w:t>p</w:t>
      </w:r>
      <w:r w:rsidRPr="22E3C9DE">
        <w:rPr>
          <w:rFonts w:cs="Arial"/>
        </w:rPr>
        <w:t>bell Consortia Management LLC</w:t>
      </w:r>
    </w:p>
    <w:p w:rsidR="3187811A" w:rsidP="25857489" w14:paraId="128E582D" w14:textId="0FF8B032">
      <w:pPr>
        <w:pStyle w:val="ListParagraph"/>
        <w:numPr>
          <w:ilvl w:val="0"/>
          <w:numId w:val="31"/>
        </w:numPr>
        <w:rPr>
          <w:rFonts w:cs="Arial"/>
          <w:szCs w:val="24"/>
        </w:rPr>
      </w:pPr>
      <w:r w:rsidRPr="25857489">
        <w:rPr>
          <w:rFonts w:cs="Arial"/>
          <w:szCs w:val="24"/>
        </w:rPr>
        <w:t>Nanophase Technologies Corporation</w:t>
      </w:r>
      <w:r w:rsidR="004E260B">
        <w:rPr>
          <w:rFonts w:cs="Arial"/>
          <w:szCs w:val="24"/>
        </w:rPr>
        <w:t xml:space="preserve"> </w:t>
      </w:r>
    </w:p>
    <w:p w:rsidR="00942D05" w:rsidP="00942D05" w14:paraId="7F0059F8" w14:textId="77777777">
      <w:pPr>
        <w:pStyle w:val="ListParagraph"/>
        <w:rPr>
          <w:rFonts w:cs="Arial"/>
        </w:rPr>
      </w:pPr>
    </w:p>
    <w:p w:rsidR="00942D05" w:rsidRPr="00213517" w:rsidP="00942D05" w14:paraId="0968D305" w14:textId="3358C077">
      <w:pPr>
        <w:pStyle w:val="ListParagraph"/>
        <w:ind w:left="0"/>
        <w:rPr>
          <w:rFonts w:cs="Arial"/>
        </w:rPr>
      </w:pPr>
      <w:r w:rsidRPr="0AF45CC4">
        <w:rPr>
          <w:rFonts w:cs="Arial"/>
        </w:rPr>
        <w:t xml:space="preserve">Of those consulted, EPA received comments from </w:t>
      </w:r>
      <w:r w:rsidRPr="0AF45CC4" w:rsidR="00906696">
        <w:rPr>
          <w:rFonts w:cs="Arial"/>
        </w:rPr>
        <w:t>NanoBCA</w:t>
      </w:r>
      <w:r w:rsidRPr="0AF45CC4" w:rsidR="00906696">
        <w:rPr>
          <w:rFonts w:cs="Arial"/>
        </w:rPr>
        <w:t xml:space="preserve"> and the </w:t>
      </w:r>
      <w:r w:rsidRPr="0AF45CC4" w:rsidR="591DD9FB">
        <w:rPr>
          <w:rFonts w:cs="Arial"/>
        </w:rPr>
        <w:t xml:space="preserve">American </w:t>
      </w:r>
      <w:r w:rsidRPr="0AF45CC4" w:rsidR="00906696">
        <w:rPr>
          <w:rFonts w:cs="Arial"/>
        </w:rPr>
        <w:t>Cleaning Institute</w:t>
      </w:r>
      <w:r w:rsidRPr="0AF45CC4">
        <w:rPr>
          <w:rFonts w:cs="Arial"/>
        </w:rPr>
        <w:t>.</w:t>
      </w:r>
      <w:r w:rsidR="00061EBD">
        <w:rPr>
          <w:rFonts w:cs="Arial"/>
        </w:rPr>
        <w:t xml:space="preserve"> The comments received were not substantive.</w:t>
      </w:r>
      <w:r w:rsidRPr="0AF45CC4">
        <w:rPr>
          <w:rFonts w:cs="Arial"/>
        </w:rPr>
        <w:t xml:space="preserve"> The Agency thanks all </w:t>
      </w:r>
      <w:r w:rsidRPr="0AF45CC4">
        <w:rPr>
          <w:rFonts w:cs="Arial"/>
        </w:rPr>
        <w:t>commenters for their comments and has considered them in developing this ICR</w:t>
      </w:r>
      <w:r w:rsidR="00F56270">
        <w:rPr>
          <w:rFonts w:cs="Arial"/>
        </w:rPr>
        <w:t xml:space="preserve"> (</w:t>
      </w:r>
      <w:r w:rsidRPr="00224C7C" w:rsidR="00F56270">
        <w:rPr>
          <w:rFonts w:cs="Arial"/>
          <w:b/>
          <w:bCs/>
        </w:rPr>
        <w:t xml:space="preserve">Attachment </w:t>
      </w:r>
      <w:r w:rsidRPr="00224C7C" w:rsidR="00224C7C">
        <w:rPr>
          <w:rFonts w:cs="Arial"/>
          <w:b/>
          <w:bCs/>
        </w:rPr>
        <w:t>D</w:t>
      </w:r>
      <w:r w:rsidR="00F56270">
        <w:rPr>
          <w:rFonts w:cs="Arial"/>
        </w:rPr>
        <w:t>)</w:t>
      </w:r>
      <w:r w:rsidRPr="0AF45CC4">
        <w:rPr>
          <w:rFonts w:cs="Arial"/>
        </w:rPr>
        <w:t>.</w:t>
      </w:r>
    </w:p>
    <w:p w:rsidR="00717D77" w:rsidP="00717D77" w14:paraId="29D30B64" w14:textId="77777777">
      <w:pPr>
        <w:pStyle w:val="Heading2"/>
      </w:pPr>
      <w:r>
        <w:t xml:space="preserve">9. Explain any decision to provide any payment or gift to respondents, other than remuneration of contractors or grantees. </w:t>
      </w:r>
    </w:p>
    <w:p w:rsidR="00717D77" w:rsidP="00717D77" w14:paraId="2068D28C" w14:textId="77777777">
      <w:r>
        <w:t>This question is not applicable to this ICR.</w:t>
      </w:r>
    </w:p>
    <w:p w:rsidR="00717D77" w:rsidP="00717D77" w14:paraId="706208D1" w14:textId="77777777">
      <w:pPr>
        <w:pStyle w:val="Heading2"/>
      </w:pPr>
      <w:r>
        <w:t>10.</w:t>
      </w:r>
      <w:r w:rsidRPr="009D2A59">
        <w:t xml:space="preserve"> </w:t>
      </w:r>
      <w:r w:rsidRPr="0061653A">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17D77" w:rsidRPr="0057780D" w:rsidP="00717D77" w14:paraId="7BF93076" w14:textId="77777777">
      <w:r w:rsidRPr="0057780D">
        <w:t>Submitters may designate information as confidential, trade secret or proprietary. EPA has implemented procedures to protect any confidential, trade secret or proprietary information from disclosure. These procedures comply with EPA’s confidentiality regulation, 40 CFR Part 2, Subpart B.</w:t>
      </w:r>
    </w:p>
    <w:p w:rsidR="00717D77" w:rsidRPr="00F44B08" w:rsidP="00717D77" w14:paraId="1E96F1B5" w14:textId="77777777">
      <w:pPr>
        <w:pStyle w:val="Heading2"/>
      </w:pPr>
      <w:r>
        <w:t xml:space="preserve">11. </w:t>
      </w:r>
      <w:r w:rsidRPr="00F44B08">
        <w:t>Provide additional justification for any questions of a sensitive nature, such as sexual behavior and attitudes, religious beliefs, and other matters that are commonly considered private.</w:t>
      </w:r>
      <w:r w:rsidRPr="004A3A85">
        <w:t xml:space="preserve"> </w:t>
      </w:r>
      <w:r w:rsidRPr="0061653A">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17D77" w:rsidP="00717D77" w14:paraId="1FC36FBE" w14:textId="77777777">
      <w:r>
        <w:t>No information of a sensitive or private nature is requested in conjunction with these information collection activities, and these information collection activities comply with the provisions of the Privacy Act of 1974 and OMB Circular A-108</w:t>
      </w:r>
      <w:r w:rsidRPr="005D29EB">
        <w:t>, as amended, “Responsibilities for the Maintenance of Records about Individuals by Federal Agencies.”</w:t>
      </w:r>
    </w:p>
    <w:p w:rsidR="00717D77" w:rsidRPr="00E42336" w:rsidP="00717D77" w14:paraId="27A28E56" w14:textId="77777777">
      <w:pPr>
        <w:pStyle w:val="Heading2"/>
      </w:pPr>
      <w:r w:rsidRPr="00E42336">
        <w:t>12. Provide estimates of the hour burden of the collection of information.</w:t>
      </w:r>
    </w:p>
    <w:p w:rsidR="00717D77" w:rsidRPr="00E42336" w:rsidP="00717D77" w14:paraId="223B4991" w14:textId="77777777">
      <w:pPr>
        <w:pStyle w:val="ListParagraph"/>
        <w:numPr>
          <w:ilvl w:val="0"/>
          <w:numId w:val="29"/>
        </w:numPr>
        <w:spacing w:after="200" w:line="240" w:lineRule="auto"/>
        <w:contextualSpacing w:val="0"/>
        <w:rPr>
          <w:b/>
          <w:bCs/>
        </w:rPr>
      </w:pPr>
      <w:r w:rsidRPr="00E4233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17D77" w:rsidRPr="00E42336" w:rsidP="00717D77" w14:paraId="57820EB9" w14:textId="77777777">
      <w:pPr>
        <w:pStyle w:val="ListParagraph"/>
        <w:numPr>
          <w:ilvl w:val="0"/>
          <w:numId w:val="29"/>
        </w:numPr>
        <w:spacing w:after="200" w:line="240" w:lineRule="auto"/>
        <w:contextualSpacing w:val="0"/>
        <w:rPr>
          <w:b/>
          <w:bCs/>
        </w:rPr>
      </w:pPr>
      <w:r w:rsidRPr="00E42336">
        <w:rPr>
          <w:b/>
          <w:bCs/>
        </w:rPr>
        <w:t xml:space="preserve">If this request for approval covers more than one form, provide separate hour burden estimates for each form and aggregate the hour burdens. </w:t>
      </w:r>
    </w:p>
    <w:p w:rsidR="00717D77" w:rsidRPr="00E42336" w:rsidP="00717D77" w14:paraId="337BC140" w14:textId="77777777">
      <w:pPr>
        <w:pStyle w:val="ListParagraph"/>
        <w:numPr>
          <w:ilvl w:val="0"/>
          <w:numId w:val="29"/>
        </w:numPr>
        <w:spacing w:after="200" w:line="240" w:lineRule="auto"/>
        <w:contextualSpacing w:val="0"/>
        <w:rPr>
          <w:b/>
          <w:bCs/>
        </w:rPr>
      </w:pPr>
      <w:r w:rsidRPr="00E42336">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w:t>
      </w:r>
      <w:r w:rsidRPr="00E42336">
        <w:rPr>
          <w:b/>
          <w:bCs/>
        </w:rPr>
        <w:t>Government</w:t>
      </w:r>
      <w:r w:rsidRPr="00E42336">
        <w:rPr>
          <w:b/>
          <w:bCs/>
        </w:rPr>
        <w:t>’</w:t>
      </w:r>
    </w:p>
    <w:p w:rsidR="00717D77" w:rsidRPr="0057780D" w:rsidP="00717D77" w14:paraId="2DB17943" w14:textId="77777777">
      <w:r w:rsidRPr="0057780D">
        <w:t xml:space="preserve">For each respondent category, this section of the ICR describes the respondents, the information collection activities and related estimates for burden and costs associated with those activities. </w:t>
      </w:r>
    </w:p>
    <w:p w:rsidR="00717D77" w:rsidRPr="0057780D" w:rsidP="00717D77" w14:paraId="0C85BDFC" w14:textId="77777777">
      <w:pPr>
        <w:pStyle w:val="NoSpacing"/>
      </w:pPr>
      <w:r w:rsidRPr="0057780D">
        <w:t xml:space="preserve">The North American Industrial Classification System (NAICS) codes associated with industries most likely affected by the paperwork requirements are described below: </w:t>
      </w:r>
    </w:p>
    <w:p w:rsidR="00717D77" w:rsidRPr="0057780D" w:rsidP="00717D77" w14:paraId="01D61A55" w14:textId="77777777">
      <w:pPr>
        <w:pStyle w:val="NoSpacing"/>
      </w:pPr>
    </w:p>
    <w:p w:rsidR="00717D77" w:rsidRPr="00E42336" w:rsidP="00717D77" w14:paraId="0DBCE1AF" w14:textId="77777777">
      <w:pPr>
        <w:pStyle w:val="NoSpacing"/>
      </w:pPr>
      <w:bookmarkStart w:id="2" w:name="_Hlk140757537"/>
      <w:r w:rsidRPr="00E42336">
        <w:t>325</w:t>
      </w:r>
      <w:r w:rsidRPr="00E42336">
        <w:tab/>
      </w:r>
      <w:r w:rsidRPr="00E42336">
        <w:tab/>
        <w:t>Chemical Manufacturers and Processors</w:t>
      </w:r>
    </w:p>
    <w:p w:rsidR="00717D77" w:rsidRPr="00E42336" w:rsidP="00717D77" w14:paraId="222AAFE6" w14:textId="77777777">
      <w:pPr>
        <w:pStyle w:val="NoSpacing"/>
      </w:pPr>
      <w:r w:rsidRPr="00E42336">
        <w:t>325130</w:t>
      </w:r>
      <w:r w:rsidRPr="00E42336">
        <w:tab/>
      </w:r>
      <w:r w:rsidRPr="00E42336">
        <w:rPr>
          <w:rFonts w:hint="eastAsia"/>
        </w:rPr>
        <w:t>Synthetic Dye and Pigment Manufacturing</w:t>
      </w:r>
    </w:p>
    <w:p w:rsidR="00717D77" w:rsidRPr="00E42336" w:rsidP="00717D77" w14:paraId="5AAAD34F" w14:textId="77777777">
      <w:pPr>
        <w:pStyle w:val="NoSpacing"/>
      </w:pPr>
      <w:r w:rsidRPr="00E42336">
        <w:t>324110</w:t>
      </w:r>
      <w:r w:rsidRPr="00E42336">
        <w:tab/>
        <w:t>Petroleum Refineries</w:t>
      </w:r>
    </w:p>
    <w:p w:rsidR="00717D77" w:rsidRPr="00E42336" w:rsidP="00717D77" w14:paraId="667965D9" w14:textId="77777777">
      <w:pPr>
        <w:pStyle w:val="NoSpacing"/>
      </w:pPr>
      <w:r w:rsidRPr="00E42336">
        <w:t>325180</w:t>
      </w:r>
      <w:r w:rsidRPr="00E42336">
        <w:tab/>
      </w:r>
      <w:r w:rsidRPr="00E42336">
        <w:rPr>
          <w:rFonts w:hint="eastAsia"/>
        </w:rPr>
        <w:t>Other Basic Inorganic Chemical Manufacturing</w:t>
      </w:r>
    </w:p>
    <w:p w:rsidR="00717D77" w:rsidRPr="00E42336" w:rsidP="00717D77" w14:paraId="5A45221A" w14:textId="77777777">
      <w:pPr>
        <w:pStyle w:val="NoSpacing"/>
      </w:pPr>
      <w:r w:rsidRPr="00E42336">
        <w:t>331221</w:t>
      </w:r>
      <w:r w:rsidRPr="00E42336">
        <w:tab/>
      </w:r>
      <w:r w:rsidRPr="00E42336">
        <w:rPr>
          <w:rFonts w:hint="eastAsia"/>
        </w:rPr>
        <w:t>Rolled Steel Shape Manufacturing</w:t>
      </w:r>
    </w:p>
    <w:p w:rsidR="00717D77" w:rsidRPr="00E42336" w:rsidP="00717D77" w14:paraId="293A2B58" w14:textId="77777777">
      <w:pPr>
        <w:pStyle w:val="NoSpacing"/>
      </w:pPr>
      <w:r w:rsidRPr="00E42336">
        <w:t>334413</w:t>
      </w:r>
      <w:r w:rsidRPr="00E42336">
        <w:tab/>
      </w:r>
      <w:r w:rsidRPr="00E42336">
        <w:rPr>
          <w:rFonts w:hint="eastAsia"/>
        </w:rPr>
        <w:t>Semiconductor and Related Device Manufacturing</w:t>
      </w:r>
    </w:p>
    <w:p w:rsidR="00717D77" w:rsidRPr="00E42336" w:rsidP="00717D77" w14:paraId="379D9806" w14:textId="77777777">
      <w:pPr>
        <w:pStyle w:val="NoSpacing"/>
      </w:pPr>
      <w:r w:rsidRPr="00E42336">
        <w:t>335991</w:t>
      </w:r>
      <w:r w:rsidRPr="00E42336">
        <w:tab/>
      </w:r>
      <w:r w:rsidRPr="00E42336">
        <w:rPr>
          <w:rFonts w:hint="eastAsia"/>
        </w:rPr>
        <w:t>Carbon and Graphite Product Manufacturing</w:t>
      </w:r>
    </w:p>
    <w:p w:rsidR="00717D77" w:rsidRPr="00E42336" w:rsidP="00717D77" w14:paraId="33DDFBD7" w14:textId="77777777">
      <w:pPr>
        <w:pStyle w:val="NoSpacing"/>
      </w:pPr>
      <w:r w:rsidRPr="00E42336">
        <w:t>423220</w:t>
      </w:r>
      <w:r w:rsidRPr="00E42336">
        <w:tab/>
      </w:r>
      <w:r w:rsidRPr="00E42336">
        <w:rPr>
          <w:rFonts w:hint="eastAsia"/>
        </w:rPr>
        <w:t>Home Furnishing Merchant Wholesalers</w:t>
      </w:r>
    </w:p>
    <w:p w:rsidR="00717D77" w:rsidRPr="00E42336" w:rsidP="00717D77" w14:paraId="661342E4" w14:textId="77777777">
      <w:pPr>
        <w:pStyle w:val="NoSpacing"/>
      </w:pPr>
      <w:r w:rsidRPr="00E42336">
        <w:t>423330</w:t>
      </w:r>
      <w:r w:rsidRPr="00E42336">
        <w:tab/>
      </w:r>
      <w:r w:rsidRPr="00E42336">
        <w:rPr>
          <w:rFonts w:hint="eastAsia"/>
        </w:rPr>
        <w:t>Roofing, Sliding, and Insulation Material Merchant Wholesalers</w:t>
      </w:r>
    </w:p>
    <w:p w:rsidR="00717D77" w:rsidRPr="00E42336" w:rsidP="00717D77" w14:paraId="0BFA123A" w14:textId="77777777">
      <w:pPr>
        <w:pStyle w:val="NoSpacing"/>
      </w:pPr>
      <w:r w:rsidRPr="00E42336">
        <w:t>423510</w:t>
      </w:r>
      <w:r w:rsidRPr="00E42336">
        <w:tab/>
      </w:r>
      <w:r w:rsidRPr="00E42336">
        <w:rPr>
          <w:rFonts w:hint="eastAsia"/>
        </w:rPr>
        <w:t>Metal Service Centers and Other Metal Merchant Wholesalers</w:t>
      </w:r>
    </w:p>
    <w:p w:rsidR="00717D77" w:rsidRPr="00E42336" w:rsidP="00717D77" w14:paraId="1399F60B" w14:textId="77777777">
      <w:pPr>
        <w:pStyle w:val="NoSpacing"/>
      </w:pPr>
    </w:p>
    <w:p w:rsidR="00717D77" w:rsidRPr="00E42336" w:rsidP="00717D77" w14:paraId="1480B59A" w14:textId="77777777">
      <w:pPr>
        <w:pStyle w:val="Heading2"/>
        <w:tabs>
          <w:tab w:val="left" w:pos="1080"/>
        </w:tabs>
        <w:spacing w:before="0" w:after="200" w:line="240" w:lineRule="auto"/>
        <w:ind w:left="360"/>
        <w:rPr>
          <w:lang w:bidi="en-US"/>
        </w:rPr>
      </w:pPr>
      <w:bookmarkStart w:id="3" w:name="_Toc495667096"/>
      <w:bookmarkEnd w:id="2"/>
      <w:bookmarkEnd w:id="3"/>
      <w:r w:rsidRPr="00E42336">
        <w:rPr>
          <w:lang w:bidi="en-US"/>
        </w:rPr>
        <w:t>Burden and Cost Estimates</w:t>
      </w:r>
    </w:p>
    <w:p w:rsidR="00586994" w:rsidP="00586994" w14:paraId="04092B89" w14:textId="342B9D7F">
      <w:pPr>
        <w:pStyle w:val="NoSpacing"/>
        <w:rPr>
          <w:u w:val="single"/>
        </w:rPr>
      </w:pPr>
      <w:r w:rsidRPr="0057780D">
        <w:rPr>
          <w:u w:val="single"/>
        </w:rPr>
        <w:t>Information Collection Activities</w:t>
      </w:r>
    </w:p>
    <w:p w:rsidR="00586994" w:rsidRPr="00586994" w:rsidP="00586994" w14:paraId="0845D22E" w14:textId="77777777">
      <w:pPr>
        <w:pStyle w:val="NoSpacing"/>
      </w:pPr>
    </w:p>
    <w:p w:rsidR="00586994" w:rsidRPr="00E42336" w:rsidP="00586994" w14:paraId="6BED5CC3" w14:textId="79FB1F2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2336">
        <w:t xml:space="preserve">EPA received </w:t>
      </w:r>
      <w:r w:rsidR="00187036">
        <w:t xml:space="preserve">TSCA section </w:t>
      </w:r>
      <w:r w:rsidRPr="00E42336">
        <w:t>8</w:t>
      </w:r>
      <w:r w:rsidR="00187036">
        <w:t>(</w:t>
      </w:r>
      <w:r w:rsidRPr="00E42336">
        <w:t>a) nano</w:t>
      </w:r>
      <w:r w:rsidR="00187036">
        <w:t>materials</w:t>
      </w:r>
      <w:r w:rsidRPr="00E42336">
        <w:t xml:space="preserve"> submissions from 37 different manufacturers and processors since 2017. Based on this observation, EPA estimates that a total of 5.3 respondents will submit responses per year. Given that the EPA received a total of 27 reports over the last three-year ICR period, EPA expects to receive 1.7 reports per respondent each year. Table 1 shows the yearly number of responses for the various nanoscale materials </w:t>
      </w:r>
      <w:r w:rsidR="00187036">
        <w:t xml:space="preserve">for </w:t>
      </w:r>
      <w:r w:rsidRPr="00E42336">
        <w:t xml:space="preserve">manufacturers and processors combined. </w:t>
      </w:r>
    </w:p>
    <w:p w:rsidR="00586994" w:rsidRPr="00AA03C8" w:rsidP="00586994" w14:paraId="0C0C8760" w14:textId="77777777">
      <w:pPr>
        <w:jc w:val="center"/>
        <w:rPr>
          <w:rFonts w:eastAsia="Times New Roman" w:cs="Arial"/>
          <w:b/>
          <w:bCs/>
          <w:szCs w:val="24"/>
        </w:rPr>
      </w:pPr>
      <w:r w:rsidRPr="00AA03C8">
        <w:rPr>
          <w:rFonts w:eastAsia="Times New Roman" w:cs="Arial"/>
          <w:b/>
          <w:bCs/>
          <w:szCs w:val="24"/>
        </w:rPr>
        <w:t>Table 1: Responses during the current ICR period</w:t>
      </w:r>
    </w:p>
    <w:tbl>
      <w:tblPr>
        <w:tblW w:w="3018" w:type="pct"/>
        <w:jc w:val="center"/>
        <w:tblLayout w:type="fixed"/>
        <w:tblLook w:val="04A0"/>
      </w:tblPr>
      <w:tblGrid>
        <w:gridCol w:w="3977"/>
        <w:gridCol w:w="1661"/>
      </w:tblGrid>
      <w:tr w14:paraId="53A86669" w14:textId="77777777" w:rsidTr="001B1D6C">
        <w:tblPrEx>
          <w:tblW w:w="3018" w:type="pct"/>
          <w:jc w:val="center"/>
          <w:tblLayout w:type="fixed"/>
          <w:tblLook w:val="04A0"/>
        </w:tblPrEx>
        <w:trPr>
          <w:trHeight w:val="739"/>
          <w:jc w:val="center"/>
        </w:trPr>
        <w:tc>
          <w:tcPr>
            <w:tcW w:w="3527" w:type="pc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586994" w:rsidRPr="001B1D6C" w:rsidP="006C103A" w14:paraId="57B21BF4" w14:textId="77777777">
            <w:pPr>
              <w:spacing w:after="0"/>
              <w:jc w:val="center"/>
              <w:rPr>
                <w:rFonts w:eastAsia="Times New Roman" w:cs="Arial"/>
                <w:b/>
                <w:sz w:val="20"/>
                <w:szCs w:val="20"/>
              </w:rPr>
            </w:pPr>
            <w:r w:rsidRPr="001B1D6C">
              <w:rPr>
                <w:rFonts w:eastAsia="Times New Roman" w:cs="Arial"/>
                <w:b/>
                <w:sz w:val="20"/>
                <w:szCs w:val="20"/>
              </w:rPr>
              <w:t>Time period</w:t>
            </w:r>
          </w:p>
        </w:tc>
        <w:tc>
          <w:tcPr>
            <w:tcW w:w="1473"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1B1D6C" w:rsidP="006C103A" w14:paraId="66E754AD" w14:textId="77777777">
            <w:pPr>
              <w:spacing w:after="0"/>
              <w:jc w:val="center"/>
              <w:rPr>
                <w:rFonts w:eastAsia="Times New Roman" w:cs="Arial"/>
                <w:b/>
                <w:sz w:val="20"/>
                <w:szCs w:val="20"/>
              </w:rPr>
            </w:pPr>
            <w:r w:rsidRPr="001B1D6C">
              <w:rPr>
                <w:rFonts w:eastAsia="Times New Roman" w:cs="Arial"/>
                <w:b/>
                <w:sz w:val="20"/>
                <w:szCs w:val="20"/>
              </w:rPr>
              <w:t>Number of responses</w:t>
            </w:r>
          </w:p>
        </w:tc>
      </w:tr>
      <w:tr w14:paraId="062C1C24" w14:textId="77777777" w:rsidTr="001B1D6C">
        <w:tblPrEx>
          <w:tblW w:w="3018" w:type="pct"/>
          <w:jc w:val="center"/>
          <w:tblLayout w:type="fixed"/>
          <w:tblLook w:val="04A0"/>
        </w:tblPrEx>
        <w:trPr>
          <w:trHeight w:val="232"/>
          <w:jc w:val="center"/>
        </w:trPr>
        <w:tc>
          <w:tcPr>
            <w:tcW w:w="3527" w:type="pct"/>
            <w:tcBorders>
              <w:top w:val="nil"/>
              <w:left w:val="single" w:sz="8" w:space="0" w:color="auto"/>
              <w:bottom w:val="single" w:sz="8" w:space="0" w:color="auto"/>
              <w:right w:val="single" w:sz="8" w:space="0" w:color="auto"/>
            </w:tcBorders>
            <w:shd w:val="clear" w:color="auto" w:fill="auto"/>
            <w:noWrap/>
            <w:hideMark/>
          </w:tcPr>
          <w:p w:rsidR="00586994" w:rsidRPr="001B1D6C" w:rsidP="006C103A" w14:paraId="7E6DA3C1" w14:textId="77777777">
            <w:pPr>
              <w:spacing w:after="0"/>
              <w:jc w:val="center"/>
              <w:rPr>
                <w:rFonts w:eastAsia="Times New Roman" w:cs="Arial"/>
                <w:sz w:val="20"/>
                <w:szCs w:val="20"/>
              </w:rPr>
            </w:pPr>
            <w:r w:rsidRPr="001B1D6C">
              <w:rPr>
                <w:rFonts w:eastAsia="Times New Roman" w:cs="Arial"/>
                <w:bCs/>
                <w:sz w:val="20"/>
                <w:szCs w:val="20"/>
              </w:rPr>
              <w:t>Sep 2020 – Dec 2020</w:t>
            </w:r>
          </w:p>
        </w:tc>
        <w:tc>
          <w:tcPr>
            <w:tcW w:w="1473" w:type="pct"/>
            <w:tcBorders>
              <w:top w:val="single" w:sz="4" w:space="0" w:color="auto"/>
              <w:left w:val="nil"/>
              <w:bottom w:val="single" w:sz="8" w:space="0" w:color="auto"/>
              <w:right w:val="single" w:sz="8" w:space="0" w:color="auto"/>
            </w:tcBorders>
            <w:shd w:val="clear" w:color="auto" w:fill="auto"/>
            <w:hideMark/>
          </w:tcPr>
          <w:p w:rsidR="00586994" w:rsidRPr="001B1D6C" w:rsidP="006C103A" w14:paraId="4F302C9B" w14:textId="77777777">
            <w:pPr>
              <w:spacing w:after="0"/>
              <w:jc w:val="center"/>
              <w:rPr>
                <w:rFonts w:eastAsia="Times New Roman" w:cs="Arial"/>
                <w:sz w:val="20"/>
                <w:szCs w:val="20"/>
              </w:rPr>
            </w:pPr>
            <w:r w:rsidRPr="001B1D6C">
              <w:rPr>
                <w:rFonts w:eastAsia="Times New Roman" w:cs="Arial"/>
                <w:bCs/>
                <w:sz w:val="20"/>
                <w:szCs w:val="20"/>
              </w:rPr>
              <w:t>2</w:t>
            </w:r>
          </w:p>
        </w:tc>
      </w:tr>
      <w:tr w14:paraId="08AB5CCA" w14:textId="77777777" w:rsidTr="001B1D6C">
        <w:tblPrEx>
          <w:tblW w:w="3018" w:type="pct"/>
          <w:jc w:val="center"/>
          <w:tblLayout w:type="fixed"/>
          <w:tblLook w:val="04A0"/>
        </w:tblPrEx>
        <w:trPr>
          <w:trHeight w:val="250"/>
          <w:jc w:val="center"/>
        </w:trPr>
        <w:tc>
          <w:tcPr>
            <w:tcW w:w="3527" w:type="pct"/>
            <w:tcBorders>
              <w:top w:val="nil"/>
              <w:left w:val="single" w:sz="8" w:space="0" w:color="auto"/>
              <w:bottom w:val="single" w:sz="8" w:space="0" w:color="auto"/>
              <w:right w:val="single" w:sz="8" w:space="0" w:color="auto"/>
            </w:tcBorders>
            <w:shd w:val="clear" w:color="auto" w:fill="auto"/>
            <w:hideMark/>
          </w:tcPr>
          <w:p w:rsidR="00586994" w:rsidRPr="001B1D6C" w:rsidP="006C103A" w14:paraId="65403EC8" w14:textId="77777777">
            <w:pPr>
              <w:spacing w:after="0"/>
              <w:jc w:val="center"/>
              <w:rPr>
                <w:rFonts w:eastAsia="Times New Roman" w:cs="Arial"/>
                <w:sz w:val="20"/>
                <w:szCs w:val="20"/>
              </w:rPr>
            </w:pPr>
            <w:r w:rsidRPr="001B1D6C">
              <w:rPr>
                <w:rFonts w:eastAsia="Times New Roman" w:cs="Arial"/>
                <w:bCs/>
                <w:sz w:val="20"/>
                <w:szCs w:val="20"/>
              </w:rPr>
              <w:t>2021</w:t>
            </w:r>
          </w:p>
        </w:tc>
        <w:tc>
          <w:tcPr>
            <w:tcW w:w="1473" w:type="pct"/>
            <w:tcBorders>
              <w:top w:val="nil"/>
              <w:left w:val="nil"/>
              <w:bottom w:val="single" w:sz="8" w:space="0" w:color="auto"/>
              <w:right w:val="single" w:sz="8" w:space="0" w:color="auto"/>
            </w:tcBorders>
            <w:shd w:val="clear" w:color="auto" w:fill="auto"/>
            <w:hideMark/>
          </w:tcPr>
          <w:p w:rsidR="00586994" w:rsidRPr="001B1D6C" w:rsidP="006C103A" w14:paraId="6CB57737" w14:textId="77777777">
            <w:pPr>
              <w:spacing w:after="0"/>
              <w:jc w:val="center"/>
              <w:rPr>
                <w:rFonts w:eastAsia="Times New Roman" w:cs="Arial"/>
                <w:sz w:val="20"/>
                <w:szCs w:val="20"/>
              </w:rPr>
            </w:pPr>
            <w:r w:rsidRPr="001B1D6C">
              <w:rPr>
                <w:rFonts w:eastAsia="Times New Roman" w:cs="Arial"/>
                <w:bCs/>
                <w:sz w:val="20"/>
                <w:szCs w:val="20"/>
              </w:rPr>
              <w:t>10</w:t>
            </w:r>
          </w:p>
        </w:tc>
      </w:tr>
      <w:tr w14:paraId="2BF594AC" w14:textId="77777777" w:rsidTr="001B1D6C">
        <w:tblPrEx>
          <w:tblW w:w="3018" w:type="pct"/>
          <w:jc w:val="center"/>
          <w:tblLayout w:type="fixed"/>
          <w:tblLook w:val="04A0"/>
        </w:tblPrEx>
        <w:trPr>
          <w:trHeight w:val="241"/>
          <w:jc w:val="center"/>
        </w:trPr>
        <w:tc>
          <w:tcPr>
            <w:tcW w:w="3527" w:type="pct"/>
            <w:tcBorders>
              <w:top w:val="nil"/>
              <w:left w:val="single" w:sz="8" w:space="0" w:color="auto"/>
              <w:bottom w:val="single" w:sz="8" w:space="0" w:color="auto"/>
              <w:right w:val="single" w:sz="8" w:space="0" w:color="auto"/>
            </w:tcBorders>
            <w:shd w:val="clear" w:color="auto" w:fill="auto"/>
            <w:hideMark/>
          </w:tcPr>
          <w:p w:rsidR="00586994" w:rsidRPr="001B1D6C" w:rsidP="006C103A" w14:paraId="311362C3" w14:textId="77777777">
            <w:pPr>
              <w:spacing w:after="0"/>
              <w:jc w:val="center"/>
              <w:rPr>
                <w:rFonts w:eastAsia="Times New Roman" w:cs="Arial"/>
                <w:bCs/>
                <w:sz w:val="20"/>
                <w:szCs w:val="20"/>
              </w:rPr>
            </w:pPr>
            <w:r w:rsidRPr="001B1D6C">
              <w:rPr>
                <w:rFonts w:eastAsia="Times New Roman" w:cs="Arial"/>
                <w:bCs/>
                <w:sz w:val="20"/>
                <w:szCs w:val="20"/>
              </w:rPr>
              <w:t>2022</w:t>
            </w:r>
          </w:p>
        </w:tc>
        <w:tc>
          <w:tcPr>
            <w:tcW w:w="1473" w:type="pct"/>
            <w:tcBorders>
              <w:top w:val="nil"/>
              <w:left w:val="nil"/>
              <w:bottom w:val="single" w:sz="8" w:space="0" w:color="auto"/>
              <w:right w:val="single" w:sz="8" w:space="0" w:color="auto"/>
            </w:tcBorders>
            <w:shd w:val="clear" w:color="auto" w:fill="auto"/>
            <w:hideMark/>
          </w:tcPr>
          <w:p w:rsidR="00586994" w:rsidRPr="001B1D6C" w:rsidP="006C103A" w14:paraId="4FC0A137" w14:textId="77777777">
            <w:pPr>
              <w:spacing w:after="0"/>
              <w:jc w:val="center"/>
              <w:rPr>
                <w:rFonts w:eastAsia="Times New Roman" w:cs="Arial"/>
                <w:bCs/>
                <w:sz w:val="20"/>
                <w:szCs w:val="20"/>
              </w:rPr>
            </w:pPr>
            <w:r w:rsidRPr="001B1D6C">
              <w:rPr>
                <w:rFonts w:eastAsia="Times New Roman" w:cs="Arial"/>
                <w:bCs/>
                <w:sz w:val="20"/>
                <w:szCs w:val="20"/>
              </w:rPr>
              <w:t>10</w:t>
            </w:r>
          </w:p>
        </w:tc>
      </w:tr>
      <w:tr w14:paraId="08BA934D" w14:textId="77777777" w:rsidTr="001B1D6C">
        <w:tblPrEx>
          <w:tblW w:w="3018" w:type="pct"/>
          <w:jc w:val="center"/>
          <w:tblLayout w:type="fixed"/>
          <w:tblLook w:val="04A0"/>
        </w:tblPrEx>
        <w:trPr>
          <w:trHeight w:val="269"/>
          <w:jc w:val="center"/>
        </w:trPr>
        <w:tc>
          <w:tcPr>
            <w:tcW w:w="3527" w:type="pct"/>
            <w:tcBorders>
              <w:top w:val="nil"/>
              <w:left w:val="single" w:sz="8" w:space="0" w:color="auto"/>
              <w:bottom w:val="single" w:sz="8" w:space="0" w:color="auto"/>
              <w:right w:val="single" w:sz="8" w:space="0" w:color="auto"/>
            </w:tcBorders>
            <w:shd w:val="clear" w:color="auto" w:fill="auto"/>
            <w:noWrap/>
            <w:hideMark/>
          </w:tcPr>
          <w:p w:rsidR="00586994" w:rsidRPr="001B1D6C" w:rsidP="006C103A" w14:paraId="07554E39" w14:textId="77777777">
            <w:pPr>
              <w:spacing w:after="0"/>
              <w:jc w:val="center"/>
              <w:rPr>
                <w:rFonts w:eastAsia="Times New Roman" w:cs="Arial"/>
                <w:sz w:val="20"/>
                <w:szCs w:val="20"/>
              </w:rPr>
            </w:pPr>
            <w:r w:rsidRPr="001B1D6C">
              <w:rPr>
                <w:rFonts w:eastAsia="Times New Roman" w:cs="Arial"/>
                <w:bCs/>
                <w:sz w:val="20"/>
                <w:szCs w:val="20"/>
              </w:rPr>
              <w:t>Jan 2023- Aug 2023</w:t>
            </w:r>
          </w:p>
        </w:tc>
        <w:tc>
          <w:tcPr>
            <w:tcW w:w="1473" w:type="pct"/>
            <w:tcBorders>
              <w:top w:val="nil"/>
              <w:left w:val="nil"/>
              <w:bottom w:val="single" w:sz="8" w:space="0" w:color="auto"/>
              <w:right w:val="single" w:sz="8" w:space="0" w:color="auto"/>
            </w:tcBorders>
            <w:shd w:val="clear" w:color="auto" w:fill="auto"/>
            <w:noWrap/>
            <w:hideMark/>
          </w:tcPr>
          <w:p w:rsidR="00586994" w:rsidRPr="001B1D6C" w:rsidP="006C103A" w14:paraId="6EA69BF9" w14:textId="77777777">
            <w:pPr>
              <w:spacing w:after="0"/>
              <w:jc w:val="center"/>
              <w:rPr>
                <w:rFonts w:eastAsia="Times New Roman" w:cs="Arial"/>
                <w:sz w:val="20"/>
                <w:szCs w:val="20"/>
              </w:rPr>
            </w:pPr>
            <w:r w:rsidRPr="001B1D6C">
              <w:rPr>
                <w:rFonts w:eastAsia="Times New Roman" w:cs="Arial"/>
                <w:bCs/>
                <w:sz w:val="20"/>
                <w:szCs w:val="20"/>
              </w:rPr>
              <w:t>5</w:t>
            </w:r>
          </w:p>
        </w:tc>
      </w:tr>
      <w:tr w14:paraId="0F368461" w14:textId="77777777" w:rsidTr="001B1D6C">
        <w:tblPrEx>
          <w:tblW w:w="3018" w:type="pct"/>
          <w:jc w:val="center"/>
          <w:tblLayout w:type="fixed"/>
          <w:tblLook w:val="04A0"/>
        </w:tblPrEx>
        <w:trPr>
          <w:trHeight w:val="328"/>
          <w:jc w:val="center"/>
        </w:trPr>
        <w:tc>
          <w:tcPr>
            <w:tcW w:w="3527" w:type="pct"/>
            <w:tcBorders>
              <w:top w:val="nil"/>
              <w:left w:val="single" w:sz="8" w:space="0" w:color="auto"/>
              <w:bottom w:val="single" w:sz="8" w:space="0" w:color="auto"/>
              <w:right w:val="single" w:sz="8" w:space="0" w:color="auto"/>
            </w:tcBorders>
            <w:shd w:val="clear" w:color="auto" w:fill="auto"/>
            <w:noWrap/>
            <w:hideMark/>
          </w:tcPr>
          <w:p w:rsidR="00586994" w:rsidRPr="001B1D6C" w:rsidP="006C103A" w14:paraId="78B19D8D" w14:textId="77777777">
            <w:pPr>
              <w:spacing w:after="0"/>
              <w:jc w:val="center"/>
              <w:rPr>
                <w:rFonts w:eastAsia="Times New Roman" w:cs="Arial"/>
                <w:b/>
                <w:sz w:val="20"/>
                <w:szCs w:val="20"/>
              </w:rPr>
            </w:pPr>
            <w:r w:rsidRPr="001B1D6C">
              <w:rPr>
                <w:rFonts w:eastAsia="Times New Roman" w:cs="Arial"/>
                <w:b/>
                <w:sz w:val="20"/>
                <w:szCs w:val="20"/>
              </w:rPr>
              <w:t xml:space="preserve">ICR period total </w:t>
            </w:r>
          </w:p>
        </w:tc>
        <w:tc>
          <w:tcPr>
            <w:tcW w:w="1473" w:type="pct"/>
            <w:tcBorders>
              <w:top w:val="nil"/>
              <w:left w:val="nil"/>
              <w:bottom w:val="single" w:sz="8" w:space="0" w:color="auto"/>
              <w:right w:val="single" w:sz="8" w:space="0" w:color="auto"/>
            </w:tcBorders>
            <w:shd w:val="clear" w:color="auto" w:fill="auto"/>
            <w:noWrap/>
            <w:hideMark/>
          </w:tcPr>
          <w:p w:rsidR="00586994" w:rsidRPr="001B1D6C" w:rsidP="006C103A" w14:paraId="50F62D59" w14:textId="77777777">
            <w:pPr>
              <w:spacing w:after="0"/>
              <w:jc w:val="center"/>
              <w:rPr>
                <w:rFonts w:eastAsia="Times New Roman" w:cs="Arial"/>
                <w:b/>
                <w:sz w:val="20"/>
                <w:szCs w:val="20"/>
              </w:rPr>
            </w:pPr>
            <w:r w:rsidRPr="001B1D6C">
              <w:rPr>
                <w:rFonts w:eastAsia="Times New Roman" w:cs="Arial"/>
                <w:b/>
                <w:sz w:val="20"/>
                <w:szCs w:val="20"/>
              </w:rPr>
              <w:t>27</w:t>
            </w:r>
          </w:p>
        </w:tc>
      </w:tr>
    </w:tbl>
    <w:p w:rsidR="00586994" w:rsidRPr="004A737F" w:rsidP="00586994" w14:paraId="2D25436B" w14:textId="77777777">
      <w:pPr>
        <w:pStyle w:val="NoSpacing"/>
      </w:pPr>
    </w:p>
    <w:p w:rsidR="00586994" w:rsidRPr="00E42336" w:rsidP="00E42336" w14:paraId="30552801" w14:textId="2ECDA81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42336">
        <w:rPr>
          <w:b/>
          <w:bCs/>
        </w:rPr>
        <w:t>Estimating Respondent Burden</w:t>
      </w:r>
    </w:p>
    <w:p w:rsidR="00586994" w:rsidP="00E42336" w14:paraId="4DEC88BA" w14:textId="627BC0C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2336">
        <w:t>Table 2 shows the estimated burden for five activities necessary to submit a TSCA 8</w:t>
      </w:r>
      <w:r w:rsidR="008516B1">
        <w:t>(</w:t>
      </w:r>
      <w:r w:rsidRPr="00E42336">
        <w:t xml:space="preserve">a) nanomaterials report to the EPA for nanoscale manufacturers, processors as well as the average estimated burden for any given respondent. This is estimated by assigning equal weights to manufacturer and processor burdens. This assumption is made given that the expected number of nanoscale manufacturers and processors in the previous ICR renewal were about the same. </w:t>
      </w:r>
    </w:p>
    <w:p w:rsidR="00586994" w:rsidRPr="006C103A" w:rsidP="006C103A" w14:paraId="4BD2C6F0" w14:textId="7EDD0D09">
      <w:pPr>
        <w:jc w:val="center"/>
        <w:rPr>
          <w:b/>
          <w:bCs/>
        </w:rPr>
      </w:pPr>
      <w:r w:rsidRPr="006C103A">
        <w:rPr>
          <w:b/>
          <w:bCs/>
        </w:rPr>
        <w:t>Table 2: Burden per year per respondent</w:t>
      </w:r>
    </w:p>
    <w:tbl>
      <w:tblPr>
        <w:tblW w:w="3994" w:type="pct"/>
        <w:jc w:val="center"/>
        <w:tblLayout w:type="fixed"/>
        <w:tblLook w:val="04A0"/>
      </w:tblPr>
      <w:tblGrid>
        <w:gridCol w:w="1971"/>
        <w:gridCol w:w="1889"/>
        <w:gridCol w:w="1582"/>
        <w:gridCol w:w="2019"/>
      </w:tblGrid>
      <w:tr w14:paraId="2588CFEA" w14:textId="77777777" w:rsidTr="00D177F6">
        <w:tblPrEx>
          <w:tblW w:w="3994" w:type="pct"/>
          <w:jc w:val="center"/>
          <w:tblLayout w:type="fixed"/>
          <w:tblLook w:val="04A0"/>
        </w:tblPrEx>
        <w:trPr>
          <w:trHeight w:val="300"/>
          <w:jc w:val="center"/>
        </w:trPr>
        <w:tc>
          <w:tcPr>
            <w:tcW w:w="1321" w:type="pc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586994" w:rsidRPr="00AA03C8" w:rsidP="006C103A" w14:paraId="7026B608" w14:textId="77777777">
            <w:pPr>
              <w:spacing w:after="0"/>
              <w:jc w:val="center"/>
              <w:rPr>
                <w:rFonts w:eastAsia="Times New Roman" w:cs="Arial"/>
                <w:b/>
                <w:bCs/>
                <w:sz w:val="20"/>
                <w:szCs w:val="24"/>
              </w:rPr>
            </w:pPr>
            <w:r w:rsidRPr="00AA03C8">
              <w:rPr>
                <w:rFonts w:eastAsia="Times New Roman" w:cs="Arial"/>
                <w:b/>
                <w:bCs/>
                <w:sz w:val="20"/>
                <w:szCs w:val="24"/>
              </w:rPr>
              <w:t>Activity</w:t>
            </w:r>
          </w:p>
        </w:tc>
        <w:tc>
          <w:tcPr>
            <w:tcW w:w="1266" w:type="pct"/>
            <w:tcBorders>
              <w:top w:val="single" w:sz="8" w:space="0" w:color="auto"/>
              <w:left w:val="nil"/>
              <w:bottom w:val="single" w:sz="4" w:space="0" w:color="auto"/>
              <w:right w:val="single" w:sz="8" w:space="0" w:color="auto"/>
            </w:tcBorders>
            <w:shd w:val="clear" w:color="auto" w:fill="D9D9D9" w:themeFill="background1" w:themeFillShade="D9"/>
            <w:hideMark/>
          </w:tcPr>
          <w:p w:rsidR="00586994" w:rsidRPr="00AA03C8" w:rsidP="006C103A" w14:paraId="182250BD" w14:textId="77777777">
            <w:pPr>
              <w:spacing w:after="0"/>
              <w:jc w:val="center"/>
              <w:rPr>
                <w:rFonts w:eastAsia="Times New Roman" w:cs="Arial"/>
                <w:b/>
                <w:bCs/>
                <w:sz w:val="20"/>
                <w:szCs w:val="24"/>
              </w:rPr>
            </w:pPr>
            <w:r w:rsidRPr="00AA03C8">
              <w:rPr>
                <w:rFonts w:eastAsia="Times New Roman" w:cs="Arial"/>
                <w:b/>
                <w:bCs/>
                <w:sz w:val="20"/>
                <w:szCs w:val="24"/>
              </w:rPr>
              <w:t>Manufacturer burden (hours/year)</w:t>
            </w:r>
          </w:p>
        </w:tc>
        <w:tc>
          <w:tcPr>
            <w:tcW w:w="1060" w:type="pct"/>
            <w:tcBorders>
              <w:top w:val="single" w:sz="8" w:space="0" w:color="auto"/>
              <w:left w:val="nil"/>
              <w:bottom w:val="single" w:sz="4" w:space="0" w:color="auto"/>
              <w:right w:val="single" w:sz="8" w:space="0" w:color="auto"/>
            </w:tcBorders>
            <w:shd w:val="clear" w:color="auto" w:fill="D9D9D9" w:themeFill="background1" w:themeFillShade="D9"/>
            <w:hideMark/>
          </w:tcPr>
          <w:p w:rsidR="00586994" w:rsidRPr="00AA03C8" w:rsidP="006C103A" w14:paraId="778011A3" w14:textId="77777777">
            <w:pPr>
              <w:spacing w:after="0"/>
              <w:jc w:val="center"/>
              <w:rPr>
                <w:rFonts w:eastAsia="Times New Roman" w:cs="Arial"/>
                <w:b/>
                <w:bCs/>
                <w:sz w:val="20"/>
                <w:szCs w:val="24"/>
              </w:rPr>
            </w:pPr>
            <w:r w:rsidRPr="00AA03C8">
              <w:rPr>
                <w:rFonts w:eastAsia="Times New Roman" w:cs="Arial"/>
                <w:b/>
                <w:bCs/>
                <w:sz w:val="20"/>
                <w:szCs w:val="24"/>
              </w:rPr>
              <w:t>Processor burden</w:t>
            </w:r>
          </w:p>
          <w:p w:rsidR="00586994" w:rsidRPr="00AA03C8" w:rsidP="006C103A" w14:paraId="07319626" w14:textId="77777777">
            <w:pPr>
              <w:pStyle w:val="NoSpacing"/>
              <w:jc w:val="center"/>
              <w:rPr>
                <w:rFonts w:eastAsia="Times New Roman" w:cs="Arial"/>
                <w:b/>
                <w:bCs/>
                <w:sz w:val="20"/>
                <w:szCs w:val="24"/>
              </w:rPr>
            </w:pPr>
            <w:r w:rsidRPr="00AA03C8">
              <w:rPr>
                <w:rFonts w:eastAsia="Times New Roman" w:cs="Arial"/>
                <w:b/>
                <w:bCs/>
                <w:sz w:val="20"/>
                <w:szCs w:val="24"/>
              </w:rPr>
              <w:t>(hours/year)</w:t>
            </w:r>
          </w:p>
        </w:tc>
        <w:tc>
          <w:tcPr>
            <w:tcW w:w="1353" w:type="pct"/>
            <w:tcBorders>
              <w:top w:val="single" w:sz="8" w:space="0" w:color="auto"/>
              <w:left w:val="nil"/>
              <w:bottom w:val="single" w:sz="4" w:space="0" w:color="auto"/>
              <w:right w:val="single" w:sz="8" w:space="0" w:color="auto"/>
            </w:tcBorders>
            <w:shd w:val="clear" w:color="auto" w:fill="D9D9D9" w:themeFill="background1" w:themeFillShade="D9"/>
            <w:hideMark/>
          </w:tcPr>
          <w:p w:rsidR="00586994" w:rsidRPr="00AA03C8" w:rsidP="006C103A" w14:paraId="1459F411" w14:textId="77777777">
            <w:pPr>
              <w:spacing w:after="0"/>
              <w:jc w:val="center"/>
              <w:rPr>
                <w:rFonts w:eastAsia="Times New Roman" w:cs="Arial"/>
                <w:b/>
                <w:bCs/>
                <w:sz w:val="20"/>
                <w:szCs w:val="24"/>
              </w:rPr>
            </w:pPr>
            <w:r w:rsidRPr="00AA03C8">
              <w:rPr>
                <w:rFonts w:eastAsia="Times New Roman" w:cs="Arial"/>
                <w:b/>
                <w:bCs/>
                <w:sz w:val="20"/>
                <w:szCs w:val="24"/>
              </w:rPr>
              <w:t>Weighted burden per respondent</w:t>
            </w:r>
          </w:p>
          <w:p w:rsidR="00586994" w:rsidRPr="00AA03C8" w:rsidP="006C103A" w14:paraId="59F4F5DC" w14:textId="77777777">
            <w:pPr>
              <w:pStyle w:val="NoSpacing"/>
              <w:jc w:val="center"/>
              <w:rPr>
                <w:rFonts w:eastAsia="Times New Roman" w:cs="Arial"/>
                <w:b/>
                <w:bCs/>
                <w:sz w:val="20"/>
                <w:szCs w:val="24"/>
              </w:rPr>
            </w:pPr>
            <w:r w:rsidRPr="00AA03C8">
              <w:rPr>
                <w:rFonts w:eastAsia="Times New Roman" w:cs="Arial"/>
                <w:b/>
                <w:bCs/>
                <w:sz w:val="20"/>
                <w:szCs w:val="24"/>
              </w:rPr>
              <w:t>(hours/year)</w:t>
            </w:r>
          </w:p>
        </w:tc>
      </w:tr>
      <w:tr w14:paraId="1C2A7018" w14:textId="77777777" w:rsidTr="00D177F6">
        <w:tblPrEx>
          <w:tblW w:w="3994" w:type="pct"/>
          <w:jc w:val="center"/>
          <w:tblLayout w:type="fixed"/>
          <w:tblLook w:val="04A0"/>
        </w:tblPrEx>
        <w:trPr>
          <w:trHeight w:val="360"/>
          <w:jc w:val="center"/>
        </w:trPr>
        <w:tc>
          <w:tcPr>
            <w:tcW w:w="1321" w:type="pct"/>
            <w:tcBorders>
              <w:top w:val="nil"/>
              <w:left w:val="single" w:sz="8" w:space="0" w:color="auto"/>
              <w:bottom w:val="single" w:sz="8" w:space="0" w:color="auto"/>
              <w:right w:val="single" w:sz="8" w:space="0" w:color="auto"/>
            </w:tcBorders>
            <w:shd w:val="clear" w:color="auto" w:fill="auto"/>
            <w:hideMark/>
          </w:tcPr>
          <w:p w:rsidR="00586994" w:rsidRPr="00AA03C8" w:rsidP="006C103A" w14:paraId="0C9D196E" w14:textId="77777777">
            <w:pPr>
              <w:spacing w:after="0"/>
              <w:jc w:val="center"/>
              <w:rPr>
                <w:rFonts w:eastAsia="Times New Roman" w:cs="Arial"/>
                <w:sz w:val="20"/>
                <w:szCs w:val="24"/>
              </w:rPr>
            </w:pPr>
            <w:r w:rsidRPr="00AA03C8">
              <w:rPr>
                <w:rFonts w:eastAsia="Times New Roman" w:cs="Arial"/>
                <w:sz w:val="20"/>
                <w:szCs w:val="24"/>
              </w:rPr>
              <w:t>Form completion</w:t>
            </w:r>
          </w:p>
        </w:tc>
        <w:tc>
          <w:tcPr>
            <w:tcW w:w="1266" w:type="pct"/>
            <w:tcBorders>
              <w:top w:val="nil"/>
              <w:left w:val="nil"/>
              <w:bottom w:val="single" w:sz="8" w:space="0" w:color="auto"/>
              <w:right w:val="single" w:sz="8" w:space="0" w:color="auto"/>
            </w:tcBorders>
            <w:shd w:val="clear" w:color="auto" w:fill="auto"/>
            <w:hideMark/>
          </w:tcPr>
          <w:p w:rsidR="00586994" w:rsidRPr="00AA03C8" w:rsidP="006C103A" w14:paraId="01E54723" w14:textId="77777777">
            <w:pPr>
              <w:spacing w:after="0"/>
              <w:jc w:val="center"/>
              <w:rPr>
                <w:rFonts w:eastAsia="Times New Roman" w:cs="Arial"/>
                <w:sz w:val="20"/>
                <w:szCs w:val="24"/>
              </w:rPr>
            </w:pPr>
            <w:r w:rsidRPr="00AA03C8">
              <w:rPr>
                <w:rFonts w:eastAsia="Times New Roman" w:cs="Arial"/>
                <w:sz w:val="20"/>
                <w:szCs w:val="24"/>
              </w:rPr>
              <w:t xml:space="preserve">71 </w:t>
            </w:r>
          </w:p>
        </w:tc>
        <w:tc>
          <w:tcPr>
            <w:tcW w:w="1060" w:type="pct"/>
            <w:tcBorders>
              <w:top w:val="nil"/>
              <w:left w:val="nil"/>
              <w:bottom w:val="single" w:sz="8" w:space="0" w:color="auto"/>
              <w:right w:val="single" w:sz="8" w:space="0" w:color="auto"/>
            </w:tcBorders>
            <w:shd w:val="clear" w:color="auto" w:fill="auto"/>
            <w:hideMark/>
          </w:tcPr>
          <w:p w:rsidR="00586994" w:rsidRPr="00AA03C8" w:rsidP="006C103A" w14:paraId="53E6C9B4" w14:textId="77777777">
            <w:pPr>
              <w:spacing w:after="0"/>
              <w:jc w:val="center"/>
              <w:rPr>
                <w:rFonts w:eastAsia="Times New Roman" w:cs="Arial"/>
                <w:sz w:val="20"/>
                <w:szCs w:val="24"/>
              </w:rPr>
            </w:pPr>
            <w:r w:rsidRPr="00AA03C8">
              <w:rPr>
                <w:rFonts w:eastAsia="Times New Roman" w:cs="Arial"/>
                <w:sz w:val="20"/>
                <w:szCs w:val="24"/>
              </w:rPr>
              <w:t xml:space="preserve">136.6 </w:t>
            </w:r>
          </w:p>
        </w:tc>
        <w:tc>
          <w:tcPr>
            <w:tcW w:w="1353" w:type="pct"/>
            <w:tcBorders>
              <w:top w:val="nil"/>
              <w:left w:val="nil"/>
              <w:bottom w:val="single" w:sz="8" w:space="0" w:color="auto"/>
              <w:right w:val="single" w:sz="8" w:space="0" w:color="auto"/>
            </w:tcBorders>
            <w:shd w:val="clear" w:color="auto" w:fill="auto"/>
            <w:hideMark/>
          </w:tcPr>
          <w:p w:rsidR="00586994" w:rsidRPr="00AA03C8" w:rsidP="006C103A" w14:paraId="57D4DCE0" w14:textId="77777777">
            <w:pPr>
              <w:spacing w:after="0"/>
              <w:jc w:val="center"/>
              <w:rPr>
                <w:rFonts w:eastAsia="Times New Roman" w:cs="Arial"/>
                <w:sz w:val="20"/>
                <w:szCs w:val="24"/>
              </w:rPr>
            </w:pPr>
            <w:r w:rsidRPr="00AA03C8">
              <w:rPr>
                <w:rFonts w:eastAsia="Times New Roman" w:cs="Arial"/>
                <w:sz w:val="20"/>
                <w:szCs w:val="24"/>
              </w:rPr>
              <w:t xml:space="preserve">103.8 </w:t>
            </w:r>
          </w:p>
        </w:tc>
      </w:tr>
      <w:tr w14:paraId="2B9BDBDD" w14:textId="77777777" w:rsidTr="00D177F6">
        <w:tblPrEx>
          <w:tblW w:w="3994" w:type="pct"/>
          <w:jc w:val="center"/>
          <w:tblLayout w:type="fixed"/>
          <w:tblLook w:val="04A0"/>
        </w:tblPrEx>
        <w:trPr>
          <w:trHeight w:val="360"/>
          <w:jc w:val="center"/>
        </w:trPr>
        <w:tc>
          <w:tcPr>
            <w:tcW w:w="1321" w:type="pct"/>
            <w:tcBorders>
              <w:top w:val="nil"/>
              <w:left w:val="single" w:sz="8" w:space="0" w:color="auto"/>
              <w:bottom w:val="single" w:sz="8" w:space="0" w:color="auto"/>
              <w:right w:val="single" w:sz="8" w:space="0" w:color="auto"/>
            </w:tcBorders>
            <w:shd w:val="clear" w:color="auto" w:fill="auto"/>
          </w:tcPr>
          <w:p w:rsidR="00586994" w:rsidRPr="00AA03C8" w:rsidP="006C103A" w14:paraId="231AFFB8" w14:textId="77777777">
            <w:pPr>
              <w:spacing w:after="0"/>
              <w:jc w:val="center"/>
              <w:rPr>
                <w:rFonts w:eastAsia="Times New Roman" w:cs="Arial"/>
                <w:sz w:val="20"/>
                <w:szCs w:val="24"/>
              </w:rPr>
            </w:pPr>
            <w:r w:rsidRPr="00AA03C8">
              <w:rPr>
                <w:rFonts w:eastAsia="Times New Roman" w:cs="Arial"/>
                <w:sz w:val="20"/>
                <w:szCs w:val="24"/>
              </w:rPr>
              <w:t>CBI substantiation</w:t>
            </w:r>
          </w:p>
        </w:tc>
        <w:tc>
          <w:tcPr>
            <w:tcW w:w="1266" w:type="pct"/>
            <w:tcBorders>
              <w:top w:val="nil"/>
              <w:left w:val="nil"/>
              <w:bottom w:val="single" w:sz="8" w:space="0" w:color="auto"/>
              <w:right w:val="single" w:sz="8" w:space="0" w:color="auto"/>
            </w:tcBorders>
            <w:shd w:val="clear" w:color="auto" w:fill="auto"/>
          </w:tcPr>
          <w:p w:rsidR="00586994" w:rsidRPr="00AA03C8" w:rsidP="006C103A" w14:paraId="5DD0F5C2" w14:textId="77777777">
            <w:pPr>
              <w:spacing w:after="0"/>
              <w:jc w:val="center"/>
              <w:rPr>
                <w:rFonts w:eastAsia="Times New Roman" w:cs="Arial"/>
                <w:sz w:val="20"/>
                <w:szCs w:val="24"/>
              </w:rPr>
            </w:pPr>
            <w:r w:rsidRPr="00AA03C8">
              <w:rPr>
                <w:rFonts w:eastAsia="Times New Roman" w:cs="Arial"/>
                <w:sz w:val="20"/>
                <w:szCs w:val="24"/>
              </w:rPr>
              <w:t xml:space="preserve">0.78 </w:t>
            </w:r>
          </w:p>
        </w:tc>
        <w:tc>
          <w:tcPr>
            <w:tcW w:w="1060" w:type="pct"/>
            <w:tcBorders>
              <w:top w:val="nil"/>
              <w:left w:val="nil"/>
              <w:bottom w:val="single" w:sz="8" w:space="0" w:color="auto"/>
              <w:right w:val="single" w:sz="8" w:space="0" w:color="auto"/>
            </w:tcBorders>
            <w:shd w:val="clear" w:color="auto" w:fill="auto"/>
          </w:tcPr>
          <w:p w:rsidR="00586994" w:rsidRPr="00AA03C8" w:rsidP="006C103A" w14:paraId="3470EAFE" w14:textId="77777777">
            <w:pPr>
              <w:spacing w:after="0"/>
              <w:jc w:val="center"/>
              <w:rPr>
                <w:rFonts w:eastAsia="Times New Roman" w:cs="Arial"/>
                <w:sz w:val="20"/>
                <w:szCs w:val="24"/>
              </w:rPr>
            </w:pPr>
            <w:r w:rsidRPr="00AA03C8">
              <w:rPr>
                <w:rFonts w:eastAsia="Times New Roman" w:cs="Arial"/>
                <w:sz w:val="20"/>
                <w:szCs w:val="24"/>
              </w:rPr>
              <w:t xml:space="preserve">1.5 </w:t>
            </w:r>
          </w:p>
        </w:tc>
        <w:tc>
          <w:tcPr>
            <w:tcW w:w="1353" w:type="pct"/>
            <w:tcBorders>
              <w:top w:val="nil"/>
              <w:left w:val="nil"/>
              <w:bottom w:val="single" w:sz="8" w:space="0" w:color="auto"/>
              <w:right w:val="single" w:sz="8" w:space="0" w:color="auto"/>
            </w:tcBorders>
            <w:shd w:val="clear" w:color="auto" w:fill="auto"/>
          </w:tcPr>
          <w:p w:rsidR="00586994" w:rsidRPr="00AA03C8" w:rsidP="006C103A" w14:paraId="6AF3F21B" w14:textId="77777777">
            <w:pPr>
              <w:spacing w:after="0"/>
              <w:jc w:val="center"/>
              <w:rPr>
                <w:rFonts w:eastAsia="Times New Roman" w:cs="Arial"/>
                <w:sz w:val="20"/>
                <w:szCs w:val="24"/>
              </w:rPr>
            </w:pPr>
            <w:r w:rsidRPr="00AA03C8">
              <w:rPr>
                <w:rFonts w:eastAsia="Times New Roman" w:cs="Arial"/>
                <w:sz w:val="20"/>
                <w:szCs w:val="24"/>
              </w:rPr>
              <w:t xml:space="preserve">1.14 </w:t>
            </w:r>
          </w:p>
        </w:tc>
      </w:tr>
      <w:tr w14:paraId="184E420C" w14:textId="77777777" w:rsidTr="00D177F6">
        <w:tblPrEx>
          <w:tblW w:w="3994" w:type="pct"/>
          <w:jc w:val="center"/>
          <w:tblLayout w:type="fixed"/>
          <w:tblLook w:val="04A0"/>
        </w:tblPrEx>
        <w:trPr>
          <w:trHeight w:val="315"/>
          <w:jc w:val="center"/>
        </w:trPr>
        <w:tc>
          <w:tcPr>
            <w:tcW w:w="1321" w:type="pct"/>
            <w:tcBorders>
              <w:top w:val="nil"/>
              <w:left w:val="single" w:sz="8" w:space="0" w:color="auto"/>
              <w:bottom w:val="single" w:sz="8" w:space="0" w:color="auto"/>
              <w:right w:val="single" w:sz="8" w:space="0" w:color="auto"/>
            </w:tcBorders>
            <w:shd w:val="clear" w:color="auto" w:fill="auto"/>
          </w:tcPr>
          <w:p w:rsidR="00586994" w:rsidRPr="00AA03C8" w:rsidP="006C103A" w14:paraId="154E700D" w14:textId="77777777">
            <w:pPr>
              <w:spacing w:after="0"/>
              <w:jc w:val="center"/>
              <w:rPr>
                <w:rFonts w:eastAsia="Times New Roman" w:cs="Arial"/>
                <w:sz w:val="20"/>
                <w:szCs w:val="24"/>
              </w:rPr>
            </w:pPr>
            <w:r w:rsidRPr="00AA03C8">
              <w:rPr>
                <w:rFonts w:eastAsia="Times New Roman" w:cs="Arial"/>
                <w:sz w:val="20"/>
                <w:szCs w:val="24"/>
              </w:rPr>
              <w:t>Form submission</w:t>
            </w:r>
          </w:p>
        </w:tc>
        <w:tc>
          <w:tcPr>
            <w:tcW w:w="1266" w:type="pct"/>
            <w:tcBorders>
              <w:top w:val="nil"/>
              <w:left w:val="nil"/>
              <w:bottom w:val="single" w:sz="8" w:space="0" w:color="auto"/>
              <w:right w:val="single" w:sz="8" w:space="0" w:color="auto"/>
            </w:tcBorders>
            <w:shd w:val="clear" w:color="auto" w:fill="auto"/>
          </w:tcPr>
          <w:p w:rsidR="00586994" w:rsidRPr="00AA03C8" w:rsidP="006C103A" w14:paraId="7D2D5020" w14:textId="77777777">
            <w:pPr>
              <w:spacing w:after="0"/>
              <w:jc w:val="center"/>
              <w:rPr>
                <w:rFonts w:eastAsia="Times New Roman" w:cs="Arial"/>
                <w:sz w:val="20"/>
                <w:szCs w:val="24"/>
              </w:rPr>
            </w:pPr>
            <w:r w:rsidRPr="00AA03C8">
              <w:rPr>
                <w:rFonts w:eastAsia="Times New Roman" w:cs="Arial"/>
                <w:sz w:val="20"/>
                <w:szCs w:val="24"/>
              </w:rPr>
              <w:t xml:space="preserve">0.17 </w:t>
            </w:r>
          </w:p>
        </w:tc>
        <w:tc>
          <w:tcPr>
            <w:tcW w:w="1060" w:type="pct"/>
            <w:tcBorders>
              <w:top w:val="nil"/>
              <w:left w:val="nil"/>
              <w:bottom w:val="single" w:sz="8" w:space="0" w:color="auto"/>
              <w:right w:val="single" w:sz="8" w:space="0" w:color="auto"/>
            </w:tcBorders>
            <w:shd w:val="clear" w:color="auto" w:fill="auto"/>
          </w:tcPr>
          <w:p w:rsidR="00586994" w:rsidRPr="00AA03C8" w:rsidP="006C103A" w14:paraId="4E67DEAD" w14:textId="77777777">
            <w:pPr>
              <w:spacing w:after="0"/>
              <w:jc w:val="center"/>
              <w:rPr>
                <w:rFonts w:eastAsia="Times New Roman" w:cs="Arial"/>
                <w:sz w:val="20"/>
                <w:szCs w:val="24"/>
              </w:rPr>
            </w:pPr>
            <w:r w:rsidRPr="00AA03C8">
              <w:rPr>
                <w:rFonts w:eastAsia="Times New Roman" w:cs="Arial"/>
                <w:sz w:val="20"/>
                <w:szCs w:val="24"/>
              </w:rPr>
              <w:t xml:space="preserve">1.42 </w:t>
            </w:r>
          </w:p>
        </w:tc>
        <w:tc>
          <w:tcPr>
            <w:tcW w:w="1353" w:type="pct"/>
            <w:tcBorders>
              <w:top w:val="nil"/>
              <w:left w:val="nil"/>
              <w:bottom w:val="single" w:sz="8" w:space="0" w:color="auto"/>
              <w:right w:val="single" w:sz="8" w:space="0" w:color="auto"/>
            </w:tcBorders>
            <w:shd w:val="clear" w:color="auto" w:fill="auto"/>
          </w:tcPr>
          <w:p w:rsidR="00586994" w:rsidRPr="00AA03C8" w:rsidP="006C103A" w14:paraId="01D660DA" w14:textId="77777777">
            <w:pPr>
              <w:spacing w:after="0"/>
              <w:jc w:val="center"/>
              <w:rPr>
                <w:rFonts w:eastAsia="Times New Roman" w:cs="Arial"/>
                <w:sz w:val="20"/>
                <w:szCs w:val="24"/>
              </w:rPr>
            </w:pPr>
            <w:r w:rsidRPr="00AA03C8">
              <w:rPr>
                <w:rFonts w:eastAsia="Times New Roman" w:cs="Arial"/>
                <w:sz w:val="20"/>
                <w:szCs w:val="24"/>
              </w:rPr>
              <w:t xml:space="preserve">0.80 </w:t>
            </w:r>
          </w:p>
        </w:tc>
      </w:tr>
      <w:tr w14:paraId="47383B47" w14:textId="77777777" w:rsidTr="00D177F6">
        <w:tblPrEx>
          <w:tblW w:w="3994" w:type="pct"/>
          <w:jc w:val="center"/>
          <w:tblLayout w:type="fixed"/>
          <w:tblLook w:val="04A0"/>
        </w:tblPrEx>
        <w:trPr>
          <w:trHeight w:val="259"/>
          <w:jc w:val="center"/>
        </w:trPr>
        <w:tc>
          <w:tcPr>
            <w:tcW w:w="1321" w:type="pct"/>
            <w:tcBorders>
              <w:top w:val="nil"/>
              <w:left w:val="single" w:sz="8" w:space="0" w:color="auto"/>
              <w:bottom w:val="single" w:sz="8" w:space="0" w:color="auto"/>
              <w:right w:val="single" w:sz="8" w:space="0" w:color="auto"/>
            </w:tcBorders>
            <w:shd w:val="clear" w:color="auto" w:fill="auto"/>
            <w:noWrap/>
          </w:tcPr>
          <w:p w:rsidR="00586994" w:rsidRPr="00AA03C8" w:rsidP="006C103A" w14:paraId="0D487858" w14:textId="77777777">
            <w:pPr>
              <w:spacing w:after="0"/>
              <w:jc w:val="center"/>
              <w:rPr>
                <w:rFonts w:eastAsia="Times New Roman" w:cs="Arial"/>
                <w:sz w:val="20"/>
                <w:szCs w:val="24"/>
              </w:rPr>
            </w:pPr>
            <w:r w:rsidRPr="00AA03C8">
              <w:rPr>
                <w:rFonts w:eastAsia="Times New Roman" w:cs="Arial"/>
                <w:sz w:val="20"/>
                <w:szCs w:val="24"/>
              </w:rPr>
              <w:t>Recordkeeping</w:t>
            </w:r>
          </w:p>
        </w:tc>
        <w:tc>
          <w:tcPr>
            <w:tcW w:w="1266" w:type="pct"/>
            <w:tcBorders>
              <w:top w:val="nil"/>
              <w:left w:val="nil"/>
              <w:bottom w:val="single" w:sz="8" w:space="0" w:color="auto"/>
              <w:right w:val="single" w:sz="8" w:space="0" w:color="auto"/>
            </w:tcBorders>
            <w:shd w:val="clear" w:color="auto" w:fill="auto"/>
            <w:noWrap/>
          </w:tcPr>
          <w:p w:rsidR="00586994" w:rsidRPr="00AA03C8" w:rsidP="006C103A" w14:paraId="303D7201" w14:textId="77777777">
            <w:pPr>
              <w:spacing w:after="0"/>
              <w:jc w:val="center"/>
              <w:rPr>
                <w:rFonts w:eastAsia="Times New Roman" w:cs="Arial"/>
                <w:sz w:val="20"/>
                <w:szCs w:val="24"/>
              </w:rPr>
            </w:pPr>
            <w:r w:rsidRPr="00AA03C8">
              <w:rPr>
                <w:rFonts w:eastAsia="Times New Roman" w:cs="Arial"/>
                <w:sz w:val="20"/>
                <w:szCs w:val="24"/>
              </w:rPr>
              <w:t xml:space="preserve">0.5 </w:t>
            </w:r>
          </w:p>
        </w:tc>
        <w:tc>
          <w:tcPr>
            <w:tcW w:w="1060" w:type="pct"/>
            <w:tcBorders>
              <w:top w:val="nil"/>
              <w:left w:val="nil"/>
              <w:bottom w:val="single" w:sz="8" w:space="0" w:color="auto"/>
              <w:right w:val="single" w:sz="8" w:space="0" w:color="auto"/>
            </w:tcBorders>
            <w:shd w:val="clear" w:color="auto" w:fill="auto"/>
            <w:noWrap/>
          </w:tcPr>
          <w:p w:rsidR="00586994" w:rsidRPr="00AA03C8" w:rsidP="006C103A" w14:paraId="404B6662" w14:textId="77777777">
            <w:pPr>
              <w:spacing w:after="0"/>
              <w:jc w:val="center"/>
              <w:rPr>
                <w:rFonts w:eastAsia="Times New Roman" w:cs="Arial"/>
                <w:sz w:val="20"/>
                <w:szCs w:val="24"/>
              </w:rPr>
            </w:pPr>
            <w:r w:rsidRPr="00AA03C8">
              <w:rPr>
                <w:rFonts w:eastAsia="Times New Roman" w:cs="Arial"/>
                <w:sz w:val="20"/>
                <w:szCs w:val="24"/>
              </w:rPr>
              <w:t xml:space="preserve">1 </w:t>
            </w:r>
          </w:p>
        </w:tc>
        <w:tc>
          <w:tcPr>
            <w:tcW w:w="1353" w:type="pct"/>
            <w:tcBorders>
              <w:top w:val="nil"/>
              <w:left w:val="nil"/>
              <w:bottom w:val="single" w:sz="8" w:space="0" w:color="auto"/>
              <w:right w:val="single" w:sz="8" w:space="0" w:color="auto"/>
            </w:tcBorders>
            <w:shd w:val="clear" w:color="auto" w:fill="auto"/>
            <w:noWrap/>
          </w:tcPr>
          <w:p w:rsidR="00586994" w:rsidRPr="00AA03C8" w:rsidP="006C103A" w14:paraId="27A38529" w14:textId="77777777">
            <w:pPr>
              <w:spacing w:after="0"/>
              <w:jc w:val="center"/>
              <w:rPr>
                <w:rFonts w:eastAsia="Times New Roman" w:cs="Arial"/>
                <w:sz w:val="20"/>
                <w:szCs w:val="24"/>
              </w:rPr>
            </w:pPr>
            <w:r w:rsidRPr="00AA03C8">
              <w:rPr>
                <w:rFonts w:eastAsia="Times New Roman" w:cs="Arial"/>
                <w:sz w:val="20"/>
                <w:szCs w:val="24"/>
              </w:rPr>
              <w:t xml:space="preserve">0.75 </w:t>
            </w:r>
          </w:p>
        </w:tc>
      </w:tr>
      <w:tr w14:paraId="5FC67C97" w14:textId="77777777" w:rsidTr="00D177F6">
        <w:tblPrEx>
          <w:tblW w:w="3994" w:type="pct"/>
          <w:jc w:val="center"/>
          <w:tblLayout w:type="fixed"/>
          <w:tblLook w:val="04A0"/>
        </w:tblPrEx>
        <w:trPr>
          <w:trHeight w:val="315"/>
          <w:jc w:val="center"/>
        </w:trPr>
        <w:tc>
          <w:tcPr>
            <w:tcW w:w="1321" w:type="pct"/>
            <w:tcBorders>
              <w:top w:val="nil"/>
              <w:left w:val="single" w:sz="8" w:space="0" w:color="auto"/>
              <w:bottom w:val="single" w:sz="8" w:space="0" w:color="auto"/>
              <w:right w:val="single" w:sz="8" w:space="0" w:color="auto"/>
            </w:tcBorders>
            <w:shd w:val="clear" w:color="auto" w:fill="auto"/>
            <w:noWrap/>
          </w:tcPr>
          <w:p w:rsidR="00586994" w:rsidRPr="00AA03C8" w:rsidP="006C103A" w14:paraId="5346F446" w14:textId="77777777">
            <w:pPr>
              <w:spacing w:after="0"/>
              <w:jc w:val="center"/>
              <w:rPr>
                <w:rFonts w:eastAsia="Times New Roman" w:cs="Arial"/>
                <w:sz w:val="20"/>
                <w:szCs w:val="24"/>
              </w:rPr>
            </w:pPr>
            <w:r w:rsidRPr="00AA03C8">
              <w:rPr>
                <w:rFonts w:eastAsia="Times New Roman" w:cs="Arial"/>
                <w:sz w:val="20"/>
                <w:szCs w:val="24"/>
              </w:rPr>
              <w:t>Rule familiarization</w:t>
            </w:r>
          </w:p>
        </w:tc>
        <w:tc>
          <w:tcPr>
            <w:tcW w:w="1266" w:type="pct"/>
            <w:tcBorders>
              <w:top w:val="nil"/>
              <w:left w:val="nil"/>
              <w:bottom w:val="single" w:sz="8" w:space="0" w:color="auto"/>
              <w:right w:val="single" w:sz="8" w:space="0" w:color="auto"/>
            </w:tcBorders>
            <w:shd w:val="clear" w:color="auto" w:fill="auto"/>
            <w:noWrap/>
          </w:tcPr>
          <w:p w:rsidR="00586994" w:rsidRPr="00AA03C8" w:rsidP="006C103A" w14:paraId="64160755" w14:textId="77777777">
            <w:pPr>
              <w:spacing w:after="0"/>
              <w:jc w:val="center"/>
              <w:rPr>
                <w:rFonts w:eastAsia="Times New Roman" w:cs="Arial"/>
                <w:sz w:val="20"/>
                <w:szCs w:val="24"/>
              </w:rPr>
            </w:pPr>
            <w:r w:rsidRPr="00AA03C8">
              <w:rPr>
                <w:rFonts w:eastAsia="Times New Roman" w:cs="Arial"/>
                <w:sz w:val="20"/>
                <w:szCs w:val="24"/>
              </w:rPr>
              <w:t>0</w:t>
            </w:r>
          </w:p>
        </w:tc>
        <w:tc>
          <w:tcPr>
            <w:tcW w:w="1060" w:type="pct"/>
            <w:tcBorders>
              <w:top w:val="nil"/>
              <w:left w:val="nil"/>
              <w:bottom w:val="single" w:sz="8" w:space="0" w:color="auto"/>
              <w:right w:val="single" w:sz="8" w:space="0" w:color="auto"/>
            </w:tcBorders>
            <w:shd w:val="clear" w:color="auto" w:fill="auto"/>
            <w:noWrap/>
          </w:tcPr>
          <w:p w:rsidR="00586994" w:rsidRPr="00AA03C8" w:rsidP="006C103A" w14:paraId="3C2422EB" w14:textId="77777777">
            <w:pPr>
              <w:spacing w:after="0"/>
              <w:jc w:val="center"/>
              <w:rPr>
                <w:rFonts w:eastAsia="Times New Roman" w:cs="Arial"/>
                <w:sz w:val="20"/>
                <w:szCs w:val="24"/>
              </w:rPr>
            </w:pPr>
            <w:r w:rsidRPr="00AA03C8">
              <w:rPr>
                <w:rFonts w:eastAsia="Times New Roman" w:cs="Arial"/>
                <w:sz w:val="20"/>
                <w:szCs w:val="24"/>
              </w:rPr>
              <w:t>0.82</w:t>
            </w:r>
          </w:p>
        </w:tc>
        <w:tc>
          <w:tcPr>
            <w:tcW w:w="1353" w:type="pct"/>
            <w:tcBorders>
              <w:top w:val="nil"/>
              <w:left w:val="nil"/>
              <w:bottom w:val="single" w:sz="8" w:space="0" w:color="auto"/>
              <w:right w:val="single" w:sz="8" w:space="0" w:color="auto"/>
            </w:tcBorders>
            <w:shd w:val="clear" w:color="auto" w:fill="auto"/>
            <w:noWrap/>
          </w:tcPr>
          <w:p w:rsidR="00586994" w:rsidRPr="00AA03C8" w:rsidP="006C103A" w14:paraId="515C5F72" w14:textId="710BDB75">
            <w:pPr>
              <w:spacing w:after="0"/>
              <w:jc w:val="center"/>
              <w:rPr>
                <w:rFonts w:eastAsia="Times New Roman" w:cs="Arial"/>
                <w:sz w:val="20"/>
                <w:szCs w:val="24"/>
              </w:rPr>
            </w:pPr>
            <w:r>
              <w:rPr>
                <w:rFonts w:eastAsia="Times New Roman" w:cs="Arial"/>
                <w:sz w:val="20"/>
                <w:szCs w:val="24"/>
              </w:rPr>
              <w:t>0.41</w:t>
            </w:r>
          </w:p>
        </w:tc>
      </w:tr>
    </w:tbl>
    <w:p w:rsidR="00E42336" w:rsidRPr="002C792C" w:rsidP="006C103A" w14:paraId="217EB5DE" w14:textId="6350F05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E42336">
        <w:t xml:space="preserve">Table 3 provides a summary of typical respondent burden by activity for rule familiarization, completion of a report, CBI claim substantiation, and recordkeeping. Because it is expected that the same manufacturers will report each year, manufacturers do not have to undertake rule familiarization. On the other hand, it is expected that new processors will report each year and, therefore, undertake rule familiarization.  </w:t>
      </w:r>
    </w:p>
    <w:p w:rsidR="00586994" w:rsidRPr="001B1D6C" w:rsidP="001B1D6C" w14:paraId="3CA3D5B0" w14:textId="2CFDA03C">
      <w:pPr>
        <w:jc w:val="center"/>
        <w:rPr>
          <w:b/>
          <w:bCs/>
        </w:rPr>
      </w:pPr>
      <w:r w:rsidRPr="001B1D6C">
        <w:rPr>
          <w:b/>
          <w:bCs/>
        </w:rPr>
        <w:t>Table 3: Industry Burden per year, by activity</w:t>
      </w:r>
    </w:p>
    <w:tbl>
      <w:tblPr>
        <w:tblW w:w="4846" w:type="pct"/>
        <w:jc w:val="center"/>
        <w:tblLayout w:type="fixed"/>
        <w:tblLook w:val="04A0"/>
      </w:tblPr>
      <w:tblGrid>
        <w:gridCol w:w="3032"/>
        <w:gridCol w:w="1204"/>
        <w:gridCol w:w="1204"/>
        <w:gridCol w:w="1300"/>
        <w:gridCol w:w="1108"/>
        <w:gridCol w:w="1204"/>
      </w:tblGrid>
      <w:tr w14:paraId="79F12B49" w14:textId="77777777" w:rsidTr="00D177F6">
        <w:tblPrEx>
          <w:tblW w:w="4846" w:type="pct"/>
          <w:jc w:val="center"/>
          <w:tblLayout w:type="fixed"/>
          <w:tblLook w:val="04A0"/>
        </w:tblPrEx>
        <w:trPr>
          <w:trHeight w:val="300"/>
          <w:jc w:val="center"/>
        </w:trPr>
        <w:tc>
          <w:tcPr>
            <w:tcW w:w="1675" w:type="pc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586994" w:rsidRPr="00AA03C8" w:rsidP="006C103A" w14:paraId="744993BB" w14:textId="77777777">
            <w:pPr>
              <w:spacing w:after="0"/>
              <w:jc w:val="center"/>
              <w:rPr>
                <w:rFonts w:eastAsia="Times New Roman" w:cs="Arial"/>
                <w:b/>
                <w:sz w:val="20"/>
                <w:szCs w:val="24"/>
              </w:rPr>
            </w:pPr>
            <w:r w:rsidRPr="00AA03C8">
              <w:rPr>
                <w:rFonts w:eastAsia="Times New Roman" w:cs="Arial"/>
                <w:b/>
                <w:sz w:val="20"/>
                <w:szCs w:val="24"/>
              </w:rPr>
              <w:t>Activity</w:t>
            </w:r>
          </w:p>
        </w:tc>
        <w:tc>
          <w:tcPr>
            <w:tcW w:w="665"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AA03C8" w:rsidP="006C103A" w14:paraId="45B5621F" w14:textId="77777777">
            <w:pPr>
              <w:spacing w:after="0"/>
              <w:jc w:val="center"/>
              <w:rPr>
                <w:rFonts w:eastAsia="Times New Roman" w:cs="Arial"/>
                <w:b/>
                <w:sz w:val="20"/>
                <w:szCs w:val="24"/>
              </w:rPr>
            </w:pPr>
            <w:r w:rsidRPr="00AA03C8">
              <w:rPr>
                <w:rFonts w:eastAsia="Times New Roman" w:cs="Arial"/>
                <w:b/>
                <w:sz w:val="20"/>
                <w:szCs w:val="24"/>
              </w:rPr>
              <w:t>Clerical Burden</w:t>
            </w:r>
          </w:p>
          <w:p w:rsidR="00586994" w:rsidRPr="00AA03C8" w:rsidP="006C103A" w14:paraId="5A821C65" w14:textId="77777777">
            <w:pPr>
              <w:spacing w:after="0"/>
              <w:jc w:val="center"/>
              <w:rPr>
                <w:rFonts w:eastAsia="Times New Roman" w:cs="Arial"/>
                <w:b/>
                <w:sz w:val="20"/>
                <w:szCs w:val="24"/>
              </w:rPr>
            </w:pPr>
            <w:r w:rsidRPr="00AA03C8">
              <w:rPr>
                <w:rFonts w:eastAsia="Times New Roman" w:cs="Arial"/>
                <w:b/>
                <w:bCs/>
                <w:sz w:val="20"/>
                <w:szCs w:val="16"/>
              </w:rPr>
              <w:t>(hours)</w:t>
            </w:r>
          </w:p>
        </w:tc>
        <w:tc>
          <w:tcPr>
            <w:tcW w:w="665"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AA03C8" w:rsidP="006C103A" w14:paraId="4C88466D" w14:textId="77777777">
            <w:pPr>
              <w:spacing w:after="0"/>
              <w:jc w:val="center"/>
              <w:rPr>
                <w:rFonts w:eastAsia="Times New Roman" w:cs="Arial"/>
                <w:b/>
                <w:sz w:val="20"/>
                <w:szCs w:val="24"/>
              </w:rPr>
            </w:pPr>
            <w:r w:rsidRPr="00AA03C8">
              <w:rPr>
                <w:rFonts w:eastAsia="Times New Roman" w:cs="Arial"/>
                <w:b/>
                <w:sz w:val="20"/>
                <w:szCs w:val="24"/>
              </w:rPr>
              <w:t>Technical Burden</w:t>
            </w:r>
          </w:p>
          <w:p w:rsidR="00586994" w:rsidRPr="00AA03C8" w:rsidP="006C103A" w14:paraId="2302A77B" w14:textId="77777777">
            <w:pPr>
              <w:spacing w:after="0"/>
              <w:jc w:val="center"/>
              <w:rPr>
                <w:rFonts w:eastAsia="Times New Roman" w:cs="Arial"/>
                <w:sz w:val="20"/>
                <w:szCs w:val="24"/>
              </w:rPr>
            </w:pPr>
            <w:r w:rsidRPr="00AA03C8">
              <w:rPr>
                <w:rFonts w:eastAsia="Times New Roman" w:cs="Arial"/>
                <w:b/>
                <w:bCs/>
                <w:sz w:val="20"/>
                <w:szCs w:val="16"/>
              </w:rPr>
              <w:t>(hours)</w:t>
            </w:r>
          </w:p>
        </w:tc>
        <w:tc>
          <w:tcPr>
            <w:tcW w:w="718"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AA03C8" w:rsidP="006C103A" w14:paraId="37DFD208" w14:textId="77777777">
            <w:pPr>
              <w:spacing w:after="0"/>
              <w:jc w:val="center"/>
              <w:rPr>
                <w:rFonts w:eastAsia="Times New Roman" w:cs="Arial"/>
                <w:b/>
                <w:sz w:val="20"/>
                <w:szCs w:val="24"/>
              </w:rPr>
            </w:pPr>
            <w:r w:rsidRPr="00AA03C8">
              <w:rPr>
                <w:rFonts w:eastAsia="Times New Roman" w:cs="Arial"/>
                <w:b/>
                <w:sz w:val="20"/>
                <w:szCs w:val="24"/>
              </w:rPr>
              <w:t>Managerial Burden</w:t>
            </w:r>
          </w:p>
          <w:p w:rsidR="00586994" w:rsidRPr="00AA03C8" w:rsidP="006C103A" w14:paraId="2089472A" w14:textId="77777777">
            <w:pPr>
              <w:spacing w:after="0"/>
              <w:jc w:val="center"/>
              <w:rPr>
                <w:rFonts w:eastAsia="Times New Roman" w:cs="Arial"/>
                <w:sz w:val="20"/>
                <w:szCs w:val="24"/>
              </w:rPr>
            </w:pPr>
            <w:r w:rsidRPr="00AA03C8">
              <w:rPr>
                <w:rFonts w:eastAsia="Times New Roman" w:cs="Arial"/>
                <w:b/>
                <w:bCs/>
                <w:sz w:val="20"/>
                <w:szCs w:val="16"/>
              </w:rPr>
              <w:t>(hours)</w:t>
            </w:r>
          </w:p>
        </w:tc>
        <w:tc>
          <w:tcPr>
            <w:tcW w:w="612"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AA03C8" w:rsidP="006C103A" w14:paraId="4D7BC9F5" w14:textId="77777777">
            <w:pPr>
              <w:spacing w:after="0"/>
              <w:jc w:val="center"/>
              <w:rPr>
                <w:rFonts w:eastAsia="Times New Roman" w:cs="Arial"/>
                <w:b/>
                <w:bCs/>
                <w:sz w:val="20"/>
                <w:szCs w:val="16"/>
              </w:rPr>
            </w:pPr>
            <w:r w:rsidRPr="00AA03C8">
              <w:rPr>
                <w:rFonts w:eastAsia="Times New Roman" w:cs="Arial"/>
                <w:b/>
                <w:bCs/>
                <w:sz w:val="20"/>
                <w:szCs w:val="16"/>
              </w:rPr>
              <w:t>Attorney Burden</w:t>
            </w:r>
          </w:p>
          <w:p w:rsidR="00586994" w:rsidRPr="00AA03C8" w:rsidP="006C103A" w14:paraId="20FFA295" w14:textId="77777777">
            <w:pPr>
              <w:spacing w:after="0"/>
              <w:jc w:val="center"/>
              <w:rPr>
                <w:rFonts w:eastAsia="Times New Roman" w:cs="Arial"/>
                <w:bCs/>
                <w:sz w:val="20"/>
                <w:szCs w:val="16"/>
              </w:rPr>
            </w:pPr>
            <w:r w:rsidRPr="00AA03C8">
              <w:rPr>
                <w:rFonts w:eastAsia="Times New Roman" w:cs="Arial"/>
                <w:b/>
                <w:bCs/>
                <w:sz w:val="20"/>
                <w:szCs w:val="16"/>
              </w:rPr>
              <w:t>(hours)</w:t>
            </w:r>
          </w:p>
        </w:tc>
        <w:tc>
          <w:tcPr>
            <w:tcW w:w="665"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586994" w:rsidRPr="00AA03C8" w:rsidP="006C103A" w14:paraId="0A0CFB29" w14:textId="77777777">
            <w:pPr>
              <w:spacing w:after="0"/>
              <w:jc w:val="center"/>
              <w:rPr>
                <w:rFonts w:eastAsia="Times New Roman" w:cs="Arial"/>
                <w:b/>
                <w:sz w:val="20"/>
                <w:szCs w:val="24"/>
              </w:rPr>
            </w:pPr>
            <w:r w:rsidRPr="00AA03C8">
              <w:rPr>
                <w:rFonts w:eastAsia="Times New Roman" w:cs="Arial"/>
                <w:b/>
                <w:sz w:val="20"/>
                <w:szCs w:val="24"/>
              </w:rPr>
              <w:t xml:space="preserve">Total Burden </w:t>
            </w:r>
          </w:p>
          <w:p w:rsidR="00586994" w:rsidRPr="00AA03C8" w:rsidP="006C103A" w14:paraId="2F0BFCE2" w14:textId="77777777">
            <w:pPr>
              <w:spacing w:after="0"/>
              <w:jc w:val="center"/>
              <w:rPr>
                <w:rFonts w:eastAsia="Times New Roman" w:cs="Arial"/>
                <w:b/>
                <w:sz w:val="20"/>
                <w:szCs w:val="24"/>
              </w:rPr>
            </w:pPr>
            <w:r w:rsidRPr="00AA03C8">
              <w:rPr>
                <w:rFonts w:eastAsia="Times New Roman" w:cs="Arial"/>
                <w:b/>
                <w:bCs/>
                <w:sz w:val="20"/>
                <w:szCs w:val="16"/>
              </w:rPr>
              <w:t>(hours)</w:t>
            </w:r>
          </w:p>
        </w:tc>
      </w:tr>
      <w:tr w14:paraId="31732662" w14:textId="77777777" w:rsidTr="00D177F6">
        <w:tblPrEx>
          <w:tblW w:w="4846" w:type="pct"/>
          <w:jc w:val="center"/>
          <w:tblLayout w:type="fixed"/>
          <w:tblLook w:val="04A0"/>
        </w:tblPrEx>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rsidR="00586994" w:rsidRPr="00AA03C8" w:rsidP="006C103A" w14:paraId="341690C6" w14:textId="77777777">
            <w:pPr>
              <w:spacing w:after="0"/>
              <w:rPr>
                <w:rFonts w:eastAsia="Times New Roman" w:cs="Arial"/>
                <w:sz w:val="20"/>
                <w:szCs w:val="24"/>
              </w:rPr>
            </w:pPr>
            <w:r w:rsidRPr="00AA03C8">
              <w:rPr>
                <w:rFonts w:eastAsia="Times New Roman" w:cs="Arial"/>
                <w:sz w:val="20"/>
                <w:szCs w:val="24"/>
              </w:rPr>
              <w:t>Rule Familiarization</w:t>
            </w:r>
          </w:p>
        </w:tc>
        <w:tc>
          <w:tcPr>
            <w:tcW w:w="665" w:type="pct"/>
            <w:tcBorders>
              <w:top w:val="single" w:sz="4" w:space="0" w:color="auto"/>
              <w:left w:val="nil"/>
              <w:bottom w:val="single" w:sz="8" w:space="0" w:color="auto"/>
              <w:right w:val="single" w:sz="8" w:space="0" w:color="auto"/>
            </w:tcBorders>
            <w:shd w:val="clear" w:color="auto" w:fill="auto"/>
            <w:vAlign w:val="center"/>
            <w:hideMark/>
          </w:tcPr>
          <w:p w:rsidR="00586994" w:rsidRPr="00AA03C8" w:rsidP="006C103A" w14:paraId="60BCBC24" w14:textId="77777777">
            <w:pPr>
              <w:spacing w:after="0"/>
              <w:jc w:val="right"/>
              <w:rPr>
                <w:rFonts w:eastAsia="Times New Roman" w:cs="Arial"/>
                <w:sz w:val="20"/>
                <w:szCs w:val="24"/>
              </w:rPr>
            </w:pPr>
            <w:r w:rsidRPr="00AA03C8">
              <w:rPr>
                <w:rFonts w:eastAsia="Times New Roman" w:cs="Arial"/>
                <w:sz w:val="20"/>
                <w:szCs w:val="24"/>
              </w:rPr>
              <w:t>0</w:t>
            </w:r>
          </w:p>
        </w:tc>
        <w:tc>
          <w:tcPr>
            <w:tcW w:w="665" w:type="pct"/>
            <w:tcBorders>
              <w:top w:val="single" w:sz="4" w:space="0" w:color="auto"/>
              <w:left w:val="nil"/>
              <w:bottom w:val="single" w:sz="8" w:space="0" w:color="auto"/>
              <w:right w:val="single" w:sz="8" w:space="0" w:color="auto"/>
            </w:tcBorders>
            <w:shd w:val="clear" w:color="auto" w:fill="auto"/>
            <w:vAlign w:val="center"/>
            <w:hideMark/>
          </w:tcPr>
          <w:p w:rsidR="00586994" w:rsidRPr="00AA03C8" w:rsidP="006C103A" w14:paraId="438AA478" w14:textId="6EEF17B4">
            <w:pPr>
              <w:spacing w:after="0"/>
              <w:jc w:val="right"/>
              <w:rPr>
                <w:rFonts w:eastAsia="Times New Roman" w:cs="Arial"/>
                <w:sz w:val="20"/>
                <w:szCs w:val="24"/>
              </w:rPr>
            </w:pPr>
            <w:r>
              <w:rPr>
                <w:rFonts w:eastAsia="Times New Roman" w:cs="Arial"/>
                <w:sz w:val="20"/>
                <w:szCs w:val="24"/>
              </w:rPr>
              <w:t>0.28</w:t>
            </w:r>
          </w:p>
        </w:tc>
        <w:tc>
          <w:tcPr>
            <w:tcW w:w="718" w:type="pct"/>
            <w:tcBorders>
              <w:top w:val="single" w:sz="4" w:space="0" w:color="auto"/>
              <w:left w:val="nil"/>
              <w:bottom w:val="single" w:sz="8" w:space="0" w:color="auto"/>
              <w:right w:val="single" w:sz="8" w:space="0" w:color="auto"/>
            </w:tcBorders>
            <w:shd w:val="clear" w:color="auto" w:fill="auto"/>
            <w:vAlign w:val="center"/>
            <w:hideMark/>
          </w:tcPr>
          <w:p w:rsidR="00586994" w:rsidRPr="00AA03C8" w:rsidP="006C103A" w14:paraId="38D45EF2" w14:textId="656D4C80">
            <w:pPr>
              <w:spacing w:after="0"/>
              <w:jc w:val="right"/>
              <w:rPr>
                <w:rFonts w:eastAsia="Times New Roman" w:cs="Arial"/>
                <w:sz w:val="20"/>
                <w:szCs w:val="24"/>
              </w:rPr>
            </w:pPr>
            <w:r>
              <w:rPr>
                <w:rFonts w:eastAsia="Times New Roman" w:cs="Arial"/>
                <w:sz w:val="20"/>
                <w:szCs w:val="24"/>
              </w:rPr>
              <w:t>0.14</w:t>
            </w:r>
          </w:p>
        </w:tc>
        <w:tc>
          <w:tcPr>
            <w:tcW w:w="612" w:type="pct"/>
            <w:tcBorders>
              <w:top w:val="single" w:sz="4" w:space="0" w:color="auto"/>
              <w:left w:val="nil"/>
              <w:bottom w:val="single" w:sz="8" w:space="0" w:color="auto"/>
              <w:right w:val="single" w:sz="8" w:space="0" w:color="auto"/>
            </w:tcBorders>
            <w:shd w:val="clear" w:color="auto" w:fill="auto"/>
            <w:vAlign w:val="center"/>
            <w:hideMark/>
          </w:tcPr>
          <w:p w:rsidR="00586994" w:rsidRPr="00AA03C8" w:rsidP="006C103A" w14:paraId="464B2B1A" w14:textId="77777777">
            <w:pPr>
              <w:spacing w:after="0"/>
              <w:jc w:val="right"/>
              <w:rPr>
                <w:rFonts w:eastAsia="Times New Roman" w:cs="Arial"/>
                <w:bCs/>
                <w:sz w:val="20"/>
                <w:szCs w:val="16"/>
              </w:rPr>
            </w:pPr>
            <w:r w:rsidRPr="00AA03C8">
              <w:rPr>
                <w:rFonts w:eastAsia="Times New Roman" w:cs="Arial"/>
                <w:bCs/>
                <w:sz w:val="20"/>
                <w:szCs w:val="16"/>
              </w:rPr>
              <w:t>0</w:t>
            </w:r>
          </w:p>
        </w:tc>
        <w:tc>
          <w:tcPr>
            <w:tcW w:w="665" w:type="pct"/>
            <w:tcBorders>
              <w:top w:val="single" w:sz="4" w:space="0" w:color="auto"/>
              <w:left w:val="nil"/>
              <w:bottom w:val="single" w:sz="8" w:space="0" w:color="auto"/>
              <w:right w:val="single" w:sz="8" w:space="0" w:color="auto"/>
            </w:tcBorders>
            <w:shd w:val="clear" w:color="auto" w:fill="auto"/>
            <w:vAlign w:val="center"/>
            <w:hideMark/>
          </w:tcPr>
          <w:p w:rsidR="00586994" w:rsidRPr="00AA03C8" w:rsidP="006C103A" w14:paraId="4CC15F55" w14:textId="2D1CAAEF">
            <w:pPr>
              <w:spacing w:after="0"/>
              <w:jc w:val="right"/>
              <w:rPr>
                <w:rFonts w:eastAsia="Times New Roman" w:cs="Arial"/>
                <w:sz w:val="20"/>
                <w:szCs w:val="24"/>
              </w:rPr>
            </w:pPr>
            <w:r w:rsidRPr="00AA03C8">
              <w:rPr>
                <w:rFonts w:eastAsia="Times New Roman" w:cs="Arial"/>
                <w:sz w:val="20"/>
                <w:szCs w:val="24"/>
              </w:rPr>
              <w:t>0.</w:t>
            </w:r>
            <w:r w:rsidR="000B334A">
              <w:rPr>
                <w:rFonts w:eastAsia="Times New Roman" w:cs="Arial"/>
                <w:sz w:val="20"/>
                <w:szCs w:val="24"/>
              </w:rPr>
              <w:t>41</w:t>
            </w:r>
          </w:p>
        </w:tc>
      </w:tr>
      <w:tr w14:paraId="4EAA5082" w14:textId="77777777" w:rsidTr="00D177F6">
        <w:tblPrEx>
          <w:tblW w:w="4846" w:type="pct"/>
          <w:jc w:val="center"/>
          <w:tblLayout w:type="fixed"/>
          <w:tblLook w:val="04A0"/>
        </w:tblPrEx>
        <w:trPr>
          <w:trHeight w:val="360"/>
          <w:jc w:val="center"/>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586994" w:rsidRPr="00AA03C8" w:rsidP="006C103A" w14:paraId="299443A9" w14:textId="77777777">
            <w:pPr>
              <w:spacing w:after="0"/>
              <w:rPr>
                <w:rFonts w:eastAsia="Times New Roman" w:cs="Arial"/>
                <w:sz w:val="20"/>
                <w:szCs w:val="24"/>
              </w:rPr>
            </w:pPr>
            <w:r w:rsidRPr="00AA03C8">
              <w:rPr>
                <w:rFonts w:eastAsia="Times New Roman" w:cs="Arial"/>
                <w:sz w:val="20"/>
                <w:szCs w:val="24"/>
              </w:rPr>
              <w:t>Form Completion</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37F47DDE" w14:textId="77777777">
            <w:pPr>
              <w:spacing w:after="0"/>
              <w:jc w:val="right"/>
              <w:rPr>
                <w:rFonts w:eastAsia="Times New Roman" w:cs="Arial"/>
                <w:sz w:val="20"/>
                <w:szCs w:val="24"/>
              </w:rPr>
            </w:pPr>
            <w:r w:rsidRPr="00AA03C8">
              <w:rPr>
                <w:rFonts w:eastAsia="Times New Roman" w:cs="Arial"/>
                <w:sz w:val="20"/>
                <w:szCs w:val="24"/>
              </w:rPr>
              <w:t>0</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398D6E76" w14:textId="77777777">
            <w:pPr>
              <w:spacing w:after="0"/>
              <w:jc w:val="right"/>
              <w:rPr>
                <w:rFonts w:eastAsia="Times New Roman" w:cs="Arial"/>
                <w:sz w:val="20"/>
                <w:szCs w:val="24"/>
              </w:rPr>
            </w:pPr>
            <w:r w:rsidRPr="00AA03C8">
              <w:rPr>
                <w:rFonts w:eastAsia="Times New Roman" w:cs="Arial"/>
                <w:sz w:val="20"/>
                <w:szCs w:val="24"/>
              </w:rPr>
              <w:t>79.93</w:t>
            </w:r>
          </w:p>
        </w:tc>
        <w:tc>
          <w:tcPr>
            <w:tcW w:w="718" w:type="pct"/>
            <w:tcBorders>
              <w:top w:val="nil"/>
              <w:left w:val="nil"/>
              <w:bottom w:val="single" w:sz="8" w:space="0" w:color="auto"/>
              <w:right w:val="single" w:sz="8" w:space="0" w:color="auto"/>
            </w:tcBorders>
            <w:shd w:val="clear" w:color="auto" w:fill="auto"/>
            <w:vAlign w:val="center"/>
            <w:hideMark/>
          </w:tcPr>
          <w:p w:rsidR="00586994" w:rsidRPr="00AA03C8" w:rsidP="006C103A" w14:paraId="01D38348" w14:textId="77777777">
            <w:pPr>
              <w:spacing w:after="0"/>
              <w:jc w:val="right"/>
              <w:rPr>
                <w:rFonts w:eastAsia="Times New Roman" w:cs="Arial"/>
                <w:sz w:val="20"/>
                <w:szCs w:val="24"/>
              </w:rPr>
            </w:pPr>
            <w:r w:rsidRPr="00AA03C8">
              <w:rPr>
                <w:rFonts w:eastAsia="Times New Roman" w:cs="Arial"/>
                <w:sz w:val="20"/>
                <w:szCs w:val="24"/>
              </w:rPr>
              <w:t>23.87</w:t>
            </w:r>
          </w:p>
        </w:tc>
        <w:tc>
          <w:tcPr>
            <w:tcW w:w="612" w:type="pct"/>
            <w:tcBorders>
              <w:top w:val="nil"/>
              <w:left w:val="nil"/>
              <w:bottom w:val="single" w:sz="8" w:space="0" w:color="auto"/>
              <w:right w:val="single" w:sz="8" w:space="0" w:color="auto"/>
            </w:tcBorders>
            <w:shd w:val="clear" w:color="auto" w:fill="auto"/>
            <w:vAlign w:val="center"/>
            <w:hideMark/>
          </w:tcPr>
          <w:p w:rsidR="00586994" w:rsidRPr="00AA03C8" w:rsidP="006C103A" w14:paraId="2A600F8A" w14:textId="77777777">
            <w:pPr>
              <w:spacing w:after="0"/>
              <w:jc w:val="right"/>
              <w:rPr>
                <w:rFonts w:eastAsia="Times New Roman" w:cs="Arial"/>
                <w:bCs/>
                <w:sz w:val="20"/>
                <w:szCs w:val="16"/>
              </w:rPr>
            </w:pPr>
            <w:r w:rsidRPr="00AA03C8">
              <w:rPr>
                <w:rFonts w:eastAsia="Times New Roman" w:cs="Arial"/>
                <w:bCs/>
                <w:sz w:val="20"/>
                <w:szCs w:val="16"/>
              </w:rPr>
              <w:t>0</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4240E552" w14:textId="77777777">
            <w:pPr>
              <w:spacing w:after="0"/>
              <w:jc w:val="right"/>
              <w:rPr>
                <w:rFonts w:eastAsia="Times New Roman" w:cs="Arial"/>
                <w:sz w:val="20"/>
                <w:szCs w:val="24"/>
              </w:rPr>
            </w:pPr>
            <w:r w:rsidRPr="00AA03C8">
              <w:rPr>
                <w:rFonts w:eastAsia="Times New Roman" w:cs="Arial"/>
                <w:sz w:val="20"/>
                <w:szCs w:val="24"/>
              </w:rPr>
              <w:t>103.8</w:t>
            </w:r>
          </w:p>
        </w:tc>
      </w:tr>
      <w:tr w14:paraId="67BC6599" w14:textId="77777777" w:rsidTr="00D177F6">
        <w:tblPrEx>
          <w:tblW w:w="4846" w:type="pct"/>
          <w:jc w:val="center"/>
          <w:tblLayout w:type="fixed"/>
          <w:tblLook w:val="04A0"/>
        </w:tblPrEx>
        <w:trPr>
          <w:trHeight w:val="315"/>
          <w:jc w:val="center"/>
        </w:trPr>
        <w:tc>
          <w:tcPr>
            <w:tcW w:w="1675" w:type="pct"/>
            <w:tcBorders>
              <w:top w:val="nil"/>
              <w:left w:val="single" w:sz="8" w:space="0" w:color="auto"/>
              <w:bottom w:val="single" w:sz="8" w:space="0" w:color="auto"/>
              <w:right w:val="single" w:sz="8" w:space="0" w:color="auto"/>
            </w:tcBorders>
            <w:shd w:val="clear" w:color="auto" w:fill="auto"/>
            <w:vAlign w:val="center"/>
            <w:hideMark/>
          </w:tcPr>
          <w:p w:rsidR="00586994" w:rsidRPr="00AA03C8" w:rsidP="006C103A" w14:paraId="76DF5D45" w14:textId="77777777">
            <w:pPr>
              <w:spacing w:after="0"/>
              <w:rPr>
                <w:rFonts w:eastAsia="Times New Roman" w:cs="Arial"/>
                <w:bCs/>
                <w:sz w:val="20"/>
                <w:szCs w:val="16"/>
              </w:rPr>
            </w:pPr>
            <w:r w:rsidRPr="00AA03C8">
              <w:rPr>
                <w:rFonts w:eastAsia="Times New Roman" w:cs="Arial"/>
                <w:bCs/>
                <w:sz w:val="20"/>
                <w:szCs w:val="16"/>
              </w:rPr>
              <w:t>CBI Claim Substantiation</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720A1C4B" w14:textId="77777777">
            <w:pPr>
              <w:spacing w:after="0"/>
              <w:jc w:val="right"/>
              <w:rPr>
                <w:rFonts w:eastAsia="Times New Roman" w:cs="Arial"/>
                <w:bCs/>
                <w:sz w:val="20"/>
                <w:szCs w:val="16"/>
              </w:rPr>
            </w:pPr>
            <w:r w:rsidRPr="00AA03C8">
              <w:rPr>
                <w:rFonts w:eastAsia="Times New Roman" w:cs="Arial"/>
                <w:bCs/>
                <w:sz w:val="20"/>
                <w:szCs w:val="16"/>
              </w:rPr>
              <w:t>0</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08EC6FBF" w14:textId="77777777">
            <w:pPr>
              <w:spacing w:after="0"/>
              <w:jc w:val="right"/>
              <w:rPr>
                <w:rFonts w:eastAsia="Times New Roman" w:cs="Arial"/>
                <w:bCs/>
                <w:sz w:val="20"/>
                <w:szCs w:val="16"/>
              </w:rPr>
            </w:pPr>
            <w:r w:rsidRPr="00AA03C8">
              <w:rPr>
                <w:rFonts w:eastAsia="Times New Roman" w:cs="Arial"/>
                <w:bCs/>
                <w:sz w:val="20"/>
                <w:szCs w:val="16"/>
              </w:rPr>
              <w:t>0</w:t>
            </w:r>
          </w:p>
        </w:tc>
        <w:tc>
          <w:tcPr>
            <w:tcW w:w="718" w:type="pct"/>
            <w:tcBorders>
              <w:top w:val="nil"/>
              <w:left w:val="nil"/>
              <w:bottom w:val="single" w:sz="8" w:space="0" w:color="auto"/>
              <w:right w:val="single" w:sz="8" w:space="0" w:color="auto"/>
            </w:tcBorders>
            <w:shd w:val="clear" w:color="auto" w:fill="auto"/>
            <w:vAlign w:val="center"/>
            <w:hideMark/>
          </w:tcPr>
          <w:p w:rsidR="00586994" w:rsidRPr="00AA03C8" w:rsidP="006C103A" w14:paraId="7187A7A8" w14:textId="77777777">
            <w:pPr>
              <w:spacing w:after="0"/>
              <w:jc w:val="right"/>
              <w:rPr>
                <w:rFonts w:eastAsia="Times New Roman" w:cs="Arial"/>
                <w:bCs/>
                <w:sz w:val="20"/>
                <w:szCs w:val="16"/>
              </w:rPr>
            </w:pPr>
            <w:r w:rsidRPr="00AA03C8">
              <w:rPr>
                <w:rFonts w:eastAsia="Times New Roman" w:cs="Arial"/>
                <w:bCs/>
                <w:sz w:val="20"/>
                <w:szCs w:val="16"/>
              </w:rPr>
              <w:t>0.57</w:t>
            </w:r>
          </w:p>
        </w:tc>
        <w:tc>
          <w:tcPr>
            <w:tcW w:w="612" w:type="pct"/>
            <w:tcBorders>
              <w:top w:val="nil"/>
              <w:left w:val="nil"/>
              <w:bottom w:val="single" w:sz="8" w:space="0" w:color="auto"/>
              <w:right w:val="single" w:sz="8" w:space="0" w:color="auto"/>
            </w:tcBorders>
            <w:shd w:val="clear" w:color="auto" w:fill="auto"/>
            <w:vAlign w:val="center"/>
            <w:hideMark/>
          </w:tcPr>
          <w:p w:rsidR="00586994" w:rsidRPr="00AA03C8" w:rsidP="006C103A" w14:paraId="7C37DDDA" w14:textId="77777777">
            <w:pPr>
              <w:spacing w:after="0"/>
              <w:jc w:val="right"/>
              <w:rPr>
                <w:rFonts w:eastAsia="Times New Roman" w:cs="Arial"/>
                <w:bCs/>
                <w:sz w:val="20"/>
                <w:szCs w:val="16"/>
              </w:rPr>
            </w:pPr>
            <w:r w:rsidRPr="00AA03C8">
              <w:rPr>
                <w:rFonts w:eastAsia="Times New Roman" w:cs="Arial"/>
                <w:bCs/>
                <w:sz w:val="20"/>
                <w:szCs w:val="16"/>
              </w:rPr>
              <w:t>0.57</w:t>
            </w:r>
          </w:p>
        </w:tc>
        <w:tc>
          <w:tcPr>
            <w:tcW w:w="665" w:type="pct"/>
            <w:tcBorders>
              <w:top w:val="nil"/>
              <w:left w:val="nil"/>
              <w:bottom w:val="single" w:sz="8" w:space="0" w:color="auto"/>
              <w:right w:val="single" w:sz="8" w:space="0" w:color="auto"/>
            </w:tcBorders>
            <w:shd w:val="clear" w:color="auto" w:fill="auto"/>
            <w:vAlign w:val="center"/>
            <w:hideMark/>
          </w:tcPr>
          <w:p w:rsidR="00586994" w:rsidRPr="00AA03C8" w:rsidP="006C103A" w14:paraId="0646DDEC" w14:textId="77777777">
            <w:pPr>
              <w:spacing w:after="0"/>
              <w:jc w:val="right"/>
              <w:rPr>
                <w:rFonts w:eastAsia="Times New Roman" w:cs="Arial"/>
                <w:bCs/>
                <w:sz w:val="20"/>
                <w:szCs w:val="16"/>
              </w:rPr>
            </w:pPr>
            <w:r w:rsidRPr="00AA03C8">
              <w:rPr>
                <w:rFonts w:eastAsia="Times New Roman" w:cs="Arial"/>
                <w:bCs/>
                <w:sz w:val="20"/>
                <w:szCs w:val="16"/>
              </w:rPr>
              <w:t>1.14</w:t>
            </w:r>
          </w:p>
        </w:tc>
      </w:tr>
      <w:tr w14:paraId="4E8EA9E3" w14:textId="77777777" w:rsidTr="00D177F6">
        <w:tblPrEx>
          <w:tblW w:w="4846" w:type="pct"/>
          <w:jc w:val="center"/>
          <w:tblLayout w:type="fixed"/>
          <w:tblLook w:val="04A0"/>
        </w:tblPrEx>
        <w:trPr>
          <w:trHeight w:val="259"/>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rsidR="00586994" w:rsidRPr="00AA03C8" w:rsidP="006C103A" w14:paraId="419287A2" w14:textId="77777777">
            <w:pPr>
              <w:spacing w:after="0"/>
              <w:rPr>
                <w:rFonts w:eastAsia="Times New Roman" w:cs="Arial"/>
                <w:sz w:val="20"/>
                <w:szCs w:val="24"/>
              </w:rPr>
            </w:pPr>
            <w:r w:rsidRPr="00AA03C8">
              <w:rPr>
                <w:rFonts w:eastAsia="Times New Roman" w:cs="Arial"/>
                <w:sz w:val="20"/>
                <w:szCs w:val="24"/>
              </w:rPr>
              <w:t>Recordkeeping</w:t>
            </w:r>
          </w:p>
        </w:tc>
        <w:tc>
          <w:tcPr>
            <w:tcW w:w="665"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2D6A1EA8" w14:textId="77777777">
            <w:pPr>
              <w:spacing w:after="0"/>
              <w:jc w:val="right"/>
              <w:rPr>
                <w:rFonts w:eastAsia="Times New Roman" w:cs="Arial"/>
                <w:sz w:val="20"/>
                <w:szCs w:val="24"/>
              </w:rPr>
            </w:pPr>
            <w:r w:rsidRPr="00AA03C8">
              <w:rPr>
                <w:rFonts w:eastAsia="Times New Roman" w:cs="Arial"/>
                <w:sz w:val="20"/>
                <w:szCs w:val="24"/>
              </w:rPr>
              <w:t>0.37</w:t>
            </w:r>
            <w:r w:rsidRPr="00AA03C8">
              <w:rPr>
                <w:rFonts w:eastAsia="Times New Roman" w:cs="Arial"/>
                <w:bCs/>
                <w:sz w:val="20"/>
                <w:szCs w:val="16"/>
              </w:rPr>
              <w:t>5</w:t>
            </w:r>
          </w:p>
        </w:tc>
        <w:tc>
          <w:tcPr>
            <w:tcW w:w="665"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5B26CD79" w14:textId="77777777">
            <w:pPr>
              <w:spacing w:after="0"/>
              <w:jc w:val="right"/>
              <w:rPr>
                <w:rFonts w:eastAsia="Times New Roman" w:cs="Arial"/>
                <w:sz w:val="20"/>
                <w:szCs w:val="24"/>
              </w:rPr>
            </w:pPr>
            <w:r w:rsidRPr="00AA03C8">
              <w:rPr>
                <w:rFonts w:eastAsia="Times New Roman" w:cs="Arial"/>
                <w:sz w:val="20"/>
                <w:szCs w:val="24"/>
              </w:rPr>
              <w:t>0.37</w:t>
            </w:r>
            <w:r w:rsidRPr="00AA03C8">
              <w:rPr>
                <w:rFonts w:eastAsia="Times New Roman" w:cs="Arial"/>
                <w:bCs/>
                <w:sz w:val="20"/>
                <w:szCs w:val="16"/>
              </w:rPr>
              <w:t>5</w:t>
            </w:r>
          </w:p>
        </w:tc>
        <w:tc>
          <w:tcPr>
            <w:tcW w:w="718"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7AA58EDE" w14:textId="77777777">
            <w:pPr>
              <w:spacing w:after="0"/>
              <w:jc w:val="right"/>
              <w:rPr>
                <w:rFonts w:eastAsia="Times New Roman" w:cs="Arial"/>
                <w:sz w:val="20"/>
                <w:szCs w:val="24"/>
              </w:rPr>
            </w:pPr>
            <w:r w:rsidRPr="00AA03C8">
              <w:rPr>
                <w:rFonts w:eastAsia="Times New Roman" w:cs="Arial"/>
                <w:sz w:val="20"/>
                <w:szCs w:val="24"/>
              </w:rPr>
              <w:t>0</w:t>
            </w:r>
          </w:p>
        </w:tc>
        <w:tc>
          <w:tcPr>
            <w:tcW w:w="612"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3C66DAC7" w14:textId="77777777">
            <w:pPr>
              <w:spacing w:after="0"/>
              <w:jc w:val="right"/>
              <w:rPr>
                <w:rFonts w:eastAsia="Times New Roman" w:cs="Arial"/>
                <w:bCs/>
                <w:sz w:val="20"/>
                <w:szCs w:val="16"/>
              </w:rPr>
            </w:pPr>
            <w:r w:rsidRPr="00AA03C8">
              <w:rPr>
                <w:rFonts w:eastAsia="Times New Roman" w:cs="Arial"/>
                <w:bCs/>
                <w:sz w:val="20"/>
                <w:szCs w:val="16"/>
              </w:rPr>
              <w:t>0 </w:t>
            </w:r>
          </w:p>
        </w:tc>
        <w:tc>
          <w:tcPr>
            <w:tcW w:w="665"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50E3CF25" w14:textId="77777777">
            <w:pPr>
              <w:spacing w:after="0"/>
              <w:jc w:val="right"/>
              <w:rPr>
                <w:rFonts w:eastAsia="Times New Roman" w:cs="Arial"/>
                <w:sz w:val="20"/>
                <w:szCs w:val="24"/>
              </w:rPr>
            </w:pPr>
            <w:r w:rsidRPr="00AA03C8">
              <w:rPr>
                <w:rFonts w:eastAsia="Times New Roman" w:cs="Arial"/>
                <w:sz w:val="20"/>
                <w:szCs w:val="24"/>
              </w:rPr>
              <w:t>0.75</w:t>
            </w:r>
          </w:p>
        </w:tc>
      </w:tr>
      <w:tr w14:paraId="6004A03D" w14:textId="77777777" w:rsidTr="00D177F6">
        <w:tblPrEx>
          <w:tblW w:w="4846" w:type="pct"/>
          <w:jc w:val="center"/>
          <w:tblLayout w:type="fixed"/>
          <w:tblLook w:val="04A0"/>
        </w:tblPrEx>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rsidR="00586994" w:rsidRPr="00AA03C8" w:rsidP="006C103A" w14:paraId="52185570" w14:textId="77777777">
            <w:pPr>
              <w:spacing w:after="0"/>
              <w:rPr>
                <w:rFonts w:eastAsia="Times New Roman" w:cs="Arial"/>
                <w:b/>
                <w:sz w:val="20"/>
                <w:szCs w:val="24"/>
              </w:rPr>
            </w:pPr>
            <w:r w:rsidRPr="00AA03C8">
              <w:rPr>
                <w:rFonts w:eastAsia="Times New Roman" w:cs="Arial"/>
                <w:b/>
                <w:sz w:val="20"/>
                <w:szCs w:val="24"/>
              </w:rPr>
              <w:t>Total Burden per Report</w:t>
            </w:r>
          </w:p>
        </w:tc>
        <w:tc>
          <w:tcPr>
            <w:tcW w:w="665"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0A9279B7" w14:textId="77777777">
            <w:pPr>
              <w:spacing w:after="0"/>
              <w:jc w:val="right"/>
              <w:rPr>
                <w:rFonts w:eastAsia="Times New Roman" w:cs="Arial"/>
                <w:b/>
                <w:sz w:val="20"/>
                <w:szCs w:val="24"/>
              </w:rPr>
            </w:pPr>
            <w:r w:rsidRPr="00AA03C8">
              <w:rPr>
                <w:rFonts w:eastAsia="Times New Roman" w:cs="Arial"/>
                <w:b/>
                <w:sz w:val="20"/>
                <w:szCs w:val="24"/>
              </w:rPr>
              <w:t>0.37</w:t>
            </w:r>
            <w:r w:rsidRPr="00AA03C8">
              <w:rPr>
                <w:rFonts w:eastAsia="Times New Roman" w:cs="Arial"/>
                <w:b/>
                <w:bCs/>
                <w:sz w:val="20"/>
                <w:szCs w:val="16"/>
              </w:rPr>
              <w:t>5</w:t>
            </w:r>
          </w:p>
        </w:tc>
        <w:tc>
          <w:tcPr>
            <w:tcW w:w="665"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305414A8" w14:textId="3FD663E6">
            <w:pPr>
              <w:spacing w:after="0"/>
              <w:jc w:val="right"/>
              <w:rPr>
                <w:rFonts w:eastAsia="Times New Roman" w:cs="Arial"/>
                <w:b/>
                <w:sz w:val="20"/>
                <w:szCs w:val="24"/>
              </w:rPr>
            </w:pPr>
            <w:r w:rsidRPr="00AA03C8">
              <w:rPr>
                <w:rFonts w:eastAsia="Times New Roman" w:cs="Arial"/>
                <w:b/>
                <w:sz w:val="20"/>
                <w:szCs w:val="24"/>
              </w:rPr>
              <w:t>80.</w:t>
            </w:r>
            <w:r w:rsidR="000B334A">
              <w:rPr>
                <w:rFonts w:eastAsia="Times New Roman" w:cs="Arial"/>
                <w:b/>
                <w:sz w:val="20"/>
                <w:szCs w:val="24"/>
              </w:rPr>
              <w:t>58</w:t>
            </w:r>
          </w:p>
        </w:tc>
        <w:tc>
          <w:tcPr>
            <w:tcW w:w="718"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24A94D32" w14:textId="1EC33690">
            <w:pPr>
              <w:spacing w:after="0"/>
              <w:jc w:val="right"/>
              <w:rPr>
                <w:rFonts w:eastAsia="Times New Roman" w:cs="Arial"/>
                <w:b/>
                <w:sz w:val="20"/>
                <w:szCs w:val="24"/>
              </w:rPr>
            </w:pPr>
            <w:r w:rsidRPr="00AA03C8">
              <w:rPr>
                <w:rFonts w:eastAsia="Times New Roman" w:cs="Arial"/>
                <w:b/>
                <w:sz w:val="20"/>
                <w:szCs w:val="24"/>
              </w:rPr>
              <w:t>24.</w:t>
            </w:r>
            <w:r w:rsidR="000B334A">
              <w:rPr>
                <w:rFonts w:eastAsia="Times New Roman" w:cs="Arial"/>
                <w:b/>
                <w:sz w:val="20"/>
                <w:szCs w:val="24"/>
              </w:rPr>
              <w:t>58</w:t>
            </w:r>
          </w:p>
        </w:tc>
        <w:tc>
          <w:tcPr>
            <w:tcW w:w="612" w:type="pct"/>
            <w:tcBorders>
              <w:top w:val="nil"/>
              <w:left w:val="nil"/>
              <w:bottom w:val="single" w:sz="8" w:space="0" w:color="auto"/>
              <w:right w:val="single" w:sz="8" w:space="0" w:color="auto"/>
            </w:tcBorders>
            <w:shd w:val="clear" w:color="auto" w:fill="auto"/>
            <w:noWrap/>
            <w:vAlign w:val="center"/>
            <w:hideMark/>
          </w:tcPr>
          <w:p w:rsidR="00586994" w:rsidRPr="00AA03C8" w:rsidP="006C103A" w14:paraId="0E033AAE" w14:textId="77777777">
            <w:pPr>
              <w:spacing w:after="0"/>
              <w:jc w:val="right"/>
              <w:rPr>
                <w:rFonts w:eastAsia="Times New Roman" w:cs="Arial"/>
                <w:b/>
                <w:sz w:val="20"/>
                <w:szCs w:val="24"/>
              </w:rPr>
            </w:pPr>
            <w:r w:rsidRPr="00AA03C8">
              <w:rPr>
                <w:rFonts w:eastAsia="Times New Roman" w:cs="Arial"/>
                <w:b/>
                <w:bCs/>
                <w:sz w:val="20"/>
                <w:szCs w:val="16"/>
              </w:rPr>
              <w:t>0.57 </w:t>
            </w:r>
          </w:p>
        </w:tc>
        <w:tc>
          <w:tcPr>
            <w:tcW w:w="665" w:type="pct"/>
            <w:tcBorders>
              <w:top w:val="nil"/>
              <w:left w:val="nil"/>
              <w:bottom w:val="nil"/>
              <w:right w:val="single" w:sz="8" w:space="0" w:color="auto"/>
            </w:tcBorders>
            <w:shd w:val="clear" w:color="auto" w:fill="auto"/>
            <w:noWrap/>
            <w:vAlign w:val="center"/>
            <w:hideMark/>
          </w:tcPr>
          <w:p w:rsidR="00586994" w:rsidRPr="00AA03C8" w:rsidP="006C103A" w14:paraId="2CEECB93" w14:textId="4210FB25">
            <w:pPr>
              <w:spacing w:after="0"/>
              <w:jc w:val="right"/>
              <w:rPr>
                <w:rFonts w:eastAsia="Times New Roman" w:cs="Arial"/>
                <w:b/>
                <w:bCs/>
                <w:sz w:val="20"/>
                <w:szCs w:val="16"/>
              </w:rPr>
            </w:pPr>
            <w:r w:rsidRPr="00AA03C8">
              <w:rPr>
                <w:rFonts w:eastAsia="Times New Roman" w:cs="Arial"/>
                <w:b/>
                <w:bCs/>
                <w:sz w:val="20"/>
                <w:szCs w:val="16"/>
              </w:rPr>
              <w:t>106.</w:t>
            </w:r>
            <w:r w:rsidR="005F10EA">
              <w:rPr>
                <w:rFonts w:eastAsia="Times New Roman" w:cs="Arial"/>
                <w:b/>
                <w:bCs/>
                <w:sz w:val="20"/>
                <w:szCs w:val="16"/>
              </w:rPr>
              <w:t>1</w:t>
            </w:r>
          </w:p>
        </w:tc>
      </w:tr>
      <w:tr w14:paraId="6806238D" w14:textId="77777777" w:rsidTr="00D177F6">
        <w:tblPrEx>
          <w:tblW w:w="4846" w:type="pct"/>
          <w:jc w:val="center"/>
          <w:tblLayout w:type="fixed"/>
          <w:tblLook w:val="04A0"/>
        </w:tblPrEx>
        <w:trPr>
          <w:trHeight w:val="133"/>
          <w:jc w:val="center"/>
        </w:trPr>
        <w:tc>
          <w:tcPr>
            <w:tcW w:w="5000" w:type="pct"/>
            <w:gridSpan w:val="6"/>
            <w:tcBorders>
              <w:top w:val="single" w:sz="8" w:space="0" w:color="auto"/>
              <w:bottom w:val="nil"/>
            </w:tcBorders>
            <w:shd w:val="clear" w:color="auto" w:fill="auto"/>
            <w:noWrap/>
          </w:tcPr>
          <w:p w:rsidR="00586994" w:rsidRPr="00AA03C8" w:rsidP="006C103A" w14:paraId="2C843C32" w14:textId="77777777">
            <w:pPr>
              <w:spacing w:after="0"/>
              <w:rPr>
                <w:rFonts w:eastAsia="Times New Roman" w:cs="Arial"/>
                <w:bCs/>
                <w:sz w:val="20"/>
                <w:szCs w:val="16"/>
              </w:rPr>
            </w:pPr>
            <w:r w:rsidRPr="00AA03C8">
              <w:rPr>
                <w:rFonts w:cs="Arial"/>
                <w:sz w:val="18"/>
                <w:szCs w:val="20"/>
              </w:rPr>
              <w:t>Values may not sum due to rounding.</w:t>
            </w:r>
          </w:p>
        </w:tc>
      </w:tr>
    </w:tbl>
    <w:p w:rsidR="00586994" w:rsidRPr="00E42336" w:rsidP="006C103A" w14:paraId="4F75D667" w14:textId="73C039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bookmarkStart w:id="4" w:name="_Hlk21425244"/>
      <w:r w:rsidRPr="00E42336">
        <w:t xml:space="preserve">The burden associated with electronic submission is presented in Table 4. This burden depends on whether a firm is registering for the first time with CDX or has previously registered with CDX. </w:t>
      </w:r>
      <w:r w:rsidR="005F10EA">
        <w:t xml:space="preserve">Approximately </w:t>
      </w:r>
      <w:r w:rsidR="0017139F">
        <w:t>one-half</w:t>
      </w:r>
      <w:r w:rsidR="005F10EA">
        <w:t xml:space="preserve"> of respondents (producers) will be </w:t>
      </w:r>
      <w:r w:rsidR="0017139F">
        <w:t>first-time</w:t>
      </w:r>
      <w:r w:rsidR="005F10EA">
        <w:t xml:space="preserve"> submitters while the other half (manufacturers) will be repeat submitters during the </w:t>
      </w:r>
      <w:r w:rsidR="005F10EA">
        <w:t xml:space="preserve">period covered by this ICR. The average form submission will therefore require </w:t>
      </w:r>
      <w:r w:rsidR="00B450D9">
        <w:t>0.8 hours of labor.</w:t>
      </w:r>
    </w:p>
    <w:p w:rsidR="00586994" w:rsidRPr="001B1D6C" w:rsidP="006C103A" w14:paraId="6FB5DB6A" w14:textId="77777777">
      <w:pPr>
        <w:keepNext/>
        <w:jc w:val="center"/>
        <w:rPr>
          <w:b/>
          <w:bCs/>
        </w:rPr>
      </w:pPr>
      <w:r w:rsidRPr="001B1D6C">
        <w:rPr>
          <w:b/>
          <w:bCs/>
        </w:rPr>
        <w:t>Table 4: Industry Burden, by Activity for Electronic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8"/>
        <w:gridCol w:w="1217"/>
        <w:gridCol w:w="1219"/>
        <w:gridCol w:w="1217"/>
        <w:gridCol w:w="1219"/>
        <w:gridCol w:w="1560"/>
      </w:tblGrid>
      <w:tr w14:paraId="6F345C7B" w14:textId="77777777" w:rsidTr="00D177F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60" w:type="pct"/>
            <w:shd w:val="clear" w:color="auto" w:fill="F2F2F2"/>
            <w:vAlign w:val="center"/>
          </w:tcPr>
          <w:bookmarkEnd w:id="4"/>
          <w:p w:rsidR="00586994" w:rsidRPr="00AA03C8" w:rsidP="006C103A" w14:paraId="2EAF62F3" w14:textId="77777777">
            <w:pPr>
              <w:spacing w:after="0"/>
              <w:jc w:val="center"/>
              <w:rPr>
                <w:rFonts w:eastAsia="Times New Roman" w:cs="Arial"/>
                <w:b/>
                <w:sz w:val="20"/>
                <w:szCs w:val="20"/>
              </w:rPr>
            </w:pPr>
            <w:r w:rsidRPr="00AA03C8">
              <w:rPr>
                <w:rFonts w:eastAsia="Times New Roman" w:cs="Arial"/>
                <w:b/>
                <w:sz w:val="20"/>
                <w:szCs w:val="20"/>
              </w:rPr>
              <w:t>Activity</w:t>
            </w:r>
          </w:p>
        </w:tc>
        <w:tc>
          <w:tcPr>
            <w:tcW w:w="651" w:type="pct"/>
            <w:shd w:val="clear" w:color="auto" w:fill="F2F2F2"/>
            <w:vAlign w:val="center"/>
          </w:tcPr>
          <w:p w:rsidR="00586994" w:rsidRPr="00AA03C8" w:rsidP="006C103A" w14:paraId="1973DE6B" w14:textId="77777777">
            <w:pPr>
              <w:spacing w:after="0"/>
              <w:jc w:val="center"/>
              <w:rPr>
                <w:rFonts w:eastAsia="Times New Roman" w:cs="Arial"/>
                <w:b/>
                <w:sz w:val="20"/>
                <w:szCs w:val="20"/>
              </w:rPr>
            </w:pPr>
            <w:r w:rsidRPr="00AA03C8">
              <w:rPr>
                <w:rFonts w:eastAsia="Times New Roman" w:cs="Arial"/>
                <w:b/>
                <w:sz w:val="20"/>
                <w:szCs w:val="20"/>
              </w:rPr>
              <w:t>Clerical Burden</w:t>
            </w:r>
          </w:p>
          <w:p w:rsidR="00586994" w:rsidRPr="00AA03C8" w:rsidP="006C103A" w14:paraId="0D28760E" w14:textId="77777777">
            <w:pPr>
              <w:spacing w:after="0"/>
              <w:jc w:val="center"/>
              <w:rPr>
                <w:rFonts w:eastAsia="Times New Roman" w:cs="Arial"/>
                <w:b/>
                <w:sz w:val="20"/>
                <w:szCs w:val="20"/>
              </w:rPr>
            </w:pPr>
            <w:r w:rsidRPr="00AA03C8">
              <w:rPr>
                <w:rFonts w:eastAsia="Times New Roman" w:cs="Arial"/>
                <w:b/>
                <w:sz w:val="20"/>
                <w:szCs w:val="20"/>
              </w:rPr>
              <w:t>(hours)</w:t>
            </w:r>
          </w:p>
        </w:tc>
        <w:tc>
          <w:tcPr>
            <w:tcW w:w="652" w:type="pct"/>
            <w:shd w:val="clear" w:color="auto" w:fill="F2F2F2"/>
            <w:vAlign w:val="center"/>
          </w:tcPr>
          <w:p w:rsidR="00586994" w:rsidRPr="00AA03C8" w:rsidP="006C103A" w14:paraId="6445BFFD" w14:textId="77777777">
            <w:pPr>
              <w:spacing w:after="0"/>
              <w:jc w:val="center"/>
              <w:rPr>
                <w:rFonts w:eastAsia="Times New Roman" w:cs="Arial"/>
                <w:b/>
                <w:sz w:val="20"/>
                <w:szCs w:val="20"/>
              </w:rPr>
            </w:pPr>
            <w:r w:rsidRPr="00AA03C8">
              <w:rPr>
                <w:rFonts w:eastAsia="Times New Roman" w:cs="Arial"/>
                <w:b/>
                <w:sz w:val="20"/>
                <w:szCs w:val="20"/>
              </w:rPr>
              <w:t>Technical Burden</w:t>
            </w:r>
          </w:p>
          <w:p w:rsidR="00586994" w:rsidRPr="00AA03C8" w:rsidP="006C103A" w14:paraId="62E342FF" w14:textId="77777777">
            <w:pPr>
              <w:spacing w:after="0"/>
              <w:jc w:val="center"/>
              <w:rPr>
                <w:rFonts w:eastAsia="Times New Roman" w:cs="Arial"/>
                <w:b/>
                <w:sz w:val="20"/>
                <w:szCs w:val="20"/>
              </w:rPr>
            </w:pPr>
            <w:r w:rsidRPr="00AA03C8">
              <w:rPr>
                <w:rFonts w:eastAsia="Times New Roman" w:cs="Arial"/>
                <w:b/>
                <w:sz w:val="20"/>
                <w:szCs w:val="20"/>
              </w:rPr>
              <w:t>(hours)</w:t>
            </w:r>
          </w:p>
        </w:tc>
        <w:tc>
          <w:tcPr>
            <w:tcW w:w="651" w:type="pct"/>
            <w:shd w:val="clear" w:color="auto" w:fill="F2F2F2"/>
            <w:vAlign w:val="center"/>
          </w:tcPr>
          <w:p w:rsidR="00586994" w:rsidRPr="00AA03C8" w:rsidP="006C103A" w14:paraId="438E14AB" w14:textId="77777777">
            <w:pPr>
              <w:spacing w:after="0"/>
              <w:jc w:val="center"/>
              <w:rPr>
                <w:rFonts w:eastAsia="Times New Roman" w:cs="Arial"/>
                <w:b/>
                <w:sz w:val="20"/>
                <w:szCs w:val="20"/>
              </w:rPr>
            </w:pPr>
            <w:r w:rsidRPr="00AA03C8">
              <w:rPr>
                <w:rFonts w:eastAsia="Times New Roman" w:cs="Arial"/>
                <w:b/>
                <w:sz w:val="20"/>
                <w:szCs w:val="20"/>
              </w:rPr>
              <w:t>Managerial Burden (hours)</w:t>
            </w:r>
          </w:p>
        </w:tc>
        <w:tc>
          <w:tcPr>
            <w:tcW w:w="652" w:type="pct"/>
            <w:shd w:val="clear" w:color="auto" w:fill="F2F2F2"/>
            <w:vAlign w:val="center"/>
          </w:tcPr>
          <w:p w:rsidR="00586994" w:rsidRPr="00AA03C8" w:rsidP="006C103A" w14:paraId="3CBBAA68" w14:textId="77777777">
            <w:pPr>
              <w:spacing w:after="0"/>
              <w:jc w:val="center"/>
              <w:rPr>
                <w:rFonts w:eastAsia="Times New Roman" w:cs="Arial"/>
                <w:b/>
                <w:sz w:val="20"/>
                <w:szCs w:val="20"/>
              </w:rPr>
            </w:pPr>
            <w:r w:rsidRPr="00AA03C8">
              <w:rPr>
                <w:rFonts w:eastAsia="Times New Roman" w:cs="Arial"/>
                <w:b/>
                <w:sz w:val="20"/>
                <w:szCs w:val="20"/>
              </w:rPr>
              <w:t>Number of Annual Activities</w:t>
            </w:r>
          </w:p>
        </w:tc>
        <w:tc>
          <w:tcPr>
            <w:tcW w:w="834" w:type="pct"/>
            <w:shd w:val="clear" w:color="auto" w:fill="F2F2F2"/>
            <w:vAlign w:val="center"/>
          </w:tcPr>
          <w:p w:rsidR="00586994" w:rsidRPr="00AA03C8" w:rsidP="006C103A" w14:paraId="068519CC" w14:textId="77777777">
            <w:pPr>
              <w:spacing w:after="0"/>
              <w:jc w:val="center"/>
              <w:rPr>
                <w:rFonts w:eastAsia="Times New Roman" w:cs="Arial"/>
                <w:b/>
                <w:sz w:val="20"/>
                <w:szCs w:val="20"/>
              </w:rPr>
            </w:pPr>
            <w:r w:rsidRPr="00AA03C8">
              <w:rPr>
                <w:rFonts w:eastAsia="Times New Roman" w:cs="Arial"/>
                <w:b/>
                <w:sz w:val="20"/>
                <w:szCs w:val="20"/>
              </w:rPr>
              <w:t>Total Burden</w:t>
            </w:r>
          </w:p>
          <w:p w:rsidR="00586994" w:rsidRPr="00AA03C8" w:rsidP="006C103A" w14:paraId="3B3B5B8F" w14:textId="77777777">
            <w:pPr>
              <w:spacing w:after="0"/>
              <w:jc w:val="center"/>
              <w:rPr>
                <w:rFonts w:eastAsia="Times New Roman" w:cs="Arial"/>
                <w:b/>
                <w:sz w:val="20"/>
                <w:szCs w:val="20"/>
              </w:rPr>
            </w:pPr>
            <w:r w:rsidRPr="00AA03C8">
              <w:rPr>
                <w:rFonts w:eastAsia="Times New Roman" w:cs="Arial"/>
                <w:b/>
                <w:sz w:val="20"/>
                <w:szCs w:val="20"/>
              </w:rPr>
              <w:t>(hours)</w:t>
            </w:r>
          </w:p>
        </w:tc>
      </w:tr>
      <w:tr w14:paraId="399D4351" w14:textId="77777777" w:rsidTr="00D177F6">
        <w:tblPrEx>
          <w:tblW w:w="5000" w:type="pct"/>
          <w:tblLayout w:type="fixed"/>
          <w:tblLook w:val="04A0"/>
        </w:tblPrEx>
        <w:tc>
          <w:tcPr>
            <w:tcW w:w="5000" w:type="pct"/>
            <w:gridSpan w:val="6"/>
            <w:shd w:val="clear" w:color="auto" w:fill="auto"/>
          </w:tcPr>
          <w:p w:rsidR="00586994" w:rsidRPr="00AA03C8" w:rsidP="006C103A" w14:paraId="46CCCB3A" w14:textId="77777777">
            <w:pPr>
              <w:spacing w:after="0"/>
              <w:rPr>
                <w:rFonts w:eastAsia="Times New Roman" w:cs="Arial"/>
                <w:sz w:val="20"/>
                <w:szCs w:val="24"/>
              </w:rPr>
            </w:pPr>
            <w:r w:rsidRPr="00AA03C8">
              <w:rPr>
                <w:rFonts w:eastAsia="Times New Roman" w:cs="Arial"/>
                <w:b/>
                <w:bCs/>
                <w:sz w:val="20"/>
                <w:szCs w:val="20"/>
              </w:rPr>
              <w:t>First-time registration</w:t>
            </w:r>
          </w:p>
        </w:tc>
      </w:tr>
      <w:tr w14:paraId="15C2B34A" w14:textId="77777777" w:rsidTr="00D177F6">
        <w:tblPrEx>
          <w:tblW w:w="5000" w:type="pct"/>
          <w:tblLayout w:type="fixed"/>
          <w:tblLook w:val="04A0"/>
        </w:tblPrEx>
        <w:tc>
          <w:tcPr>
            <w:tcW w:w="1560" w:type="pct"/>
            <w:shd w:val="clear" w:color="auto" w:fill="auto"/>
          </w:tcPr>
          <w:p w:rsidR="00586994" w:rsidRPr="00AA03C8" w:rsidP="006C103A" w14:paraId="612C4CB2" w14:textId="77777777">
            <w:pPr>
              <w:spacing w:after="0"/>
              <w:rPr>
                <w:rFonts w:eastAsia="Times New Roman" w:cs="Arial"/>
                <w:sz w:val="20"/>
                <w:szCs w:val="20"/>
              </w:rPr>
            </w:pPr>
            <w:r w:rsidRPr="00AA03C8">
              <w:rPr>
                <w:rFonts w:eastAsia="Times New Roman" w:cs="Arial"/>
                <w:bCs/>
                <w:sz w:val="20"/>
                <w:szCs w:val="20"/>
              </w:rPr>
              <w:t>CDX Registration</w:t>
            </w:r>
          </w:p>
        </w:tc>
        <w:tc>
          <w:tcPr>
            <w:tcW w:w="651" w:type="pct"/>
            <w:shd w:val="clear" w:color="auto" w:fill="auto"/>
            <w:vAlign w:val="center"/>
          </w:tcPr>
          <w:p w:rsidR="00586994" w:rsidRPr="00AA03C8" w:rsidP="006C103A" w14:paraId="7B87336F"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0CCD2350" w14:textId="77777777">
            <w:pPr>
              <w:spacing w:after="0"/>
              <w:jc w:val="right"/>
              <w:rPr>
                <w:rFonts w:eastAsia="Times New Roman" w:cs="Arial"/>
                <w:sz w:val="20"/>
                <w:szCs w:val="20"/>
              </w:rPr>
            </w:pPr>
            <w:r w:rsidRPr="00AA03C8">
              <w:rPr>
                <w:rFonts w:eastAsia="Times New Roman" w:cs="Arial"/>
                <w:sz w:val="20"/>
                <w:szCs w:val="20"/>
              </w:rPr>
              <w:t>0.67</w:t>
            </w:r>
          </w:p>
        </w:tc>
        <w:tc>
          <w:tcPr>
            <w:tcW w:w="651" w:type="pct"/>
            <w:shd w:val="clear" w:color="auto" w:fill="auto"/>
            <w:vAlign w:val="center"/>
          </w:tcPr>
          <w:p w:rsidR="00586994" w:rsidRPr="00AA03C8" w:rsidP="006C103A" w14:paraId="34D05C73" w14:textId="77777777">
            <w:pPr>
              <w:spacing w:after="0"/>
              <w:jc w:val="right"/>
              <w:rPr>
                <w:rFonts w:eastAsia="Times New Roman" w:cs="Arial"/>
                <w:sz w:val="20"/>
                <w:szCs w:val="20"/>
              </w:rPr>
            </w:pPr>
            <w:r w:rsidRPr="00AA03C8">
              <w:rPr>
                <w:rFonts w:eastAsia="Times New Roman" w:cs="Arial"/>
                <w:sz w:val="20"/>
                <w:szCs w:val="20"/>
              </w:rPr>
              <w:t>0.17</w:t>
            </w:r>
          </w:p>
        </w:tc>
        <w:tc>
          <w:tcPr>
            <w:tcW w:w="652" w:type="pct"/>
            <w:shd w:val="clear" w:color="auto" w:fill="auto"/>
            <w:vAlign w:val="center"/>
          </w:tcPr>
          <w:p w:rsidR="00586994" w:rsidRPr="00AA03C8" w:rsidP="006C103A" w14:paraId="38777DF2" w14:textId="77777777">
            <w:pPr>
              <w:spacing w:after="0"/>
              <w:jc w:val="right"/>
              <w:rPr>
                <w:rFonts w:eastAsia="Times New Roman" w:cs="Arial"/>
                <w:sz w:val="20"/>
                <w:szCs w:val="20"/>
              </w:rPr>
            </w:pPr>
            <w:r w:rsidRPr="00AA03C8">
              <w:rPr>
                <w:rFonts w:eastAsia="Times New Roman" w:cs="Arial"/>
                <w:sz w:val="20"/>
                <w:szCs w:val="20"/>
              </w:rPr>
              <w:t>1.00</w:t>
            </w:r>
          </w:p>
        </w:tc>
        <w:tc>
          <w:tcPr>
            <w:tcW w:w="834" w:type="pct"/>
            <w:shd w:val="clear" w:color="auto" w:fill="auto"/>
            <w:vAlign w:val="center"/>
          </w:tcPr>
          <w:p w:rsidR="00586994" w:rsidRPr="00AA03C8" w:rsidP="006C103A" w14:paraId="5B278268" w14:textId="77777777">
            <w:pPr>
              <w:spacing w:after="0"/>
              <w:jc w:val="right"/>
              <w:rPr>
                <w:rFonts w:eastAsia="Times New Roman" w:cs="Arial"/>
                <w:sz w:val="20"/>
                <w:szCs w:val="20"/>
              </w:rPr>
            </w:pPr>
            <w:r w:rsidRPr="00AA03C8">
              <w:rPr>
                <w:rFonts w:eastAsia="Times New Roman" w:cs="Arial"/>
                <w:sz w:val="20"/>
                <w:szCs w:val="20"/>
              </w:rPr>
              <w:t>0.84</w:t>
            </w:r>
          </w:p>
        </w:tc>
      </w:tr>
      <w:tr w14:paraId="4EA92B66" w14:textId="77777777" w:rsidTr="00D177F6">
        <w:tblPrEx>
          <w:tblW w:w="5000" w:type="pct"/>
          <w:tblLayout w:type="fixed"/>
          <w:tblLook w:val="04A0"/>
        </w:tblPrEx>
        <w:tc>
          <w:tcPr>
            <w:tcW w:w="1560" w:type="pct"/>
            <w:shd w:val="clear" w:color="auto" w:fill="auto"/>
          </w:tcPr>
          <w:p w:rsidR="00586994" w:rsidRPr="00AA03C8" w:rsidP="006C103A" w14:paraId="6964D9C0" w14:textId="77777777">
            <w:pPr>
              <w:spacing w:after="0"/>
              <w:rPr>
                <w:rFonts w:eastAsia="Times New Roman" w:cs="Arial"/>
                <w:sz w:val="20"/>
                <w:szCs w:val="20"/>
              </w:rPr>
            </w:pPr>
            <w:r w:rsidRPr="00AA03C8">
              <w:rPr>
                <w:rFonts w:eastAsia="Times New Roman" w:cs="Arial"/>
                <w:bCs/>
                <w:sz w:val="20"/>
                <w:szCs w:val="20"/>
              </w:rPr>
              <w:t>Electronic Subscriber Agreement/ Electronic Signature</w:t>
            </w:r>
          </w:p>
        </w:tc>
        <w:tc>
          <w:tcPr>
            <w:tcW w:w="651" w:type="pct"/>
            <w:shd w:val="clear" w:color="auto" w:fill="auto"/>
            <w:vAlign w:val="center"/>
          </w:tcPr>
          <w:p w:rsidR="00586994" w:rsidRPr="00AA03C8" w:rsidP="006C103A" w14:paraId="5D02799C"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43002DDD" w14:textId="77777777">
            <w:pPr>
              <w:spacing w:after="0"/>
              <w:jc w:val="right"/>
              <w:rPr>
                <w:rFonts w:eastAsia="Times New Roman" w:cs="Arial"/>
                <w:sz w:val="20"/>
                <w:szCs w:val="20"/>
              </w:rPr>
            </w:pPr>
            <w:r w:rsidRPr="00AA03C8">
              <w:rPr>
                <w:rFonts w:eastAsia="Times New Roman" w:cs="Arial"/>
                <w:sz w:val="20"/>
                <w:szCs w:val="20"/>
              </w:rPr>
              <w:t>0.00</w:t>
            </w:r>
          </w:p>
        </w:tc>
        <w:tc>
          <w:tcPr>
            <w:tcW w:w="651" w:type="pct"/>
            <w:shd w:val="clear" w:color="auto" w:fill="auto"/>
            <w:vAlign w:val="center"/>
          </w:tcPr>
          <w:p w:rsidR="00586994" w:rsidRPr="00AA03C8" w:rsidP="006C103A" w14:paraId="78EC491B" w14:textId="77777777">
            <w:pPr>
              <w:spacing w:after="0"/>
              <w:jc w:val="right"/>
              <w:rPr>
                <w:rFonts w:eastAsia="Times New Roman" w:cs="Arial"/>
                <w:sz w:val="20"/>
                <w:szCs w:val="20"/>
              </w:rPr>
            </w:pPr>
            <w:r w:rsidRPr="00AA03C8">
              <w:rPr>
                <w:rFonts w:eastAsia="Times New Roman" w:cs="Arial"/>
                <w:sz w:val="20"/>
                <w:szCs w:val="20"/>
              </w:rPr>
              <w:t>0.25</w:t>
            </w:r>
          </w:p>
        </w:tc>
        <w:tc>
          <w:tcPr>
            <w:tcW w:w="652" w:type="pct"/>
            <w:shd w:val="clear" w:color="auto" w:fill="auto"/>
            <w:vAlign w:val="center"/>
          </w:tcPr>
          <w:p w:rsidR="00586994" w:rsidRPr="00AA03C8" w:rsidP="006C103A" w14:paraId="1BBD7823" w14:textId="77777777">
            <w:pPr>
              <w:spacing w:after="0"/>
              <w:jc w:val="right"/>
              <w:rPr>
                <w:rFonts w:eastAsia="Times New Roman" w:cs="Arial"/>
                <w:sz w:val="20"/>
                <w:szCs w:val="20"/>
              </w:rPr>
            </w:pPr>
            <w:r w:rsidRPr="00AA03C8">
              <w:rPr>
                <w:rFonts w:eastAsia="Times New Roman" w:cs="Arial"/>
                <w:sz w:val="20"/>
                <w:szCs w:val="20"/>
              </w:rPr>
              <w:t>1.00</w:t>
            </w:r>
          </w:p>
        </w:tc>
        <w:tc>
          <w:tcPr>
            <w:tcW w:w="834" w:type="pct"/>
            <w:shd w:val="clear" w:color="auto" w:fill="auto"/>
            <w:vAlign w:val="center"/>
          </w:tcPr>
          <w:p w:rsidR="00586994" w:rsidRPr="00AA03C8" w:rsidP="006C103A" w14:paraId="4EB69CC6" w14:textId="77777777">
            <w:pPr>
              <w:spacing w:after="0"/>
              <w:jc w:val="right"/>
              <w:rPr>
                <w:rFonts w:eastAsia="Times New Roman" w:cs="Arial"/>
                <w:sz w:val="20"/>
                <w:szCs w:val="20"/>
              </w:rPr>
            </w:pPr>
            <w:r w:rsidRPr="00AA03C8">
              <w:rPr>
                <w:rFonts w:eastAsia="Times New Roman" w:cs="Arial"/>
                <w:sz w:val="20"/>
                <w:szCs w:val="20"/>
              </w:rPr>
              <w:t>0.25</w:t>
            </w:r>
          </w:p>
        </w:tc>
      </w:tr>
      <w:tr w14:paraId="0778A31B" w14:textId="77777777" w:rsidTr="00D177F6">
        <w:tblPrEx>
          <w:tblW w:w="5000" w:type="pct"/>
          <w:tblLayout w:type="fixed"/>
          <w:tblLook w:val="04A0"/>
        </w:tblPrEx>
        <w:tc>
          <w:tcPr>
            <w:tcW w:w="1560" w:type="pct"/>
            <w:shd w:val="clear" w:color="auto" w:fill="auto"/>
          </w:tcPr>
          <w:p w:rsidR="00586994" w:rsidRPr="00AA03C8" w:rsidP="006C103A" w14:paraId="4AF2CF3B" w14:textId="77777777">
            <w:pPr>
              <w:spacing w:after="0"/>
              <w:rPr>
                <w:rFonts w:eastAsia="Times New Roman" w:cs="Arial"/>
                <w:sz w:val="20"/>
                <w:szCs w:val="20"/>
              </w:rPr>
            </w:pPr>
            <w:r w:rsidRPr="00AA03C8">
              <w:rPr>
                <w:rFonts w:eastAsia="Times New Roman" w:cs="Arial"/>
                <w:bCs/>
                <w:sz w:val="20"/>
                <w:szCs w:val="20"/>
              </w:rPr>
              <w:t>Help Desk</w:t>
            </w:r>
          </w:p>
        </w:tc>
        <w:tc>
          <w:tcPr>
            <w:tcW w:w="651" w:type="pct"/>
            <w:shd w:val="clear" w:color="auto" w:fill="auto"/>
            <w:vAlign w:val="center"/>
          </w:tcPr>
          <w:p w:rsidR="00586994" w:rsidRPr="00AA03C8" w:rsidP="006C103A" w14:paraId="6004E8D7"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37657B37" w14:textId="77777777">
            <w:pPr>
              <w:spacing w:after="0"/>
              <w:jc w:val="right"/>
              <w:rPr>
                <w:rFonts w:eastAsia="Times New Roman" w:cs="Arial"/>
                <w:sz w:val="20"/>
                <w:szCs w:val="20"/>
              </w:rPr>
            </w:pPr>
            <w:r w:rsidRPr="00AA03C8">
              <w:rPr>
                <w:rFonts w:eastAsia="Times New Roman" w:cs="Arial"/>
                <w:sz w:val="20"/>
                <w:szCs w:val="20"/>
              </w:rPr>
              <w:t>0.24</w:t>
            </w:r>
          </w:p>
        </w:tc>
        <w:tc>
          <w:tcPr>
            <w:tcW w:w="651" w:type="pct"/>
            <w:shd w:val="clear" w:color="auto" w:fill="auto"/>
            <w:vAlign w:val="center"/>
          </w:tcPr>
          <w:p w:rsidR="00586994" w:rsidRPr="00AA03C8" w:rsidP="006C103A" w14:paraId="4B34B12A" w14:textId="77777777">
            <w:pPr>
              <w:spacing w:after="0"/>
              <w:jc w:val="right"/>
              <w:rPr>
                <w:rFonts w:eastAsia="Times New Roman" w:cs="Arial"/>
                <w:sz w:val="20"/>
                <w:szCs w:val="20"/>
              </w:rPr>
            </w:pPr>
            <w:r w:rsidRPr="00AA03C8">
              <w:rPr>
                <w:rFonts w:eastAsia="Times New Roman" w:cs="Arial"/>
                <w:sz w:val="20"/>
                <w:szCs w:val="20"/>
              </w:rPr>
              <w:t>0.06</w:t>
            </w:r>
          </w:p>
        </w:tc>
        <w:tc>
          <w:tcPr>
            <w:tcW w:w="652" w:type="pct"/>
            <w:shd w:val="clear" w:color="auto" w:fill="auto"/>
            <w:vAlign w:val="center"/>
          </w:tcPr>
          <w:p w:rsidR="00586994" w:rsidRPr="00AA03C8" w:rsidP="006C103A" w14:paraId="3F7D7D56" w14:textId="77777777">
            <w:pPr>
              <w:spacing w:after="0"/>
              <w:jc w:val="right"/>
              <w:rPr>
                <w:rFonts w:eastAsia="Times New Roman" w:cs="Arial"/>
                <w:sz w:val="20"/>
                <w:szCs w:val="20"/>
              </w:rPr>
            </w:pPr>
            <w:r w:rsidRPr="00AA03C8">
              <w:rPr>
                <w:rFonts w:eastAsia="Times New Roman" w:cs="Arial"/>
                <w:sz w:val="20"/>
                <w:szCs w:val="20"/>
              </w:rPr>
              <w:t>1.00</w:t>
            </w:r>
          </w:p>
        </w:tc>
        <w:tc>
          <w:tcPr>
            <w:tcW w:w="834" w:type="pct"/>
            <w:shd w:val="clear" w:color="auto" w:fill="auto"/>
            <w:vAlign w:val="center"/>
          </w:tcPr>
          <w:p w:rsidR="00586994" w:rsidRPr="00AA03C8" w:rsidP="006C103A" w14:paraId="4C3E275B" w14:textId="77777777">
            <w:pPr>
              <w:spacing w:after="0"/>
              <w:jc w:val="right"/>
              <w:rPr>
                <w:rFonts w:eastAsia="Times New Roman" w:cs="Arial"/>
                <w:sz w:val="20"/>
                <w:szCs w:val="20"/>
              </w:rPr>
            </w:pPr>
            <w:r w:rsidRPr="00AA03C8">
              <w:rPr>
                <w:rFonts w:eastAsia="Times New Roman" w:cs="Arial"/>
                <w:sz w:val="20"/>
                <w:szCs w:val="20"/>
              </w:rPr>
              <w:t>0.30</w:t>
            </w:r>
          </w:p>
        </w:tc>
      </w:tr>
      <w:tr w14:paraId="37BAB232" w14:textId="77777777" w:rsidTr="00D177F6">
        <w:tblPrEx>
          <w:tblW w:w="5000" w:type="pct"/>
          <w:tblLayout w:type="fixed"/>
          <w:tblLook w:val="04A0"/>
        </w:tblPrEx>
        <w:tc>
          <w:tcPr>
            <w:tcW w:w="1560" w:type="pct"/>
            <w:shd w:val="clear" w:color="auto" w:fill="auto"/>
          </w:tcPr>
          <w:p w:rsidR="00586994" w:rsidRPr="00AA03C8" w:rsidP="006C103A" w14:paraId="3A15FC81" w14:textId="77777777">
            <w:pPr>
              <w:spacing w:after="0"/>
              <w:rPr>
                <w:rFonts w:eastAsia="Times New Roman" w:cs="Arial"/>
                <w:sz w:val="20"/>
                <w:szCs w:val="20"/>
              </w:rPr>
            </w:pPr>
            <w:r w:rsidRPr="00AA03C8">
              <w:rPr>
                <w:rFonts w:eastAsia="Times New Roman" w:cs="Arial"/>
                <w:bCs/>
                <w:sz w:val="20"/>
                <w:szCs w:val="20"/>
              </w:rPr>
              <w:t>Problem Resolution</w:t>
            </w:r>
          </w:p>
        </w:tc>
        <w:tc>
          <w:tcPr>
            <w:tcW w:w="651" w:type="pct"/>
            <w:shd w:val="clear" w:color="auto" w:fill="auto"/>
            <w:vAlign w:val="center"/>
          </w:tcPr>
          <w:p w:rsidR="00586994" w:rsidRPr="00AA03C8" w:rsidP="006C103A" w14:paraId="7884B574"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1632261E" w14:textId="77777777">
            <w:pPr>
              <w:spacing w:after="0"/>
              <w:jc w:val="right"/>
              <w:rPr>
                <w:rFonts w:eastAsia="Times New Roman" w:cs="Arial"/>
                <w:sz w:val="20"/>
                <w:szCs w:val="20"/>
              </w:rPr>
            </w:pPr>
            <w:r w:rsidRPr="00AA03C8">
              <w:rPr>
                <w:rFonts w:eastAsia="Times New Roman" w:cs="Arial"/>
                <w:sz w:val="20"/>
                <w:szCs w:val="20"/>
              </w:rPr>
              <w:t>1.00</w:t>
            </w:r>
          </w:p>
        </w:tc>
        <w:tc>
          <w:tcPr>
            <w:tcW w:w="651" w:type="pct"/>
            <w:shd w:val="clear" w:color="auto" w:fill="auto"/>
            <w:vAlign w:val="center"/>
          </w:tcPr>
          <w:p w:rsidR="00586994" w:rsidRPr="00AA03C8" w:rsidP="006C103A" w14:paraId="1CED13DC"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4E1F92EC" w14:textId="77777777">
            <w:pPr>
              <w:spacing w:after="0"/>
              <w:jc w:val="right"/>
              <w:rPr>
                <w:rFonts w:eastAsia="Times New Roman" w:cs="Arial"/>
                <w:sz w:val="20"/>
                <w:szCs w:val="20"/>
              </w:rPr>
            </w:pPr>
            <w:r w:rsidRPr="00AA03C8">
              <w:rPr>
                <w:rFonts w:eastAsia="Times New Roman" w:cs="Arial"/>
                <w:sz w:val="20"/>
                <w:szCs w:val="20"/>
              </w:rPr>
              <w:t>0.03</w:t>
            </w:r>
          </w:p>
        </w:tc>
        <w:tc>
          <w:tcPr>
            <w:tcW w:w="834" w:type="pct"/>
            <w:shd w:val="clear" w:color="auto" w:fill="auto"/>
            <w:vAlign w:val="center"/>
          </w:tcPr>
          <w:p w:rsidR="00586994" w:rsidRPr="00AA03C8" w:rsidP="006C103A" w14:paraId="2C5443D3" w14:textId="77777777">
            <w:pPr>
              <w:spacing w:after="0"/>
              <w:jc w:val="right"/>
              <w:rPr>
                <w:rFonts w:eastAsia="Times New Roman" w:cs="Arial"/>
                <w:sz w:val="20"/>
                <w:szCs w:val="20"/>
              </w:rPr>
            </w:pPr>
            <w:r w:rsidRPr="00AA03C8">
              <w:rPr>
                <w:rFonts w:eastAsia="Times New Roman" w:cs="Arial"/>
                <w:sz w:val="20"/>
                <w:szCs w:val="20"/>
              </w:rPr>
              <w:t>0.03</w:t>
            </w:r>
          </w:p>
        </w:tc>
      </w:tr>
      <w:tr w14:paraId="423939C8" w14:textId="77777777" w:rsidTr="00D177F6">
        <w:tblPrEx>
          <w:tblW w:w="5000" w:type="pct"/>
          <w:tblLayout w:type="fixed"/>
          <w:tblLook w:val="04A0"/>
        </w:tblPrEx>
        <w:tc>
          <w:tcPr>
            <w:tcW w:w="4166" w:type="pct"/>
            <w:gridSpan w:val="5"/>
            <w:shd w:val="clear" w:color="auto" w:fill="auto"/>
          </w:tcPr>
          <w:p w:rsidR="00586994" w:rsidRPr="00AA03C8" w:rsidP="006C103A" w14:paraId="1052F904" w14:textId="77777777">
            <w:pPr>
              <w:spacing w:after="0"/>
              <w:jc w:val="right"/>
              <w:rPr>
                <w:rFonts w:eastAsia="Times New Roman" w:cs="Arial"/>
                <w:b/>
                <w:sz w:val="20"/>
                <w:szCs w:val="20"/>
              </w:rPr>
            </w:pPr>
            <w:r w:rsidRPr="00AA03C8">
              <w:rPr>
                <w:rFonts w:eastAsia="Times New Roman" w:cs="Arial"/>
                <w:b/>
                <w:sz w:val="20"/>
                <w:szCs w:val="20"/>
              </w:rPr>
              <w:t>Total First Time Burden per firm</w:t>
            </w:r>
          </w:p>
        </w:tc>
        <w:tc>
          <w:tcPr>
            <w:tcW w:w="834" w:type="pct"/>
            <w:shd w:val="clear" w:color="auto" w:fill="auto"/>
            <w:vAlign w:val="center"/>
          </w:tcPr>
          <w:p w:rsidR="00586994" w:rsidRPr="00AA03C8" w:rsidP="006C103A" w14:paraId="5A27C18E" w14:textId="77777777">
            <w:pPr>
              <w:spacing w:after="0"/>
              <w:jc w:val="right"/>
              <w:rPr>
                <w:rFonts w:eastAsia="Times New Roman" w:cs="Arial"/>
                <w:b/>
                <w:sz w:val="20"/>
                <w:szCs w:val="20"/>
              </w:rPr>
            </w:pPr>
            <w:r w:rsidRPr="00AA03C8">
              <w:rPr>
                <w:rFonts w:eastAsia="Times New Roman" w:cs="Arial"/>
                <w:b/>
                <w:sz w:val="20"/>
                <w:szCs w:val="20"/>
              </w:rPr>
              <w:t>1.42</w:t>
            </w:r>
          </w:p>
        </w:tc>
      </w:tr>
      <w:tr w14:paraId="1722643D" w14:textId="77777777" w:rsidTr="00D177F6">
        <w:tblPrEx>
          <w:tblW w:w="5000" w:type="pct"/>
          <w:tblLayout w:type="fixed"/>
          <w:tblLook w:val="04A0"/>
        </w:tblPrEx>
        <w:tc>
          <w:tcPr>
            <w:tcW w:w="5000" w:type="pct"/>
            <w:gridSpan w:val="6"/>
            <w:shd w:val="clear" w:color="auto" w:fill="auto"/>
          </w:tcPr>
          <w:p w:rsidR="00586994" w:rsidRPr="00AA03C8" w:rsidP="006C103A" w14:paraId="286A754A" w14:textId="77777777">
            <w:pPr>
              <w:spacing w:after="0"/>
              <w:rPr>
                <w:rFonts w:eastAsia="Times New Roman" w:cs="Arial"/>
                <w:sz w:val="20"/>
                <w:szCs w:val="24"/>
              </w:rPr>
            </w:pPr>
            <w:r w:rsidRPr="00AA03C8">
              <w:rPr>
                <w:rFonts w:eastAsia="Times New Roman" w:cs="Arial"/>
                <w:b/>
                <w:bCs/>
                <w:sz w:val="20"/>
                <w:szCs w:val="20"/>
              </w:rPr>
              <w:t>Subsequent registration</w:t>
            </w:r>
          </w:p>
        </w:tc>
      </w:tr>
      <w:tr w14:paraId="17560280" w14:textId="77777777" w:rsidTr="00D177F6">
        <w:tblPrEx>
          <w:tblW w:w="5000" w:type="pct"/>
          <w:tblLayout w:type="fixed"/>
          <w:tblLook w:val="04A0"/>
        </w:tblPrEx>
        <w:tc>
          <w:tcPr>
            <w:tcW w:w="1560" w:type="pct"/>
            <w:shd w:val="clear" w:color="auto" w:fill="auto"/>
          </w:tcPr>
          <w:p w:rsidR="00586994" w:rsidRPr="00AA03C8" w:rsidP="006C103A" w14:paraId="1D6C2F29" w14:textId="77777777">
            <w:pPr>
              <w:spacing w:after="0"/>
              <w:rPr>
                <w:rFonts w:eastAsia="Times New Roman" w:cs="Arial"/>
                <w:bCs/>
                <w:sz w:val="20"/>
                <w:szCs w:val="20"/>
              </w:rPr>
            </w:pPr>
            <w:r w:rsidRPr="00AA03C8">
              <w:rPr>
                <w:rFonts w:eastAsia="Times New Roman" w:cs="Arial"/>
                <w:bCs/>
                <w:sz w:val="20"/>
                <w:szCs w:val="20"/>
              </w:rPr>
              <w:t>CDX Registration</w:t>
            </w:r>
          </w:p>
        </w:tc>
        <w:tc>
          <w:tcPr>
            <w:tcW w:w="651" w:type="pct"/>
            <w:shd w:val="clear" w:color="auto" w:fill="auto"/>
            <w:vAlign w:val="center"/>
          </w:tcPr>
          <w:p w:rsidR="00586994" w:rsidRPr="00AA03C8" w:rsidP="006C103A" w14:paraId="5A59F7CF"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488497B7" w14:textId="77777777">
            <w:pPr>
              <w:spacing w:after="0"/>
              <w:jc w:val="right"/>
              <w:rPr>
                <w:rFonts w:eastAsia="Times New Roman" w:cs="Arial"/>
                <w:sz w:val="20"/>
                <w:szCs w:val="20"/>
              </w:rPr>
            </w:pPr>
            <w:r w:rsidRPr="00AA03C8">
              <w:rPr>
                <w:rFonts w:eastAsia="Times New Roman" w:cs="Arial"/>
                <w:sz w:val="20"/>
                <w:szCs w:val="20"/>
              </w:rPr>
              <w:t>0.67</w:t>
            </w:r>
          </w:p>
        </w:tc>
        <w:tc>
          <w:tcPr>
            <w:tcW w:w="651" w:type="pct"/>
            <w:shd w:val="clear" w:color="auto" w:fill="auto"/>
            <w:vAlign w:val="center"/>
          </w:tcPr>
          <w:p w:rsidR="00586994" w:rsidRPr="00AA03C8" w:rsidP="006C103A" w14:paraId="21BD2751" w14:textId="77777777">
            <w:pPr>
              <w:spacing w:after="0"/>
              <w:jc w:val="right"/>
              <w:rPr>
                <w:rFonts w:eastAsia="Times New Roman" w:cs="Arial"/>
                <w:sz w:val="20"/>
                <w:szCs w:val="20"/>
              </w:rPr>
            </w:pPr>
            <w:r w:rsidRPr="00AA03C8">
              <w:rPr>
                <w:rFonts w:eastAsia="Times New Roman" w:cs="Arial"/>
                <w:sz w:val="20"/>
                <w:szCs w:val="20"/>
              </w:rPr>
              <w:t>0.17</w:t>
            </w:r>
          </w:p>
        </w:tc>
        <w:tc>
          <w:tcPr>
            <w:tcW w:w="652" w:type="pct"/>
            <w:shd w:val="clear" w:color="auto" w:fill="auto"/>
            <w:vAlign w:val="center"/>
          </w:tcPr>
          <w:p w:rsidR="00586994" w:rsidRPr="00AA03C8" w:rsidP="006C103A" w14:paraId="709A0E1D" w14:textId="77777777">
            <w:pPr>
              <w:spacing w:after="0"/>
              <w:jc w:val="right"/>
              <w:rPr>
                <w:rFonts w:eastAsia="Times New Roman" w:cs="Arial"/>
                <w:sz w:val="20"/>
                <w:szCs w:val="20"/>
              </w:rPr>
            </w:pPr>
            <w:r w:rsidRPr="00AA03C8">
              <w:rPr>
                <w:rFonts w:eastAsia="Times New Roman" w:cs="Arial"/>
                <w:sz w:val="20"/>
                <w:szCs w:val="20"/>
              </w:rPr>
              <w:t>0.10</w:t>
            </w:r>
          </w:p>
        </w:tc>
        <w:tc>
          <w:tcPr>
            <w:tcW w:w="834" w:type="pct"/>
            <w:shd w:val="clear" w:color="auto" w:fill="auto"/>
            <w:vAlign w:val="center"/>
          </w:tcPr>
          <w:p w:rsidR="00586994" w:rsidRPr="00AA03C8" w:rsidP="006C103A" w14:paraId="611C5782" w14:textId="77777777">
            <w:pPr>
              <w:spacing w:after="0"/>
              <w:jc w:val="right"/>
              <w:rPr>
                <w:rFonts w:eastAsia="Times New Roman" w:cs="Arial"/>
                <w:sz w:val="20"/>
                <w:szCs w:val="20"/>
              </w:rPr>
            </w:pPr>
            <w:r w:rsidRPr="00AA03C8">
              <w:rPr>
                <w:rFonts w:eastAsia="Times New Roman" w:cs="Arial"/>
                <w:sz w:val="20"/>
                <w:szCs w:val="20"/>
              </w:rPr>
              <w:t>0.08</w:t>
            </w:r>
          </w:p>
        </w:tc>
      </w:tr>
      <w:tr w14:paraId="2BA248E3" w14:textId="77777777" w:rsidTr="00D177F6">
        <w:tblPrEx>
          <w:tblW w:w="5000" w:type="pct"/>
          <w:tblLayout w:type="fixed"/>
          <w:tblLook w:val="04A0"/>
        </w:tblPrEx>
        <w:tc>
          <w:tcPr>
            <w:tcW w:w="1560" w:type="pct"/>
            <w:shd w:val="clear" w:color="auto" w:fill="auto"/>
          </w:tcPr>
          <w:p w:rsidR="00586994" w:rsidRPr="00AA03C8" w:rsidP="006C103A" w14:paraId="59AAAE08" w14:textId="77777777">
            <w:pPr>
              <w:spacing w:after="0"/>
              <w:rPr>
                <w:rFonts w:eastAsia="Times New Roman" w:cs="Arial"/>
                <w:bCs/>
                <w:sz w:val="20"/>
                <w:szCs w:val="20"/>
              </w:rPr>
            </w:pPr>
            <w:r w:rsidRPr="00AA03C8">
              <w:rPr>
                <w:rFonts w:eastAsia="Times New Roman" w:cs="Arial"/>
                <w:bCs/>
                <w:sz w:val="20"/>
                <w:szCs w:val="20"/>
              </w:rPr>
              <w:t>Electronic Subscriber Agreement/Electronic Signature</w:t>
            </w:r>
          </w:p>
        </w:tc>
        <w:tc>
          <w:tcPr>
            <w:tcW w:w="651" w:type="pct"/>
            <w:shd w:val="clear" w:color="auto" w:fill="auto"/>
            <w:vAlign w:val="center"/>
          </w:tcPr>
          <w:p w:rsidR="00586994" w:rsidRPr="00AA03C8" w:rsidP="006C103A" w14:paraId="03E35854"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43C045D0" w14:textId="77777777">
            <w:pPr>
              <w:spacing w:after="0"/>
              <w:jc w:val="right"/>
              <w:rPr>
                <w:rFonts w:eastAsia="Times New Roman" w:cs="Arial"/>
                <w:sz w:val="20"/>
                <w:szCs w:val="20"/>
              </w:rPr>
            </w:pPr>
            <w:r w:rsidRPr="00AA03C8">
              <w:rPr>
                <w:rFonts w:eastAsia="Times New Roman" w:cs="Arial"/>
                <w:sz w:val="20"/>
                <w:szCs w:val="20"/>
              </w:rPr>
              <w:t>0.00</w:t>
            </w:r>
          </w:p>
        </w:tc>
        <w:tc>
          <w:tcPr>
            <w:tcW w:w="651" w:type="pct"/>
            <w:shd w:val="clear" w:color="auto" w:fill="auto"/>
            <w:vAlign w:val="center"/>
          </w:tcPr>
          <w:p w:rsidR="00586994" w:rsidRPr="00AA03C8" w:rsidP="006C103A" w14:paraId="4243185A" w14:textId="77777777">
            <w:pPr>
              <w:spacing w:after="0"/>
              <w:jc w:val="right"/>
              <w:rPr>
                <w:rFonts w:eastAsia="Times New Roman" w:cs="Arial"/>
                <w:sz w:val="20"/>
                <w:szCs w:val="20"/>
              </w:rPr>
            </w:pPr>
            <w:r w:rsidRPr="00AA03C8">
              <w:rPr>
                <w:rFonts w:eastAsia="Times New Roman" w:cs="Arial"/>
                <w:sz w:val="20"/>
                <w:szCs w:val="20"/>
              </w:rPr>
              <w:t>0.25</w:t>
            </w:r>
          </w:p>
        </w:tc>
        <w:tc>
          <w:tcPr>
            <w:tcW w:w="652" w:type="pct"/>
            <w:shd w:val="clear" w:color="auto" w:fill="auto"/>
            <w:vAlign w:val="center"/>
          </w:tcPr>
          <w:p w:rsidR="00586994" w:rsidRPr="00AA03C8" w:rsidP="006C103A" w14:paraId="2309FBBB" w14:textId="77777777">
            <w:pPr>
              <w:spacing w:after="0"/>
              <w:jc w:val="right"/>
              <w:rPr>
                <w:rFonts w:eastAsia="Times New Roman" w:cs="Arial"/>
                <w:sz w:val="20"/>
                <w:szCs w:val="20"/>
              </w:rPr>
            </w:pPr>
            <w:r w:rsidRPr="00AA03C8">
              <w:rPr>
                <w:rFonts w:eastAsia="Times New Roman" w:cs="Arial"/>
                <w:sz w:val="20"/>
                <w:szCs w:val="20"/>
              </w:rPr>
              <w:t>0.10</w:t>
            </w:r>
          </w:p>
        </w:tc>
        <w:tc>
          <w:tcPr>
            <w:tcW w:w="834" w:type="pct"/>
            <w:shd w:val="clear" w:color="auto" w:fill="auto"/>
            <w:vAlign w:val="center"/>
          </w:tcPr>
          <w:p w:rsidR="00586994" w:rsidRPr="00AA03C8" w:rsidP="006C103A" w14:paraId="510AEFE7" w14:textId="77777777">
            <w:pPr>
              <w:spacing w:after="0"/>
              <w:jc w:val="right"/>
              <w:rPr>
                <w:rFonts w:eastAsia="Times New Roman" w:cs="Arial"/>
                <w:sz w:val="20"/>
                <w:szCs w:val="20"/>
              </w:rPr>
            </w:pPr>
            <w:r w:rsidRPr="00AA03C8">
              <w:rPr>
                <w:rFonts w:eastAsia="Times New Roman" w:cs="Arial"/>
                <w:sz w:val="20"/>
                <w:szCs w:val="20"/>
              </w:rPr>
              <w:t>0.03</w:t>
            </w:r>
          </w:p>
        </w:tc>
      </w:tr>
      <w:tr w14:paraId="21CA4A3F" w14:textId="77777777" w:rsidTr="00D177F6">
        <w:tblPrEx>
          <w:tblW w:w="5000" w:type="pct"/>
          <w:tblLayout w:type="fixed"/>
          <w:tblLook w:val="04A0"/>
        </w:tblPrEx>
        <w:tc>
          <w:tcPr>
            <w:tcW w:w="1560" w:type="pct"/>
            <w:shd w:val="clear" w:color="auto" w:fill="auto"/>
          </w:tcPr>
          <w:p w:rsidR="00586994" w:rsidRPr="00AA03C8" w:rsidP="006C103A" w14:paraId="0BD2E963" w14:textId="77777777">
            <w:pPr>
              <w:spacing w:after="0"/>
              <w:rPr>
                <w:rFonts w:eastAsia="Times New Roman" w:cs="Arial"/>
                <w:bCs/>
                <w:sz w:val="20"/>
                <w:szCs w:val="20"/>
              </w:rPr>
            </w:pPr>
            <w:r w:rsidRPr="00AA03C8">
              <w:rPr>
                <w:rFonts w:eastAsia="Times New Roman" w:cs="Arial"/>
                <w:bCs/>
                <w:sz w:val="20"/>
                <w:szCs w:val="20"/>
              </w:rPr>
              <w:t>Help Desk</w:t>
            </w:r>
          </w:p>
        </w:tc>
        <w:tc>
          <w:tcPr>
            <w:tcW w:w="651" w:type="pct"/>
            <w:shd w:val="clear" w:color="auto" w:fill="auto"/>
            <w:vAlign w:val="center"/>
          </w:tcPr>
          <w:p w:rsidR="00586994" w:rsidRPr="00AA03C8" w:rsidP="006C103A" w14:paraId="355021EE"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5E326C52" w14:textId="77777777">
            <w:pPr>
              <w:tabs>
                <w:tab w:val="center" w:pos="990"/>
              </w:tabs>
              <w:spacing w:after="0"/>
              <w:jc w:val="right"/>
              <w:rPr>
                <w:rFonts w:eastAsia="Times New Roman" w:cs="Arial"/>
                <w:sz w:val="20"/>
                <w:szCs w:val="20"/>
              </w:rPr>
            </w:pPr>
            <w:r w:rsidRPr="00AA03C8">
              <w:rPr>
                <w:rFonts w:eastAsia="Times New Roman" w:cs="Arial"/>
                <w:sz w:val="20"/>
                <w:szCs w:val="20"/>
              </w:rPr>
              <w:t>0.24</w:t>
            </w:r>
          </w:p>
        </w:tc>
        <w:tc>
          <w:tcPr>
            <w:tcW w:w="651" w:type="pct"/>
            <w:shd w:val="clear" w:color="auto" w:fill="auto"/>
            <w:vAlign w:val="center"/>
          </w:tcPr>
          <w:p w:rsidR="00586994" w:rsidRPr="00AA03C8" w:rsidP="006C103A" w14:paraId="4F725CDB" w14:textId="77777777">
            <w:pPr>
              <w:spacing w:after="0"/>
              <w:jc w:val="right"/>
              <w:rPr>
                <w:rFonts w:eastAsia="Times New Roman" w:cs="Arial"/>
                <w:sz w:val="20"/>
                <w:szCs w:val="20"/>
              </w:rPr>
            </w:pPr>
            <w:r w:rsidRPr="00AA03C8">
              <w:rPr>
                <w:rFonts w:eastAsia="Times New Roman" w:cs="Arial"/>
                <w:sz w:val="20"/>
                <w:szCs w:val="20"/>
              </w:rPr>
              <w:t>0.06</w:t>
            </w:r>
          </w:p>
        </w:tc>
        <w:tc>
          <w:tcPr>
            <w:tcW w:w="652" w:type="pct"/>
            <w:shd w:val="clear" w:color="auto" w:fill="auto"/>
            <w:vAlign w:val="center"/>
          </w:tcPr>
          <w:p w:rsidR="00586994" w:rsidRPr="00AA03C8" w:rsidP="006C103A" w14:paraId="716119F1" w14:textId="77777777">
            <w:pPr>
              <w:spacing w:after="0"/>
              <w:jc w:val="right"/>
              <w:rPr>
                <w:rFonts w:eastAsia="Times New Roman" w:cs="Arial"/>
                <w:sz w:val="20"/>
                <w:szCs w:val="20"/>
              </w:rPr>
            </w:pPr>
            <w:r w:rsidRPr="00AA03C8">
              <w:rPr>
                <w:rFonts w:eastAsia="Times New Roman" w:cs="Arial"/>
                <w:sz w:val="20"/>
                <w:szCs w:val="20"/>
              </w:rPr>
              <w:t>0.10</w:t>
            </w:r>
          </w:p>
        </w:tc>
        <w:tc>
          <w:tcPr>
            <w:tcW w:w="834" w:type="pct"/>
            <w:shd w:val="clear" w:color="auto" w:fill="auto"/>
            <w:vAlign w:val="center"/>
          </w:tcPr>
          <w:p w:rsidR="00586994" w:rsidRPr="00AA03C8" w:rsidP="006C103A" w14:paraId="352D3155" w14:textId="77777777">
            <w:pPr>
              <w:spacing w:after="0"/>
              <w:jc w:val="right"/>
              <w:rPr>
                <w:rFonts w:eastAsia="Times New Roman" w:cs="Arial"/>
                <w:sz w:val="20"/>
                <w:szCs w:val="20"/>
              </w:rPr>
            </w:pPr>
            <w:r w:rsidRPr="00AA03C8">
              <w:rPr>
                <w:rFonts w:eastAsia="Times New Roman" w:cs="Arial"/>
                <w:sz w:val="20"/>
                <w:szCs w:val="20"/>
              </w:rPr>
              <w:t>0.03</w:t>
            </w:r>
          </w:p>
        </w:tc>
      </w:tr>
      <w:tr w14:paraId="377E79A5" w14:textId="77777777" w:rsidTr="00D177F6">
        <w:tblPrEx>
          <w:tblW w:w="5000" w:type="pct"/>
          <w:tblLayout w:type="fixed"/>
          <w:tblLook w:val="04A0"/>
        </w:tblPrEx>
        <w:tc>
          <w:tcPr>
            <w:tcW w:w="1560" w:type="pct"/>
            <w:shd w:val="clear" w:color="auto" w:fill="auto"/>
          </w:tcPr>
          <w:p w:rsidR="00586994" w:rsidRPr="00AA03C8" w:rsidP="006C103A" w14:paraId="688F077C" w14:textId="77777777">
            <w:pPr>
              <w:spacing w:after="0"/>
              <w:rPr>
                <w:rFonts w:eastAsia="Times New Roman" w:cs="Arial"/>
                <w:bCs/>
                <w:sz w:val="20"/>
                <w:szCs w:val="20"/>
              </w:rPr>
            </w:pPr>
            <w:r w:rsidRPr="00AA03C8">
              <w:rPr>
                <w:rFonts w:eastAsia="Times New Roman" w:cs="Arial"/>
                <w:bCs/>
                <w:sz w:val="20"/>
                <w:szCs w:val="20"/>
              </w:rPr>
              <w:t>Report Compromised Signature</w:t>
            </w:r>
          </w:p>
        </w:tc>
        <w:tc>
          <w:tcPr>
            <w:tcW w:w="651" w:type="pct"/>
            <w:shd w:val="clear" w:color="auto" w:fill="auto"/>
            <w:vAlign w:val="center"/>
          </w:tcPr>
          <w:p w:rsidR="00586994" w:rsidRPr="00AA03C8" w:rsidP="006C103A" w14:paraId="521F0D84"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0C566942" w14:textId="77777777">
            <w:pPr>
              <w:spacing w:after="0"/>
              <w:jc w:val="right"/>
              <w:rPr>
                <w:rFonts w:eastAsia="Times New Roman" w:cs="Arial"/>
                <w:sz w:val="20"/>
                <w:szCs w:val="20"/>
              </w:rPr>
            </w:pPr>
            <w:r w:rsidRPr="00AA03C8">
              <w:rPr>
                <w:rFonts w:eastAsia="Times New Roman" w:cs="Arial"/>
                <w:sz w:val="20"/>
                <w:szCs w:val="20"/>
              </w:rPr>
              <w:t>0.00</w:t>
            </w:r>
          </w:p>
        </w:tc>
        <w:tc>
          <w:tcPr>
            <w:tcW w:w="651" w:type="pct"/>
            <w:shd w:val="clear" w:color="auto" w:fill="auto"/>
            <w:vAlign w:val="center"/>
          </w:tcPr>
          <w:p w:rsidR="00586994" w:rsidRPr="00AA03C8" w:rsidP="006C103A" w14:paraId="6A10B675" w14:textId="77777777">
            <w:pPr>
              <w:spacing w:after="0"/>
              <w:jc w:val="right"/>
              <w:rPr>
                <w:rFonts w:eastAsia="Times New Roman" w:cs="Arial"/>
                <w:sz w:val="20"/>
                <w:szCs w:val="20"/>
              </w:rPr>
            </w:pPr>
            <w:r w:rsidRPr="00AA03C8">
              <w:rPr>
                <w:rFonts w:eastAsia="Times New Roman" w:cs="Arial"/>
                <w:sz w:val="20"/>
                <w:szCs w:val="20"/>
              </w:rPr>
              <w:t>0.40</w:t>
            </w:r>
          </w:p>
        </w:tc>
        <w:tc>
          <w:tcPr>
            <w:tcW w:w="652" w:type="pct"/>
            <w:shd w:val="clear" w:color="auto" w:fill="auto"/>
            <w:vAlign w:val="center"/>
          </w:tcPr>
          <w:p w:rsidR="00586994" w:rsidRPr="00AA03C8" w:rsidP="006C103A" w14:paraId="1E348A29" w14:textId="77777777">
            <w:pPr>
              <w:spacing w:after="0"/>
              <w:jc w:val="right"/>
              <w:rPr>
                <w:rFonts w:eastAsia="Times New Roman" w:cs="Arial"/>
                <w:sz w:val="20"/>
                <w:szCs w:val="20"/>
              </w:rPr>
            </w:pPr>
            <w:r w:rsidRPr="00AA03C8">
              <w:rPr>
                <w:rFonts w:eastAsia="Times New Roman" w:cs="Arial"/>
                <w:sz w:val="20"/>
                <w:szCs w:val="20"/>
              </w:rPr>
              <w:t>0.01</w:t>
            </w:r>
          </w:p>
        </w:tc>
        <w:tc>
          <w:tcPr>
            <w:tcW w:w="834" w:type="pct"/>
            <w:shd w:val="clear" w:color="auto" w:fill="auto"/>
            <w:vAlign w:val="center"/>
          </w:tcPr>
          <w:p w:rsidR="00586994" w:rsidRPr="00AA03C8" w:rsidP="006C103A" w14:paraId="60A510B2" w14:textId="77777777">
            <w:pPr>
              <w:spacing w:after="0"/>
              <w:jc w:val="right"/>
              <w:rPr>
                <w:rFonts w:eastAsia="Times New Roman" w:cs="Arial"/>
                <w:sz w:val="20"/>
                <w:szCs w:val="20"/>
              </w:rPr>
            </w:pPr>
            <w:r w:rsidRPr="00AA03C8">
              <w:rPr>
                <w:rFonts w:eastAsia="Times New Roman" w:cs="Arial"/>
                <w:sz w:val="20"/>
                <w:szCs w:val="20"/>
              </w:rPr>
              <w:t>0.00</w:t>
            </w:r>
          </w:p>
        </w:tc>
      </w:tr>
      <w:tr w14:paraId="54A95A38" w14:textId="77777777" w:rsidTr="00D177F6">
        <w:tblPrEx>
          <w:tblW w:w="5000" w:type="pct"/>
          <w:tblLayout w:type="fixed"/>
          <w:tblLook w:val="04A0"/>
        </w:tblPrEx>
        <w:tc>
          <w:tcPr>
            <w:tcW w:w="1560" w:type="pct"/>
            <w:shd w:val="clear" w:color="auto" w:fill="auto"/>
          </w:tcPr>
          <w:p w:rsidR="00586994" w:rsidRPr="00AA03C8" w:rsidP="006C103A" w14:paraId="0A0D87E3" w14:textId="77777777">
            <w:pPr>
              <w:spacing w:after="0"/>
              <w:rPr>
                <w:rFonts w:eastAsia="Times New Roman" w:cs="Arial"/>
                <w:bCs/>
                <w:sz w:val="20"/>
                <w:szCs w:val="20"/>
              </w:rPr>
            </w:pPr>
            <w:r w:rsidRPr="00AA03C8">
              <w:rPr>
                <w:rFonts w:eastAsia="Times New Roman" w:cs="Arial"/>
                <w:bCs/>
                <w:sz w:val="20"/>
                <w:szCs w:val="20"/>
              </w:rPr>
              <w:t>Problem Resolution</w:t>
            </w:r>
          </w:p>
        </w:tc>
        <w:tc>
          <w:tcPr>
            <w:tcW w:w="651" w:type="pct"/>
            <w:shd w:val="clear" w:color="auto" w:fill="auto"/>
            <w:vAlign w:val="center"/>
          </w:tcPr>
          <w:p w:rsidR="00586994" w:rsidRPr="00AA03C8" w:rsidP="006C103A" w14:paraId="4422B3E1"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025BA339" w14:textId="77777777">
            <w:pPr>
              <w:spacing w:after="0"/>
              <w:jc w:val="right"/>
              <w:rPr>
                <w:rFonts w:eastAsia="Times New Roman" w:cs="Arial"/>
                <w:sz w:val="20"/>
                <w:szCs w:val="20"/>
              </w:rPr>
            </w:pPr>
            <w:r w:rsidRPr="00AA03C8">
              <w:rPr>
                <w:rFonts w:eastAsia="Times New Roman" w:cs="Arial"/>
                <w:sz w:val="20"/>
                <w:szCs w:val="20"/>
              </w:rPr>
              <w:t>1.00</w:t>
            </w:r>
          </w:p>
        </w:tc>
        <w:tc>
          <w:tcPr>
            <w:tcW w:w="651" w:type="pct"/>
            <w:shd w:val="clear" w:color="auto" w:fill="auto"/>
            <w:vAlign w:val="center"/>
          </w:tcPr>
          <w:p w:rsidR="00586994" w:rsidRPr="00AA03C8" w:rsidP="006C103A" w14:paraId="10916514" w14:textId="77777777">
            <w:pPr>
              <w:spacing w:after="0"/>
              <w:jc w:val="right"/>
              <w:rPr>
                <w:rFonts w:eastAsia="Times New Roman" w:cs="Arial"/>
                <w:sz w:val="20"/>
                <w:szCs w:val="20"/>
              </w:rPr>
            </w:pPr>
            <w:r w:rsidRPr="00AA03C8">
              <w:rPr>
                <w:rFonts w:eastAsia="Times New Roman" w:cs="Arial"/>
                <w:sz w:val="20"/>
                <w:szCs w:val="20"/>
              </w:rPr>
              <w:t>0.00</w:t>
            </w:r>
          </w:p>
        </w:tc>
        <w:tc>
          <w:tcPr>
            <w:tcW w:w="652" w:type="pct"/>
            <w:shd w:val="clear" w:color="auto" w:fill="auto"/>
            <w:vAlign w:val="center"/>
          </w:tcPr>
          <w:p w:rsidR="00586994" w:rsidRPr="00AA03C8" w:rsidP="006C103A" w14:paraId="34DF598E" w14:textId="77777777">
            <w:pPr>
              <w:spacing w:after="0"/>
              <w:jc w:val="right"/>
              <w:rPr>
                <w:rFonts w:eastAsia="Times New Roman" w:cs="Arial"/>
                <w:sz w:val="20"/>
                <w:szCs w:val="20"/>
              </w:rPr>
            </w:pPr>
            <w:r w:rsidRPr="00AA03C8">
              <w:rPr>
                <w:rFonts w:eastAsia="Times New Roman" w:cs="Arial"/>
                <w:sz w:val="20"/>
                <w:szCs w:val="20"/>
              </w:rPr>
              <w:t>0.03</w:t>
            </w:r>
          </w:p>
        </w:tc>
        <w:tc>
          <w:tcPr>
            <w:tcW w:w="834" w:type="pct"/>
            <w:shd w:val="clear" w:color="auto" w:fill="auto"/>
            <w:vAlign w:val="center"/>
          </w:tcPr>
          <w:p w:rsidR="00586994" w:rsidRPr="00AA03C8" w:rsidP="006C103A" w14:paraId="777B6A49" w14:textId="77777777">
            <w:pPr>
              <w:spacing w:after="0"/>
              <w:jc w:val="right"/>
              <w:rPr>
                <w:rFonts w:eastAsia="Times New Roman" w:cs="Arial"/>
                <w:sz w:val="20"/>
                <w:szCs w:val="20"/>
              </w:rPr>
            </w:pPr>
            <w:r w:rsidRPr="00AA03C8">
              <w:rPr>
                <w:rFonts w:eastAsia="Times New Roman" w:cs="Arial"/>
                <w:sz w:val="20"/>
                <w:szCs w:val="20"/>
              </w:rPr>
              <w:t>0.03</w:t>
            </w:r>
          </w:p>
        </w:tc>
      </w:tr>
      <w:tr w14:paraId="631D8F0F" w14:textId="77777777" w:rsidTr="00D177F6">
        <w:tblPrEx>
          <w:tblW w:w="5000" w:type="pct"/>
          <w:tblLayout w:type="fixed"/>
          <w:tblLook w:val="04A0"/>
        </w:tblPrEx>
        <w:tc>
          <w:tcPr>
            <w:tcW w:w="4166" w:type="pct"/>
            <w:gridSpan w:val="5"/>
            <w:shd w:val="clear" w:color="auto" w:fill="auto"/>
          </w:tcPr>
          <w:p w:rsidR="00586994" w:rsidRPr="00AA03C8" w:rsidP="006C103A" w14:paraId="7FF6FF2A" w14:textId="77777777">
            <w:pPr>
              <w:widowControl w:val="0"/>
              <w:spacing w:after="0"/>
              <w:jc w:val="right"/>
              <w:rPr>
                <w:rFonts w:eastAsia="Times New Roman" w:cs="Arial"/>
                <w:b/>
                <w:sz w:val="20"/>
                <w:szCs w:val="20"/>
              </w:rPr>
            </w:pPr>
            <w:r w:rsidRPr="00AA03C8">
              <w:rPr>
                <w:rFonts w:eastAsia="Times New Roman" w:cs="Arial"/>
                <w:b/>
                <w:sz w:val="20"/>
                <w:szCs w:val="20"/>
              </w:rPr>
              <w:t>Total Subsequent Burden per firm</w:t>
            </w:r>
          </w:p>
        </w:tc>
        <w:tc>
          <w:tcPr>
            <w:tcW w:w="834" w:type="pct"/>
            <w:shd w:val="clear" w:color="auto" w:fill="auto"/>
            <w:vAlign w:val="center"/>
          </w:tcPr>
          <w:p w:rsidR="00586994" w:rsidRPr="00AA03C8" w:rsidP="006C103A" w14:paraId="41A7F2E2" w14:textId="77777777">
            <w:pPr>
              <w:widowControl w:val="0"/>
              <w:spacing w:after="0"/>
              <w:jc w:val="right"/>
              <w:rPr>
                <w:rFonts w:eastAsia="Times New Roman" w:cs="Arial"/>
                <w:b/>
                <w:sz w:val="20"/>
                <w:szCs w:val="20"/>
              </w:rPr>
            </w:pPr>
            <w:r w:rsidRPr="00AA03C8">
              <w:rPr>
                <w:rFonts w:eastAsia="Times New Roman" w:cs="Arial"/>
                <w:b/>
                <w:sz w:val="20"/>
                <w:szCs w:val="20"/>
              </w:rPr>
              <w:t>0.17</w:t>
            </w:r>
          </w:p>
        </w:tc>
      </w:tr>
    </w:tbl>
    <w:p w:rsidR="00586994" w:rsidRPr="00E42336" w:rsidP="006C103A" w14:paraId="72C9BA35" w14:textId="02E585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E42336">
        <w:t>EPA estimates the total burden for one firm to complete one form to be approximately 10</w:t>
      </w:r>
      <w:r w:rsidR="005F10EA">
        <w:t xml:space="preserve">6.9 </w:t>
      </w:r>
      <w:r w:rsidRPr="00E42336">
        <w:t xml:space="preserve">hours including rule familiarization and electronic reporting. </w:t>
      </w:r>
    </w:p>
    <w:p w:rsidR="00586994" w:rsidRPr="00561BB3" w:rsidP="00561BB3" w14:paraId="226E9F5F" w14:textId="1B611A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2336">
        <w:t>Given the expectation that each respondent will submit 1.7 reports per year, the burden per year per respondent is estimated by:</w:t>
      </w:r>
      <w:r w:rsidR="00561BB3">
        <w:t xml:space="preserve"> </w:t>
      </w:r>
      <w:r w:rsidRPr="00561BB3">
        <w:t>Form Completion, CBI Claim</w:t>
      </w:r>
      <w:r w:rsidRPr="00561BB3" w:rsidR="00561BB3">
        <w:t xml:space="preserve"> </w:t>
      </w:r>
      <w:r w:rsidRPr="00561BB3">
        <w:t>Substantiation</w:t>
      </w:r>
      <w:r w:rsidRPr="00561BB3" w:rsidR="001B1D6C">
        <w:t xml:space="preserve">, </w:t>
      </w:r>
      <w:r w:rsidRPr="00561BB3">
        <w:t>Recordkeeping</w:t>
      </w:r>
      <w:r w:rsidRPr="00561BB3" w:rsidR="001B1D6C">
        <w:t xml:space="preserve">, </w:t>
      </w:r>
      <w:r w:rsidRPr="00561BB3">
        <w:t>E-Reporting</w:t>
      </w:r>
      <w:r w:rsidRPr="00561BB3" w:rsidR="001B1D6C">
        <w:t xml:space="preserve">, and </w:t>
      </w:r>
      <w:r w:rsidRPr="00561BB3">
        <w:t>Rule</w:t>
      </w:r>
      <w:r w:rsidRPr="00561BB3" w:rsidR="001B1D6C">
        <w:t xml:space="preserve"> </w:t>
      </w:r>
      <w:r w:rsidRPr="00561BB3">
        <w:t>familiarization</w:t>
      </w:r>
      <w:r w:rsidRPr="00561BB3" w:rsidR="00561BB3">
        <w:t>.</w:t>
      </w:r>
    </w:p>
    <w:p w:rsidR="006C103A" w:rsidRPr="006C103A" w:rsidP="006C103A" w14:paraId="150FEB20" w14:textId="1921941A">
      <w:pPr>
        <w:rPr>
          <w:rStyle w:val="SubtleEmphasis"/>
          <w:rFonts w:eastAsiaTheme="minorEastAsia"/>
          <w:b/>
          <w:iCs w:val="0"/>
          <w:sz w:val="20"/>
          <w:szCs w:val="20"/>
        </w:rPr>
      </w:pPr>
      <m:oMathPara>
        <m:oMath>
          <m:r>
            <m:rPr>
              <m:sty m:val="b"/>
            </m:rPr>
            <w:rPr>
              <w:rStyle w:val="SubtleEmphasis"/>
              <w:rFonts w:ascii="Cambria Math" w:hAnsi="Cambria Math"/>
              <w:sz w:val="20"/>
              <w:szCs w:val="20"/>
            </w:rPr>
            <m:t xml:space="preserve">Annual Burden per respondent=1.7 </m:t>
          </m:r>
          <m:d>
            <m:dPr>
              <m:ctrlPr>
                <w:rPr>
                  <w:rStyle w:val="SubtleEmphasis"/>
                  <w:rFonts w:ascii="Cambria Math" w:hAnsi="Cambria Math"/>
                  <w:i w:val="0"/>
                  <w:iCs w:val="0"/>
                  <w:sz w:val="20"/>
                  <w:szCs w:val="20"/>
                </w:rPr>
              </m:ctrlPr>
            </m:dPr>
            <m:e>
              <m:r>
                <m:rPr>
                  <m:sty m:val="b"/>
                </m:rPr>
                <w:rPr>
                  <w:rStyle w:val="SubtleEmphasis"/>
                  <w:rFonts w:ascii="Cambria Math" w:hAnsi="Cambria Math"/>
                  <w:sz w:val="20"/>
                  <w:szCs w:val="20"/>
                </w:rPr>
                <m:t>103.8+1.14+0.75</m:t>
              </m:r>
            </m:e>
          </m:d>
          <m:r>
            <m:rPr>
              <m:sty m:val="b"/>
            </m:rPr>
            <w:rPr>
              <w:rStyle w:val="SubtleEmphasis"/>
              <w:rFonts w:ascii="Cambria Math" w:hAnsi="Cambria Math"/>
              <w:sz w:val="20"/>
              <w:szCs w:val="20"/>
            </w:rPr>
            <m:t>+0.80+0.41=180.88</m:t>
          </m:r>
        </m:oMath>
      </m:oMathPara>
    </w:p>
    <w:p w:rsidR="00586994" w:rsidRPr="00E42336" w:rsidP="006C103A" w14:paraId="27034A74" w14:textId="1EBBEFF0">
      <w:r w:rsidRPr="00E42336">
        <w:t>Therefore, the total annual burden across all 5.3 respondents, that are expected per year, is estimated by:</w:t>
      </w:r>
    </w:p>
    <w:p w:rsidR="00586994" w:rsidRPr="00561BB3" w:rsidP="00561BB3" w14:paraId="34F950F2" w14:textId="4846095F">
      <m:oMathPara>
        <m:oMath>
          <m:r>
            <m:rPr>
              <m:sty m:val="bi"/>
            </m:rPr>
            <w:rPr>
              <w:rFonts w:ascii="Cambria Math" w:hAnsi="Cambria Math"/>
              <w:sz w:val="20"/>
              <w:szCs w:val="20"/>
            </w:rPr>
            <m:t>Total</m:t>
          </m:r>
          <m:r>
            <m:rPr>
              <m:sty m:val="p"/>
            </m:rPr>
            <w:rPr>
              <w:rFonts w:ascii="Cambria Math" w:hAnsi="Cambria Math"/>
              <w:sz w:val="20"/>
              <w:szCs w:val="20"/>
            </w:rPr>
            <m:t xml:space="preserve"> </m:t>
          </m:r>
          <m:r>
            <m:rPr>
              <m:sty m:val="bi"/>
            </m:rPr>
            <w:rPr>
              <w:rFonts w:ascii="Cambria Math" w:hAnsi="Cambria Math"/>
              <w:sz w:val="20"/>
              <w:szCs w:val="20"/>
            </w:rPr>
            <m:t>Annual</m:t>
          </m:r>
          <m:r>
            <m:rPr>
              <m:sty m:val="p"/>
            </m:rPr>
            <w:rPr>
              <w:rFonts w:ascii="Cambria Math" w:hAnsi="Cambria Math"/>
              <w:sz w:val="20"/>
              <w:szCs w:val="20"/>
            </w:rPr>
            <m:t xml:space="preserve"> </m:t>
          </m:r>
          <m:r>
            <m:rPr>
              <m:sty m:val="bi"/>
            </m:rPr>
            <w:rPr>
              <w:rFonts w:ascii="Cambria Math" w:hAnsi="Cambria Math"/>
              <w:sz w:val="20"/>
              <w:szCs w:val="20"/>
            </w:rPr>
            <m:t>Respondent</m:t>
          </m:r>
          <m:r>
            <m:rPr>
              <m:sty m:val="p"/>
            </m:rPr>
            <w:rPr>
              <w:rFonts w:ascii="Cambria Math" w:hAnsi="Cambria Math"/>
              <w:sz w:val="20"/>
              <w:szCs w:val="20"/>
            </w:rPr>
            <m:t xml:space="preserve"> </m:t>
          </m:r>
          <m:r>
            <m:rPr>
              <m:sty m:val="bi"/>
            </m:rPr>
            <w:rPr>
              <w:rFonts w:ascii="Cambria Math" w:hAnsi="Cambria Math"/>
              <w:sz w:val="20"/>
              <w:szCs w:val="20"/>
            </w:rPr>
            <m:t>Burden</m:t>
          </m:r>
          <m:r>
            <m:rPr>
              <m:sty m:val="p"/>
            </m:rPr>
            <w:rPr>
              <w:rFonts w:ascii="Cambria Math" w:hAnsi="Cambria Math"/>
              <w:sz w:val="20"/>
              <w:szCs w:val="20"/>
            </w:rPr>
            <m:t xml:space="preserve">  =</m:t>
          </m:r>
          <m:r>
            <m:rPr>
              <m:sty m:val="b"/>
            </m:rPr>
            <w:rPr>
              <w:rFonts w:ascii="Cambria Math" w:hAnsi="Cambria Math"/>
              <w:sz w:val="20"/>
              <w:szCs w:val="20"/>
            </w:rPr>
            <m:t>5</m:t>
          </m:r>
          <m:r>
            <m:rPr>
              <m:sty m:val="p"/>
            </m:rPr>
            <w:rPr>
              <w:rFonts w:ascii="Cambria Math" w:hAnsi="Cambria Math"/>
              <w:sz w:val="20"/>
              <w:szCs w:val="20"/>
            </w:rPr>
            <m:t>.</m:t>
          </m:r>
          <m:r>
            <m:rPr>
              <m:sty m:val="b"/>
            </m:rPr>
            <w:rPr>
              <w:rFonts w:ascii="Cambria Math" w:hAnsi="Cambria Math"/>
              <w:sz w:val="20"/>
              <w:szCs w:val="20"/>
            </w:rPr>
            <m:t>3</m:t>
          </m:r>
          <m:r>
            <m:rPr>
              <m:sty m:val="p"/>
            </m:rPr>
            <w:rPr>
              <w:rFonts w:ascii="Cambria Math" w:hAnsi="Cambria Math"/>
              <w:sz w:val="20"/>
              <w:szCs w:val="20"/>
            </w:rPr>
            <m:t xml:space="preserve">    </m:t>
          </m:r>
          <m:r>
            <m:rPr>
              <m:sty m:val="bi"/>
            </m:rPr>
            <w:rPr>
              <w:rFonts w:ascii="Cambria Math" w:hAnsi="Cambria Math"/>
              <w:sz w:val="20"/>
              <w:szCs w:val="20"/>
            </w:rPr>
            <m:t>x</m:t>
          </m:r>
          <m:r>
            <m:rPr>
              <m:sty m:val="p"/>
            </m:rPr>
            <w:rPr>
              <w:rFonts w:ascii="Cambria Math" w:hAnsi="Cambria Math"/>
              <w:sz w:val="20"/>
              <w:szCs w:val="20"/>
            </w:rPr>
            <m:t xml:space="preserve">    </m:t>
          </m:r>
          <m:r>
            <m:rPr>
              <m:sty m:val="b"/>
            </m:rPr>
            <w:rPr>
              <w:rFonts w:ascii="Cambria Math" w:hAnsi="Cambria Math"/>
              <w:sz w:val="20"/>
              <w:szCs w:val="20"/>
            </w:rPr>
            <m:t>180.88</m:t>
          </m:r>
          <m:r>
            <m:rPr>
              <m:sty m:val="p"/>
            </m:rPr>
            <w:rPr>
              <w:rFonts w:ascii="Cambria Math" w:hAnsi="Cambria Math"/>
              <w:sz w:val="20"/>
              <w:szCs w:val="20"/>
            </w:rPr>
            <m:t>=</m:t>
          </m:r>
          <m:r>
            <m:rPr>
              <m:sty m:val="b"/>
            </m:rPr>
            <w:rPr>
              <w:rFonts w:ascii="Cambria Math" w:hAnsi="Cambria Math"/>
              <w:sz w:val="20"/>
              <w:szCs w:val="20"/>
            </w:rPr>
            <m:t>959</m:t>
          </m:r>
          <m:r>
            <m:rPr>
              <m:sty m:val="p"/>
            </m:rPr>
            <w:rPr>
              <w:rFonts w:ascii="Cambria Math" w:hAnsi="Cambria Math"/>
              <w:sz w:val="20"/>
              <w:szCs w:val="20"/>
            </w:rPr>
            <m:t xml:space="preserve"> </m:t>
          </m:r>
          <m:r>
            <m:rPr>
              <m:sty m:val="bi"/>
            </m:rPr>
            <w:rPr>
              <w:rFonts w:ascii="Cambria Math" w:hAnsi="Cambria Math"/>
              <w:sz w:val="20"/>
              <w:szCs w:val="20"/>
            </w:rPr>
            <m:t>hours</m:t>
          </m:r>
        </m:oMath>
      </m:oMathPara>
    </w:p>
    <w:p w:rsidR="00586994" w:rsidRPr="004051E9" w:rsidP="001B1D6C" w14:paraId="76124280" w14:textId="03CFCD4B">
      <w:pPr>
        <w:pStyle w:val="Heading2"/>
      </w:pPr>
      <w:r w:rsidRPr="004051E9">
        <w:t>Estimating Cost</w:t>
      </w:r>
    </w:p>
    <w:p w:rsidR="00586994" w:rsidRPr="002C792C" w:rsidP="002C792C" w14:paraId="258B2339" w14:textId="36FE6F3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2336">
        <w:t xml:space="preserve">Table 5 contains the cost per activity of completing a form for one respondent. Burden hours presented in Table 3 were multiplied by the corresponding loaded wage rate. EPA </w:t>
      </w:r>
      <w:r w:rsidRPr="00E42336">
        <w:t>estimates that the total cost for a new firm to review the rule, complete, and submit one report with record keeping is approximately $13,</w:t>
      </w:r>
      <w:r w:rsidR="00313960">
        <w:t>072</w:t>
      </w:r>
      <w:r w:rsidRPr="00E42336">
        <w:t xml:space="preserve">. </w:t>
      </w:r>
    </w:p>
    <w:p w:rsidR="00586994" w:rsidRPr="00AA03C8" w:rsidP="00586994" w14:paraId="65D3025E" w14:textId="77777777">
      <w:pPr>
        <w:pStyle w:val="NoSpacing"/>
        <w:jc w:val="center"/>
        <w:rPr>
          <w:rFonts w:cs="Arial"/>
          <w:b/>
        </w:rPr>
      </w:pPr>
      <w:r w:rsidRPr="00AA03C8">
        <w:rPr>
          <w:rFonts w:cs="Arial"/>
          <w:b/>
        </w:rPr>
        <w:t>Table 5: Industry Cost, by Activity (2022$)</w:t>
      </w:r>
    </w:p>
    <w:tbl>
      <w:tblPr>
        <w:tblW w:w="5000" w:type="pct"/>
        <w:tblLook w:val="04A0"/>
      </w:tblPr>
      <w:tblGrid>
        <w:gridCol w:w="1973"/>
        <w:gridCol w:w="1461"/>
        <w:gridCol w:w="1461"/>
        <w:gridCol w:w="1461"/>
        <w:gridCol w:w="1573"/>
        <w:gridCol w:w="1411"/>
      </w:tblGrid>
      <w:tr w14:paraId="3870C002" w14:textId="77777777" w:rsidTr="001B1D6C">
        <w:tblPrEx>
          <w:tblW w:w="5000" w:type="pct"/>
          <w:tblLook w:val="04A0"/>
        </w:tblPrEx>
        <w:trPr>
          <w:trHeight w:val="510"/>
        </w:trPr>
        <w:tc>
          <w:tcPr>
            <w:tcW w:w="1056" w:type="pct"/>
            <w:tcBorders>
              <w:top w:val="single" w:sz="8" w:space="0" w:color="auto"/>
              <w:left w:val="single" w:sz="8" w:space="0" w:color="auto"/>
              <w:bottom w:val="single" w:sz="8" w:space="0" w:color="000000"/>
              <w:right w:val="single" w:sz="8" w:space="0" w:color="auto"/>
            </w:tcBorders>
            <w:shd w:val="clear" w:color="auto" w:fill="F2F2F2"/>
            <w:noWrap/>
            <w:vAlign w:val="center"/>
            <w:hideMark/>
          </w:tcPr>
          <w:p w:rsidR="00586994" w:rsidRPr="00AA03C8" w:rsidP="00561BB3" w14:paraId="6B0EC6FB" w14:textId="77777777">
            <w:pPr>
              <w:spacing w:after="0"/>
              <w:jc w:val="center"/>
              <w:rPr>
                <w:rFonts w:eastAsia="Times New Roman" w:cs="Arial"/>
                <w:b/>
                <w:sz w:val="20"/>
                <w:szCs w:val="24"/>
              </w:rPr>
            </w:pPr>
            <w:r w:rsidRPr="00AA03C8">
              <w:rPr>
                <w:rFonts w:eastAsia="Times New Roman" w:cs="Arial"/>
                <w:b/>
                <w:sz w:val="20"/>
                <w:szCs w:val="24"/>
              </w:rPr>
              <w:t>Activity</w:t>
            </w:r>
          </w:p>
        </w:tc>
        <w:tc>
          <w:tcPr>
            <w:tcW w:w="782" w:type="pct"/>
            <w:tcBorders>
              <w:top w:val="single" w:sz="8" w:space="0" w:color="auto"/>
              <w:left w:val="single" w:sz="8" w:space="0" w:color="auto"/>
              <w:bottom w:val="single" w:sz="8" w:space="0" w:color="000000"/>
              <w:right w:val="single" w:sz="8" w:space="0" w:color="auto"/>
            </w:tcBorders>
            <w:shd w:val="clear" w:color="auto" w:fill="F2F2F2"/>
            <w:vAlign w:val="center"/>
            <w:hideMark/>
          </w:tcPr>
          <w:p w:rsidR="00586994" w:rsidRPr="00AA03C8" w:rsidP="00561BB3" w14:paraId="30F48E89" w14:textId="77777777">
            <w:pPr>
              <w:spacing w:after="0"/>
              <w:jc w:val="center"/>
              <w:rPr>
                <w:rFonts w:eastAsia="Times New Roman" w:cs="Arial"/>
                <w:b/>
                <w:sz w:val="20"/>
                <w:szCs w:val="24"/>
              </w:rPr>
            </w:pPr>
            <w:r w:rsidRPr="00AA03C8">
              <w:rPr>
                <w:rFonts w:eastAsia="Times New Roman" w:cs="Arial"/>
                <w:b/>
                <w:sz w:val="20"/>
                <w:szCs w:val="24"/>
              </w:rPr>
              <w:t>Clerical Burden ($</w:t>
            </w:r>
            <w:r w:rsidRPr="00AA03C8">
              <w:rPr>
                <w:rFonts w:cs="Arial"/>
                <w:b/>
                <w:sz w:val="20"/>
              </w:rPr>
              <w:t>33.76</w:t>
            </w:r>
            <w:r w:rsidRPr="00AA03C8">
              <w:rPr>
                <w:rFonts w:eastAsia="Times New Roman" w:cs="Arial"/>
                <w:b/>
                <w:sz w:val="20"/>
                <w:szCs w:val="24"/>
              </w:rPr>
              <w:t>/hour)</w:t>
            </w:r>
          </w:p>
        </w:tc>
        <w:tc>
          <w:tcPr>
            <w:tcW w:w="782" w:type="pct"/>
            <w:tcBorders>
              <w:top w:val="single" w:sz="8" w:space="0" w:color="auto"/>
              <w:left w:val="nil"/>
              <w:bottom w:val="single" w:sz="4" w:space="0" w:color="auto"/>
              <w:right w:val="single" w:sz="8" w:space="0" w:color="auto"/>
            </w:tcBorders>
            <w:shd w:val="clear" w:color="auto" w:fill="F2F2F2"/>
            <w:vAlign w:val="center"/>
            <w:hideMark/>
          </w:tcPr>
          <w:p w:rsidR="00586994" w:rsidRPr="00AA03C8" w:rsidP="00561BB3" w14:paraId="310CE148" w14:textId="77777777">
            <w:pPr>
              <w:spacing w:after="0"/>
              <w:jc w:val="center"/>
              <w:rPr>
                <w:rFonts w:eastAsia="Times New Roman" w:cs="Arial"/>
                <w:b/>
                <w:sz w:val="20"/>
                <w:szCs w:val="24"/>
              </w:rPr>
            </w:pPr>
            <w:r w:rsidRPr="00AA03C8">
              <w:rPr>
                <w:rFonts w:eastAsia="Times New Roman" w:cs="Arial"/>
                <w:b/>
                <w:sz w:val="20"/>
                <w:szCs w:val="24"/>
              </w:rPr>
              <w:t>Technical Burden</w:t>
            </w:r>
          </w:p>
          <w:p w:rsidR="00586994" w:rsidRPr="00AA03C8" w:rsidP="00561BB3" w14:paraId="562B53E2" w14:textId="77777777">
            <w:pPr>
              <w:spacing w:after="0"/>
              <w:jc w:val="center"/>
              <w:rPr>
                <w:rFonts w:eastAsia="Times New Roman" w:cs="Arial"/>
                <w:b/>
                <w:sz w:val="20"/>
                <w:szCs w:val="24"/>
              </w:rPr>
            </w:pPr>
            <w:r w:rsidRPr="00AA03C8">
              <w:rPr>
                <w:rFonts w:eastAsia="Times New Roman" w:cs="Arial"/>
                <w:b/>
                <w:bCs/>
                <w:sz w:val="20"/>
                <w:szCs w:val="20"/>
              </w:rPr>
              <w:t>($67.68/hour)</w:t>
            </w:r>
          </w:p>
        </w:tc>
        <w:tc>
          <w:tcPr>
            <w:tcW w:w="782" w:type="pct"/>
            <w:tcBorders>
              <w:top w:val="single" w:sz="8" w:space="0" w:color="auto"/>
              <w:left w:val="nil"/>
              <w:bottom w:val="single" w:sz="4" w:space="0" w:color="auto"/>
              <w:right w:val="single" w:sz="8" w:space="0" w:color="auto"/>
            </w:tcBorders>
            <w:shd w:val="clear" w:color="auto" w:fill="F2F2F2"/>
            <w:vAlign w:val="center"/>
            <w:hideMark/>
          </w:tcPr>
          <w:p w:rsidR="00586994" w:rsidRPr="00AA03C8" w:rsidP="00561BB3" w14:paraId="573DDEF1" w14:textId="77777777">
            <w:pPr>
              <w:spacing w:after="0"/>
              <w:jc w:val="center"/>
              <w:rPr>
                <w:rFonts w:eastAsia="Times New Roman" w:cs="Arial"/>
                <w:b/>
                <w:sz w:val="20"/>
                <w:szCs w:val="24"/>
              </w:rPr>
            </w:pPr>
            <w:r w:rsidRPr="00AA03C8">
              <w:rPr>
                <w:rFonts w:eastAsia="Times New Roman" w:cs="Arial"/>
                <w:b/>
                <w:sz w:val="20"/>
                <w:szCs w:val="24"/>
              </w:rPr>
              <w:t>Managerial Burden</w:t>
            </w:r>
          </w:p>
          <w:p w:rsidR="00586994" w:rsidRPr="00AA03C8" w:rsidP="00561BB3" w14:paraId="7B9E9538" w14:textId="77777777">
            <w:pPr>
              <w:spacing w:after="0"/>
              <w:jc w:val="center"/>
              <w:rPr>
                <w:rFonts w:eastAsia="Times New Roman" w:cs="Arial"/>
                <w:b/>
                <w:sz w:val="20"/>
                <w:szCs w:val="24"/>
              </w:rPr>
            </w:pPr>
            <w:r w:rsidRPr="00AA03C8">
              <w:rPr>
                <w:rFonts w:eastAsia="Times New Roman" w:cs="Arial"/>
                <w:b/>
                <w:bCs/>
                <w:sz w:val="20"/>
                <w:szCs w:val="20"/>
              </w:rPr>
              <w:t>($</w:t>
            </w:r>
            <w:r w:rsidRPr="00AA03C8">
              <w:rPr>
                <w:rFonts w:cs="Arial"/>
                <w:b/>
                <w:sz w:val="20"/>
              </w:rPr>
              <w:t>86.61</w:t>
            </w:r>
            <w:r w:rsidRPr="00AA03C8">
              <w:rPr>
                <w:rFonts w:eastAsia="Times New Roman" w:cs="Arial"/>
                <w:b/>
                <w:bCs/>
                <w:sz w:val="20"/>
                <w:szCs w:val="20"/>
              </w:rPr>
              <w:t>/hour)</w:t>
            </w:r>
          </w:p>
        </w:tc>
        <w:tc>
          <w:tcPr>
            <w:tcW w:w="842" w:type="pct"/>
            <w:tcBorders>
              <w:top w:val="single" w:sz="8" w:space="0" w:color="auto"/>
              <w:left w:val="nil"/>
              <w:bottom w:val="single" w:sz="4" w:space="0" w:color="auto"/>
              <w:right w:val="single" w:sz="8" w:space="0" w:color="auto"/>
            </w:tcBorders>
            <w:shd w:val="clear" w:color="auto" w:fill="F2F2F2"/>
            <w:vAlign w:val="center"/>
            <w:hideMark/>
          </w:tcPr>
          <w:p w:rsidR="00586994" w:rsidRPr="00AA03C8" w:rsidP="00561BB3" w14:paraId="0DCF851A" w14:textId="77777777">
            <w:pPr>
              <w:spacing w:after="0"/>
              <w:jc w:val="center"/>
              <w:rPr>
                <w:rFonts w:eastAsia="Times New Roman" w:cs="Arial"/>
                <w:b/>
                <w:bCs/>
                <w:sz w:val="20"/>
                <w:szCs w:val="20"/>
              </w:rPr>
            </w:pPr>
            <w:r w:rsidRPr="00AA03C8">
              <w:rPr>
                <w:rFonts w:eastAsia="Times New Roman" w:cs="Arial"/>
                <w:b/>
                <w:bCs/>
                <w:sz w:val="20"/>
                <w:szCs w:val="20"/>
              </w:rPr>
              <w:t>Attorney Burden</w:t>
            </w:r>
          </w:p>
          <w:p w:rsidR="00586994" w:rsidRPr="00AA03C8" w:rsidP="00561BB3" w14:paraId="6D31DE61" w14:textId="77777777">
            <w:pPr>
              <w:spacing w:after="0"/>
              <w:jc w:val="center"/>
              <w:rPr>
                <w:rFonts w:eastAsia="Times New Roman" w:cs="Arial"/>
                <w:b/>
                <w:bCs/>
                <w:sz w:val="20"/>
                <w:szCs w:val="20"/>
              </w:rPr>
            </w:pPr>
            <w:r w:rsidRPr="00AA03C8">
              <w:rPr>
                <w:rFonts w:eastAsia="Times New Roman" w:cs="Arial"/>
                <w:b/>
                <w:bCs/>
                <w:sz w:val="20"/>
                <w:szCs w:val="20"/>
              </w:rPr>
              <w:t>($</w:t>
            </w:r>
            <w:r w:rsidRPr="00AA03C8">
              <w:rPr>
                <w:rFonts w:cs="Arial"/>
                <w:b/>
                <w:sz w:val="20"/>
                <w:szCs w:val="20"/>
              </w:rPr>
              <w:t>125.92</w:t>
            </w:r>
            <w:r w:rsidRPr="00AA03C8">
              <w:rPr>
                <w:rFonts w:eastAsia="Times New Roman" w:cs="Arial"/>
                <w:b/>
                <w:bCs/>
                <w:sz w:val="20"/>
                <w:szCs w:val="20"/>
              </w:rPr>
              <w:t>/hour)</w:t>
            </w:r>
          </w:p>
        </w:tc>
        <w:tc>
          <w:tcPr>
            <w:tcW w:w="755" w:type="pct"/>
            <w:tcBorders>
              <w:top w:val="single" w:sz="8" w:space="0" w:color="auto"/>
              <w:left w:val="single" w:sz="8" w:space="0" w:color="auto"/>
              <w:bottom w:val="single" w:sz="4" w:space="0" w:color="auto"/>
              <w:right w:val="single" w:sz="8" w:space="0" w:color="auto"/>
            </w:tcBorders>
            <w:shd w:val="clear" w:color="auto" w:fill="F2F2F2"/>
            <w:vAlign w:val="center"/>
            <w:hideMark/>
          </w:tcPr>
          <w:p w:rsidR="00586994" w:rsidRPr="00AA03C8" w:rsidP="00561BB3" w14:paraId="2D2D2853" w14:textId="77777777">
            <w:pPr>
              <w:spacing w:after="0"/>
              <w:jc w:val="center"/>
              <w:rPr>
                <w:rFonts w:eastAsia="Times New Roman" w:cs="Arial"/>
                <w:b/>
                <w:sz w:val="20"/>
                <w:szCs w:val="24"/>
              </w:rPr>
            </w:pPr>
            <w:r w:rsidRPr="00AA03C8">
              <w:rPr>
                <w:rFonts w:eastAsia="Times New Roman" w:cs="Arial"/>
                <w:b/>
                <w:sz w:val="20"/>
                <w:szCs w:val="24"/>
              </w:rPr>
              <w:t>Total Cost</w:t>
            </w:r>
          </w:p>
        </w:tc>
      </w:tr>
      <w:tr w14:paraId="0895F576" w14:textId="77777777" w:rsidTr="001B1D6C">
        <w:tblPrEx>
          <w:tblW w:w="5000" w:type="pct"/>
          <w:tblLook w:val="04A0"/>
        </w:tblPrEx>
        <w:trPr>
          <w:trHeight w:val="315"/>
        </w:trPr>
        <w:tc>
          <w:tcPr>
            <w:tcW w:w="1056" w:type="pct"/>
            <w:tcBorders>
              <w:top w:val="nil"/>
              <w:left w:val="single" w:sz="8" w:space="0" w:color="auto"/>
              <w:bottom w:val="single" w:sz="8" w:space="0" w:color="auto"/>
              <w:right w:val="single" w:sz="8" w:space="0" w:color="auto"/>
            </w:tcBorders>
            <w:shd w:val="clear" w:color="auto" w:fill="auto"/>
            <w:noWrap/>
            <w:vAlign w:val="center"/>
            <w:hideMark/>
          </w:tcPr>
          <w:p w:rsidR="00586994" w:rsidRPr="00AA03C8" w:rsidP="00561BB3" w14:paraId="5882EDFB" w14:textId="77777777">
            <w:pPr>
              <w:spacing w:after="0"/>
              <w:rPr>
                <w:rFonts w:eastAsia="Times New Roman" w:cs="Arial"/>
                <w:sz w:val="20"/>
                <w:szCs w:val="24"/>
              </w:rPr>
            </w:pPr>
            <w:r w:rsidRPr="00AA03C8">
              <w:rPr>
                <w:rFonts w:eastAsia="Times New Roman" w:cs="Arial"/>
                <w:sz w:val="20"/>
                <w:szCs w:val="24"/>
              </w:rPr>
              <w:t>Rule Familiarization</w:t>
            </w:r>
          </w:p>
        </w:tc>
        <w:tc>
          <w:tcPr>
            <w:tcW w:w="782" w:type="pct"/>
            <w:tcBorders>
              <w:top w:val="nil"/>
              <w:left w:val="nil"/>
              <w:bottom w:val="single" w:sz="8" w:space="0" w:color="auto"/>
              <w:right w:val="single" w:sz="8" w:space="0" w:color="auto"/>
            </w:tcBorders>
            <w:shd w:val="clear" w:color="auto" w:fill="auto"/>
            <w:vAlign w:val="center"/>
            <w:hideMark/>
          </w:tcPr>
          <w:p w:rsidR="00586994" w:rsidRPr="00AA03C8" w:rsidP="00561BB3" w14:paraId="31F0AD8C" w14:textId="77777777">
            <w:pPr>
              <w:spacing w:after="0"/>
              <w:jc w:val="center"/>
              <w:rPr>
                <w:rFonts w:eastAsia="Times New Roman" w:cs="Arial"/>
                <w:sz w:val="20"/>
                <w:szCs w:val="24"/>
              </w:rPr>
            </w:pPr>
            <w:r w:rsidRPr="00AA03C8">
              <w:rPr>
                <w:rFonts w:eastAsia="Times New Roman" w:cs="Arial"/>
                <w:sz w:val="20"/>
                <w:szCs w:val="24"/>
              </w:rPr>
              <w:t>$0.00</w:t>
            </w:r>
          </w:p>
        </w:tc>
        <w:tc>
          <w:tcPr>
            <w:tcW w:w="782" w:type="pct"/>
            <w:tcBorders>
              <w:top w:val="single" w:sz="4" w:space="0" w:color="auto"/>
              <w:left w:val="nil"/>
              <w:bottom w:val="single" w:sz="8" w:space="0" w:color="auto"/>
              <w:right w:val="single" w:sz="8" w:space="0" w:color="auto"/>
            </w:tcBorders>
            <w:shd w:val="clear" w:color="auto" w:fill="auto"/>
            <w:vAlign w:val="center"/>
          </w:tcPr>
          <w:p w:rsidR="00586994" w:rsidRPr="00AA03C8" w:rsidP="00561BB3" w14:paraId="793E94E5" w14:textId="59FE9B7A">
            <w:pPr>
              <w:spacing w:after="0"/>
              <w:jc w:val="center"/>
              <w:rPr>
                <w:rFonts w:eastAsia="Times New Roman" w:cs="Arial"/>
                <w:sz w:val="20"/>
                <w:szCs w:val="24"/>
              </w:rPr>
            </w:pPr>
            <w:r w:rsidRPr="00AA03C8">
              <w:rPr>
                <w:rFonts w:eastAsia="Times New Roman" w:cs="Arial"/>
                <w:sz w:val="20"/>
                <w:szCs w:val="24"/>
              </w:rPr>
              <w:t>$</w:t>
            </w:r>
            <w:r w:rsidR="00CE2F9E">
              <w:rPr>
                <w:rFonts w:eastAsia="Times New Roman" w:cs="Arial"/>
                <w:sz w:val="20"/>
                <w:szCs w:val="24"/>
              </w:rPr>
              <w:t>18.61</w:t>
            </w:r>
          </w:p>
        </w:tc>
        <w:tc>
          <w:tcPr>
            <w:tcW w:w="782" w:type="pct"/>
            <w:tcBorders>
              <w:top w:val="single" w:sz="4" w:space="0" w:color="auto"/>
              <w:left w:val="nil"/>
              <w:bottom w:val="single" w:sz="8" w:space="0" w:color="auto"/>
              <w:right w:val="single" w:sz="8" w:space="0" w:color="auto"/>
            </w:tcBorders>
            <w:shd w:val="clear" w:color="auto" w:fill="auto"/>
            <w:vAlign w:val="center"/>
          </w:tcPr>
          <w:p w:rsidR="00586994" w:rsidRPr="00AA03C8" w:rsidP="00561BB3" w14:paraId="70E30881" w14:textId="179F7E20">
            <w:pPr>
              <w:spacing w:after="0"/>
              <w:jc w:val="center"/>
              <w:rPr>
                <w:rFonts w:eastAsia="Times New Roman" w:cs="Arial"/>
                <w:sz w:val="20"/>
                <w:szCs w:val="24"/>
              </w:rPr>
            </w:pPr>
            <w:r w:rsidRPr="00AA03C8">
              <w:rPr>
                <w:rFonts w:eastAsia="Times New Roman" w:cs="Arial"/>
                <w:sz w:val="20"/>
                <w:szCs w:val="24"/>
              </w:rPr>
              <w:t>$</w:t>
            </w:r>
            <w:r w:rsidR="00CE2F9E">
              <w:rPr>
                <w:rFonts w:eastAsia="Times New Roman" w:cs="Arial"/>
                <w:sz w:val="20"/>
                <w:szCs w:val="24"/>
              </w:rPr>
              <w:t>11.69</w:t>
            </w:r>
          </w:p>
        </w:tc>
        <w:tc>
          <w:tcPr>
            <w:tcW w:w="842" w:type="pct"/>
            <w:tcBorders>
              <w:top w:val="single" w:sz="4" w:space="0" w:color="auto"/>
              <w:left w:val="nil"/>
              <w:bottom w:val="single" w:sz="8" w:space="0" w:color="auto"/>
              <w:right w:val="single" w:sz="8" w:space="0" w:color="auto"/>
            </w:tcBorders>
            <w:shd w:val="clear" w:color="auto" w:fill="auto"/>
            <w:vAlign w:val="center"/>
          </w:tcPr>
          <w:p w:rsidR="00586994" w:rsidRPr="00AA03C8" w:rsidP="00561BB3" w14:paraId="50CA2BAE" w14:textId="77777777">
            <w:pPr>
              <w:spacing w:after="0"/>
              <w:jc w:val="center"/>
              <w:rPr>
                <w:rFonts w:eastAsia="Times New Roman" w:cs="Arial"/>
                <w:sz w:val="20"/>
                <w:szCs w:val="20"/>
              </w:rPr>
            </w:pPr>
            <w:r w:rsidRPr="00AA03C8">
              <w:rPr>
                <w:rFonts w:eastAsia="Times New Roman" w:cs="Arial"/>
                <w:sz w:val="20"/>
                <w:szCs w:val="24"/>
              </w:rPr>
              <w:t>$0.00</w:t>
            </w:r>
          </w:p>
        </w:tc>
        <w:tc>
          <w:tcPr>
            <w:tcW w:w="755" w:type="pct"/>
            <w:tcBorders>
              <w:top w:val="single" w:sz="4" w:space="0" w:color="auto"/>
              <w:left w:val="nil"/>
              <w:bottom w:val="single" w:sz="8" w:space="0" w:color="auto"/>
              <w:right w:val="single" w:sz="8" w:space="0" w:color="auto"/>
            </w:tcBorders>
            <w:shd w:val="clear" w:color="auto" w:fill="auto"/>
            <w:vAlign w:val="center"/>
          </w:tcPr>
          <w:p w:rsidR="00586994" w:rsidRPr="00AA03C8" w:rsidP="00561BB3" w14:paraId="76FAA4EC" w14:textId="5CB64D31">
            <w:pPr>
              <w:spacing w:after="0"/>
              <w:jc w:val="center"/>
              <w:rPr>
                <w:rFonts w:eastAsia="Times New Roman" w:cs="Arial"/>
                <w:sz w:val="20"/>
                <w:szCs w:val="24"/>
              </w:rPr>
            </w:pPr>
            <w:r w:rsidRPr="00AA03C8">
              <w:rPr>
                <w:rFonts w:eastAsia="Times New Roman" w:cs="Arial"/>
                <w:sz w:val="20"/>
                <w:szCs w:val="24"/>
              </w:rPr>
              <w:t>$</w:t>
            </w:r>
            <w:r w:rsidR="00CE2F9E">
              <w:rPr>
                <w:rFonts w:eastAsia="Times New Roman" w:cs="Arial"/>
                <w:sz w:val="20"/>
                <w:szCs w:val="24"/>
              </w:rPr>
              <w:t>30.30</w:t>
            </w:r>
          </w:p>
        </w:tc>
      </w:tr>
      <w:tr w14:paraId="0734E467" w14:textId="77777777" w:rsidTr="001B1D6C">
        <w:tblPrEx>
          <w:tblW w:w="5000" w:type="pct"/>
          <w:tblLook w:val="04A0"/>
        </w:tblPrEx>
        <w:trPr>
          <w:trHeight w:val="315"/>
        </w:trPr>
        <w:tc>
          <w:tcPr>
            <w:tcW w:w="1056" w:type="pct"/>
            <w:tcBorders>
              <w:top w:val="nil"/>
              <w:left w:val="single" w:sz="8" w:space="0" w:color="auto"/>
              <w:bottom w:val="single" w:sz="8" w:space="0" w:color="auto"/>
              <w:right w:val="single" w:sz="8" w:space="0" w:color="auto"/>
            </w:tcBorders>
            <w:shd w:val="clear" w:color="auto" w:fill="auto"/>
            <w:vAlign w:val="center"/>
            <w:hideMark/>
          </w:tcPr>
          <w:p w:rsidR="00586994" w:rsidRPr="00AA03C8" w:rsidP="00561BB3" w14:paraId="7BF66FED" w14:textId="77777777">
            <w:pPr>
              <w:spacing w:after="0"/>
              <w:rPr>
                <w:rFonts w:eastAsia="Times New Roman" w:cs="Arial"/>
                <w:sz w:val="20"/>
                <w:szCs w:val="24"/>
              </w:rPr>
            </w:pPr>
            <w:r w:rsidRPr="00AA03C8">
              <w:rPr>
                <w:rFonts w:eastAsia="Times New Roman" w:cs="Arial"/>
                <w:sz w:val="20"/>
                <w:szCs w:val="24"/>
              </w:rPr>
              <w:t>Form Completion</w:t>
            </w:r>
          </w:p>
        </w:tc>
        <w:tc>
          <w:tcPr>
            <w:tcW w:w="782" w:type="pct"/>
            <w:tcBorders>
              <w:top w:val="nil"/>
              <w:left w:val="nil"/>
              <w:bottom w:val="single" w:sz="8" w:space="0" w:color="auto"/>
              <w:right w:val="single" w:sz="8" w:space="0" w:color="auto"/>
            </w:tcBorders>
            <w:shd w:val="clear" w:color="auto" w:fill="auto"/>
            <w:vAlign w:val="center"/>
            <w:hideMark/>
          </w:tcPr>
          <w:p w:rsidR="00586994" w:rsidRPr="00AA03C8" w:rsidP="00561BB3" w14:paraId="3830E2EA" w14:textId="77777777">
            <w:pPr>
              <w:spacing w:after="0"/>
              <w:jc w:val="center"/>
              <w:rPr>
                <w:rFonts w:eastAsia="Times New Roman" w:cs="Arial"/>
                <w:sz w:val="20"/>
                <w:szCs w:val="24"/>
              </w:rPr>
            </w:pPr>
            <w:r w:rsidRPr="00AA03C8">
              <w:rPr>
                <w:rFonts w:eastAsia="Times New Roman" w:cs="Arial"/>
                <w:sz w:val="20"/>
                <w:szCs w:val="24"/>
              </w:rPr>
              <w:t>$0.00</w:t>
            </w:r>
          </w:p>
        </w:tc>
        <w:tc>
          <w:tcPr>
            <w:tcW w:w="782" w:type="pct"/>
            <w:tcBorders>
              <w:top w:val="nil"/>
              <w:left w:val="nil"/>
              <w:bottom w:val="single" w:sz="8" w:space="0" w:color="auto"/>
              <w:right w:val="single" w:sz="8" w:space="0" w:color="auto"/>
            </w:tcBorders>
            <w:shd w:val="clear" w:color="auto" w:fill="auto"/>
            <w:vAlign w:val="center"/>
          </w:tcPr>
          <w:p w:rsidR="00586994" w:rsidRPr="00AA03C8" w:rsidP="00561BB3" w14:paraId="467E02C0" w14:textId="77777777">
            <w:pPr>
              <w:spacing w:after="0"/>
              <w:jc w:val="center"/>
              <w:rPr>
                <w:rFonts w:eastAsia="Times New Roman" w:cs="Arial"/>
                <w:sz w:val="20"/>
                <w:szCs w:val="24"/>
              </w:rPr>
            </w:pPr>
            <w:r w:rsidRPr="00AA03C8">
              <w:rPr>
                <w:rFonts w:eastAsia="Times New Roman" w:cs="Arial"/>
                <w:sz w:val="20"/>
                <w:szCs w:val="24"/>
              </w:rPr>
              <w:t>$5,410</w:t>
            </w:r>
          </w:p>
        </w:tc>
        <w:tc>
          <w:tcPr>
            <w:tcW w:w="782" w:type="pct"/>
            <w:tcBorders>
              <w:top w:val="nil"/>
              <w:left w:val="nil"/>
              <w:bottom w:val="single" w:sz="8" w:space="0" w:color="auto"/>
              <w:right w:val="single" w:sz="8" w:space="0" w:color="auto"/>
            </w:tcBorders>
            <w:shd w:val="clear" w:color="auto" w:fill="auto"/>
            <w:vAlign w:val="center"/>
          </w:tcPr>
          <w:p w:rsidR="00586994" w:rsidRPr="00AA03C8" w:rsidP="00561BB3" w14:paraId="6B3C4E1F" w14:textId="77777777">
            <w:pPr>
              <w:spacing w:after="0"/>
              <w:jc w:val="center"/>
              <w:rPr>
                <w:rFonts w:eastAsia="Times New Roman" w:cs="Arial"/>
                <w:sz w:val="20"/>
                <w:szCs w:val="24"/>
              </w:rPr>
            </w:pPr>
            <w:r w:rsidRPr="00AA03C8">
              <w:rPr>
                <w:rFonts w:eastAsia="Times New Roman" w:cs="Arial"/>
                <w:sz w:val="20"/>
                <w:szCs w:val="24"/>
              </w:rPr>
              <w:t>$2,067.38</w:t>
            </w:r>
          </w:p>
        </w:tc>
        <w:tc>
          <w:tcPr>
            <w:tcW w:w="842" w:type="pct"/>
            <w:tcBorders>
              <w:top w:val="nil"/>
              <w:left w:val="nil"/>
              <w:bottom w:val="single" w:sz="8" w:space="0" w:color="auto"/>
              <w:right w:val="single" w:sz="8" w:space="0" w:color="auto"/>
            </w:tcBorders>
            <w:shd w:val="clear" w:color="auto" w:fill="auto"/>
            <w:vAlign w:val="center"/>
            <w:hideMark/>
          </w:tcPr>
          <w:p w:rsidR="00586994" w:rsidRPr="00AA03C8" w:rsidP="00561BB3" w14:paraId="038DFB51" w14:textId="77777777">
            <w:pPr>
              <w:spacing w:after="0"/>
              <w:jc w:val="center"/>
              <w:rPr>
                <w:rFonts w:eastAsia="Times New Roman" w:cs="Arial"/>
                <w:sz w:val="20"/>
                <w:szCs w:val="20"/>
              </w:rPr>
            </w:pPr>
            <w:r w:rsidRPr="00AA03C8">
              <w:rPr>
                <w:rFonts w:eastAsia="Times New Roman" w:cs="Arial"/>
                <w:sz w:val="20"/>
                <w:szCs w:val="20"/>
              </w:rPr>
              <w:t>$0.00</w:t>
            </w:r>
          </w:p>
        </w:tc>
        <w:tc>
          <w:tcPr>
            <w:tcW w:w="755" w:type="pct"/>
            <w:tcBorders>
              <w:top w:val="nil"/>
              <w:left w:val="nil"/>
              <w:bottom w:val="single" w:sz="8" w:space="0" w:color="auto"/>
              <w:right w:val="single" w:sz="8" w:space="0" w:color="auto"/>
            </w:tcBorders>
            <w:shd w:val="clear" w:color="auto" w:fill="auto"/>
            <w:vAlign w:val="center"/>
            <w:hideMark/>
          </w:tcPr>
          <w:p w:rsidR="00586994" w:rsidRPr="00AA03C8" w:rsidP="00561BB3" w14:paraId="78EF163C" w14:textId="77777777">
            <w:pPr>
              <w:spacing w:after="0"/>
              <w:jc w:val="center"/>
              <w:rPr>
                <w:rFonts w:eastAsia="Times New Roman" w:cs="Arial"/>
                <w:sz w:val="20"/>
                <w:szCs w:val="24"/>
              </w:rPr>
            </w:pPr>
            <w:bookmarkStart w:id="5" w:name="_Hlk21441519"/>
            <w:r w:rsidRPr="00AA03C8">
              <w:rPr>
                <w:rFonts w:eastAsia="Times New Roman" w:cs="Arial"/>
                <w:sz w:val="20"/>
                <w:szCs w:val="24"/>
              </w:rPr>
              <w:t>$</w:t>
            </w:r>
            <w:bookmarkEnd w:id="5"/>
            <w:r w:rsidRPr="00AA03C8">
              <w:rPr>
                <w:rFonts w:eastAsia="Times New Roman" w:cs="Arial"/>
                <w:sz w:val="20"/>
                <w:szCs w:val="24"/>
              </w:rPr>
              <w:t>7,477.38</w:t>
            </w:r>
          </w:p>
        </w:tc>
      </w:tr>
      <w:tr w14:paraId="720F62D4" w14:textId="77777777" w:rsidTr="001B1D6C">
        <w:tblPrEx>
          <w:tblW w:w="5000" w:type="pct"/>
          <w:tblLook w:val="04A0"/>
        </w:tblPrEx>
        <w:trPr>
          <w:trHeight w:val="315"/>
        </w:trPr>
        <w:tc>
          <w:tcPr>
            <w:tcW w:w="1056" w:type="pct"/>
            <w:tcBorders>
              <w:top w:val="nil"/>
              <w:left w:val="single" w:sz="8" w:space="0" w:color="auto"/>
              <w:bottom w:val="single" w:sz="8" w:space="0" w:color="auto"/>
              <w:right w:val="single" w:sz="8" w:space="0" w:color="auto"/>
            </w:tcBorders>
            <w:shd w:val="clear" w:color="auto" w:fill="auto"/>
            <w:vAlign w:val="center"/>
            <w:hideMark/>
          </w:tcPr>
          <w:p w:rsidR="00586994" w:rsidRPr="00AA03C8" w:rsidP="00561BB3" w14:paraId="132AE66A" w14:textId="77777777">
            <w:pPr>
              <w:spacing w:after="0"/>
              <w:rPr>
                <w:rFonts w:eastAsia="Times New Roman" w:cs="Arial"/>
                <w:sz w:val="20"/>
                <w:szCs w:val="20"/>
              </w:rPr>
            </w:pPr>
            <w:r w:rsidRPr="00AA03C8">
              <w:rPr>
                <w:rFonts w:eastAsia="Times New Roman" w:cs="Arial"/>
                <w:sz w:val="20"/>
                <w:szCs w:val="20"/>
              </w:rPr>
              <w:t>CBI Claim Substantiation</w:t>
            </w:r>
          </w:p>
        </w:tc>
        <w:tc>
          <w:tcPr>
            <w:tcW w:w="782" w:type="pct"/>
            <w:tcBorders>
              <w:top w:val="single" w:sz="8" w:space="0" w:color="auto"/>
              <w:left w:val="nil"/>
              <w:bottom w:val="single" w:sz="8" w:space="0" w:color="auto"/>
              <w:right w:val="single" w:sz="8" w:space="0" w:color="auto"/>
            </w:tcBorders>
            <w:shd w:val="clear" w:color="auto" w:fill="auto"/>
            <w:vAlign w:val="center"/>
            <w:hideMark/>
          </w:tcPr>
          <w:p w:rsidR="00586994" w:rsidRPr="00AA03C8" w:rsidP="00561BB3" w14:paraId="6FD61D50" w14:textId="77777777">
            <w:pPr>
              <w:spacing w:after="0"/>
              <w:jc w:val="center"/>
              <w:rPr>
                <w:rFonts w:eastAsia="Times New Roman" w:cs="Arial"/>
                <w:sz w:val="20"/>
                <w:szCs w:val="20"/>
              </w:rPr>
            </w:pPr>
            <w:r w:rsidRPr="00AA03C8">
              <w:rPr>
                <w:rFonts w:eastAsia="Times New Roman" w:cs="Arial"/>
                <w:sz w:val="20"/>
                <w:szCs w:val="20"/>
              </w:rPr>
              <w:t>$0.00</w:t>
            </w:r>
          </w:p>
        </w:tc>
        <w:tc>
          <w:tcPr>
            <w:tcW w:w="7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86994" w:rsidRPr="00AA03C8" w:rsidP="00561BB3" w14:paraId="042F77BC" w14:textId="77777777">
            <w:pPr>
              <w:spacing w:after="0"/>
              <w:jc w:val="center"/>
              <w:rPr>
                <w:rFonts w:eastAsia="Times New Roman" w:cs="Arial"/>
                <w:sz w:val="20"/>
                <w:szCs w:val="20"/>
              </w:rPr>
            </w:pPr>
            <w:r w:rsidRPr="00AA03C8">
              <w:rPr>
                <w:rFonts w:eastAsia="Times New Roman" w:cs="Arial"/>
                <w:sz w:val="20"/>
                <w:szCs w:val="24"/>
              </w:rPr>
              <w:t>$0.00</w:t>
            </w:r>
          </w:p>
        </w:tc>
        <w:tc>
          <w:tcPr>
            <w:tcW w:w="782" w:type="pct"/>
            <w:tcBorders>
              <w:top w:val="single" w:sz="8" w:space="0" w:color="auto"/>
              <w:left w:val="single" w:sz="8" w:space="0" w:color="auto"/>
              <w:bottom w:val="single" w:sz="8" w:space="0" w:color="auto"/>
              <w:right w:val="single" w:sz="8" w:space="0" w:color="auto"/>
            </w:tcBorders>
            <w:shd w:val="clear" w:color="auto" w:fill="auto"/>
            <w:vAlign w:val="center"/>
          </w:tcPr>
          <w:p w:rsidR="00586994" w:rsidRPr="00AA03C8" w:rsidP="00561BB3" w14:paraId="2C11098A" w14:textId="77777777">
            <w:pPr>
              <w:spacing w:after="0"/>
              <w:jc w:val="center"/>
              <w:rPr>
                <w:rFonts w:eastAsia="Times New Roman" w:cs="Arial"/>
                <w:sz w:val="20"/>
                <w:szCs w:val="20"/>
              </w:rPr>
            </w:pPr>
            <w:r w:rsidRPr="00AA03C8">
              <w:rPr>
                <w:rFonts w:eastAsia="Times New Roman" w:cs="Arial"/>
                <w:sz w:val="20"/>
                <w:szCs w:val="20"/>
              </w:rPr>
              <w:t>$49.37</w:t>
            </w:r>
          </w:p>
        </w:tc>
        <w:tc>
          <w:tcPr>
            <w:tcW w:w="842" w:type="pct"/>
            <w:tcBorders>
              <w:top w:val="single" w:sz="8" w:space="0" w:color="auto"/>
              <w:left w:val="single" w:sz="8" w:space="0" w:color="auto"/>
              <w:bottom w:val="single" w:sz="8" w:space="0" w:color="auto"/>
              <w:right w:val="single" w:sz="8" w:space="0" w:color="auto"/>
            </w:tcBorders>
            <w:shd w:val="clear" w:color="auto" w:fill="auto"/>
            <w:vAlign w:val="center"/>
          </w:tcPr>
          <w:p w:rsidR="00586994" w:rsidRPr="00AA03C8" w:rsidP="00561BB3" w14:paraId="24A7CD59" w14:textId="77777777">
            <w:pPr>
              <w:spacing w:after="0"/>
              <w:jc w:val="center"/>
              <w:rPr>
                <w:rFonts w:eastAsia="Times New Roman" w:cs="Arial"/>
                <w:sz w:val="20"/>
                <w:szCs w:val="20"/>
              </w:rPr>
            </w:pPr>
            <w:r w:rsidRPr="00AA03C8">
              <w:rPr>
                <w:rFonts w:eastAsia="Times New Roman" w:cs="Arial"/>
                <w:sz w:val="20"/>
                <w:szCs w:val="20"/>
              </w:rPr>
              <w:t>$71.77</w:t>
            </w:r>
          </w:p>
        </w:tc>
        <w:tc>
          <w:tcPr>
            <w:tcW w:w="755" w:type="pct"/>
            <w:tcBorders>
              <w:top w:val="single" w:sz="8" w:space="0" w:color="auto"/>
              <w:left w:val="single" w:sz="8" w:space="0" w:color="auto"/>
              <w:bottom w:val="single" w:sz="8" w:space="0" w:color="auto"/>
              <w:right w:val="single" w:sz="8" w:space="0" w:color="auto"/>
            </w:tcBorders>
            <w:shd w:val="clear" w:color="auto" w:fill="auto"/>
            <w:vAlign w:val="center"/>
          </w:tcPr>
          <w:p w:rsidR="00586994" w:rsidRPr="00AA03C8" w:rsidP="00561BB3" w14:paraId="547D9D7B" w14:textId="77777777">
            <w:pPr>
              <w:spacing w:after="0"/>
              <w:jc w:val="center"/>
              <w:rPr>
                <w:rFonts w:eastAsia="Times New Roman" w:cs="Arial"/>
                <w:sz w:val="20"/>
                <w:szCs w:val="20"/>
              </w:rPr>
            </w:pPr>
            <w:r w:rsidRPr="00AA03C8">
              <w:rPr>
                <w:rFonts w:eastAsia="Times New Roman" w:cs="Arial"/>
                <w:sz w:val="20"/>
                <w:szCs w:val="20"/>
              </w:rPr>
              <w:t>$121.14</w:t>
            </w:r>
          </w:p>
        </w:tc>
      </w:tr>
      <w:tr w14:paraId="1A2BED96" w14:textId="77777777" w:rsidTr="001B1D6C">
        <w:tblPrEx>
          <w:tblW w:w="5000" w:type="pct"/>
          <w:tblLook w:val="04A0"/>
        </w:tblPrEx>
        <w:trPr>
          <w:trHeight w:val="315"/>
        </w:trPr>
        <w:tc>
          <w:tcPr>
            <w:tcW w:w="1056" w:type="pct"/>
            <w:tcBorders>
              <w:top w:val="nil"/>
              <w:left w:val="single" w:sz="8" w:space="0" w:color="auto"/>
              <w:bottom w:val="single" w:sz="8" w:space="0" w:color="auto"/>
              <w:right w:val="single" w:sz="8" w:space="0" w:color="auto"/>
            </w:tcBorders>
            <w:shd w:val="clear" w:color="auto" w:fill="auto"/>
            <w:noWrap/>
            <w:vAlign w:val="center"/>
            <w:hideMark/>
          </w:tcPr>
          <w:p w:rsidR="00586994" w:rsidRPr="00AA03C8" w:rsidP="00561BB3" w14:paraId="534F557A" w14:textId="77777777">
            <w:pPr>
              <w:spacing w:after="0"/>
              <w:rPr>
                <w:rFonts w:eastAsia="Times New Roman" w:cs="Arial"/>
                <w:sz w:val="20"/>
                <w:szCs w:val="24"/>
              </w:rPr>
            </w:pPr>
            <w:r w:rsidRPr="00AA03C8">
              <w:rPr>
                <w:rFonts w:eastAsia="Times New Roman" w:cs="Arial"/>
                <w:sz w:val="20"/>
                <w:szCs w:val="24"/>
              </w:rPr>
              <w:t>Recordkeeping</w:t>
            </w:r>
          </w:p>
        </w:tc>
        <w:tc>
          <w:tcPr>
            <w:tcW w:w="782" w:type="pct"/>
            <w:tcBorders>
              <w:top w:val="nil"/>
              <w:left w:val="nil"/>
              <w:bottom w:val="single" w:sz="8" w:space="0" w:color="auto"/>
              <w:right w:val="single" w:sz="8" w:space="0" w:color="auto"/>
            </w:tcBorders>
            <w:shd w:val="clear" w:color="auto" w:fill="auto"/>
            <w:vAlign w:val="center"/>
          </w:tcPr>
          <w:p w:rsidR="00586994" w:rsidRPr="00AA03C8" w:rsidP="00561BB3" w14:paraId="258F09E8" w14:textId="77777777">
            <w:pPr>
              <w:spacing w:after="0"/>
              <w:jc w:val="center"/>
              <w:rPr>
                <w:rFonts w:eastAsia="Times New Roman" w:cs="Arial"/>
                <w:sz w:val="20"/>
                <w:szCs w:val="24"/>
              </w:rPr>
            </w:pPr>
            <w:r w:rsidRPr="00AA03C8">
              <w:rPr>
                <w:rFonts w:eastAsia="Times New Roman" w:cs="Arial"/>
                <w:sz w:val="20"/>
                <w:szCs w:val="24"/>
              </w:rPr>
              <w:t>$12.66</w:t>
            </w:r>
          </w:p>
        </w:tc>
        <w:tc>
          <w:tcPr>
            <w:tcW w:w="782" w:type="pct"/>
            <w:tcBorders>
              <w:top w:val="nil"/>
              <w:left w:val="nil"/>
              <w:bottom w:val="single" w:sz="8" w:space="0" w:color="auto"/>
              <w:right w:val="single" w:sz="8" w:space="0" w:color="auto"/>
            </w:tcBorders>
            <w:shd w:val="clear" w:color="auto" w:fill="auto"/>
            <w:vAlign w:val="center"/>
          </w:tcPr>
          <w:p w:rsidR="00586994" w:rsidRPr="00AA03C8" w:rsidP="00561BB3" w14:paraId="7B7BC1EC" w14:textId="77777777">
            <w:pPr>
              <w:spacing w:after="0"/>
              <w:jc w:val="center"/>
              <w:rPr>
                <w:rFonts w:eastAsia="Times New Roman" w:cs="Arial"/>
                <w:sz w:val="20"/>
                <w:szCs w:val="24"/>
              </w:rPr>
            </w:pPr>
            <w:r w:rsidRPr="00AA03C8">
              <w:rPr>
                <w:rFonts w:eastAsia="Times New Roman" w:cs="Arial"/>
                <w:sz w:val="20"/>
                <w:szCs w:val="24"/>
              </w:rPr>
              <w:t>$25.38</w:t>
            </w:r>
          </w:p>
        </w:tc>
        <w:tc>
          <w:tcPr>
            <w:tcW w:w="782" w:type="pct"/>
            <w:tcBorders>
              <w:top w:val="nil"/>
              <w:left w:val="nil"/>
              <w:bottom w:val="single" w:sz="8" w:space="0" w:color="auto"/>
              <w:right w:val="single" w:sz="8" w:space="0" w:color="auto"/>
            </w:tcBorders>
            <w:shd w:val="clear" w:color="auto" w:fill="auto"/>
            <w:vAlign w:val="center"/>
            <w:hideMark/>
          </w:tcPr>
          <w:p w:rsidR="00586994" w:rsidRPr="00AA03C8" w:rsidP="00561BB3" w14:paraId="55CB8739" w14:textId="77777777">
            <w:pPr>
              <w:spacing w:after="0"/>
              <w:jc w:val="center"/>
              <w:rPr>
                <w:rFonts w:eastAsia="Times New Roman" w:cs="Arial"/>
                <w:sz w:val="20"/>
                <w:szCs w:val="24"/>
              </w:rPr>
            </w:pPr>
            <w:r w:rsidRPr="00AA03C8">
              <w:rPr>
                <w:rFonts w:eastAsia="Times New Roman" w:cs="Arial"/>
                <w:sz w:val="20"/>
                <w:szCs w:val="24"/>
              </w:rPr>
              <w:t>$0.00</w:t>
            </w:r>
          </w:p>
        </w:tc>
        <w:tc>
          <w:tcPr>
            <w:tcW w:w="842" w:type="pct"/>
            <w:tcBorders>
              <w:top w:val="nil"/>
              <w:left w:val="nil"/>
              <w:bottom w:val="single" w:sz="8" w:space="0" w:color="auto"/>
              <w:right w:val="single" w:sz="8" w:space="0" w:color="auto"/>
            </w:tcBorders>
            <w:shd w:val="clear" w:color="auto" w:fill="auto"/>
            <w:vAlign w:val="center"/>
            <w:hideMark/>
          </w:tcPr>
          <w:p w:rsidR="00586994" w:rsidRPr="00AA03C8" w:rsidP="00561BB3" w14:paraId="7C0F85B9" w14:textId="77777777">
            <w:pPr>
              <w:spacing w:after="0"/>
              <w:jc w:val="center"/>
              <w:rPr>
                <w:rFonts w:eastAsia="Times New Roman" w:cs="Arial"/>
                <w:sz w:val="20"/>
                <w:szCs w:val="20"/>
              </w:rPr>
            </w:pPr>
            <w:r w:rsidRPr="00AA03C8">
              <w:rPr>
                <w:rFonts w:eastAsia="Times New Roman" w:cs="Arial"/>
                <w:sz w:val="20"/>
                <w:szCs w:val="20"/>
              </w:rPr>
              <w:t>$0.00</w:t>
            </w:r>
          </w:p>
        </w:tc>
        <w:tc>
          <w:tcPr>
            <w:tcW w:w="755" w:type="pct"/>
            <w:tcBorders>
              <w:top w:val="nil"/>
              <w:left w:val="nil"/>
              <w:bottom w:val="single" w:sz="8" w:space="0" w:color="auto"/>
              <w:right w:val="single" w:sz="8" w:space="0" w:color="auto"/>
            </w:tcBorders>
            <w:shd w:val="clear" w:color="auto" w:fill="auto"/>
            <w:vAlign w:val="center"/>
            <w:hideMark/>
          </w:tcPr>
          <w:p w:rsidR="00586994" w:rsidRPr="00AA03C8" w:rsidP="00561BB3" w14:paraId="7A89F93F" w14:textId="77777777">
            <w:pPr>
              <w:spacing w:after="0"/>
              <w:jc w:val="center"/>
              <w:rPr>
                <w:rFonts w:eastAsia="Times New Roman" w:cs="Arial"/>
                <w:sz w:val="20"/>
                <w:szCs w:val="24"/>
              </w:rPr>
            </w:pPr>
            <w:r w:rsidRPr="00AA03C8">
              <w:rPr>
                <w:rFonts w:eastAsia="Times New Roman" w:cs="Arial"/>
                <w:sz w:val="20"/>
                <w:szCs w:val="24"/>
              </w:rPr>
              <w:t>$38.04</w:t>
            </w:r>
          </w:p>
        </w:tc>
      </w:tr>
      <w:tr w14:paraId="168BC2F7" w14:textId="77777777" w:rsidTr="001B1D6C">
        <w:tblPrEx>
          <w:tblW w:w="5000" w:type="pct"/>
          <w:tblLook w:val="04A0"/>
        </w:tblPrEx>
        <w:trPr>
          <w:trHeight w:val="403"/>
        </w:trPr>
        <w:tc>
          <w:tcPr>
            <w:tcW w:w="1056" w:type="pct"/>
            <w:tcBorders>
              <w:top w:val="nil"/>
              <w:left w:val="single" w:sz="8" w:space="0" w:color="auto"/>
              <w:bottom w:val="single" w:sz="8" w:space="0" w:color="auto"/>
              <w:right w:val="single" w:sz="8" w:space="0" w:color="auto"/>
            </w:tcBorders>
            <w:shd w:val="clear" w:color="auto" w:fill="auto"/>
            <w:vAlign w:val="center"/>
            <w:hideMark/>
          </w:tcPr>
          <w:p w:rsidR="00586994" w:rsidRPr="00AA03C8" w:rsidP="00561BB3" w14:paraId="2246452C" w14:textId="77777777">
            <w:pPr>
              <w:spacing w:after="0"/>
              <w:rPr>
                <w:rFonts w:eastAsia="Times New Roman" w:cs="Arial"/>
                <w:b/>
                <w:szCs w:val="24"/>
              </w:rPr>
            </w:pPr>
            <w:r w:rsidRPr="00AA03C8">
              <w:rPr>
                <w:rFonts w:eastAsia="Times New Roman" w:cs="Arial"/>
                <w:b/>
                <w:szCs w:val="24"/>
              </w:rPr>
              <w:t>Total Burden per Report</w:t>
            </w:r>
          </w:p>
        </w:tc>
        <w:tc>
          <w:tcPr>
            <w:tcW w:w="782" w:type="pct"/>
            <w:tcBorders>
              <w:top w:val="nil"/>
              <w:left w:val="nil"/>
              <w:bottom w:val="single" w:sz="8" w:space="0" w:color="auto"/>
              <w:right w:val="single" w:sz="8" w:space="0" w:color="auto"/>
            </w:tcBorders>
            <w:shd w:val="clear" w:color="auto" w:fill="auto"/>
            <w:noWrap/>
            <w:vAlign w:val="center"/>
          </w:tcPr>
          <w:p w:rsidR="00586994" w:rsidRPr="00AA03C8" w:rsidP="00561BB3" w14:paraId="7CD86CDE" w14:textId="77777777">
            <w:pPr>
              <w:spacing w:after="0"/>
              <w:jc w:val="center"/>
              <w:rPr>
                <w:rFonts w:eastAsia="Times New Roman" w:cs="Arial"/>
                <w:b/>
                <w:szCs w:val="24"/>
              </w:rPr>
            </w:pPr>
            <w:r w:rsidRPr="00AA03C8">
              <w:rPr>
                <w:rFonts w:eastAsia="Times New Roman" w:cs="Arial"/>
                <w:b/>
                <w:szCs w:val="24"/>
              </w:rPr>
              <w:t>$12.66</w:t>
            </w:r>
          </w:p>
        </w:tc>
        <w:tc>
          <w:tcPr>
            <w:tcW w:w="782" w:type="pct"/>
            <w:tcBorders>
              <w:top w:val="nil"/>
              <w:left w:val="nil"/>
              <w:bottom w:val="single" w:sz="8" w:space="0" w:color="auto"/>
              <w:right w:val="single" w:sz="8" w:space="0" w:color="auto"/>
            </w:tcBorders>
            <w:shd w:val="clear" w:color="auto" w:fill="auto"/>
            <w:noWrap/>
            <w:vAlign w:val="center"/>
          </w:tcPr>
          <w:p w:rsidR="00586994" w:rsidRPr="00AA03C8" w:rsidP="00561BB3" w14:paraId="15D57038" w14:textId="58BC3A26">
            <w:pPr>
              <w:spacing w:after="0"/>
              <w:jc w:val="center"/>
              <w:rPr>
                <w:rFonts w:eastAsia="Times New Roman" w:cs="Arial"/>
                <w:b/>
                <w:szCs w:val="24"/>
              </w:rPr>
            </w:pPr>
            <w:r w:rsidRPr="00AA03C8">
              <w:rPr>
                <w:rFonts w:eastAsia="Times New Roman" w:cs="Arial"/>
                <w:b/>
                <w:szCs w:val="24"/>
              </w:rPr>
              <w:t>$5,4</w:t>
            </w:r>
            <w:r w:rsidR="00CE2F9E">
              <w:rPr>
                <w:rFonts w:eastAsia="Times New Roman" w:cs="Arial"/>
                <w:b/>
                <w:szCs w:val="24"/>
              </w:rPr>
              <w:t>53.99</w:t>
            </w:r>
          </w:p>
        </w:tc>
        <w:tc>
          <w:tcPr>
            <w:tcW w:w="782" w:type="pct"/>
            <w:tcBorders>
              <w:top w:val="nil"/>
              <w:left w:val="nil"/>
              <w:bottom w:val="single" w:sz="8" w:space="0" w:color="auto"/>
              <w:right w:val="single" w:sz="8" w:space="0" w:color="auto"/>
            </w:tcBorders>
            <w:shd w:val="clear" w:color="auto" w:fill="auto"/>
            <w:noWrap/>
            <w:vAlign w:val="center"/>
          </w:tcPr>
          <w:p w:rsidR="00586994" w:rsidRPr="00AA03C8" w:rsidP="00561BB3" w14:paraId="383ED9A7" w14:textId="480FAC7B">
            <w:pPr>
              <w:spacing w:after="0"/>
              <w:jc w:val="center"/>
              <w:rPr>
                <w:rFonts w:eastAsia="Times New Roman" w:cs="Arial"/>
                <w:b/>
                <w:szCs w:val="24"/>
              </w:rPr>
            </w:pPr>
            <w:r w:rsidRPr="00AA03C8">
              <w:rPr>
                <w:rFonts w:eastAsia="Times New Roman" w:cs="Arial"/>
                <w:b/>
                <w:szCs w:val="24"/>
              </w:rPr>
              <w:t>$2,1</w:t>
            </w:r>
            <w:r w:rsidR="00CE2F9E">
              <w:rPr>
                <w:rFonts w:eastAsia="Times New Roman" w:cs="Arial"/>
                <w:b/>
                <w:szCs w:val="24"/>
              </w:rPr>
              <w:t>28.44</w:t>
            </w:r>
          </w:p>
        </w:tc>
        <w:tc>
          <w:tcPr>
            <w:tcW w:w="842" w:type="pct"/>
            <w:tcBorders>
              <w:top w:val="nil"/>
              <w:left w:val="nil"/>
              <w:bottom w:val="single" w:sz="8" w:space="0" w:color="auto"/>
              <w:right w:val="single" w:sz="8" w:space="0" w:color="auto"/>
            </w:tcBorders>
            <w:shd w:val="clear" w:color="auto" w:fill="auto"/>
            <w:noWrap/>
            <w:vAlign w:val="center"/>
          </w:tcPr>
          <w:p w:rsidR="00586994" w:rsidRPr="00AA03C8" w:rsidP="00561BB3" w14:paraId="5E30B62E" w14:textId="77777777">
            <w:pPr>
              <w:spacing w:after="0"/>
              <w:jc w:val="center"/>
              <w:rPr>
                <w:rFonts w:eastAsia="Times New Roman" w:cs="Arial"/>
                <w:b/>
                <w:szCs w:val="24"/>
              </w:rPr>
            </w:pPr>
            <w:r w:rsidRPr="00AA03C8">
              <w:rPr>
                <w:rFonts w:eastAsia="Times New Roman" w:cs="Arial"/>
                <w:b/>
                <w:szCs w:val="24"/>
              </w:rPr>
              <w:t>$71.77</w:t>
            </w:r>
          </w:p>
        </w:tc>
        <w:tc>
          <w:tcPr>
            <w:tcW w:w="755" w:type="pct"/>
            <w:tcBorders>
              <w:top w:val="nil"/>
              <w:left w:val="nil"/>
              <w:bottom w:val="single" w:sz="8" w:space="0" w:color="auto"/>
              <w:right w:val="single" w:sz="8" w:space="0" w:color="auto"/>
            </w:tcBorders>
            <w:shd w:val="clear" w:color="auto" w:fill="auto"/>
            <w:noWrap/>
            <w:vAlign w:val="center"/>
          </w:tcPr>
          <w:p w:rsidR="00586994" w:rsidRPr="00AA03C8" w:rsidP="00561BB3" w14:paraId="0DC9ECBD" w14:textId="1C58BB02">
            <w:pPr>
              <w:spacing w:after="0"/>
              <w:jc w:val="center"/>
              <w:rPr>
                <w:rFonts w:eastAsia="Times New Roman" w:cs="Arial"/>
                <w:b/>
                <w:bCs/>
                <w:szCs w:val="20"/>
              </w:rPr>
            </w:pPr>
            <w:bookmarkStart w:id="6" w:name="_Hlk20916298"/>
            <w:r w:rsidRPr="00AA03C8">
              <w:rPr>
                <w:rFonts w:eastAsia="Times New Roman" w:cs="Arial"/>
                <w:b/>
                <w:bCs/>
                <w:szCs w:val="20"/>
              </w:rPr>
              <w:t>$</w:t>
            </w:r>
            <w:bookmarkEnd w:id="6"/>
            <w:r w:rsidRPr="00AA03C8">
              <w:rPr>
                <w:rFonts w:eastAsia="Times New Roman" w:cs="Arial"/>
                <w:b/>
                <w:bCs/>
                <w:szCs w:val="20"/>
              </w:rPr>
              <w:t>7,</w:t>
            </w:r>
            <w:r w:rsidRPr="00AA03C8" w:rsidR="00CE2F9E">
              <w:rPr>
                <w:rFonts w:eastAsia="Times New Roman" w:cs="Arial"/>
                <w:b/>
                <w:bCs/>
                <w:szCs w:val="20"/>
              </w:rPr>
              <w:t>6</w:t>
            </w:r>
            <w:r w:rsidR="00CE2F9E">
              <w:rPr>
                <w:rFonts w:eastAsia="Times New Roman" w:cs="Arial"/>
                <w:b/>
                <w:bCs/>
                <w:szCs w:val="20"/>
              </w:rPr>
              <w:t>67</w:t>
            </w:r>
          </w:p>
        </w:tc>
      </w:tr>
      <w:tr w14:paraId="7C075E26" w14:textId="77777777" w:rsidTr="00D177F6">
        <w:tblPrEx>
          <w:tblW w:w="5000" w:type="pct"/>
          <w:tblLook w:val="04A0"/>
        </w:tblPrEx>
        <w:trPr>
          <w:trHeight w:val="300"/>
        </w:trPr>
        <w:tc>
          <w:tcPr>
            <w:tcW w:w="5000" w:type="pct"/>
            <w:gridSpan w:val="6"/>
            <w:tcBorders>
              <w:top w:val="single" w:sz="8" w:space="0" w:color="auto"/>
              <w:left w:val="nil"/>
              <w:bottom w:val="nil"/>
              <w:right w:val="nil"/>
            </w:tcBorders>
            <w:shd w:val="clear" w:color="auto" w:fill="auto"/>
            <w:vAlign w:val="center"/>
            <w:hideMark/>
          </w:tcPr>
          <w:p w:rsidR="00586994" w:rsidRPr="00AA03C8" w:rsidP="00561BB3" w14:paraId="0AC328F8" w14:textId="77777777">
            <w:pPr>
              <w:spacing w:after="0"/>
              <w:rPr>
                <w:rFonts w:eastAsia="Times New Roman" w:cs="Arial"/>
                <w:sz w:val="18"/>
                <w:szCs w:val="20"/>
              </w:rPr>
            </w:pPr>
            <w:r w:rsidRPr="00AA03C8">
              <w:rPr>
                <w:rFonts w:eastAsia="Times New Roman" w:cs="Arial"/>
                <w:sz w:val="18"/>
                <w:szCs w:val="20"/>
              </w:rPr>
              <w:t>Values may not sum due to rounding.</w:t>
            </w:r>
          </w:p>
        </w:tc>
      </w:tr>
    </w:tbl>
    <w:p w:rsidR="0017139F" w:rsidRPr="00E42336" w:rsidP="0017139F" w14:paraId="0288BBB2" w14:textId="130B0A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E42336">
        <w:t xml:space="preserve">Electronic reporting costs are presented in Table 6. Because not all firms are expected </w:t>
      </w:r>
      <w:r w:rsidR="00A41E4C">
        <w:t xml:space="preserve">to </w:t>
      </w:r>
      <w:r w:rsidRPr="00E42336">
        <w:t xml:space="preserve">incur all costs, the number of annual activities per firm may be less than one. Electronic reporting costs for </w:t>
      </w:r>
      <w:r>
        <w:t>first-time</w:t>
      </w:r>
      <w:r w:rsidRPr="00E42336">
        <w:t xml:space="preserve"> registrants are estimated to be $105.24 per firm and subsequent year costs are to be $13.34 per firm. </w:t>
      </w:r>
      <w:r>
        <w:t xml:space="preserve">Approximately one-half of respondents (producers) will be first-time submitters while the other half (manufacturers) will be repeat submitters during the period covered by this ICR. The average labor cost for a form submission will therefore be $59.29. </w:t>
      </w:r>
    </w:p>
    <w:p w:rsidR="001B1D6C" w:rsidP="006C103A" w14:paraId="658F1940" w14:textId="52954819">
      <w:pPr>
        <w:spacing w:before="240"/>
        <w:rPr>
          <w:rFonts w:eastAsia="Times New Roman" w:cs="Arial"/>
          <w:szCs w:val="24"/>
        </w:rPr>
      </w:pPr>
      <w:r w:rsidRPr="00E42336">
        <w:t>More information on the derivation of these costs is found in the</w:t>
      </w:r>
      <w:r w:rsidRPr="0057780D">
        <w:rPr>
          <w:rFonts w:ascii="Times New Roman" w:eastAsia="Times New Roman" w:hAnsi="Times New Roman" w:cs="Times New Roman"/>
          <w:szCs w:val="24"/>
        </w:rPr>
        <w:t xml:space="preserve"> </w:t>
      </w:r>
      <w:r w:rsidRPr="001129AB">
        <w:rPr>
          <w:rFonts w:eastAsia="Times New Roman" w:cs="Arial"/>
          <w:bCs/>
          <w:i/>
          <w:szCs w:val="24"/>
        </w:rPr>
        <w:t xml:space="preserve">Economic Analysis for the Final TSCA Section 8(a) </w:t>
      </w:r>
      <w:r w:rsidRPr="001B1D6C">
        <w:rPr>
          <w:rFonts w:eastAsia="Times New Roman" w:cs="Arial"/>
          <w:bCs/>
          <w:i/>
          <w:szCs w:val="24"/>
        </w:rPr>
        <w:t>Reporting Requirements for Certain Chemical Substances as Nanoscale Materials</w:t>
      </w:r>
      <w:r w:rsidRPr="001B1D6C">
        <w:rPr>
          <w:rFonts w:eastAsia="Times New Roman" w:cs="Arial"/>
          <w:szCs w:val="24"/>
        </w:rPr>
        <w:t xml:space="preserve"> (EPA, 2016).</w:t>
      </w:r>
    </w:p>
    <w:p w:rsidR="00586994" w:rsidRPr="001B1D6C" w:rsidP="006C103A" w14:paraId="394EB76A" w14:textId="77777777">
      <w:pPr>
        <w:keepNext/>
        <w:jc w:val="center"/>
        <w:rPr>
          <w:b/>
          <w:bCs/>
        </w:rPr>
      </w:pPr>
      <w:r w:rsidRPr="001B1D6C">
        <w:rPr>
          <w:b/>
          <w:bCs/>
        </w:rPr>
        <w:t>Table 6: Industry Cost for Electronic Reporting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6"/>
        <w:gridCol w:w="1461"/>
        <w:gridCol w:w="1461"/>
        <w:gridCol w:w="1461"/>
        <w:gridCol w:w="1106"/>
        <w:gridCol w:w="1395"/>
      </w:tblGrid>
      <w:tr w14:paraId="1CCBE1AB" w14:textId="77777777" w:rsidTr="00D177F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0" w:type="pct"/>
            <w:shd w:val="clear" w:color="auto" w:fill="F2F2F2"/>
            <w:vAlign w:val="center"/>
          </w:tcPr>
          <w:p w:rsidR="00586994" w:rsidRPr="00AA03C8" w:rsidP="00561BB3" w14:paraId="1BDF36D3" w14:textId="77777777">
            <w:pPr>
              <w:keepNext/>
              <w:keepLines/>
              <w:spacing w:after="0"/>
              <w:jc w:val="center"/>
              <w:rPr>
                <w:rFonts w:eastAsia="Times New Roman" w:cs="Arial"/>
                <w:b/>
                <w:sz w:val="20"/>
                <w:szCs w:val="20"/>
              </w:rPr>
            </w:pPr>
            <w:r w:rsidRPr="00AA03C8">
              <w:rPr>
                <w:rFonts w:eastAsia="Times New Roman" w:cs="Arial"/>
                <w:b/>
                <w:sz w:val="20"/>
                <w:szCs w:val="20"/>
              </w:rPr>
              <w:t>Activity</w:t>
            </w:r>
          </w:p>
        </w:tc>
        <w:tc>
          <w:tcPr>
            <w:tcW w:w="730" w:type="pct"/>
            <w:shd w:val="clear" w:color="auto" w:fill="F2F2F2"/>
            <w:vAlign w:val="center"/>
          </w:tcPr>
          <w:p w:rsidR="00586994" w:rsidRPr="00AA03C8" w:rsidP="00561BB3" w14:paraId="5D4703E8" w14:textId="77777777">
            <w:pPr>
              <w:keepNext/>
              <w:keepLines/>
              <w:spacing w:after="0"/>
              <w:jc w:val="center"/>
              <w:rPr>
                <w:rFonts w:eastAsia="Times New Roman" w:cs="Arial"/>
                <w:b/>
                <w:sz w:val="20"/>
                <w:szCs w:val="20"/>
              </w:rPr>
            </w:pPr>
            <w:r w:rsidRPr="00AA03C8">
              <w:rPr>
                <w:rFonts w:eastAsia="Times New Roman" w:cs="Arial"/>
                <w:b/>
                <w:bCs/>
                <w:sz w:val="20"/>
                <w:szCs w:val="20"/>
              </w:rPr>
              <w:t>Clerical Cost ($</w:t>
            </w:r>
            <w:r w:rsidRPr="00AA03C8">
              <w:rPr>
                <w:rFonts w:cs="Arial"/>
                <w:b/>
                <w:sz w:val="20"/>
              </w:rPr>
              <w:t>33.76</w:t>
            </w:r>
            <w:r w:rsidRPr="00AA03C8">
              <w:rPr>
                <w:rFonts w:eastAsia="Times New Roman" w:cs="Arial"/>
                <w:b/>
                <w:bCs/>
                <w:sz w:val="20"/>
                <w:szCs w:val="20"/>
              </w:rPr>
              <w:t>/hour)</w:t>
            </w:r>
          </w:p>
        </w:tc>
        <w:tc>
          <w:tcPr>
            <w:tcW w:w="730" w:type="pct"/>
            <w:shd w:val="clear" w:color="auto" w:fill="F2F2F2"/>
            <w:vAlign w:val="center"/>
          </w:tcPr>
          <w:p w:rsidR="00586994" w:rsidRPr="00AA03C8" w:rsidP="00561BB3" w14:paraId="086DD186" w14:textId="77777777">
            <w:pPr>
              <w:keepNext/>
              <w:keepLines/>
              <w:spacing w:after="0"/>
              <w:jc w:val="center"/>
              <w:rPr>
                <w:rFonts w:eastAsia="Times New Roman" w:cs="Arial"/>
                <w:b/>
                <w:bCs/>
                <w:sz w:val="20"/>
                <w:szCs w:val="20"/>
              </w:rPr>
            </w:pPr>
            <w:r w:rsidRPr="00AA03C8">
              <w:rPr>
                <w:rFonts w:eastAsia="Times New Roman" w:cs="Arial"/>
                <w:b/>
                <w:bCs/>
                <w:sz w:val="20"/>
                <w:szCs w:val="20"/>
              </w:rPr>
              <w:t>Technical Cost</w:t>
            </w:r>
          </w:p>
          <w:p w:rsidR="00586994" w:rsidRPr="00AA03C8" w:rsidP="00561BB3" w14:paraId="780BA6EA" w14:textId="77777777">
            <w:pPr>
              <w:keepNext/>
              <w:keepLines/>
              <w:spacing w:after="0"/>
              <w:jc w:val="center"/>
              <w:rPr>
                <w:rFonts w:eastAsia="Times New Roman" w:cs="Arial"/>
                <w:b/>
                <w:sz w:val="20"/>
                <w:szCs w:val="20"/>
              </w:rPr>
            </w:pPr>
            <w:r w:rsidRPr="00AA03C8">
              <w:rPr>
                <w:rFonts w:eastAsia="Times New Roman" w:cs="Arial"/>
                <w:b/>
                <w:bCs/>
                <w:sz w:val="20"/>
                <w:szCs w:val="20"/>
              </w:rPr>
              <w:t>($67.68/hour)</w:t>
            </w:r>
          </w:p>
        </w:tc>
        <w:tc>
          <w:tcPr>
            <w:tcW w:w="730" w:type="pct"/>
            <w:shd w:val="clear" w:color="auto" w:fill="F2F2F2"/>
            <w:vAlign w:val="center"/>
          </w:tcPr>
          <w:p w:rsidR="00586994" w:rsidRPr="00AA03C8" w:rsidP="00561BB3" w14:paraId="720F69C6" w14:textId="77777777">
            <w:pPr>
              <w:keepNext/>
              <w:keepLines/>
              <w:spacing w:after="0"/>
              <w:jc w:val="center"/>
              <w:rPr>
                <w:rFonts w:eastAsia="Times New Roman" w:cs="Arial"/>
                <w:b/>
                <w:bCs/>
                <w:sz w:val="20"/>
                <w:szCs w:val="20"/>
              </w:rPr>
            </w:pPr>
            <w:r w:rsidRPr="00AA03C8">
              <w:rPr>
                <w:rFonts w:eastAsia="Times New Roman" w:cs="Arial"/>
                <w:b/>
                <w:bCs/>
                <w:sz w:val="20"/>
                <w:szCs w:val="20"/>
              </w:rPr>
              <w:t>Managerial Cost</w:t>
            </w:r>
          </w:p>
          <w:p w:rsidR="00586994" w:rsidRPr="00AA03C8" w:rsidP="00561BB3" w14:paraId="5459BA0E" w14:textId="77777777">
            <w:pPr>
              <w:keepNext/>
              <w:keepLines/>
              <w:spacing w:after="0"/>
              <w:jc w:val="center"/>
              <w:rPr>
                <w:rFonts w:eastAsia="Times New Roman" w:cs="Arial"/>
                <w:b/>
                <w:sz w:val="20"/>
                <w:szCs w:val="20"/>
              </w:rPr>
            </w:pPr>
            <w:r w:rsidRPr="00AA03C8">
              <w:rPr>
                <w:rFonts w:eastAsia="Times New Roman" w:cs="Arial"/>
                <w:b/>
                <w:bCs/>
                <w:sz w:val="20"/>
                <w:szCs w:val="24"/>
              </w:rPr>
              <w:t>(</w:t>
            </w:r>
            <w:r w:rsidRPr="00AA03C8">
              <w:rPr>
                <w:rFonts w:eastAsia="Times New Roman" w:cs="Arial"/>
                <w:b/>
                <w:bCs/>
                <w:sz w:val="20"/>
                <w:szCs w:val="20"/>
              </w:rPr>
              <w:t>$</w:t>
            </w:r>
            <w:r w:rsidRPr="00AA03C8">
              <w:rPr>
                <w:rFonts w:cs="Arial"/>
                <w:b/>
                <w:sz w:val="20"/>
              </w:rPr>
              <w:t>86.61</w:t>
            </w:r>
            <w:r w:rsidRPr="00AA03C8">
              <w:rPr>
                <w:rFonts w:eastAsia="Times New Roman" w:cs="Arial"/>
                <w:b/>
                <w:bCs/>
                <w:sz w:val="20"/>
                <w:szCs w:val="20"/>
              </w:rPr>
              <w:t>/hour</w:t>
            </w:r>
            <w:r w:rsidRPr="00AA03C8">
              <w:rPr>
                <w:rFonts w:eastAsia="Times New Roman" w:cs="Arial"/>
                <w:b/>
                <w:bCs/>
                <w:sz w:val="20"/>
                <w:szCs w:val="24"/>
              </w:rPr>
              <w:t>)</w:t>
            </w:r>
          </w:p>
        </w:tc>
        <w:tc>
          <w:tcPr>
            <w:tcW w:w="610" w:type="pct"/>
            <w:shd w:val="clear" w:color="auto" w:fill="F2F2F2"/>
            <w:vAlign w:val="center"/>
          </w:tcPr>
          <w:p w:rsidR="00586994" w:rsidRPr="00AA03C8" w:rsidP="00561BB3" w14:paraId="11437EEF" w14:textId="77777777">
            <w:pPr>
              <w:keepNext/>
              <w:keepLines/>
              <w:spacing w:after="0"/>
              <w:jc w:val="center"/>
              <w:rPr>
                <w:rFonts w:eastAsia="Times New Roman" w:cs="Arial"/>
                <w:b/>
                <w:sz w:val="20"/>
                <w:szCs w:val="20"/>
              </w:rPr>
            </w:pPr>
            <w:r w:rsidRPr="00AA03C8">
              <w:rPr>
                <w:rFonts w:eastAsia="Times New Roman" w:cs="Arial"/>
                <w:b/>
                <w:sz w:val="20"/>
                <w:szCs w:val="20"/>
              </w:rPr>
              <w:t>Number of Annual Activities</w:t>
            </w:r>
          </w:p>
        </w:tc>
        <w:tc>
          <w:tcPr>
            <w:tcW w:w="829" w:type="pct"/>
            <w:shd w:val="clear" w:color="auto" w:fill="F2F2F2"/>
            <w:vAlign w:val="center"/>
          </w:tcPr>
          <w:p w:rsidR="00586994" w:rsidRPr="00AA03C8" w:rsidP="00561BB3" w14:paraId="6569541D" w14:textId="77777777">
            <w:pPr>
              <w:keepNext/>
              <w:keepLines/>
              <w:spacing w:after="0"/>
              <w:jc w:val="center"/>
              <w:rPr>
                <w:rFonts w:eastAsia="Times New Roman" w:cs="Arial"/>
                <w:b/>
                <w:sz w:val="20"/>
                <w:szCs w:val="20"/>
              </w:rPr>
            </w:pPr>
          </w:p>
          <w:p w:rsidR="00586994" w:rsidRPr="00AA03C8" w:rsidP="00561BB3" w14:paraId="14CCCCB5" w14:textId="77777777">
            <w:pPr>
              <w:keepNext/>
              <w:keepLines/>
              <w:spacing w:after="0"/>
              <w:jc w:val="center"/>
              <w:rPr>
                <w:rFonts w:eastAsia="Times New Roman" w:cs="Arial"/>
                <w:b/>
                <w:sz w:val="20"/>
                <w:szCs w:val="20"/>
              </w:rPr>
            </w:pPr>
            <w:r w:rsidRPr="00AA03C8">
              <w:rPr>
                <w:rFonts w:eastAsia="Times New Roman" w:cs="Arial"/>
                <w:b/>
                <w:sz w:val="20"/>
                <w:szCs w:val="20"/>
              </w:rPr>
              <w:t>Total Cost</w:t>
            </w:r>
          </w:p>
          <w:p w:rsidR="00586994" w:rsidRPr="00AA03C8" w:rsidP="00561BB3" w14:paraId="0FD5EC03" w14:textId="77777777">
            <w:pPr>
              <w:keepNext/>
              <w:keepLines/>
              <w:spacing w:after="0"/>
              <w:jc w:val="center"/>
              <w:rPr>
                <w:rFonts w:eastAsia="Times New Roman" w:cs="Arial"/>
                <w:b/>
                <w:sz w:val="20"/>
                <w:szCs w:val="20"/>
              </w:rPr>
            </w:pPr>
          </w:p>
        </w:tc>
      </w:tr>
      <w:tr w14:paraId="2C108709" w14:textId="77777777" w:rsidTr="00D177F6">
        <w:tblPrEx>
          <w:tblW w:w="5000" w:type="pct"/>
          <w:tblLook w:val="04A0"/>
        </w:tblPrEx>
        <w:tc>
          <w:tcPr>
            <w:tcW w:w="5000" w:type="pct"/>
            <w:gridSpan w:val="6"/>
            <w:shd w:val="clear" w:color="auto" w:fill="auto"/>
            <w:vAlign w:val="center"/>
          </w:tcPr>
          <w:p w:rsidR="00586994" w:rsidRPr="00AA03C8" w:rsidP="00561BB3" w14:paraId="549D27E6" w14:textId="77777777">
            <w:pPr>
              <w:keepNext/>
              <w:keepLines/>
              <w:spacing w:after="0"/>
              <w:jc w:val="center"/>
              <w:rPr>
                <w:rFonts w:eastAsia="Times New Roman" w:cs="Arial"/>
                <w:b/>
                <w:i/>
                <w:sz w:val="20"/>
                <w:szCs w:val="24"/>
              </w:rPr>
            </w:pPr>
            <w:r w:rsidRPr="00AA03C8">
              <w:rPr>
                <w:rFonts w:eastAsia="Times New Roman" w:cs="Arial"/>
                <w:b/>
                <w:i/>
                <w:sz w:val="20"/>
                <w:szCs w:val="24"/>
              </w:rPr>
              <w:t>ELECTRONIC REPORTING</w:t>
            </w:r>
          </w:p>
        </w:tc>
      </w:tr>
      <w:tr w14:paraId="0E0685A7" w14:textId="77777777" w:rsidTr="00D177F6">
        <w:tblPrEx>
          <w:tblW w:w="5000" w:type="pct"/>
          <w:tblLook w:val="04A0"/>
        </w:tblPrEx>
        <w:tc>
          <w:tcPr>
            <w:tcW w:w="5000" w:type="pct"/>
            <w:gridSpan w:val="6"/>
            <w:shd w:val="clear" w:color="auto" w:fill="auto"/>
          </w:tcPr>
          <w:p w:rsidR="00586994" w:rsidRPr="00AA03C8" w:rsidP="00561BB3" w14:paraId="11192E01" w14:textId="77777777">
            <w:pPr>
              <w:keepNext/>
              <w:keepLines/>
              <w:spacing w:after="0"/>
              <w:rPr>
                <w:rFonts w:eastAsia="Times New Roman" w:cs="Arial"/>
                <w:sz w:val="20"/>
                <w:szCs w:val="24"/>
              </w:rPr>
            </w:pPr>
            <w:r w:rsidRPr="00AA03C8">
              <w:rPr>
                <w:rFonts w:eastAsia="Times New Roman" w:cs="Arial"/>
                <w:b/>
                <w:bCs/>
                <w:sz w:val="20"/>
                <w:szCs w:val="20"/>
              </w:rPr>
              <w:t>First-time registration</w:t>
            </w:r>
          </w:p>
        </w:tc>
      </w:tr>
      <w:tr w14:paraId="01097581" w14:textId="77777777" w:rsidTr="00D177F6">
        <w:tblPrEx>
          <w:tblW w:w="5000" w:type="pct"/>
          <w:tblLook w:val="04A0"/>
        </w:tblPrEx>
        <w:tc>
          <w:tcPr>
            <w:tcW w:w="1370" w:type="pct"/>
            <w:shd w:val="clear" w:color="auto" w:fill="auto"/>
          </w:tcPr>
          <w:p w:rsidR="00586994" w:rsidRPr="00AA03C8" w:rsidP="00561BB3" w14:paraId="2B420E5E" w14:textId="77777777">
            <w:pPr>
              <w:keepNext/>
              <w:keepLines/>
              <w:spacing w:after="0"/>
              <w:rPr>
                <w:rFonts w:eastAsia="Times New Roman" w:cs="Arial"/>
                <w:sz w:val="20"/>
                <w:szCs w:val="20"/>
              </w:rPr>
            </w:pPr>
            <w:r w:rsidRPr="00AA03C8">
              <w:rPr>
                <w:rFonts w:eastAsia="Times New Roman" w:cs="Arial"/>
                <w:bCs/>
                <w:sz w:val="20"/>
                <w:szCs w:val="20"/>
              </w:rPr>
              <w:t>CDX Registration</w:t>
            </w:r>
          </w:p>
        </w:tc>
        <w:tc>
          <w:tcPr>
            <w:tcW w:w="730" w:type="pct"/>
            <w:shd w:val="clear" w:color="auto" w:fill="auto"/>
            <w:vAlign w:val="center"/>
          </w:tcPr>
          <w:p w:rsidR="00586994" w:rsidRPr="00AA03C8" w:rsidP="00561BB3" w14:paraId="202DF68E"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1E58673A" w14:textId="77777777">
            <w:pPr>
              <w:keepNext/>
              <w:keepLines/>
              <w:spacing w:after="0"/>
              <w:jc w:val="center"/>
              <w:rPr>
                <w:rFonts w:eastAsia="Times New Roman" w:cs="Arial"/>
                <w:sz w:val="20"/>
                <w:szCs w:val="20"/>
              </w:rPr>
            </w:pPr>
            <w:r w:rsidRPr="00AA03C8">
              <w:rPr>
                <w:rFonts w:eastAsia="Times New Roman" w:cs="Arial"/>
                <w:sz w:val="20"/>
                <w:szCs w:val="20"/>
              </w:rPr>
              <w:t>$45.35</w:t>
            </w:r>
          </w:p>
        </w:tc>
        <w:tc>
          <w:tcPr>
            <w:tcW w:w="730" w:type="pct"/>
            <w:shd w:val="clear" w:color="auto" w:fill="auto"/>
            <w:vAlign w:val="center"/>
          </w:tcPr>
          <w:p w:rsidR="00586994" w:rsidRPr="00AA03C8" w:rsidP="00561BB3" w14:paraId="407CD40B" w14:textId="77777777">
            <w:pPr>
              <w:keepNext/>
              <w:keepLines/>
              <w:spacing w:after="0"/>
              <w:jc w:val="center"/>
              <w:rPr>
                <w:rFonts w:eastAsia="Times New Roman" w:cs="Arial"/>
                <w:sz w:val="20"/>
                <w:szCs w:val="20"/>
              </w:rPr>
            </w:pPr>
            <w:r w:rsidRPr="00AA03C8">
              <w:rPr>
                <w:rFonts w:eastAsia="Times New Roman" w:cs="Arial"/>
                <w:sz w:val="20"/>
                <w:szCs w:val="20"/>
              </w:rPr>
              <w:t>$14.72</w:t>
            </w:r>
          </w:p>
        </w:tc>
        <w:tc>
          <w:tcPr>
            <w:tcW w:w="610" w:type="pct"/>
            <w:shd w:val="clear" w:color="auto" w:fill="auto"/>
            <w:vAlign w:val="center"/>
          </w:tcPr>
          <w:p w:rsidR="00586994" w:rsidRPr="00AA03C8" w:rsidP="00561BB3" w14:paraId="0FDF77C6" w14:textId="77777777">
            <w:pPr>
              <w:keepNext/>
              <w:keepLines/>
              <w:spacing w:after="0"/>
              <w:jc w:val="center"/>
              <w:rPr>
                <w:rFonts w:eastAsia="Times New Roman" w:cs="Arial"/>
                <w:sz w:val="20"/>
                <w:szCs w:val="20"/>
              </w:rPr>
            </w:pPr>
            <w:r w:rsidRPr="00AA03C8">
              <w:rPr>
                <w:rFonts w:eastAsia="Times New Roman" w:cs="Arial"/>
                <w:sz w:val="20"/>
                <w:szCs w:val="20"/>
              </w:rPr>
              <w:t>1</w:t>
            </w:r>
          </w:p>
        </w:tc>
        <w:tc>
          <w:tcPr>
            <w:tcW w:w="829" w:type="pct"/>
            <w:shd w:val="clear" w:color="auto" w:fill="auto"/>
            <w:vAlign w:val="center"/>
          </w:tcPr>
          <w:p w:rsidR="00586994" w:rsidRPr="00AA03C8" w:rsidP="00561BB3" w14:paraId="0B02AF3D" w14:textId="77777777">
            <w:pPr>
              <w:keepNext/>
              <w:keepLines/>
              <w:spacing w:after="0"/>
              <w:jc w:val="center"/>
              <w:rPr>
                <w:rFonts w:eastAsia="Times New Roman" w:cs="Arial"/>
                <w:sz w:val="20"/>
                <w:szCs w:val="20"/>
              </w:rPr>
            </w:pPr>
            <w:r w:rsidRPr="00AA03C8">
              <w:rPr>
                <w:rFonts w:eastAsia="Times New Roman" w:cs="Arial"/>
                <w:sz w:val="20"/>
                <w:szCs w:val="20"/>
              </w:rPr>
              <w:t>$60.07</w:t>
            </w:r>
          </w:p>
        </w:tc>
      </w:tr>
      <w:tr w14:paraId="3E1FE315" w14:textId="77777777" w:rsidTr="00D177F6">
        <w:tblPrEx>
          <w:tblW w:w="5000" w:type="pct"/>
          <w:tblLook w:val="04A0"/>
        </w:tblPrEx>
        <w:tc>
          <w:tcPr>
            <w:tcW w:w="1370" w:type="pct"/>
            <w:shd w:val="clear" w:color="auto" w:fill="auto"/>
          </w:tcPr>
          <w:p w:rsidR="00586994" w:rsidRPr="00AA03C8" w:rsidP="00561BB3" w14:paraId="62ED8E22" w14:textId="77777777">
            <w:pPr>
              <w:keepNext/>
              <w:keepLines/>
              <w:spacing w:after="0"/>
              <w:rPr>
                <w:rFonts w:eastAsia="Times New Roman" w:cs="Arial"/>
                <w:sz w:val="20"/>
                <w:szCs w:val="20"/>
              </w:rPr>
            </w:pPr>
            <w:r w:rsidRPr="00AA03C8">
              <w:rPr>
                <w:rFonts w:eastAsia="Times New Roman" w:cs="Arial"/>
                <w:bCs/>
                <w:sz w:val="20"/>
                <w:szCs w:val="20"/>
              </w:rPr>
              <w:t>Electronic Subscriber Agreement/ Electronic Signature</w:t>
            </w:r>
          </w:p>
        </w:tc>
        <w:tc>
          <w:tcPr>
            <w:tcW w:w="730" w:type="pct"/>
            <w:shd w:val="clear" w:color="auto" w:fill="auto"/>
            <w:vAlign w:val="center"/>
          </w:tcPr>
          <w:p w:rsidR="00586994" w:rsidRPr="00AA03C8" w:rsidP="00561BB3" w14:paraId="4E729800"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1D3E21A7"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739DBB7D" w14:textId="77777777">
            <w:pPr>
              <w:keepNext/>
              <w:keepLines/>
              <w:spacing w:after="0"/>
              <w:jc w:val="center"/>
              <w:rPr>
                <w:rFonts w:eastAsia="Times New Roman" w:cs="Arial"/>
                <w:sz w:val="20"/>
                <w:szCs w:val="20"/>
              </w:rPr>
            </w:pPr>
            <w:r w:rsidRPr="00AA03C8">
              <w:rPr>
                <w:rFonts w:eastAsia="Times New Roman" w:cs="Arial"/>
                <w:sz w:val="20"/>
                <w:szCs w:val="20"/>
              </w:rPr>
              <w:t>$21.65</w:t>
            </w:r>
          </w:p>
        </w:tc>
        <w:tc>
          <w:tcPr>
            <w:tcW w:w="610" w:type="pct"/>
            <w:shd w:val="clear" w:color="auto" w:fill="auto"/>
            <w:vAlign w:val="center"/>
          </w:tcPr>
          <w:p w:rsidR="00586994" w:rsidRPr="00AA03C8" w:rsidP="00561BB3" w14:paraId="052E909E" w14:textId="77777777">
            <w:pPr>
              <w:keepNext/>
              <w:keepLines/>
              <w:spacing w:after="0"/>
              <w:jc w:val="center"/>
              <w:rPr>
                <w:rFonts w:eastAsia="Times New Roman" w:cs="Arial"/>
                <w:sz w:val="20"/>
                <w:szCs w:val="20"/>
              </w:rPr>
            </w:pPr>
            <w:r w:rsidRPr="00AA03C8">
              <w:rPr>
                <w:rFonts w:eastAsia="Times New Roman" w:cs="Arial"/>
                <w:sz w:val="20"/>
                <w:szCs w:val="20"/>
              </w:rPr>
              <w:t>1</w:t>
            </w:r>
          </w:p>
        </w:tc>
        <w:tc>
          <w:tcPr>
            <w:tcW w:w="829" w:type="pct"/>
            <w:shd w:val="clear" w:color="auto" w:fill="auto"/>
            <w:vAlign w:val="center"/>
          </w:tcPr>
          <w:p w:rsidR="00586994" w:rsidRPr="00AA03C8" w:rsidP="00561BB3" w14:paraId="666EA795" w14:textId="77777777">
            <w:pPr>
              <w:keepNext/>
              <w:keepLines/>
              <w:spacing w:after="0"/>
              <w:jc w:val="center"/>
              <w:rPr>
                <w:rFonts w:eastAsia="Times New Roman" w:cs="Arial"/>
                <w:sz w:val="20"/>
                <w:szCs w:val="20"/>
              </w:rPr>
            </w:pPr>
            <w:r w:rsidRPr="00AA03C8">
              <w:rPr>
                <w:rFonts w:eastAsia="Times New Roman" w:cs="Arial"/>
                <w:sz w:val="20"/>
                <w:szCs w:val="20"/>
              </w:rPr>
              <w:t>$20.02</w:t>
            </w:r>
          </w:p>
        </w:tc>
      </w:tr>
      <w:tr w14:paraId="44953461" w14:textId="77777777" w:rsidTr="00D177F6">
        <w:tblPrEx>
          <w:tblW w:w="5000" w:type="pct"/>
          <w:tblLook w:val="04A0"/>
        </w:tblPrEx>
        <w:tc>
          <w:tcPr>
            <w:tcW w:w="1370" w:type="pct"/>
            <w:shd w:val="clear" w:color="auto" w:fill="auto"/>
          </w:tcPr>
          <w:p w:rsidR="00586994" w:rsidRPr="00AA03C8" w:rsidP="00561BB3" w14:paraId="6857824E" w14:textId="77777777">
            <w:pPr>
              <w:keepNext/>
              <w:keepLines/>
              <w:spacing w:after="0"/>
              <w:rPr>
                <w:rFonts w:eastAsia="Times New Roman" w:cs="Arial"/>
                <w:sz w:val="20"/>
                <w:szCs w:val="20"/>
              </w:rPr>
            </w:pPr>
            <w:r w:rsidRPr="00AA03C8">
              <w:rPr>
                <w:rFonts w:eastAsia="Times New Roman" w:cs="Arial"/>
                <w:bCs/>
                <w:sz w:val="20"/>
                <w:szCs w:val="20"/>
              </w:rPr>
              <w:t>Help Desk</w:t>
            </w:r>
          </w:p>
        </w:tc>
        <w:tc>
          <w:tcPr>
            <w:tcW w:w="730" w:type="pct"/>
            <w:shd w:val="clear" w:color="auto" w:fill="auto"/>
            <w:vAlign w:val="center"/>
          </w:tcPr>
          <w:p w:rsidR="00586994" w:rsidRPr="00AA03C8" w:rsidP="00561BB3" w14:paraId="002ED6D6"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1FF483D2" w14:textId="77777777">
            <w:pPr>
              <w:keepNext/>
              <w:keepLines/>
              <w:spacing w:after="0"/>
              <w:jc w:val="center"/>
              <w:rPr>
                <w:rFonts w:eastAsia="Times New Roman" w:cs="Arial"/>
                <w:sz w:val="20"/>
                <w:szCs w:val="20"/>
              </w:rPr>
            </w:pPr>
            <w:r w:rsidRPr="00AA03C8">
              <w:rPr>
                <w:rFonts w:eastAsia="Times New Roman" w:cs="Arial"/>
                <w:sz w:val="20"/>
                <w:szCs w:val="20"/>
              </w:rPr>
              <w:t>$16.24</w:t>
            </w:r>
          </w:p>
        </w:tc>
        <w:tc>
          <w:tcPr>
            <w:tcW w:w="730" w:type="pct"/>
            <w:shd w:val="clear" w:color="auto" w:fill="auto"/>
            <w:vAlign w:val="center"/>
          </w:tcPr>
          <w:p w:rsidR="00586994" w:rsidRPr="00AA03C8" w:rsidP="00561BB3" w14:paraId="0271CBFD" w14:textId="77777777">
            <w:pPr>
              <w:keepNext/>
              <w:keepLines/>
              <w:spacing w:after="0"/>
              <w:jc w:val="center"/>
              <w:rPr>
                <w:rFonts w:eastAsia="Times New Roman" w:cs="Arial"/>
                <w:sz w:val="20"/>
                <w:szCs w:val="20"/>
              </w:rPr>
            </w:pPr>
            <w:r w:rsidRPr="00AA03C8">
              <w:rPr>
                <w:rFonts w:eastAsia="Times New Roman" w:cs="Arial"/>
                <w:sz w:val="20"/>
                <w:szCs w:val="20"/>
              </w:rPr>
              <w:t>$5.20</w:t>
            </w:r>
          </w:p>
        </w:tc>
        <w:tc>
          <w:tcPr>
            <w:tcW w:w="610" w:type="pct"/>
            <w:shd w:val="clear" w:color="auto" w:fill="auto"/>
            <w:vAlign w:val="center"/>
          </w:tcPr>
          <w:p w:rsidR="00586994" w:rsidRPr="00AA03C8" w:rsidP="00561BB3" w14:paraId="62AB495A" w14:textId="77777777">
            <w:pPr>
              <w:keepNext/>
              <w:keepLines/>
              <w:spacing w:after="0"/>
              <w:jc w:val="center"/>
              <w:rPr>
                <w:rFonts w:eastAsia="Times New Roman" w:cs="Arial"/>
                <w:sz w:val="20"/>
                <w:szCs w:val="20"/>
              </w:rPr>
            </w:pPr>
            <w:r w:rsidRPr="00AA03C8">
              <w:rPr>
                <w:rFonts w:eastAsia="Times New Roman" w:cs="Arial"/>
                <w:sz w:val="20"/>
                <w:szCs w:val="20"/>
              </w:rPr>
              <w:t>1</w:t>
            </w:r>
          </w:p>
        </w:tc>
        <w:tc>
          <w:tcPr>
            <w:tcW w:w="829" w:type="pct"/>
            <w:shd w:val="clear" w:color="auto" w:fill="auto"/>
            <w:vAlign w:val="center"/>
          </w:tcPr>
          <w:p w:rsidR="00586994" w:rsidRPr="00AA03C8" w:rsidP="00561BB3" w14:paraId="6029F47C" w14:textId="77777777">
            <w:pPr>
              <w:keepNext/>
              <w:keepLines/>
              <w:spacing w:after="0"/>
              <w:jc w:val="center"/>
              <w:rPr>
                <w:rFonts w:eastAsia="Times New Roman" w:cs="Arial"/>
                <w:sz w:val="20"/>
                <w:szCs w:val="20"/>
              </w:rPr>
            </w:pPr>
            <w:r w:rsidRPr="00AA03C8">
              <w:rPr>
                <w:rFonts w:eastAsia="Times New Roman" w:cs="Arial"/>
                <w:sz w:val="20"/>
                <w:szCs w:val="20"/>
              </w:rPr>
              <w:t>$22.89</w:t>
            </w:r>
          </w:p>
        </w:tc>
      </w:tr>
      <w:tr w14:paraId="57DDB7A7" w14:textId="77777777" w:rsidTr="00D177F6">
        <w:tblPrEx>
          <w:tblW w:w="5000" w:type="pct"/>
          <w:tblLook w:val="04A0"/>
        </w:tblPrEx>
        <w:tc>
          <w:tcPr>
            <w:tcW w:w="1370" w:type="pct"/>
            <w:shd w:val="clear" w:color="auto" w:fill="auto"/>
          </w:tcPr>
          <w:p w:rsidR="00586994" w:rsidRPr="00AA03C8" w:rsidP="00561BB3" w14:paraId="2B074654" w14:textId="77777777">
            <w:pPr>
              <w:keepNext/>
              <w:keepLines/>
              <w:spacing w:after="0"/>
              <w:rPr>
                <w:rFonts w:eastAsia="Times New Roman" w:cs="Arial"/>
                <w:sz w:val="20"/>
                <w:szCs w:val="20"/>
              </w:rPr>
            </w:pPr>
            <w:r w:rsidRPr="00AA03C8">
              <w:rPr>
                <w:rFonts w:eastAsia="Times New Roman" w:cs="Arial"/>
                <w:bCs/>
                <w:sz w:val="20"/>
                <w:szCs w:val="20"/>
              </w:rPr>
              <w:t>Problem Resolution</w:t>
            </w:r>
          </w:p>
        </w:tc>
        <w:tc>
          <w:tcPr>
            <w:tcW w:w="730" w:type="pct"/>
            <w:shd w:val="clear" w:color="auto" w:fill="auto"/>
            <w:vAlign w:val="center"/>
          </w:tcPr>
          <w:p w:rsidR="00586994" w:rsidRPr="00AA03C8" w:rsidP="00561BB3" w14:paraId="5121DD3B"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1B30FCAC" w14:textId="77777777">
            <w:pPr>
              <w:keepNext/>
              <w:keepLines/>
              <w:spacing w:after="0"/>
              <w:jc w:val="center"/>
              <w:rPr>
                <w:rFonts w:eastAsia="Times New Roman" w:cs="Arial"/>
                <w:sz w:val="20"/>
                <w:szCs w:val="20"/>
              </w:rPr>
            </w:pPr>
            <w:r w:rsidRPr="00AA03C8">
              <w:rPr>
                <w:rFonts w:eastAsia="Times New Roman" w:cs="Arial"/>
                <w:sz w:val="20"/>
                <w:szCs w:val="20"/>
              </w:rPr>
              <w:t>$75.32</w:t>
            </w:r>
          </w:p>
        </w:tc>
        <w:tc>
          <w:tcPr>
            <w:tcW w:w="730" w:type="pct"/>
            <w:shd w:val="clear" w:color="auto" w:fill="auto"/>
            <w:vAlign w:val="center"/>
          </w:tcPr>
          <w:p w:rsidR="00586994" w:rsidRPr="00AA03C8" w:rsidP="00561BB3" w14:paraId="415A1CF7"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610" w:type="pct"/>
            <w:shd w:val="clear" w:color="auto" w:fill="auto"/>
            <w:vAlign w:val="center"/>
          </w:tcPr>
          <w:p w:rsidR="00586994" w:rsidRPr="00AA03C8" w:rsidP="00561BB3" w14:paraId="3915F856" w14:textId="77777777">
            <w:pPr>
              <w:keepNext/>
              <w:keepLines/>
              <w:spacing w:after="0"/>
              <w:jc w:val="center"/>
              <w:rPr>
                <w:rFonts w:eastAsia="Times New Roman" w:cs="Arial"/>
                <w:sz w:val="20"/>
                <w:szCs w:val="20"/>
              </w:rPr>
            </w:pPr>
            <w:r w:rsidRPr="00AA03C8">
              <w:rPr>
                <w:rFonts w:eastAsia="Times New Roman" w:cs="Arial"/>
                <w:sz w:val="20"/>
                <w:szCs w:val="20"/>
              </w:rPr>
              <w:t>0.03</w:t>
            </w:r>
          </w:p>
        </w:tc>
        <w:tc>
          <w:tcPr>
            <w:tcW w:w="829" w:type="pct"/>
            <w:shd w:val="clear" w:color="auto" w:fill="auto"/>
            <w:vAlign w:val="center"/>
          </w:tcPr>
          <w:p w:rsidR="00586994" w:rsidRPr="00AA03C8" w:rsidP="00561BB3" w14:paraId="1AE4D575" w14:textId="77777777">
            <w:pPr>
              <w:keepNext/>
              <w:keepLines/>
              <w:spacing w:after="0"/>
              <w:jc w:val="center"/>
              <w:rPr>
                <w:rFonts w:eastAsia="Times New Roman" w:cs="Arial"/>
                <w:sz w:val="20"/>
                <w:szCs w:val="20"/>
              </w:rPr>
            </w:pPr>
            <w:r w:rsidRPr="00AA03C8">
              <w:rPr>
                <w:rFonts w:eastAsia="Times New Roman" w:cs="Arial"/>
                <w:sz w:val="20"/>
                <w:szCs w:val="20"/>
              </w:rPr>
              <w:t>$2.26</w:t>
            </w:r>
          </w:p>
        </w:tc>
      </w:tr>
      <w:tr w14:paraId="6D25ECC3" w14:textId="77777777" w:rsidTr="00D177F6">
        <w:tblPrEx>
          <w:tblW w:w="5000" w:type="pct"/>
          <w:tblLook w:val="04A0"/>
        </w:tblPrEx>
        <w:tc>
          <w:tcPr>
            <w:tcW w:w="4171" w:type="pct"/>
            <w:gridSpan w:val="5"/>
            <w:shd w:val="clear" w:color="auto" w:fill="auto"/>
          </w:tcPr>
          <w:p w:rsidR="00586994" w:rsidRPr="00AA03C8" w:rsidP="00561BB3" w14:paraId="6FDB6CD0" w14:textId="77777777">
            <w:pPr>
              <w:keepNext/>
              <w:keepLines/>
              <w:spacing w:after="0"/>
              <w:jc w:val="right"/>
              <w:rPr>
                <w:rFonts w:eastAsia="Times New Roman" w:cs="Arial"/>
                <w:b/>
                <w:sz w:val="20"/>
                <w:szCs w:val="20"/>
              </w:rPr>
            </w:pPr>
            <w:r w:rsidRPr="00AA03C8">
              <w:rPr>
                <w:rFonts w:eastAsia="Times New Roman" w:cs="Arial"/>
                <w:b/>
                <w:szCs w:val="20"/>
              </w:rPr>
              <w:t>Total First Time Cost per firm</w:t>
            </w:r>
          </w:p>
        </w:tc>
        <w:tc>
          <w:tcPr>
            <w:tcW w:w="829" w:type="pct"/>
            <w:shd w:val="clear" w:color="auto" w:fill="auto"/>
            <w:vAlign w:val="center"/>
          </w:tcPr>
          <w:p w:rsidR="00586994" w:rsidRPr="00AA03C8" w:rsidP="00561BB3" w14:paraId="4FEA5E06" w14:textId="77777777">
            <w:pPr>
              <w:keepNext/>
              <w:keepLines/>
              <w:spacing w:after="0"/>
              <w:jc w:val="center"/>
              <w:rPr>
                <w:rFonts w:eastAsia="Times New Roman" w:cs="Arial"/>
                <w:b/>
                <w:sz w:val="20"/>
                <w:szCs w:val="20"/>
              </w:rPr>
            </w:pPr>
            <w:r w:rsidRPr="00AA03C8">
              <w:rPr>
                <w:rFonts w:eastAsia="Times New Roman" w:cs="Arial"/>
                <w:b/>
                <w:szCs w:val="20"/>
              </w:rPr>
              <w:t>$105.24</w:t>
            </w:r>
          </w:p>
        </w:tc>
      </w:tr>
      <w:tr w14:paraId="7EE411F5" w14:textId="77777777" w:rsidTr="00D177F6">
        <w:tblPrEx>
          <w:tblW w:w="5000" w:type="pct"/>
          <w:tblLook w:val="04A0"/>
        </w:tblPrEx>
        <w:tc>
          <w:tcPr>
            <w:tcW w:w="5000" w:type="pct"/>
            <w:gridSpan w:val="6"/>
            <w:shd w:val="clear" w:color="auto" w:fill="auto"/>
          </w:tcPr>
          <w:p w:rsidR="00586994" w:rsidRPr="00AA03C8" w:rsidP="00561BB3" w14:paraId="62F8D3D9" w14:textId="77777777">
            <w:pPr>
              <w:keepNext/>
              <w:keepLines/>
              <w:spacing w:after="0"/>
              <w:rPr>
                <w:rFonts w:eastAsia="Times New Roman" w:cs="Arial"/>
                <w:sz w:val="20"/>
                <w:szCs w:val="24"/>
              </w:rPr>
            </w:pPr>
            <w:r w:rsidRPr="00AA03C8">
              <w:rPr>
                <w:rFonts w:eastAsia="Times New Roman" w:cs="Arial"/>
                <w:b/>
                <w:bCs/>
                <w:sz w:val="20"/>
                <w:szCs w:val="20"/>
              </w:rPr>
              <w:t>Subsequent registration</w:t>
            </w:r>
          </w:p>
        </w:tc>
      </w:tr>
      <w:tr w14:paraId="293C05B8" w14:textId="77777777" w:rsidTr="00D177F6">
        <w:tblPrEx>
          <w:tblW w:w="5000" w:type="pct"/>
          <w:tblLook w:val="04A0"/>
        </w:tblPrEx>
        <w:tc>
          <w:tcPr>
            <w:tcW w:w="1370" w:type="pct"/>
            <w:shd w:val="clear" w:color="auto" w:fill="auto"/>
          </w:tcPr>
          <w:p w:rsidR="00586994" w:rsidRPr="00AA03C8" w:rsidP="00561BB3" w14:paraId="0E91D3F3" w14:textId="77777777">
            <w:pPr>
              <w:keepNext/>
              <w:keepLines/>
              <w:spacing w:after="0"/>
              <w:rPr>
                <w:rFonts w:eastAsia="Times New Roman" w:cs="Arial"/>
                <w:bCs/>
                <w:sz w:val="20"/>
                <w:szCs w:val="20"/>
              </w:rPr>
            </w:pPr>
            <w:r w:rsidRPr="00AA03C8">
              <w:rPr>
                <w:rFonts w:eastAsia="Times New Roman" w:cs="Arial"/>
                <w:bCs/>
                <w:sz w:val="20"/>
                <w:szCs w:val="20"/>
              </w:rPr>
              <w:t>CDX Registration</w:t>
            </w:r>
          </w:p>
        </w:tc>
        <w:tc>
          <w:tcPr>
            <w:tcW w:w="730" w:type="pct"/>
            <w:shd w:val="clear" w:color="auto" w:fill="auto"/>
            <w:vAlign w:val="center"/>
          </w:tcPr>
          <w:p w:rsidR="00586994" w:rsidRPr="00AA03C8" w:rsidP="00561BB3" w14:paraId="0B7CD325"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4EBCD8F4" w14:textId="77777777">
            <w:pPr>
              <w:keepNext/>
              <w:keepLines/>
              <w:spacing w:after="0"/>
              <w:jc w:val="center"/>
              <w:rPr>
                <w:rFonts w:eastAsia="Times New Roman" w:cs="Arial"/>
                <w:sz w:val="20"/>
                <w:szCs w:val="20"/>
              </w:rPr>
            </w:pPr>
            <w:r w:rsidRPr="00AA03C8">
              <w:rPr>
                <w:rFonts w:eastAsia="Times New Roman" w:cs="Arial"/>
                <w:sz w:val="20"/>
                <w:szCs w:val="20"/>
              </w:rPr>
              <w:t>$45.35</w:t>
            </w:r>
          </w:p>
        </w:tc>
        <w:tc>
          <w:tcPr>
            <w:tcW w:w="730" w:type="pct"/>
            <w:shd w:val="clear" w:color="auto" w:fill="auto"/>
            <w:vAlign w:val="center"/>
          </w:tcPr>
          <w:p w:rsidR="00586994" w:rsidRPr="00AA03C8" w:rsidP="00561BB3" w14:paraId="3DDBF06B" w14:textId="77777777">
            <w:pPr>
              <w:keepNext/>
              <w:keepLines/>
              <w:spacing w:after="0"/>
              <w:jc w:val="center"/>
              <w:rPr>
                <w:rFonts w:eastAsia="Times New Roman" w:cs="Arial"/>
                <w:sz w:val="20"/>
                <w:szCs w:val="20"/>
              </w:rPr>
            </w:pPr>
            <w:r w:rsidRPr="00AA03C8">
              <w:rPr>
                <w:rFonts w:eastAsia="Times New Roman" w:cs="Arial"/>
                <w:sz w:val="20"/>
                <w:szCs w:val="20"/>
              </w:rPr>
              <w:t>$14.72</w:t>
            </w:r>
          </w:p>
        </w:tc>
        <w:tc>
          <w:tcPr>
            <w:tcW w:w="610" w:type="pct"/>
            <w:shd w:val="clear" w:color="auto" w:fill="auto"/>
            <w:vAlign w:val="center"/>
          </w:tcPr>
          <w:p w:rsidR="00586994" w:rsidRPr="00AA03C8" w:rsidP="00561BB3" w14:paraId="39A3024D" w14:textId="77777777">
            <w:pPr>
              <w:keepNext/>
              <w:keepLines/>
              <w:spacing w:after="0"/>
              <w:jc w:val="center"/>
              <w:rPr>
                <w:rFonts w:eastAsia="Times New Roman" w:cs="Arial"/>
                <w:sz w:val="20"/>
                <w:szCs w:val="20"/>
              </w:rPr>
            </w:pPr>
            <w:r w:rsidRPr="00AA03C8">
              <w:rPr>
                <w:rFonts w:eastAsia="Times New Roman" w:cs="Arial"/>
                <w:sz w:val="20"/>
                <w:szCs w:val="20"/>
              </w:rPr>
              <w:t>0.10</w:t>
            </w:r>
          </w:p>
        </w:tc>
        <w:tc>
          <w:tcPr>
            <w:tcW w:w="829" w:type="pct"/>
            <w:shd w:val="clear" w:color="auto" w:fill="auto"/>
            <w:vAlign w:val="center"/>
          </w:tcPr>
          <w:p w:rsidR="00586994" w:rsidRPr="00AA03C8" w:rsidP="00561BB3" w14:paraId="3D9C1E1D" w14:textId="77777777">
            <w:pPr>
              <w:keepNext/>
              <w:keepLines/>
              <w:spacing w:after="0"/>
              <w:jc w:val="center"/>
              <w:rPr>
                <w:rFonts w:eastAsia="Times New Roman" w:cs="Arial"/>
                <w:sz w:val="20"/>
                <w:szCs w:val="20"/>
              </w:rPr>
            </w:pPr>
            <w:r w:rsidRPr="00AA03C8">
              <w:rPr>
                <w:rFonts w:eastAsia="Times New Roman" w:cs="Arial"/>
                <w:sz w:val="20"/>
                <w:szCs w:val="20"/>
              </w:rPr>
              <w:t>$6.93</w:t>
            </w:r>
          </w:p>
        </w:tc>
      </w:tr>
      <w:tr w14:paraId="31B16F36" w14:textId="77777777" w:rsidTr="00D177F6">
        <w:tblPrEx>
          <w:tblW w:w="5000" w:type="pct"/>
          <w:tblLook w:val="04A0"/>
        </w:tblPrEx>
        <w:tc>
          <w:tcPr>
            <w:tcW w:w="1370" w:type="pct"/>
            <w:shd w:val="clear" w:color="auto" w:fill="auto"/>
          </w:tcPr>
          <w:p w:rsidR="00586994" w:rsidRPr="00AA03C8" w:rsidP="00561BB3" w14:paraId="7EB42CBF" w14:textId="77777777">
            <w:pPr>
              <w:keepNext/>
              <w:keepLines/>
              <w:spacing w:after="0"/>
              <w:rPr>
                <w:rFonts w:eastAsia="Times New Roman" w:cs="Arial"/>
                <w:bCs/>
                <w:sz w:val="20"/>
                <w:szCs w:val="20"/>
              </w:rPr>
            </w:pPr>
            <w:r w:rsidRPr="00AA03C8">
              <w:rPr>
                <w:rFonts w:eastAsia="Times New Roman" w:cs="Arial"/>
                <w:bCs/>
                <w:sz w:val="20"/>
                <w:szCs w:val="20"/>
              </w:rPr>
              <w:t>Electronic Subscriber Agreement/Electronic Signature</w:t>
            </w:r>
          </w:p>
        </w:tc>
        <w:tc>
          <w:tcPr>
            <w:tcW w:w="730" w:type="pct"/>
            <w:shd w:val="clear" w:color="auto" w:fill="auto"/>
            <w:vAlign w:val="center"/>
          </w:tcPr>
          <w:p w:rsidR="00586994" w:rsidRPr="00AA03C8" w:rsidP="00561BB3" w14:paraId="61259179"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794AB2FC"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41C15A31" w14:textId="77777777">
            <w:pPr>
              <w:keepNext/>
              <w:keepLines/>
              <w:spacing w:after="0"/>
              <w:jc w:val="center"/>
              <w:rPr>
                <w:rFonts w:eastAsia="Times New Roman" w:cs="Arial"/>
                <w:sz w:val="20"/>
                <w:szCs w:val="20"/>
              </w:rPr>
            </w:pPr>
            <w:r w:rsidRPr="00AA03C8">
              <w:rPr>
                <w:rFonts w:eastAsia="Times New Roman" w:cs="Arial"/>
                <w:sz w:val="20"/>
                <w:szCs w:val="20"/>
              </w:rPr>
              <w:t>$21.65</w:t>
            </w:r>
          </w:p>
        </w:tc>
        <w:tc>
          <w:tcPr>
            <w:tcW w:w="610" w:type="pct"/>
            <w:shd w:val="clear" w:color="auto" w:fill="auto"/>
            <w:vAlign w:val="center"/>
          </w:tcPr>
          <w:p w:rsidR="00586994" w:rsidRPr="00AA03C8" w:rsidP="00561BB3" w14:paraId="31ADF254" w14:textId="77777777">
            <w:pPr>
              <w:keepNext/>
              <w:keepLines/>
              <w:spacing w:after="0"/>
              <w:jc w:val="center"/>
              <w:rPr>
                <w:rFonts w:eastAsia="Times New Roman" w:cs="Arial"/>
                <w:sz w:val="20"/>
                <w:szCs w:val="20"/>
              </w:rPr>
            </w:pPr>
            <w:r w:rsidRPr="00AA03C8">
              <w:rPr>
                <w:rFonts w:eastAsia="Times New Roman" w:cs="Arial"/>
                <w:sz w:val="20"/>
                <w:szCs w:val="20"/>
              </w:rPr>
              <w:t>0.10</w:t>
            </w:r>
          </w:p>
        </w:tc>
        <w:tc>
          <w:tcPr>
            <w:tcW w:w="829" w:type="pct"/>
            <w:shd w:val="clear" w:color="auto" w:fill="auto"/>
            <w:vAlign w:val="center"/>
          </w:tcPr>
          <w:p w:rsidR="00586994" w:rsidRPr="00AA03C8" w:rsidP="00561BB3" w14:paraId="793642E6" w14:textId="77777777">
            <w:pPr>
              <w:keepNext/>
              <w:keepLines/>
              <w:spacing w:after="0"/>
              <w:jc w:val="center"/>
              <w:rPr>
                <w:rFonts w:eastAsia="Times New Roman" w:cs="Arial"/>
                <w:sz w:val="20"/>
                <w:szCs w:val="20"/>
              </w:rPr>
            </w:pPr>
            <w:r w:rsidRPr="00AA03C8">
              <w:rPr>
                <w:rFonts w:eastAsia="Times New Roman" w:cs="Arial"/>
                <w:sz w:val="20"/>
                <w:szCs w:val="20"/>
              </w:rPr>
              <w:t>$2.03</w:t>
            </w:r>
          </w:p>
        </w:tc>
      </w:tr>
      <w:tr w14:paraId="25994018" w14:textId="77777777" w:rsidTr="00D177F6">
        <w:tblPrEx>
          <w:tblW w:w="5000" w:type="pct"/>
          <w:tblLook w:val="04A0"/>
        </w:tblPrEx>
        <w:tc>
          <w:tcPr>
            <w:tcW w:w="1370" w:type="pct"/>
            <w:shd w:val="clear" w:color="auto" w:fill="auto"/>
          </w:tcPr>
          <w:p w:rsidR="00586994" w:rsidRPr="00AA03C8" w:rsidP="00561BB3" w14:paraId="7F04359E" w14:textId="77777777">
            <w:pPr>
              <w:keepNext/>
              <w:keepLines/>
              <w:spacing w:after="0"/>
              <w:rPr>
                <w:rFonts w:eastAsia="Times New Roman" w:cs="Arial"/>
                <w:bCs/>
                <w:sz w:val="20"/>
                <w:szCs w:val="20"/>
              </w:rPr>
            </w:pPr>
            <w:r w:rsidRPr="00AA03C8">
              <w:rPr>
                <w:rFonts w:eastAsia="Times New Roman" w:cs="Arial"/>
                <w:bCs/>
                <w:sz w:val="20"/>
                <w:szCs w:val="20"/>
              </w:rPr>
              <w:t>Help Desk</w:t>
            </w:r>
          </w:p>
        </w:tc>
        <w:tc>
          <w:tcPr>
            <w:tcW w:w="730" w:type="pct"/>
            <w:shd w:val="clear" w:color="auto" w:fill="auto"/>
            <w:vAlign w:val="center"/>
          </w:tcPr>
          <w:p w:rsidR="00586994" w:rsidRPr="00AA03C8" w:rsidP="00561BB3" w14:paraId="5F89E7C8"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488DC763" w14:textId="77777777">
            <w:pPr>
              <w:keepNext/>
              <w:keepLines/>
              <w:tabs>
                <w:tab w:val="center" w:pos="990"/>
              </w:tabs>
              <w:spacing w:after="0"/>
              <w:jc w:val="center"/>
              <w:rPr>
                <w:rFonts w:eastAsia="Times New Roman" w:cs="Arial"/>
                <w:sz w:val="20"/>
                <w:szCs w:val="20"/>
              </w:rPr>
            </w:pPr>
            <w:r w:rsidRPr="00AA03C8">
              <w:rPr>
                <w:rFonts w:eastAsia="Times New Roman" w:cs="Arial"/>
                <w:sz w:val="20"/>
                <w:szCs w:val="20"/>
              </w:rPr>
              <w:t>$16.24</w:t>
            </w:r>
          </w:p>
        </w:tc>
        <w:tc>
          <w:tcPr>
            <w:tcW w:w="730" w:type="pct"/>
            <w:shd w:val="clear" w:color="auto" w:fill="auto"/>
            <w:vAlign w:val="center"/>
          </w:tcPr>
          <w:p w:rsidR="00586994" w:rsidRPr="00AA03C8" w:rsidP="00561BB3" w14:paraId="0226F1BE" w14:textId="77777777">
            <w:pPr>
              <w:keepNext/>
              <w:keepLines/>
              <w:spacing w:after="0"/>
              <w:jc w:val="center"/>
              <w:rPr>
                <w:rFonts w:eastAsia="Times New Roman" w:cs="Arial"/>
                <w:sz w:val="20"/>
                <w:szCs w:val="20"/>
              </w:rPr>
            </w:pPr>
            <w:r w:rsidRPr="00AA03C8">
              <w:rPr>
                <w:rFonts w:eastAsia="Times New Roman" w:cs="Arial"/>
                <w:sz w:val="20"/>
                <w:szCs w:val="20"/>
              </w:rPr>
              <w:t>$5.20</w:t>
            </w:r>
          </w:p>
        </w:tc>
        <w:tc>
          <w:tcPr>
            <w:tcW w:w="610" w:type="pct"/>
            <w:shd w:val="clear" w:color="auto" w:fill="auto"/>
            <w:vAlign w:val="center"/>
          </w:tcPr>
          <w:p w:rsidR="00586994" w:rsidRPr="00AA03C8" w:rsidP="00561BB3" w14:paraId="2B14B228" w14:textId="77777777">
            <w:pPr>
              <w:keepNext/>
              <w:keepLines/>
              <w:spacing w:after="0"/>
              <w:jc w:val="center"/>
              <w:rPr>
                <w:rFonts w:eastAsia="Times New Roman" w:cs="Arial"/>
                <w:sz w:val="20"/>
                <w:szCs w:val="20"/>
              </w:rPr>
            </w:pPr>
            <w:r w:rsidRPr="00AA03C8">
              <w:rPr>
                <w:rFonts w:eastAsia="Times New Roman" w:cs="Arial"/>
                <w:sz w:val="20"/>
                <w:szCs w:val="20"/>
              </w:rPr>
              <w:t>0.10</w:t>
            </w:r>
          </w:p>
        </w:tc>
        <w:tc>
          <w:tcPr>
            <w:tcW w:w="829" w:type="pct"/>
            <w:shd w:val="clear" w:color="auto" w:fill="auto"/>
            <w:vAlign w:val="center"/>
          </w:tcPr>
          <w:p w:rsidR="00586994" w:rsidRPr="00AA03C8" w:rsidP="00561BB3" w14:paraId="540381D9" w14:textId="77777777">
            <w:pPr>
              <w:keepNext/>
              <w:keepLines/>
              <w:spacing w:after="0"/>
              <w:jc w:val="center"/>
              <w:rPr>
                <w:rFonts w:eastAsia="Times New Roman" w:cs="Arial"/>
                <w:sz w:val="20"/>
                <w:szCs w:val="20"/>
              </w:rPr>
            </w:pPr>
            <w:r w:rsidRPr="00AA03C8">
              <w:rPr>
                <w:rFonts w:eastAsia="Times New Roman" w:cs="Arial"/>
                <w:sz w:val="20"/>
                <w:szCs w:val="20"/>
              </w:rPr>
              <w:t>$2.03</w:t>
            </w:r>
          </w:p>
        </w:tc>
      </w:tr>
      <w:tr w14:paraId="5C0D2F3A" w14:textId="77777777" w:rsidTr="00D177F6">
        <w:tblPrEx>
          <w:tblW w:w="5000" w:type="pct"/>
          <w:tblLook w:val="04A0"/>
        </w:tblPrEx>
        <w:tc>
          <w:tcPr>
            <w:tcW w:w="1370" w:type="pct"/>
            <w:shd w:val="clear" w:color="auto" w:fill="auto"/>
          </w:tcPr>
          <w:p w:rsidR="00586994" w:rsidRPr="00AA03C8" w:rsidP="00561BB3" w14:paraId="033C9F88" w14:textId="77777777">
            <w:pPr>
              <w:keepNext/>
              <w:keepLines/>
              <w:spacing w:after="0"/>
              <w:rPr>
                <w:rFonts w:eastAsia="Times New Roman" w:cs="Arial"/>
                <w:bCs/>
                <w:sz w:val="20"/>
                <w:szCs w:val="20"/>
              </w:rPr>
            </w:pPr>
            <w:r w:rsidRPr="00AA03C8">
              <w:rPr>
                <w:rFonts w:eastAsia="Times New Roman" w:cs="Arial"/>
                <w:bCs/>
                <w:sz w:val="20"/>
                <w:szCs w:val="20"/>
              </w:rPr>
              <w:t>Report Compromised Signature</w:t>
            </w:r>
          </w:p>
        </w:tc>
        <w:tc>
          <w:tcPr>
            <w:tcW w:w="730" w:type="pct"/>
            <w:shd w:val="clear" w:color="auto" w:fill="auto"/>
            <w:vAlign w:val="center"/>
          </w:tcPr>
          <w:p w:rsidR="00586994" w:rsidRPr="00AA03C8" w:rsidP="00561BB3" w14:paraId="47C0CA78"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4A2441ED"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6C01F3E4" w14:textId="77777777">
            <w:pPr>
              <w:keepNext/>
              <w:keepLines/>
              <w:spacing w:after="0"/>
              <w:jc w:val="center"/>
              <w:rPr>
                <w:rFonts w:eastAsia="Times New Roman" w:cs="Arial"/>
                <w:sz w:val="20"/>
                <w:szCs w:val="20"/>
              </w:rPr>
            </w:pPr>
            <w:r w:rsidRPr="00AA03C8">
              <w:rPr>
                <w:rFonts w:eastAsia="Times New Roman" w:cs="Arial"/>
                <w:sz w:val="20"/>
                <w:szCs w:val="20"/>
              </w:rPr>
              <w:t>$34.64</w:t>
            </w:r>
          </w:p>
        </w:tc>
        <w:tc>
          <w:tcPr>
            <w:tcW w:w="610" w:type="pct"/>
            <w:shd w:val="clear" w:color="auto" w:fill="auto"/>
            <w:vAlign w:val="center"/>
          </w:tcPr>
          <w:p w:rsidR="00586994" w:rsidRPr="00AA03C8" w:rsidP="00561BB3" w14:paraId="21F66705" w14:textId="77777777">
            <w:pPr>
              <w:keepNext/>
              <w:keepLines/>
              <w:spacing w:after="0"/>
              <w:jc w:val="center"/>
              <w:rPr>
                <w:rFonts w:eastAsia="Times New Roman" w:cs="Arial"/>
                <w:sz w:val="20"/>
                <w:szCs w:val="20"/>
              </w:rPr>
            </w:pPr>
            <w:r w:rsidRPr="00AA03C8">
              <w:rPr>
                <w:rFonts w:eastAsia="Times New Roman" w:cs="Arial"/>
                <w:sz w:val="20"/>
                <w:szCs w:val="20"/>
              </w:rPr>
              <w:t>0.01</w:t>
            </w:r>
          </w:p>
        </w:tc>
        <w:tc>
          <w:tcPr>
            <w:tcW w:w="829" w:type="pct"/>
            <w:shd w:val="clear" w:color="auto" w:fill="auto"/>
            <w:vAlign w:val="center"/>
          </w:tcPr>
          <w:p w:rsidR="00586994" w:rsidRPr="00AA03C8" w:rsidP="00561BB3" w14:paraId="04DAE198" w14:textId="77777777">
            <w:pPr>
              <w:keepNext/>
              <w:keepLines/>
              <w:spacing w:after="0"/>
              <w:jc w:val="center"/>
              <w:rPr>
                <w:rFonts w:eastAsia="Times New Roman" w:cs="Arial"/>
                <w:sz w:val="20"/>
                <w:szCs w:val="20"/>
              </w:rPr>
            </w:pPr>
            <w:r w:rsidRPr="00AA03C8">
              <w:rPr>
                <w:rFonts w:eastAsia="Times New Roman" w:cs="Arial"/>
                <w:sz w:val="20"/>
                <w:szCs w:val="20"/>
              </w:rPr>
              <w:t>$0.32</w:t>
            </w:r>
          </w:p>
        </w:tc>
      </w:tr>
      <w:tr w14:paraId="2CE647B9" w14:textId="77777777" w:rsidTr="00D177F6">
        <w:tblPrEx>
          <w:tblW w:w="5000" w:type="pct"/>
          <w:tblLook w:val="04A0"/>
        </w:tblPrEx>
        <w:tc>
          <w:tcPr>
            <w:tcW w:w="1370" w:type="pct"/>
            <w:shd w:val="clear" w:color="auto" w:fill="auto"/>
          </w:tcPr>
          <w:p w:rsidR="00586994" w:rsidRPr="00AA03C8" w:rsidP="00561BB3" w14:paraId="00D9A7F4" w14:textId="77777777">
            <w:pPr>
              <w:keepNext/>
              <w:keepLines/>
              <w:spacing w:after="0"/>
              <w:rPr>
                <w:rFonts w:eastAsia="Times New Roman" w:cs="Arial"/>
                <w:bCs/>
                <w:sz w:val="20"/>
                <w:szCs w:val="20"/>
              </w:rPr>
            </w:pPr>
            <w:r w:rsidRPr="00AA03C8">
              <w:rPr>
                <w:rFonts w:eastAsia="Times New Roman" w:cs="Arial"/>
                <w:bCs/>
                <w:sz w:val="20"/>
                <w:szCs w:val="20"/>
              </w:rPr>
              <w:t>Problem Resolution</w:t>
            </w:r>
          </w:p>
        </w:tc>
        <w:tc>
          <w:tcPr>
            <w:tcW w:w="730" w:type="pct"/>
            <w:shd w:val="clear" w:color="auto" w:fill="auto"/>
            <w:vAlign w:val="center"/>
          </w:tcPr>
          <w:p w:rsidR="00586994" w:rsidRPr="00AA03C8" w:rsidP="00561BB3" w14:paraId="390CF3FD"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730" w:type="pct"/>
            <w:shd w:val="clear" w:color="auto" w:fill="auto"/>
            <w:vAlign w:val="center"/>
          </w:tcPr>
          <w:p w:rsidR="00586994" w:rsidRPr="00AA03C8" w:rsidP="00561BB3" w14:paraId="40F8FB2A" w14:textId="77777777">
            <w:pPr>
              <w:keepNext/>
              <w:keepLines/>
              <w:spacing w:after="0"/>
              <w:jc w:val="center"/>
              <w:rPr>
                <w:rFonts w:eastAsia="Times New Roman" w:cs="Arial"/>
                <w:sz w:val="20"/>
                <w:szCs w:val="20"/>
              </w:rPr>
            </w:pPr>
            <w:r w:rsidRPr="00AA03C8">
              <w:rPr>
                <w:rFonts w:eastAsia="Times New Roman" w:cs="Arial"/>
                <w:sz w:val="20"/>
                <w:szCs w:val="20"/>
              </w:rPr>
              <w:t>$67.68</w:t>
            </w:r>
          </w:p>
        </w:tc>
        <w:tc>
          <w:tcPr>
            <w:tcW w:w="730" w:type="pct"/>
            <w:shd w:val="clear" w:color="auto" w:fill="auto"/>
            <w:vAlign w:val="center"/>
          </w:tcPr>
          <w:p w:rsidR="00586994" w:rsidRPr="00AA03C8" w:rsidP="00561BB3" w14:paraId="2AC85FCA" w14:textId="77777777">
            <w:pPr>
              <w:keepNext/>
              <w:keepLines/>
              <w:spacing w:after="0"/>
              <w:jc w:val="center"/>
              <w:rPr>
                <w:rFonts w:eastAsia="Times New Roman" w:cs="Arial"/>
                <w:sz w:val="20"/>
                <w:szCs w:val="20"/>
              </w:rPr>
            </w:pPr>
            <w:r w:rsidRPr="00AA03C8">
              <w:rPr>
                <w:rFonts w:eastAsia="Times New Roman" w:cs="Arial"/>
                <w:sz w:val="20"/>
                <w:szCs w:val="20"/>
              </w:rPr>
              <w:t>$0.00</w:t>
            </w:r>
          </w:p>
        </w:tc>
        <w:tc>
          <w:tcPr>
            <w:tcW w:w="610" w:type="pct"/>
            <w:shd w:val="clear" w:color="auto" w:fill="auto"/>
            <w:vAlign w:val="center"/>
          </w:tcPr>
          <w:p w:rsidR="00586994" w:rsidRPr="00AA03C8" w:rsidP="00561BB3" w14:paraId="640F8094" w14:textId="77777777">
            <w:pPr>
              <w:keepNext/>
              <w:keepLines/>
              <w:spacing w:after="0"/>
              <w:jc w:val="center"/>
              <w:rPr>
                <w:rFonts w:eastAsia="Times New Roman" w:cs="Arial"/>
                <w:sz w:val="20"/>
                <w:szCs w:val="20"/>
              </w:rPr>
            </w:pPr>
            <w:r w:rsidRPr="00AA03C8">
              <w:rPr>
                <w:rFonts w:eastAsia="Times New Roman" w:cs="Arial"/>
                <w:sz w:val="20"/>
                <w:szCs w:val="20"/>
              </w:rPr>
              <w:t>0.03</w:t>
            </w:r>
          </w:p>
        </w:tc>
        <w:tc>
          <w:tcPr>
            <w:tcW w:w="829" w:type="pct"/>
            <w:shd w:val="clear" w:color="auto" w:fill="auto"/>
            <w:vAlign w:val="center"/>
          </w:tcPr>
          <w:p w:rsidR="00586994" w:rsidRPr="00AA03C8" w:rsidP="00561BB3" w14:paraId="41C49072" w14:textId="77777777">
            <w:pPr>
              <w:keepNext/>
              <w:keepLines/>
              <w:spacing w:after="0"/>
              <w:jc w:val="center"/>
              <w:rPr>
                <w:rFonts w:eastAsia="Times New Roman" w:cs="Arial"/>
                <w:sz w:val="20"/>
                <w:szCs w:val="20"/>
              </w:rPr>
            </w:pPr>
            <w:r w:rsidRPr="00AA03C8">
              <w:rPr>
                <w:rFonts w:eastAsia="Times New Roman" w:cs="Arial"/>
                <w:sz w:val="20"/>
                <w:szCs w:val="20"/>
              </w:rPr>
              <w:t>$2.03</w:t>
            </w:r>
          </w:p>
        </w:tc>
      </w:tr>
      <w:tr w14:paraId="3B59A6C8" w14:textId="77777777" w:rsidTr="00D177F6">
        <w:tblPrEx>
          <w:tblW w:w="5000" w:type="pct"/>
          <w:tblLook w:val="04A0"/>
        </w:tblPrEx>
        <w:tc>
          <w:tcPr>
            <w:tcW w:w="4171" w:type="pct"/>
            <w:gridSpan w:val="5"/>
            <w:tcBorders>
              <w:bottom w:val="single" w:sz="4" w:space="0" w:color="auto"/>
            </w:tcBorders>
            <w:shd w:val="clear" w:color="auto" w:fill="auto"/>
          </w:tcPr>
          <w:p w:rsidR="00586994" w:rsidRPr="00AA03C8" w:rsidP="00561BB3" w14:paraId="195A43AD" w14:textId="77777777">
            <w:pPr>
              <w:keepNext/>
              <w:keepLines/>
              <w:spacing w:after="0"/>
              <w:jc w:val="right"/>
              <w:rPr>
                <w:rFonts w:eastAsia="Times New Roman" w:cs="Arial"/>
                <w:b/>
                <w:sz w:val="20"/>
                <w:szCs w:val="20"/>
              </w:rPr>
            </w:pPr>
            <w:r w:rsidRPr="00AA03C8">
              <w:rPr>
                <w:rFonts w:eastAsia="Times New Roman" w:cs="Arial"/>
                <w:b/>
                <w:szCs w:val="20"/>
              </w:rPr>
              <w:t>Total Subsequent Cost per firm</w:t>
            </w:r>
          </w:p>
        </w:tc>
        <w:tc>
          <w:tcPr>
            <w:tcW w:w="829" w:type="pct"/>
            <w:tcBorders>
              <w:bottom w:val="single" w:sz="4" w:space="0" w:color="auto"/>
            </w:tcBorders>
            <w:shd w:val="clear" w:color="auto" w:fill="auto"/>
            <w:vAlign w:val="center"/>
          </w:tcPr>
          <w:p w:rsidR="00586994" w:rsidRPr="00AA03C8" w:rsidP="00561BB3" w14:paraId="36E2F18E" w14:textId="77777777">
            <w:pPr>
              <w:keepNext/>
              <w:keepLines/>
              <w:spacing w:after="0"/>
              <w:jc w:val="center"/>
              <w:rPr>
                <w:rFonts w:eastAsia="Times New Roman" w:cs="Arial"/>
                <w:b/>
                <w:sz w:val="20"/>
                <w:szCs w:val="20"/>
              </w:rPr>
            </w:pPr>
            <w:r w:rsidRPr="00AA03C8">
              <w:rPr>
                <w:rFonts w:eastAsia="Times New Roman" w:cs="Arial"/>
                <w:b/>
                <w:szCs w:val="20"/>
              </w:rPr>
              <w:t>$13.34</w:t>
            </w:r>
          </w:p>
        </w:tc>
      </w:tr>
      <w:tr w14:paraId="7949C89B" w14:textId="77777777" w:rsidTr="00D177F6">
        <w:tblPrEx>
          <w:tblW w:w="5000" w:type="pct"/>
          <w:tblLook w:val="04A0"/>
        </w:tblPrEx>
        <w:tc>
          <w:tcPr>
            <w:tcW w:w="5000" w:type="pct"/>
            <w:gridSpan w:val="6"/>
            <w:tcBorders>
              <w:left w:val="nil"/>
              <w:bottom w:val="nil"/>
              <w:right w:val="nil"/>
            </w:tcBorders>
            <w:shd w:val="clear" w:color="auto" w:fill="auto"/>
          </w:tcPr>
          <w:p w:rsidR="00586994" w:rsidRPr="00AA03C8" w:rsidP="00561BB3" w14:paraId="79602A75" w14:textId="77777777">
            <w:pPr>
              <w:keepNext/>
              <w:keepLines/>
              <w:spacing w:after="0"/>
              <w:rPr>
                <w:rFonts w:eastAsia="Times New Roman" w:cs="Arial"/>
                <w:sz w:val="20"/>
                <w:szCs w:val="24"/>
              </w:rPr>
            </w:pPr>
            <w:r w:rsidRPr="00AA03C8">
              <w:rPr>
                <w:rFonts w:eastAsia="Times New Roman" w:cs="Arial"/>
                <w:sz w:val="18"/>
                <w:szCs w:val="20"/>
              </w:rPr>
              <w:t>Values may not sum due to rounding.</w:t>
            </w:r>
          </w:p>
        </w:tc>
      </w:tr>
    </w:tbl>
    <w:p w:rsidR="00586994" w:rsidP="006C103A" w14:paraId="7C1B1D37" w14:textId="3B7734A9">
      <w:pPr>
        <w:spacing w:before="240"/>
        <w:rPr>
          <w:rFonts w:ascii="Times New Roman" w:hAnsi="Times New Roman" w:eastAsiaTheme="minorEastAsia" w:cs="Times New Roman"/>
        </w:rPr>
      </w:pPr>
      <w:r w:rsidRPr="00E42336">
        <w:t>Given the expectation that the same respondents will submit 1.7 reports each year, the annual cost per respondent is estimated by:</w:t>
      </w:r>
    </w:p>
    <w:p w:rsidR="00586994" w:rsidRPr="001B1D6C" w:rsidP="001B1D6C" w14:paraId="373CCB3B" w14:textId="77777777">
      <w:pPr>
        <w:jc w:val="center"/>
        <w:rPr>
          <w:b/>
          <w:bCs/>
          <w:sz w:val="20"/>
          <w:szCs w:val="20"/>
        </w:rPr>
      </w:pPr>
      <w:r w:rsidRPr="001B1D6C">
        <w:rPr>
          <w:b/>
          <w:bCs/>
          <w:sz w:val="20"/>
          <w:szCs w:val="20"/>
        </w:rPr>
        <w:t>Form Completion, CBI Claim</w:t>
      </w:r>
    </w:p>
    <w:p w:rsidR="00586994" w:rsidRPr="00561BB3" w:rsidP="00561BB3" w14:paraId="66162C5B" w14:textId="1E352C1E">
      <w:pPr>
        <w:jc w:val="center"/>
        <w:rPr>
          <w:rFonts w:ascii="Times New Roman" w:hAnsi="Times New Roman" w:eastAsiaTheme="minorEastAsia" w:cs="Times New Roman"/>
          <w:sz w:val="20"/>
          <w:szCs w:val="20"/>
        </w:rPr>
      </w:pPr>
      <m:oMath>
        <m:r>
          <w:rPr>
            <w:rFonts w:ascii="Cambria Math" w:hAnsi="Cambria Math" w:cs="Times New Roman"/>
            <w:sz w:val="20"/>
            <w:szCs w:val="20"/>
          </w:rPr>
          <m:t>Annual Cost per Respondent=1.7</m:t>
        </m:r>
        <m:d>
          <m:dPr>
            <m:ctrlPr>
              <w:rPr>
                <w:rFonts w:ascii="Cambria Math" w:hAnsi="Cambria Math" w:cs="Times New Roman"/>
                <w:i/>
                <w:sz w:val="20"/>
                <w:szCs w:val="20"/>
              </w:rPr>
            </m:ctrlPr>
          </m:dPr>
          <m:e>
            <m:r>
              <w:rPr>
                <w:rFonts w:ascii="Cambria Math" w:hAnsi="Cambria Math" w:cs="Times New Roman"/>
                <w:sz w:val="20"/>
                <w:szCs w:val="20"/>
              </w:rPr>
              <m:t>7,477.38+121.14+38.04</m:t>
            </m:r>
          </m:e>
        </m:d>
        <m:r>
          <w:rPr>
            <w:rFonts w:ascii="Cambria Math" w:hAnsi="Cambria Math" w:cs="Times New Roman"/>
            <w:sz w:val="20"/>
            <w:szCs w:val="20"/>
          </w:rPr>
          <m:t>+59.29+30.30=$13,072</m:t>
        </m:r>
      </m:oMath>
      <w:r w:rsidRPr="00561BB3">
        <w:rPr>
          <w:rFonts w:ascii="Times New Roman" w:hAnsi="Times New Roman" w:eastAsiaTheme="minorEastAsia" w:cs="Times New Roman"/>
          <w:sz w:val="20"/>
          <w:szCs w:val="20"/>
        </w:rPr>
        <w:t>.</w:t>
      </w:r>
    </w:p>
    <w:p w:rsidR="00586994" w:rsidRPr="00E42336" w:rsidP="00586994" w14:paraId="400BD3D5" w14:textId="77777777">
      <w:r w:rsidRPr="00E42336">
        <w:t>Therefore, the annual cost across all 5.3 respondents that are expected per year is estimated by:</w:t>
      </w:r>
    </w:p>
    <w:p w:rsidR="00586994" w:rsidRPr="00561BB3" w:rsidP="007A0CD3" w14:paraId="5F0290E2" w14:textId="4D46906C">
      <w:pPr>
        <w:rPr>
          <w:rFonts w:ascii="Times New Roman" w:hAnsi="Times New Roman" w:eastAsiaTheme="minorEastAsia" w:cs="Times New Roman"/>
          <w:sz w:val="20"/>
          <w:szCs w:val="20"/>
        </w:rPr>
      </w:pPr>
      <m:oMathPara>
        <m:oMath>
          <m:r>
            <w:rPr>
              <w:rFonts w:ascii="Cambria Math" w:hAnsi="Cambria Math" w:cs="Times New Roman"/>
              <w:sz w:val="20"/>
              <w:szCs w:val="20"/>
            </w:rPr>
            <m:t>Total Annual Cost to Respondents=5.3    x    $13,072=$69,280</m:t>
          </m:r>
        </m:oMath>
      </m:oMathPara>
    </w:p>
    <w:p w:rsidR="00717D77" w:rsidP="00717D77" w14:paraId="5EE029DE" w14:textId="77777777">
      <w:pPr>
        <w:pStyle w:val="Heading2"/>
      </w:pPr>
      <w:r>
        <w:t xml:space="preserve">13. </w:t>
      </w:r>
      <w:r w:rsidRPr="003679B0">
        <w:t>Provide an estimate for the total annual cost burden to respondents or recordkeepers resulting</w:t>
      </w:r>
      <w:r>
        <w:t xml:space="preserve"> from the collection of information.</w:t>
      </w:r>
    </w:p>
    <w:p w:rsidR="00717D77" w:rsidRPr="007E4E7D" w:rsidP="00717D77" w14:paraId="58B318B1" w14:textId="77777777">
      <w:pPr>
        <w:pStyle w:val="ListParagraph"/>
        <w:numPr>
          <w:ilvl w:val="0"/>
          <w:numId w:val="30"/>
        </w:numPr>
        <w:spacing w:after="200" w:line="240" w:lineRule="auto"/>
        <w:contextualSpacing w:val="0"/>
        <w:rPr>
          <w:b/>
          <w:bCs/>
        </w:rPr>
      </w:pPr>
      <w:r w:rsidRPr="007E4E7D">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7E4E7D">
        <w:rPr>
          <w:b/>
          <w:bCs/>
        </w:rPr>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17D77" w:rsidRPr="007E4E7D" w:rsidP="00717D77" w14:paraId="69C71F7B" w14:textId="77777777">
      <w:pPr>
        <w:pStyle w:val="ListParagraph"/>
        <w:numPr>
          <w:ilvl w:val="0"/>
          <w:numId w:val="30"/>
        </w:numPr>
        <w:spacing w:after="200" w:line="240" w:lineRule="auto"/>
        <w:contextualSpacing w:val="0"/>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7D77" w:rsidRPr="00BF330E" w:rsidP="00717D77" w14:paraId="170FA214" w14:textId="77777777">
      <w:pPr>
        <w:pStyle w:val="ListParagraph"/>
        <w:numPr>
          <w:ilvl w:val="0"/>
          <w:numId w:val="30"/>
        </w:numPr>
        <w:spacing w:after="200" w:line="240" w:lineRule="auto"/>
        <w:contextualSpacing w:val="0"/>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17D77" w:rsidP="00717D77" w14:paraId="4DC99E6D" w14:textId="5961DD1E">
      <w:r>
        <w:t>There are no operational and/or maintenance costs</w:t>
      </w:r>
      <w:r w:rsidR="00187036">
        <w:t xml:space="preserve"> associated with this ICR</w:t>
      </w:r>
      <w:r>
        <w:t>.</w:t>
      </w:r>
    </w:p>
    <w:p w:rsidR="00717D77" w:rsidP="00717D77" w14:paraId="4ACF882D" w14:textId="77777777">
      <w:pPr>
        <w:pStyle w:val="Heading2"/>
      </w:pPr>
      <w:r>
        <w:t xml:space="preserve">14. </w:t>
      </w:r>
      <w:r w:rsidRPr="003679B0">
        <w:t xml:space="preserve">Provide </w:t>
      </w:r>
      <w:bookmarkStart w:id="7" w:name="_Hlk82508788"/>
      <w:r w:rsidRPr="003679B0">
        <w:t>estimates</w:t>
      </w:r>
      <w:r>
        <w:t xml:space="preserve"> of annualized cost to the Federal governmen</w:t>
      </w:r>
      <w:r w:rsidRPr="00B975C3">
        <w:t>t.</w:t>
      </w:r>
      <w:bookmarkEnd w:id="7"/>
      <w:r w:rsidRPr="00894848">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17D77" w:rsidRPr="00C54AF3" w:rsidP="00717D77" w14:paraId="16A7F241" w14:textId="77777777">
      <w:pPr>
        <w:autoSpaceDE w:val="0"/>
        <w:autoSpaceDN w:val="0"/>
        <w:adjustRightInd w:val="0"/>
        <w:rPr>
          <w:rFonts w:eastAsia="MS Mincho"/>
          <w:lang w:eastAsia="ja-JP"/>
        </w:rPr>
      </w:pPr>
      <w:r w:rsidRPr="00C54AF3">
        <w:rPr>
          <w:rFonts w:eastAsia="MS Mincho"/>
          <w:lang w:eastAsia="ja-JP"/>
        </w:rPr>
        <w:t>EPA will perform the following activities:</w:t>
      </w:r>
    </w:p>
    <w:p w:rsidR="00717D77" w:rsidRPr="00C54AF3" w:rsidP="00717D77" w14:paraId="44055B2A" w14:textId="77777777">
      <w:pPr>
        <w:pStyle w:val="ListParagraph"/>
        <w:numPr>
          <w:ilvl w:val="0"/>
          <w:numId w:val="34"/>
        </w:numPr>
        <w:autoSpaceDE w:val="0"/>
        <w:autoSpaceDN w:val="0"/>
        <w:adjustRightInd w:val="0"/>
        <w:rPr>
          <w:rFonts w:eastAsia="MS Mincho"/>
          <w:lang w:eastAsia="ja-JP"/>
        </w:rPr>
      </w:pPr>
      <w:r w:rsidRPr="00C54AF3">
        <w:rPr>
          <w:rFonts w:eastAsia="MS Mincho"/>
          <w:lang w:eastAsia="ja-JP"/>
        </w:rPr>
        <w:t>review the information submitted;</w:t>
      </w:r>
    </w:p>
    <w:p w:rsidR="00717D77" w:rsidRPr="00C54AF3" w:rsidP="00717D77" w14:paraId="1C8732E7" w14:textId="6B919565">
      <w:pPr>
        <w:pStyle w:val="ListParagraph"/>
        <w:numPr>
          <w:ilvl w:val="0"/>
          <w:numId w:val="34"/>
        </w:numPr>
        <w:autoSpaceDE w:val="0"/>
        <w:autoSpaceDN w:val="0"/>
        <w:adjustRightInd w:val="0"/>
        <w:rPr>
          <w:rFonts w:eastAsia="MS Mincho"/>
          <w:lang w:eastAsia="ja-JP"/>
        </w:rPr>
      </w:pPr>
      <w:r w:rsidRPr="00C54AF3">
        <w:rPr>
          <w:rFonts w:eastAsia="MS Mincho"/>
          <w:lang w:eastAsia="ja-JP"/>
        </w:rPr>
        <w:t xml:space="preserve">analyze submissions for </w:t>
      </w:r>
      <w:r w:rsidR="00187036">
        <w:rPr>
          <w:rFonts w:eastAsia="MS Mincho"/>
          <w:lang w:eastAsia="ja-JP"/>
        </w:rPr>
        <w:t xml:space="preserve">CBI </w:t>
      </w:r>
      <w:r w:rsidRPr="00C54AF3">
        <w:rPr>
          <w:rFonts w:eastAsia="MS Mincho"/>
          <w:lang w:eastAsia="ja-JP"/>
        </w:rPr>
        <w:t>and provide appropriate protection for confidential data;</w:t>
      </w:r>
    </w:p>
    <w:p w:rsidR="00717D77" w:rsidRPr="00C54AF3" w:rsidP="00717D77" w14:paraId="09B876D4" w14:textId="77777777">
      <w:pPr>
        <w:pStyle w:val="ListParagraph"/>
        <w:numPr>
          <w:ilvl w:val="0"/>
          <w:numId w:val="34"/>
        </w:numPr>
        <w:autoSpaceDE w:val="0"/>
        <w:autoSpaceDN w:val="0"/>
        <w:adjustRightInd w:val="0"/>
        <w:rPr>
          <w:rFonts w:eastAsia="MS Mincho"/>
          <w:lang w:eastAsia="ja-JP"/>
        </w:rPr>
      </w:pPr>
      <w:r w:rsidRPr="00C54AF3">
        <w:rPr>
          <w:rFonts w:eastAsia="MS Mincho"/>
          <w:lang w:eastAsia="ja-JP"/>
        </w:rPr>
        <w:t>file and store submissions;</w:t>
      </w:r>
    </w:p>
    <w:p w:rsidR="00717D77" w:rsidRPr="00C54AF3" w:rsidP="00717D77" w14:paraId="04B34B42" w14:textId="77777777">
      <w:pPr>
        <w:pStyle w:val="ListParagraph"/>
        <w:numPr>
          <w:ilvl w:val="0"/>
          <w:numId w:val="34"/>
        </w:numPr>
        <w:autoSpaceDE w:val="0"/>
        <w:autoSpaceDN w:val="0"/>
        <w:adjustRightInd w:val="0"/>
        <w:rPr>
          <w:rFonts w:eastAsia="MS Mincho"/>
          <w:lang w:eastAsia="ja-JP"/>
        </w:rPr>
      </w:pPr>
      <w:r w:rsidRPr="00C54AF3">
        <w:rPr>
          <w:rFonts w:eastAsia="MS Mincho"/>
          <w:lang w:eastAsia="ja-JP"/>
        </w:rPr>
        <w:t>use the data to inform the assessment and management of any risks from nanoscale materials; and</w:t>
      </w:r>
    </w:p>
    <w:p w:rsidR="00717D77" w:rsidRPr="00C54AF3" w:rsidP="00717D77" w14:paraId="6D5AC4D7" w14:textId="77777777">
      <w:pPr>
        <w:pStyle w:val="ListParagraph"/>
        <w:numPr>
          <w:ilvl w:val="0"/>
          <w:numId w:val="34"/>
        </w:numPr>
        <w:autoSpaceDE w:val="0"/>
        <w:autoSpaceDN w:val="0"/>
        <w:adjustRightInd w:val="0"/>
        <w:rPr>
          <w:rFonts w:eastAsia="MS Mincho"/>
          <w:lang w:eastAsia="ja-JP"/>
        </w:rPr>
      </w:pPr>
      <w:r w:rsidRPr="00C54AF3">
        <w:rPr>
          <w:rFonts w:eastAsia="MS Mincho"/>
          <w:lang w:eastAsia="ja-JP"/>
        </w:rPr>
        <w:t>provide an aggregated report of the information submitted.</w:t>
      </w:r>
    </w:p>
    <w:p w:rsidR="00717D77" w:rsidP="00717D77" w14:paraId="4E3E7034" w14:textId="77777777">
      <w:r w:rsidRPr="00C54AF3">
        <w:t xml:space="preserve">An improved information technology to minimize burden of a TSCA section 8(a) chemical-specific rule has not been found. EPA has not been able to identify a more efficient, less expensive, or more flexible means of obtaining the required information than the one currently being used. To the extent information is not CBI, all information collected is made available to the public through the public docket office. EPA is </w:t>
      </w:r>
      <w:r w:rsidRPr="00C54AF3">
        <w:t>requiring firms to submit this information on one standard reporting form. TSCA section 8(a) chemical-specific rules typically require one-time reporting. As future data needs arise, EPA will consider the use of other types of reporting methods. EPA believes the flexibility already allowed in the reporting structure significantly eases burden.</w:t>
      </w:r>
    </w:p>
    <w:p w:rsidR="00717D77" w:rsidP="00717D77" w14:paraId="4C635DB8" w14:textId="2FEF4ED4">
      <w:r w:rsidRPr="0057780D">
        <w:t xml:space="preserve">This is a one-time collection of </w:t>
      </w:r>
      <w:r w:rsidRPr="00C54AF3">
        <w:t xml:space="preserve">information. Respondents </w:t>
      </w:r>
      <w:r w:rsidRPr="00C54AF3">
        <w:rPr>
          <w:bCs/>
        </w:rPr>
        <w:t xml:space="preserve">will normally report </w:t>
      </w:r>
      <w:r w:rsidRPr="00C54AF3">
        <w:t xml:space="preserve">135 days before </w:t>
      </w:r>
      <w:r w:rsidRPr="00C54AF3">
        <w:rPr>
          <w:bCs/>
        </w:rPr>
        <w:t>new discrete forms of reportable nanoscale materials are intended to be manufactured or processed but no later than 30 days</w:t>
      </w:r>
      <w:r w:rsidRPr="0057780D">
        <w:rPr>
          <w:bCs/>
        </w:rPr>
        <w:t xml:space="preserve"> after forming that intent</w:t>
      </w:r>
      <w:r w:rsidRPr="0057780D">
        <w:t xml:space="preserve">.  </w:t>
      </w:r>
    </w:p>
    <w:p w:rsidR="000B6B08" w:rsidP="00AA03C8" w14:paraId="530ED8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b/>
          <w:bCs/>
        </w:rPr>
      </w:pPr>
      <w:bookmarkStart w:id="8" w:name="_Ref333500705"/>
      <w:r w:rsidRPr="007A0CD3">
        <w:rPr>
          <w:b/>
          <w:bCs/>
        </w:rPr>
        <w:t>Estimating Agency Burden and Cost</w:t>
      </w:r>
    </w:p>
    <w:p w:rsidR="007A0CD3" w:rsidRPr="00B376A0" w:rsidP="00AA03C8" w14:paraId="657EA79C" w14:textId="6CB76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4051E9">
        <w:t xml:space="preserve">Agency personnel are responsible for all tasks associated with the </w:t>
      </w:r>
      <w:r w:rsidR="00187036">
        <w:t>implementation of regulations</w:t>
      </w:r>
      <w:r w:rsidRPr="004051E9">
        <w:t>, and none of the work is estimated to be completed by contractor staff. EPA labor costs are based on annual federal wage rates published by the Office of Personnel Management for the Washington-Baltimore-Northern Virginia, DC-MD-PA-VA-WV Locality Pay Area for 2022 (OPM, 2022). Wages are presented in terms of GS-level and step. A federal GS-13, Step 5 employee will conduct the collection and administrative activities under the rule. A federal GS-14, Step 5 will assist with the review of the CBI claim substantiations. Loaded wage rates for 2022 for both employees are presented in Table 7. Following the methodology outlined in Instructions for Preparing Information Collection Requests (ICRs) (EPA, 1992), EPA added 60 percent to the wage rate to account for fringe benefits and overhead costs. Table 8 derives the loaded wage rates for Agency staff at the GS-13 Step 5 and GS-14 Step 4 levels.</w:t>
      </w:r>
    </w:p>
    <w:p w:rsidR="00277B69" w:rsidRPr="006C103A" w:rsidP="006C103A" w14:paraId="3BBFC22A" w14:textId="77777777">
      <w:pPr>
        <w:jc w:val="center"/>
        <w:rPr>
          <w:b/>
          <w:bCs/>
        </w:rPr>
      </w:pPr>
      <w:r w:rsidRPr="006C103A">
        <w:rPr>
          <w:b/>
          <w:bCs/>
        </w:rPr>
        <w:t>Table 7: Loaded wages for EPA Staff and Attorney (2022$)</w:t>
      </w:r>
    </w:p>
    <w:tbl>
      <w:tblPr>
        <w:tblW w:w="9359" w:type="dxa"/>
        <w:tblLook w:val="04A0"/>
      </w:tblPr>
      <w:tblGrid>
        <w:gridCol w:w="1250"/>
        <w:gridCol w:w="1563"/>
        <w:gridCol w:w="926"/>
        <w:gridCol w:w="1050"/>
        <w:gridCol w:w="1060"/>
        <w:gridCol w:w="1047"/>
        <w:gridCol w:w="1314"/>
        <w:gridCol w:w="1149"/>
      </w:tblGrid>
      <w:tr w14:paraId="1E37EA30" w14:textId="77777777" w:rsidTr="00561BB3">
        <w:tblPrEx>
          <w:tblW w:w="9359" w:type="dxa"/>
          <w:tblLook w:val="04A0"/>
        </w:tblPrEx>
        <w:trPr>
          <w:trHeight w:val="483"/>
        </w:trPr>
        <w:tc>
          <w:tcPr>
            <w:tcW w:w="1250"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rsidR="00277B69" w:rsidRPr="00AA03C8" w:rsidP="00561BB3" w14:paraId="4688A1FB"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Labor Category</w:t>
            </w:r>
          </w:p>
        </w:tc>
        <w:tc>
          <w:tcPr>
            <w:tcW w:w="1563"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rsidR="00277B69" w:rsidRPr="00AA03C8" w:rsidP="00561BB3" w14:paraId="02BAFEBE"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Data Source for Wage Information</w:t>
            </w:r>
          </w:p>
        </w:tc>
        <w:tc>
          <w:tcPr>
            <w:tcW w:w="926"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5ACB695B"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Wage ($/hour)</w:t>
            </w:r>
          </w:p>
        </w:tc>
        <w:tc>
          <w:tcPr>
            <w:tcW w:w="1050"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4895B9F4"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Fringe Benefit</w:t>
            </w:r>
          </w:p>
        </w:tc>
        <w:tc>
          <w:tcPr>
            <w:tcW w:w="1060"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330B93B8"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Fringes as % wage</w:t>
            </w:r>
          </w:p>
        </w:tc>
        <w:tc>
          <w:tcPr>
            <w:tcW w:w="1047"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5E2EB7A8"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Overhead as % wage</w:t>
            </w:r>
          </w:p>
        </w:tc>
        <w:tc>
          <w:tcPr>
            <w:tcW w:w="1314"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4148A29D"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Fringe + Overhead Factor</w:t>
            </w:r>
          </w:p>
        </w:tc>
        <w:tc>
          <w:tcPr>
            <w:tcW w:w="1149" w:type="dxa"/>
            <w:tcBorders>
              <w:top w:val="single" w:sz="4" w:space="0" w:color="auto"/>
              <w:left w:val="nil"/>
              <w:bottom w:val="single" w:sz="8" w:space="0" w:color="auto"/>
              <w:right w:val="single" w:sz="8" w:space="0" w:color="auto"/>
            </w:tcBorders>
            <w:shd w:val="clear" w:color="000000" w:fill="D9D9D9"/>
            <w:vAlign w:val="center"/>
            <w:hideMark/>
          </w:tcPr>
          <w:p w:rsidR="00277B69" w:rsidRPr="00AA03C8" w:rsidP="00561BB3" w14:paraId="1A93412C" w14:textId="77777777">
            <w:pPr>
              <w:spacing w:after="0"/>
              <w:jc w:val="center"/>
              <w:rPr>
                <w:rFonts w:eastAsia="Times New Roman" w:cs="Arial"/>
                <w:b/>
                <w:bCs/>
                <w:color w:val="000000"/>
                <w:sz w:val="18"/>
                <w:szCs w:val="18"/>
              </w:rPr>
            </w:pPr>
            <w:r w:rsidRPr="00AA03C8">
              <w:rPr>
                <w:rFonts w:eastAsia="Times New Roman" w:cs="Arial"/>
                <w:b/>
                <w:bCs/>
                <w:color w:val="000000"/>
                <w:sz w:val="18"/>
                <w:szCs w:val="18"/>
              </w:rPr>
              <w:t>Loaded Wage ($/</w:t>
            </w:r>
            <w:r w:rsidRPr="00AA03C8">
              <w:rPr>
                <w:rFonts w:eastAsia="Times New Roman" w:cs="Arial"/>
                <w:b/>
                <w:bCs/>
                <w:color w:val="000000"/>
                <w:sz w:val="18"/>
                <w:szCs w:val="18"/>
              </w:rPr>
              <w:t>hr</w:t>
            </w:r>
            <w:r w:rsidRPr="00AA03C8">
              <w:rPr>
                <w:rFonts w:eastAsia="Times New Roman" w:cs="Arial"/>
                <w:b/>
                <w:bCs/>
                <w:color w:val="000000"/>
                <w:sz w:val="18"/>
                <w:szCs w:val="18"/>
              </w:rPr>
              <w:t>)</w:t>
            </w:r>
          </w:p>
        </w:tc>
      </w:tr>
      <w:tr w14:paraId="3E288836" w14:textId="77777777" w:rsidTr="00561BB3">
        <w:tblPrEx>
          <w:tblW w:w="9359" w:type="dxa"/>
          <w:tblLook w:val="04A0"/>
        </w:tblPrEx>
        <w:trPr>
          <w:trHeight w:val="263"/>
        </w:trPr>
        <w:tc>
          <w:tcPr>
            <w:tcW w:w="1250" w:type="dxa"/>
            <w:vMerge/>
            <w:tcBorders>
              <w:top w:val="nil"/>
              <w:left w:val="single" w:sz="8" w:space="0" w:color="auto"/>
              <w:bottom w:val="single" w:sz="8" w:space="0" w:color="000000"/>
              <w:right w:val="single" w:sz="8" w:space="0" w:color="auto"/>
            </w:tcBorders>
            <w:vAlign w:val="center"/>
            <w:hideMark/>
          </w:tcPr>
          <w:p w:rsidR="00277B69" w:rsidRPr="00AA03C8" w:rsidP="00561BB3" w14:paraId="621FE590" w14:textId="77777777">
            <w:pPr>
              <w:spacing w:after="0"/>
              <w:rPr>
                <w:rFonts w:eastAsia="Times New Roman" w:cs="Arial"/>
                <w:b/>
                <w:bCs/>
                <w:color w:val="000000"/>
                <w:sz w:val="18"/>
                <w:szCs w:val="18"/>
              </w:rPr>
            </w:pPr>
          </w:p>
        </w:tc>
        <w:tc>
          <w:tcPr>
            <w:tcW w:w="1563" w:type="dxa"/>
            <w:vMerge/>
            <w:tcBorders>
              <w:top w:val="nil"/>
              <w:left w:val="single" w:sz="8" w:space="0" w:color="auto"/>
              <w:bottom w:val="single" w:sz="8" w:space="0" w:color="000000"/>
              <w:right w:val="single" w:sz="8" w:space="0" w:color="auto"/>
            </w:tcBorders>
            <w:vAlign w:val="center"/>
            <w:hideMark/>
          </w:tcPr>
          <w:p w:rsidR="00277B69" w:rsidRPr="00AA03C8" w:rsidP="00561BB3" w14:paraId="7CB6B301" w14:textId="77777777">
            <w:pPr>
              <w:spacing w:after="0"/>
              <w:rPr>
                <w:rFonts w:eastAsia="Times New Roman" w:cs="Arial"/>
                <w:b/>
                <w:bCs/>
                <w:color w:val="000000"/>
                <w:sz w:val="18"/>
                <w:szCs w:val="18"/>
              </w:rPr>
            </w:pPr>
          </w:p>
        </w:tc>
        <w:tc>
          <w:tcPr>
            <w:tcW w:w="926" w:type="dxa"/>
            <w:tcBorders>
              <w:top w:val="nil"/>
              <w:left w:val="nil"/>
              <w:bottom w:val="single" w:sz="8" w:space="0" w:color="auto"/>
              <w:right w:val="single" w:sz="8" w:space="0" w:color="auto"/>
            </w:tcBorders>
            <w:shd w:val="clear" w:color="000000" w:fill="D9D9D9"/>
            <w:vAlign w:val="center"/>
            <w:hideMark/>
          </w:tcPr>
          <w:p w:rsidR="00277B69" w:rsidRPr="00AA03C8" w:rsidP="00561BB3" w14:paraId="07FE2A92"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(a)</w:t>
            </w:r>
          </w:p>
        </w:tc>
        <w:tc>
          <w:tcPr>
            <w:tcW w:w="1050" w:type="dxa"/>
            <w:tcBorders>
              <w:top w:val="nil"/>
              <w:left w:val="nil"/>
              <w:bottom w:val="single" w:sz="8" w:space="0" w:color="auto"/>
              <w:right w:val="single" w:sz="8" w:space="0" w:color="auto"/>
            </w:tcBorders>
            <w:shd w:val="clear" w:color="000000" w:fill="D9D9D9"/>
            <w:vAlign w:val="center"/>
            <w:hideMark/>
          </w:tcPr>
          <w:p w:rsidR="00277B69" w:rsidRPr="00AA03C8" w:rsidP="00561BB3" w14:paraId="3CB3EA99"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(b)</w:t>
            </w:r>
          </w:p>
        </w:tc>
        <w:tc>
          <w:tcPr>
            <w:tcW w:w="1060" w:type="dxa"/>
            <w:tcBorders>
              <w:top w:val="nil"/>
              <w:left w:val="nil"/>
              <w:bottom w:val="single" w:sz="8" w:space="0" w:color="auto"/>
              <w:right w:val="single" w:sz="8" w:space="0" w:color="auto"/>
            </w:tcBorders>
            <w:shd w:val="clear" w:color="000000" w:fill="D9D9D9"/>
            <w:vAlign w:val="center"/>
            <w:hideMark/>
          </w:tcPr>
          <w:p w:rsidR="00277B69" w:rsidRPr="00AA03C8" w:rsidP="00561BB3" w14:paraId="5D3BB4F7"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(c) = (b) / (a)</w:t>
            </w:r>
          </w:p>
        </w:tc>
        <w:tc>
          <w:tcPr>
            <w:tcW w:w="1047" w:type="dxa"/>
            <w:tcBorders>
              <w:top w:val="nil"/>
              <w:left w:val="nil"/>
              <w:bottom w:val="single" w:sz="8" w:space="0" w:color="auto"/>
              <w:right w:val="single" w:sz="8" w:space="0" w:color="auto"/>
            </w:tcBorders>
            <w:shd w:val="clear" w:color="000000" w:fill="D9D9D9"/>
            <w:vAlign w:val="center"/>
            <w:hideMark/>
          </w:tcPr>
          <w:p w:rsidR="00277B69" w:rsidRPr="00AA03C8" w:rsidP="00561BB3" w14:paraId="569A4936"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(d)</w:t>
            </w:r>
          </w:p>
        </w:tc>
        <w:tc>
          <w:tcPr>
            <w:tcW w:w="1314" w:type="dxa"/>
            <w:tcBorders>
              <w:top w:val="nil"/>
              <w:left w:val="nil"/>
              <w:bottom w:val="single" w:sz="8" w:space="0" w:color="auto"/>
              <w:right w:val="single" w:sz="8" w:space="0" w:color="auto"/>
            </w:tcBorders>
            <w:shd w:val="clear" w:color="000000" w:fill="D9D9D9"/>
            <w:vAlign w:val="center"/>
            <w:hideMark/>
          </w:tcPr>
          <w:p w:rsidR="00277B69" w:rsidRPr="00AA03C8" w:rsidP="00561BB3" w14:paraId="77F78284"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(e) = (c) + (d) + 1</w:t>
            </w:r>
          </w:p>
        </w:tc>
        <w:tc>
          <w:tcPr>
            <w:tcW w:w="1149" w:type="dxa"/>
            <w:tcBorders>
              <w:top w:val="nil"/>
              <w:left w:val="nil"/>
              <w:bottom w:val="single" w:sz="8" w:space="0" w:color="auto"/>
              <w:right w:val="single" w:sz="8" w:space="0" w:color="auto"/>
            </w:tcBorders>
            <w:shd w:val="clear" w:color="000000" w:fill="D9D9D9"/>
            <w:vAlign w:val="center"/>
            <w:hideMark/>
          </w:tcPr>
          <w:p w:rsidR="00277B69" w:rsidRPr="00AA03C8" w:rsidP="00561BB3" w14:paraId="6D57035A" w14:textId="77777777">
            <w:pPr>
              <w:spacing w:after="0"/>
              <w:jc w:val="center"/>
              <w:rPr>
                <w:rFonts w:eastAsia="Times New Roman" w:cs="Arial"/>
                <w:b/>
                <w:bCs/>
                <w:color w:val="000000"/>
                <w:sz w:val="16"/>
                <w:szCs w:val="16"/>
              </w:rPr>
            </w:pPr>
            <w:r w:rsidRPr="00AA03C8">
              <w:rPr>
                <w:rFonts w:eastAsia="Times New Roman" w:cs="Arial"/>
                <w:b/>
                <w:bCs/>
                <w:color w:val="000000"/>
                <w:sz w:val="16"/>
                <w:szCs w:val="16"/>
              </w:rPr>
              <w:t>(f) = (a) * (e)</w:t>
            </w:r>
          </w:p>
        </w:tc>
      </w:tr>
      <w:tr w14:paraId="5B8D679D" w14:textId="77777777" w:rsidTr="00561BB3">
        <w:tblPrEx>
          <w:tblW w:w="9359" w:type="dxa"/>
          <w:tblLook w:val="04A0"/>
        </w:tblPrEx>
        <w:trPr>
          <w:trHeight w:val="458"/>
        </w:trPr>
        <w:tc>
          <w:tcPr>
            <w:tcW w:w="1250"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33FE447A" w14:textId="77777777">
            <w:pPr>
              <w:spacing w:after="0"/>
              <w:jc w:val="center"/>
              <w:rPr>
                <w:rFonts w:eastAsia="Times New Roman" w:cs="Arial"/>
                <w:color w:val="000000"/>
                <w:sz w:val="20"/>
                <w:szCs w:val="20"/>
              </w:rPr>
            </w:pPr>
            <w:r w:rsidRPr="00AA03C8">
              <w:rPr>
                <w:rFonts w:eastAsia="Times New Roman" w:cs="Arial"/>
                <w:color w:val="000000"/>
                <w:sz w:val="20"/>
                <w:szCs w:val="20"/>
              </w:rPr>
              <w:t>Staff</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3C95D363" w14:textId="77777777">
            <w:pPr>
              <w:spacing w:after="0"/>
              <w:rPr>
                <w:rFonts w:eastAsia="Times New Roman" w:cs="Arial"/>
                <w:color w:val="000000"/>
                <w:sz w:val="16"/>
                <w:szCs w:val="16"/>
              </w:rPr>
            </w:pPr>
            <w:r w:rsidRPr="00AA03C8">
              <w:rPr>
                <w:rFonts w:eastAsia="Times New Roman" w:cs="Arial"/>
                <w:color w:val="000000"/>
                <w:sz w:val="16"/>
                <w:szCs w:val="16"/>
              </w:rPr>
              <w:t>Annual federal staff cost: OPM Washington-Baltimore-Northern Virginia, DC-MD-PA-VA-WV area,</w:t>
            </w:r>
            <w:r w:rsidRPr="00AA03C8">
              <w:rPr>
                <w:rFonts w:eastAsia="Times New Roman" w:cs="Arial"/>
                <w:color w:val="000000"/>
                <w:sz w:val="16"/>
                <w:szCs w:val="16"/>
                <w:u w:val="single"/>
              </w:rPr>
              <w:t xml:space="preserve"> </w:t>
            </w:r>
            <w:r w:rsidRPr="00AA03C8">
              <w:rPr>
                <w:rFonts w:eastAsia="Times New Roman" w:cs="Arial"/>
                <w:color w:val="000000"/>
                <w:sz w:val="16"/>
                <w:szCs w:val="16"/>
              </w:rPr>
              <w:t xml:space="preserve">GS-13 Step 5 pay rates </w:t>
            </w:r>
            <w:r w:rsidRPr="00AA03C8">
              <w:rPr>
                <w:rFonts w:eastAsia="Times New Roman" w:cs="Arial"/>
                <w:color w:val="000000"/>
                <w:sz w:val="16"/>
                <w:szCs w:val="16"/>
                <w:vertAlign w:val="superscript"/>
              </w:rPr>
              <w:t>1</w:t>
            </w:r>
          </w:p>
        </w:tc>
        <w:tc>
          <w:tcPr>
            <w:tcW w:w="926"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5ADB595A" w14:textId="77777777">
            <w:pPr>
              <w:spacing w:after="0"/>
              <w:jc w:val="center"/>
              <w:rPr>
                <w:rFonts w:eastAsia="Times New Roman" w:cs="Arial"/>
                <w:color w:val="000000"/>
                <w:sz w:val="20"/>
                <w:szCs w:val="20"/>
              </w:rPr>
            </w:pPr>
            <w:r w:rsidRPr="00AA03C8">
              <w:rPr>
                <w:rFonts w:eastAsia="Times New Roman" w:cs="Arial"/>
                <w:color w:val="000000"/>
                <w:sz w:val="20"/>
                <w:szCs w:val="20"/>
              </w:rPr>
              <w:t>$60.83</w:t>
            </w:r>
          </w:p>
        </w:tc>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2BFFAA1D" w14:textId="77777777">
            <w:pPr>
              <w:spacing w:after="0"/>
              <w:rPr>
                <w:rFonts w:eastAsia="Times New Roman" w:cs="Arial"/>
                <w:color w:val="000000"/>
                <w:sz w:val="20"/>
                <w:szCs w:val="20"/>
                <w:vertAlign w:val="superscript"/>
              </w:rPr>
            </w:pPr>
            <w:r w:rsidRPr="00AA03C8">
              <w:rPr>
                <w:rFonts w:eastAsia="Times New Roman" w:cs="Arial"/>
                <w:color w:val="000000"/>
                <w:sz w:val="20"/>
                <w:szCs w:val="20"/>
              </w:rPr>
              <w:t>Included in 60% overhead</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0A2DDAE7" w14:textId="77777777">
            <w:pPr>
              <w:spacing w:after="0"/>
              <w:jc w:val="center"/>
              <w:rPr>
                <w:rFonts w:eastAsia="Times New Roman" w:cs="Arial"/>
                <w:color w:val="000000"/>
                <w:sz w:val="20"/>
                <w:szCs w:val="20"/>
              </w:rPr>
            </w:pPr>
            <w:r w:rsidRPr="00AA03C8">
              <w:rPr>
                <w:rFonts w:eastAsia="Times New Roman" w:cs="Arial"/>
                <w:color w:val="000000"/>
                <w:sz w:val="20"/>
                <w:szCs w:val="20"/>
              </w:rPr>
              <w:t>N/A</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1C338485" w14:textId="77777777">
            <w:pPr>
              <w:spacing w:after="0"/>
              <w:jc w:val="center"/>
              <w:rPr>
                <w:rFonts w:eastAsia="Times New Roman" w:cs="Arial"/>
                <w:color w:val="000000"/>
                <w:sz w:val="20"/>
                <w:szCs w:val="20"/>
              </w:rPr>
            </w:pPr>
            <w:r w:rsidRPr="00AA03C8">
              <w:rPr>
                <w:rFonts w:eastAsia="Times New Roman" w:cs="Arial"/>
                <w:color w:val="000000"/>
                <w:sz w:val="20"/>
                <w:szCs w:val="20"/>
              </w:rPr>
              <w:t xml:space="preserve">60% </w:t>
            </w:r>
            <w:r w:rsidRPr="00AA03C8">
              <w:rPr>
                <w:rFonts w:eastAsia="Times New Roman" w:cs="Arial"/>
                <w:color w:val="000000"/>
                <w:sz w:val="20"/>
                <w:szCs w:val="20"/>
                <w:vertAlign w:val="superscript"/>
              </w:rPr>
              <w:t>2</w:t>
            </w:r>
          </w:p>
        </w:tc>
        <w:tc>
          <w:tcPr>
            <w:tcW w:w="1314"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7F6FA96B" w14:textId="77777777">
            <w:pPr>
              <w:spacing w:after="0"/>
              <w:jc w:val="center"/>
              <w:rPr>
                <w:rFonts w:eastAsia="Times New Roman" w:cs="Arial"/>
                <w:color w:val="000000"/>
                <w:sz w:val="20"/>
                <w:szCs w:val="20"/>
              </w:rPr>
            </w:pPr>
            <w:r w:rsidRPr="00AA03C8">
              <w:rPr>
                <w:rFonts w:eastAsia="Times New Roman" w:cs="Arial"/>
                <w:color w:val="000000"/>
                <w:sz w:val="20"/>
                <w:szCs w:val="20"/>
              </w:rPr>
              <w:t>1.6</w:t>
            </w:r>
          </w:p>
        </w:tc>
        <w:tc>
          <w:tcPr>
            <w:tcW w:w="1149" w:type="dxa"/>
            <w:vMerge w:val="restart"/>
            <w:tcBorders>
              <w:top w:val="nil"/>
              <w:left w:val="single" w:sz="8" w:space="0" w:color="auto"/>
              <w:bottom w:val="single" w:sz="8" w:space="0" w:color="000000"/>
              <w:right w:val="single" w:sz="8" w:space="0" w:color="auto"/>
            </w:tcBorders>
            <w:shd w:val="clear" w:color="auto" w:fill="auto"/>
            <w:vAlign w:val="center"/>
            <w:hideMark/>
          </w:tcPr>
          <w:p w:rsidR="00277B69" w:rsidRPr="00AA03C8" w:rsidP="00561BB3" w14:paraId="79C37C88" w14:textId="77777777">
            <w:pPr>
              <w:spacing w:after="0"/>
              <w:jc w:val="center"/>
              <w:rPr>
                <w:rFonts w:eastAsia="Times New Roman" w:cs="Arial"/>
                <w:color w:val="000000"/>
                <w:sz w:val="20"/>
                <w:szCs w:val="20"/>
              </w:rPr>
            </w:pPr>
            <w:r w:rsidRPr="00AA03C8">
              <w:rPr>
                <w:rFonts w:eastAsia="Times New Roman" w:cs="Arial"/>
                <w:color w:val="000000"/>
                <w:sz w:val="20"/>
                <w:szCs w:val="20"/>
              </w:rPr>
              <w:t>$97.33</w:t>
            </w:r>
          </w:p>
        </w:tc>
      </w:tr>
      <w:tr w14:paraId="1C4F266A" w14:textId="77777777" w:rsidTr="00561BB3">
        <w:tblPrEx>
          <w:tblW w:w="9359" w:type="dxa"/>
          <w:tblLook w:val="04A0"/>
        </w:tblPrEx>
        <w:trPr>
          <w:trHeight w:val="1346"/>
        </w:trPr>
        <w:tc>
          <w:tcPr>
            <w:tcW w:w="1250" w:type="dxa"/>
            <w:vMerge/>
            <w:tcBorders>
              <w:top w:val="nil"/>
              <w:left w:val="single" w:sz="8" w:space="0" w:color="auto"/>
              <w:bottom w:val="nil"/>
              <w:right w:val="single" w:sz="8" w:space="0" w:color="auto"/>
            </w:tcBorders>
            <w:vAlign w:val="center"/>
            <w:hideMark/>
          </w:tcPr>
          <w:p w:rsidR="00277B69" w:rsidRPr="00AA03C8" w:rsidP="00561BB3" w14:paraId="5ACCD5C3" w14:textId="77777777">
            <w:pPr>
              <w:spacing w:after="0"/>
              <w:jc w:val="center"/>
              <w:rPr>
                <w:rFonts w:eastAsia="Times New Roman" w:cs="Arial"/>
                <w:color w:val="000000"/>
                <w:sz w:val="20"/>
                <w:szCs w:val="20"/>
              </w:rPr>
            </w:pPr>
          </w:p>
        </w:tc>
        <w:tc>
          <w:tcPr>
            <w:tcW w:w="1563" w:type="dxa"/>
            <w:vMerge/>
            <w:tcBorders>
              <w:top w:val="nil"/>
              <w:left w:val="single" w:sz="8" w:space="0" w:color="auto"/>
              <w:bottom w:val="nil"/>
              <w:right w:val="single" w:sz="8" w:space="0" w:color="auto"/>
            </w:tcBorders>
            <w:vAlign w:val="center"/>
            <w:hideMark/>
          </w:tcPr>
          <w:p w:rsidR="00277B69" w:rsidRPr="00AA03C8" w:rsidP="00561BB3" w14:paraId="7F3190F9" w14:textId="77777777">
            <w:pPr>
              <w:spacing w:after="0"/>
              <w:rPr>
                <w:rFonts w:eastAsia="Times New Roman" w:cs="Arial"/>
                <w:color w:val="000000"/>
                <w:sz w:val="16"/>
                <w:szCs w:val="16"/>
              </w:rPr>
            </w:pPr>
          </w:p>
        </w:tc>
        <w:tc>
          <w:tcPr>
            <w:tcW w:w="926" w:type="dxa"/>
            <w:vMerge/>
            <w:tcBorders>
              <w:top w:val="nil"/>
              <w:left w:val="single" w:sz="8" w:space="0" w:color="auto"/>
              <w:bottom w:val="nil"/>
              <w:right w:val="single" w:sz="8" w:space="0" w:color="auto"/>
            </w:tcBorders>
            <w:vAlign w:val="center"/>
            <w:hideMark/>
          </w:tcPr>
          <w:p w:rsidR="00277B69" w:rsidRPr="00AA03C8" w:rsidP="00561BB3" w14:paraId="2B939951" w14:textId="77777777">
            <w:pPr>
              <w:spacing w:after="0"/>
              <w:rPr>
                <w:rFonts w:eastAsia="Times New Roman" w:cs="Arial"/>
                <w:color w:val="000000"/>
                <w:sz w:val="20"/>
                <w:szCs w:val="20"/>
              </w:rPr>
            </w:pPr>
          </w:p>
        </w:tc>
        <w:tc>
          <w:tcPr>
            <w:tcW w:w="1050" w:type="dxa"/>
            <w:vMerge/>
            <w:tcBorders>
              <w:top w:val="nil"/>
              <w:left w:val="single" w:sz="8" w:space="0" w:color="auto"/>
              <w:bottom w:val="nil"/>
              <w:right w:val="single" w:sz="8" w:space="0" w:color="auto"/>
            </w:tcBorders>
            <w:vAlign w:val="center"/>
            <w:hideMark/>
          </w:tcPr>
          <w:p w:rsidR="00277B69" w:rsidRPr="00AA03C8" w:rsidP="00561BB3" w14:paraId="586D91D0" w14:textId="77777777">
            <w:pPr>
              <w:spacing w:after="0"/>
              <w:rPr>
                <w:rFonts w:eastAsia="Times New Roman" w:cs="Arial"/>
                <w:color w:val="000000"/>
                <w:sz w:val="20"/>
                <w:szCs w:val="20"/>
              </w:rPr>
            </w:pPr>
          </w:p>
        </w:tc>
        <w:tc>
          <w:tcPr>
            <w:tcW w:w="1060" w:type="dxa"/>
            <w:vMerge/>
            <w:tcBorders>
              <w:top w:val="nil"/>
              <w:left w:val="single" w:sz="8" w:space="0" w:color="auto"/>
              <w:bottom w:val="nil"/>
              <w:right w:val="single" w:sz="8" w:space="0" w:color="auto"/>
            </w:tcBorders>
            <w:vAlign w:val="center"/>
            <w:hideMark/>
          </w:tcPr>
          <w:p w:rsidR="00277B69" w:rsidRPr="00AA03C8" w:rsidP="00561BB3" w14:paraId="7E7FCD26" w14:textId="77777777">
            <w:pPr>
              <w:spacing w:after="0"/>
              <w:rPr>
                <w:rFonts w:eastAsia="Times New Roman" w:cs="Arial"/>
                <w:color w:val="000000"/>
                <w:sz w:val="20"/>
                <w:szCs w:val="20"/>
              </w:rPr>
            </w:pPr>
          </w:p>
        </w:tc>
        <w:tc>
          <w:tcPr>
            <w:tcW w:w="1047" w:type="dxa"/>
            <w:vMerge/>
            <w:tcBorders>
              <w:top w:val="nil"/>
              <w:left w:val="single" w:sz="8" w:space="0" w:color="auto"/>
              <w:bottom w:val="nil"/>
              <w:right w:val="single" w:sz="8" w:space="0" w:color="auto"/>
            </w:tcBorders>
            <w:vAlign w:val="center"/>
            <w:hideMark/>
          </w:tcPr>
          <w:p w:rsidR="00277B69" w:rsidRPr="00AA03C8" w:rsidP="00561BB3" w14:paraId="07EE1CED" w14:textId="77777777">
            <w:pPr>
              <w:spacing w:after="0"/>
              <w:rPr>
                <w:rFonts w:eastAsia="Times New Roman" w:cs="Arial"/>
                <w:color w:val="000000"/>
                <w:sz w:val="20"/>
                <w:szCs w:val="20"/>
              </w:rPr>
            </w:pPr>
          </w:p>
        </w:tc>
        <w:tc>
          <w:tcPr>
            <w:tcW w:w="1314" w:type="dxa"/>
            <w:vMerge/>
            <w:tcBorders>
              <w:top w:val="nil"/>
              <w:left w:val="single" w:sz="8" w:space="0" w:color="auto"/>
              <w:bottom w:val="nil"/>
              <w:right w:val="single" w:sz="8" w:space="0" w:color="auto"/>
            </w:tcBorders>
            <w:vAlign w:val="center"/>
            <w:hideMark/>
          </w:tcPr>
          <w:p w:rsidR="00277B69" w:rsidRPr="00AA03C8" w:rsidP="00561BB3" w14:paraId="54D855C9" w14:textId="77777777">
            <w:pPr>
              <w:spacing w:after="0"/>
              <w:rPr>
                <w:rFonts w:eastAsia="Times New Roman" w:cs="Arial"/>
                <w:color w:val="000000"/>
                <w:sz w:val="20"/>
                <w:szCs w:val="20"/>
              </w:rPr>
            </w:pPr>
          </w:p>
        </w:tc>
        <w:tc>
          <w:tcPr>
            <w:tcW w:w="1149" w:type="dxa"/>
            <w:vMerge/>
            <w:tcBorders>
              <w:top w:val="nil"/>
              <w:left w:val="single" w:sz="8" w:space="0" w:color="auto"/>
              <w:bottom w:val="nil"/>
              <w:right w:val="single" w:sz="8" w:space="0" w:color="auto"/>
            </w:tcBorders>
            <w:vAlign w:val="center"/>
            <w:hideMark/>
          </w:tcPr>
          <w:p w:rsidR="00277B69" w:rsidRPr="00AA03C8" w:rsidP="00561BB3" w14:paraId="0A5FE7E0" w14:textId="77777777">
            <w:pPr>
              <w:spacing w:after="0"/>
              <w:rPr>
                <w:rFonts w:eastAsia="Times New Roman" w:cs="Arial"/>
                <w:color w:val="000000"/>
                <w:sz w:val="20"/>
                <w:szCs w:val="20"/>
              </w:rPr>
            </w:pPr>
          </w:p>
        </w:tc>
      </w:tr>
      <w:tr w14:paraId="4927E81C" w14:textId="77777777" w:rsidTr="00561BB3">
        <w:tblPrEx>
          <w:tblW w:w="9359" w:type="dxa"/>
          <w:tblLook w:val="04A0"/>
        </w:tblPrEx>
        <w:trPr>
          <w:trHeight w:val="450"/>
        </w:trPr>
        <w:tc>
          <w:tcPr>
            <w:tcW w:w="1250" w:type="dxa"/>
            <w:tcBorders>
              <w:top w:val="nil"/>
              <w:left w:val="single" w:sz="8" w:space="0" w:color="auto"/>
              <w:bottom w:val="single" w:sz="8" w:space="0" w:color="000000"/>
              <w:right w:val="single" w:sz="8" w:space="0" w:color="auto"/>
            </w:tcBorders>
            <w:vAlign w:val="center"/>
          </w:tcPr>
          <w:p w:rsidR="00277B69" w:rsidRPr="00AA03C8" w:rsidP="00561BB3" w14:paraId="2381602A" w14:textId="77777777">
            <w:pPr>
              <w:spacing w:after="0"/>
              <w:jc w:val="center"/>
              <w:rPr>
                <w:rFonts w:eastAsia="Times New Roman" w:cs="Arial"/>
                <w:color w:val="000000"/>
                <w:sz w:val="20"/>
                <w:szCs w:val="20"/>
              </w:rPr>
            </w:pPr>
            <w:r w:rsidRPr="00AA03C8">
              <w:rPr>
                <w:rFonts w:eastAsia="Times New Roman" w:cs="Arial"/>
                <w:color w:val="000000"/>
                <w:sz w:val="20"/>
                <w:szCs w:val="20"/>
              </w:rPr>
              <w:t>Attorney</w:t>
            </w:r>
          </w:p>
        </w:tc>
        <w:tc>
          <w:tcPr>
            <w:tcW w:w="1563" w:type="dxa"/>
            <w:tcBorders>
              <w:top w:val="nil"/>
              <w:left w:val="single" w:sz="8" w:space="0" w:color="auto"/>
              <w:bottom w:val="single" w:sz="8" w:space="0" w:color="000000"/>
              <w:right w:val="single" w:sz="8" w:space="0" w:color="auto"/>
            </w:tcBorders>
            <w:vAlign w:val="center"/>
          </w:tcPr>
          <w:p w:rsidR="00277B69" w:rsidRPr="00AA03C8" w:rsidP="00561BB3" w14:paraId="3552F2D1" w14:textId="77777777">
            <w:pPr>
              <w:spacing w:after="0"/>
              <w:rPr>
                <w:rFonts w:eastAsia="Times New Roman" w:cs="Arial"/>
                <w:color w:val="000000"/>
                <w:sz w:val="16"/>
                <w:szCs w:val="16"/>
              </w:rPr>
            </w:pPr>
            <w:r w:rsidRPr="00AA03C8">
              <w:rPr>
                <w:rFonts w:eastAsia="Times New Roman" w:cs="Arial"/>
                <w:color w:val="000000"/>
                <w:sz w:val="16"/>
                <w:szCs w:val="16"/>
              </w:rPr>
              <w:t>Annual federal staff cost: OPM Washington-Baltimore-Northern Virginia, DC-MD-PA-VA-WV area,</w:t>
            </w:r>
            <w:r w:rsidRPr="00AA03C8">
              <w:rPr>
                <w:rFonts w:eastAsia="Times New Roman" w:cs="Arial"/>
                <w:color w:val="000000"/>
                <w:sz w:val="16"/>
                <w:szCs w:val="16"/>
                <w:u w:val="single"/>
              </w:rPr>
              <w:t xml:space="preserve"> </w:t>
            </w:r>
            <w:r w:rsidRPr="00AA03C8">
              <w:rPr>
                <w:rFonts w:eastAsia="Times New Roman" w:cs="Arial"/>
                <w:color w:val="000000"/>
                <w:sz w:val="16"/>
                <w:szCs w:val="16"/>
              </w:rPr>
              <w:t xml:space="preserve">GS-14 Step 5 pay rates </w:t>
            </w:r>
            <w:r w:rsidRPr="00AA03C8">
              <w:rPr>
                <w:rFonts w:eastAsia="Times New Roman" w:cs="Arial"/>
                <w:color w:val="000000"/>
                <w:sz w:val="16"/>
                <w:szCs w:val="16"/>
                <w:vertAlign w:val="superscript"/>
              </w:rPr>
              <w:t>1</w:t>
            </w:r>
          </w:p>
        </w:tc>
        <w:tc>
          <w:tcPr>
            <w:tcW w:w="926" w:type="dxa"/>
            <w:tcBorders>
              <w:top w:val="nil"/>
              <w:left w:val="single" w:sz="8" w:space="0" w:color="auto"/>
              <w:bottom w:val="single" w:sz="8" w:space="0" w:color="000000"/>
              <w:right w:val="single" w:sz="8" w:space="0" w:color="auto"/>
            </w:tcBorders>
            <w:vAlign w:val="center"/>
          </w:tcPr>
          <w:p w:rsidR="00277B69" w:rsidRPr="00AA03C8" w:rsidP="00561BB3" w14:paraId="4A3A014F" w14:textId="77777777">
            <w:pPr>
              <w:spacing w:after="0"/>
              <w:jc w:val="center"/>
              <w:rPr>
                <w:rFonts w:eastAsia="Times New Roman" w:cs="Arial"/>
                <w:color w:val="000000"/>
                <w:sz w:val="20"/>
                <w:szCs w:val="20"/>
              </w:rPr>
            </w:pPr>
            <w:r w:rsidRPr="00AA03C8">
              <w:rPr>
                <w:rFonts w:eastAsia="Times New Roman" w:cs="Arial"/>
                <w:color w:val="000000"/>
                <w:sz w:val="20"/>
                <w:szCs w:val="20"/>
              </w:rPr>
              <w:t>71.88</w:t>
            </w:r>
          </w:p>
        </w:tc>
        <w:tc>
          <w:tcPr>
            <w:tcW w:w="1050" w:type="dxa"/>
            <w:tcBorders>
              <w:top w:val="nil"/>
              <w:left w:val="single" w:sz="8" w:space="0" w:color="auto"/>
              <w:bottom w:val="single" w:sz="8" w:space="0" w:color="000000"/>
              <w:right w:val="single" w:sz="8" w:space="0" w:color="auto"/>
            </w:tcBorders>
            <w:vAlign w:val="center"/>
          </w:tcPr>
          <w:p w:rsidR="00277B69" w:rsidRPr="00AA03C8" w:rsidP="00561BB3" w14:paraId="2E51152F" w14:textId="77777777">
            <w:pPr>
              <w:spacing w:after="0"/>
              <w:jc w:val="center"/>
              <w:rPr>
                <w:rFonts w:eastAsia="Times New Roman" w:cs="Arial"/>
                <w:color w:val="000000"/>
                <w:sz w:val="20"/>
                <w:szCs w:val="20"/>
              </w:rPr>
            </w:pPr>
            <w:r w:rsidRPr="00AA03C8">
              <w:rPr>
                <w:rFonts w:eastAsia="Times New Roman" w:cs="Arial"/>
                <w:color w:val="000000"/>
                <w:sz w:val="20"/>
                <w:szCs w:val="20"/>
              </w:rPr>
              <w:t>Included in 60% overhead</w:t>
            </w:r>
          </w:p>
        </w:tc>
        <w:tc>
          <w:tcPr>
            <w:tcW w:w="1060" w:type="dxa"/>
            <w:tcBorders>
              <w:top w:val="nil"/>
              <w:left w:val="single" w:sz="8" w:space="0" w:color="auto"/>
              <w:bottom w:val="single" w:sz="8" w:space="0" w:color="000000"/>
              <w:right w:val="single" w:sz="8" w:space="0" w:color="auto"/>
            </w:tcBorders>
            <w:vAlign w:val="center"/>
          </w:tcPr>
          <w:p w:rsidR="00277B69" w:rsidRPr="00AA03C8" w:rsidP="00561BB3" w14:paraId="77A66B9C" w14:textId="77777777">
            <w:pPr>
              <w:spacing w:after="0"/>
              <w:jc w:val="center"/>
              <w:rPr>
                <w:rFonts w:eastAsia="Times New Roman" w:cs="Arial"/>
                <w:color w:val="000000"/>
                <w:sz w:val="20"/>
                <w:szCs w:val="20"/>
              </w:rPr>
            </w:pPr>
            <w:r w:rsidRPr="00AA03C8">
              <w:rPr>
                <w:rFonts w:eastAsia="Times New Roman" w:cs="Arial"/>
                <w:color w:val="000000"/>
                <w:sz w:val="20"/>
                <w:szCs w:val="20"/>
              </w:rPr>
              <w:t>N/A</w:t>
            </w:r>
          </w:p>
        </w:tc>
        <w:tc>
          <w:tcPr>
            <w:tcW w:w="1047" w:type="dxa"/>
            <w:tcBorders>
              <w:top w:val="nil"/>
              <w:left w:val="single" w:sz="8" w:space="0" w:color="auto"/>
              <w:bottom w:val="single" w:sz="8" w:space="0" w:color="000000"/>
              <w:right w:val="single" w:sz="8" w:space="0" w:color="auto"/>
            </w:tcBorders>
            <w:vAlign w:val="center"/>
          </w:tcPr>
          <w:p w:rsidR="00277B69" w:rsidRPr="00AA03C8" w:rsidP="00561BB3" w14:paraId="467B4113" w14:textId="77777777">
            <w:pPr>
              <w:spacing w:after="0"/>
              <w:jc w:val="center"/>
              <w:rPr>
                <w:rFonts w:eastAsia="Times New Roman" w:cs="Arial"/>
                <w:color w:val="000000"/>
                <w:sz w:val="20"/>
                <w:szCs w:val="20"/>
              </w:rPr>
            </w:pPr>
            <w:r w:rsidRPr="00AA03C8">
              <w:rPr>
                <w:rFonts w:eastAsia="Times New Roman" w:cs="Arial"/>
                <w:color w:val="000000"/>
                <w:sz w:val="20"/>
                <w:szCs w:val="20"/>
              </w:rPr>
              <w:t>60% 2</w:t>
            </w:r>
          </w:p>
        </w:tc>
        <w:tc>
          <w:tcPr>
            <w:tcW w:w="1314" w:type="dxa"/>
            <w:tcBorders>
              <w:top w:val="nil"/>
              <w:left w:val="single" w:sz="8" w:space="0" w:color="auto"/>
              <w:bottom w:val="single" w:sz="8" w:space="0" w:color="000000"/>
              <w:right w:val="single" w:sz="8" w:space="0" w:color="auto"/>
            </w:tcBorders>
            <w:vAlign w:val="center"/>
          </w:tcPr>
          <w:p w:rsidR="00277B69" w:rsidRPr="00AA03C8" w:rsidP="00561BB3" w14:paraId="017C440F" w14:textId="77777777">
            <w:pPr>
              <w:spacing w:after="0"/>
              <w:jc w:val="center"/>
              <w:rPr>
                <w:rFonts w:eastAsia="Times New Roman" w:cs="Arial"/>
                <w:color w:val="000000"/>
                <w:sz w:val="20"/>
                <w:szCs w:val="20"/>
              </w:rPr>
            </w:pPr>
            <w:r w:rsidRPr="00AA03C8">
              <w:rPr>
                <w:rFonts w:eastAsia="Times New Roman" w:cs="Arial"/>
                <w:color w:val="000000"/>
                <w:sz w:val="20"/>
                <w:szCs w:val="20"/>
              </w:rPr>
              <w:t>1.6</w:t>
            </w:r>
          </w:p>
        </w:tc>
        <w:tc>
          <w:tcPr>
            <w:tcW w:w="1149" w:type="dxa"/>
            <w:tcBorders>
              <w:top w:val="nil"/>
              <w:left w:val="single" w:sz="8" w:space="0" w:color="auto"/>
              <w:bottom w:val="single" w:sz="8" w:space="0" w:color="000000"/>
              <w:right w:val="single" w:sz="8" w:space="0" w:color="auto"/>
            </w:tcBorders>
            <w:vAlign w:val="center"/>
          </w:tcPr>
          <w:p w:rsidR="00277B69" w:rsidRPr="00AA03C8" w:rsidP="00561BB3" w14:paraId="174B91DF" w14:textId="77777777">
            <w:pPr>
              <w:spacing w:after="0"/>
              <w:jc w:val="center"/>
              <w:rPr>
                <w:rFonts w:eastAsia="Times New Roman" w:cs="Arial"/>
                <w:color w:val="000000"/>
                <w:sz w:val="20"/>
                <w:szCs w:val="20"/>
              </w:rPr>
            </w:pPr>
            <w:r w:rsidRPr="00AA03C8">
              <w:rPr>
                <w:rFonts w:eastAsia="Times New Roman" w:cs="Arial"/>
                <w:color w:val="000000"/>
                <w:sz w:val="20"/>
                <w:szCs w:val="20"/>
              </w:rPr>
              <w:t>$115</w:t>
            </w:r>
          </w:p>
        </w:tc>
      </w:tr>
    </w:tbl>
    <w:p w:rsidR="00277B69" w:rsidRPr="001B1D6C" w:rsidP="006C103A" w14:paraId="7A0B98C7" w14:textId="7A480F6B">
      <w:pPr>
        <w:spacing w:before="240"/>
      </w:pPr>
      <w:r w:rsidRPr="001B1D6C">
        <w:t xml:space="preserve">Table 8 provides the total annual cost and burden of Agency activities based on the loaded wages presented in Table 7. The annual burden to the Agency is estimated to </w:t>
      </w:r>
      <w:r w:rsidRPr="001B1D6C">
        <w:t xml:space="preserve">be 236 hours and the total burden to the Agency over the three-year period of the ICR is estimated to be 708 hours. The annual cost </w:t>
      </w:r>
      <w:r w:rsidRPr="001B1D6C">
        <w:t>ot</w:t>
      </w:r>
      <w:r w:rsidRPr="001B1D6C">
        <w:t xml:space="preserve"> the Agency is estimated to be $23,956 and the total cost to the Agency over the three-year period is estimated to be $71,868.</w:t>
      </w:r>
    </w:p>
    <w:p w:rsidR="00277B69" w:rsidRPr="001B1D6C" w:rsidP="001B1D6C" w14:paraId="29F0FBF6" w14:textId="77777777">
      <w:pPr>
        <w:jc w:val="center"/>
        <w:rPr>
          <w:b/>
          <w:bCs/>
        </w:rPr>
      </w:pPr>
      <w:r w:rsidRPr="001B1D6C">
        <w:rPr>
          <w:b/>
          <w:bCs/>
        </w:rPr>
        <w:t>Table 8: Total Annual Cost and Burden</w:t>
      </w:r>
      <w:bookmarkEnd w:id="8"/>
      <w:r w:rsidRPr="001B1D6C">
        <w:rPr>
          <w:b/>
          <w:bCs/>
        </w:rPr>
        <w:t xml:space="preserve"> of Agency Activities (2022$)</w:t>
      </w:r>
    </w:p>
    <w:tbl>
      <w:tblPr>
        <w:tblW w:w="9337" w:type="dxa"/>
        <w:tblInd w:w="93" w:type="dxa"/>
        <w:tblLook w:val="04A0"/>
      </w:tblPr>
      <w:tblGrid>
        <w:gridCol w:w="2069"/>
        <w:gridCol w:w="1465"/>
        <w:gridCol w:w="1275"/>
        <w:gridCol w:w="1327"/>
        <w:gridCol w:w="1501"/>
        <w:gridCol w:w="1700"/>
      </w:tblGrid>
      <w:tr w14:paraId="7A042F14" w14:textId="77777777" w:rsidTr="00D177F6">
        <w:tblPrEx>
          <w:tblW w:w="9337" w:type="dxa"/>
          <w:tblInd w:w="93" w:type="dxa"/>
          <w:tblLook w:val="04A0"/>
        </w:tblPrEx>
        <w:trPr>
          <w:trHeight w:val="469"/>
        </w:trPr>
        <w:tc>
          <w:tcPr>
            <w:tcW w:w="2069"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277B69" w:rsidRPr="00AA03C8" w:rsidP="00561BB3" w14:paraId="1CFED4FA" w14:textId="77777777">
            <w:pPr>
              <w:keepNext/>
              <w:keepLines/>
              <w:spacing w:after="0"/>
              <w:jc w:val="center"/>
              <w:rPr>
                <w:rFonts w:eastAsia="Times New Roman" w:cs="Arial"/>
                <w:b/>
                <w:sz w:val="20"/>
                <w:szCs w:val="24"/>
              </w:rPr>
            </w:pPr>
            <w:r w:rsidRPr="00AA03C8">
              <w:rPr>
                <w:rFonts w:eastAsia="Times New Roman" w:cs="Arial"/>
                <w:b/>
                <w:sz w:val="20"/>
                <w:szCs w:val="24"/>
              </w:rPr>
              <w:t>Activity</w:t>
            </w:r>
          </w:p>
        </w:tc>
        <w:tc>
          <w:tcPr>
            <w:tcW w:w="1465"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277B69" w:rsidRPr="00AA03C8" w:rsidP="00561BB3" w14:paraId="773D2EAB" w14:textId="77777777">
            <w:pPr>
              <w:keepNext/>
              <w:keepLines/>
              <w:spacing w:after="0"/>
              <w:jc w:val="center"/>
              <w:rPr>
                <w:rFonts w:eastAsia="Times New Roman" w:cs="Arial"/>
                <w:b/>
                <w:sz w:val="20"/>
                <w:szCs w:val="24"/>
              </w:rPr>
            </w:pPr>
            <w:r w:rsidRPr="00AA03C8">
              <w:rPr>
                <w:rFonts w:eastAsia="Times New Roman" w:cs="Arial"/>
                <w:b/>
                <w:sz w:val="20"/>
                <w:szCs w:val="24"/>
              </w:rPr>
              <w:t>Staff</w:t>
            </w:r>
          </w:p>
        </w:tc>
        <w:tc>
          <w:tcPr>
            <w:tcW w:w="1275" w:type="dxa"/>
            <w:tcBorders>
              <w:top w:val="single" w:sz="8" w:space="0" w:color="auto"/>
              <w:left w:val="nil"/>
              <w:bottom w:val="single" w:sz="4" w:space="0" w:color="auto"/>
              <w:right w:val="single" w:sz="8" w:space="0" w:color="auto"/>
            </w:tcBorders>
            <w:shd w:val="clear" w:color="000000" w:fill="F2F2F2"/>
            <w:vAlign w:val="center"/>
            <w:hideMark/>
          </w:tcPr>
          <w:p w:rsidR="00277B69" w:rsidRPr="00AA03C8" w:rsidP="00561BB3" w14:paraId="01344AA4" w14:textId="77777777">
            <w:pPr>
              <w:keepNext/>
              <w:keepLines/>
              <w:spacing w:after="0"/>
              <w:jc w:val="center"/>
              <w:rPr>
                <w:rFonts w:eastAsia="Times New Roman" w:cs="Arial"/>
                <w:b/>
                <w:sz w:val="20"/>
                <w:szCs w:val="24"/>
              </w:rPr>
            </w:pPr>
            <w:r w:rsidRPr="00AA03C8">
              <w:rPr>
                <w:rFonts w:eastAsia="Times New Roman" w:cs="Arial"/>
                <w:b/>
                <w:sz w:val="20"/>
                <w:szCs w:val="24"/>
              </w:rPr>
              <w:t>Total Burden per Activity</w:t>
            </w:r>
          </w:p>
          <w:p w:rsidR="00277B69" w:rsidRPr="00AA03C8" w:rsidP="00561BB3" w14:paraId="4E201413" w14:textId="77777777">
            <w:pPr>
              <w:keepNext/>
              <w:keepLines/>
              <w:spacing w:after="0"/>
              <w:jc w:val="center"/>
              <w:rPr>
                <w:rFonts w:eastAsia="Times New Roman" w:cs="Arial"/>
                <w:b/>
                <w:sz w:val="20"/>
                <w:szCs w:val="24"/>
              </w:rPr>
            </w:pPr>
            <w:r w:rsidRPr="00AA03C8">
              <w:rPr>
                <w:rFonts w:eastAsia="Times New Roman" w:cs="Arial"/>
                <w:b/>
                <w:sz w:val="20"/>
                <w:szCs w:val="24"/>
              </w:rPr>
              <w:t>(hours)</w:t>
            </w:r>
          </w:p>
        </w:tc>
        <w:tc>
          <w:tcPr>
            <w:tcW w:w="1327" w:type="dxa"/>
            <w:tcBorders>
              <w:top w:val="single" w:sz="8" w:space="0" w:color="auto"/>
              <w:left w:val="single" w:sz="8" w:space="0" w:color="auto"/>
              <w:bottom w:val="single" w:sz="4" w:space="0" w:color="auto"/>
              <w:right w:val="single" w:sz="8" w:space="0" w:color="auto"/>
            </w:tcBorders>
            <w:shd w:val="clear" w:color="000000" w:fill="F2F2F2"/>
            <w:vAlign w:val="center"/>
            <w:hideMark/>
          </w:tcPr>
          <w:p w:rsidR="00277B69" w:rsidRPr="00AA03C8" w:rsidP="00561BB3" w14:paraId="3FAEF3F8" w14:textId="77777777">
            <w:pPr>
              <w:keepNext/>
              <w:keepLines/>
              <w:spacing w:after="0"/>
              <w:jc w:val="center"/>
              <w:rPr>
                <w:rFonts w:eastAsia="Times New Roman" w:cs="Arial"/>
                <w:b/>
                <w:sz w:val="20"/>
                <w:szCs w:val="24"/>
              </w:rPr>
            </w:pPr>
            <w:r w:rsidRPr="00AA03C8">
              <w:rPr>
                <w:rFonts w:eastAsia="Times New Roman" w:cs="Arial"/>
                <w:b/>
                <w:sz w:val="20"/>
                <w:szCs w:val="24"/>
              </w:rPr>
              <w:t>Total Number of Units</w:t>
            </w:r>
          </w:p>
        </w:tc>
        <w:tc>
          <w:tcPr>
            <w:tcW w:w="1501"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277B69" w:rsidRPr="00AA03C8" w:rsidP="00561BB3" w14:paraId="35D258F2" w14:textId="77777777">
            <w:pPr>
              <w:keepNext/>
              <w:keepLines/>
              <w:spacing w:after="0"/>
              <w:jc w:val="center"/>
              <w:rPr>
                <w:rFonts w:eastAsia="Times New Roman" w:cs="Arial"/>
                <w:b/>
                <w:sz w:val="20"/>
                <w:szCs w:val="24"/>
              </w:rPr>
            </w:pPr>
            <w:r w:rsidRPr="00AA03C8">
              <w:rPr>
                <w:rFonts w:eastAsia="Times New Roman" w:cs="Arial"/>
                <w:b/>
                <w:sz w:val="20"/>
                <w:szCs w:val="24"/>
              </w:rPr>
              <w:t>Annual Burden (hours)</w:t>
            </w:r>
          </w:p>
        </w:tc>
        <w:tc>
          <w:tcPr>
            <w:tcW w:w="170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277B69" w:rsidRPr="00AA03C8" w:rsidP="00561BB3" w14:paraId="61AB0C4F" w14:textId="77777777">
            <w:pPr>
              <w:keepNext/>
              <w:keepLines/>
              <w:spacing w:after="0"/>
              <w:jc w:val="center"/>
              <w:rPr>
                <w:rFonts w:eastAsia="Times New Roman" w:cs="Arial"/>
                <w:b/>
                <w:sz w:val="20"/>
                <w:szCs w:val="24"/>
              </w:rPr>
            </w:pPr>
            <w:r w:rsidRPr="00AA03C8">
              <w:rPr>
                <w:rFonts w:eastAsia="Times New Roman" w:cs="Arial"/>
                <w:b/>
                <w:sz w:val="20"/>
                <w:szCs w:val="24"/>
              </w:rPr>
              <w:t>Annual Cost (Thousands)</w:t>
            </w:r>
          </w:p>
        </w:tc>
      </w:tr>
      <w:tr w14:paraId="04F62078" w14:textId="77777777" w:rsidTr="00D177F6">
        <w:tblPrEx>
          <w:tblW w:w="9337" w:type="dxa"/>
          <w:tblInd w:w="93" w:type="dxa"/>
          <w:tblLook w:val="04A0"/>
        </w:tblPrEx>
        <w:trPr>
          <w:trHeight w:val="321"/>
        </w:trPr>
        <w:tc>
          <w:tcPr>
            <w:tcW w:w="2069" w:type="dxa"/>
            <w:tcBorders>
              <w:top w:val="nil"/>
              <w:left w:val="single" w:sz="8" w:space="0" w:color="auto"/>
              <w:bottom w:val="single" w:sz="8" w:space="0" w:color="auto"/>
              <w:right w:val="single" w:sz="8" w:space="0" w:color="auto"/>
            </w:tcBorders>
            <w:shd w:val="clear" w:color="auto" w:fill="auto"/>
            <w:vAlign w:val="center"/>
            <w:hideMark/>
          </w:tcPr>
          <w:p w:rsidR="00277B69" w:rsidRPr="00AA03C8" w:rsidP="00561BB3" w14:paraId="0D8F0030" w14:textId="77777777">
            <w:pPr>
              <w:keepNext/>
              <w:keepLines/>
              <w:spacing w:after="0"/>
              <w:rPr>
                <w:rFonts w:eastAsia="Times New Roman" w:cs="Arial"/>
                <w:sz w:val="20"/>
                <w:szCs w:val="24"/>
              </w:rPr>
            </w:pPr>
            <w:r w:rsidRPr="00AA03C8">
              <w:rPr>
                <w:rFonts w:eastAsia="Times New Roman" w:cs="Arial"/>
                <w:sz w:val="20"/>
                <w:szCs w:val="24"/>
              </w:rPr>
              <w:t>Industry/Public Assistance</w:t>
            </w:r>
          </w:p>
        </w:tc>
        <w:tc>
          <w:tcPr>
            <w:tcW w:w="1465" w:type="dxa"/>
            <w:vMerge w:val="restart"/>
            <w:tcBorders>
              <w:top w:val="nil"/>
              <w:left w:val="single" w:sz="8" w:space="0" w:color="auto"/>
              <w:right w:val="single" w:sz="8" w:space="0" w:color="auto"/>
            </w:tcBorders>
            <w:shd w:val="clear" w:color="auto" w:fill="auto"/>
            <w:vAlign w:val="center"/>
            <w:hideMark/>
          </w:tcPr>
          <w:p w:rsidR="00277B69" w:rsidRPr="00AA03C8" w:rsidP="00561BB3" w14:paraId="4206F6E5" w14:textId="77777777">
            <w:pPr>
              <w:keepNext/>
              <w:keepLines/>
              <w:spacing w:after="0"/>
              <w:jc w:val="center"/>
              <w:rPr>
                <w:rFonts w:eastAsia="Times New Roman" w:cs="Arial"/>
                <w:sz w:val="20"/>
                <w:szCs w:val="24"/>
              </w:rPr>
            </w:pPr>
            <w:r w:rsidRPr="00AA03C8">
              <w:rPr>
                <w:rFonts w:eastAsia="Times New Roman" w:cs="Arial"/>
                <w:sz w:val="20"/>
                <w:szCs w:val="24"/>
              </w:rPr>
              <w:t>EPA Employee</w:t>
            </w:r>
            <w:r w:rsidRPr="00AA03C8">
              <w:rPr>
                <w:rFonts w:eastAsia="Times New Roman" w:cs="Arial"/>
                <w:sz w:val="20"/>
                <w:szCs w:val="20"/>
              </w:rPr>
              <w:t xml:space="preserve"> </w:t>
            </w:r>
            <w:r w:rsidRPr="00AA03C8">
              <w:rPr>
                <w:rFonts w:eastAsia="Times New Roman" w:cs="Arial"/>
                <w:sz w:val="20"/>
                <w:szCs w:val="24"/>
              </w:rPr>
              <w:t>(GS</w:t>
            </w:r>
            <w:r w:rsidRPr="00AA03C8">
              <w:rPr>
                <w:rFonts w:eastAsia="Times New Roman" w:cs="Arial"/>
                <w:sz w:val="20"/>
                <w:szCs w:val="20"/>
              </w:rPr>
              <w:t xml:space="preserve"> </w:t>
            </w:r>
            <w:r w:rsidRPr="00AA03C8">
              <w:rPr>
                <w:rFonts w:eastAsia="Times New Roman" w:cs="Arial"/>
                <w:sz w:val="20"/>
                <w:szCs w:val="24"/>
              </w:rPr>
              <w:t>13 Step 5/</w:t>
            </w:r>
          </w:p>
          <w:p w:rsidR="00277B69" w:rsidRPr="00AA03C8" w:rsidP="00561BB3" w14:paraId="203A97A5" w14:textId="77777777">
            <w:pPr>
              <w:keepNext/>
              <w:keepLines/>
              <w:spacing w:after="0"/>
              <w:jc w:val="center"/>
              <w:rPr>
                <w:rFonts w:eastAsia="Times New Roman" w:cs="Arial"/>
                <w:sz w:val="20"/>
                <w:szCs w:val="24"/>
              </w:rPr>
            </w:pPr>
            <w:r w:rsidRPr="00AA03C8">
              <w:rPr>
                <w:rFonts w:eastAsia="Times New Roman" w:cs="Arial"/>
                <w:sz w:val="20"/>
                <w:szCs w:val="24"/>
              </w:rPr>
              <w:t>$97.33/hour)</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rsidR="00277B69" w:rsidRPr="00AA03C8" w:rsidP="00561BB3" w14:paraId="02D8505D" w14:textId="77777777">
            <w:pPr>
              <w:keepNext/>
              <w:keepLines/>
              <w:spacing w:after="0"/>
              <w:jc w:val="center"/>
              <w:rPr>
                <w:rFonts w:eastAsia="Times New Roman" w:cs="Arial"/>
                <w:sz w:val="20"/>
                <w:szCs w:val="24"/>
              </w:rPr>
            </w:pPr>
            <w:r w:rsidRPr="00AA03C8">
              <w:rPr>
                <w:rFonts w:eastAsia="Times New Roman" w:cs="Arial"/>
                <w:sz w:val="20"/>
                <w:szCs w:val="24"/>
              </w:rPr>
              <w:t>1.25</w:t>
            </w:r>
          </w:p>
        </w:tc>
        <w:tc>
          <w:tcPr>
            <w:tcW w:w="1327" w:type="dxa"/>
            <w:tcBorders>
              <w:top w:val="single" w:sz="4" w:space="0" w:color="auto"/>
              <w:left w:val="nil"/>
              <w:bottom w:val="single" w:sz="8" w:space="0" w:color="auto"/>
              <w:right w:val="single" w:sz="8" w:space="0" w:color="auto"/>
            </w:tcBorders>
            <w:shd w:val="clear" w:color="auto" w:fill="auto"/>
            <w:vAlign w:val="center"/>
            <w:hideMark/>
          </w:tcPr>
          <w:p w:rsidR="00277B69" w:rsidRPr="00AA03C8" w:rsidP="00561BB3" w14:paraId="3F8FB4D6" w14:textId="77777777">
            <w:pPr>
              <w:keepNext/>
              <w:keepLines/>
              <w:spacing w:after="0"/>
              <w:jc w:val="center"/>
              <w:rPr>
                <w:rFonts w:eastAsia="Times New Roman" w:cs="Arial"/>
                <w:sz w:val="20"/>
                <w:szCs w:val="24"/>
              </w:rPr>
            </w:pPr>
            <w:r w:rsidRPr="00AA03C8">
              <w:rPr>
                <w:rFonts w:eastAsia="Times New Roman" w:cs="Arial"/>
                <w:sz w:val="20"/>
                <w:szCs w:val="24"/>
              </w:rPr>
              <w:t>37</w:t>
            </w:r>
          </w:p>
        </w:tc>
        <w:tc>
          <w:tcPr>
            <w:tcW w:w="1501" w:type="dxa"/>
            <w:tcBorders>
              <w:top w:val="nil"/>
              <w:left w:val="nil"/>
              <w:bottom w:val="single" w:sz="8" w:space="0" w:color="auto"/>
              <w:right w:val="single" w:sz="8" w:space="0" w:color="auto"/>
            </w:tcBorders>
            <w:shd w:val="clear" w:color="auto" w:fill="auto"/>
            <w:noWrap/>
            <w:vAlign w:val="center"/>
            <w:hideMark/>
          </w:tcPr>
          <w:p w:rsidR="00277B69" w:rsidRPr="00AA03C8" w:rsidP="00561BB3" w14:paraId="0719404D" w14:textId="77777777">
            <w:pPr>
              <w:keepNext/>
              <w:keepLines/>
              <w:spacing w:after="0"/>
              <w:jc w:val="center"/>
              <w:rPr>
                <w:rFonts w:eastAsia="Times New Roman" w:cs="Arial"/>
                <w:sz w:val="20"/>
                <w:szCs w:val="24"/>
              </w:rPr>
            </w:pPr>
            <w:r w:rsidRPr="00AA03C8">
              <w:rPr>
                <w:rFonts w:eastAsia="Times New Roman" w:cs="Arial"/>
                <w:sz w:val="20"/>
                <w:szCs w:val="24"/>
              </w:rPr>
              <w:t>46.25</w:t>
            </w:r>
          </w:p>
        </w:tc>
        <w:tc>
          <w:tcPr>
            <w:tcW w:w="1700" w:type="dxa"/>
            <w:tcBorders>
              <w:top w:val="nil"/>
              <w:left w:val="nil"/>
              <w:bottom w:val="single" w:sz="8" w:space="0" w:color="auto"/>
              <w:right w:val="single" w:sz="8" w:space="0" w:color="auto"/>
            </w:tcBorders>
            <w:shd w:val="clear" w:color="auto" w:fill="auto"/>
            <w:vAlign w:val="center"/>
          </w:tcPr>
          <w:p w:rsidR="00277B69" w:rsidRPr="00AA03C8" w:rsidP="00561BB3" w14:paraId="6EC48A2F" w14:textId="77777777">
            <w:pPr>
              <w:keepNext/>
              <w:keepLines/>
              <w:spacing w:after="0"/>
              <w:jc w:val="center"/>
              <w:rPr>
                <w:rFonts w:eastAsia="Times New Roman" w:cs="Arial"/>
                <w:sz w:val="20"/>
                <w:szCs w:val="24"/>
              </w:rPr>
            </w:pPr>
            <w:r w:rsidRPr="00AA03C8">
              <w:rPr>
                <w:rFonts w:eastAsia="Times New Roman" w:cs="Arial"/>
                <w:sz w:val="20"/>
                <w:szCs w:val="24"/>
              </w:rPr>
              <w:t>$4,501.50</w:t>
            </w:r>
          </w:p>
        </w:tc>
      </w:tr>
      <w:tr w14:paraId="29B04A52" w14:textId="77777777" w:rsidTr="00D177F6">
        <w:tblPrEx>
          <w:tblW w:w="9337" w:type="dxa"/>
          <w:tblInd w:w="93" w:type="dxa"/>
          <w:tblLook w:val="04A0"/>
        </w:tblPrEx>
        <w:trPr>
          <w:trHeight w:val="619"/>
        </w:trPr>
        <w:tc>
          <w:tcPr>
            <w:tcW w:w="2069" w:type="dxa"/>
            <w:tcBorders>
              <w:top w:val="nil"/>
              <w:left w:val="single" w:sz="8" w:space="0" w:color="auto"/>
              <w:bottom w:val="single" w:sz="8" w:space="0" w:color="auto"/>
              <w:right w:val="single" w:sz="8" w:space="0" w:color="auto"/>
            </w:tcBorders>
            <w:shd w:val="clear" w:color="auto" w:fill="auto"/>
            <w:vAlign w:val="center"/>
            <w:hideMark/>
          </w:tcPr>
          <w:p w:rsidR="00277B69" w:rsidRPr="00AA03C8" w:rsidP="00561BB3" w14:paraId="71484494" w14:textId="77777777">
            <w:pPr>
              <w:keepNext/>
              <w:keepLines/>
              <w:spacing w:after="0"/>
              <w:rPr>
                <w:rFonts w:eastAsia="Times New Roman" w:cs="Arial"/>
                <w:sz w:val="20"/>
                <w:szCs w:val="24"/>
              </w:rPr>
            </w:pPr>
            <w:r w:rsidRPr="00AA03C8">
              <w:rPr>
                <w:rFonts w:eastAsia="Times New Roman" w:cs="Arial"/>
                <w:sz w:val="20"/>
                <w:szCs w:val="24"/>
              </w:rPr>
              <w:t>Data Processing and System Support Personnel</w:t>
            </w:r>
          </w:p>
        </w:tc>
        <w:tc>
          <w:tcPr>
            <w:tcW w:w="1465" w:type="dxa"/>
            <w:vMerge/>
            <w:tcBorders>
              <w:left w:val="single" w:sz="8" w:space="0" w:color="auto"/>
              <w:right w:val="single" w:sz="8" w:space="0" w:color="auto"/>
            </w:tcBorders>
            <w:vAlign w:val="center"/>
            <w:hideMark/>
          </w:tcPr>
          <w:p w:rsidR="00277B69" w:rsidRPr="00AA03C8" w:rsidP="00561BB3" w14:paraId="7C7BC950" w14:textId="77777777">
            <w:pPr>
              <w:keepNext/>
              <w:keepLines/>
              <w:spacing w:after="0"/>
              <w:rPr>
                <w:rFonts w:eastAsia="Times New Roman" w:cs="Arial"/>
                <w:sz w:val="20"/>
                <w:szCs w:val="24"/>
              </w:rPr>
            </w:pPr>
          </w:p>
        </w:tc>
        <w:tc>
          <w:tcPr>
            <w:tcW w:w="1275" w:type="dxa"/>
            <w:tcBorders>
              <w:top w:val="nil"/>
              <w:left w:val="nil"/>
              <w:bottom w:val="single" w:sz="8" w:space="0" w:color="auto"/>
              <w:right w:val="single" w:sz="8" w:space="0" w:color="auto"/>
            </w:tcBorders>
            <w:shd w:val="clear" w:color="auto" w:fill="auto"/>
            <w:vAlign w:val="center"/>
            <w:hideMark/>
          </w:tcPr>
          <w:p w:rsidR="00277B69" w:rsidRPr="00AA03C8" w:rsidP="00561BB3" w14:paraId="33E70377" w14:textId="77777777">
            <w:pPr>
              <w:keepNext/>
              <w:keepLines/>
              <w:spacing w:after="0"/>
              <w:jc w:val="center"/>
              <w:rPr>
                <w:rFonts w:eastAsia="Times New Roman" w:cs="Arial"/>
                <w:sz w:val="20"/>
                <w:szCs w:val="24"/>
              </w:rPr>
            </w:pPr>
            <w:r w:rsidRPr="00AA03C8">
              <w:rPr>
                <w:rFonts w:eastAsia="Times New Roman" w:cs="Arial"/>
                <w:sz w:val="20"/>
                <w:szCs w:val="24"/>
              </w:rPr>
              <w:t>3.13</w:t>
            </w:r>
          </w:p>
        </w:tc>
        <w:tc>
          <w:tcPr>
            <w:tcW w:w="1327" w:type="dxa"/>
            <w:tcBorders>
              <w:top w:val="nil"/>
              <w:left w:val="nil"/>
              <w:bottom w:val="single" w:sz="8" w:space="0" w:color="auto"/>
              <w:right w:val="single" w:sz="8" w:space="0" w:color="auto"/>
            </w:tcBorders>
            <w:shd w:val="clear" w:color="auto" w:fill="auto"/>
            <w:vAlign w:val="center"/>
            <w:hideMark/>
          </w:tcPr>
          <w:p w:rsidR="00277B69" w:rsidRPr="00AA03C8" w:rsidP="00561BB3" w14:paraId="407CBA62" w14:textId="77777777">
            <w:pPr>
              <w:keepNext/>
              <w:keepLines/>
              <w:spacing w:after="0"/>
              <w:jc w:val="center"/>
              <w:rPr>
                <w:rFonts w:eastAsia="Times New Roman" w:cs="Arial"/>
                <w:sz w:val="20"/>
                <w:szCs w:val="24"/>
              </w:rPr>
            </w:pPr>
            <w:r w:rsidRPr="00AA03C8">
              <w:rPr>
                <w:rFonts w:eastAsia="Times New Roman" w:cs="Arial"/>
                <w:sz w:val="20"/>
                <w:szCs w:val="24"/>
              </w:rPr>
              <w:t>37</w:t>
            </w:r>
          </w:p>
        </w:tc>
        <w:tc>
          <w:tcPr>
            <w:tcW w:w="1501" w:type="dxa"/>
            <w:tcBorders>
              <w:top w:val="nil"/>
              <w:left w:val="nil"/>
              <w:bottom w:val="single" w:sz="8" w:space="0" w:color="auto"/>
              <w:right w:val="single" w:sz="8" w:space="0" w:color="auto"/>
            </w:tcBorders>
            <w:shd w:val="clear" w:color="auto" w:fill="auto"/>
            <w:noWrap/>
            <w:vAlign w:val="center"/>
            <w:hideMark/>
          </w:tcPr>
          <w:p w:rsidR="00277B69" w:rsidRPr="00AA03C8" w:rsidP="00561BB3" w14:paraId="0C070664" w14:textId="77777777">
            <w:pPr>
              <w:keepNext/>
              <w:keepLines/>
              <w:spacing w:after="0"/>
              <w:jc w:val="center"/>
              <w:rPr>
                <w:rFonts w:eastAsia="Times New Roman" w:cs="Arial"/>
                <w:sz w:val="20"/>
                <w:szCs w:val="24"/>
              </w:rPr>
            </w:pPr>
            <w:r w:rsidRPr="00AA03C8">
              <w:rPr>
                <w:rFonts w:eastAsia="Times New Roman" w:cs="Arial"/>
                <w:sz w:val="20"/>
                <w:szCs w:val="24"/>
              </w:rPr>
              <w:t>115.81</w:t>
            </w:r>
          </w:p>
        </w:tc>
        <w:tc>
          <w:tcPr>
            <w:tcW w:w="1700" w:type="dxa"/>
            <w:tcBorders>
              <w:top w:val="nil"/>
              <w:left w:val="nil"/>
              <w:bottom w:val="single" w:sz="8" w:space="0" w:color="auto"/>
              <w:right w:val="single" w:sz="8" w:space="0" w:color="auto"/>
            </w:tcBorders>
            <w:shd w:val="clear" w:color="auto" w:fill="auto"/>
            <w:vAlign w:val="center"/>
          </w:tcPr>
          <w:p w:rsidR="00277B69" w:rsidRPr="00AA03C8" w:rsidP="00561BB3" w14:paraId="048CD411" w14:textId="77777777">
            <w:pPr>
              <w:keepNext/>
              <w:keepLines/>
              <w:spacing w:after="0"/>
              <w:jc w:val="center"/>
              <w:rPr>
                <w:rFonts w:eastAsia="Times New Roman" w:cs="Arial"/>
                <w:sz w:val="20"/>
                <w:szCs w:val="24"/>
              </w:rPr>
            </w:pPr>
            <w:r w:rsidRPr="00AA03C8">
              <w:rPr>
                <w:rFonts w:eastAsia="Times New Roman" w:cs="Arial"/>
                <w:sz w:val="20"/>
                <w:szCs w:val="24"/>
              </w:rPr>
              <w:t>$11,271.79</w:t>
            </w:r>
          </w:p>
        </w:tc>
      </w:tr>
      <w:tr w14:paraId="627B0FFF" w14:textId="77777777" w:rsidTr="00D177F6">
        <w:tblPrEx>
          <w:tblW w:w="9337" w:type="dxa"/>
          <w:tblInd w:w="93" w:type="dxa"/>
          <w:tblLook w:val="04A0"/>
        </w:tblPrEx>
        <w:trPr>
          <w:trHeight w:val="475"/>
        </w:trPr>
        <w:tc>
          <w:tcPr>
            <w:tcW w:w="2069" w:type="dxa"/>
            <w:tcBorders>
              <w:top w:val="nil"/>
              <w:left w:val="single" w:sz="8" w:space="0" w:color="auto"/>
              <w:bottom w:val="single" w:sz="8" w:space="0" w:color="auto"/>
              <w:right w:val="single" w:sz="8" w:space="0" w:color="auto"/>
            </w:tcBorders>
            <w:shd w:val="clear" w:color="auto" w:fill="auto"/>
            <w:vAlign w:val="center"/>
            <w:hideMark/>
          </w:tcPr>
          <w:p w:rsidR="00277B69" w:rsidRPr="00AA03C8" w:rsidP="00561BB3" w14:paraId="6B2003D4" w14:textId="77777777">
            <w:pPr>
              <w:keepNext/>
              <w:keepLines/>
              <w:spacing w:after="0"/>
              <w:rPr>
                <w:rFonts w:eastAsia="Times New Roman" w:cs="Arial"/>
                <w:sz w:val="20"/>
                <w:szCs w:val="20"/>
              </w:rPr>
            </w:pPr>
            <w:r w:rsidRPr="00AA03C8">
              <w:rPr>
                <w:rFonts w:eastAsia="Times New Roman" w:cs="Arial"/>
                <w:sz w:val="20"/>
                <w:szCs w:val="20"/>
              </w:rPr>
              <w:t>Review of CBI Claim Substantiations</w:t>
            </w:r>
          </w:p>
        </w:tc>
        <w:tc>
          <w:tcPr>
            <w:tcW w:w="1465" w:type="dxa"/>
            <w:vMerge/>
            <w:tcBorders>
              <w:left w:val="single" w:sz="8" w:space="0" w:color="auto"/>
              <w:bottom w:val="single" w:sz="8" w:space="0" w:color="auto"/>
              <w:right w:val="single" w:sz="8" w:space="0" w:color="auto"/>
            </w:tcBorders>
            <w:vAlign w:val="center"/>
            <w:hideMark/>
          </w:tcPr>
          <w:p w:rsidR="00277B69" w:rsidRPr="00AA03C8" w:rsidP="00561BB3" w14:paraId="463FC644" w14:textId="77777777">
            <w:pPr>
              <w:keepNext/>
              <w:keepLines/>
              <w:spacing w:after="0"/>
              <w:rPr>
                <w:rFonts w:eastAsia="Times New Roman" w:cs="Arial"/>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rsidR="00277B69" w:rsidRPr="00AA03C8" w:rsidP="00561BB3" w14:paraId="17A5E810" w14:textId="77777777">
            <w:pPr>
              <w:keepNext/>
              <w:keepLines/>
              <w:spacing w:after="0"/>
              <w:jc w:val="center"/>
              <w:rPr>
                <w:rFonts w:eastAsia="Times New Roman" w:cs="Arial"/>
                <w:sz w:val="20"/>
                <w:szCs w:val="20"/>
              </w:rPr>
            </w:pPr>
            <w:r w:rsidRPr="00AA03C8">
              <w:rPr>
                <w:rFonts w:eastAsia="Times New Roman" w:cs="Arial"/>
                <w:sz w:val="20"/>
                <w:szCs w:val="20"/>
              </w:rPr>
              <w:t>0.5</w:t>
            </w:r>
          </w:p>
        </w:tc>
        <w:tc>
          <w:tcPr>
            <w:tcW w:w="1327" w:type="dxa"/>
            <w:tcBorders>
              <w:top w:val="nil"/>
              <w:left w:val="nil"/>
              <w:bottom w:val="single" w:sz="8" w:space="0" w:color="auto"/>
              <w:right w:val="single" w:sz="8" w:space="0" w:color="auto"/>
            </w:tcBorders>
            <w:shd w:val="clear" w:color="auto" w:fill="auto"/>
            <w:vAlign w:val="center"/>
            <w:hideMark/>
          </w:tcPr>
          <w:p w:rsidR="00277B69" w:rsidRPr="00AA03C8" w:rsidP="00561BB3" w14:paraId="52C45A9E" w14:textId="77777777">
            <w:pPr>
              <w:keepNext/>
              <w:keepLines/>
              <w:spacing w:after="0"/>
              <w:jc w:val="center"/>
              <w:rPr>
                <w:rFonts w:eastAsia="Times New Roman" w:cs="Arial"/>
                <w:sz w:val="20"/>
                <w:szCs w:val="20"/>
              </w:rPr>
            </w:pPr>
            <w:r w:rsidRPr="00AA03C8">
              <w:rPr>
                <w:rFonts w:eastAsia="Times New Roman" w:cs="Arial"/>
                <w:sz w:val="20"/>
                <w:szCs w:val="20"/>
              </w:rPr>
              <w:t>37</w:t>
            </w:r>
          </w:p>
        </w:tc>
        <w:tc>
          <w:tcPr>
            <w:tcW w:w="1501" w:type="dxa"/>
            <w:tcBorders>
              <w:top w:val="nil"/>
              <w:left w:val="nil"/>
              <w:bottom w:val="single" w:sz="8" w:space="0" w:color="auto"/>
              <w:right w:val="single" w:sz="8" w:space="0" w:color="auto"/>
            </w:tcBorders>
            <w:shd w:val="clear" w:color="auto" w:fill="auto"/>
            <w:noWrap/>
            <w:vAlign w:val="center"/>
            <w:hideMark/>
          </w:tcPr>
          <w:p w:rsidR="00277B69" w:rsidRPr="00AA03C8" w:rsidP="00561BB3" w14:paraId="51D55110" w14:textId="77777777">
            <w:pPr>
              <w:keepNext/>
              <w:keepLines/>
              <w:spacing w:after="0"/>
              <w:jc w:val="center"/>
              <w:rPr>
                <w:rFonts w:eastAsia="Times New Roman" w:cs="Arial"/>
                <w:sz w:val="20"/>
                <w:szCs w:val="20"/>
              </w:rPr>
            </w:pPr>
            <w:r w:rsidRPr="00AA03C8">
              <w:rPr>
                <w:rFonts w:eastAsia="Times New Roman" w:cs="Arial"/>
                <w:sz w:val="20"/>
                <w:szCs w:val="20"/>
              </w:rPr>
              <w:t>18.50</w:t>
            </w:r>
          </w:p>
        </w:tc>
        <w:tc>
          <w:tcPr>
            <w:tcW w:w="1700" w:type="dxa"/>
            <w:tcBorders>
              <w:top w:val="nil"/>
              <w:left w:val="nil"/>
              <w:bottom w:val="single" w:sz="8" w:space="0" w:color="auto"/>
              <w:right w:val="single" w:sz="8" w:space="0" w:color="auto"/>
            </w:tcBorders>
            <w:shd w:val="clear" w:color="auto" w:fill="auto"/>
            <w:vAlign w:val="center"/>
          </w:tcPr>
          <w:p w:rsidR="00277B69" w:rsidRPr="00AA03C8" w:rsidP="00561BB3" w14:paraId="7F93C1B4" w14:textId="77777777">
            <w:pPr>
              <w:keepNext/>
              <w:keepLines/>
              <w:spacing w:after="0"/>
              <w:jc w:val="center"/>
              <w:rPr>
                <w:rFonts w:eastAsia="Times New Roman" w:cs="Arial"/>
                <w:sz w:val="20"/>
                <w:szCs w:val="20"/>
              </w:rPr>
            </w:pPr>
            <w:r w:rsidRPr="00AA03C8">
              <w:rPr>
                <w:rFonts w:eastAsia="Times New Roman" w:cs="Arial"/>
                <w:sz w:val="20"/>
                <w:szCs w:val="20"/>
              </w:rPr>
              <w:t>$1800.61</w:t>
            </w:r>
          </w:p>
        </w:tc>
      </w:tr>
      <w:tr w14:paraId="706A104D" w14:textId="77777777" w:rsidTr="00D177F6">
        <w:tblPrEx>
          <w:tblW w:w="9337" w:type="dxa"/>
          <w:tblInd w:w="93" w:type="dxa"/>
          <w:tblLook w:val="04A0"/>
        </w:tblPrEx>
        <w:trPr>
          <w:trHeight w:val="970"/>
        </w:trPr>
        <w:tc>
          <w:tcPr>
            <w:tcW w:w="2069" w:type="dxa"/>
            <w:tcBorders>
              <w:top w:val="nil"/>
              <w:left w:val="single" w:sz="8" w:space="0" w:color="auto"/>
              <w:bottom w:val="single" w:sz="4" w:space="0" w:color="auto"/>
              <w:right w:val="single" w:sz="8" w:space="0" w:color="auto"/>
            </w:tcBorders>
            <w:shd w:val="clear" w:color="auto" w:fill="auto"/>
            <w:vAlign w:val="center"/>
            <w:hideMark/>
          </w:tcPr>
          <w:p w:rsidR="00277B69" w:rsidRPr="00AA03C8" w:rsidP="00561BB3" w14:paraId="2621A259" w14:textId="77777777">
            <w:pPr>
              <w:keepNext/>
              <w:keepLines/>
              <w:spacing w:after="0"/>
              <w:rPr>
                <w:rFonts w:eastAsia="Times New Roman" w:cs="Arial"/>
                <w:sz w:val="20"/>
                <w:szCs w:val="20"/>
              </w:rPr>
            </w:pPr>
            <w:r w:rsidRPr="00AA03C8">
              <w:rPr>
                <w:rFonts w:eastAsia="Times New Roman" w:cs="Arial"/>
                <w:sz w:val="20"/>
                <w:szCs w:val="20"/>
              </w:rPr>
              <w:t>Review of CBI Claim Substantiations</w:t>
            </w:r>
          </w:p>
        </w:tc>
        <w:tc>
          <w:tcPr>
            <w:tcW w:w="1465" w:type="dxa"/>
            <w:tcBorders>
              <w:top w:val="nil"/>
              <w:left w:val="nil"/>
              <w:bottom w:val="single" w:sz="4" w:space="0" w:color="auto"/>
              <w:right w:val="single" w:sz="8" w:space="0" w:color="auto"/>
            </w:tcBorders>
            <w:shd w:val="clear" w:color="auto" w:fill="auto"/>
            <w:vAlign w:val="center"/>
            <w:hideMark/>
          </w:tcPr>
          <w:p w:rsidR="00277B69" w:rsidRPr="00AA03C8" w:rsidP="00561BB3" w14:paraId="735DFBB5" w14:textId="77777777">
            <w:pPr>
              <w:keepNext/>
              <w:keepLines/>
              <w:spacing w:after="0"/>
              <w:jc w:val="center"/>
              <w:rPr>
                <w:rFonts w:eastAsia="Times New Roman" w:cs="Arial"/>
                <w:sz w:val="20"/>
                <w:szCs w:val="20"/>
              </w:rPr>
            </w:pPr>
            <w:r w:rsidRPr="00AA03C8">
              <w:rPr>
                <w:rFonts w:eastAsia="Times New Roman" w:cs="Arial"/>
                <w:sz w:val="20"/>
                <w:szCs w:val="20"/>
              </w:rPr>
              <w:t>EPA Employee (GS 14 Step 5/</w:t>
            </w:r>
          </w:p>
          <w:p w:rsidR="00277B69" w:rsidRPr="00AA03C8" w:rsidP="00561BB3" w14:paraId="778E449D" w14:textId="77777777">
            <w:pPr>
              <w:keepNext/>
              <w:keepLines/>
              <w:spacing w:after="0"/>
              <w:jc w:val="center"/>
              <w:rPr>
                <w:rFonts w:eastAsia="Times New Roman" w:cs="Arial"/>
                <w:sz w:val="20"/>
                <w:szCs w:val="20"/>
              </w:rPr>
            </w:pPr>
            <w:r w:rsidRPr="00AA03C8">
              <w:rPr>
                <w:rFonts w:eastAsia="Times New Roman" w:cs="Arial"/>
                <w:sz w:val="20"/>
                <w:szCs w:val="20"/>
              </w:rPr>
              <w:t>$115/hour)</w:t>
            </w:r>
          </w:p>
        </w:tc>
        <w:tc>
          <w:tcPr>
            <w:tcW w:w="1275" w:type="dxa"/>
            <w:tcBorders>
              <w:top w:val="nil"/>
              <w:left w:val="nil"/>
              <w:bottom w:val="single" w:sz="4" w:space="0" w:color="auto"/>
              <w:right w:val="single" w:sz="8" w:space="0" w:color="auto"/>
            </w:tcBorders>
            <w:shd w:val="clear" w:color="auto" w:fill="auto"/>
            <w:vAlign w:val="center"/>
            <w:hideMark/>
          </w:tcPr>
          <w:p w:rsidR="00277B69" w:rsidRPr="00AA03C8" w:rsidP="00561BB3" w14:paraId="27EB3099" w14:textId="77777777">
            <w:pPr>
              <w:keepNext/>
              <w:keepLines/>
              <w:spacing w:after="0"/>
              <w:jc w:val="center"/>
              <w:rPr>
                <w:rFonts w:eastAsia="Times New Roman" w:cs="Arial"/>
                <w:sz w:val="20"/>
                <w:szCs w:val="20"/>
              </w:rPr>
            </w:pPr>
            <w:r w:rsidRPr="00AA03C8">
              <w:rPr>
                <w:rFonts w:eastAsia="Times New Roman" w:cs="Arial"/>
                <w:sz w:val="20"/>
                <w:szCs w:val="20"/>
              </w:rPr>
              <w:t>1.5</w:t>
            </w:r>
          </w:p>
        </w:tc>
        <w:tc>
          <w:tcPr>
            <w:tcW w:w="1327" w:type="dxa"/>
            <w:tcBorders>
              <w:top w:val="nil"/>
              <w:left w:val="nil"/>
              <w:bottom w:val="single" w:sz="4" w:space="0" w:color="auto"/>
              <w:right w:val="single" w:sz="8" w:space="0" w:color="auto"/>
            </w:tcBorders>
            <w:shd w:val="clear" w:color="auto" w:fill="auto"/>
            <w:vAlign w:val="center"/>
            <w:hideMark/>
          </w:tcPr>
          <w:p w:rsidR="00277B69" w:rsidRPr="00AA03C8" w:rsidP="00561BB3" w14:paraId="04B43746" w14:textId="77777777">
            <w:pPr>
              <w:keepNext/>
              <w:keepLines/>
              <w:spacing w:after="0"/>
              <w:jc w:val="center"/>
              <w:rPr>
                <w:rFonts w:eastAsia="Times New Roman" w:cs="Arial"/>
                <w:sz w:val="20"/>
                <w:szCs w:val="20"/>
              </w:rPr>
            </w:pPr>
            <w:r w:rsidRPr="00AA03C8">
              <w:rPr>
                <w:rFonts w:eastAsia="Times New Roman" w:cs="Arial"/>
                <w:sz w:val="20"/>
                <w:szCs w:val="20"/>
              </w:rPr>
              <w:t>37</w:t>
            </w:r>
          </w:p>
        </w:tc>
        <w:tc>
          <w:tcPr>
            <w:tcW w:w="1501" w:type="dxa"/>
            <w:tcBorders>
              <w:top w:val="nil"/>
              <w:left w:val="nil"/>
              <w:bottom w:val="single" w:sz="4" w:space="0" w:color="auto"/>
              <w:right w:val="single" w:sz="8" w:space="0" w:color="auto"/>
            </w:tcBorders>
            <w:shd w:val="clear" w:color="auto" w:fill="auto"/>
            <w:noWrap/>
            <w:vAlign w:val="center"/>
            <w:hideMark/>
          </w:tcPr>
          <w:p w:rsidR="00277B69" w:rsidRPr="00AA03C8" w:rsidP="00561BB3" w14:paraId="10B93C2B" w14:textId="77777777">
            <w:pPr>
              <w:keepNext/>
              <w:keepLines/>
              <w:spacing w:after="0"/>
              <w:jc w:val="center"/>
              <w:rPr>
                <w:rFonts w:eastAsia="Times New Roman" w:cs="Arial"/>
                <w:sz w:val="20"/>
                <w:szCs w:val="20"/>
              </w:rPr>
            </w:pPr>
            <w:r w:rsidRPr="00AA03C8">
              <w:rPr>
                <w:rFonts w:eastAsia="Times New Roman" w:cs="Arial"/>
                <w:sz w:val="20"/>
                <w:szCs w:val="20"/>
              </w:rPr>
              <w:t>55.50</w:t>
            </w:r>
          </w:p>
        </w:tc>
        <w:tc>
          <w:tcPr>
            <w:tcW w:w="1700" w:type="dxa"/>
            <w:tcBorders>
              <w:top w:val="nil"/>
              <w:left w:val="nil"/>
              <w:bottom w:val="single" w:sz="4" w:space="0" w:color="auto"/>
              <w:right w:val="single" w:sz="8" w:space="0" w:color="auto"/>
            </w:tcBorders>
            <w:shd w:val="clear" w:color="auto" w:fill="auto"/>
            <w:vAlign w:val="center"/>
          </w:tcPr>
          <w:p w:rsidR="00277B69" w:rsidRPr="00AA03C8" w:rsidP="00561BB3" w14:paraId="2D45F8E4" w14:textId="77777777">
            <w:pPr>
              <w:keepNext/>
              <w:keepLines/>
              <w:spacing w:after="0"/>
              <w:jc w:val="center"/>
              <w:rPr>
                <w:rFonts w:eastAsia="Times New Roman" w:cs="Arial"/>
                <w:sz w:val="20"/>
                <w:szCs w:val="20"/>
              </w:rPr>
            </w:pPr>
            <w:r w:rsidRPr="00AA03C8">
              <w:rPr>
                <w:rFonts w:eastAsia="Times New Roman" w:cs="Arial"/>
                <w:sz w:val="20"/>
                <w:szCs w:val="20"/>
              </w:rPr>
              <w:t>$6,382.50</w:t>
            </w:r>
          </w:p>
        </w:tc>
      </w:tr>
      <w:tr w14:paraId="33FA1D50" w14:textId="77777777" w:rsidTr="00D177F6">
        <w:tblPrEx>
          <w:tblW w:w="9337" w:type="dxa"/>
          <w:tblInd w:w="93" w:type="dxa"/>
          <w:tblLook w:val="04A0"/>
        </w:tblPrEx>
        <w:trPr>
          <w:trHeight w:val="359"/>
        </w:trPr>
        <w:tc>
          <w:tcPr>
            <w:tcW w:w="6136"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277B69" w:rsidRPr="00AA03C8" w:rsidP="00561BB3" w14:paraId="30005322" w14:textId="77777777">
            <w:pPr>
              <w:keepNext/>
              <w:keepLines/>
              <w:spacing w:after="0"/>
              <w:jc w:val="right"/>
              <w:rPr>
                <w:rFonts w:eastAsia="Times New Roman" w:cs="Arial"/>
                <w:szCs w:val="20"/>
              </w:rPr>
            </w:pPr>
            <w:r w:rsidRPr="00AA03C8">
              <w:rPr>
                <w:rFonts w:eastAsia="Times New Roman" w:cs="Arial"/>
                <w:szCs w:val="24"/>
              </w:rPr>
              <w:t>Annual Cost and Burden</w:t>
            </w:r>
          </w:p>
        </w:tc>
        <w:tc>
          <w:tcPr>
            <w:tcW w:w="1501" w:type="dxa"/>
            <w:tcBorders>
              <w:top w:val="single" w:sz="4" w:space="0" w:color="auto"/>
              <w:left w:val="nil"/>
              <w:bottom w:val="single" w:sz="4" w:space="0" w:color="auto"/>
              <w:right w:val="single" w:sz="8" w:space="0" w:color="auto"/>
            </w:tcBorders>
            <w:shd w:val="clear" w:color="auto" w:fill="auto"/>
            <w:noWrap/>
            <w:vAlign w:val="center"/>
          </w:tcPr>
          <w:p w:rsidR="00277B69" w:rsidRPr="00AA03C8" w:rsidP="00561BB3" w14:paraId="17820E41" w14:textId="77777777">
            <w:pPr>
              <w:keepNext/>
              <w:keepLines/>
              <w:spacing w:after="0"/>
              <w:jc w:val="center"/>
              <w:rPr>
                <w:rFonts w:eastAsia="Times New Roman" w:cs="Arial"/>
                <w:szCs w:val="20"/>
              </w:rPr>
            </w:pPr>
            <w:r w:rsidRPr="00AA03C8">
              <w:rPr>
                <w:rFonts w:eastAsia="Times New Roman" w:cs="Arial"/>
                <w:bCs/>
                <w:szCs w:val="20"/>
              </w:rPr>
              <w:t>236 hours</w:t>
            </w:r>
          </w:p>
        </w:tc>
        <w:tc>
          <w:tcPr>
            <w:tcW w:w="1700" w:type="dxa"/>
            <w:tcBorders>
              <w:top w:val="single" w:sz="4" w:space="0" w:color="auto"/>
              <w:left w:val="nil"/>
              <w:bottom w:val="single" w:sz="4" w:space="0" w:color="auto"/>
              <w:right w:val="single" w:sz="8" w:space="0" w:color="auto"/>
            </w:tcBorders>
            <w:shd w:val="clear" w:color="auto" w:fill="auto"/>
            <w:vAlign w:val="center"/>
          </w:tcPr>
          <w:p w:rsidR="00277B69" w:rsidRPr="00AA03C8" w:rsidP="00561BB3" w14:paraId="7369915A" w14:textId="77777777">
            <w:pPr>
              <w:keepNext/>
              <w:keepLines/>
              <w:spacing w:after="0"/>
              <w:jc w:val="center"/>
              <w:rPr>
                <w:rFonts w:eastAsia="Times New Roman" w:cs="Arial"/>
                <w:szCs w:val="20"/>
              </w:rPr>
            </w:pPr>
            <w:r w:rsidRPr="00AA03C8">
              <w:rPr>
                <w:rFonts w:eastAsia="Times New Roman" w:cs="Arial"/>
                <w:szCs w:val="24"/>
              </w:rPr>
              <w:t>$23,956</w:t>
            </w:r>
          </w:p>
        </w:tc>
      </w:tr>
      <w:tr w14:paraId="1FEB07AF" w14:textId="77777777" w:rsidTr="00D177F6">
        <w:tblPrEx>
          <w:tblW w:w="9337" w:type="dxa"/>
          <w:tblInd w:w="93" w:type="dxa"/>
          <w:tblLook w:val="04A0"/>
        </w:tblPrEx>
        <w:trPr>
          <w:trHeight w:val="359"/>
        </w:trPr>
        <w:tc>
          <w:tcPr>
            <w:tcW w:w="6136"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277B69" w:rsidRPr="00AA03C8" w:rsidP="00561BB3" w14:paraId="1D434408" w14:textId="77777777">
            <w:pPr>
              <w:keepNext/>
              <w:keepLines/>
              <w:spacing w:after="0"/>
              <w:jc w:val="right"/>
              <w:rPr>
                <w:rFonts w:eastAsia="Times New Roman" w:cs="Arial"/>
                <w:b/>
                <w:szCs w:val="24"/>
              </w:rPr>
            </w:pPr>
            <w:r w:rsidRPr="00AA03C8">
              <w:rPr>
                <w:rFonts w:eastAsia="Times New Roman" w:cs="Arial"/>
                <w:b/>
                <w:szCs w:val="24"/>
              </w:rPr>
              <w:t>Total Cost and Burden Over 3-Year ICR Period</w:t>
            </w:r>
          </w:p>
        </w:tc>
        <w:tc>
          <w:tcPr>
            <w:tcW w:w="1501" w:type="dxa"/>
            <w:tcBorders>
              <w:top w:val="single" w:sz="4" w:space="0" w:color="auto"/>
              <w:left w:val="nil"/>
              <w:bottom w:val="single" w:sz="4" w:space="0" w:color="auto"/>
              <w:right w:val="single" w:sz="8" w:space="0" w:color="auto"/>
            </w:tcBorders>
            <w:shd w:val="clear" w:color="auto" w:fill="auto"/>
            <w:noWrap/>
            <w:vAlign w:val="center"/>
          </w:tcPr>
          <w:p w:rsidR="00277B69" w:rsidRPr="00AA03C8" w:rsidP="00561BB3" w14:paraId="3895A2B3" w14:textId="77777777">
            <w:pPr>
              <w:keepNext/>
              <w:keepLines/>
              <w:spacing w:after="0"/>
              <w:jc w:val="center"/>
              <w:rPr>
                <w:rFonts w:eastAsia="Times New Roman" w:cs="Arial"/>
                <w:b/>
                <w:szCs w:val="24"/>
              </w:rPr>
            </w:pPr>
            <w:r w:rsidRPr="00AA03C8">
              <w:rPr>
                <w:rFonts w:eastAsia="Times New Roman" w:cs="Arial"/>
                <w:b/>
                <w:szCs w:val="24"/>
              </w:rPr>
              <w:t>708 hours</w:t>
            </w:r>
          </w:p>
        </w:tc>
        <w:tc>
          <w:tcPr>
            <w:tcW w:w="1700" w:type="dxa"/>
            <w:tcBorders>
              <w:top w:val="single" w:sz="4" w:space="0" w:color="auto"/>
              <w:left w:val="nil"/>
              <w:right w:val="single" w:sz="8" w:space="0" w:color="auto"/>
            </w:tcBorders>
            <w:shd w:val="clear" w:color="auto" w:fill="auto"/>
            <w:vAlign w:val="center"/>
          </w:tcPr>
          <w:p w:rsidR="00277B69" w:rsidRPr="00AA03C8" w:rsidP="00561BB3" w14:paraId="5F8F84EB" w14:textId="77777777">
            <w:pPr>
              <w:keepNext/>
              <w:keepLines/>
              <w:spacing w:after="0"/>
              <w:jc w:val="center"/>
              <w:rPr>
                <w:rFonts w:eastAsia="Times New Roman" w:cs="Arial"/>
                <w:b/>
                <w:szCs w:val="24"/>
              </w:rPr>
            </w:pPr>
            <w:r w:rsidRPr="00AA03C8">
              <w:rPr>
                <w:rFonts w:eastAsia="Times New Roman" w:cs="Arial"/>
                <w:b/>
                <w:szCs w:val="24"/>
              </w:rPr>
              <w:t>$71,868</w:t>
            </w:r>
          </w:p>
        </w:tc>
      </w:tr>
      <w:tr w14:paraId="109228AB" w14:textId="77777777" w:rsidTr="00D177F6">
        <w:tblPrEx>
          <w:tblW w:w="9337" w:type="dxa"/>
          <w:tblInd w:w="93" w:type="dxa"/>
          <w:tblLook w:val="04A0"/>
        </w:tblPrEx>
        <w:trPr>
          <w:trHeight w:val="359"/>
        </w:trPr>
        <w:tc>
          <w:tcPr>
            <w:tcW w:w="9337" w:type="dxa"/>
            <w:gridSpan w:val="6"/>
            <w:tcBorders>
              <w:top w:val="single" w:sz="4" w:space="0" w:color="auto"/>
            </w:tcBorders>
            <w:shd w:val="clear" w:color="auto" w:fill="auto"/>
          </w:tcPr>
          <w:p w:rsidR="00277B69" w:rsidRPr="00AA03C8" w:rsidP="00561BB3" w14:paraId="16929606" w14:textId="77777777">
            <w:pPr>
              <w:keepNext/>
              <w:keepLines/>
              <w:spacing w:after="0"/>
              <w:rPr>
                <w:rFonts w:eastAsia="Times New Roman" w:cs="Arial"/>
                <w:b/>
                <w:szCs w:val="24"/>
              </w:rPr>
            </w:pPr>
            <w:r w:rsidRPr="00AA03C8">
              <w:rPr>
                <w:rFonts w:cs="Arial"/>
                <w:sz w:val="18"/>
                <w:szCs w:val="20"/>
              </w:rPr>
              <w:t>Values may not sum due to rounding.</w:t>
            </w:r>
          </w:p>
        </w:tc>
      </w:tr>
    </w:tbl>
    <w:p w:rsidR="00277B69" w:rsidP="00717D77" w14:paraId="0AAFF379" w14:textId="77777777"/>
    <w:p w:rsidR="00717D77" w:rsidRPr="007A0CD3" w:rsidP="000008D8" w14:paraId="715201D3" w14:textId="25E18CDE">
      <w:pPr>
        <w:pStyle w:val="Heading2"/>
      </w:pPr>
      <w:r w:rsidRPr="007A0CD3">
        <w:t>15. Explain the reasons for any program changes or adjustments reported on the burden worksheet.</w:t>
      </w:r>
    </w:p>
    <w:p w:rsidR="007A0CD3" w:rsidRPr="00E42336" w:rsidP="007A0CD3" w14:paraId="12C95FC2" w14:textId="421A77A3">
      <w:r w:rsidRPr="00E42336">
        <w:t xml:space="preserve">The annual burden </w:t>
      </w:r>
      <w:r w:rsidR="00947FC6">
        <w:t>in</w:t>
      </w:r>
      <w:r w:rsidRPr="00E42336">
        <w:t xml:space="preserve"> the previously approved ICR was 40,0</w:t>
      </w:r>
      <w:r w:rsidR="000008D8">
        <w:t>90</w:t>
      </w:r>
      <w:r w:rsidRPr="00E42336">
        <w:t xml:space="preserve"> hours. The total annual burden </w:t>
      </w:r>
      <w:r w:rsidR="00E42847">
        <w:t xml:space="preserve">to respondents </w:t>
      </w:r>
      <w:r w:rsidRPr="00E42336">
        <w:t xml:space="preserve">requested for this ICR is </w:t>
      </w:r>
      <w:r w:rsidRPr="00E42336" w:rsidR="000B4CC1">
        <w:t>9</w:t>
      </w:r>
      <w:r w:rsidR="000B4CC1">
        <w:t>59</w:t>
      </w:r>
      <w:r w:rsidRPr="00E42336" w:rsidR="000B4CC1">
        <w:t xml:space="preserve"> </w:t>
      </w:r>
      <w:r w:rsidRPr="00E42336">
        <w:t>hours, or a decrease of 39,</w:t>
      </w:r>
      <w:r w:rsidRPr="00E42336" w:rsidR="000B4CC1">
        <w:t>1</w:t>
      </w:r>
      <w:r w:rsidR="000B4CC1">
        <w:t>31</w:t>
      </w:r>
      <w:r w:rsidRPr="00E42336" w:rsidR="000B4CC1">
        <w:t xml:space="preserve"> </w:t>
      </w:r>
      <w:r w:rsidRPr="00E42336">
        <w:t xml:space="preserve">hours from the previous total annual burden. </w:t>
      </w:r>
      <w:r w:rsidR="00F83B74">
        <w:t>The total number of estimated responses from the previous ICR was 285, and the total estimated annual number of response</w:t>
      </w:r>
      <w:r w:rsidR="006C103A">
        <w:t>s</w:t>
      </w:r>
      <w:r w:rsidR="00F83B74">
        <w:t xml:space="preserve"> for this ICR is 9. </w:t>
      </w:r>
      <w:r w:rsidRPr="00E42336">
        <w:t xml:space="preserve">The total annual cost of the previously approved ICR was $3,067,546. The total annual cost </w:t>
      </w:r>
      <w:r w:rsidR="00E42847">
        <w:t xml:space="preserve">to respondents </w:t>
      </w:r>
      <w:r w:rsidRPr="00E42336">
        <w:t>requested for this ICR is $69,</w:t>
      </w:r>
      <w:r w:rsidR="000B4CC1">
        <w:t>280</w:t>
      </w:r>
      <w:r w:rsidR="00E42847">
        <w:t>,</w:t>
      </w:r>
      <w:r w:rsidRPr="00E42336">
        <w:t xml:space="preserve"> a decrease of $2,998,</w:t>
      </w:r>
      <w:r w:rsidR="000B4CC1">
        <w:t>266</w:t>
      </w:r>
      <w:r w:rsidRPr="00E42336" w:rsidR="000B4CC1">
        <w:t xml:space="preserve"> </w:t>
      </w:r>
      <w:r w:rsidRPr="00E42336">
        <w:t xml:space="preserve">from the previous </w:t>
      </w:r>
      <w:r w:rsidR="00E42847">
        <w:t xml:space="preserve">ICR </w:t>
      </w:r>
      <w:r w:rsidRPr="00E42336">
        <w:t>total annual cost.</w:t>
      </w:r>
    </w:p>
    <w:p w:rsidR="007A0CD3" w:rsidRPr="00E42336" w:rsidP="007A0CD3" w14:paraId="526B449B" w14:textId="720916D4">
      <w:r w:rsidRPr="00E42336">
        <w:t xml:space="preserve">The difference between the current cost and burden estimates and the </w:t>
      </w:r>
      <w:r w:rsidR="00E42847">
        <w:t xml:space="preserve">previous ICR </w:t>
      </w:r>
      <w:r w:rsidRPr="00E42336">
        <w:t xml:space="preserve">estimates are due to adjustments in EPA’s estimation methodology of the costs and burden. </w:t>
      </w:r>
      <w:bookmarkStart w:id="9" w:name="_Hlk168059253"/>
      <w:r w:rsidRPr="00E42336">
        <w:t>The two key adjustments that were made to the estimation methodology are as follows:</w:t>
      </w:r>
    </w:p>
    <w:p w:rsidR="007A0CD3" w:rsidRPr="00E42336" w:rsidP="00561BB3" w14:paraId="15161CAF" w14:textId="73D97780">
      <w:pPr>
        <w:pStyle w:val="ListParagraph"/>
        <w:numPr>
          <w:ilvl w:val="0"/>
          <w:numId w:val="36"/>
        </w:numPr>
        <w:spacing w:after="0" w:line="240" w:lineRule="auto"/>
      </w:pPr>
      <w:r w:rsidRPr="00E42336">
        <w:t xml:space="preserve">In the previous ICR period, the burden estimates were based on expected submissions, not on actual submissions received by the agency, while the </w:t>
      </w:r>
      <w:r w:rsidRPr="00E42336">
        <w:t>reporting covered in this period is based on actual submissions received by the agency. This significant change accounts for almost all the decrease in burden and cost estimates.</w:t>
      </w:r>
    </w:p>
    <w:p w:rsidR="007A0CD3" w:rsidRPr="00E42336" w:rsidP="00561BB3" w14:paraId="0C571E73" w14:textId="5DFD91F8">
      <w:pPr>
        <w:pStyle w:val="NoSpacing"/>
        <w:numPr>
          <w:ilvl w:val="0"/>
          <w:numId w:val="36"/>
        </w:numPr>
        <w:spacing w:after="240"/>
      </w:pPr>
      <w:r w:rsidRPr="00E42336">
        <w:t xml:space="preserve">In the previous ICR period, the burden </w:t>
      </w:r>
      <w:r w:rsidR="00E42847">
        <w:t xml:space="preserve">was </w:t>
      </w:r>
      <w:r w:rsidRPr="00E42336">
        <w:t>estimated separately for manufactures and processors, while the reporting covered in this period calculates a weighted burden for any given respondent without separating the manufacturers from the processors. This approach was deemed reasonable given that the agency received only 27 submissions related to TSCA 8</w:t>
      </w:r>
      <w:r w:rsidR="000008D8">
        <w:t>(</w:t>
      </w:r>
      <w:r w:rsidRPr="00E42336">
        <w:t>a) nanomaterials in the current three-year ICR perio</w:t>
      </w:r>
      <w:r w:rsidR="000008D8">
        <w:t xml:space="preserve">d, which accounts for the decrease in number or responses. </w:t>
      </w:r>
    </w:p>
    <w:p w:rsidR="007A0CD3" w:rsidRPr="00E42336" w:rsidP="007A0CD3" w14:paraId="49369935" w14:textId="68D3E6FC">
      <w:pPr>
        <w:pStyle w:val="NoSpacing"/>
      </w:pPr>
      <w:r w:rsidRPr="00E42336">
        <w:t>In addition to the adjustments listed above, the wage rates were revised to reflect 2022 dollars for this information collection request.</w:t>
      </w:r>
      <w:bookmarkEnd w:id="9"/>
    </w:p>
    <w:p w:rsidR="00717D77" w:rsidP="00717D77" w14:paraId="589E6447" w14:textId="77777777">
      <w:pPr>
        <w:pStyle w:val="Heading2"/>
      </w:pPr>
      <w:r>
        <w:t xml:space="preserve">16. </w:t>
      </w:r>
      <w:r w:rsidRPr="00CE186C">
        <w:t>For collections whose results</w:t>
      </w:r>
      <w:r>
        <w:t xml:space="preserve"> will be published, outline the plans for tabulation and publication. </w:t>
      </w:r>
      <w:r w:rsidRPr="0028369E">
        <w:t>Address any complex analytical techniques that will be used. Provide the time schedule for the entire project, including beginning and ending dates of the collection of information, completion of report, publication dates, and other actions.</w:t>
      </w:r>
    </w:p>
    <w:p w:rsidR="00717D77" w:rsidP="00717D77" w14:paraId="4F79E736" w14:textId="31CCC5F1">
      <w:r w:rsidRPr="00C54AF3">
        <w:t>This question is not applicable</w:t>
      </w:r>
      <w:r w:rsidR="00E42847">
        <w:t xml:space="preserve"> to this ICR</w:t>
      </w:r>
      <w:r w:rsidRPr="00C54AF3">
        <w:t>.</w:t>
      </w:r>
      <w:r>
        <w:t xml:space="preserve"> </w:t>
      </w:r>
    </w:p>
    <w:p w:rsidR="00717D77" w:rsidP="00717D77" w14:paraId="12A7E048" w14:textId="77777777">
      <w:pPr>
        <w:pStyle w:val="Heading2"/>
      </w:pPr>
      <w:r>
        <w:t xml:space="preserve">17. </w:t>
      </w:r>
      <w:r w:rsidRPr="00CE186C">
        <w:t>If seeking approval</w:t>
      </w:r>
      <w:r>
        <w:t xml:space="preserve"> to not display the expiration date for OMB approval of the information collection, explain the reasons why display would be inappropriate. </w:t>
      </w:r>
    </w:p>
    <w:p w:rsidR="00717D77" w:rsidP="00717D77" w14:paraId="4D53DF94" w14:textId="4205293F">
      <w:r>
        <w:t xml:space="preserve">This question </w:t>
      </w:r>
      <w:r w:rsidR="00E42847">
        <w:t xml:space="preserve">is </w:t>
      </w:r>
      <w:r>
        <w:t>not applicable to this ICR.</w:t>
      </w:r>
    </w:p>
    <w:p w:rsidR="00717D77" w:rsidP="00717D77" w14:paraId="25B51E2A" w14:textId="77777777">
      <w:pPr>
        <w:pStyle w:val="Heading2"/>
      </w:pPr>
      <w:r>
        <w:t xml:space="preserve">18. </w:t>
      </w:r>
      <w:r w:rsidRPr="0028369E">
        <w:t>Explain each exception to the topics of the certification statement identified in “Certification for Paperwork Reduction Act Submissions.”</w:t>
      </w:r>
    </w:p>
    <w:p w:rsidR="00717D77" w:rsidP="00717D77" w14:paraId="3052EC3A" w14:textId="77777777">
      <w:r>
        <w:t>EPA does not request an exception to the certification of this information collection.</w:t>
      </w:r>
    </w:p>
    <w:p w:rsidR="00717D77" w:rsidP="00717D77" w14:paraId="783D4508" w14:textId="77777777">
      <w:pPr>
        <w:pStyle w:val="Heading1"/>
      </w:pPr>
      <w:r>
        <w:t>SUPPLEMENTAL INFORMATION</w:t>
      </w:r>
    </w:p>
    <w:p w:rsidR="00717D77" w:rsidRPr="00652C31" w:rsidP="00717D77" w14:paraId="618E4D8C" w14:textId="77777777">
      <w:pPr>
        <w:rPr>
          <w:u w:val="single"/>
        </w:rPr>
      </w:pPr>
      <w:bookmarkStart w:id="10" w:name="_Hlk98142152"/>
      <w:r w:rsidRPr="00652C31">
        <w:rPr>
          <w:u w:val="single"/>
        </w:rPr>
        <w:t xml:space="preserve">PRA Burden Statement </w:t>
      </w:r>
    </w:p>
    <w:p w:rsidR="00717D77" w:rsidRPr="00652C31" w:rsidP="00717D77" w14:paraId="2B41E7A0" w14:textId="0C6C923E">
      <w:r w:rsidRPr="00652C31">
        <w:t>This collection of information is approved by OMB under the Paperwork Reduction Act, 44 U.S.C. 3501 et seq. (OMB Control No. 2070-</w:t>
      </w:r>
      <w:r>
        <w:t>0194</w:t>
      </w:r>
      <w:r w:rsidRPr="00652C31">
        <w:t xml:space="preserve">). Responses to this collection of information are mandatory for certain persons, as specified at 40 CFR Part(s) </w:t>
      </w:r>
      <w:r>
        <w:t>704</w:t>
      </w:r>
      <w:r w:rsidRPr="00652C31">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B450D9">
        <w:t>106.</w:t>
      </w:r>
      <w:r w:rsidR="000B4CC1">
        <w:t>4</w:t>
      </w:r>
      <w:r w:rsidR="00753FD2">
        <w:t xml:space="preserve"> hours</w:t>
      </w:r>
      <w:r w:rsidRPr="00652C31">
        <w:t xml:space="preserve"> per response. Send comments on the Agency’s need for this information, the accuracy of the provided burden estimates and any suggested methods for minimizing respondent burden to the </w:t>
      </w:r>
      <w:r w:rsidR="00A40A5D">
        <w:t xml:space="preserve">Information Engagement </w:t>
      </w:r>
      <w:r w:rsidRPr="00652C31">
        <w:t xml:space="preserve">Division Director, U.S. Environmental Protection Agency (2821T), 1200 Pennsylvania Ave., NW, Washington, </w:t>
      </w:r>
      <w:r w:rsidRPr="00652C31">
        <w:t>D.C. 20460. Include the OMB control number in any correspondence. Do not send the completed form to this address.”</w:t>
      </w:r>
    </w:p>
    <w:p w:rsidR="00A40A5D" w:rsidRPr="00A40A5D" w:rsidP="00A40A5D" w14:paraId="7C45C95D" w14:textId="77777777">
      <w:pPr>
        <w:rPr>
          <w:rFonts w:cs="Arial"/>
        </w:rPr>
      </w:pPr>
      <w:bookmarkStart w:id="11" w:name="_Hlk80787718"/>
      <w:bookmarkStart w:id="12" w:name="_Hlk121913558"/>
      <w:bookmarkStart w:id="13" w:name="_Hlk80705102"/>
      <w:r w:rsidRPr="00A40A5D">
        <w:rPr>
          <w:rFonts w:cs="Arial"/>
        </w:rPr>
        <w:t xml:space="preserve">You can also provide comments to the Office of Information and Regulatory Affairs, Office of Management and Budget via </w:t>
      </w:r>
      <w:r w:rsidRPr="00A40A5D">
        <w:rPr>
          <w:rStyle w:val="Hyperlink"/>
          <w:rFonts w:cs="Arial"/>
        </w:rPr>
        <w:t>http://www.reginfo.gov/public/do/PRAMain</w:t>
      </w:r>
      <w:r w:rsidRPr="00A40A5D">
        <w:rPr>
          <w:rFonts w:cs="Arial"/>
        </w:rPr>
        <w:t>. Find this particular information collection by selecting ‘‘Currently under 30-day Review—Open for Public Comments’’ or by using the search function.</w:t>
      </w:r>
    </w:p>
    <w:p w:rsidR="00A40A5D" w:rsidRPr="00A40A5D" w:rsidP="00717D77" w14:paraId="4FA6F653" w14:textId="719CA236">
      <w:pPr>
        <w:rPr>
          <w:rFonts w:cs="Arial"/>
        </w:rPr>
      </w:pPr>
      <w:r w:rsidRPr="00A40A5D">
        <w:rPr>
          <w:rFonts w:cs="Arial"/>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0"/>
    <w:bookmarkEnd w:id="11"/>
    <w:bookmarkEnd w:id="12"/>
    <w:bookmarkEnd w:id="13"/>
    <w:p w:rsidR="00717D77" w:rsidP="00717D77" w14:paraId="64145396" w14:textId="77777777">
      <w:pPr>
        <w:pStyle w:val="Heading1"/>
      </w:pPr>
      <w:r>
        <w:t>LIST OF ATTACHMENTS</w:t>
      </w:r>
    </w:p>
    <w:p w:rsidR="00717D77" w:rsidRPr="00C54AF3" w:rsidP="00717D77" w14:paraId="7AD77E40" w14:textId="32A2181A">
      <w:r w:rsidRPr="005C59B2">
        <w:t xml:space="preserve">The attachments listed below can be found in the docket for this ICR. The docket for this ICR is </w:t>
      </w:r>
      <w:r w:rsidRPr="00C54AF3">
        <w:t xml:space="preserve">accessible electronically through </w:t>
      </w:r>
      <w:r w:rsidRPr="00C54AF3">
        <w:rPr>
          <w:rStyle w:val="Hyperlink"/>
        </w:rPr>
        <w:t>https://www.regulations.gov</w:t>
      </w:r>
      <w:r w:rsidRPr="00C54AF3">
        <w:t xml:space="preserve"> using Docket ID Number: EPA-HQ-OPPT-2010-0572.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0"/>
        <w:gridCol w:w="7930"/>
      </w:tblGrid>
      <w:tr w14:paraId="386F240A" w14:textId="77777777" w:rsidTr="00D177F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30" w:type="dxa"/>
            <w:tcBorders>
              <w:bottom w:val="single" w:sz="4" w:space="0" w:color="auto"/>
            </w:tcBorders>
            <w:shd w:val="clear" w:color="auto" w:fill="auto"/>
          </w:tcPr>
          <w:p w:rsidR="00717D77" w:rsidRPr="00C54AF3" w:rsidP="00D177F6" w14:paraId="38135882" w14:textId="77777777">
            <w:pPr>
              <w:pStyle w:val="NoSpacing"/>
            </w:pPr>
            <w:r w:rsidRPr="00C54AF3">
              <w:t>Attachment</w:t>
            </w:r>
          </w:p>
        </w:tc>
        <w:tc>
          <w:tcPr>
            <w:tcW w:w="7930" w:type="dxa"/>
            <w:tcBorders>
              <w:bottom w:val="single" w:sz="4" w:space="0" w:color="auto"/>
            </w:tcBorders>
            <w:shd w:val="clear" w:color="auto" w:fill="auto"/>
          </w:tcPr>
          <w:p w:rsidR="00717D77" w:rsidRPr="00C54AF3" w:rsidP="00D177F6" w14:paraId="5937456C" w14:textId="77777777">
            <w:pPr>
              <w:pStyle w:val="NoSpacing"/>
            </w:pPr>
            <w:r w:rsidRPr="00C54AF3">
              <w:t>Description</w:t>
            </w:r>
          </w:p>
        </w:tc>
      </w:tr>
      <w:tr w14:paraId="634E395C" w14:textId="77777777" w:rsidTr="00D177F6">
        <w:tblPrEx>
          <w:tblW w:w="5000" w:type="pct"/>
          <w:tblLook w:val="04A0"/>
        </w:tblPrEx>
        <w:tc>
          <w:tcPr>
            <w:tcW w:w="1430" w:type="dxa"/>
          </w:tcPr>
          <w:p w:rsidR="00224C7C" w:rsidP="00D177F6" w14:paraId="6D8E0A35" w14:textId="1E5B81A1">
            <w:pPr>
              <w:jc w:val="center"/>
              <w:rPr>
                <w:szCs w:val="20"/>
              </w:rPr>
            </w:pPr>
            <w:r>
              <w:rPr>
                <w:szCs w:val="20"/>
              </w:rPr>
              <w:t>A</w:t>
            </w:r>
          </w:p>
        </w:tc>
        <w:tc>
          <w:tcPr>
            <w:tcW w:w="7930" w:type="dxa"/>
          </w:tcPr>
          <w:p w:rsidR="00224C7C" w:rsidRPr="00AA03C8" w:rsidP="00D177F6" w14:paraId="7D2A8571" w14:textId="7BA9FA3D">
            <w:pPr>
              <w:rPr>
                <w:szCs w:val="24"/>
              </w:rPr>
            </w:pPr>
            <w:r>
              <w:rPr>
                <w:szCs w:val="24"/>
              </w:rPr>
              <w:t>EPA PMN Form 7710-25</w:t>
            </w:r>
          </w:p>
        </w:tc>
      </w:tr>
      <w:tr w14:paraId="4067E363" w14:textId="77777777" w:rsidTr="00D177F6">
        <w:tblPrEx>
          <w:tblW w:w="5000" w:type="pct"/>
          <w:tblLook w:val="04A0"/>
        </w:tblPrEx>
        <w:tc>
          <w:tcPr>
            <w:tcW w:w="1430" w:type="dxa"/>
          </w:tcPr>
          <w:p w:rsidR="00717D77" w:rsidRPr="00C54AF3" w:rsidP="00D177F6" w14:paraId="57C0E49B" w14:textId="132797D3">
            <w:pPr>
              <w:jc w:val="center"/>
              <w:rPr>
                <w:szCs w:val="20"/>
              </w:rPr>
            </w:pPr>
            <w:r>
              <w:rPr>
                <w:szCs w:val="20"/>
              </w:rPr>
              <w:t>B</w:t>
            </w:r>
          </w:p>
        </w:tc>
        <w:tc>
          <w:tcPr>
            <w:tcW w:w="7930" w:type="dxa"/>
          </w:tcPr>
          <w:p w:rsidR="00717D77" w:rsidRPr="00AA03C8" w:rsidP="00D177F6" w14:paraId="1E0EFF61" w14:textId="77777777">
            <w:pPr>
              <w:rPr>
                <w:szCs w:val="24"/>
              </w:rPr>
            </w:pPr>
            <w:r w:rsidRPr="00AA03C8">
              <w:rPr>
                <w:szCs w:val="24"/>
              </w:rPr>
              <w:t>EPA Form 9600-07</w:t>
            </w:r>
          </w:p>
        </w:tc>
      </w:tr>
      <w:tr w14:paraId="586BEC42" w14:textId="77777777" w:rsidTr="00D177F6">
        <w:tblPrEx>
          <w:tblW w:w="5000" w:type="pct"/>
          <w:tblLook w:val="04A0"/>
        </w:tblPrEx>
        <w:tc>
          <w:tcPr>
            <w:tcW w:w="1430" w:type="dxa"/>
          </w:tcPr>
          <w:p w:rsidR="00717D77" w:rsidRPr="00C54AF3" w:rsidP="00D177F6" w14:paraId="6C8B1AD0" w14:textId="59B37ECB">
            <w:pPr>
              <w:jc w:val="center"/>
              <w:rPr>
                <w:szCs w:val="20"/>
              </w:rPr>
            </w:pPr>
            <w:r>
              <w:rPr>
                <w:szCs w:val="20"/>
              </w:rPr>
              <w:t>C</w:t>
            </w:r>
          </w:p>
        </w:tc>
        <w:tc>
          <w:tcPr>
            <w:tcW w:w="7930" w:type="dxa"/>
          </w:tcPr>
          <w:p w:rsidR="00717D77" w:rsidRPr="00C54AF3" w:rsidP="00D177F6" w14:paraId="2F909334" w14:textId="2F65B83E">
            <w:pPr>
              <w:rPr>
                <w:bCs/>
              </w:rPr>
            </w:pPr>
            <w:r w:rsidRPr="00C54AF3">
              <w:rPr>
                <w:bCs/>
              </w:rPr>
              <w:t>Consultation</w:t>
            </w:r>
          </w:p>
        </w:tc>
      </w:tr>
      <w:tr w14:paraId="4A2EC926" w14:textId="77777777" w:rsidTr="00D177F6">
        <w:tblPrEx>
          <w:tblW w:w="5000" w:type="pct"/>
          <w:tblLook w:val="04A0"/>
        </w:tblPrEx>
        <w:tc>
          <w:tcPr>
            <w:tcW w:w="1430" w:type="dxa"/>
          </w:tcPr>
          <w:p w:rsidR="00F56270" w:rsidP="00D177F6" w14:paraId="2D0B3165" w14:textId="5C46718E">
            <w:pPr>
              <w:jc w:val="center"/>
              <w:rPr>
                <w:szCs w:val="20"/>
              </w:rPr>
            </w:pPr>
            <w:r>
              <w:rPr>
                <w:szCs w:val="20"/>
              </w:rPr>
              <w:t>D</w:t>
            </w:r>
          </w:p>
        </w:tc>
        <w:tc>
          <w:tcPr>
            <w:tcW w:w="7930" w:type="dxa"/>
          </w:tcPr>
          <w:p w:rsidR="00F56270" w:rsidRPr="00C54AF3" w:rsidP="00D177F6" w14:paraId="2172BFA4" w14:textId="725BBC4E">
            <w:pPr>
              <w:rPr>
                <w:bCs/>
              </w:rPr>
            </w:pPr>
            <w:r>
              <w:rPr>
                <w:bCs/>
              </w:rPr>
              <w:t>Consultation Responses</w:t>
            </w:r>
          </w:p>
        </w:tc>
      </w:tr>
    </w:tbl>
    <w:p w:rsidR="00586994" w:rsidP="00AA03C8" w14:paraId="7CB8890D" w14:textId="77777777"/>
    <w:p w:rsidR="00717D77" w:rsidP="00717D77" w14:paraId="3F538CEC" w14:textId="6568347B">
      <w:pPr>
        <w:pStyle w:val="Heading1"/>
      </w:pPr>
      <w:r>
        <w:t xml:space="preserve">REFERENCES </w:t>
      </w:r>
    </w:p>
    <w:p w:rsidR="00224C7C" w:rsidRPr="00224C7C" w:rsidP="00586994" w14:paraId="0F02487B" w14:textId="65A35A31">
      <w:pPr>
        <w:rPr>
          <w:rStyle w:val="Hyperlink"/>
          <w:i w:val="0"/>
          <w:iCs/>
        </w:rPr>
      </w:pPr>
      <w:hyperlink r:id="rId8" w:history="1">
        <w:r w:rsidRPr="00224C7C">
          <w:rPr>
            <w:rStyle w:val="Hyperlink"/>
            <w:i w:val="0"/>
            <w:iCs/>
          </w:rPr>
          <w:t>15 USC 2607</w:t>
        </w:r>
      </w:hyperlink>
    </w:p>
    <w:p w:rsidR="00224C7C" w:rsidRPr="00224C7C" w:rsidP="00586994" w14:paraId="013D90AC" w14:textId="5A3F03CE">
      <w:pPr>
        <w:rPr>
          <w:rFonts w:eastAsiaTheme="minorEastAsia" w:cs="Arial"/>
          <w:i/>
          <w:iCs/>
        </w:rPr>
      </w:pPr>
      <w:hyperlink r:id="rId9" w:history="1">
        <w:r w:rsidRPr="00224C7C">
          <w:rPr>
            <w:rStyle w:val="Hyperlink"/>
            <w:i w:val="0"/>
            <w:iCs/>
          </w:rPr>
          <w:t>40 CFR 704</w:t>
        </w:r>
      </w:hyperlink>
    </w:p>
    <w:p w:rsidR="00586994" w:rsidRPr="00AA03C8" w:rsidP="00586994" w14:paraId="3118311B" w14:textId="4E939685">
      <w:pPr>
        <w:rPr>
          <w:rFonts w:eastAsiaTheme="minorEastAsia" w:cs="Arial"/>
        </w:rPr>
      </w:pPr>
      <w:r w:rsidRPr="00AA03C8">
        <w:rPr>
          <w:rFonts w:eastAsiaTheme="minorEastAsia" w:cs="Arial"/>
        </w:rPr>
        <w:t xml:space="preserve">Rice, C. (2002). </w:t>
      </w:r>
      <w:r w:rsidRPr="00AA03C8">
        <w:rPr>
          <w:rFonts w:eastAsiaTheme="minorEastAsia" w:cs="Arial"/>
          <w:i/>
          <w:iCs/>
        </w:rPr>
        <w:t xml:space="preserve">Wage Rates for Economic Analysis of the Toxic Release Inventory </w:t>
      </w:r>
      <w:r w:rsidR="00A40A5D">
        <w:rPr>
          <w:rFonts w:eastAsiaTheme="minorEastAsia" w:cs="Arial"/>
          <w:i/>
          <w:iCs/>
        </w:rPr>
        <w:tab/>
      </w:r>
      <w:r w:rsidRPr="00AA03C8">
        <w:rPr>
          <w:rFonts w:eastAsiaTheme="minorEastAsia" w:cs="Arial"/>
          <w:i/>
          <w:iCs/>
        </w:rPr>
        <w:t>Program.</w:t>
      </w:r>
      <w:r w:rsidRPr="00AA03C8">
        <w:rPr>
          <w:rFonts w:eastAsiaTheme="minorEastAsia" w:cs="Arial"/>
        </w:rPr>
        <w:t xml:space="preserve"> Washington, D.C.: U.S. EPA, Office of Pollution Prevention and Toxics, </w:t>
      </w:r>
      <w:r w:rsidR="00A40A5D">
        <w:rPr>
          <w:rFonts w:eastAsiaTheme="minorEastAsia" w:cs="Arial"/>
        </w:rPr>
        <w:tab/>
      </w:r>
      <w:r w:rsidRPr="00AA03C8">
        <w:rPr>
          <w:rFonts w:eastAsiaTheme="minorEastAsia" w:cs="Arial"/>
        </w:rPr>
        <w:t>Economics and Policy Analysis Branch.</w:t>
      </w:r>
    </w:p>
    <w:p w:rsidR="00586994" w:rsidRPr="00AA03C8" w:rsidP="00586994" w14:paraId="64D22843" w14:textId="3240D55B">
      <w:pPr>
        <w:rPr>
          <w:rFonts w:cs="Arial"/>
        </w:rPr>
      </w:pPr>
      <w:r w:rsidRPr="00AA03C8">
        <w:rPr>
          <w:rFonts w:eastAsiaTheme="minorEastAsia" w:cs="Arial"/>
        </w:rPr>
        <w:t xml:space="preserve">U.S. Bureau of Labor Statistics. (2022). </w:t>
      </w:r>
      <w:r w:rsidRPr="00AA03C8">
        <w:rPr>
          <w:rFonts w:eastAsiaTheme="minorEastAsia" w:cs="Arial"/>
          <w:i/>
        </w:rPr>
        <w:t xml:space="preserve">May 2022 National Industry-Specific Occupational Employment and Wage Estimates. </w:t>
      </w:r>
      <w:r w:rsidRPr="00AA03C8">
        <w:rPr>
          <w:rFonts w:eastAsiaTheme="minorEastAsia" w:cs="Arial"/>
        </w:rPr>
        <w:t xml:space="preserve">Retrieved January 9, 2024 from </w:t>
      </w:r>
      <w:r w:rsidRPr="00AA03C8">
        <w:rPr>
          <w:rFonts w:eastAsiaTheme="minorEastAsia" w:cs="Arial"/>
        </w:rPr>
        <w:tab/>
      </w:r>
      <w:hyperlink r:id="rId10" w:anchor="23-0000" w:history="1">
        <w:r w:rsidRPr="00AA03C8">
          <w:rPr>
            <w:rStyle w:val="Hyperlink"/>
            <w:rFonts w:cs="Arial"/>
          </w:rPr>
          <w:t>https://www.bls.gov/oes/current/oes_nat.htm#23-0000</w:t>
        </w:r>
      </w:hyperlink>
      <w:r w:rsidRPr="00AA03C8">
        <w:rPr>
          <w:rFonts w:cs="Arial"/>
        </w:rPr>
        <w:t xml:space="preserve"> .</w:t>
      </w:r>
    </w:p>
    <w:p w:rsidR="00586994" w:rsidRPr="00AA03C8" w:rsidP="00586994" w14:paraId="00D451BE" w14:textId="77777777">
      <w:pPr>
        <w:pStyle w:val="BodyTextIndent2"/>
        <w:spacing w:line="240" w:lineRule="auto"/>
        <w:ind w:left="720" w:hanging="720"/>
        <w:rPr>
          <w:rFonts w:eastAsiaTheme="minorEastAsia" w:cs="Arial"/>
          <w:i/>
        </w:rPr>
      </w:pPr>
      <w:bookmarkStart w:id="14" w:name="_Hlk22023000"/>
      <w:r w:rsidRPr="00AA03C8">
        <w:rPr>
          <w:rFonts w:eastAsiaTheme="minorEastAsia" w:cs="Arial"/>
        </w:rPr>
        <w:t>U.S. Bureau of Labor Statistics (2022).</w:t>
      </w:r>
      <w:r w:rsidRPr="00AA03C8">
        <w:rPr>
          <w:rFonts w:cs="Arial"/>
        </w:rPr>
        <w:t xml:space="preserve"> </w:t>
      </w:r>
      <w:r w:rsidRPr="00AA03C8">
        <w:rPr>
          <w:rFonts w:eastAsiaTheme="minorEastAsia" w:cs="Arial"/>
          <w:i/>
        </w:rPr>
        <w:t>Employer Costs for Employee Compensation (ECEC) Supplemental Tables.</w:t>
      </w:r>
    </w:p>
    <w:bookmarkEnd w:id="14"/>
    <w:p w:rsidR="00586994" w:rsidRPr="00AA03C8" w:rsidP="00586994" w14:paraId="67F8B962" w14:textId="77777777">
      <w:pPr>
        <w:ind w:left="720" w:hanging="720"/>
        <w:rPr>
          <w:rFonts w:eastAsia="Times New Roman" w:cs="Arial"/>
          <w:noProof/>
          <w:szCs w:val="24"/>
        </w:rPr>
      </w:pPr>
      <w:r w:rsidRPr="00AA03C8">
        <w:rPr>
          <w:rFonts w:eastAsia="Times New Roman" w:cs="Arial"/>
          <w:noProof/>
          <w:szCs w:val="24"/>
        </w:rPr>
        <w:t xml:space="preserve">U.S. EPA. (2002). </w:t>
      </w:r>
      <w:r w:rsidRPr="00AA03C8">
        <w:rPr>
          <w:rFonts w:eastAsia="Times New Roman" w:cs="Arial"/>
          <w:i/>
          <w:noProof/>
          <w:szCs w:val="24"/>
        </w:rPr>
        <w:t xml:space="preserve">Revised </w:t>
      </w:r>
      <w:r w:rsidRPr="00AA03C8">
        <w:rPr>
          <w:rFonts w:eastAsia="Times New Roman" w:cs="Arial"/>
          <w:i/>
          <w:iCs/>
          <w:noProof/>
          <w:szCs w:val="24"/>
        </w:rPr>
        <w:t>Economic Analysis for the Amended Inventory Update Rule: Final Report (EPA-HQ-OPPT-2002-0054-0279).</w:t>
      </w:r>
      <w:r w:rsidRPr="00AA03C8">
        <w:rPr>
          <w:rFonts w:eastAsia="Times New Roman" w:cs="Arial"/>
          <w:noProof/>
          <w:szCs w:val="24"/>
        </w:rPr>
        <w:t xml:space="preserve"> Washington, D.C.: Office of Pollution Prevention and Toxics, Economics and Policy Analysis Branch.</w:t>
      </w:r>
    </w:p>
    <w:p w:rsidR="00586994" w:rsidRPr="00AA03C8" w:rsidP="00586994" w14:paraId="566F2E69" w14:textId="77777777">
      <w:pPr>
        <w:autoSpaceDE w:val="0"/>
        <w:autoSpaceDN w:val="0"/>
        <w:adjustRightInd w:val="0"/>
        <w:ind w:left="720" w:hanging="720"/>
        <w:rPr>
          <w:rFonts w:eastAsia="Times New Roman" w:cs="Arial"/>
          <w:szCs w:val="24"/>
        </w:rPr>
      </w:pPr>
      <w:r w:rsidRPr="00AA03C8">
        <w:rPr>
          <w:rFonts w:eastAsia="Times New Roman" w:cs="Arial"/>
          <w:color w:val="222222"/>
          <w:szCs w:val="24"/>
          <w:shd w:val="clear" w:color="auto" w:fill="FFFFFF"/>
        </w:rPr>
        <w:t xml:space="preserve">U.S. EPA, (2009a). </w:t>
      </w:r>
      <w:r w:rsidRPr="00AA03C8">
        <w:rPr>
          <w:rFonts w:eastAsia="Times New Roman" w:cs="Arial"/>
          <w:i/>
          <w:iCs/>
          <w:color w:val="222222"/>
          <w:szCs w:val="24"/>
          <w:shd w:val="clear" w:color="auto" w:fill="FFFFFF"/>
        </w:rPr>
        <w:t>ICR Handbook EPA’s Guide to Writing Information Collection Requests under the Paperwork Reduction Act of 1995. </w:t>
      </w:r>
      <w:r w:rsidRPr="00AA03C8">
        <w:rPr>
          <w:rFonts w:eastAsia="Times New Roman" w:cs="Arial"/>
          <w:color w:val="222222"/>
          <w:szCs w:val="24"/>
          <w:shd w:val="clear" w:color="auto" w:fill="FFFFFF"/>
        </w:rPr>
        <w:t>Revised 10/2009 Washington, D.C.: U.S. EPA, Office of Environmental Information.</w:t>
      </w:r>
    </w:p>
    <w:p w:rsidR="00586994" w:rsidRPr="00AA03C8" w:rsidP="00586994" w14:paraId="75C321ED" w14:textId="12EBE388">
      <w:pPr>
        <w:rPr>
          <w:rFonts w:eastAsiaTheme="minorEastAsia" w:cs="Arial"/>
        </w:rPr>
      </w:pPr>
      <w:r w:rsidRPr="00AA03C8">
        <w:rPr>
          <w:rFonts w:eastAsiaTheme="minorEastAsia" w:cs="Arial"/>
        </w:rPr>
        <w:t xml:space="preserve">U.S. EPA. (2019). Economic Analysis for the Proposed Rule: Procedures for Review of </w:t>
      </w:r>
      <w:r w:rsidR="00A40A5D">
        <w:rPr>
          <w:rFonts w:eastAsiaTheme="minorEastAsia" w:cs="Arial"/>
        </w:rPr>
        <w:tab/>
      </w:r>
      <w:r w:rsidRPr="00AA03C8">
        <w:rPr>
          <w:rFonts w:eastAsiaTheme="minorEastAsia" w:cs="Arial"/>
        </w:rPr>
        <w:t>CBI Claims</w:t>
      </w:r>
      <w:r w:rsidR="00A40A5D">
        <w:rPr>
          <w:rFonts w:eastAsiaTheme="minorEastAsia" w:cs="Arial"/>
        </w:rPr>
        <w:t xml:space="preserve"> </w:t>
      </w:r>
      <w:r w:rsidRPr="00AA03C8">
        <w:rPr>
          <w:rFonts w:eastAsiaTheme="minorEastAsia" w:cs="Arial"/>
        </w:rPr>
        <w:t>for the Identity of Chemicals on the TSCA Inventory (April 2, 2019).</w:t>
      </w:r>
    </w:p>
    <w:p w:rsidR="00586994" w:rsidRPr="00AA03C8" w:rsidP="00586994" w14:paraId="504A7908" w14:textId="77777777">
      <w:pPr>
        <w:spacing w:after="180" w:line="264" w:lineRule="auto"/>
        <w:ind w:left="720" w:hanging="720"/>
        <w:rPr>
          <w:rFonts w:cs="Arial"/>
        </w:rPr>
      </w:pPr>
      <w:bookmarkStart w:id="15" w:name="_Hlk22021724"/>
      <w:r w:rsidRPr="00AA03C8">
        <w:rPr>
          <w:rFonts w:eastAsia="Times New Roman" w:cs="Arial"/>
          <w:noProof/>
          <w:szCs w:val="24"/>
        </w:rPr>
        <w:t xml:space="preserve">U.S. Office of Personnel Management. (2023). </w:t>
      </w:r>
      <w:r w:rsidRPr="00AA03C8">
        <w:rPr>
          <w:rFonts w:eastAsia="Times New Roman" w:cs="Arial"/>
          <w:i/>
          <w:iCs/>
          <w:noProof/>
          <w:szCs w:val="24"/>
        </w:rPr>
        <w:t>Salary Table 2018-</w:t>
      </w:r>
      <w:r w:rsidRPr="00AA03C8">
        <w:rPr>
          <w:rFonts w:eastAsia="Times New Roman" w:cs="Arial"/>
          <w:szCs w:val="24"/>
        </w:rPr>
        <w:t xml:space="preserve"> </w:t>
      </w:r>
      <w:r w:rsidRPr="00AA03C8">
        <w:rPr>
          <w:rFonts w:eastAsia="Times New Roman" w:cs="Arial"/>
          <w:i/>
          <w:szCs w:val="24"/>
        </w:rPr>
        <w:t>DCB, Washington-Baltimore-Northern Virginia, DC-MD-PA-VA-WV</w:t>
      </w:r>
      <w:r w:rsidRPr="00AA03C8">
        <w:rPr>
          <w:rFonts w:eastAsia="Times New Roman" w:cs="Arial"/>
          <w:szCs w:val="24"/>
        </w:rPr>
        <w:t xml:space="preserve">. </w:t>
      </w:r>
      <w:r w:rsidRPr="00AA03C8">
        <w:rPr>
          <w:rFonts w:eastAsia="Times New Roman" w:cs="Arial"/>
          <w:noProof/>
          <w:szCs w:val="24"/>
        </w:rPr>
        <w:t>Retrieved January 9, 2024 from Pay &amp; Leave: Salaries &amp; Wages:</w:t>
      </w:r>
      <w:r w:rsidRPr="00AA03C8">
        <w:rPr>
          <w:rFonts w:cs="Arial"/>
        </w:rPr>
        <w:t xml:space="preserve"> </w:t>
      </w:r>
      <w:bookmarkEnd w:id="15"/>
      <w:hyperlink r:id="rId11" w:history="1">
        <w:r w:rsidRPr="00AA03C8">
          <w:rPr>
            <w:rStyle w:val="Hyperlink"/>
            <w:rFonts w:eastAsiaTheme="minorEastAsia" w:cs="Arial"/>
          </w:rPr>
          <w:t>https://www.opm.gov/policy-data-oversight/pay-leave/salaries-wages/salary-tables/23Tables/html/DCB_h.aspx</w:t>
        </w:r>
      </w:hyperlink>
    </w:p>
    <w:p w:rsidR="00586994" w:rsidRPr="0057780D" w:rsidP="00586994" w14:paraId="5412069D" w14:textId="77777777">
      <w:pPr>
        <w:pStyle w:val="NoSpacing"/>
      </w:pPr>
    </w:p>
    <w:p w:rsidR="00A50CAC" w14:paraId="6F0FDF05" w14:textId="77777777"/>
    <w:sectPr w:rsidSect="00D177F6">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BB2597" w:rsidRPr="00041E4F" w:rsidP="00D177F6" w14:paraId="3BCADA29" w14:textId="77777777">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29A6D99"/>
    <w:multiLevelType w:val="hybridMultilevel"/>
    <w:tmpl w:val="CBE0C52A"/>
    <w:lvl w:ilvl="0">
      <w:start w:val="1"/>
      <w:numFmt w:val="bullet"/>
      <w:lvlText w:val=""/>
      <w:lvlJc w:val="left"/>
      <w:pPr>
        <w:ind w:left="1085" w:hanging="360"/>
      </w:pPr>
      <w:rPr>
        <w:rFonts w:ascii="Symbol" w:hAnsi="Symbo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12">
    <w:nsid w:val="05611428"/>
    <w:multiLevelType w:val="multilevel"/>
    <w:tmpl w:val="3E56C2B2"/>
    <w:lvl w:ilvl="0">
      <w:start w:val="1"/>
      <w:numFmt w:val="decimal"/>
      <w:lvlText w:val="%1."/>
      <w:lvlJc w:val="left"/>
      <w:pPr>
        <w:ind w:left="360" w:hanging="360"/>
      </w:pPr>
      <w:rPr>
        <w:rFonts w:ascii="Arial" w:hAnsi="Arial" w:eastAsiaTheme="majorEastAsia" w:cstheme="majorBidi"/>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E46327"/>
    <w:multiLevelType w:val="hybridMultilevel"/>
    <w:tmpl w:val="1612E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FB0D98"/>
    <w:multiLevelType w:val="multilevel"/>
    <w:tmpl w:val="CB7E2BA8"/>
    <w:numStyleLink w:val="StyleBulletedLatinCalibriLeft025Hanging025"/>
  </w:abstractNum>
  <w:abstractNum w:abstractNumId="27">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834261">
    <w:abstractNumId w:val="22"/>
  </w:num>
  <w:num w:numId="2" w16cid:durableId="1867332260">
    <w:abstractNumId w:val="25"/>
  </w:num>
  <w:num w:numId="3" w16cid:durableId="1994527368">
    <w:abstractNumId w:val="18"/>
  </w:num>
  <w:num w:numId="4" w16cid:durableId="489559711">
    <w:abstractNumId w:val="27"/>
  </w:num>
  <w:num w:numId="5" w16cid:durableId="2066561212">
    <w:abstractNumId w:val="14"/>
  </w:num>
  <w:num w:numId="6" w16cid:durableId="1300303147">
    <w:abstractNumId w:val="23"/>
  </w:num>
  <w:num w:numId="7" w16cid:durableId="1568568317">
    <w:abstractNumId w:val="28"/>
  </w:num>
  <w:num w:numId="8" w16cid:durableId="2025009833">
    <w:abstractNumId w:val="9"/>
  </w:num>
  <w:num w:numId="9" w16cid:durableId="1235772583">
    <w:abstractNumId w:val="7"/>
  </w:num>
  <w:num w:numId="10" w16cid:durableId="447505312">
    <w:abstractNumId w:val="6"/>
  </w:num>
  <w:num w:numId="11" w16cid:durableId="991447350">
    <w:abstractNumId w:val="5"/>
  </w:num>
  <w:num w:numId="12" w16cid:durableId="1547598517">
    <w:abstractNumId w:val="4"/>
  </w:num>
  <w:num w:numId="13" w16cid:durableId="869992140">
    <w:abstractNumId w:val="8"/>
  </w:num>
  <w:num w:numId="14" w16cid:durableId="1834837306">
    <w:abstractNumId w:val="3"/>
  </w:num>
  <w:num w:numId="15" w16cid:durableId="696664807">
    <w:abstractNumId w:val="2"/>
  </w:num>
  <w:num w:numId="16" w16cid:durableId="1753896633">
    <w:abstractNumId w:val="1"/>
  </w:num>
  <w:num w:numId="17" w16cid:durableId="1068500305">
    <w:abstractNumId w:val="0"/>
  </w:num>
  <w:num w:numId="18" w16cid:durableId="432088067">
    <w:abstractNumId w:val="20"/>
  </w:num>
  <w:num w:numId="19" w16cid:durableId="1001394891">
    <w:abstractNumId w:val="17"/>
  </w:num>
  <w:num w:numId="20" w16cid:durableId="936640726">
    <w:abstractNumId w:val="34"/>
  </w:num>
  <w:num w:numId="21" w16cid:durableId="1245919192">
    <w:abstractNumId w:val="26"/>
  </w:num>
  <w:num w:numId="22" w16cid:durableId="627393865">
    <w:abstractNumId w:val="15"/>
  </w:num>
  <w:num w:numId="23" w16cid:durableId="1328900632">
    <w:abstractNumId w:val="32"/>
  </w:num>
  <w:num w:numId="24" w16cid:durableId="2018845282">
    <w:abstractNumId w:val="33"/>
  </w:num>
  <w:num w:numId="25" w16cid:durableId="1424229102">
    <w:abstractNumId w:val="21"/>
  </w:num>
  <w:num w:numId="26" w16cid:durableId="139806415">
    <w:abstractNumId w:val="19"/>
  </w:num>
  <w:num w:numId="27" w16cid:durableId="1582830936">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64442870">
    <w:abstractNumId w:val="31"/>
  </w:num>
  <w:num w:numId="29" w16cid:durableId="1217013095">
    <w:abstractNumId w:val="13"/>
  </w:num>
  <w:num w:numId="30" w16cid:durableId="503281072">
    <w:abstractNumId w:val="29"/>
  </w:num>
  <w:num w:numId="31" w16cid:durableId="1026950608">
    <w:abstractNumId w:val="35"/>
  </w:num>
  <w:num w:numId="32" w16cid:durableId="974337990">
    <w:abstractNumId w:val="30"/>
  </w:num>
  <w:num w:numId="33" w16cid:durableId="1921409049">
    <w:abstractNumId w:val="24"/>
  </w:num>
  <w:num w:numId="34" w16cid:durableId="1540362201">
    <w:abstractNumId w:val="11"/>
  </w:num>
  <w:num w:numId="35" w16cid:durableId="613630490">
    <w:abstractNumId w:val="12"/>
  </w:num>
  <w:num w:numId="36" w16cid:durableId="1601793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77"/>
    <w:rsid w:val="000008D8"/>
    <w:rsid w:val="00041E4F"/>
    <w:rsid w:val="00052846"/>
    <w:rsid w:val="00061EBD"/>
    <w:rsid w:val="00080A24"/>
    <w:rsid w:val="000B334A"/>
    <w:rsid w:val="000B4CC1"/>
    <w:rsid w:val="000B6B08"/>
    <w:rsid w:val="000D4208"/>
    <w:rsid w:val="000F3E57"/>
    <w:rsid w:val="000F731C"/>
    <w:rsid w:val="001129AB"/>
    <w:rsid w:val="00124EEF"/>
    <w:rsid w:val="001403E3"/>
    <w:rsid w:val="0017139F"/>
    <w:rsid w:val="00187036"/>
    <w:rsid w:val="001B1D6C"/>
    <w:rsid w:val="001F2DF7"/>
    <w:rsid w:val="001F65C9"/>
    <w:rsid w:val="00213517"/>
    <w:rsid w:val="002141A7"/>
    <w:rsid w:val="00217467"/>
    <w:rsid w:val="00224C7C"/>
    <w:rsid w:val="002319BE"/>
    <w:rsid w:val="00250B1F"/>
    <w:rsid w:val="00277B69"/>
    <w:rsid w:val="0028369E"/>
    <w:rsid w:val="00295A4D"/>
    <w:rsid w:val="002A523B"/>
    <w:rsid w:val="002C792C"/>
    <w:rsid w:val="00313960"/>
    <w:rsid w:val="0032671D"/>
    <w:rsid w:val="003679B0"/>
    <w:rsid w:val="00390B27"/>
    <w:rsid w:val="003D00D0"/>
    <w:rsid w:val="003F1D17"/>
    <w:rsid w:val="003F70D3"/>
    <w:rsid w:val="004003C6"/>
    <w:rsid w:val="004051E9"/>
    <w:rsid w:val="00433A7B"/>
    <w:rsid w:val="00487D06"/>
    <w:rsid w:val="00490C84"/>
    <w:rsid w:val="004A3A85"/>
    <w:rsid w:val="004A737F"/>
    <w:rsid w:val="004E260B"/>
    <w:rsid w:val="004F318B"/>
    <w:rsid w:val="00510EC1"/>
    <w:rsid w:val="00515E31"/>
    <w:rsid w:val="00532761"/>
    <w:rsid w:val="00561BB3"/>
    <w:rsid w:val="0057780D"/>
    <w:rsid w:val="00580C1F"/>
    <w:rsid w:val="00586994"/>
    <w:rsid w:val="0059048C"/>
    <w:rsid w:val="005C59B2"/>
    <w:rsid w:val="005D29EB"/>
    <w:rsid w:val="005F10EA"/>
    <w:rsid w:val="005F6C03"/>
    <w:rsid w:val="006150F1"/>
    <w:rsid w:val="0061653A"/>
    <w:rsid w:val="00642746"/>
    <w:rsid w:val="0065216B"/>
    <w:rsid w:val="00652C31"/>
    <w:rsid w:val="006C103A"/>
    <w:rsid w:val="006C6575"/>
    <w:rsid w:val="00717D77"/>
    <w:rsid w:val="0072047D"/>
    <w:rsid w:val="00725570"/>
    <w:rsid w:val="00733D40"/>
    <w:rsid w:val="00753FD2"/>
    <w:rsid w:val="007A0CD3"/>
    <w:rsid w:val="007A78B9"/>
    <w:rsid w:val="007E4E7D"/>
    <w:rsid w:val="008516B1"/>
    <w:rsid w:val="00871549"/>
    <w:rsid w:val="00871A13"/>
    <w:rsid w:val="00894848"/>
    <w:rsid w:val="00906696"/>
    <w:rsid w:val="00940BE1"/>
    <w:rsid w:val="00942D05"/>
    <w:rsid w:val="00947FC6"/>
    <w:rsid w:val="0098639D"/>
    <w:rsid w:val="009B05BF"/>
    <w:rsid w:val="009B0BED"/>
    <w:rsid w:val="009D2A59"/>
    <w:rsid w:val="009D54B1"/>
    <w:rsid w:val="00A16872"/>
    <w:rsid w:val="00A2040B"/>
    <w:rsid w:val="00A40A5D"/>
    <w:rsid w:val="00A41E4C"/>
    <w:rsid w:val="00A50CAC"/>
    <w:rsid w:val="00AA03C8"/>
    <w:rsid w:val="00B32C8A"/>
    <w:rsid w:val="00B376A0"/>
    <w:rsid w:val="00B41A83"/>
    <w:rsid w:val="00B450D9"/>
    <w:rsid w:val="00B50BAB"/>
    <w:rsid w:val="00B71E95"/>
    <w:rsid w:val="00B81E74"/>
    <w:rsid w:val="00B90CDF"/>
    <w:rsid w:val="00B975C3"/>
    <w:rsid w:val="00BB2597"/>
    <w:rsid w:val="00BF330E"/>
    <w:rsid w:val="00C463F5"/>
    <w:rsid w:val="00C51DF3"/>
    <w:rsid w:val="00C54AF3"/>
    <w:rsid w:val="00CE186C"/>
    <w:rsid w:val="00CE2F9E"/>
    <w:rsid w:val="00D14EA6"/>
    <w:rsid w:val="00D17620"/>
    <w:rsid w:val="00D177F6"/>
    <w:rsid w:val="00D43559"/>
    <w:rsid w:val="00D6216F"/>
    <w:rsid w:val="00DA4512"/>
    <w:rsid w:val="00DA6B65"/>
    <w:rsid w:val="00DB082F"/>
    <w:rsid w:val="00E1549C"/>
    <w:rsid w:val="00E25186"/>
    <w:rsid w:val="00E42336"/>
    <w:rsid w:val="00E42847"/>
    <w:rsid w:val="00E6036A"/>
    <w:rsid w:val="00E629A9"/>
    <w:rsid w:val="00E723ED"/>
    <w:rsid w:val="00F02996"/>
    <w:rsid w:val="00F10291"/>
    <w:rsid w:val="00F30B7B"/>
    <w:rsid w:val="00F43C0E"/>
    <w:rsid w:val="00F44B08"/>
    <w:rsid w:val="00F56270"/>
    <w:rsid w:val="00F71D48"/>
    <w:rsid w:val="00F83B74"/>
    <w:rsid w:val="0164CA68"/>
    <w:rsid w:val="08B21934"/>
    <w:rsid w:val="0AF45CC4"/>
    <w:rsid w:val="0E2574A5"/>
    <w:rsid w:val="163E6762"/>
    <w:rsid w:val="20CB2BC3"/>
    <w:rsid w:val="22E3C9DE"/>
    <w:rsid w:val="23EB37BF"/>
    <w:rsid w:val="25857489"/>
    <w:rsid w:val="293B585D"/>
    <w:rsid w:val="296EA3D6"/>
    <w:rsid w:val="2E5B5275"/>
    <w:rsid w:val="3187811A"/>
    <w:rsid w:val="41B8E590"/>
    <w:rsid w:val="591DD9FB"/>
    <w:rsid w:val="5AC94FC3"/>
    <w:rsid w:val="60506914"/>
    <w:rsid w:val="62877309"/>
    <w:rsid w:val="69C5CFE7"/>
    <w:rsid w:val="6C3090BA"/>
    <w:rsid w:val="6C702B1D"/>
    <w:rsid w:val="714208A9"/>
    <w:rsid w:val="7C44D04F"/>
    <w:rsid w:val="7EDE6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D10927"/>
  <w15:docId w15:val="{DF4F2ECD-1884-4BF6-B2A4-D2C2D4C1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D77"/>
    <w:pPr>
      <w:spacing w:after="240"/>
    </w:pPr>
    <w:rPr>
      <w:rFonts w:ascii="Arial" w:hAnsi="Arial"/>
      <w:sz w:val="24"/>
    </w:rPr>
  </w:style>
  <w:style w:type="paragraph" w:styleId="Heading1">
    <w:name w:val="heading 1"/>
    <w:basedOn w:val="Normal"/>
    <w:next w:val="Normal"/>
    <w:link w:val="Heading1Char"/>
    <w:uiPriority w:val="9"/>
    <w:qFormat/>
    <w:rsid w:val="00717D77"/>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717D77"/>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717D77"/>
    <w:pPr>
      <w:outlineLvl w:val="2"/>
    </w:pPr>
    <w:rPr>
      <w:b/>
      <w:i/>
      <w:u w:val="single"/>
    </w:rPr>
  </w:style>
  <w:style w:type="paragraph" w:styleId="Heading4">
    <w:name w:val="heading 4"/>
    <w:basedOn w:val="Normal"/>
    <w:next w:val="Normal"/>
    <w:link w:val="Heading4Char"/>
    <w:uiPriority w:val="9"/>
    <w:semiHidden/>
    <w:unhideWhenUsed/>
    <w:qFormat/>
    <w:rsid w:val="00717D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77"/>
    <w:rPr>
      <w:rFonts w:ascii="Arial" w:hAnsi="Arial" w:eastAsiaTheme="majorEastAsia" w:cstheme="minorHAnsi"/>
      <w:b/>
      <w:bCs/>
      <w:sz w:val="24"/>
      <w:szCs w:val="32"/>
    </w:rPr>
  </w:style>
  <w:style w:type="character" w:customStyle="1" w:styleId="Heading2Char">
    <w:name w:val="Heading 2 Char"/>
    <w:basedOn w:val="DefaultParagraphFont"/>
    <w:link w:val="Heading2"/>
    <w:uiPriority w:val="9"/>
    <w:rsid w:val="00717D77"/>
    <w:rPr>
      <w:rFonts w:ascii="Arial" w:hAnsi="Arial" w:eastAsiaTheme="majorEastAsia" w:cstheme="minorHAnsi"/>
      <w:b/>
      <w:i/>
      <w:iCs/>
      <w:sz w:val="24"/>
    </w:rPr>
  </w:style>
  <w:style w:type="character" w:customStyle="1" w:styleId="Heading3Char">
    <w:name w:val="Heading 3 Char"/>
    <w:basedOn w:val="DefaultParagraphFont"/>
    <w:link w:val="Heading3"/>
    <w:uiPriority w:val="9"/>
    <w:rsid w:val="00717D77"/>
    <w:rPr>
      <w:rFonts w:ascii="Arial" w:hAnsi="Arial"/>
      <w:b/>
      <w:i/>
      <w:sz w:val="24"/>
      <w:u w:val="single"/>
    </w:rPr>
  </w:style>
  <w:style w:type="character" w:customStyle="1" w:styleId="Heading4Char">
    <w:name w:val="Heading 4 Char"/>
    <w:basedOn w:val="DefaultParagraphFont"/>
    <w:link w:val="Heading4"/>
    <w:uiPriority w:val="9"/>
    <w:semiHidden/>
    <w:rsid w:val="00717D77"/>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717D77"/>
    <w:pPr>
      <w:spacing w:after="0" w:line="240" w:lineRule="auto"/>
      <w:jc w:val="right"/>
    </w:pPr>
  </w:style>
  <w:style w:type="character" w:customStyle="1" w:styleId="HeaderChar">
    <w:name w:val="Header Char"/>
    <w:basedOn w:val="DefaultParagraphFont"/>
    <w:link w:val="Header"/>
    <w:uiPriority w:val="99"/>
    <w:rsid w:val="00717D77"/>
    <w:rPr>
      <w:rFonts w:ascii="Arial" w:hAnsi="Arial"/>
      <w:sz w:val="24"/>
    </w:rPr>
  </w:style>
  <w:style w:type="paragraph" w:styleId="Footer">
    <w:name w:val="footer"/>
    <w:basedOn w:val="Normal"/>
    <w:link w:val="FooterChar"/>
    <w:uiPriority w:val="99"/>
    <w:unhideWhenUsed/>
    <w:rsid w:val="00717D77"/>
    <w:pPr>
      <w:spacing w:after="0" w:line="240" w:lineRule="auto"/>
      <w:jc w:val="center"/>
    </w:pPr>
    <w:rPr>
      <w:sz w:val="22"/>
    </w:rPr>
  </w:style>
  <w:style w:type="character" w:customStyle="1" w:styleId="FooterChar">
    <w:name w:val="Footer Char"/>
    <w:basedOn w:val="DefaultParagraphFont"/>
    <w:link w:val="Footer"/>
    <w:uiPriority w:val="99"/>
    <w:rsid w:val="00717D77"/>
    <w:rPr>
      <w:rFonts w:ascii="Arial" w:hAnsi="Arial"/>
    </w:rPr>
  </w:style>
  <w:style w:type="character" w:styleId="Strong">
    <w:name w:val="Strong"/>
    <w:basedOn w:val="DefaultParagraphFont"/>
    <w:qFormat/>
    <w:rsid w:val="00717D77"/>
    <w:rPr>
      <w:b/>
      <w:bCs/>
    </w:rPr>
  </w:style>
  <w:style w:type="paragraph" w:styleId="FootnoteText">
    <w:name w:val="footnote text"/>
    <w:basedOn w:val="Normal"/>
    <w:link w:val="FootnoteTextChar"/>
    <w:unhideWhenUsed/>
    <w:qFormat/>
    <w:rsid w:val="00717D77"/>
    <w:pPr>
      <w:spacing w:after="0" w:line="240" w:lineRule="auto"/>
    </w:pPr>
    <w:rPr>
      <w:sz w:val="20"/>
      <w:szCs w:val="20"/>
    </w:rPr>
  </w:style>
  <w:style w:type="character" w:customStyle="1" w:styleId="FootnoteTextChar">
    <w:name w:val="Footnote Text Char"/>
    <w:basedOn w:val="DefaultParagraphFont"/>
    <w:link w:val="FootnoteText"/>
    <w:rsid w:val="00717D77"/>
    <w:rPr>
      <w:rFonts w:ascii="Arial" w:hAnsi="Arial"/>
      <w:sz w:val="20"/>
      <w:szCs w:val="20"/>
    </w:rPr>
  </w:style>
  <w:style w:type="character" w:styleId="FootnoteReference">
    <w:name w:val="footnote reference"/>
    <w:basedOn w:val="DefaultParagraphFont"/>
    <w:uiPriority w:val="99"/>
    <w:unhideWhenUsed/>
    <w:rsid w:val="00717D77"/>
    <w:rPr>
      <w:vertAlign w:val="superscript"/>
    </w:rPr>
  </w:style>
  <w:style w:type="character" w:styleId="Emphasis">
    <w:name w:val="Emphasis"/>
    <w:basedOn w:val="DefaultParagraphFont"/>
    <w:qFormat/>
    <w:rsid w:val="00717D77"/>
    <w:rPr>
      <w:i/>
      <w:iCs/>
    </w:rPr>
  </w:style>
  <w:style w:type="character" w:styleId="Hyperlink">
    <w:name w:val="Hyperlink"/>
    <w:basedOn w:val="DefaultParagraphFont"/>
    <w:uiPriority w:val="99"/>
    <w:unhideWhenUsed/>
    <w:qFormat/>
    <w:rsid w:val="00717D77"/>
    <w:rPr>
      <w:i/>
      <w:color w:val="0000FF"/>
      <w:u w:val="single"/>
    </w:rPr>
  </w:style>
  <w:style w:type="character" w:styleId="UnresolvedMention">
    <w:name w:val="Unresolved Mention"/>
    <w:basedOn w:val="DefaultParagraphFont"/>
    <w:uiPriority w:val="99"/>
    <w:unhideWhenUsed/>
    <w:rsid w:val="00717D77"/>
    <w:rPr>
      <w:color w:val="605E5C"/>
      <w:shd w:val="clear" w:color="auto" w:fill="E1DFDD"/>
    </w:rPr>
  </w:style>
  <w:style w:type="paragraph" w:styleId="ListParagraph">
    <w:name w:val="List Paragraph"/>
    <w:basedOn w:val="Normal"/>
    <w:uiPriority w:val="34"/>
    <w:qFormat/>
    <w:rsid w:val="00717D77"/>
    <w:pPr>
      <w:ind w:left="720"/>
      <w:contextualSpacing/>
    </w:pPr>
  </w:style>
  <w:style w:type="table" w:styleId="TableGrid">
    <w:name w:val="Table Grid"/>
    <w:basedOn w:val="TableNormal"/>
    <w:uiPriority w:val="39"/>
    <w:rsid w:val="0071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717D77"/>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717D77"/>
    <w:rPr>
      <w:sz w:val="16"/>
      <w:szCs w:val="16"/>
    </w:rPr>
  </w:style>
  <w:style w:type="paragraph" w:styleId="CommentText">
    <w:name w:val="annotation text"/>
    <w:basedOn w:val="Normal"/>
    <w:link w:val="CommentTextChar"/>
    <w:uiPriority w:val="99"/>
    <w:unhideWhenUsed/>
    <w:rsid w:val="00717D77"/>
    <w:pPr>
      <w:spacing w:line="240" w:lineRule="auto"/>
    </w:pPr>
    <w:rPr>
      <w:sz w:val="20"/>
      <w:szCs w:val="20"/>
    </w:rPr>
  </w:style>
  <w:style w:type="character" w:customStyle="1" w:styleId="CommentTextChar">
    <w:name w:val="Comment Text Char"/>
    <w:basedOn w:val="DefaultParagraphFont"/>
    <w:link w:val="CommentText"/>
    <w:uiPriority w:val="99"/>
    <w:rsid w:val="00717D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7D77"/>
    <w:rPr>
      <w:b/>
      <w:bCs/>
    </w:rPr>
  </w:style>
  <w:style w:type="character" w:customStyle="1" w:styleId="CommentSubjectChar">
    <w:name w:val="Comment Subject Char"/>
    <w:basedOn w:val="CommentTextChar"/>
    <w:link w:val="CommentSubject"/>
    <w:uiPriority w:val="99"/>
    <w:semiHidden/>
    <w:rsid w:val="00717D77"/>
    <w:rPr>
      <w:rFonts w:ascii="Arial" w:hAnsi="Arial"/>
      <w:b/>
      <w:bCs/>
      <w:sz w:val="20"/>
      <w:szCs w:val="20"/>
    </w:rPr>
  </w:style>
  <w:style w:type="paragraph" w:styleId="NoSpacing">
    <w:name w:val="No Spacing"/>
    <w:link w:val="NoSpacingChar"/>
    <w:uiPriority w:val="1"/>
    <w:qFormat/>
    <w:rsid w:val="00717D77"/>
    <w:pPr>
      <w:spacing w:after="0" w:line="240" w:lineRule="auto"/>
    </w:pPr>
    <w:rPr>
      <w:rFonts w:ascii="Arial" w:hAnsi="Arial"/>
      <w:sz w:val="24"/>
    </w:rPr>
  </w:style>
  <w:style w:type="character" w:styleId="PlaceholderText">
    <w:name w:val="Placeholder Text"/>
    <w:basedOn w:val="DefaultParagraphFont"/>
    <w:uiPriority w:val="99"/>
    <w:semiHidden/>
    <w:rsid w:val="00717D77"/>
    <w:rPr>
      <w:color w:val="808080"/>
    </w:rPr>
  </w:style>
  <w:style w:type="paragraph" w:styleId="Title">
    <w:name w:val="Title"/>
    <w:basedOn w:val="Normal"/>
    <w:next w:val="Normal"/>
    <w:link w:val="TitleChar"/>
    <w:uiPriority w:val="10"/>
    <w:rsid w:val="00717D77"/>
    <w:pPr>
      <w:jc w:val="center"/>
    </w:pPr>
    <w:rPr>
      <w:b/>
      <w:bCs/>
    </w:rPr>
  </w:style>
  <w:style w:type="character" w:customStyle="1" w:styleId="TitleChar">
    <w:name w:val="Title Char"/>
    <w:basedOn w:val="DefaultParagraphFont"/>
    <w:link w:val="Title"/>
    <w:uiPriority w:val="10"/>
    <w:rsid w:val="00717D77"/>
    <w:rPr>
      <w:rFonts w:ascii="Arial" w:hAnsi="Arial"/>
      <w:b/>
      <w:bCs/>
      <w:sz w:val="24"/>
    </w:rPr>
  </w:style>
  <w:style w:type="numbering" w:customStyle="1" w:styleId="StyleBulletedLatinCalibriLeft025Hanging025">
    <w:name w:val="Style Bulleted (Latin) Calibri Left:  0.25&quot; Hanging:  0.25&quot;"/>
    <w:basedOn w:val="NoList"/>
    <w:rsid w:val="00717D77"/>
    <w:pPr>
      <w:numPr>
        <w:numId w:val="20"/>
      </w:numPr>
    </w:pPr>
  </w:style>
  <w:style w:type="character" w:customStyle="1" w:styleId="Instructions">
    <w:name w:val="Instructions"/>
    <w:basedOn w:val="DefaultParagraphFont"/>
    <w:rsid w:val="00717D77"/>
    <w:rPr>
      <w:color w:val="7030A0"/>
    </w:rPr>
  </w:style>
  <w:style w:type="paragraph" w:customStyle="1" w:styleId="Level1">
    <w:name w:val="Level 1"/>
    <w:basedOn w:val="Normal"/>
    <w:rsid w:val="00717D77"/>
    <w:pPr>
      <w:widowControl w:val="0"/>
      <w:numPr>
        <w:numId w:val="27"/>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717D77"/>
    <w:rPr>
      <w:b/>
      <w:bCs/>
    </w:rPr>
  </w:style>
  <w:style w:type="paragraph" w:styleId="Revision">
    <w:name w:val="Revision"/>
    <w:hidden/>
    <w:uiPriority w:val="99"/>
    <w:semiHidden/>
    <w:rsid w:val="00717D77"/>
    <w:pPr>
      <w:spacing w:after="0" w:line="240" w:lineRule="auto"/>
    </w:pPr>
    <w:rPr>
      <w:rFonts w:ascii="Arial" w:hAnsi="Arial"/>
      <w:sz w:val="24"/>
    </w:rPr>
  </w:style>
  <w:style w:type="paragraph" w:customStyle="1" w:styleId="Default">
    <w:name w:val="Default"/>
    <w:rsid w:val="00717D77"/>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717D77"/>
    <w:rPr>
      <w:color w:val="954F72" w:themeColor="followedHyperlink"/>
      <w:u w:val="single"/>
    </w:rPr>
  </w:style>
  <w:style w:type="character" w:styleId="Mention">
    <w:name w:val="Mention"/>
    <w:basedOn w:val="DefaultParagraphFont"/>
    <w:uiPriority w:val="99"/>
    <w:unhideWhenUsed/>
    <w:rsid w:val="00717D77"/>
    <w:rPr>
      <w:color w:val="2B579A"/>
      <w:shd w:val="clear" w:color="auto" w:fill="E1DFDD"/>
    </w:rPr>
  </w:style>
  <w:style w:type="character" w:customStyle="1" w:styleId="NoSpacingChar">
    <w:name w:val="No Spacing Char"/>
    <w:basedOn w:val="DefaultParagraphFont"/>
    <w:link w:val="NoSpacing"/>
    <w:uiPriority w:val="1"/>
    <w:locked/>
    <w:rsid w:val="00717D77"/>
    <w:rPr>
      <w:rFonts w:ascii="Arial" w:hAnsi="Arial"/>
      <w:sz w:val="24"/>
    </w:rPr>
  </w:style>
  <w:style w:type="paragraph" w:customStyle="1" w:styleId="TableTitle">
    <w:name w:val="Table Title"/>
    <w:basedOn w:val="Normal"/>
    <w:link w:val="TableTitleChar"/>
    <w:rsid w:val="00717D77"/>
    <w:pPr>
      <w:keepNext/>
      <w:keepLines/>
      <w:spacing w:before="240" w:after="40" w:line="240" w:lineRule="auto"/>
    </w:pPr>
    <w:rPr>
      <w:rFonts w:eastAsia="Times New Roman" w:cs="Arial"/>
      <w:b/>
      <w:color w:val="003366"/>
      <w:sz w:val="20"/>
    </w:rPr>
  </w:style>
  <w:style w:type="character" w:customStyle="1" w:styleId="TableTitleChar">
    <w:name w:val="Table Title Char"/>
    <w:link w:val="TableTitle"/>
    <w:rsid w:val="00717D77"/>
    <w:rPr>
      <w:rFonts w:ascii="Arial" w:eastAsia="Times New Roman" w:hAnsi="Arial" w:cs="Arial"/>
      <w:b/>
      <w:color w:val="003366"/>
      <w:sz w:val="20"/>
    </w:rPr>
  </w:style>
  <w:style w:type="paragraph" w:styleId="BodyTextIndent2">
    <w:name w:val="Body Text Indent 2"/>
    <w:basedOn w:val="Normal"/>
    <w:link w:val="BodyTextIndent2Char"/>
    <w:uiPriority w:val="99"/>
    <w:semiHidden/>
    <w:unhideWhenUsed/>
    <w:rsid w:val="00586994"/>
    <w:pPr>
      <w:spacing w:after="120" w:line="480" w:lineRule="auto"/>
      <w:ind w:left="360"/>
    </w:pPr>
  </w:style>
  <w:style w:type="character" w:customStyle="1" w:styleId="BodyTextIndent2Char">
    <w:name w:val="Body Text Indent 2 Char"/>
    <w:basedOn w:val="DefaultParagraphFont"/>
    <w:link w:val="BodyTextIndent2"/>
    <w:uiPriority w:val="99"/>
    <w:semiHidden/>
    <w:rsid w:val="00586994"/>
    <w:rPr>
      <w:rFonts w:ascii="Arial" w:hAnsi="Arial"/>
      <w:sz w:val="24"/>
    </w:rPr>
  </w:style>
  <w:style w:type="character" w:styleId="SubtleEmphasis">
    <w:name w:val="Subtle Emphasis"/>
    <w:basedOn w:val="DefaultParagraphFont"/>
    <w:uiPriority w:val="19"/>
    <w:qFormat/>
    <w:rsid w:val="00561BB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23Tables/html/DCB_h.aspx"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09-title15/html/USCODE-2009-title15-chap53-subchapI-sec2607.htm" TargetMode="External" /><Relationship Id="rId9" Type="http://schemas.openxmlformats.org/officeDocument/2006/relationships/hyperlink" Target="https://www.ecfr.gov/current/title-40/chapter-I/subchapter-R/part-7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4707</FRN_x0020_List_x0020_Item_x0020_ID>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C5AFC-B734-4AA6-A2E8-F362CE1460CF}">
  <ds:schemaRefs>
    <ds:schemaRef ds:uri="http://schemas.microsoft.com/sharepoint/v3/contenttype/forms"/>
  </ds:schemaRefs>
</ds:datastoreItem>
</file>

<file path=customXml/itemProps2.xml><?xml version="1.0" encoding="utf-8"?>
<ds:datastoreItem xmlns:ds="http://schemas.openxmlformats.org/officeDocument/2006/customXml" ds:itemID="{0CDFBA8D-018E-45C2-AE77-579B0669C611}">
  <ds:schemaRefs>
    <ds:schemaRef ds:uri="http://www.w3.org/XML/1998/namespace"/>
    <ds:schemaRef ds:uri="4ffa91fb-a0ff-4ac5-b2db-65c790d184a4"/>
    <ds:schemaRef ds:uri="http://schemas.microsoft.com/office/2006/documentManagement/types"/>
    <ds:schemaRef ds:uri="http://purl.org/dc/dcmitype/"/>
    <ds:schemaRef ds:uri="http://schemas.microsoft.com/office/infopath/2007/PartnerControls"/>
    <ds:schemaRef ds:uri="a5d1ca4e-0a3f-4119-b619-e20b93ebd1aa"/>
    <ds:schemaRef ds:uri="http://purl.org/dc/elements/1.1/"/>
    <ds:schemaRef ds:uri="http://purl.org/dc/terms/"/>
    <ds:schemaRef ds:uri="http://schemas.openxmlformats.org/package/2006/metadata/core-properties"/>
    <ds:schemaRef ds:uri="118f882f-1e32-4cf2-ad69-9de43d57f4c6"/>
    <ds:schemaRef ds:uri="http://schemas.microsoft.com/sharepoint.v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B36DA8C-56C8-4AF7-9E1B-D68C277AD7B3}">
  <ds:schemaRefs>
    <ds:schemaRef ds:uri="Microsoft.SharePoint.Taxonomy.ContentTypeSync"/>
  </ds:schemaRefs>
</ds:datastoreItem>
</file>

<file path=customXml/itemProps4.xml><?xml version="1.0" encoding="utf-8"?>
<ds:datastoreItem xmlns:ds="http://schemas.openxmlformats.org/officeDocument/2006/customXml" ds:itemID="{916DC38E-DC6D-4031-8289-B6094D91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5771</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Aryal, Ballav (he/him/his)</dc:creator>
  <cp:lastModifiedBy>Johnson, Amaris</cp:lastModifiedBy>
  <cp:revision>2</cp:revision>
  <dcterms:created xsi:type="dcterms:W3CDTF">2024-09-30T20:07:00Z</dcterms:created>
  <dcterms:modified xsi:type="dcterms:W3CDTF">2024-09-30T20:07:00Z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GrammarlyDocumentId">
    <vt:lpwstr>f07f0b7f-2dbd-47f9-a3de-40042ec624b4</vt:lpwstr>
  </property>
</Properties>
</file>