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5ACE" w:rsidRPr="00F1233D" w:rsidP="00C00973" w14:paraId="7BE95D67" w14:textId="77777777">
      <w:pPr>
        <w:jc w:val="center"/>
        <w:rPr>
          <w:sz w:val="25"/>
          <w:szCs w:val="25"/>
        </w:rPr>
      </w:pPr>
      <w:r w:rsidRPr="00F1233D">
        <w:rPr>
          <w:sz w:val="25"/>
          <w:szCs w:val="25"/>
        </w:rPr>
        <w:t>DEPARTMENT OF TRANSPORTATION</w:t>
      </w:r>
    </w:p>
    <w:p w:rsidR="00E75ACE" w:rsidRPr="00F1233D" w:rsidP="00C00973" w14:paraId="2140DB41" w14:textId="31F9AE7F">
      <w:pPr>
        <w:jc w:val="center"/>
        <w:rPr>
          <w:sz w:val="25"/>
          <w:szCs w:val="25"/>
          <w:u w:val="single"/>
        </w:rPr>
      </w:pPr>
      <w:r w:rsidRPr="00F1233D">
        <w:rPr>
          <w:sz w:val="25"/>
          <w:szCs w:val="25"/>
          <w:u w:val="single"/>
        </w:rPr>
        <w:t>FEDERAL TRANSIT ADMINISTRATION</w:t>
      </w:r>
    </w:p>
    <w:p w:rsidR="00E75ACE" w:rsidRPr="00F1233D" w:rsidP="00C00973" w14:paraId="502821BB" w14:textId="77777777">
      <w:pPr>
        <w:jc w:val="center"/>
        <w:rPr>
          <w:b/>
          <w:sz w:val="25"/>
          <w:szCs w:val="25"/>
        </w:rPr>
      </w:pPr>
    </w:p>
    <w:p w:rsidR="00E75ACE" w:rsidRPr="00F1233D" w:rsidP="00C00973" w14:paraId="2EA2E9F6" w14:textId="77777777">
      <w:pPr>
        <w:jc w:val="center"/>
        <w:rPr>
          <w:sz w:val="25"/>
          <w:szCs w:val="25"/>
        </w:rPr>
      </w:pPr>
      <w:r w:rsidRPr="00F1233D">
        <w:rPr>
          <w:sz w:val="25"/>
          <w:szCs w:val="25"/>
        </w:rPr>
        <w:t>SUPPORTING STATEMENT</w:t>
      </w:r>
    </w:p>
    <w:p w:rsidR="00E75ACE" w:rsidRPr="006A5B4E" w:rsidP="00C00973" w14:paraId="16D4DF18" w14:textId="1D3BEE65">
      <w:pPr>
        <w:jc w:val="center"/>
        <w:rPr>
          <w:sz w:val="25"/>
          <w:szCs w:val="25"/>
        </w:rPr>
      </w:pPr>
      <w:r w:rsidRPr="006A5B4E">
        <w:rPr>
          <w:sz w:val="25"/>
          <w:szCs w:val="25"/>
        </w:rPr>
        <w:t>Rail Fixed Guideway Systems; State Safety Oversight</w:t>
      </w:r>
    </w:p>
    <w:p w:rsidR="00E75ACE" w:rsidRPr="006A5B4E" w:rsidP="00C00973" w14:paraId="7F7F5F27" w14:textId="77777777">
      <w:pPr>
        <w:jc w:val="center"/>
        <w:rPr>
          <w:sz w:val="25"/>
          <w:szCs w:val="25"/>
        </w:rPr>
      </w:pPr>
    </w:p>
    <w:p w:rsidR="00E75ACE" w:rsidRPr="006A5B4E" w:rsidP="00C00973" w14:paraId="5472474A" w14:textId="77777777">
      <w:pPr>
        <w:jc w:val="center"/>
        <w:rPr>
          <w:sz w:val="25"/>
          <w:szCs w:val="25"/>
        </w:rPr>
      </w:pPr>
      <w:r w:rsidRPr="006A5B4E">
        <w:rPr>
          <w:sz w:val="25"/>
          <w:szCs w:val="25"/>
        </w:rPr>
        <w:t xml:space="preserve">OMB Control No. </w:t>
      </w:r>
      <w:r w:rsidRPr="5574D9D5">
        <w:rPr>
          <w:sz w:val="25"/>
          <w:szCs w:val="25"/>
        </w:rPr>
        <w:t>2132-</w:t>
      </w:r>
      <w:r w:rsidRPr="5574D9D5" w:rsidR="000704D7">
        <w:rPr>
          <w:sz w:val="25"/>
          <w:szCs w:val="25"/>
        </w:rPr>
        <w:t>0558</w:t>
      </w:r>
    </w:p>
    <w:p w:rsidR="00E75ACE" w:rsidRPr="006A5B4E" w:rsidP="00C00973" w14:paraId="3F25BFEB" w14:textId="77777777">
      <w:pPr>
        <w:jc w:val="both"/>
        <w:rPr>
          <w:sz w:val="25"/>
          <w:szCs w:val="25"/>
        </w:rPr>
      </w:pPr>
    </w:p>
    <w:p w:rsidR="00173681" w:rsidRPr="00687F99" w:rsidP="00C00973" w14:paraId="264072A3" w14:textId="38B1B210">
      <w:pPr>
        <w:jc w:val="both"/>
        <w:rPr>
          <w:b/>
          <w:bCs/>
          <w:sz w:val="25"/>
          <w:szCs w:val="25"/>
        </w:rPr>
      </w:pPr>
      <w:r w:rsidRPr="00687F99">
        <w:rPr>
          <w:b/>
          <w:bCs/>
          <w:sz w:val="25"/>
          <w:szCs w:val="25"/>
        </w:rPr>
        <w:t>ABSTRACT</w:t>
      </w:r>
    </w:p>
    <w:p w:rsidR="006C6233" w:rsidP="00367261" w14:paraId="4B11ED76" w14:textId="77777777">
      <w:pPr>
        <w:jc w:val="both"/>
        <w:rPr>
          <w:sz w:val="24"/>
          <w:szCs w:val="24"/>
        </w:rPr>
      </w:pPr>
      <w:r w:rsidRPr="00A23046">
        <w:rPr>
          <w:sz w:val="24"/>
          <w:szCs w:val="24"/>
        </w:rPr>
        <w:t xml:space="preserve">This supporting statement is associated with a </w:t>
      </w:r>
      <w:r w:rsidR="004C1D1A">
        <w:rPr>
          <w:sz w:val="24"/>
          <w:szCs w:val="24"/>
        </w:rPr>
        <w:t xml:space="preserve">Final Rulemaking </w:t>
      </w:r>
      <w:r w:rsidRPr="00A23046">
        <w:rPr>
          <w:sz w:val="24"/>
          <w:szCs w:val="24"/>
        </w:rPr>
        <w:t xml:space="preserve">for a regulation with a currently approved information collection, </w:t>
      </w:r>
      <w:r w:rsidRPr="00A23046" w:rsidR="00870258">
        <w:rPr>
          <w:sz w:val="24"/>
          <w:szCs w:val="24"/>
        </w:rPr>
        <w:t>OMB Control Number 2132-0558, “Rail Fixed Guideway Systems; State Safety Oversight</w:t>
      </w:r>
      <w:r w:rsidRPr="00A23046" w:rsidR="00ED1120">
        <w:rPr>
          <w:sz w:val="24"/>
          <w:szCs w:val="24"/>
        </w:rPr>
        <w:t xml:space="preserve"> (SSO)</w:t>
      </w:r>
      <w:r w:rsidRPr="00A23046" w:rsidR="00B50DF9">
        <w:rPr>
          <w:sz w:val="24"/>
          <w:szCs w:val="24"/>
        </w:rPr>
        <w:t>.</w:t>
      </w:r>
      <w:r w:rsidRPr="00A23046" w:rsidR="00870258">
        <w:rPr>
          <w:sz w:val="24"/>
          <w:szCs w:val="24"/>
        </w:rPr>
        <w:t>”</w:t>
      </w:r>
      <w:r w:rsidRPr="2FC518B0" w:rsidR="0086434A">
        <w:rPr>
          <w:sz w:val="24"/>
          <w:szCs w:val="24"/>
        </w:rPr>
        <w:t xml:space="preserve"> </w:t>
      </w:r>
    </w:p>
    <w:p w:rsidR="006C6233" w:rsidP="00367261" w14:paraId="7EA660F9" w14:textId="77777777">
      <w:pPr>
        <w:jc w:val="both"/>
        <w:rPr>
          <w:sz w:val="24"/>
          <w:szCs w:val="24"/>
        </w:rPr>
      </w:pPr>
    </w:p>
    <w:p w:rsidR="006A3732" w:rsidP="00367261" w14:paraId="19707E2A" w14:textId="3C3EE1A1">
      <w:pPr>
        <w:jc w:val="both"/>
        <w:rPr>
          <w:sz w:val="24"/>
          <w:szCs w:val="24"/>
        </w:rPr>
      </w:pPr>
      <w:r w:rsidRPr="2FC518B0">
        <w:rPr>
          <w:sz w:val="24"/>
          <w:szCs w:val="24"/>
        </w:rPr>
        <w:t>The</w:t>
      </w:r>
      <w:r w:rsidR="004C1D1A">
        <w:rPr>
          <w:sz w:val="24"/>
          <w:szCs w:val="24"/>
        </w:rPr>
        <w:t xml:space="preserve"> Notice of Proposed Rulemaking (NPRM) was published on November 15, 2023. FTA received </w:t>
      </w:r>
      <w:r>
        <w:rPr>
          <w:sz w:val="24"/>
          <w:szCs w:val="24"/>
        </w:rPr>
        <w:t>27</w:t>
      </w:r>
      <w:r w:rsidR="004C1D1A">
        <w:rPr>
          <w:sz w:val="24"/>
          <w:szCs w:val="24"/>
        </w:rPr>
        <w:t xml:space="preserve"> comments submissions to the docket, however none of the comments were related to the collect</w:t>
      </w:r>
      <w:r w:rsidR="006C6233">
        <w:rPr>
          <w:sz w:val="24"/>
          <w:szCs w:val="24"/>
        </w:rPr>
        <w:t>i</w:t>
      </w:r>
      <w:r w:rsidR="004C1D1A">
        <w:rPr>
          <w:sz w:val="24"/>
          <w:szCs w:val="24"/>
        </w:rPr>
        <w:t>on of information or corresponding burden cost or hours.  OIRA file</w:t>
      </w:r>
      <w:r w:rsidR="006B546C">
        <w:rPr>
          <w:sz w:val="24"/>
          <w:szCs w:val="24"/>
        </w:rPr>
        <w:t>d</w:t>
      </w:r>
      <w:r w:rsidR="004C1D1A">
        <w:rPr>
          <w:sz w:val="24"/>
          <w:szCs w:val="24"/>
        </w:rPr>
        <w:t xml:space="preserve"> comment on the proposed</w:t>
      </w:r>
      <w:r>
        <w:rPr>
          <w:sz w:val="24"/>
          <w:szCs w:val="24"/>
        </w:rPr>
        <w:t xml:space="preserve"> rule on May</w:t>
      </w:r>
      <w:r w:rsidR="00600870">
        <w:rPr>
          <w:sz w:val="24"/>
          <w:szCs w:val="24"/>
        </w:rPr>
        <w:t xml:space="preserve"> 2</w:t>
      </w:r>
      <w:r>
        <w:rPr>
          <w:sz w:val="24"/>
          <w:szCs w:val="24"/>
        </w:rPr>
        <w:t xml:space="preserve">, 2024. </w:t>
      </w:r>
    </w:p>
    <w:p w:rsidR="006A3732" w:rsidP="00367261" w14:paraId="4D219AB1" w14:textId="77777777">
      <w:pPr>
        <w:jc w:val="both"/>
        <w:rPr>
          <w:sz w:val="24"/>
          <w:szCs w:val="24"/>
        </w:rPr>
      </w:pPr>
    </w:p>
    <w:p w:rsidR="00173681" w:rsidRPr="008A4301" w:rsidP="00367261" w14:paraId="117AB002" w14:textId="49E275A7">
      <w:pPr>
        <w:jc w:val="both"/>
        <w:rPr>
          <w:sz w:val="24"/>
          <w:szCs w:val="24"/>
        </w:rPr>
      </w:pPr>
      <w:r>
        <w:rPr>
          <w:sz w:val="24"/>
          <w:szCs w:val="24"/>
        </w:rPr>
        <w:t>The Rail Fixed Guideway</w:t>
      </w:r>
      <w:r w:rsidR="006B546C">
        <w:rPr>
          <w:sz w:val="24"/>
          <w:szCs w:val="24"/>
        </w:rPr>
        <w:t xml:space="preserve">; State Safety Oversight </w:t>
      </w:r>
      <w:r>
        <w:rPr>
          <w:sz w:val="24"/>
          <w:szCs w:val="24"/>
        </w:rPr>
        <w:t xml:space="preserve">Final rulemaking </w:t>
      </w:r>
      <w:r w:rsidRPr="2FC518B0" w:rsidR="00AE6B80">
        <w:rPr>
          <w:sz w:val="24"/>
          <w:szCs w:val="24"/>
        </w:rPr>
        <w:t>address</w:t>
      </w:r>
      <w:r>
        <w:rPr>
          <w:sz w:val="24"/>
          <w:szCs w:val="24"/>
        </w:rPr>
        <w:t>es</w:t>
      </w:r>
      <w:r w:rsidRPr="2FC518B0" w:rsidR="00AE6B80">
        <w:rPr>
          <w:sz w:val="24"/>
          <w:szCs w:val="24"/>
        </w:rPr>
        <w:t xml:space="preserve"> requirements related to Section 30012 of the Bipartisan Infrastructure Law, enacted as the Infrastructure Investment and Jobs Act</w:t>
      </w:r>
      <w:r w:rsidR="006B546C">
        <w:rPr>
          <w:sz w:val="24"/>
          <w:szCs w:val="24"/>
        </w:rPr>
        <w:t xml:space="preserve">. It </w:t>
      </w:r>
      <w:r w:rsidRPr="2FC518B0" w:rsidR="00AE6B80">
        <w:rPr>
          <w:sz w:val="24"/>
          <w:szCs w:val="24"/>
        </w:rPr>
        <w:t xml:space="preserve">removes requirements </w:t>
      </w:r>
      <w:r w:rsidR="009430A6">
        <w:rPr>
          <w:sz w:val="24"/>
          <w:szCs w:val="24"/>
        </w:rPr>
        <w:t xml:space="preserve">outdated </w:t>
      </w:r>
      <w:r w:rsidR="00B56484">
        <w:rPr>
          <w:sz w:val="24"/>
          <w:szCs w:val="24"/>
        </w:rPr>
        <w:t>references</w:t>
      </w:r>
      <w:r w:rsidR="006C6233">
        <w:rPr>
          <w:sz w:val="24"/>
          <w:szCs w:val="24"/>
        </w:rPr>
        <w:t xml:space="preserve"> </w:t>
      </w:r>
      <w:r w:rsidR="00B56484">
        <w:rPr>
          <w:sz w:val="24"/>
          <w:szCs w:val="24"/>
        </w:rPr>
        <w:t xml:space="preserve">and simplifies notification requirements. </w:t>
      </w:r>
      <w:r w:rsidRPr="2FC518B0" w:rsidR="30876B78">
        <w:rPr>
          <w:sz w:val="24"/>
          <w:szCs w:val="24"/>
        </w:rPr>
        <w:t xml:space="preserve"> </w:t>
      </w:r>
      <w:r w:rsidR="006B546C">
        <w:rPr>
          <w:sz w:val="24"/>
          <w:szCs w:val="24"/>
        </w:rPr>
        <w:t>As indicated with the NPRM submittal, t</w:t>
      </w:r>
      <w:r w:rsidRPr="28D6BBB2" w:rsidR="4002A9FF">
        <w:rPr>
          <w:sz w:val="24"/>
          <w:szCs w:val="24"/>
        </w:rPr>
        <w:t>he</w:t>
      </w:r>
      <w:r w:rsidRPr="28D6BBB2" w:rsidR="17A69A69">
        <w:rPr>
          <w:sz w:val="24"/>
          <w:szCs w:val="24"/>
        </w:rPr>
        <w:t xml:space="preserve"> only change related to the collection of infor</w:t>
      </w:r>
      <w:r w:rsidRPr="28D6BBB2" w:rsidR="5BA8888E">
        <w:rPr>
          <w:sz w:val="24"/>
          <w:szCs w:val="24"/>
        </w:rPr>
        <w:t>ma</w:t>
      </w:r>
      <w:r w:rsidRPr="28D6BBB2" w:rsidR="17A69A69">
        <w:rPr>
          <w:sz w:val="24"/>
          <w:szCs w:val="24"/>
        </w:rPr>
        <w:t xml:space="preserve">tion </w:t>
      </w:r>
      <w:r w:rsidR="006B546C">
        <w:rPr>
          <w:sz w:val="24"/>
          <w:szCs w:val="24"/>
        </w:rPr>
        <w:t>is</w:t>
      </w:r>
      <w:r w:rsidRPr="28D6BBB2" w:rsidR="17A69A69">
        <w:rPr>
          <w:sz w:val="24"/>
          <w:szCs w:val="24"/>
        </w:rPr>
        <w:t xml:space="preserve"> a</w:t>
      </w:r>
      <w:r w:rsidR="002B0FD3">
        <w:rPr>
          <w:sz w:val="24"/>
          <w:szCs w:val="24"/>
        </w:rPr>
        <w:t xml:space="preserve"> change in the </w:t>
      </w:r>
      <w:r w:rsidRPr="28D6BBB2" w:rsidR="4B5A7ACA">
        <w:rPr>
          <w:sz w:val="24"/>
          <w:szCs w:val="24"/>
        </w:rPr>
        <w:t xml:space="preserve">notification criteria and </w:t>
      </w:r>
      <w:r w:rsidRPr="28D6BBB2" w:rsidR="71E56F78">
        <w:rPr>
          <w:sz w:val="24"/>
          <w:szCs w:val="24"/>
        </w:rPr>
        <w:t xml:space="preserve">small increase in the </w:t>
      </w:r>
      <w:r w:rsidRPr="28D6BBB2" w:rsidR="4B5A7ACA">
        <w:rPr>
          <w:sz w:val="24"/>
          <w:szCs w:val="24"/>
        </w:rPr>
        <w:t>respondent</w:t>
      </w:r>
      <w:r w:rsidRPr="28D6BBB2" w:rsidR="345E0B12">
        <w:rPr>
          <w:sz w:val="24"/>
          <w:szCs w:val="24"/>
        </w:rPr>
        <w:t xml:space="preserve"> universe of the </w:t>
      </w:r>
      <w:r w:rsidRPr="28D6BBB2" w:rsidR="16697B99">
        <w:rPr>
          <w:sz w:val="24"/>
          <w:szCs w:val="24"/>
        </w:rPr>
        <w:t xml:space="preserve">SSO program. </w:t>
      </w:r>
    </w:p>
    <w:p w:rsidR="00E75ACE" w:rsidRPr="008A4301" w:rsidP="00C00973" w14:paraId="2ABEF992" w14:textId="77777777">
      <w:pPr>
        <w:jc w:val="both"/>
        <w:rPr>
          <w:sz w:val="24"/>
          <w:szCs w:val="24"/>
          <w:u w:val="single"/>
        </w:rPr>
      </w:pPr>
    </w:p>
    <w:p w:rsidR="00E75ACE" w:rsidRPr="008A4301" w:rsidP="00C00973" w14:paraId="7B791C65" w14:textId="77777777">
      <w:pPr>
        <w:numPr>
          <w:ilvl w:val="0"/>
          <w:numId w:val="1"/>
        </w:numPr>
        <w:jc w:val="both"/>
        <w:rPr>
          <w:b/>
          <w:sz w:val="24"/>
          <w:szCs w:val="24"/>
        </w:rPr>
      </w:pPr>
      <w:r w:rsidRPr="008A4301">
        <w:rPr>
          <w:b/>
          <w:sz w:val="24"/>
          <w:szCs w:val="24"/>
        </w:rPr>
        <w:t xml:space="preserve">Explain the circumstances that make the collection of information necessary. </w:t>
      </w:r>
    </w:p>
    <w:p w:rsidR="00E360A5" w:rsidRPr="008A4301" w:rsidP="00C00973" w14:paraId="70433E08" w14:textId="77777777">
      <w:pPr>
        <w:jc w:val="both"/>
        <w:rPr>
          <w:sz w:val="24"/>
          <w:szCs w:val="24"/>
        </w:rPr>
      </w:pPr>
    </w:p>
    <w:p w:rsidR="00461B70" w:rsidP="00461B70" w14:paraId="39EAE548" w14:textId="55104E7E">
      <w:pPr>
        <w:ind w:firstLine="360"/>
        <w:jc w:val="both"/>
        <w:rPr>
          <w:sz w:val="24"/>
          <w:szCs w:val="24"/>
        </w:rPr>
      </w:pPr>
      <w:r>
        <w:rPr>
          <w:sz w:val="24"/>
          <w:szCs w:val="24"/>
        </w:rPr>
        <w:t>I</w:t>
      </w:r>
      <w:r w:rsidRPr="00461B70">
        <w:rPr>
          <w:sz w:val="24"/>
          <w:szCs w:val="24"/>
        </w:rPr>
        <w:t>n 1991, Congress enacted Federal transportation law stating that because rail transit is an inherently local activity, the States are the princi</w:t>
      </w:r>
      <w:r w:rsidRPr="00461B70">
        <w:rPr>
          <w:sz w:val="24"/>
          <w:szCs w:val="24"/>
        </w:rPr>
        <w:t xml:space="preserve">pal safety oversight authorities for rail transit systems. At the same time, Congress directed the Federal Transit Administration (FTA) to create and administer a State Safety Oversight Program (SSOP). </w:t>
      </w:r>
    </w:p>
    <w:p w:rsidR="00A70168" w:rsidP="00461B70" w14:paraId="6DA00805" w14:textId="77777777">
      <w:pPr>
        <w:ind w:firstLine="360"/>
        <w:jc w:val="both"/>
        <w:rPr>
          <w:sz w:val="24"/>
          <w:szCs w:val="24"/>
        </w:rPr>
      </w:pPr>
    </w:p>
    <w:p w:rsidR="00461B70" w:rsidP="00461B70" w14:paraId="331E3BF5" w14:textId="2F609643">
      <w:pPr>
        <w:ind w:firstLine="360"/>
        <w:jc w:val="both"/>
        <w:rPr>
          <w:sz w:val="24"/>
          <w:szCs w:val="24"/>
        </w:rPr>
      </w:pPr>
      <w:r w:rsidRPr="00461B70">
        <w:rPr>
          <w:sz w:val="24"/>
          <w:szCs w:val="24"/>
        </w:rPr>
        <w:t>In 2012, Congress passed legislation that greatly ex</w:t>
      </w:r>
      <w:r w:rsidRPr="00461B70">
        <w:rPr>
          <w:sz w:val="24"/>
          <w:szCs w:val="24"/>
        </w:rPr>
        <w:t xml:space="preserve">panded FTA safety authority and required States with rail transit systems to strengthen their own SSOPs. </w:t>
      </w:r>
    </w:p>
    <w:p w:rsidR="00A70168" w:rsidP="00461B70" w14:paraId="2771584A" w14:textId="77777777">
      <w:pPr>
        <w:ind w:firstLine="360"/>
        <w:jc w:val="both"/>
        <w:rPr>
          <w:sz w:val="24"/>
          <w:szCs w:val="24"/>
        </w:rPr>
      </w:pPr>
    </w:p>
    <w:p w:rsidR="00461B70" w:rsidP="00461B70" w14:paraId="50C5B40C" w14:textId="4254E174">
      <w:pPr>
        <w:ind w:firstLine="360"/>
        <w:jc w:val="both"/>
        <w:rPr>
          <w:sz w:val="24"/>
          <w:szCs w:val="24"/>
        </w:rPr>
      </w:pPr>
      <w:r w:rsidRPr="00461B70">
        <w:rPr>
          <w:sz w:val="24"/>
          <w:szCs w:val="24"/>
        </w:rPr>
        <w:t>In 2015, Congress again passed legislation giving FTA additional safety authority, including a provision that allows FTA to withhold Urbanized Area f</w:t>
      </w:r>
      <w:r w:rsidRPr="00461B70">
        <w:rPr>
          <w:sz w:val="24"/>
          <w:szCs w:val="24"/>
        </w:rPr>
        <w:t>ormula funds if it determines that a State Safety Oversight Agency (SSOA) is incapable of providing safety oversight and the State fails to establish a new, federally compliant SSOP within one year of FTA’s determination</w:t>
      </w:r>
      <w:r>
        <w:rPr>
          <w:sz w:val="24"/>
          <w:szCs w:val="24"/>
        </w:rPr>
        <w:t xml:space="preserve">.  </w:t>
      </w:r>
    </w:p>
    <w:p w:rsidR="00A70168" w:rsidP="00461B70" w14:paraId="4D59FF6C" w14:textId="77777777">
      <w:pPr>
        <w:ind w:firstLine="360"/>
        <w:jc w:val="both"/>
        <w:rPr>
          <w:sz w:val="24"/>
          <w:szCs w:val="24"/>
        </w:rPr>
      </w:pPr>
    </w:p>
    <w:p w:rsidR="00461B70" w:rsidP="00461B70" w14:paraId="5D55E0FF" w14:textId="10A8BBBD">
      <w:pPr>
        <w:ind w:firstLine="360"/>
        <w:jc w:val="both"/>
        <w:rPr>
          <w:sz w:val="24"/>
          <w:szCs w:val="24"/>
        </w:rPr>
      </w:pPr>
      <w:r>
        <w:rPr>
          <w:sz w:val="24"/>
          <w:szCs w:val="24"/>
        </w:rPr>
        <w:t>In 2016, t</w:t>
      </w:r>
      <w:r w:rsidRPr="00461B70">
        <w:rPr>
          <w:sz w:val="24"/>
          <w:szCs w:val="24"/>
        </w:rPr>
        <w:t>he State Safety Overs</w:t>
      </w:r>
      <w:r w:rsidRPr="00461B70">
        <w:rPr>
          <w:sz w:val="24"/>
          <w:szCs w:val="24"/>
        </w:rPr>
        <w:t>ight (SSO) final rule significantly strengthen</w:t>
      </w:r>
      <w:r>
        <w:rPr>
          <w:sz w:val="24"/>
          <w:szCs w:val="24"/>
        </w:rPr>
        <w:t>ed</w:t>
      </w:r>
      <w:r w:rsidRPr="00461B70">
        <w:rPr>
          <w:sz w:val="24"/>
          <w:szCs w:val="24"/>
        </w:rPr>
        <w:t xml:space="preserve"> an SSO Agency’s (SSOA) authority to investigate accidents and oversee a rail transit agency’s (RTA) implementation of its safety rule. The SSO rule also g</w:t>
      </w:r>
      <w:r>
        <w:rPr>
          <w:sz w:val="24"/>
          <w:szCs w:val="24"/>
        </w:rPr>
        <w:t>ave</w:t>
      </w:r>
      <w:r w:rsidRPr="00461B70">
        <w:rPr>
          <w:sz w:val="24"/>
          <w:szCs w:val="24"/>
        </w:rPr>
        <w:t xml:space="preserve"> FTA the authority to review and approve each Stat</w:t>
      </w:r>
      <w:r w:rsidRPr="00461B70">
        <w:rPr>
          <w:sz w:val="24"/>
          <w:szCs w:val="24"/>
        </w:rPr>
        <w:t>e’s SSO program and take enforcement actions against those States with non-existent or non-compliant safety oversight programs.</w:t>
      </w:r>
      <w:r w:rsidRPr="00A70168" w:rsidR="00A70168">
        <w:t xml:space="preserve"> </w:t>
      </w:r>
      <w:r w:rsidRPr="00A70168" w:rsidR="00A70168">
        <w:rPr>
          <w:sz w:val="24"/>
          <w:szCs w:val="24"/>
        </w:rPr>
        <w:t xml:space="preserve">By April 15, 2019, each eligible State </w:t>
      </w:r>
      <w:r w:rsidR="00A70168">
        <w:rPr>
          <w:sz w:val="24"/>
          <w:szCs w:val="24"/>
        </w:rPr>
        <w:t xml:space="preserve">had to have an </w:t>
      </w:r>
      <w:r w:rsidRPr="00A70168" w:rsidR="00A70168">
        <w:rPr>
          <w:sz w:val="24"/>
          <w:szCs w:val="24"/>
        </w:rPr>
        <w:t xml:space="preserve">approved and certified SSO program. </w:t>
      </w:r>
    </w:p>
    <w:p w:rsidR="009104EF" w:rsidP="00461B70" w14:paraId="2791276B" w14:textId="6A61176E">
      <w:pPr>
        <w:ind w:firstLine="360"/>
        <w:jc w:val="both"/>
        <w:rPr>
          <w:sz w:val="24"/>
          <w:szCs w:val="24"/>
        </w:rPr>
      </w:pPr>
      <w:r w:rsidRPr="342C6639">
        <w:rPr>
          <w:sz w:val="24"/>
          <w:szCs w:val="24"/>
        </w:rPr>
        <w:t xml:space="preserve"> </w:t>
      </w:r>
      <w:r w:rsidRPr="342C6639" w:rsidR="00223B51">
        <w:rPr>
          <w:sz w:val="24"/>
          <w:szCs w:val="24"/>
        </w:rPr>
        <w:t>The Bipartisan Infrastructure Law, enacted as the Infrastructure Investment and Jobs Act</w:t>
      </w:r>
      <w:r w:rsidRPr="342C6639" w:rsidR="00BB4D7F">
        <w:rPr>
          <w:sz w:val="24"/>
          <w:szCs w:val="24"/>
        </w:rPr>
        <w:t xml:space="preserve"> </w:t>
      </w:r>
      <w:r w:rsidRPr="342C6639" w:rsidR="00223B51">
        <w:rPr>
          <w:sz w:val="24"/>
          <w:szCs w:val="24"/>
        </w:rPr>
        <w:t>49 U.S.C. § 5329 / IIJA § 30012, continue</w:t>
      </w:r>
      <w:r w:rsidRPr="342C6639" w:rsidR="00A70168">
        <w:rPr>
          <w:sz w:val="24"/>
          <w:szCs w:val="24"/>
        </w:rPr>
        <w:t xml:space="preserve">d </w:t>
      </w:r>
      <w:r w:rsidRPr="342C6639" w:rsidR="00223B51">
        <w:rPr>
          <w:sz w:val="24"/>
          <w:szCs w:val="24"/>
        </w:rPr>
        <w:t>the State Safety Oversight (SSO) progra</w:t>
      </w:r>
      <w:r w:rsidRPr="342C6639" w:rsidR="00A70168">
        <w:rPr>
          <w:sz w:val="24"/>
          <w:szCs w:val="24"/>
        </w:rPr>
        <w:t>m</w:t>
      </w:r>
      <w:r w:rsidRPr="342C6639">
        <w:rPr>
          <w:sz w:val="24"/>
          <w:szCs w:val="24"/>
        </w:rPr>
        <w:t xml:space="preserve"> and established new requirements for FTA’s Public Transportation Safety Program.</w:t>
      </w:r>
    </w:p>
    <w:p w:rsidR="00BB4D7F" w:rsidP="00461B70" w14:paraId="1F5C51A1" w14:textId="77777777">
      <w:pPr>
        <w:ind w:firstLine="360"/>
        <w:jc w:val="both"/>
        <w:rPr>
          <w:sz w:val="24"/>
          <w:szCs w:val="24"/>
        </w:rPr>
      </w:pPr>
    </w:p>
    <w:p w:rsidR="009104EF" w:rsidRPr="009104EF" w:rsidP="009104EF" w14:paraId="2217D6CC" w14:textId="5EC4F9B2">
      <w:pPr>
        <w:ind w:firstLine="360"/>
        <w:jc w:val="both"/>
        <w:rPr>
          <w:sz w:val="24"/>
          <w:szCs w:val="24"/>
        </w:rPr>
      </w:pPr>
      <w:r w:rsidRPr="0AD5A7FE">
        <w:rPr>
          <w:sz w:val="24"/>
          <w:szCs w:val="24"/>
        </w:rPr>
        <w:t xml:space="preserve">This </w:t>
      </w:r>
      <w:r w:rsidRPr="0AD5A7FE" w:rsidR="741D2F32">
        <w:rPr>
          <w:sz w:val="24"/>
          <w:szCs w:val="24"/>
        </w:rPr>
        <w:t>proposed</w:t>
      </w:r>
      <w:r w:rsidRPr="009104EF">
        <w:rPr>
          <w:sz w:val="24"/>
          <w:szCs w:val="24"/>
        </w:rPr>
        <w:t xml:space="preserve"> rule updates the existing regulations for state safety oversight of rail fixed guideway public transportation systems. In the Moving Ahead for Progress in the </w:t>
      </w:r>
      <w:r w:rsidRPr="009104EF">
        <w:rPr>
          <w:sz w:val="24"/>
          <w:szCs w:val="24"/>
        </w:rPr>
        <w:t>21st Century Act (MAP-21) (</w:t>
      </w:r>
      <w:hyperlink r:id="rId9">
        <w:r w:rsidRPr="0AD5A7FE">
          <w:rPr>
            <w:rStyle w:val="Hyperlink"/>
            <w:sz w:val="24"/>
            <w:szCs w:val="24"/>
          </w:rPr>
          <w:t>Pub. L. 112-141</w:t>
        </w:r>
      </w:hyperlink>
      <w:r w:rsidRPr="009104EF">
        <w:rPr>
          <w:sz w:val="24"/>
          <w:szCs w:val="24"/>
        </w:rPr>
        <w:t>, July 6, 2012), Congress directed FTA to establish a comprehensive public transportation safety program, one element of which is the State Safety</w:t>
      </w:r>
      <w:r w:rsidRPr="009104EF">
        <w:rPr>
          <w:sz w:val="24"/>
          <w:szCs w:val="24"/>
        </w:rPr>
        <w:t xml:space="preserve"> Oversight (SSO) Program. </w:t>
      </w:r>
      <w:r w:rsidRPr="0AD5A7FE">
        <w:rPr>
          <w:sz w:val="24"/>
          <w:szCs w:val="24"/>
        </w:rPr>
        <w:t>(See </w:t>
      </w:r>
      <w:hyperlink r:id="rId10">
        <w:r w:rsidRPr="0AD5A7FE">
          <w:rPr>
            <w:rStyle w:val="Hyperlink"/>
            <w:sz w:val="24"/>
            <w:szCs w:val="24"/>
          </w:rPr>
          <w:t>49 U.S.C. 5329</w:t>
        </w:r>
      </w:hyperlink>
      <w:r w:rsidRPr="0AD5A7FE">
        <w:rPr>
          <w:sz w:val="24"/>
          <w:szCs w:val="24"/>
        </w:rPr>
        <w:t xml:space="preserve">). </w:t>
      </w:r>
      <w:hyperlink r:id="rId11">
        <w:r w:rsidRPr="0AD5A7FE">
          <w:rPr>
            <w:rStyle w:val="Hyperlink"/>
            <w:sz w:val="24"/>
            <w:szCs w:val="24"/>
          </w:rPr>
          <w:t>Section 30012</w:t>
        </w:r>
      </w:hyperlink>
      <w:r w:rsidRPr="009104EF">
        <w:rPr>
          <w:sz w:val="24"/>
          <w:szCs w:val="24"/>
        </w:rPr>
        <w:t xml:space="preserve"> of the Bipartisan Infrastructure Law, enacted </w:t>
      </w:r>
      <w:r w:rsidRPr="009104EF">
        <w:rPr>
          <w:sz w:val="24"/>
          <w:szCs w:val="24"/>
        </w:rPr>
        <w:t>as the Infrastructure Investment and Jobs Act (IIJA), established new requirements for FTA’s Public Transportation Safety Program. This NPRM proposes to make the following changes to strengthen the existing SSO program:</w:t>
      </w:r>
    </w:p>
    <w:p w:rsidR="009104EF" w:rsidRPr="009104EF" w:rsidP="009104EF" w14:paraId="0798278E" w14:textId="77777777">
      <w:pPr>
        <w:numPr>
          <w:ilvl w:val="0"/>
          <w:numId w:val="13"/>
        </w:numPr>
        <w:jc w:val="both"/>
        <w:rPr>
          <w:sz w:val="24"/>
          <w:szCs w:val="24"/>
        </w:rPr>
      </w:pPr>
      <w:r w:rsidRPr="009104EF">
        <w:rPr>
          <w:sz w:val="24"/>
          <w:szCs w:val="24"/>
        </w:rPr>
        <w:t>Updating terminology to reflect curr</w:t>
      </w:r>
      <w:r w:rsidRPr="009104EF">
        <w:rPr>
          <w:sz w:val="24"/>
          <w:szCs w:val="24"/>
        </w:rPr>
        <w:t>ent use across programs.</w:t>
      </w:r>
    </w:p>
    <w:p w:rsidR="009104EF" w:rsidRPr="009104EF" w:rsidP="009104EF" w14:paraId="73322516" w14:textId="77777777">
      <w:pPr>
        <w:numPr>
          <w:ilvl w:val="0"/>
          <w:numId w:val="13"/>
        </w:numPr>
        <w:jc w:val="both"/>
        <w:rPr>
          <w:sz w:val="24"/>
          <w:szCs w:val="24"/>
        </w:rPr>
      </w:pPr>
      <w:r w:rsidRPr="009104EF">
        <w:rPr>
          <w:sz w:val="24"/>
          <w:szCs w:val="24"/>
        </w:rPr>
        <w:t>Clarifying existing requirements consistent with FTA expectations.</w:t>
      </w:r>
    </w:p>
    <w:p w:rsidR="009104EF" w:rsidRPr="009104EF" w:rsidP="009104EF" w14:paraId="65C5A72A" w14:textId="77777777">
      <w:pPr>
        <w:numPr>
          <w:ilvl w:val="0"/>
          <w:numId w:val="13"/>
        </w:numPr>
        <w:jc w:val="both"/>
        <w:rPr>
          <w:sz w:val="24"/>
          <w:szCs w:val="24"/>
        </w:rPr>
      </w:pPr>
      <w:r w:rsidRPr="009104EF">
        <w:rPr>
          <w:sz w:val="24"/>
          <w:szCs w:val="24"/>
        </w:rPr>
        <w:t>Removing language relating to the period of transition from 49 CFR part 659, the previous SSO regulation, to 49 CFR part 674, the current SSO regulation.</w:t>
      </w:r>
    </w:p>
    <w:p w:rsidR="009104EF" w:rsidRPr="009104EF" w:rsidP="009104EF" w14:paraId="6AAADEEE" w14:textId="77777777">
      <w:pPr>
        <w:numPr>
          <w:ilvl w:val="0"/>
          <w:numId w:val="13"/>
        </w:numPr>
        <w:jc w:val="both"/>
        <w:rPr>
          <w:sz w:val="24"/>
          <w:szCs w:val="24"/>
        </w:rPr>
      </w:pPr>
      <w:r w:rsidRPr="009104EF">
        <w:rPr>
          <w:sz w:val="24"/>
          <w:szCs w:val="24"/>
        </w:rPr>
        <w:t>Addressing</w:t>
      </w:r>
      <w:r w:rsidRPr="009104EF">
        <w:rPr>
          <w:sz w:val="24"/>
          <w:szCs w:val="24"/>
        </w:rPr>
        <w:t xml:space="preserve"> Bipartisan Infrastructure Law requirements.</w:t>
      </w:r>
    </w:p>
    <w:p w:rsidR="00461B70" w:rsidP="00461B70" w14:paraId="66FC1E5E" w14:textId="7125D828">
      <w:pPr>
        <w:jc w:val="both"/>
        <w:rPr>
          <w:sz w:val="24"/>
          <w:szCs w:val="24"/>
        </w:rPr>
      </w:pPr>
    </w:p>
    <w:p w:rsidR="00461B70" w:rsidRPr="008A4301" w:rsidP="00BB4D7F" w14:paraId="53E278D5" w14:textId="5D693A28">
      <w:pPr>
        <w:ind w:firstLine="360"/>
        <w:jc w:val="both"/>
        <w:rPr>
          <w:sz w:val="24"/>
          <w:szCs w:val="24"/>
        </w:rPr>
      </w:pPr>
      <w:r w:rsidRPr="00461B70">
        <w:rPr>
          <w:sz w:val="24"/>
          <w:szCs w:val="24"/>
        </w:rPr>
        <w:t>The purpose of the State Safety Oversight program is to oversee safety at rail transit systems. The SSO program is administered by eligible states with rail transit systems in their jurisdiction. FTA provides f</w:t>
      </w:r>
      <w:r w:rsidRPr="00461B70">
        <w:rPr>
          <w:sz w:val="24"/>
          <w:szCs w:val="24"/>
        </w:rPr>
        <w:t>ederal funds through the SSO Formula Grant Program for eligible states to develop or carry out their SSO programs.</w:t>
      </w:r>
    </w:p>
    <w:p w:rsidR="00E75ACE" w:rsidRPr="008A4301" w:rsidP="00C00973" w14:paraId="220FE212" w14:textId="77777777">
      <w:pPr>
        <w:jc w:val="both"/>
        <w:rPr>
          <w:b/>
          <w:sz w:val="24"/>
          <w:szCs w:val="24"/>
        </w:rPr>
      </w:pPr>
    </w:p>
    <w:p w:rsidR="004122C7" w:rsidRPr="008A4301" w:rsidP="00C00973" w14:paraId="566097D7" w14:textId="77777777">
      <w:pPr>
        <w:jc w:val="both"/>
        <w:rPr>
          <w:b/>
          <w:sz w:val="24"/>
          <w:szCs w:val="24"/>
        </w:rPr>
      </w:pPr>
      <w:r w:rsidRPr="008A4301">
        <w:rPr>
          <w:b/>
          <w:sz w:val="24"/>
          <w:szCs w:val="24"/>
        </w:rPr>
        <w:t xml:space="preserve">2. How, by whom, and for what purpose </w:t>
      </w:r>
      <w:r w:rsidRPr="008A4301" w:rsidR="00205E4F">
        <w:rPr>
          <w:b/>
          <w:sz w:val="24"/>
          <w:szCs w:val="24"/>
        </w:rPr>
        <w:t xml:space="preserve">is </w:t>
      </w:r>
      <w:r w:rsidRPr="008A4301">
        <w:rPr>
          <w:b/>
          <w:sz w:val="24"/>
          <w:szCs w:val="24"/>
        </w:rPr>
        <w:t xml:space="preserve">the information to be used and the consequences if the information is not collected?  </w:t>
      </w:r>
    </w:p>
    <w:p w:rsidR="004122C7" w:rsidRPr="008A4301" w:rsidP="00C00973" w14:paraId="52AE0200" w14:textId="77777777">
      <w:pPr>
        <w:jc w:val="both"/>
        <w:rPr>
          <w:b/>
          <w:sz w:val="24"/>
          <w:szCs w:val="24"/>
        </w:rPr>
      </w:pPr>
    </w:p>
    <w:p w:rsidR="00E6321D" w:rsidRPr="008A4301" w:rsidP="00C00973" w14:paraId="788F8D3E" w14:textId="74ACC753">
      <w:pPr>
        <w:ind w:firstLine="360"/>
        <w:contextualSpacing/>
        <w:jc w:val="both"/>
        <w:rPr>
          <w:sz w:val="24"/>
          <w:szCs w:val="24"/>
        </w:rPr>
      </w:pPr>
      <w:r w:rsidRPr="008A4301">
        <w:rPr>
          <w:sz w:val="24"/>
          <w:szCs w:val="24"/>
        </w:rPr>
        <w:t xml:space="preserve">Collection of information for this program is necessary to ensure that </w:t>
      </w:r>
      <w:r w:rsidRPr="008A4301" w:rsidR="00FC2F16">
        <w:rPr>
          <w:sz w:val="24"/>
          <w:szCs w:val="24"/>
        </w:rPr>
        <w:t xml:space="preserve">SSOAs </w:t>
      </w:r>
      <w:r w:rsidRPr="008A4301" w:rsidR="00F84097">
        <w:rPr>
          <w:sz w:val="24"/>
          <w:szCs w:val="24"/>
        </w:rPr>
        <w:t xml:space="preserve">are </w:t>
      </w:r>
      <w:r w:rsidRPr="008A4301">
        <w:rPr>
          <w:sz w:val="24"/>
          <w:szCs w:val="24"/>
        </w:rPr>
        <w:t>perform</w:t>
      </w:r>
      <w:r w:rsidRPr="008A4301" w:rsidR="00F84097">
        <w:rPr>
          <w:sz w:val="24"/>
          <w:szCs w:val="24"/>
        </w:rPr>
        <w:t>ing</w:t>
      </w:r>
      <w:r w:rsidRPr="008A4301">
        <w:rPr>
          <w:sz w:val="24"/>
          <w:szCs w:val="24"/>
        </w:rPr>
        <w:t xml:space="preserve"> their designated safety</w:t>
      </w:r>
      <w:r w:rsidRPr="008A4301" w:rsidR="009A1DD1">
        <w:rPr>
          <w:sz w:val="24"/>
          <w:szCs w:val="24"/>
        </w:rPr>
        <w:t xml:space="preserve"> function</w:t>
      </w:r>
      <w:r w:rsidRPr="008A4301" w:rsidR="007E675F">
        <w:rPr>
          <w:sz w:val="24"/>
          <w:szCs w:val="24"/>
        </w:rPr>
        <w:t xml:space="preserve"> to ensure compliance with the law</w:t>
      </w:r>
      <w:r w:rsidRPr="008A4301">
        <w:rPr>
          <w:sz w:val="24"/>
          <w:szCs w:val="24"/>
        </w:rPr>
        <w:t>.</w:t>
      </w:r>
      <w:r w:rsidRPr="008A4301" w:rsidR="00640BB8">
        <w:rPr>
          <w:sz w:val="24"/>
          <w:szCs w:val="24"/>
        </w:rPr>
        <w:t xml:space="preserve"> </w:t>
      </w:r>
      <w:r w:rsidRPr="008A4301">
        <w:rPr>
          <w:sz w:val="24"/>
          <w:szCs w:val="24"/>
        </w:rPr>
        <w:t>FTA must</w:t>
      </w:r>
      <w:r w:rsidRPr="008A4301">
        <w:rPr>
          <w:sz w:val="24"/>
          <w:szCs w:val="24"/>
        </w:rPr>
        <w:t xml:space="preserve"> review and approve </w:t>
      </w:r>
      <w:r w:rsidRPr="008A4301" w:rsidR="00FC2F16">
        <w:rPr>
          <w:sz w:val="24"/>
          <w:szCs w:val="24"/>
        </w:rPr>
        <w:t>SSOA</w:t>
      </w:r>
      <w:r w:rsidRPr="008A4301">
        <w:rPr>
          <w:sz w:val="24"/>
          <w:szCs w:val="24"/>
        </w:rPr>
        <w:t xml:space="preserve"> incorporation of these requirements into their respective programs to verify compliance. FTA requests information from SSOAs through the SSO Audit program, an annual </w:t>
      </w:r>
      <w:r w:rsidRPr="008A4301" w:rsidR="005B3A9D">
        <w:rPr>
          <w:sz w:val="24"/>
          <w:szCs w:val="24"/>
        </w:rPr>
        <w:t>report,</w:t>
      </w:r>
      <w:r w:rsidRPr="008A4301">
        <w:rPr>
          <w:sz w:val="24"/>
          <w:szCs w:val="24"/>
        </w:rPr>
        <w:t xml:space="preserve"> and an annual certification from each </w:t>
      </w:r>
      <w:r w:rsidRPr="008A4301" w:rsidR="00122412">
        <w:rPr>
          <w:sz w:val="24"/>
          <w:szCs w:val="24"/>
        </w:rPr>
        <w:t>S</w:t>
      </w:r>
      <w:r w:rsidRPr="008A4301" w:rsidR="009A1DD1">
        <w:rPr>
          <w:sz w:val="24"/>
          <w:szCs w:val="24"/>
        </w:rPr>
        <w:t>tate</w:t>
      </w:r>
      <w:r w:rsidRPr="008A4301">
        <w:rPr>
          <w:sz w:val="24"/>
          <w:szCs w:val="24"/>
        </w:rPr>
        <w:t xml:space="preserve"> to verify its</w:t>
      </w:r>
      <w:r w:rsidRPr="008A4301">
        <w:rPr>
          <w:sz w:val="24"/>
          <w:szCs w:val="24"/>
        </w:rPr>
        <w:t xml:space="preserve"> compliance with the regulation, periodic data requests to respond to emerging safety issues, and regular SSOA grants management reporting. FTA </w:t>
      </w:r>
      <w:r w:rsidRPr="008A4301" w:rsidR="009A1DD1">
        <w:rPr>
          <w:sz w:val="24"/>
          <w:szCs w:val="24"/>
        </w:rPr>
        <w:t xml:space="preserve">may </w:t>
      </w:r>
      <w:r w:rsidRPr="008A4301">
        <w:rPr>
          <w:sz w:val="24"/>
          <w:szCs w:val="24"/>
        </w:rPr>
        <w:t xml:space="preserve">use this information in exercising its authority to withhold </w:t>
      </w:r>
      <w:r w:rsidRPr="008A4301" w:rsidR="00FC2F16">
        <w:rPr>
          <w:sz w:val="24"/>
          <w:szCs w:val="24"/>
        </w:rPr>
        <w:t>F</w:t>
      </w:r>
      <w:r w:rsidRPr="008A4301">
        <w:rPr>
          <w:sz w:val="24"/>
          <w:szCs w:val="24"/>
        </w:rPr>
        <w:t xml:space="preserve">ederal funding to a </w:t>
      </w:r>
      <w:r w:rsidRPr="008A4301" w:rsidR="003D3C71">
        <w:rPr>
          <w:sz w:val="24"/>
          <w:szCs w:val="24"/>
        </w:rPr>
        <w:t>S</w:t>
      </w:r>
      <w:r w:rsidRPr="008A4301">
        <w:rPr>
          <w:sz w:val="24"/>
          <w:szCs w:val="24"/>
        </w:rPr>
        <w:t>tate or an urbanized area</w:t>
      </w:r>
      <w:r w:rsidRPr="008A4301">
        <w:rPr>
          <w:sz w:val="24"/>
          <w:szCs w:val="24"/>
        </w:rPr>
        <w:t xml:space="preserve"> in the </w:t>
      </w:r>
      <w:r w:rsidRPr="008A4301" w:rsidR="003D3C71">
        <w:rPr>
          <w:sz w:val="24"/>
          <w:szCs w:val="24"/>
        </w:rPr>
        <w:t>S</w:t>
      </w:r>
      <w:r w:rsidRPr="008A4301">
        <w:rPr>
          <w:sz w:val="24"/>
          <w:szCs w:val="24"/>
        </w:rPr>
        <w:t>tate in the event compliance is not reached. RTAs are required to notify FTA of an accident within two hours of occurrence.</w:t>
      </w:r>
    </w:p>
    <w:p w:rsidR="00B72721" w:rsidRPr="008A4301" w:rsidP="00C00973" w14:paraId="362A7C29" w14:textId="77777777">
      <w:pPr>
        <w:pStyle w:val="BodyTextIndent"/>
        <w:ind w:firstLine="0"/>
        <w:jc w:val="both"/>
        <w:rPr>
          <w:sz w:val="24"/>
          <w:szCs w:val="24"/>
        </w:rPr>
      </w:pPr>
    </w:p>
    <w:p w:rsidR="008C7EB2" w:rsidRPr="008A4301" w:rsidP="00C00973" w14:paraId="16E9F575" w14:textId="77777777">
      <w:pPr>
        <w:pStyle w:val="BodyTextIndent"/>
        <w:jc w:val="both"/>
        <w:rPr>
          <w:sz w:val="24"/>
          <w:szCs w:val="24"/>
        </w:rPr>
      </w:pPr>
      <w:r w:rsidRPr="008A4301">
        <w:rPr>
          <w:sz w:val="24"/>
          <w:szCs w:val="24"/>
        </w:rPr>
        <w:t xml:space="preserve">The grant application and project management reports are submitted to the FTA Program Office to determine the applicant's </w:t>
      </w:r>
      <w:r w:rsidRPr="008A4301">
        <w:rPr>
          <w:sz w:val="24"/>
          <w:szCs w:val="24"/>
        </w:rPr>
        <w:t xml:space="preserve">eligibility for funding and, subsequently, the recipient’s progress in implementing and completing program activities. </w:t>
      </w:r>
      <w:r w:rsidRPr="008A4301" w:rsidR="00870258">
        <w:rPr>
          <w:sz w:val="24"/>
          <w:szCs w:val="24"/>
        </w:rPr>
        <w:t xml:space="preserve">States make quarterly submissions to FTA's electronic grant making and management system (TrAMS). </w:t>
      </w:r>
      <w:r w:rsidRPr="008A4301">
        <w:rPr>
          <w:sz w:val="24"/>
          <w:szCs w:val="24"/>
        </w:rPr>
        <w:t xml:space="preserve">The reports </w:t>
      </w:r>
      <w:r w:rsidRPr="008A4301" w:rsidR="00432C35">
        <w:rPr>
          <w:sz w:val="24"/>
          <w:szCs w:val="24"/>
        </w:rPr>
        <w:t xml:space="preserve">ensure </w:t>
      </w:r>
      <w:r w:rsidRPr="008A4301">
        <w:rPr>
          <w:sz w:val="24"/>
          <w:szCs w:val="24"/>
        </w:rPr>
        <w:t>FTA of a level of management of risks and ensure an appropriate allocation of program funds to eligible state safety oversight program activities. Also, the information submitted ensures FTA's compliance with applicable Federal laws and the Common Grant Ru</w:t>
      </w:r>
      <w:r w:rsidRPr="008A4301">
        <w:rPr>
          <w:sz w:val="24"/>
          <w:szCs w:val="24"/>
        </w:rPr>
        <w:t>le. In addition, without these reports, significant resources and manpower would be necessary to conduct on-site inspections.</w:t>
      </w:r>
    </w:p>
    <w:p w:rsidR="00E75ACE" w:rsidRPr="008A4301" w:rsidP="00C00973" w14:paraId="287A44B3" w14:textId="77777777">
      <w:pPr>
        <w:pStyle w:val="BodyTextIndent"/>
        <w:jc w:val="both"/>
        <w:rPr>
          <w:sz w:val="24"/>
          <w:szCs w:val="24"/>
        </w:rPr>
      </w:pPr>
    </w:p>
    <w:p w:rsidR="00E75ACE" w:rsidRPr="008A4301" w:rsidP="00C00973" w14:paraId="75AA4D88" w14:textId="77777777">
      <w:pPr>
        <w:jc w:val="both"/>
        <w:rPr>
          <w:b/>
          <w:sz w:val="24"/>
          <w:szCs w:val="24"/>
        </w:rPr>
      </w:pPr>
      <w:r w:rsidRPr="008A4301">
        <w:rPr>
          <w:b/>
          <w:sz w:val="24"/>
          <w:szCs w:val="24"/>
        </w:rPr>
        <w:t>3.  Describe whether collection of information involves information technology and any consideration of using information technol</w:t>
      </w:r>
      <w:r w:rsidRPr="008A4301">
        <w:rPr>
          <w:b/>
          <w:sz w:val="24"/>
          <w:szCs w:val="24"/>
        </w:rPr>
        <w:t>ogy to reduce the burden.</w:t>
      </w:r>
    </w:p>
    <w:p w:rsidR="00E75ACE" w:rsidRPr="008A4301" w:rsidP="00C00973" w14:paraId="216D57B0" w14:textId="77777777">
      <w:pPr>
        <w:jc w:val="both"/>
        <w:rPr>
          <w:b/>
          <w:sz w:val="24"/>
          <w:szCs w:val="24"/>
        </w:rPr>
      </w:pPr>
    </w:p>
    <w:p w:rsidR="00E75ACE" w:rsidP="0086434A" w14:paraId="252409DC" w14:textId="69F98E8E">
      <w:pPr>
        <w:ind w:firstLine="360"/>
        <w:jc w:val="both"/>
        <w:rPr>
          <w:sz w:val="24"/>
          <w:szCs w:val="24"/>
        </w:rPr>
      </w:pPr>
      <w:r w:rsidRPr="008A4301">
        <w:rPr>
          <w:sz w:val="24"/>
          <w:szCs w:val="24"/>
        </w:rPr>
        <w:t xml:space="preserve">FTA collects information annually from the </w:t>
      </w:r>
      <w:r w:rsidRPr="008A4301" w:rsidR="00B72721">
        <w:rPr>
          <w:sz w:val="24"/>
          <w:szCs w:val="24"/>
        </w:rPr>
        <w:t>S</w:t>
      </w:r>
      <w:r w:rsidRPr="008A4301">
        <w:rPr>
          <w:sz w:val="24"/>
          <w:szCs w:val="24"/>
        </w:rPr>
        <w:t xml:space="preserve">tates </w:t>
      </w:r>
      <w:r w:rsidRPr="008A4301" w:rsidR="00B50DF9">
        <w:rPr>
          <w:sz w:val="24"/>
          <w:szCs w:val="24"/>
        </w:rPr>
        <w:t>and</w:t>
      </w:r>
      <w:r w:rsidRPr="008A4301">
        <w:rPr>
          <w:sz w:val="24"/>
          <w:szCs w:val="24"/>
        </w:rPr>
        <w:t xml:space="preserve"> requests materials and documentation to support the performance of audits and reviews at the </w:t>
      </w:r>
      <w:r w:rsidRPr="008A4301" w:rsidR="008C7EB2">
        <w:rPr>
          <w:sz w:val="24"/>
          <w:szCs w:val="24"/>
        </w:rPr>
        <w:t>S</w:t>
      </w:r>
      <w:r w:rsidRPr="008A4301">
        <w:rPr>
          <w:sz w:val="24"/>
          <w:szCs w:val="24"/>
        </w:rPr>
        <w:t xml:space="preserve">tates. </w:t>
      </w:r>
      <w:r w:rsidRPr="008A4301" w:rsidR="00836AA0">
        <w:rPr>
          <w:sz w:val="24"/>
          <w:szCs w:val="24"/>
        </w:rPr>
        <w:t xml:space="preserve">FTA </w:t>
      </w:r>
      <w:r w:rsidR="0086434A">
        <w:rPr>
          <w:sz w:val="24"/>
          <w:szCs w:val="24"/>
        </w:rPr>
        <w:t>utilizes</w:t>
      </w:r>
      <w:r w:rsidR="00A70168">
        <w:rPr>
          <w:sz w:val="24"/>
          <w:szCs w:val="24"/>
        </w:rPr>
        <w:t xml:space="preserve"> a</w:t>
      </w:r>
      <w:r w:rsidRPr="008A4301" w:rsidR="00836AA0">
        <w:rPr>
          <w:sz w:val="24"/>
          <w:szCs w:val="24"/>
        </w:rPr>
        <w:t xml:space="preserve"> web-based data collection portal</w:t>
      </w:r>
      <w:r w:rsidRPr="008A4301" w:rsidR="00E62ADA">
        <w:rPr>
          <w:sz w:val="24"/>
          <w:szCs w:val="24"/>
        </w:rPr>
        <w:t>, State Safety Oversight Reporting tool (SSOR)</w:t>
      </w:r>
      <w:r w:rsidRPr="008A4301" w:rsidR="00870258">
        <w:rPr>
          <w:sz w:val="24"/>
          <w:szCs w:val="24"/>
        </w:rPr>
        <w:t xml:space="preserve"> </w:t>
      </w:r>
      <w:r w:rsidRPr="008A4301" w:rsidR="00836AA0">
        <w:rPr>
          <w:sz w:val="24"/>
          <w:szCs w:val="24"/>
        </w:rPr>
        <w:t>to facilitate the annual submission process</w:t>
      </w:r>
      <w:r w:rsidR="00DC4E88">
        <w:rPr>
          <w:sz w:val="24"/>
          <w:szCs w:val="24"/>
        </w:rPr>
        <w:t xml:space="preserve">. </w:t>
      </w:r>
      <w:r w:rsidRPr="008A4301" w:rsidR="00836AA0">
        <w:rPr>
          <w:sz w:val="24"/>
          <w:szCs w:val="24"/>
        </w:rPr>
        <w:t xml:space="preserve"> </w:t>
      </w:r>
      <w:r w:rsidR="0086434A">
        <w:rPr>
          <w:sz w:val="24"/>
          <w:szCs w:val="24"/>
        </w:rPr>
        <w:t xml:space="preserve">Implemented in 2019, the system </w:t>
      </w:r>
      <w:r w:rsidRPr="008A4301" w:rsidR="00836AA0">
        <w:rPr>
          <w:sz w:val="24"/>
          <w:szCs w:val="24"/>
        </w:rPr>
        <w:t>reduce</w:t>
      </w:r>
      <w:r w:rsidR="00B50DF9">
        <w:rPr>
          <w:sz w:val="24"/>
          <w:szCs w:val="24"/>
        </w:rPr>
        <w:t>d</w:t>
      </w:r>
      <w:r w:rsidRPr="008A4301" w:rsidR="00836AA0">
        <w:rPr>
          <w:sz w:val="24"/>
          <w:szCs w:val="24"/>
        </w:rPr>
        <w:t xml:space="preserve"> the SSOAs’ reporting burden, provide enhanced data transparency to the SSOAs, and </w:t>
      </w:r>
      <w:r w:rsidR="0086434A">
        <w:rPr>
          <w:sz w:val="24"/>
          <w:szCs w:val="24"/>
        </w:rPr>
        <w:t xml:space="preserve">has </w:t>
      </w:r>
      <w:r w:rsidRPr="008A4301" w:rsidR="00836AA0">
        <w:rPr>
          <w:sz w:val="24"/>
          <w:szCs w:val="24"/>
        </w:rPr>
        <w:t>improve</w:t>
      </w:r>
      <w:r w:rsidR="0086434A">
        <w:rPr>
          <w:sz w:val="24"/>
          <w:szCs w:val="24"/>
        </w:rPr>
        <w:t>d</w:t>
      </w:r>
      <w:r w:rsidRPr="008A4301" w:rsidR="00836AA0">
        <w:rPr>
          <w:sz w:val="24"/>
          <w:szCs w:val="24"/>
        </w:rPr>
        <w:t xml:space="preserve"> the quality of FTA’s safety data and its data management practices.</w:t>
      </w:r>
      <w:r w:rsidR="0086434A">
        <w:rPr>
          <w:sz w:val="24"/>
          <w:szCs w:val="24"/>
        </w:rPr>
        <w:t xml:space="preserve">  </w:t>
      </w:r>
      <w:r w:rsidRPr="008A4301" w:rsidR="00836AA0">
        <w:rPr>
          <w:sz w:val="24"/>
          <w:szCs w:val="24"/>
        </w:rPr>
        <w:t xml:space="preserve">The system </w:t>
      </w:r>
      <w:r w:rsidRPr="008A4301" w:rsidR="00432C35">
        <w:rPr>
          <w:sz w:val="24"/>
          <w:szCs w:val="24"/>
        </w:rPr>
        <w:t>provide</w:t>
      </w:r>
      <w:r w:rsidR="0086434A">
        <w:rPr>
          <w:sz w:val="24"/>
          <w:szCs w:val="24"/>
        </w:rPr>
        <w:t>s</w:t>
      </w:r>
      <w:r w:rsidRPr="008A4301" w:rsidR="00432C35">
        <w:rPr>
          <w:sz w:val="24"/>
          <w:szCs w:val="24"/>
        </w:rPr>
        <w:t xml:space="preserve"> </w:t>
      </w:r>
      <w:r w:rsidRPr="008A4301" w:rsidR="00836AA0">
        <w:rPr>
          <w:sz w:val="24"/>
          <w:szCs w:val="24"/>
        </w:rPr>
        <w:t>S</w:t>
      </w:r>
      <w:r w:rsidRPr="008A4301" w:rsidR="00720EB0">
        <w:rPr>
          <w:sz w:val="24"/>
          <w:szCs w:val="24"/>
        </w:rPr>
        <w:t>SOA</w:t>
      </w:r>
      <w:r w:rsidRPr="008A4301" w:rsidR="00836AA0">
        <w:rPr>
          <w:sz w:val="24"/>
          <w:szCs w:val="24"/>
        </w:rPr>
        <w:t xml:space="preserve">s with event data reported by RTAs to the National Transit Database (NTD).  </w:t>
      </w:r>
    </w:p>
    <w:p w:rsidR="00E75ACE" w:rsidP="00BB4D7F" w14:paraId="729AFBDC" w14:textId="0A3858AD">
      <w:pPr>
        <w:spacing w:before="100" w:beforeAutospacing="1" w:after="100" w:afterAutospacing="1"/>
        <w:ind w:firstLine="360"/>
        <w:jc w:val="both"/>
        <w:rPr>
          <w:sz w:val="24"/>
          <w:szCs w:val="24"/>
        </w:rPr>
      </w:pPr>
      <w:r w:rsidRPr="342C6639">
        <w:rPr>
          <w:sz w:val="24"/>
          <w:szCs w:val="24"/>
        </w:rPr>
        <w:t>FTA makes ongoing enhancements to the SSOR to improve user functionality and to reduce respondent bur</w:t>
      </w:r>
      <w:r w:rsidRPr="342C6639" w:rsidR="009104EF">
        <w:rPr>
          <w:sz w:val="24"/>
          <w:szCs w:val="24"/>
        </w:rPr>
        <w:t>d</w:t>
      </w:r>
      <w:r w:rsidRPr="342C6639">
        <w:rPr>
          <w:sz w:val="24"/>
          <w:szCs w:val="24"/>
        </w:rPr>
        <w:t>en.</w:t>
      </w:r>
      <w:r w:rsidRPr="342C6639" w:rsidR="10BD1B63">
        <w:rPr>
          <w:sz w:val="24"/>
          <w:szCs w:val="24"/>
        </w:rPr>
        <w:t xml:space="preserve"> </w:t>
      </w:r>
      <w:r w:rsidRPr="342C6639" w:rsidR="0086434A">
        <w:rPr>
          <w:sz w:val="24"/>
          <w:szCs w:val="24"/>
        </w:rPr>
        <w:t>F</w:t>
      </w:r>
      <w:r w:rsidRPr="342C6639">
        <w:rPr>
          <w:sz w:val="24"/>
          <w:szCs w:val="24"/>
        </w:rPr>
        <w:t xml:space="preserve">TA's electronic grant management system </w:t>
      </w:r>
      <w:r w:rsidRPr="342C6639" w:rsidR="002F7010">
        <w:rPr>
          <w:sz w:val="24"/>
          <w:szCs w:val="24"/>
        </w:rPr>
        <w:t xml:space="preserve">(TrAMS) </w:t>
      </w:r>
      <w:r w:rsidRPr="342C6639">
        <w:rPr>
          <w:sz w:val="24"/>
          <w:szCs w:val="24"/>
        </w:rPr>
        <w:t>is a paperless, electron</w:t>
      </w:r>
      <w:r w:rsidRPr="342C6639">
        <w:rPr>
          <w:sz w:val="24"/>
          <w:szCs w:val="24"/>
        </w:rPr>
        <w:t xml:space="preserve">ic grant application, review, approval, </w:t>
      </w:r>
      <w:r w:rsidRPr="342C6639" w:rsidR="005B3A9D">
        <w:rPr>
          <w:sz w:val="24"/>
          <w:szCs w:val="24"/>
        </w:rPr>
        <w:t>acceptance,</w:t>
      </w:r>
      <w:r w:rsidRPr="342C6639">
        <w:rPr>
          <w:sz w:val="24"/>
          <w:szCs w:val="24"/>
        </w:rPr>
        <w:t xml:space="preserve"> and management process. </w:t>
      </w:r>
      <w:r w:rsidRPr="342C6639" w:rsidR="00A70168">
        <w:rPr>
          <w:sz w:val="24"/>
          <w:szCs w:val="24"/>
        </w:rPr>
        <w:t xml:space="preserve"> A</w:t>
      </w:r>
      <w:r w:rsidRPr="342C6639">
        <w:rPr>
          <w:sz w:val="24"/>
          <w:szCs w:val="24"/>
        </w:rPr>
        <w:t xml:space="preserve">pplications received under this program will be submitted </w:t>
      </w:r>
      <w:r w:rsidRPr="342C6639" w:rsidR="00A70168">
        <w:rPr>
          <w:sz w:val="24"/>
          <w:szCs w:val="24"/>
        </w:rPr>
        <w:t xml:space="preserve">100% </w:t>
      </w:r>
      <w:r w:rsidRPr="342C6639">
        <w:rPr>
          <w:sz w:val="24"/>
          <w:szCs w:val="24"/>
        </w:rPr>
        <w:t xml:space="preserve">electronically. FTA also anticipates that approximately 100 percent of the periodic reports that </w:t>
      </w:r>
      <w:r w:rsidRPr="342C6639" w:rsidR="00A36E84">
        <w:rPr>
          <w:sz w:val="24"/>
          <w:szCs w:val="24"/>
        </w:rPr>
        <w:t>SSOAs</w:t>
      </w:r>
      <w:r w:rsidRPr="342C6639" w:rsidR="007E675F">
        <w:rPr>
          <w:sz w:val="24"/>
          <w:szCs w:val="24"/>
        </w:rPr>
        <w:t xml:space="preserve"> </w:t>
      </w:r>
      <w:r w:rsidRPr="342C6639">
        <w:rPr>
          <w:sz w:val="24"/>
          <w:szCs w:val="24"/>
        </w:rPr>
        <w:t>are required</w:t>
      </w:r>
      <w:r w:rsidRPr="342C6639">
        <w:rPr>
          <w:sz w:val="24"/>
          <w:szCs w:val="24"/>
        </w:rPr>
        <w:t xml:space="preserve"> to submit will be submitted electronically.  </w:t>
      </w:r>
      <w:r w:rsidRPr="342C6639" w:rsidR="00A36E84">
        <w:rPr>
          <w:sz w:val="24"/>
          <w:szCs w:val="24"/>
        </w:rPr>
        <w:t xml:space="preserve">SSOAs </w:t>
      </w:r>
      <w:r w:rsidRPr="342C6639">
        <w:rPr>
          <w:sz w:val="24"/>
          <w:szCs w:val="24"/>
        </w:rPr>
        <w:t>are also strongly encouraged to use the electronic system for signature of annual certifications and assurances.</w:t>
      </w:r>
    </w:p>
    <w:p w:rsidR="00E75ACE" w:rsidRPr="008A4301" w:rsidP="00C00973" w14:paraId="3EBD16F1" w14:textId="77777777">
      <w:pPr>
        <w:jc w:val="both"/>
        <w:rPr>
          <w:b/>
          <w:sz w:val="24"/>
          <w:szCs w:val="24"/>
        </w:rPr>
      </w:pPr>
      <w:r w:rsidRPr="008A4301">
        <w:rPr>
          <w:b/>
          <w:sz w:val="24"/>
          <w:szCs w:val="24"/>
        </w:rPr>
        <w:t>4.  Describe efforts to identify duplication.  Show specifically why any similar informatio</w:t>
      </w:r>
      <w:r w:rsidRPr="008A4301">
        <w:rPr>
          <w:b/>
          <w:sz w:val="24"/>
          <w:szCs w:val="24"/>
        </w:rPr>
        <w:t xml:space="preserve">n already available cannot be used or modified for use for the purposes described </w:t>
      </w:r>
      <w:r w:rsidRPr="008A4301" w:rsidR="008F3D99">
        <w:rPr>
          <w:b/>
          <w:sz w:val="24"/>
          <w:szCs w:val="24"/>
        </w:rPr>
        <w:t xml:space="preserve">above </w:t>
      </w:r>
      <w:r w:rsidRPr="008A4301">
        <w:rPr>
          <w:b/>
          <w:sz w:val="24"/>
          <w:szCs w:val="24"/>
        </w:rPr>
        <w:t xml:space="preserve">in item </w:t>
      </w:r>
      <w:r w:rsidRPr="008A4301" w:rsidR="008F3D99">
        <w:rPr>
          <w:b/>
          <w:sz w:val="24"/>
          <w:szCs w:val="24"/>
        </w:rPr>
        <w:t>three.</w:t>
      </w:r>
    </w:p>
    <w:p w:rsidR="00E75ACE" w:rsidRPr="008A4301" w:rsidP="00C00973" w14:paraId="7725E44E" w14:textId="77777777">
      <w:pPr>
        <w:jc w:val="both"/>
        <w:rPr>
          <w:b/>
          <w:sz w:val="24"/>
          <w:szCs w:val="24"/>
        </w:rPr>
      </w:pPr>
    </w:p>
    <w:p w:rsidR="000A7C8B" w:rsidRPr="008A4301" w:rsidP="00C00973" w14:paraId="03B46C7E" w14:textId="77777777">
      <w:pPr>
        <w:pStyle w:val="BodyTextIndent2"/>
        <w:jc w:val="both"/>
        <w:rPr>
          <w:szCs w:val="24"/>
        </w:rPr>
      </w:pPr>
      <w:r w:rsidRPr="008A4301">
        <w:rPr>
          <w:szCs w:val="24"/>
        </w:rPr>
        <w:t>FTA reviewed its safety data collection and analysis activities and established a Safety Data Management Working Group to prioritize and execute initiat</w:t>
      </w:r>
      <w:r w:rsidRPr="008A4301">
        <w:rPr>
          <w:szCs w:val="24"/>
        </w:rPr>
        <w:t xml:space="preserve">ives to improve safety data management practices.  One area of duplication identified and prioritized by the group was </w:t>
      </w:r>
      <w:r w:rsidRPr="008A4301" w:rsidR="00720EB0">
        <w:rPr>
          <w:szCs w:val="24"/>
        </w:rPr>
        <w:t xml:space="preserve">RTA </w:t>
      </w:r>
      <w:r w:rsidRPr="008A4301">
        <w:rPr>
          <w:szCs w:val="24"/>
        </w:rPr>
        <w:t xml:space="preserve">event data captured through both the NTD and the SSO Program.  RTAs are required to report event data to the NTD.  Previously, SSOAs were </w:t>
      </w:r>
      <w:r w:rsidRPr="008A4301" w:rsidR="001E6DF1">
        <w:rPr>
          <w:szCs w:val="24"/>
        </w:rPr>
        <w:t xml:space="preserve">also </w:t>
      </w:r>
      <w:r w:rsidRPr="008A4301">
        <w:rPr>
          <w:szCs w:val="24"/>
        </w:rPr>
        <w:t xml:space="preserve">required to report these same events to FTA through the SSO Program annual reporting process.  </w:t>
      </w:r>
    </w:p>
    <w:p w:rsidR="000A7C8B" w:rsidRPr="008A4301" w:rsidP="00C00973" w14:paraId="3BB2BD78" w14:textId="77777777">
      <w:pPr>
        <w:pStyle w:val="BodyTextIndent2"/>
        <w:jc w:val="both"/>
        <w:rPr>
          <w:szCs w:val="24"/>
        </w:rPr>
      </w:pPr>
    </w:p>
    <w:p w:rsidR="00E75ACE" w:rsidRPr="008A4301" w:rsidP="00C00973" w14:paraId="531B7810" w14:textId="2BC04DB1">
      <w:pPr>
        <w:pStyle w:val="BodyTextIndent2"/>
        <w:jc w:val="both"/>
        <w:rPr>
          <w:szCs w:val="24"/>
        </w:rPr>
      </w:pPr>
      <w:r>
        <w:rPr>
          <w:szCs w:val="24"/>
        </w:rPr>
        <w:t>In recent years,</w:t>
      </w:r>
      <w:r>
        <w:rPr>
          <w:szCs w:val="24"/>
        </w:rPr>
        <w:t xml:space="preserve"> </w:t>
      </w:r>
      <w:r w:rsidRPr="008A4301" w:rsidR="000A7C8B">
        <w:rPr>
          <w:szCs w:val="24"/>
        </w:rPr>
        <w:t xml:space="preserve">FTA executed changes in NTD and SSO Program definitions and reporting thresholds to enable the NTD to serve as the system of record for all </w:t>
      </w:r>
      <w:r w:rsidRPr="008A4301" w:rsidR="00720EB0">
        <w:rPr>
          <w:szCs w:val="24"/>
        </w:rPr>
        <w:t xml:space="preserve">RTA events. </w:t>
      </w:r>
      <w:r w:rsidRPr="008A4301" w:rsidR="000A7C8B">
        <w:rPr>
          <w:szCs w:val="24"/>
        </w:rPr>
        <w:t xml:space="preserve">FTA’s web-based data collection system </w:t>
      </w:r>
      <w:r w:rsidRPr="008A4301" w:rsidR="00720EB0">
        <w:rPr>
          <w:szCs w:val="24"/>
        </w:rPr>
        <w:t>finalizes this transition by eliminating the requirement for SSOAs to report events to FTA.  Instead, the system provides the SSOAs with event data reported by the RTAs.  SSOAs, as the entity responsible for oversight investigations, will only add the final causal determination of the event through the web-based reporting system.</w:t>
      </w:r>
    </w:p>
    <w:p w:rsidR="00E75ACE" w:rsidRPr="008A4301" w:rsidP="00C00973" w14:paraId="5FD9E4FD" w14:textId="77777777">
      <w:pPr>
        <w:pStyle w:val="BodyTextIndent2"/>
        <w:jc w:val="both"/>
        <w:rPr>
          <w:szCs w:val="24"/>
        </w:rPr>
      </w:pPr>
    </w:p>
    <w:p w:rsidR="00E75ACE" w:rsidRPr="008A4301" w:rsidP="00C00973" w14:paraId="45329C52" w14:textId="77777777">
      <w:pPr>
        <w:jc w:val="both"/>
        <w:rPr>
          <w:b/>
          <w:sz w:val="24"/>
          <w:szCs w:val="24"/>
        </w:rPr>
      </w:pPr>
      <w:r w:rsidRPr="008A4301">
        <w:rPr>
          <w:b/>
          <w:sz w:val="24"/>
          <w:szCs w:val="24"/>
        </w:rPr>
        <w:t>5.</w:t>
      </w:r>
      <w:r w:rsidRPr="008A4301">
        <w:rPr>
          <w:sz w:val="24"/>
          <w:szCs w:val="24"/>
        </w:rPr>
        <w:t xml:space="preserve">  </w:t>
      </w:r>
      <w:r w:rsidRPr="008A4301">
        <w:rPr>
          <w:b/>
          <w:sz w:val="24"/>
          <w:szCs w:val="24"/>
        </w:rPr>
        <w:t>If the collection of information involves small businesses or other small entities, describe the methods used to minimize burden.</w:t>
      </w:r>
    </w:p>
    <w:p w:rsidR="00E75ACE" w:rsidRPr="008A4301" w:rsidP="00C00973" w14:paraId="41A3CA88" w14:textId="77777777">
      <w:pPr>
        <w:pStyle w:val="BodyTextIndent2"/>
        <w:jc w:val="both"/>
        <w:rPr>
          <w:szCs w:val="24"/>
        </w:rPr>
      </w:pPr>
    </w:p>
    <w:p w:rsidR="00E75ACE" w:rsidRPr="008A4301" w:rsidP="00C00973" w14:paraId="439DADF4" w14:textId="77777777">
      <w:pPr>
        <w:pStyle w:val="BodyTextIndent2"/>
        <w:jc w:val="both"/>
        <w:rPr>
          <w:szCs w:val="24"/>
        </w:rPr>
      </w:pPr>
      <w:r w:rsidRPr="008A4301">
        <w:rPr>
          <w:szCs w:val="24"/>
        </w:rPr>
        <w:t>Small businesses are not covered by FTA’s state safety oversight requirements.</w:t>
      </w:r>
    </w:p>
    <w:p w:rsidR="00E75ACE" w:rsidRPr="008A4301" w:rsidP="00C00973" w14:paraId="13274EB9" w14:textId="77777777">
      <w:pPr>
        <w:jc w:val="both"/>
        <w:rPr>
          <w:b/>
          <w:sz w:val="24"/>
          <w:szCs w:val="24"/>
        </w:rPr>
      </w:pPr>
    </w:p>
    <w:p w:rsidR="00E75ACE" w:rsidRPr="008A4301" w:rsidP="00C00973" w14:paraId="6603C3F4" w14:textId="77777777">
      <w:pPr>
        <w:jc w:val="both"/>
        <w:rPr>
          <w:b/>
          <w:sz w:val="24"/>
          <w:szCs w:val="24"/>
        </w:rPr>
      </w:pPr>
      <w:r w:rsidRPr="008A4301">
        <w:rPr>
          <w:b/>
          <w:sz w:val="24"/>
          <w:szCs w:val="24"/>
        </w:rPr>
        <w:t>6.  Describe consequences to</w:t>
      </w:r>
      <w:r w:rsidRPr="008A4301">
        <w:rPr>
          <w:b/>
          <w:sz w:val="24"/>
          <w:szCs w:val="24"/>
        </w:rPr>
        <w:t xml:space="preserve"> </w:t>
      </w:r>
      <w:r w:rsidRPr="008A4301" w:rsidR="00FC2F16">
        <w:rPr>
          <w:b/>
          <w:sz w:val="24"/>
          <w:szCs w:val="24"/>
        </w:rPr>
        <w:t>F</w:t>
      </w:r>
      <w:r w:rsidRPr="008A4301">
        <w:rPr>
          <w:b/>
          <w:sz w:val="24"/>
          <w:szCs w:val="24"/>
        </w:rPr>
        <w:t>ederal program or policy activities if the collection were not collected or collected less frequently.</w:t>
      </w:r>
    </w:p>
    <w:p w:rsidR="00E75ACE" w:rsidRPr="008A4301" w:rsidP="00C00973" w14:paraId="3981630C" w14:textId="77777777">
      <w:pPr>
        <w:jc w:val="both"/>
        <w:rPr>
          <w:b/>
          <w:sz w:val="24"/>
          <w:szCs w:val="24"/>
        </w:rPr>
      </w:pPr>
    </w:p>
    <w:p w:rsidR="00E75ACE" w:rsidRPr="008A4301" w:rsidP="00C00973" w14:paraId="33C1A36B" w14:textId="3AA4B34B">
      <w:pPr>
        <w:pStyle w:val="BodyTextIndent2"/>
        <w:jc w:val="both"/>
        <w:rPr>
          <w:szCs w:val="24"/>
        </w:rPr>
      </w:pPr>
      <w:r w:rsidRPr="008A4301">
        <w:rPr>
          <w:szCs w:val="24"/>
        </w:rPr>
        <w:t xml:space="preserve">FTA would be unable to adequately determine compliance with program requirements, which would negatively affect the payment of </w:t>
      </w:r>
      <w:r w:rsidRPr="008A4301" w:rsidR="00BF57A7">
        <w:rPr>
          <w:szCs w:val="24"/>
        </w:rPr>
        <w:t>SSO</w:t>
      </w:r>
      <w:r w:rsidRPr="008A4301">
        <w:rPr>
          <w:szCs w:val="24"/>
        </w:rPr>
        <w:t xml:space="preserve"> funds to </w:t>
      </w:r>
      <w:r w:rsidRPr="008A4301" w:rsidR="00D6595D">
        <w:rPr>
          <w:szCs w:val="24"/>
        </w:rPr>
        <w:t>States and other grantees</w:t>
      </w:r>
      <w:r w:rsidRPr="008A4301" w:rsidR="009F460D">
        <w:rPr>
          <w:szCs w:val="24"/>
        </w:rPr>
        <w:t xml:space="preserve"> resulting in the inability of the States to effectively conduct safety oversight activiti</w:t>
      </w:r>
      <w:r w:rsidRPr="008A4301" w:rsidR="00870258">
        <w:rPr>
          <w:szCs w:val="24"/>
        </w:rPr>
        <w:t>e</w:t>
      </w:r>
      <w:r w:rsidRPr="008A4301" w:rsidR="009F460D">
        <w:rPr>
          <w:szCs w:val="24"/>
        </w:rPr>
        <w:t>s</w:t>
      </w:r>
      <w:r w:rsidR="00AA63B0">
        <w:rPr>
          <w:szCs w:val="24"/>
        </w:rPr>
        <w:t>.</w:t>
      </w:r>
    </w:p>
    <w:p w:rsidR="00E75ACE" w:rsidRPr="008A4301" w:rsidP="00C00973" w14:paraId="26A71478" w14:textId="77777777">
      <w:pPr>
        <w:jc w:val="both"/>
        <w:rPr>
          <w:b/>
          <w:sz w:val="24"/>
          <w:szCs w:val="24"/>
        </w:rPr>
      </w:pPr>
    </w:p>
    <w:p w:rsidR="00E75ACE" w:rsidRPr="008A4301" w:rsidP="00C00973" w14:paraId="72C8F5D7" w14:textId="77777777">
      <w:pPr>
        <w:jc w:val="both"/>
        <w:rPr>
          <w:b/>
          <w:sz w:val="24"/>
          <w:szCs w:val="24"/>
        </w:rPr>
      </w:pPr>
      <w:r w:rsidRPr="008A4301">
        <w:rPr>
          <w:b/>
          <w:sz w:val="24"/>
          <w:szCs w:val="24"/>
        </w:rPr>
        <w:t>7.  Explain any special circumstances that would cause an information collection to be conducted in a manner inconsistent with the guidelines in 5</w:t>
      </w:r>
      <w:r w:rsidRPr="008A4301">
        <w:rPr>
          <w:b/>
          <w:sz w:val="24"/>
          <w:szCs w:val="24"/>
        </w:rPr>
        <w:t xml:space="preserve"> </w:t>
      </w:r>
      <w:r w:rsidRPr="008A4301" w:rsidR="003E3AFC">
        <w:rPr>
          <w:b/>
          <w:sz w:val="24"/>
          <w:szCs w:val="24"/>
        </w:rPr>
        <w:t>C.F.R.</w:t>
      </w:r>
      <w:r w:rsidRPr="008A4301">
        <w:rPr>
          <w:b/>
          <w:sz w:val="24"/>
          <w:szCs w:val="24"/>
        </w:rPr>
        <w:t xml:space="preserve"> 1320.6.</w:t>
      </w:r>
    </w:p>
    <w:p w:rsidR="00E75ACE" w:rsidRPr="008A4301" w:rsidP="00C00973" w14:paraId="228C266E" w14:textId="77777777">
      <w:pPr>
        <w:jc w:val="both"/>
        <w:rPr>
          <w:b/>
          <w:sz w:val="24"/>
          <w:szCs w:val="24"/>
        </w:rPr>
      </w:pPr>
    </w:p>
    <w:p w:rsidR="00E75ACE" w:rsidRPr="008A4301" w:rsidP="00C00973" w14:paraId="75AAFE08" w14:textId="77777777">
      <w:pPr>
        <w:ind w:firstLine="360"/>
        <w:jc w:val="both"/>
        <w:rPr>
          <w:sz w:val="24"/>
          <w:szCs w:val="24"/>
        </w:rPr>
      </w:pPr>
      <w:r w:rsidRPr="008A4301">
        <w:rPr>
          <w:sz w:val="24"/>
          <w:szCs w:val="24"/>
        </w:rPr>
        <w:t xml:space="preserve">The information collected is consistent with the guidelines in 5 </w:t>
      </w:r>
      <w:r w:rsidRPr="008A4301" w:rsidR="003E3AFC">
        <w:rPr>
          <w:sz w:val="24"/>
          <w:szCs w:val="24"/>
        </w:rPr>
        <w:t>C.F.R.</w:t>
      </w:r>
      <w:r w:rsidRPr="008A4301">
        <w:rPr>
          <w:sz w:val="24"/>
          <w:szCs w:val="24"/>
        </w:rPr>
        <w:t xml:space="preserve"> 1320.6.</w:t>
      </w:r>
    </w:p>
    <w:p w:rsidR="001C460F" w:rsidRPr="008A4301" w:rsidP="00C00973" w14:paraId="3BE08253" w14:textId="77777777">
      <w:pPr>
        <w:jc w:val="both"/>
        <w:rPr>
          <w:sz w:val="24"/>
          <w:szCs w:val="24"/>
        </w:rPr>
      </w:pPr>
    </w:p>
    <w:p w:rsidR="00E75ACE" w:rsidRPr="008A4301" w:rsidP="00C00973" w14:paraId="2EF48916" w14:textId="77777777">
      <w:pPr>
        <w:jc w:val="both"/>
        <w:rPr>
          <w:b/>
          <w:sz w:val="24"/>
          <w:szCs w:val="24"/>
        </w:rPr>
      </w:pPr>
      <w:r w:rsidRPr="008A4301">
        <w:rPr>
          <w:b/>
          <w:sz w:val="24"/>
          <w:szCs w:val="24"/>
        </w:rPr>
        <w:t xml:space="preserve">8.  Describe efforts to consult with persons outside the agency to obtain their views. </w:t>
      </w:r>
    </w:p>
    <w:p w:rsidR="006A3732" w:rsidP="007C7E02" w14:paraId="49CC21F6" w14:textId="77777777">
      <w:pPr>
        <w:jc w:val="both"/>
        <w:rPr>
          <w:sz w:val="24"/>
          <w:szCs w:val="24"/>
        </w:rPr>
      </w:pPr>
    </w:p>
    <w:p w:rsidR="006A3732" w:rsidP="007C7E02" w14:paraId="23FF2F43" w14:textId="7EFE5C3D">
      <w:pPr>
        <w:jc w:val="both"/>
        <w:rPr>
          <w:sz w:val="24"/>
          <w:szCs w:val="24"/>
        </w:rPr>
      </w:pPr>
      <w:r w:rsidRPr="007308B2">
        <w:rPr>
          <w:sz w:val="24"/>
          <w:szCs w:val="24"/>
        </w:rPr>
        <w:t xml:space="preserve">The Final Rulemaking was published </w:t>
      </w:r>
      <w:r w:rsidRPr="007308B2" w:rsidR="007308B2">
        <w:rPr>
          <w:sz w:val="24"/>
          <w:szCs w:val="24"/>
        </w:rPr>
        <w:t xml:space="preserve">in the Federal Register </w:t>
      </w:r>
      <w:r w:rsidRPr="007308B2">
        <w:rPr>
          <w:sz w:val="24"/>
          <w:szCs w:val="24"/>
        </w:rPr>
        <w:t xml:space="preserve">on </w:t>
      </w:r>
      <w:r w:rsidRPr="007308B2" w:rsidR="00D85F88">
        <w:rPr>
          <w:sz w:val="24"/>
          <w:szCs w:val="24"/>
        </w:rPr>
        <w:t>October</w:t>
      </w:r>
      <w:r w:rsidRPr="007308B2" w:rsidR="005E4B48">
        <w:rPr>
          <w:sz w:val="24"/>
          <w:szCs w:val="24"/>
        </w:rPr>
        <w:t xml:space="preserve"> 18, 2024</w:t>
      </w:r>
      <w:r w:rsidRPr="007308B2">
        <w:rPr>
          <w:sz w:val="24"/>
          <w:szCs w:val="24"/>
        </w:rPr>
        <w:t xml:space="preserve"> </w:t>
      </w:r>
      <w:r w:rsidRPr="007308B2" w:rsidR="007308B2">
        <w:rPr>
          <w:sz w:val="24"/>
          <w:szCs w:val="24"/>
        </w:rPr>
        <w:t>(Vol. 89. No. 202 pages 83956-83987</w:t>
      </w:r>
      <w:r w:rsidRPr="007308B2">
        <w:rPr>
          <w:sz w:val="24"/>
          <w:szCs w:val="24"/>
        </w:rPr>
        <w:t>).</w:t>
      </w:r>
    </w:p>
    <w:p w:rsidR="006A3732" w:rsidRPr="006A3732" w:rsidP="006A3732" w14:paraId="23F6277C" w14:textId="6670DA83">
      <w:pPr>
        <w:rPr>
          <w:sz w:val="24"/>
          <w:szCs w:val="22"/>
        </w:rPr>
      </w:pPr>
      <w:r>
        <w:rPr>
          <w:sz w:val="24"/>
          <w:szCs w:val="24"/>
        </w:rPr>
        <w:br/>
      </w:r>
      <w:r w:rsidRPr="006A3732">
        <w:rPr>
          <w:sz w:val="24"/>
          <w:szCs w:val="22"/>
        </w:rPr>
        <w:t xml:space="preserve">On November 15, 2023, the Federal Transit Administration (FTA) published the State Safety </w:t>
      </w:r>
      <w:r w:rsidRPr="006A3732">
        <w:rPr>
          <w:sz w:val="24"/>
          <w:szCs w:val="22"/>
        </w:rPr>
        <w:t>Oversight Notice of Proposed Rulemaking (NPRM) in the Federal Register (88 FR 78269), with the public comment period closing on February 15, 2024. During this period, FTA received 27 unique and substantive comments from various stakeholders, including Stat</w:t>
      </w:r>
      <w:r w:rsidRPr="006A3732">
        <w:rPr>
          <w:sz w:val="24"/>
          <w:szCs w:val="22"/>
        </w:rPr>
        <w:t>e Safety Oversight Agencies (SSOAs), Rail Transit Agencies (RTAs), labor organizations, trade associations, and individuals. Notably, there were no comments addressing the collection of information or the related burden hours or costs. FTA has reviewed all</w:t>
      </w:r>
      <w:r w:rsidRPr="006A3732">
        <w:rPr>
          <w:sz w:val="24"/>
          <w:szCs w:val="22"/>
        </w:rPr>
        <w:t xml:space="preserve"> submitted comments. While some expressed general support for the NPRM without suggesting specific changes, FTA has taken all feedback into account.</w:t>
      </w:r>
    </w:p>
    <w:p w:rsidR="006A3732" w:rsidRPr="006A3732" w:rsidP="006A3732" w14:paraId="35557AA4" w14:textId="77777777">
      <w:pPr>
        <w:rPr>
          <w:sz w:val="24"/>
          <w:szCs w:val="24"/>
        </w:rPr>
      </w:pPr>
    </w:p>
    <w:p w:rsidR="006A3732" w:rsidRPr="006A3732" w:rsidP="006A3732" w14:paraId="2B4EC111" w14:textId="20747D85">
      <w:pPr>
        <w:rPr>
          <w:color w:val="000000"/>
          <w:sz w:val="24"/>
          <w:szCs w:val="22"/>
        </w:rPr>
      </w:pPr>
      <w:r w:rsidRPr="006A3732">
        <w:rPr>
          <w:color w:val="000000"/>
          <w:sz w:val="24"/>
          <w:szCs w:val="22"/>
        </w:rPr>
        <w:t>Many of FTA’s proposals from the NPRM are finalized in th</w:t>
      </w:r>
      <w:r>
        <w:rPr>
          <w:color w:val="000000"/>
          <w:sz w:val="24"/>
          <w:szCs w:val="22"/>
        </w:rPr>
        <w:t>e Final Rulemaking</w:t>
      </w:r>
      <w:r w:rsidRPr="006A3732">
        <w:rPr>
          <w:color w:val="000000"/>
          <w:sz w:val="24"/>
          <w:szCs w:val="22"/>
        </w:rPr>
        <w:t xml:space="preserve"> without change. However, in re</w:t>
      </w:r>
      <w:r w:rsidRPr="006A3732">
        <w:rPr>
          <w:color w:val="000000"/>
          <w:sz w:val="24"/>
          <w:szCs w:val="22"/>
        </w:rPr>
        <w:t xml:space="preserve">sponse to comments, FTA revised the </w:t>
      </w:r>
      <w:r w:rsidRPr="006A3732">
        <w:rPr>
          <w:sz w:val="24"/>
          <w:szCs w:val="22"/>
        </w:rPr>
        <w:t>definitions of “corrective action plan,” “designated personnel,” and “hazard;” added clarity at § 674.27(a)(7) regarding SSOA oversight of RTA compliance with the Public Transportation Safety Certification Training Progr</w:t>
      </w:r>
      <w:r w:rsidRPr="006A3732">
        <w:rPr>
          <w:sz w:val="24"/>
          <w:szCs w:val="22"/>
        </w:rPr>
        <w:t>am (PTSCTP); and added clarity at § 674.27(a)(14) regarding data collection requirements.</w:t>
      </w:r>
    </w:p>
    <w:p w:rsidR="006A3732" w:rsidP="007C7E02" w14:paraId="4072FA5A" w14:textId="07517AB4">
      <w:pPr>
        <w:jc w:val="both"/>
        <w:rPr>
          <w:sz w:val="24"/>
          <w:szCs w:val="24"/>
        </w:rPr>
      </w:pPr>
    </w:p>
    <w:p w:rsidR="004F0D6C" w:rsidP="007C7E02" w14:paraId="06F7B0EE" w14:textId="61137155">
      <w:pPr>
        <w:jc w:val="both"/>
        <w:rPr>
          <w:sz w:val="24"/>
          <w:szCs w:val="24"/>
        </w:rPr>
      </w:pPr>
      <w:r>
        <w:rPr>
          <w:sz w:val="24"/>
          <w:szCs w:val="24"/>
        </w:rPr>
        <w:t xml:space="preserve">As required, FTA holds </w:t>
      </w:r>
      <w:r w:rsidR="001D34A4">
        <w:rPr>
          <w:sz w:val="24"/>
          <w:szCs w:val="24"/>
        </w:rPr>
        <w:t xml:space="preserve">provides several stakeholder outreach events </w:t>
      </w:r>
      <w:r>
        <w:rPr>
          <w:sz w:val="24"/>
          <w:szCs w:val="24"/>
        </w:rPr>
        <w:t xml:space="preserve">over and above </w:t>
      </w:r>
      <w:r w:rsidR="00DD45DC">
        <w:rPr>
          <w:sz w:val="24"/>
          <w:szCs w:val="24"/>
        </w:rPr>
        <w:t>publishes in the Federal Register.  These opportunities allow the r</w:t>
      </w:r>
      <w:r>
        <w:rPr>
          <w:sz w:val="24"/>
          <w:szCs w:val="24"/>
        </w:rPr>
        <w:t>espondent unive</w:t>
      </w:r>
      <w:r>
        <w:rPr>
          <w:sz w:val="24"/>
          <w:szCs w:val="24"/>
        </w:rPr>
        <w:t xml:space="preserve">rse </w:t>
      </w:r>
      <w:r w:rsidR="00DD45DC">
        <w:rPr>
          <w:sz w:val="24"/>
          <w:szCs w:val="24"/>
        </w:rPr>
        <w:t xml:space="preserve">the ability to </w:t>
      </w:r>
      <w:r>
        <w:rPr>
          <w:sz w:val="24"/>
          <w:szCs w:val="24"/>
        </w:rPr>
        <w:t>provide feedback on burden hours and cost.  The following are examples:</w:t>
      </w:r>
    </w:p>
    <w:p w:rsidR="004F0D6C" w:rsidP="007C7E02" w14:paraId="5016550E" w14:textId="77777777">
      <w:pPr>
        <w:jc w:val="both"/>
        <w:rPr>
          <w:sz w:val="24"/>
          <w:szCs w:val="24"/>
        </w:rPr>
      </w:pPr>
    </w:p>
    <w:p w:rsidR="00AB0E12" w:rsidP="007C7E02" w14:paraId="230BF90F" w14:textId="674B555A">
      <w:pPr>
        <w:jc w:val="both"/>
        <w:rPr>
          <w:sz w:val="24"/>
          <w:szCs w:val="24"/>
        </w:rPr>
      </w:pPr>
      <w:r w:rsidRPr="6E0B2283">
        <w:rPr>
          <w:sz w:val="24"/>
          <w:szCs w:val="24"/>
        </w:rPr>
        <w:t>FTA hosts annual SSO Program workshops, the latest occurring on October 25-27, 2022.  This event was a hybrid of in-person and virtual participants.  There were over 400 in attendance at the 2022 workshop and FTA received feedback on SSO reporting and info</w:t>
      </w:r>
      <w:r w:rsidRPr="6E0B2283">
        <w:rPr>
          <w:sz w:val="24"/>
          <w:szCs w:val="24"/>
        </w:rPr>
        <w:t xml:space="preserve">rmation collections.  </w:t>
      </w:r>
    </w:p>
    <w:p w:rsidR="00D163B8" w:rsidRPr="00D163B8" w:rsidP="6E0B2283" w14:paraId="242EE568" w14:textId="77777777">
      <w:pPr>
        <w:ind w:firstLine="360"/>
        <w:jc w:val="both"/>
        <w:rPr>
          <w:sz w:val="24"/>
          <w:szCs w:val="24"/>
        </w:rPr>
      </w:pPr>
    </w:p>
    <w:p w:rsidR="00D163B8" w:rsidP="007C7E02" w14:paraId="08A57583" w14:textId="708EF43D">
      <w:pPr>
        <w:jc w:val="both"/>
        <w:rPr>
          <w:sz w:val="24"/>
          <w:szCs w:val="24"/>
        </w:rPr>
      </w:pPr>
      <w:r w:rsidRPr="00D163B8">
        <w:rPr>
          <w:sz w:val="24"/>
          <w:szCs w:val="24"/>
        </w:rPr>
        <w:t>FTA holds</w:t>
      </w:r>
      <w:r>
        <w:rPr>
          <w:sz w:val="24"/>
          <w:szCs w:val="24"/>
        </w:rPr>
        <w:t xml:space="preserve"> quarterly calls </w:t>
      </w:r>
      <w:r w:rsidR="00CD259E">
        <w:rPr>
          <w:sz w:val="24"/>
          <w:szCs w:val="24"/>
        </w:rPr>
        <w:t xml:space="preserve">to share information with SSOAs. This year’s calls occurred on February 15, May 17, and August 16, 2023. </w:t>
      </w:r>
      <w:r w:rsidR="004115B0">
        <w:rPr>
          <w:sz w:val="24"/>
          <w:szCs w:val="24"/>
        </w:rPr>
        <w:t xml:space="preserve"> </w:t>
      </w:r>
    </w:p>
    <w:p w:rsidR="00E37726" w:rsidP="6E0B2283" w14:paraId="585CD5F4" w14:textId="77777777">
      <w:pPr>
        <w:ind w:firstLine="360"/>
        <w:jc w:val="both"/>
        <w:rPr>
          <w:sz w:val="24"/>
          <w:szCs w:val="24"/>
        </w:rPr>
      </w:pPr>
    </w:p>
    <w:p w:rsidR="00E37726" w:rsidRPr="00D163B8" w:rsidP="007C7E02" w14:paraId="3DCCE14B" w14:textId="6C240261">
      <w:pPr>
        <w:jc w:val="both"/>
        <w:rPr>
          <w:sz w:val="24"/>
          <w:szCs w:val="24"/>
        </w:rPr>
      </w:pPr>
      <w:r w:rsidRPr="28D6BBB2">
        <w:rPr>
          <w:sz w:val="24"/>
          <w:szCs w:val="24"/>
        </w:rPr>
        <w:t>In addition to the group quarterly calls, FTA’s SSO Program Managers also hold quarterly one-on-on</w:t>
      </w:r>
      <w:r w:rsidRPr="28D6BBB2">
        <w:rPr>
          <w:sz w:val="24"/>
          <w:szCs w:val="24"/>
        </w:rPr>
        <w:t xml:space="preserve">e calls with </w:t>
      </w:r>
      <w:r w:rsidRPr="28D6BBB2" w:rsidR="00BA152E">
        <w:rPr>
          <w:sz w:val="24"/>
          <w:szCs w:val="24"/>
        </w:rPr>
        <w:t>each SSOA</w:t>
      </w:r>
      <w:r w:rsidRPr="28D6BBB2">
        <w:rPr>
          <w:sz w:val="24"/>
          <w:szCs w:val="24"/>
        </w:rPr>
        <w:t>.</w:t>
      </w:r>
      <w:r w:rsidRPr="28D6BBB2" w:rsidR="00BA152E">
        <w:rPr>
          <w:sz w:val="24"/>
          <w:szCs w:val="24"/>
        </w:rPr>
        <w:t xml:space="preserve"> </w:t>
      </w:r>
    </w:p>
    <w:p w:rsidR="00AB0E12" w:rsidP="00C00973" w14:paraId="1E87DAC5" w14:textId="09F6E16E">
      <w:pPr>
        <w:jc w:val="both"/>
      </w:pPr>
      <w:r w:rsidRPr="6E0B2283">
        <w:rPr>
          <w:sz w:val="24"/>
          <w:szCs w:val="24"/>
        </w:rPr>
        <w:t xml:space="preserve"> </w:t>
      </w:r>
    </w:p>
    <w:p w:rsidR="00AB0E12" w:rsidP="007C7E02" w14:paraId="3A74E825" w14:textId="00587564">
      <w:pPr>
        <w:jc w:val="both"/>
        <w:rPr>
          <w:sz w:val="24"/>
          <w:szCs w:val="24"/>
        </w:rPr>
      </w:pPr>
      <w:r w:rsidRPr="6E0B2283">
        <w:rPr>
          <w:sz w:val="24"/>
          <w:szCs w:val="24"/>
        </w:rPr>
        <w:t>FTA also held State Safety Oversight Reporting Refresher Training Webinars on January 12, 2023 and February 22, 2023 to provide training on</w:t>
      </w:r>
      <w:r w:rsidRPr="6E0B2283">
        <w:rPr>
          <w:b/>
          <w:bCs/>
          <w:sz w:val="24"/>
          <w:szCs w:val="24"/>
        </w:rPr>
        <w:t xml:space="preserve"> </w:t>
      </w:r>
      <w:r w:rsidRPr="6E0B2283">
        <w:rPr>
          <w:sz w:val="24"/>
          <w:szCs w:val="24"/>
        </w:rPr>
        <w:t>using the State Safety Oversight Reporting (SSOR) tool and a review of the system.</w:t>
      </w:r>
    </w:p>
    <w:p w:rsidR="00DF0FB6" w:rsidP="6E0B2283" w14:paraId="3C43FDE3" w14:textId="77777777">
      <w:pPr>
        <w:ind w:firstLine="360"/>
        <w:jc w:val="both"/>
        <w:rPr>
          <w:sz w:val="24"/>
          <w:szCs w:val="24"/>
        </w:rPr>
      </w:pPr>
    </w:p>
    <w:p w:rsidR="00DF0FB6" w:rsidP="007C7E02" w14:paraId="19A9527C" w14:textId="10C610F8">
      <w:pPr>
        <w:jc w:val="both"/>
        <w:rPr>
          <w:sz w:val="24"/>
          <w:szCs w:val="24"/>
        </w:rPr>
      </w:pPr>
      <w:r w:rsidRPr="28D6BBB2">
        <w:rPr>
          <w:sz w:val="24"/>
          <w:szCs w:val="24"/>
        </w:rPr>
        <w:t>FTA h</w:t>
      </w:r>
      <w:r w:rsidRPr="28D6BBB2">
        <w:rPr>
          <w:sz w:val="24"/>
          <w:szCs w:val="24"/>
        </w:rPr>
        <w:t xml:space="preserve">as presented on the upcoming regulatory agenda at several industry conferences and events throughout </w:t>
      </w:r>
      <w:r w:rsidRPr="28D6BBB2" w:rsidR="0053615D">
        <w:rPr>
          <w:sz w:val="24"/>
          <w:szCs w:val="24"/>
        </w:rPr>
        <w:t>2023, including APTA Transform (October 8)</w:t>
      </w:r>
      <w:r w:rsidRPr="28D6BBB2" w:rsidR="003138F3">
        <w:rPr>
          <w:sz w:val="24"/>
          <w:szCs w:val="24"/>
        </w:rPr>
        <w:t>, Midwest Transit Conference (September 7), CTAA Expo (May 22), APTA Mobility (April 25)</w:t>
      </w:r>
      <w:r w:rsidRPr="28D6BBB2" w:rsidR="36255578">
        <w:rPr>
          <w:sz w:val="24"/>
          <w:szCs w:val="24"/>
        </w:rPr>
        <w:t>, APTA Rail (June 11)</w:t>
      </w:r>
      <w:r w:rsidRPr="28D6BBB2" w:rsidR="003138F3">
        <w:rPr>
          <w:sz w:val="24"/>
          <w:szCs w:val="24"/>
        </w:rPr>
        <w:t xml:space="preserve"> and APTA Legislative Conference (March 12). </w:t>
      </w:r>
    </w:p>
    <w:p w:rsidR="00774EE5" w:rsidP="6E0B2283" w14:paraId="1A80B508" w14:textId="77777777">
      <w:pPr>
        <w:ind w:firstLine="360"/>
        <w:jc w:val="both"/>
      </w:pPr>
    </w:p>
    <w:p w:rsidR="2AC18D91" w:rsidP="007C7E02" w14:paraId="2AEE2C38" w14:textId="4C69DAA5">
      <w:pPr>
        <w:jc w:val="both"/>
        <w:rPr>
          <w:sz w:val="24"/>
          <w:szCs w:val="24"/>
        </w:rPr>
      </w:pPr>
      <w:r w:rsidRPr="28D6BBB2">
        <w:rPr>
          <w:sz w:val="24"/>
          <w:szCs w:val="24"/>
        </w:rPr>
        <w:t>FTA’s monthly</w:t>
      </w:r>
      <w:r w:rsidRPr="28D6BBB2" w:rsidR="24A323C0">
        <w:rPr>
          <w:sz w:val="24"/>
          <w:szCs w:val="24"/>
        </w:rPr>
        <w:t xml:space="preserve"> </w:t>
      </w:r>
      <w:r w:rsidRPr="28D6BBB2">
        <w:rPr>
          <w:sz w:val="24"/>
          <w:szCs w:val="24"/>
        </w:rPr>
        <w:t xml:space="preserve">safety newsletter </w:t>
      </w:r>
      <w:r w:rsidRPr="28D6BBB2" w:rsidR="03F59659">
        <w:rPr>
          <w:sz w:val="24"/>
          <w:szCs w:val="24"/>
        </w:rPr>
        <w:t>provided programmatic updates on the SSO program</w:t>
      </w:r>
      <w:r w:rsidR="0003358C">
        <w:rPr>
          <w:sz w:val="24"/>
          <w:szCs w:val="24"/>
        </w:rPr>
        <w:t>.</w:t>
      </w:r>
      <w:r w:rsidRPr="28D6BBB2">
        <w:rPr>
          <w:sz w:val="24"/>
          <w:szCs w:val="24"/>
        </w:rPr>
        <w:t xml:space="preserve"> </w:t>
      </w:r>
    </w:p>
    <w:p w:rsidR="00A53688" w:rsidP="007C7E02" w14:paraId="28AD43FC" w14:textId="1A15EBB2">
      <w:pPr>
        <w:jc w:val="both"/>
        <w:rPr>
          <w:sz w:val="24"/>
          <w:szCs w:val="24"/>
        </w:rPr>
      </w:pPr>
    </w:p>
    <w:p w:rsidR="00AB0E12" w:rsidP="6E0B2283" w14:paraId="216EC32A" w14:textId="434D7597">
      <w:pPr>
        <w:tabs>
          <w:tab w:val="left" w:pos="360"/>
          <w:tab w:val="left" w:pos="630"/>
        </w:tabs>
        <w:jc w:val="both"/>
        <w:rPr>
          <w:sz w:val="24"/>
          <w:szCs w:val="24"/>
        </w:rPr>
      </w:pPr>
    </w:p>
    <w:p w:rsidR="00E75ACE" w:rsidRPr="008A4301" w:rsidP="00C00973" w14:paraId="0AFE10A6" w14:textId="77777777">
      <w:pPr>
        <w:numPr>
          <w:ilvl w:val="0"/>
          <w:numId w:val="2"/>
        </w:numPr>
        <w:jc w:val="both"/>
        <w:rPr>
          <w:b/>
          <w:sz w:val="24"/>
          <w:szCs w:val="24"/>
        </w:rPr>
      </w:pPr>
      <w:r w:rsidRPr="008A4301">
        <w:rPr>
          <w:b/>
          <w:sz w:val="24"/>
          <w:szCs w:val="24"/>
        </w:rPr>
        <w:t xml:space="preserve">Explain any decision to provide any payment or gift to respondents, other than </w:t>
      </w:r>
    </w:p>
    <w:p w:rsidR="00E75ACE" w:rsidRPr="008A4301" w:rsidP="00C00973" w14:paraId="4FD17995" w14:textId="77777777">
      <w:pPr>
        <w:jc w:val="both"/>
        <w:rPr>
          <w:b/>
          <w:sz w:val="24"/>
          <w:szCs w:val="24"/>
        </w:rPr>
      </w:pPr>
      <w:r w:rsidRPr="008A4301">
        <w:rPr>
          <w:b/>
          <w:sz w:val="24"/>
          <w:szCs w:val="24"/>
        </w:rPr>
        <w:t>remuneration of contractors or grantees.</w:t>
      </w:r>
    </w:p>
    <w:p w:rsidR="00E75ACE" w:rsidRPr="008A4301" w:rsidP="00C00973" w14:paraId="32323BB2" w14:textId="77777777">
      <w:pPr>
        <w:jc w:val="both"/>
        <w:rPr>
          <w:b/>
          <w:sz w:val="24"/>
          <w:szCs w:val="24"/>
        </w:rPr>
      </w:pPr>
    </w:p>
    <w:p w:rsidR="00E75ACE" w:rsidRPr="008A4301" w:rsidP="00C00973" w14:paraId="4C28EB16" w14:textId="77777777">
      <w:pPr>
        <w:tabs>
          <w:tab w:val="left" w:pos="360"/>
        </w:tabs>
        <w:jc w:val="both"/>
        <w:rPr>
          <w:sz w:val="24"/>
          <w:szCs w:val="24"/>
        </w:rPr>
      </w:pPr>
      <w:r w:rsidRPr="008A4301">
        <w:rPr>
          <w:b/>
          <w:sz w:val="24"/>
          <w:szCs w:val="24"/>
        </w:rPr>
        <w:tab/>
      </w:r>
      <w:r w:rsidRPr="008A4301">
        <w:rPr>
          <w:sz w:val="24"/>
          <w:szCs w:val="24"/>
        </w:rPr>
        <w:t>No payment or gift is made to respondents.</w:t>
      </w:r>
    </w:p>
    <w:p w:rsidR="00E75ACE" w:rsidRPr="008A4301" w:rsidP="00C00973" w14:paraId="58CF9983" w14:textId="77777777">
      <w:pPr>
        <w:jc w:val="both"/>
        <w:rPr>
          <w:sz w:val="24"/>
          <w:szCs w:val="24"/>
        </w:rPr>
      </w:pPr>
    </w:p>
    <w:p w:rsidR="00E75ACE" w:rsidRPr="008A4301" w:rsidP="00C00973" w14:paraId="2F410D5C" w14:textId="77777777">
      <w:pPr>
        <w:jc w:val="both"/>
        <w:rPr>
          <w:b/>
          <w:sz w:val="24"/>
          <w:szCs w:val="24"/>
        </w:rPr>
      </w:pPr>
      <w:r w:rsidRPr="008A4301">
        <w:rPr>
          <w:b/>
          <w:sz w:val="24"/>
          <w:szCs w:val="24"/>
        </w:rPr>
        <w:t xml:space="preserve">10.  Describe any assurance of confidentiality provided by to respondents and the </w:t>
      </w:r>
      <w:r w:rsidRPr="008A4301">
        <w:rPr>
          <w:b/>
          <w:sz w:val="24"/>
          <w:szCs w:val="24"/>
        </w:rPr>
        <w:t>basis for the assurance in statute, regulation, or agency policy.</w:t>
      </w:r>
    </w:p>
    <w:p w:rsidR="00E75ACE" w:rsidRPr="008A4301" w:rsidP="00C00973" w14:paraId="6DAA42EF" w14:textId="77777777">
      <w:pPr>
        <w:jc w:val="both"/>
        <w:rPr>
          <w:sz w:val="24"/>
          <w:szCs w:val="24"/>
        </w:rPr>
      </w:pPr>
    </w:p>
    <w:p w:rsidR="00E75ACE" w:rsidRPr="008A4301" w:rsidP="007C7E02" w14:paraId="37D6B3BA" w14:textId="0514C608">
      <w:pPr>
        <w:jc w:val="both"/>
        <w:rPr>
          <w:color w:val="000000" w:themeColor="text1"/>
          <w:sz w:val="24"/>
          <w:szCs w:val="24"/>
        </w:rPr>
      </w:pPr>
      <w:r w:rsidRPr="008A4301">
        <w:rPr>
          <w:color w:val="000000" w:themeColor="text1"/>
          <w:sz w:val="24"/>
          <w:szCs w:val="24"/>
        </w:rPr>
        <w:t xml:space="preserve">There will be no questions of a confidential nature for individuals on the information reported by the </w:t>
      </w:r>
      <w:r w:rsidRPr="008A4301" w:rsidR="003E3AFC">
        <w:rPr>
          <w:color w:val="000000" w:themeColor="text1"/>
          <w:sz w:val="24"/>
          <w:szCs w:val="24"/>
        </w:rPr>
        <w:t>RTA</w:t>
      </w:r>
      <w:r w:rsidRPr="008A4301">
        <w:rPr>
          <w:color w:val="000000" w:themeColor="text1"/>
          <w:sz w:val="24"/>
          <w:szCs w:val="24"/>
        </w:rPr>
        <w:t xml:space="preserve"> to the </w:t>
      </w:r>
      <w:r w:rsidRPr="008A4301" w:rsidR="00BF57A7">
        <w:rPr>
          <w:color w:val="000000" w:themeColor="text1"/>
          <w:sz w:val="24"/>
          <w:szCs w:val="24"/>
        </w:rPr>
        <w:t>SSOA</w:t>
      </w:r>
      <w:r w:rsidRPr="008A4301">
        <w:rPr>
          <w:color w:val="000000" w:themeColor="text1"/>
          <w:sz w:val="24"/>
          <w:szCs w:val="24"/>
        </w:rPr>
        <w:t xml:space="preserve">, or on the information reported by the </w:t>
      </w:r>
      <w:r w:rsidRPr="008A4301" w:rsidR="00BF57A7">
        <w:rPr>
          <w:color w:val="000000" w:themeColor="text1"/>
          <w:sz w:val="24"/>
          <w:szCs w:val="24"/>
        </w:rPr>
        <w:t>SSOA</w:t>
      </w:r>
      <w:r w:rsidRPr="008A4301">
        <w:rPr>
          <w:color w:val="000000" w:themeColor="text1"/>
          <w:sz w:val="24"/>
          <w:szCs w:val="24"/>
        </w:rPr>
        <w:t xml:space="preserve"> to FTA.  In </w:t>
      </w:r>
      <w:r w:rsidR="007C7E02">
        <w:rPr>
          <w:color w:val="000000" w:themeColor="text1"/>
          <w:sz w:val="24"/>
          <w:szCs w:val="24"/>
        </w:rPr>
        <w:t xml:space="preserve">prior rulemakings, </w:t>
      </w:r>
      <w:r w:rsidRPr="008A4301">
        <w:rPr>
          <w:color w:val="000000" w:themeColor="text1"/>
          <w:sz w:val="24"/>
          <w:szCs w:val="24"/>
        </w:rPr>
        <w:t xml:space="preserve"> FTA encouraged </w:t>
      </w:r>
      <w:r w:rsidRPr="008A4301" w:rsidR="00BF57A7">
        <w:rPr>
          <w:color w:val="000000" w:themeColor="text1"/>
          <w:sz w:val="24"/>
          <w:szCs w:val="24"/>
        </w:rPr>
        <w:t>S</w:t>
      </w:r>
      <w:r w:rsidRPr="008A4301">
        <w:rPr>
          <w:color w:val="000000" w:themeColor="text1"/>
          <w:sz w:val="24"/>
          <w:szCs w:val="24"/>
        </w:rPr>
        <w:t xml:space="preserve">tates to provide a legal recourse for protecting the information provided to the </w:t>
      </w:r>
      <w:r w:rsidRPr="008A4301" w:rsidR="00BF57A7">
        <w:rPr>
          <w:color w:val="000000" w:themeColor="text1"/>
          <w:sz w:val="24"/>
          <w:szCs w:val="24"/>
        </w:rPr>
        <w:t>SSOA</w:t>
      </w:r>
      <w:r w:rsidRPr="008A4301">
        <w:rPr>
          <w:color w:val="000000" w:themeColor="text1"/>
          <w:sz w:val="24"/>
          <w:szCs w:val="24"/>
        </w:rPr>
        <w:t xml:space="preserve"> from being eligible for use in </w:t>
      </w:r>
      <w:r w:rsidRPr="008A4301" w:rsidR="00BE009C">
        <w:rPr>
          <w:color w:val="000000" w:themeColor="text1"/>
          <w:sz w:val="24"/>
          <w:szCs w:val="24"/>
        </w:rPr>
        <w:t xml:space="preserve">litigation </w:t>
      </w:r>
      <w:r w:rsidRPr="008A4301">
        <w:rPr>
          <w:color w:val="000000" w:themeColor="text1"/>
          <w:sz w:val="24"/>
          <w:szCs w:val="24"/>
        </w:rPr>
        <w:t xml:space="preserve">against </w:t>
      </w:r>
      <w:r w:rsidRPr="008A4301" w:rsidR="003E3AFC">
        <w:rPr>
          <w:color w:val="000000" w:themeColor="text1"/>
          <w:sz w:val="24"/>
          <w:szCs w:val="24"/>
        </w:rPr>
        <w:t>RTA</w:t>
      </w:r>
      <w:r w:rsidRPr="008A4301">
        <w:rPr>
          <w:color w:val="000000" w:themeColor="text1"/>
          <w:sz w:val="24"/>
          <w:szCs w:val="24"/>
        </w:rPr>
        <w:t>.</w:t>
      </w:r>
      <w:r w:rsidRPr="008A4301" w:rsidR="000704D7">
        <w:rPr>
          <w:color w:val="000000" w:themeColor="text1"/>
          <w:sz w:val="24"/>
          <w:szCs w:val="24"/>
        </w:rPr>
        <w:t xml:space="preserve">  </w:t>
      </w:r>
      <w:r w:rsidRPr="008A4301" w:rsidR="007116E7">
        <w:rPr>
          <w:color w:val="000000" w:themeColor="text1"/>
          <w:sz w:val="24"/>
          <w:szCs w:val="24"/>
        </w:rPr>
        <w:t xml:space="preserve">The </w:t>
      </w:r>
      <w:r w:rsidRPr="008A4301" w:rsidR="003E3AFC">
        <w:rPr>
          <w:color w:val="000000" w:themeColor="text1"/>
          <w:sz w:val="24"/>
          <w:szCs w:val="24"/>
        </w:rPr>
        <w:t>RTA</w:t>
      </w:r>
      <w:r w:rsidRPr="008A4301" w:rsidR="00E6321D">
        <w:rPr>
          <w:color w:val="000000" w:themeColor="text1"/>
          <w:sz w:val="24"/>
          <w:szCs w:val="24"/>
        </w:rPr>
        <w:t>s</w:t>
      </w:r>
      <w:r w:rsidRPr="008A4301" w:rsidR="000704D7">
        <w:rPr>
          <w:color w:val="000000" w:themeColor="text1"/>
          <w:sz w:val="24"/>
          <w:szCs w:val="24"/>
        </w:rPr>
        <w:t xml:space="preserve"> are not asked questions of a confidential nature</w:t>
      </w:r>
      <w:r w:rsidRPr="008A4301" w:rsidR="007116E7">
        <w:rPr>
          <w:color w:val="000000" w:themeColor="text1"/>
          <w:sz w:val="24"/>
          <w:szCs w:val="24"/>
        </w:rPr>
        <w:t xml:space="preserve"> however</w:t>
      </w:r>
      <w:r w:rsidRPr="008A4301" w:rsidR="000704D7">
        <w:rPr>
          <w:color w:val="000000" w:themeColor="text1"/>
          <w:sz w:val="24"/>
          <w:szCs w:val="24"/>
        </w:rPr>
        <w:t xml:space="preserve"> </w:t>
      </w:r>
      <w:r w:rsidRPr="008A4301" w:rsidR="00E6321D">
        <w:rPr>
          <w:color w:val="000000" w:themeColor="text1"/>
          <w:sz w:val="24"/>
          <w:szCs w:val="24"/>
        </w:rPr>
        <w:t>a Safety Plan</w:t>
      </w:r>
      <w:r w:rsidRPr="008A4301" w:rsidR="000704D7">
        <w:rPr>
          <w:color w:val="000000" w:themeColor="text1"/>
          <w:sz w:val="24"/>
          <w:szCs w:val="24"/>
        </w:rPr>
        <w:t xml:space="preserve"> may contain confidential information.  The </w:t>
      </w:r>
      <w:r w:rsidR="006B156A">
        <w:rPr>
          <w:color w:val="000000" w:themeColor="text1"/>
          <w:sz w:val="24"/>
          <w:szCs w:val="24"/>
        </w:rPr>
        <w:t xml:space="preserve">previous </w:t>
      </w:r>
      <w:r w:rsidRPr="008A4301" w:rsidR="00E6321D">
        <w:rPr>
          <w:color w:val="000000" w:themeColor="text1"/>
          <w:sz w:val="24"/>
          <w:szCs w:val="24"/>
        </w:rPr>
        <w:t xml:space="preserve">final </w:t>
      </w:r>
      <w:r w:rsidRPr="008A4301" w:rsidR="007116E7">
        <w:rPr>
          <w:color w:val="000000" w:themeColor="text1"/>
          <w:sz w:val="24"/>
          <w:szCs w:val="24"/>
        </w:rPr>
        <w:t xml:space="preserve">rule </w:t>
      </w:r>
      <w:r w:rsidRPr="008A4301" w:rsidR="000704D7">
        <w:rPr>
          <w:color w:val="000000" w:themeColor="text1"/>
          <w:sz w:val="24"/>
          <w:szCs w:val="24"/>
        </w:rPr>
        <w:t>at 674.23 provide</w:t>
      </w:r>
      <w:r w:rsidRPr="008A4301" w:rsidR="00E6321D">
        <w:rPr>
          <w:color w:val="000000" w:themeColor="text1"/>
          <w:sz w:val="24"/>
          <w:szCs w:val="24"/>
        </w:rPr>
        <w:t>s</w:t>
      </w:r>
      <w:r w:rsidRPr="008A4301" w:rsidR="000704D7">
        <w:rPr>
          <w:color w:val="000000" w:themeColor="text1"/>
          <w:sz w:val="24"/>
          <w:szCs w:val="24"/>
        </w:rPr>
        <w:t xml:space="preserve"> that agencies may withhold an investigation report “from being admitted as evidence or used in a civil action for damages resulting from a matter mentioned in the report.”  In addition, the </w:t>
      </w:r>
      <w:r w:rsidRPr="008A4301" w:rsidR="001C7302">
        <w:rPr>
          <w:color w:val="000000" w:themeColor="text1"/>
          <w:sz w:val="24"/>
          <w:szCs w:val="24"/>
        </w:rPr>
        <w:t xml:space="preserve">final </w:t>
      </w:r>
      <w:r w:rsidRPr="008A4301" w:rsidR="00E6321D">
        <w:rPr>
          <w:color w:val="000000" w:themeColor="text1"/>
          <w:sz w:val="24"/>
          <w:szCs w:val="24"/>
        </w:rPr>
        <w:t>r</w:t>
      </w:r>
      <w:r w:rsidRPr="008A4301" w:rsidR="000704D7">
        <w:rPr>
          <w:color w:val="000000" w:themeColor="text1"/>
          <w:sz w:val="24"/>
          <w:szCs w:val="24"/>
        </w:rPr>
        <w:t>e</w:t>
      </w:r>
      <w:r w:rsidRPr="008A4301" w:rsidR="00E6321D">
        <w:rPr>
          <w:color w:val="000000" w:themeColor="text1"/>
          <w:sz w:val="24"/>
          <w:szCs w:val="24"/>
        </w:rPr>
        <w:t>gulation</w:t>
      </w:r>
      <w:r w:rsidRPr="008A4301" w:rsidR="000704D7">
        <w:rPr>
          <w:color w:val="000000" w:themeColor="text1"/>
          <w:sz w:val="24"/>
          <w:szCs w:val="24"/>
        </w:rPr>
        <w:t xml:space="preserve"> at 674.</w:t>
      </w:r>
      <w:r w:rsidRPr="008A4301" w:rsidR="001A0198">
        <w:rPr>
          <w:color w:val="000000" w:themeColor="text1"/>
          <w:sz w:val="24"/>
          <w:szCs w:val="24"/>
        </w:rPr>
        <w:t xml:space="preserve">23 </w:t>
      </w:r>
      <w:r w:rsidRPr="008A4301" w:rsidR="000704D7">
        <w:rPr>
          <w:color w:val="000000" w:themeColor="text1"/>
          <w:sz w:val="24"/>
          <w:szCs w:val="24"/>
        </w:rPr>
        <w:t>would “not require public availability of any data, information, or procedures pertaining to the security of a rail fixed guideway public transportation system or its passenger operations.</w:t>
      </w:r>
      <w:r w:rsidRPr="008A4301" w:rsidR="00E6321D">
        <w:rPr>
          <w:color w:val="000000" w:themeColor="text1"/>
          <w:sz w:val="24"/>
          <w:szCs w:val="24"/>
        </w:rPr>
        <w:t>”</w:t>
      </w:r>
    </w:p>
    <w:p w:rsidR="00E75ACE" w:rsidRPr="008A4301" w:rsidP="00C00973" w14:paraId="42B9A56F" w14:textId="77777777">
      <w:pPr>
        <w:jc w:val="both"/>
        <w:rPr>
          <w:b/>
          <w:sz w:val="24"/>
          <w:szCs w:val="24"/>
        </w:rPr>
      </w:pPr>
    </w:p>
    <w:p w:rsidR="00E75ACE" w:rsidRPr="008A4301" w:rsidP="00C00973" w14:paraId="670C7C5F" w14:textId="77777777">
      <w:pPr>
        <w:jc w:val="both"/>
        <w:rPr>
          <w:b/>
          <w:sz w:val="24"/>
          <w:szCs w:val="24"/>
        </w:rPr>
      </w:pPr>
      <w:r w:rsidRPr="008A4301">
        <w:rPr>
          <w:b/>
          <w:sz w:val="24"/>
          <w:szCs w:val="24"/>
        </w:rPr>
        <w:t>11.  Provide additional justification for any questions of a sensitive nature.</w:t>
      </w:r>
    </w:p>
    <w:p w:rsidR="00E75ACE" w:rsidRPr="008A4301" w:rsidP="00C00973" w14:paraId="650C3BAD" w14:textId="77777777">
      <w:pPr>
        <w:jc w:val="both"/>
        <w:rPr>
          <w:b/>
          <w:sz w:val="24"/>
          <w:szCs w:val="24"/>
        </w:rPr>
      </w:pPr>
    </w:p>
    <w:p w:rsidR="00E75ACE" w:rsidRPr="008A4301" w:rsidP="007956E7" w14:paraId="215A3CA8" w14:textId="0EB30C77">
      <w:pPr>
        <w:pStyle w:val="BodyTextIndent2"/>
        <w:ind w:firstLine="0"/>
        <w:jc w:val="both"/>
        <w:rPr>
          <w:szCs w:val="24"/>
        </w:rPr>
      </w:pPr>
      <w:r w:rsidRPr="008A4301">
        <w:rPr>
          <w:szCs w:val="24"/>
        </w:rPr>
        <w:t>No individuals are asked questions of a sensitive nature in this information collection</w:t>
      </w:r>
      <w:r w:rsidR="00AA63B0">
        <w:rPr>
          <w:szCs w:val="24"/>
        </w:rPr>
        <w:t>.</w:t>
      </w:r>
      <w:r w:rsidRPr="008A4301">
        <w:rPr>
          <w:szCs w:val="24"/>
        </w:rPr>
        <w:t xml:space="preserve"> </w:t>
      </w:r>
    </w:p>
    <w:p w:rsidR="00E75ACE" w:rsidRPr="008A4301" w:rsidP="00C00973" w14:paraId="1DD5C696" w14:textId="77777777">
      <w:pPr>
        <w:ind w:firstLine="360"/>
        <w:jc w:val="both"/>
        <w:rPr>
          <w:sz w:val="24"/>
          <w:szCs w:val="24"/>
        </w:rPr>
      </w:pPr>
    </w:p>
    <w:p w:rsidR="00F467E7" w:rsidRPr="008A4301" w:rsidP="00C00973" w14:paraId="6A474EF8" w14:textId="20E81A7B">
      <w:pPr>
        <w:jc w:val="both"/>
        <w:rPr>
          <w:b/>
          <w:sz w:val="24"/>
          <w:szCs w:val="24"/>
        </w:rPr>
      </w:pPr>
      <w:r w:rsidRPr="008A4301">
        <w:rPr>
          <w:b/>
          <w:sz w:val="24"/>
          <w:szCs w:val="24"/>
        </w:rPr>
        <w:t xml:space="preserve">12.  Provide estimates of the </w:t>
      </w:r>
      <w:r w:rsidRPr="008A4301">
        <w:rPr>
          <w:b/>
          <w:sz w:val="24"/>
          <w:szCs w:val="24"/>
        </w:rPr>
        <w:t>hour burden of the collection of information and annualized cost to respondents.</w:t>
      </w:r>
    </w:p>
    <w:p w:rsidR="00F467E7" w:rsidRPr="008A4301" w:rsidP="00C00973" w14:paraId="31A7C45F" w14:textId="77777777">
      <w:pPr>
        <w:jc w:val="both"/>
        <w:rPr>
          <w:b/>
          <w:sz w:val="24"/>
          <w:szCs w:val="24"/>
        </w:rPr>
      </w:pPr>
    </w:p>
    <w:p w:rsidR="00870258" w:rsidRPr="008A4301" w:rsidP="00C00973" w14:paraId="1D0230B4" w14:textId="7AF8DDB1">
      <w:pPr>
        <w:jc w:val="both"/>
        <w:rPr>
          <w:b/>
          <w:sz w:val="24"/>
          <w:szCs w:val="24"/>
        </w:rPr>
      </w:pPr>
      <w:r w:rsidRPr="008A4301">
        <w:rPr>
          <w:b/>
          <w:sz w:val="24"/>
          <w:szCs w:val="24"/>
        </w:rPr>
        <w:t>Respondents: States and Rail Transit Agencies</w:t>
      </w:r>
    </w:p>
    <w:p w:rsidR="008A4301" w:rsidRPr="008A4301" w:rsidP="00C00973" w14:paraId="385DD606" w14:textId="77777777">
      <w:pPr>
        <w:jc w:val="both"/>
        <w:rPr>
          <w:b/>
          <w:sz w:val="24"/>
          <w:szCs w:val="24"/>
        </w:rPr>
      </w:pPr>
    </w:p>
    <w:p w:rsidR="00EF7003" w:rsidRPr="00CA311C" w:rsidP="00C00973" w14:paraId="7813373D" w14:textId="6C69179A">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00CA311C">
        <w:rPr>
          <w:b/>
          <w:color w:val="000000"/>
          <w:sz w:val="24"/>
          <w:szCs w:val="24"/>
        </w:rPr>
        <w:t xml:space="preserve">Total Respondents: </w:t>
      </w:r>
      <w:r w:rsidRPr="00CA311C" w:rsidR="00E50C23">
        <w:rPr>
          <w:b/>
          <w:color w:val="000000"/>
          <w:sz w:val="24"/>
          <w:szCs w:val="24"/>
        </w:rPr>
        <w:t>9</w:t>
      </w:r>
      <w:r w:rsidRPr="00CA311C" w:rsidR="00FC221A">
        <w:rPr>
          <w:b/>
          <w:color w:val="000000"/>
          <w:sz w:val="24"/>
          <w:szCs w:val="24"/>
        </w:rPr>
        <w:t>6</w:t>
      </w:r>
      <w:r w:rsidRPr="00CA311C" w:rsidR="00E50C23">
        <w:rPr>
          <w:b/>
          <w:color w:val="000000"/>
          <w:sz w:val="24"/>
          <w:szCs w:val="24"/>
        </w:rPr>
        <w:t xml:space="preserve"> </w:t>
      </w:r>
      <w:r w:rsidRPr="00CA311C" w:rsidR="00E50C23">
        <w:rPr>
          <w:color w:val="000000"/>
          <w:sz w:val="24"/>
          <w:szCs w:val="24"/>
        </w:rPr>
        <w:t>(3</w:t>
      </w:r>
      <w:r w:rsidRPr="00CA311C" w:rsidR="0040510D">
        <w:rPr>
          <w:color w:val="000000"/>
          <w:sz w:val="24"/>
          <w:szCs w:val="24"/>
        </w:rPr>
        <w:t>1</w:t>
      </w:r>
      <w:r w:rsidRPr="00CA311C" w:rsidR="00E50C23">
        <w:rPr>
          <w:color w:val="000000"/>
          <w:sz w:val="24"/>
          <w:szCs w:val="24"/>
        </w:rPr>
        <w:t xml:space="preserve"> S</w:t>
      </w:r>
      <w:r w:rsidRPr="00CA311C" w:rsidR="00634C05">
        <w:rPr>
          <w:color w:val="000000"/>
          <w:sz w:val="24"/>
          <w:szCs w:val="24"/>
        </w:rPr>
        <w:t>SOAs</w:t>
      </w:r>
      <w:r w:rsidRPr="00CA311C" w:rsidR="00E50C23">
        <w:rPr>
          <w:color w:val="000000"/>
          <w:sz w:val="24"/>
          <w:szCs w:val="24"/>
        </w:rPr>
        <w:t xml:space="preserve"> + 6</w:t>
      </w:r>
      <w:r w:rsidRPr="00CA311C" w:rsidR="00FC221A">
        <w:rPr>
          <w:color w:val="000000"/>
          <w:sz w:val="24"/>
          <w:szCs w:val="24"/>
        </w:rPr>
        <w:t>5</w:t>
      </w:r>
      <w:r w:rsidRPr="00CA311C" w:rsidR="00E50C23">
        <w:rPr>
          <w:color w:val="000000"/>
          <w:sz w:val="24"/>
          <w:szCs w:val="24"/>
        </w:rPr>
        <w:t xml:space="preserve"> </w:t>
      </w:r>
      <w:r w:rsidRPr="00CA311C" w:rsidR="00634C05">
        <w:rPr>
          <w:color w:val="000000"/>
          <w:sz w:val="24"/>
          <w:szCs w:val="24"/>
        </w:rPr>
        <w:t>RTAs</w:t>
      </w:r>
      <w:r w:rsidRPr="00CA311C" w:rsidR="00E50C23">
        <w:rPr>
          <w:color w:val="000000"/>
          <w:sz w:val="24"/>
          <w:szCs w:val="24"/>
        </w:rPr>
        <w:t>)</w:t>
      </w:r>
      <w:r w:rsidRPr="00CA311C" w:rsidR="00634C05">
        <w:rPr>
          <w:color w:val="000000"/>
          <w:sz w:val="24"/>
          <w:szCs w:val="24"/>
        </w:rPr>
        <w:t>.</w:t>
      </w:r>
      <w:r w:rsidRPr="00CA311C" w:rsidR="00A3567D">
        <w:rPr>
          <w:color w:val="000000"/>
          <w:sz w:val="24"/>
          <w:szCs w:val="24"/>
        </w:rPr>
        <w:t xml:space="preserve"> </w:t>
      </w:r>
    </w:p>
    <w:p w:rsidR="00A73015" w:rsidRPr="00CA311C" w:rsidP="245F2F03" w14:paraId="1D3456C3" w14:textId="3619E2E5">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23FB9889">
        <w:rPr>
          <w:b/>
          <w:bCs/>
          <w:color w:val="000000" w:themeColor="text1"/>
          <w:sz w:val="24"/>
          <w:szCs w:val="24"/>
        </w:rPr>
        <w:t xml:space="preserve">Total Estimated Annual Responses: </w:t>
      </w:r>
      <w:r w:rsidRPr="23FB9889" w:rsidR="00CA311C">
        <w:rPr>
          <w:color w:val="000000" w:themeColor="text1"/>
          <w:sz w:val="24"/>
          <w:szCs w:val="24"/>
        </w:rPr>
        <w:t>1,</w:t>
      </w:r>
      <w:r w:rsidRPr="23FB9889" w:rsidR="18751DE3">
        <w:rPr>
          <w:color w:val="000000" w:themeColor="text1"/>
          <w:sz w:val="24"/>
          <w:szCs w:val="24"/>
        </w:rPr>
        <w:t>65</w:t>
      </w:r>
      <w:r w:rsidRPr="23FB9889" w:rsidR="00CA311C">
        <w:rPr>
          <w:color w:val="000000" w:themeColor="text1"/>
          <w:sz w:val="24"/>
          <w:szCs w:val="24"/>
        </w:rPr>
        <w:t>5</w:t>
      </w:r>
    </w:p>
    <w:p w:rsidR="00634C05" w:rsidRPr="00CA311C" w:rsidP="00C00973" w14:paraId="216DFD70" w14:textId="12544824">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23FB9889">
        <w:rPr>
          <w:b/>
          <w:bCs/>
          <w:color w:val="000000" w:themeColor="text1"/>
          <w:sz w:val="24"/>
          <w:szCs w:val="24"/>
        </w:rPr>
        <w:t xml:space="preserve">Total </w:t>
      </w:r>
      <w:r w:rsidRPr="23FB9889" w:rsidR="00A73015">
        <w:rPr>
          <w:b/>
          <w:bCs/>
          <w:color w:val="000000" w:themeColor="text1"/>
          <w:sz w:val="24"/>
          <w:szCs w:val="24"/>
        </w:rPr>
        <w:t xml:space="preserve">Estimated </w:t>
      </w:r>
      <w:r w:rsidRPr="23FB9889">
        <w:rPr>
          <w:b/>
          <w:bCs/>
          <w:color w:val="000000" w:themeColor="text1"/>
          <w:sz w:val="24"/>
          <w:szCs w:val="24"/>
        </w:rPr>
        <w:t xml:space="preserve">Annual Burden Hours: </w:t>
      </w:r>
      <w:r w:rsidRPr="23FB9889" w:rsidR="00CA311C">
        <w:rPr>
          <w:color w:val="000000" w:themeColor="text1"/>
          <w:sz w:val="24"/>
          <w:szCs w:val="24"/>
        </w:rPr>
        <w:t>18,018</w:t>
      </w:r>
      <w:r w:rsidRPr="23FB9889" w:rsidR="00E50C23">
        <w:rPr>
          <w:color w:val="000000" w:themeColor="text1"/>
          <w:sz w:val="24"/>
          <w:szCs w:val="24"/>
        </w:rPr>
        <w:t xml:space="preserve"> hours</w:t>
      </w:r>
      <w:r w:rsidRPr="23FB9889" w:rsidR="00E50C23">
        <w:rPr>
          <w:b/>
          <w:bCs/>
          <w:color w:val="000000" w:themeColor="text1"/>
          <w:sz w:val="24"/>
          <w:szCs w:val="24"/>
        </w:rPr>
        <w:t xml:space="preserve"> </w:t>
      </w:r>
      <w:r w:rsidRPr="23FB9889" w:rsidR="00E50C23">
        <w:rPr>
          <w:color w:val="000000" w:themeColor="text1"/>
          <w:sz w:val="24"/>
          <w:szCs w:val="24"/>
        </w:rPr>
        <w:t>(</w:t>
      </w:r>
      <w:r w:rsidRPr="23FB9889" w:rsidR="00FC2A89">
        <w:rPr>
          <w:color w:val="000000" w:themeColor="text1"/>
          <w:sz w:val="24"/>
          <w:szCs w:val="24"/>
        </w:rPr>
        <w:t>1</w:t>
      </w:r>
      <w:r w:rsidRPr="23FB9889" w:rsidR="2B10B1D4">
        <w:rPr>
          <w:color w:val="000000" w:themeColor="text1"/>
          <w:sz w:val="24"/>
          <w:szCs w:val="24"/>
        </w:rPr>
        <w:t>2</w:t>
      </w:r>
      <w:r w:rsidRPr="23FB9889" w:rsidR="628BBE75">
        <w:rPr>
          <w:color w:val="000000" w:themeColor="text1"/>
          <w:sz w:val="24"/>
          <w:szCs w:val="24"/>
        </w:rPr>
        <w:t>,</w:t>
      </w:r>
      <w:r w:rsidRPr="23FB9889" w:rsidR="538EEAE9">
        <w:rPr>
          <w:color w:val="000000" w:themeColor="text1"/>
          <w:sz w:val="24"/>
          <w:szCs w:val="24"/>
        </w:rPr>
        <w:t>02</w:t>
      </w:r>
      <w:r w:rsidRPr="23FB9889" w:rsidR="00CA311C">
        <w:rPr>
          <w:color w:val="000000" w:themeColor="text1"/>
          <w:sz w:val="24"/>
          <w:szCs w:val="24"/>
        </w:rPr>
        <w:t>6</w:t>
      </w:r>
      <w:r w:rsidRPr="23FB9889" w:rsidR="00E50C23">
        <w:rPr>
          <w:color w:val="000000" w:themeColor="text1"/>
          <w:sz w:val="24"/>
          <w:szCs w:val="24"/>
        </w:rPr>
        <w:t xml:space="preserve"> </w:t>
      </w:r>
      <w:r w:rsidRPr="23FB9889">
        <w:rPr>
          <w:color w:val="000000" w:themeColor="text1"/>
          <w:sz w:val="24"/>
          <w:szCs w:val="24"/>
        </w:rPr>
        <w:t>SSOA</w:t>
      </w:r>
      <w:r w:rsidRPr="23FB9889" w:rsidR="00E50C23">
        <w:rPr>
          <w:color w:val="000000" w:themeColor="text1"/>
          <w:sz w:val="24"/>
          <w:szCs w:val="24"/>
        </w:rPr>
        <w:t xml:space="preserve"> </w:t>
      </w:r>
      <w:r w:rsidRPr="23FB9889" w:rsidR="00F200F4">
        <w:rPr>
          <w:color w:val="000000" w:themeColor="text1"/>
          <w:sz w:val="24"/>
          <w:szCs w:val="24"/>
        </w:rPr>
        <w:t>hours</w:t>
      </w:r>
      <w:r w:rsidRPr="23FB9889" w:rsidR="00E50C23">
        <w:rPr>
          <w:color w:val="000000" w:themeColor="text1"/>
          <w:sz w:val="24"/>
          <w:szCs w:val="24"/>
        </w:rPr>
        <w:t>+</w:t>
      </w:r>
      <w:r w:rsidRPr="23FB9889" w:rsidR="4556E0B5">
        <w:rPr>
          <w:color w:val="000000" w:themeColor="text1"/>
          <w:sz w:val="24"/>
          <w:szCs w:val="24"/>
        </w:rPr>
        <w:t>5,99</w:t>
      </w:r>
      <w:r w:rsidRPr="23FB9889" w:rsidR="00E6321D">
        <w:rPr>
          <w:color w:val="000000" w:themeColor="text1"/>
          <w:sz w:val="24"/>
          <w:szCs w:val="24"/>
        </w:rPr>
        <w:t>2</w:t>
      </w:r>
      <w:r w:rsidRPr="23FB9889" w:rsidR="00F1433E">
        <w:rPr>
          <w:color w:val="000000" w:themeColor="text1"/>
          <w:sz w:val="24"/>
          <w:szCs w:val="24"/>
        </w:rPr>
        <w:t xml:space="preserve"> </w:t>
      </w:r>
      <w:r w:rsidRPr="23FB9889">
        <w:rPr>
          <w:color w:val="000000" w:themeColor="text1"/>
          <w:sz w:val="24"/>
          <w:szCs w:val="24"/>
        </w:rPr>
        <w:t>RTA</w:t>
      </w:r>
      <w:r w:rsidRPr="23FB9889" w:rsidR="00E50C23">
        <w:rPr>
          <w:color w:val="000000" w:themeColor="text1"/>
          <w:sz w:val="24"/>
          <w:szCs w:val="24"/>
        </w:rPr>
        <w:t xml:space="preserve"> hours)</w:t>
      </w:r>
      <w:r w:rsidRPr="23FB9889" w:rsidR="00F200F4">
        <w:rPr>
          <w:color w:val="000000" w:themeColor="text1"/>
          <w:sz w:val="24"/>
          <w:szCs w:val="24"/>
        </w:rPr>
        <w:t>.</w:t>
      </w:r>
    </w:p>
    <w:p w:rsidR="00EF7003" w:rsidRPr="008A4301" w:rsidP="00C00973" w14:paraId="143B14CD" w14:textId="19B7B4CA">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23FB9889">
        <w:rPr>
          <w:b/>
          <w:bCs/>
          <w:color w:val="000000" w:themeColor="text1"/>
          <w:sz w:val="24"/>
          <w:szCs w:val="24"/>
        </w:rPr>
        <w:t xml:space="preserve">Annualized Cost to Respondents: </w:t>
      </w:r>
      <w:bookmarkStart w:id="0" w:name="_Hlk178346960"/>
      <w:r w:rsidRPr="23FB9889">
        <w:rPr>
          <w:color w:val="000000" w:themeColor="text1"/>
          <w:sz w:val="24"/>
          <w:szCs w:val="24"/>
        </w:rPr>
        <w:t>$</w:t>
      </w:r>
      <w:r w:rsidRPr="23FB9889" w:rsidR="006513C3">
        <w:rPr>
          <w:color w:val="000000" w:themeColor="text1"/>
          <w:sz w:val="24"/>
          <w:szCs w:val="24"/>
        </w:rPr>
        <w:t>1,</w:t>
      </w:r>
      <w:r w:rsidRPr="23FB9889" w:rsidR="5C92A845">
        <w:rPr>
          <w:color w:val="000000" w:themeColor="text1"/>
          <w:sz w:val="24"/>
          <w:szCs w:val="24"/>
        </w:rPr>
        <w:t>105,427</w:t>
      </w:r>
      <w:r w:rsidRPr="23FB9889">
        <w:rPr>
          <w:color w:val="000000" w:themeColor="text1"/>
          <w:sz w:val="24"/>
          <w:szCs w:val="24"/>
        </w:rPr>
        <w:t xml:space="preserve"> </w:t>
      </w:r>
      <w:bookmarkEnd w:id="0"/>
      <w:r w:rsidRPr="23FB9889">
        <w:rPr>
          <w:color w:val="000000" w:themeColor="text1"/>
          <w:sz w:val="24"/>
          <w:szCs w:val="24"/>
        </w:rPr>
        <w:t>($</w:t>
      </w:r>
      <w:r w:rsidRPr="23FB9889" w:rsidR="006513C3">
        <w:rPr>
          <w:color w:val="000000" w:themeColor="text1"/>
          <w:sz w:val="24"/>
          <w:szCs w:val="24"/>
        </w:rPr>
        <w:t>7</w:t>
      </w:r>
      <w:r w:rsidRPr="23FB9889" w:rsidR="00CA311C">
        <w:rPr>
          <w:color w:val="000000" w:themeColor="text1"/>
          <w:sz w:val="24"/>
          <w:szCs w:val="24"/>
        </w:rPr>
        <w:t>37</w:t>
      </w:r>
      <w:r w:rsidRPr="23FB9889" w:rsidR="006513C3">
        <w:rPr>
          <w:color w:val="000000" w:themeColor="text1"/>
          <w:sz w:val="24"/>
          <w:szCs w:val="24"/>
        </w:rPr>
        <w:t>,</w:t>
      </w:r>
      <w:r w:rsidRPr="23FB9889" w:rsidR="00CA311C">
        <w:rPr>
          <w:color w:val="000000" w:themeColor="text1"/>
          <w:sz w:val="24"/>
          <w:szCs w:val="24"/>
        </w:rPr>
        <w:t>797</w:t>
      </w:r>
      <w:r w:rsidRPr="23FB9889">
        <w:rPr>
          <w:color w:val="000000" w:themeColor="text1"/>
          <w:sz w:val="24"/>
          <w:szCs w:val="24"/>
        </w:rPr>
        <w:t xml:space="preserve"> SSOA costs + $</w:t>
      </w:r>
      <w:r w:rsidRPr="23FB9889" w:rsidR="4A8BF515">
        <w:rPr>
          <w:color w:val="000000" w:themeColor="text1"/>
          <w:sz w:val="24"/>
          <w:szCs w:val="24"/>
        </w:rPr>
        <w:t>367,630</w:t>
      </w:r>
      <w:r w:rsidRPr="23FB9889">
        <w:rPr>
          <w:color w:val="000000" w:themeColor="text1"/>
          <w:sz w:val="24"/>
          <w:szCs w:val="24"/>
        </w:rPr>
        <w:t xml:space="preserve"> RTA costs).</w:t>
      </w:r>
    </w:p>
    <w:p w:rsidR="00C00973" w:rsidP="00203161" w14:paraId="54F543A8" w14:textId="47AF580D">
      <w:pPr>
        <w:jc w:val="both"/>
        <w:rPr>
          <w:bCs/>
          <w:color w:val="000000"/>
          <w:sz w:val="24"/>
          <w:szCs w:val="24"/>
        </w:rPr>
      </w:pPr>
    </w:p>
    <w:p w:rsidR="00EC2386" w:rsidP="00203161" w14:paraId="2CD1BE1F" w14:textId="0577651C">
      <w:pPr>
        <w:jc w:val="both"/>
        <w:rPr>
          <w:bCs/>
          <w:color w:val="000000"/>
          <w:sz w:val="24"/>
          <w:szCs w:val="24"/>
        </w:rPr>
      </w:pPr>
    </w:p>
    <w:p w:rsidR="00EC2386" w:rsidP="00203161" w14:paraId="506E9F57" w14:textId="3EE3A0FA">
      <w:pPr>
        <w:jc w:val="both"/>
        <w:rPr>
          <w:bCs/>
          <w:color w:val="000000"/>
          <w:sz w:val="24"/>
          <w:szCs w:val="24"/>
        </w:rPr>
      </w:pPr>
    </w:p>
    <w:p w:rsidR="0003358C" w:rsidP="00203161" w14:paraId="4545132D" w14:textId="77777777">
      <w:pPr>
        <w:jc w:val="both"/>
        <w:rPr>
          <w:bCs/>
          <w:color w:val="000000"/>
          <w:sz w:val="24"/>
          <w:szCs w:val="24"/>
        </w:rPr>
      </w:pPr>
    </w:p>
    <w:p w:rsidR="0003358C" w:rsidP="00203161" w14:paraId="69D6FCAB" w14:textId="77777777">
      <w:pPr>
        <w:jc w:val="both"/>
        <w:rPr>
          <w:bCs/>
          <w:color w:val="000000"/>
          <w:sz w:val="24"/>
          <w:szCs w:val="24"/>
        </w:rPr>
      </w:pPr>
    </w:p>
    <w:p w:rsidR="0003358C" w:rsidP="00203161" w14:paraId="04D11658" w14:textId="77777777">
      <w:pPr>
        <w:jc w:val="both"/>
        <w:rPr>
          <w:bCs/>
          <w:color w:val="000000"/>
          <w:sz w:val="24"/>
          <w:szCs w:val="24"/>
        </w:rPr>
      </w:pPr>
    </w:p>
    <w:p w:rsidR="00634C05" w:rsidRPr="008A4301" w:rsidP="006C6233" w14:paraId="0CA66087" w14:textId="1330DF5A">
      <w:pPr>
        <w:ind w:firstLine="360"/>
        <w:rPr>
          <w:bCs/>
          <w:color w:val="000000"/>
          <w:sz w:val="24"/>
          <w:szCs w:val="24"/>
        </w:rPr>
      </w:pPr>
      <w:r w:rsidRPr="008A4301">
        <w:rPr>
          <w:bCs/>
          <w:color w:val="000000"/>
          <w:sz w:val="24"/>
          <w:szCs w:val="24"/>
        </w:rPr>
        <w:t xml:space="preserve">The </w:t>
      </w:r>
      <w:r w:rsidRPr="008A4301">
        <w:rPr>
          <w:bCs/>
          <w:sz w:val="24"/>
          <w:szCs w:val="24"/>
        </w:rPr>
        <w:t>table</w:t>
      </w:r>
      <w:r w:rsidRPr="008A4301">
        <w:rPr>
          <w:bCs/>
          <w:color w:val="000000"/>
          <w:sz w:val="24"/>
          <w:szCs w:val="24"/>
        </w:rPr>
        <w:t xml:space="preserve"> below presents the current estimates for information collection burden for SSOAs and RTAs.</w:t>
      </w:r>
    </w:p>
    <w:p w:rsidR="00634C05" w:rsidRPr="008A4301" w:rsidP="00C00973" w14:paraId="01631C65" w14:textId="77777777">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color w:val="000000"/>
          <w:sz w:val="24"/>
          <w:szCs w:val="24"/>
        </w:rPr>
      </w:pPr>
    </w:p>
    <w:p w:rsidR="00634C05" w:rsidP="00C00973" w14:paraId="3FDC88A7" w14:textId="02E86E70">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8A4301">
        <w:rPr>
          <w:b/>
          <w:color w:val="000000"/>
          <w:sz w:val="24"/>
          <w:szCs w:val="24"/>
        </w:rPr>
        <w:t>Total Estimated Hours for 49 CFR Part 674 PRA-Related Activities</w:t>
      </w:r>
    </w:p>
    <w:p w:rsidR="00203161" w:rsidP="00C00973" w14:paraId="2B996E01" w14:textId="77777777">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p>
    <w:tbl>
      <w:tblPr>
        <w:tblW w:w="9889" w:type="dxa"/>
        <w:tblLayout w:type="fixed"/>
        <w:tblLook w:val="04A0"/>
      </w:tblPr>
      <w:tblGrid>
        <w:gridCol w:w="2051"/>
        <w:gridCol w:w="739"/>
        <w:gridCol w:w="810"/>
        <w:gridCol w:w="1080"/>
        <w:gridCol w:w="720"/>
        <w:gridCol w:w="720"/>
        <w:gridCol w:w="1057"/>
        <w:gridCol w:w="720"/>
        <w:gridCol w:w="810"/>
        <w:gridCol w:w="1182"/>
      </w:tblGrid>
      <w:tr w14:paraId="245DC92C" w14:textId="77777777" w:rsidTr="23FB9889">
        <w:tblPrEx>
          <w:tblW w:w="9889" w:type="dxa"/>
          <w:tblLayout w:type="fixed"/>
          <w:tblLook w:val="04A0"/>
        </w:tblPrEx>
        <w:trPr>
          <w:trHeight w:val="70"/>
        </w:trPr>
        <w:tc>
          <w:tcPr>
            <w:tcW w:w="2051" w:type="dxa"/>
            <w:tcBorders>
              <w:top w:val="nil"/>
              <w:bottom w:val="nil"/>
              <w:right w:val="nil"/>
            </w:tcBorders>
            <w:shd w:val="clear" w:color="auto" w:fill="FFFFFF" w:themeFill="background1"/>
            <w:noWrap/>
            <w:vAlign w:val="bottom"/>
            <w:hideMark/>
          </w:tcPr>
          <w:p w:rsidR="009B6E68" w:rsidRPr="00634C05" w:rsidP="00C00973" w14:paraId="31377DDF" w14:textId="77777777">
            <w:pPr>
              <w:jc w:val="both"/>
              <w:rPr>
                <w:rFonts w:ascii="Calibri" w:hAnsi="Calibri" w:cs="Calibri"/>
                <w:b/>
                <w:bCs/>
                <w:color w:val="000000"/>
              </w:rPr>
            </w:pPr>
            <w:r w:rsidRPr="00634C05">
              <w:rPr>
                <w:rFonts w:ascii="Calibri" w:hAnsi="Calibri" w:cs="Calibri"/>
                <w:b/>
                <w:bCs/>
                <w:color w:val="000000"/>
              </w:rPr>
              <w:t> </w:t>
            </w:r>
          </w:p>
        </w:tc>
        <w:tc>
          <w:tcPr>
            <w:tcW w:w="2629" w:type="dxa"/>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rsidR="009B6E68" w:rsidRPr="00634C05" w:rsidP="009B6E68" w14:paraId="38E4B0EC" w14:textId="77777777">
            <w:pPr>
              <w:jc w:val="center"/>
              <w:rPr>
                <w:rFonts w:ascii="Calibri" w:hAnsi="Calibri" w:cs="Calibri"/>
                <w:b/>
                <w:bCs/>
                <w:color w:val="000000"/>
              </w:rPr>
            </w:pPr>
            <w:r w:rsidRPr="00634C05">
              <w:rPr>
                <w:rFonts w:ascii="Calibri" w:hAnsi="Calibri" w:cs="Calibri"/>
                <w:b/>
                <w:bCs/>
                <w:color w:val="000000"/>
              </w:rPr>
              <w:t>SSOA</w:t>
            </w:r>
          </w:p>
        </w:tc>
        <w:tc>
          <w:tcPr>
            <w:tcW w:w="2497" w:type="dxa"/>
            <w:gridSpan w:val="3"/>
            <w:tcBorders>
              <w:top w:val="single" w:sz="4" w:space="0" w:color="auto"/>
              <w:left w:val="nil"/>
              <w:bottom w:val="single" w:sz="4" w:space="0" w:color="auto"/>
              <w:right w:val="nil"/>
            </w:tcBorders>
            <w:shd w:val="clear" w:color="auto" w:fill="FFFFFF" w:themeFill="background1"/>
            <w:noWrap/>
            <w:vAlign w:val="bottom"/>
            <w:hideMark/>
          </w:tcPr>
          <w:p w:rsidR="009B6E68" w:rsidRPr="00634C05" w:rsidP="009B6E68" w14:paraId="38643091" w14:textId="77777777">
            <w:pPr>
              <w:jc w:val="center"/>
              <w:rPr>
                <w:rFonts w:ascii="Calibri" w:hAnsi="Calibri" w:cs="Calibri"/>
                <w:b/>
                <w:bCs/>
                <w:color w:val="000000"/>
              </w:rPr>
            </w:pPr>
            <w:r w:rsidRPr="00634C05">
              <w:rPr>
                <w:rFonts w:ascii="Calibri" w:hAnsi="Calibri" w:cs="Calibri"/>
                <w:b/>
                <w:bCs/>
                <w:color w:val="000000"/>
              </w:rPr>
              <w:t>RTA</w:t>
            </w:r>
          </w:p>
        </w:tc>
        <w:tc>
          <w:tcPr>
            <w:tcW w:w="2710" w:type="dxa"/>
            <w:gridSpan w:val="3"/>
            <w:tcBorders>
              <w:top w:val="single" w:sz="4" w:space="0" w:color="auto"/>
              <w:left w:val="single" w:sz="4" w:space="0" w:color="auto"/>
              <w:bottom w:val="single" w:sz="4" w:space="0" w:color="auto"/>
              <w:right w:val="single" w:sz="8" w:space="0" w:color="000000" w:themeColor="text1"/>
            </w:tcBorders>
            <w:shd w:val="clear" w:color="auto" w:fill="FFFFFF" w:themeFill="background1"/>
          </w:tcPr>
          <w:p w:rsidR="009B6E68" w:rsidRPr="00634C05" w:rsidP="009B6E68" w14:paraId="76A7F48D" w14:textId="7EB4F42A">
            <w:pPr>
              <w:jc w:val="center"/>
              <w:rPr>
                <w:rFonts w:ascii="Calibri" w:hAnsi="Calibri" w:cs="Calibri"/>
                <w:b/>
                <w:bCs/>
                <w:color w:val="000000"/>
              </w:rPr>
            </w:pPr>
            <w:r>
              <w:rPr>
                <w:rFonts w:ascii="Calibri" w:hAnsi="Calibri" w:cs="Calibri"/>
                <w:b/>
                <w:bCs/>
                <w:color w:val="000000"/>
              </w:rPr>
              <w:t>Total</w:t>
            </w:r>
          </w:p>
        </w:tc>
      </w:tr>
      <w:tr w14:paraId="27A37867" w14:textId="77777777" w:rsidTr="23FB9889">
        <w:tblPrEx>
          <w:tblW w:w="9889" w:type="dxa"/>
          <w:tblLayout w:type="fixed"/>
          <w:tblLook w:val="04A0"/>
        </w:tblPrEx>
        <w:trPr>
          <w:trHeight w:val="70"/>
        </w:trPr>
        <w:tc>
          <w:tcPr>
            <w:tcW w:w="2051" w:type="dxa"/>
            <w:tcBorders>
              <w:top w:val="nil"/>
              <w:bottom w:val="single" w:sz="4" w:space="0" w:color="auto"/>
              <w:right w:val="nil"/>
            </w:tcBorders>
            <w:shd w:val="clear" w:color="auto" w:fill="FFFFFF" w:themeFill="background1"/>
            <w:noWrap/>
            <w:vAlign w:val="bottom"/>
            <w:hideMark/>
          </w:tcPr>
          <w:p w:rsidR="009B6E68" w:rsidRPr="00634C05" w:rsidP="00C00973" w14:paraId="3CFB71E1" w14:textId="77777777">
            <w:pPr>
              <w:jc w:val="both"/>
              <w:rPr>
                <w:rFonts w:ascii="Calibri" w:hAnsi="Calibri" w:cs="Calibri"/>
                <w:b/>
                <w:bCs/>
                <w:color w:val="000000"/>
              </w:rPr>
            </w:pPr>
            <w:r w:rsidRPr="00634C05">
              <w:rPr>
                <w:rFonts w:ascii="Calibri" w:hAnsi="Calibri" w:cs="Calibri"/>
                <w:b/>
                <w:bCs/>
                <w:color w:val="000000"/>
              </w:rPr>
              <w:t> </w:t>
            </w:r>
          </w:p>
        </w:tc>
        <w:tc>
          <w:tcPr>
            <w:tcW w:w="739" w:type="dxa"/>
            <w:tcBorders>
              <w:top w:val="nil"/>
              <w:left w:val="single" w:sz="4" w:space="0" w:color="auto"/>
              <w:bottom w:val="nil"/>
              <w:right w:val="nil"/>
            </w:tcBorders>
            <w:shd w:val="clear" w:color="auto" w:fill="FFFFFF" w:themeFill="background1"/>
            <w:noWrap/>
            <w:vAlign w:val="bottom"/>
            <w:hideMark/>
          </w:tcPr>
          <w:p w:rsidR="009B6E68" w:rsidRPr="00634C05" w:rsidP="00C00973" w14:paraId="154C96DD" w14:textId="4E2F02CB">
            <w:pPr>
              <w:ind w:right="-206"/>
              <w:jc w:val="both"/>
              <w:rPr>
                <w:rFonts w:ascii="Calibri" w:hAnsi="Calibri" w:cs="Calibri"/>
                <w:b/>
                <w:bCs/>
                <w:color w:val="000000"/>
              </w:rPr>
            </w:pPr>
            <w:r w:rsidRPr="00634C05">
              <w:rPr>
                <w:rFonts w:ascii="Calibri" w:hAnsi="Calibri" w:cs="Calibri"/>
                <w:b/>
                <w:bCs/>
                <w:color w:val="000000"/>
              </w:rPr>
              <w:t>Resp.*</w:t>
            </w:r>
          </w:p>
        </w:tc>
        <w:tc>
          <w:tcPr>
            <w:tcW w:w="810" w:type="dxa"/>
            <w:tcBorders>
              <w:top w:val="nil"/>
              <w:left w:val="nil"/>
              <w:bottom w:val="nil"/>
              <w:right w:val="nil"/>
            </w:tcBorders>
            <w:shd w:val="clear" w:color="auto" w:fill="FFFFFF" w:themeFill="background1"/>
            <w:noWrap/>
            <w:vAlign w:val="bottom"/>
            <w:hideMark/>
          </w:tcPr>
          <w:p w:rsidR="009B6E68" w:rsidRPr="00634C05" w:rsidP="00C00973" w14:paraId="364452C2" w14:textId="77777777">
            <w:pPr>
              <w:jc w:val="both"/>
              <w:rPr>
                <w:rFonts w:ascii="Calibri" w:hAnsi="Calibri" w:cs="Calibri"/>
                <w:b/>
                <w:bCs/>
                <w:color w:val="000000"/>
              </w:rPr>
            </w:pPr>
            <w:r w:rsidRPr="00634C05">
              <w:rPr>
                <w:rFonts w:ascii="Calibri" w:hAnsi="Calibri" w:cs="Calibri"/>
                <w:b/>
                <w:bCs/>
                <w:color w:val="000000"/>
              </w:rPr>
              <w:t>Hours</w:t>
            </w:r>
          </w:p>
        </w:tc>
        <w:tc>
          <w:tcPr>
            <w:tcW w:w="1080" w:type="dxa"/>
            <w:tcBorders>
              <w:top w:val="nil"/>
              <w:left w:val="nil"/>
              <w:bottom w:val="nil"/>
              <w:right w:val="single" w:sz="4" w:space="0" w:color="auto"/>
            </w:tcBorders>
            <w:shd w:val="clear" w:color="auto" w:fill="FFFFFF" w:themeFill="background1"/>
            <w:noWrap/>
            <w:vAlign w:val="bottom"/>
            <w:hideMark/>
          </w:tcPr>
          <w:p w:rsidR="009B6E68" w:rsidRPr="00634C05" w:rsidP="00C00973" w14:paraId="7627B856" w14:textId="2791C839">
            <w:pPr>
              <w:jc w:val="both"/>
              <w:rPr>
                <w:rFonts w:ascii="Calibri" w:hAnsi="Calibri" w:cs="Calibri"/>
                <w:b/>
                <w:bCs/>
                <w:color w:val="000000"/>
              </w:rPr>
            </w:pPr>
            <w:r w:rsidRPr="00634C05">
              <w:rPr>
                <w:rFonts w:ascii="Calibri" w:hAnsi="Calibri" w:cs="Calibri"/>
                <w:b/>
                <w:bCs/>
                <w:color w:val="000000"/>
              </w:rPr>
              <w:t>Cost</w:t>
            </w:r>
            <w:r>
              <w:rPr>
                <w:rStyle w:val="FootnoteReference"/>
                <w:rFonts w:ascii="Calibri" w:hAnsi="Calibri" w:cs="Calibri"/>
                <w:b/>
                <w:bCs/>
                <w:color w:val="000000"/>
              </w:rPr>
              <w:footnoteReference w:id="3"/>
            </w:r>
          </w:p>
        </w:tc>
        <w:tc>
          <w:tcPr>
            <w:tcW w:w="720" w:type="dxa"/>
            <w:tcBorders>
              <w:top w:val="nil"/>
              <w:left w:val="nil"/>
              <w:bottom w:val="nil"/>
              <w:right w:val="nil"/>
            </w:tcBorders>
            <w:shd w:val="clear" w:color="auto" w:fill="FFFFFF" w:themeFill="background1"/>
            <w:noWrap/>
            <w:vAlign w:val="bottom"/>
            <w:hideMark/>
          </w:tcPr>
          <w:p w:rsidR="009B6E68" w:rsidRPr="00634C05" w:rsidP="00C00973" w14:paraId="6CD7AF9A" w14:textId="1AF787F7">
            <w:pPr>
              <w:ind w:right="-218"/>
              <w:jc w:val="both"/>
              <w:rPr>
                <w:rFonts w:ascii="Calibri" w:hAnsi="Calibri" w:cs="Calibri"/>
                <w:b/>
                <w:bCs/>
                <w:color w:val="000000"/>
              </w:rPr>
            </w:pPr>
            <w:r w:rsidRPr="00634C05">
              <w:rPr>
                <w:rFonts w:ascii="Calibri" w:hAnsi="Calibri" w:cs="Calibri"/>
                <w:b/>
                <w:bCs/>
                <w:color w:val="000000"/>
              </w:rPr>
              <w:t>Resp.*</w:t>
            </w:r>
          </w:p>
        </w:tc>
        <w:tc>
          <w:tcPr>
            <w:tcW w:w="720" w:type="dxa"/>
            <w:tcBorders>
              <w:top w:val="nil"/>
              <w:left w:val="nil"/>
              <w:bottom w:val="nil"/>
              <w:right w:val="nil"/>
            </w:tcBorders>
            <w:shd w:val="clear" w:color="auto" w:fill="FFFFFF" w:themeFill="background1"/>
            <w:noWrap/>
            <w:vAlign w:val="bottom"/>
            <w:hideMark/>
          </w:tcPr>
          <w:p w:rsidR="009B6E68" w:rsidRPr="00634C05" w:rsidP="00C00973" w14:paraId="2978AA99" w14:textId="27CED626">
            <w:pPr>
              <w:jc w:val="both"/>
              <w:rPr>
                <w:rFonts w:ascii="Calibri" w:hAnsi="Calibri" w:cs="Calibri"/>
                <w:b/>
                <w:bCs/>
                <w:color w:val="000000"/>
              </w:rPr>
            </w:pPr>
            <w:r w:rsidRPr="00634C05">
              <w:rPr>
                <w:rFonts w:ascii="Calibri" w:hAnsi="Calibri" w:cs="Calibri"/>
                <w:b/>
                <w:bCs/>
                <w:color w:val="000000"/>
              </w:rPr>
              <w:t>Hours</w:t>
            </w:r>
          </w:p>
        </w:tc>
        <w:tc>
          <w:tcPr>
            <w:tcW w:w="1057" w:type="dxa"/>
            <w:tcBorders>
              <w:top w:val="nil"/>
              <w:left w:val="nil"/>
              <w:bottom w:val="nil"/>
              <w:right w:val="single" w:sz="4" w:space="0" w:color="auto"/>
            </w:tcBorders>
            <w:shd w:val="clear" w:color="auto" w:fill="FFFFFF" w:themeFill="background1"/>
            <w:noWrap/>
            <w:vAlign w:val="bottom"/>
            <w:hideMark/>
          </w:tcPr>
          <w:p w:rsidR="009B6E68" w:rsidRPr="00634C05" w:rsidP="00C00973" w14:paraId="1535689B" w14:textId="5EC4D283">
            <w:pPr>
              <w:jc w:val="both"/>
              <w:rPr>
                <w:rFonts w:ascii="Calibri" w:hAnsi="Calibri" w:cs="Calibri"/>
                <w:b/>
                <w:bCs/>
                <w:color w:val="000000"/>
              </w:rPr>
            </w:pPr>
            <w:r w:rsidRPr="00634C05">
              <w:rPr>
                <w:rFonts w:ascii="Calibri" w:hAnsi="Calibri" w:cs="Calibri"/>
                <w:b/>
                <w:bCs/>
                <w:color w:val="000000"/>
              </w:rPr>
              <w:t>Cost</w:t>
            </w:r>
            <w:r w:rsidRPr="00634C05">
              <w:rPr>
                <w:rFonts w:ascii="Calibri" w:hAnsi="Calibri" w:cs="Calibri"/>
                <w:b/>
                <w:bCs/>
                <w:color w:val="000000"/>
                <w:vertAlign w:val="superscript"/>
              </w:rPr>
              <w:t>1</w:t>
            </w:r>
          </w:p>
        </w:tc>
        <w:tc>
          <w:tcPr>
            <w:tcW w:w="720" w:type="dxa"/>
            <w:tcBorders>
              <w:top w:val="single" w:sz="4" w:space="0" w:color="auto"/>
              <w:left w:val="single" w:sz="4" w:space="0" w:color="auto"/>
              <w:bottom w:val="single" w:sz="4" w:space="0" w:color="auto"/>
            </w:tcBorders>
            <w:shd w:val="clear" w:color="auto" w:fill="FFFFFF" w:themeFill="background1"/>
            <w:noWrap/>
            <w:vAlign w:val="bottom"/>
            <w:hideMark/>
          </w:tcPr>
          <w:p w:rsidR="009B6E68" w:rsidRPr="00634C05" w:rsidP="00C00973" w14:paraId="3CFABE8D" w14:textId="0DD27FAB">
            <w:pPr>
              <w:ind w:right="-219"/>
              <w:jc w:val="both"/>
              <w:rPr>
                <w:rFonts w:ascii="Calibri" w:hAnsi="Calibri" w:cs="Calibri"/>
                <w:b/>
                <w:bCs/>
                <w:color w:val="000000"/>
              </w:rPr>
            </w:pPr>
            <w:r w:rsidRPr="00634C05">
              <w:rPr>
                <w:rFonts w:ascii="Calibri" w:hAnsi="Calibri" w:cs="Calibri"/>
                <w:b/>
                <w:bCs/>
                <w:color w:val="000000"/>
              </w:rPr>
              <w:t>Resp.*</w:t>
            </w:r>
          </w:p>
        </w:tc>
        <w:tc>
          <w:tcPr>
            <w:tcW w:w="810" w:type="dxa"/>
            <w:tcBorders>
              <w:top w:val="single" w:sz="4" w:space="0" w:color="auto"/>
              <w:bottom w:val="single" w:sz="4" w:space="0" w:color="auto"/>
            </w:tcBorders>
            <w:shd w:val="clear" w:color="auto" w:fill="FFFFFF" w:themeFill="background1"/>
            <w:noWrap/>
            <w:vAlign w:val="bottom"/>
            <w:hideMark/>
          </w:tcPr>
          <w:p w:rsidR="009B6E68" w:rsidRPr="00634C05" w:rsidP="00C00973" w14:paraId="7A6D028F" w14:textId="4EC00C16">
            <w:pPr>
              <w:jc w:val="both"/>
              <w:rPr>
                <w:rFonts w:ascii="Calibri" w:hAnsi="Calibri" w:cs="Calibri"/>
                <w:b/>
                <w:bCs/>
                <w:color w:val="000000"/>
              </w:rPr>
            </w:pPr>
            <w:r w:rsidRPr="00634C05">
              <w:rPr>
                <w:rFonts w:ascii="Calibri" w:hAnsi="Calibri" w:cs="Calibri"/>
                <w:b/>
                <w:bCs/>
                <w:color w:val="000000"/>
              </w:rPr>
              <w:t>Hours</w:t>
            </w:r>
          </w:p>
        </w:tc>
        <w:tc>
          <w:tcPr>
            <w:tcW w:w="1182" w:type="dxa"/>
            <w:tcBorders>
              <w:top w:val="single" w:sz="4" w:space="0" w:color="auto"/>
              <w:bottom w:val="single" w:sz="4" w:space="0" w:color="auto"/>
              <w:right w:val="single" w:sz="4" w:space="0" w:color="auto"/>
            </w:tcBorders>
            <w:shd w:val="clear" w:color="auto" w:fill="FFFFFF" w:themeFill="background1"/>
            <w:noWrap/>
            <w:vAlign w:val="bottom"/>
            <w:hideMark/>
          </w:tcPr>
          <w:p w:rsidR="009B6E68" w:rsidRPr="00634C05" w:rsidP="00C00973" w14:paraId="430811E6" w14:textId="542DFFBF">
            <w:pPr>
              <w:jc w:val="both"/>
              <w:rPr>
                <w:rFonts w:ascii="Calibri" w:hAnsi="Calibri" w:cs="Calibri"/>
                <w:b/>
                <w:bCs/>
                <w:color w:val="000000"/>
              </w:rPr>
            </w:pPr>
            <w:r w:rsidRPr="00634C05">
              <w:rPr>
                <w:rFonts w:ascii="Calibri" w:hAnsi="Calibri" w:cs="Calibri"/>
                <w:b/>
                <w:bCs/>
                <w:color w:val="000000"/>
              </w:rPr>
              <w:t>Cost</w:t>
            </w:r>
            <w:r w:rsidRPr="00634C05">
              <w:rPr>
                <w:rFonts w:ascii="Calibri" w:hAnsi="Calibri" w:cs="Calibri"/>
                <w:b/>
                <w:bCs/>
                <w:color w:val="000000"/>
                <w:vertAlign w:val="superscript"/>
              </w:rPr>
              <w:t>1</w:t>
            </w:r>
          </w:p>
        </w:tc>
      </w:tr>
      <w:tr w14:paraId="2DDA4775" w14:textId="77777777" w:rsidTr="23FB9889">
        <w:tblPrEx>
          <w:tblW w:w="9889" w:type="dxa"/>
          <w:tblLayout w:type="fixed"/>
          <w:tblLook w:val="04A0"/>
        </w:tblPrEx>
        <w:trPr>
          <w:trHeight w:val="98"/>
        </w:trPr>
        <w:tc>
          <w:tcPr>
            <w:tcW w:w="2051" w:type="dxa"/>
            <w:tcBorders>
              <w:top w:val="single" w:sz="4" w:space="0" w:color="auto"/>
              <w:left w:val="single" w:sz="8" w:space="0" w:color="auto"/>
              <w:right w:val="nil"/>
            </w:tcBorders>
            <w:shd w:val="clear" w:color="auto" w:fill="FFFFFF" w:themeFill="background1"/>
            <w:vAlign w:val="center"/>
            <w:hideMark/>
          </w:tcPr>
          <w:p w:rsidR="009B6E68" w:rsidRPr="009B6E68" w:rsidP="009B6E68" w14:paraId="454EC4B6" w14:textId="77777777">
            <w:pPr>
              <w:jc w:val="both"/>
              <w:rPr>
                <w:rFonts w:asciiTheme="minorHAnsi" w:hAnsiTheme="minorHAnsi" w:cstheme="minorHAnsi"/>
                <w:color w:val="000000"/>
              </w:rPr>
            </w:pPr>
            <w:r w:rsidRPr="009B6E68">
              <w:rPr>
                <w:rFonts w:asciiTheme="minorHAnsi" w:hAnsiTheme="minorHAnsi" w:cstheme="minorHAnsi"/>
                <w:color w:val="000000"/>
              </w:rPr>
              <w:t>Annual Reporting</w:t>
            </w:r>
          </w:p>
        </w:tc>
        <w:tc>
          <w:tcPr>
            <w:tcW w:w="739" w:type="dxa"/>
            <w:tcBorders>
              <w:top w:val="single" w:sz="4" w:space="0" w:color="auto"/>
              <w:left w:val="single" w:sz="4" w:space="0" w:color="auto"/>
              <w:right w:val="nil"/>
            </w:tcBorders>
            <w:shd w:val="clear" w:color="auto" w:fill="FFFFFF" w:themeFill="background1"/>
            <w:vAlign w:val="center"/>
            <w:hideMark/>
          </w:tcPr>
          <w:p w:rsidR="009B6E68" w:rsidRPr="009B6E68" w:rsidP="009B6E68" w14:paraId="79DD43EB" w14:textId="77777777">
            <w:pPr>
              <w:jc w:val="right"/>
              <w:rPr>
                <w:rFonts w:asciiTheme="minorHAnsi" w:hAnsiTheme="minorHAnsi" w:cstheme="minorHAnsi"/>
                <w:color w:val="000000"/>
              </w:rPr>
            </w:pPr>
            <w:r w:rsidRPr="009B6E68">
              <w:rPr>
                <w:rFonts w:asciiTheme="minorHAnsi" w:hAnsiTheme="minorHAnsi" w:cstheme="minorHAnsi"/>
                <w:color w:val="000000"/>
              </w:rPr>
              <w:t>31</w:t>
            </w:r>
          </w:p>
        </w:tc>
        <w:tc>
          <w:tcPr>
            <w:tcW w:w="810" w:type="dxa"/>
            <w:tcBorders>
              <w:top w:val="single" w:sz="4" w:space="0" w:color="auto"/>
              <w:left w:val="nil"/>
              <w:right w:val="nil"/>
            </w:tcBorders>
            <w:shd w:val="clear" w:color="auto" w:fill="FFFFFF" w:themeFill="background1"/>
            <w:vAlign w:val="center"/>
            <w:hideMark/>
          </w:tcPr>
          <w:p w:rsidR="009B6E68" w:rsidRPr="009B6E68" w:rsidP="009B6E68" w14:paraId="38838B5A" w14:textId="014BC270">
            <w:pPr>
              <w:jc w:val="right"/>
              <w:rPr>
                <w:rFonts w:asciiTheme="minorHAnsi" w:hAnsiTheme="minorHAnsi" w:cstheme="minorHAnsi"/>
                <w:color w:val="000000"/>
              </w:rPr>
            </w:pPr>
            <w:r w:rsidRPr="009B6E68">
              <w:rPr>
                <w:rFonts w:asciiTheme="minorHAnsi" w:hAnsiTheme="minorHAnsi" w:cstheme="minorHAnsi"/>
                <w:color w:val="000000"/>
              </w:rPr>
              <w:t xml:space="preserve">2,891 </w:t>
            </w:r>
          </w:p>
        </w:tc>
        <w:tc>
          <w:tcPr>
            <w:tcW w:w="1080" w:type="dxa"/>
            <w:tcBorders>
              <w:top w:val="single" w:sz="4" w:space="0" w:color="auto"/>
              <w:left w:val="nil"/>
              <w:right w:val="single" w:sz="4" w:space="0" w:color="auto"/>
            </w:tcBorders>
            <w:shd w:val="clear" w:color="auto" w:fill="FFFFFF" w:themeFill="background1"/>
            <w:vAlign w:val="center"/>
            <w:hideMark/>
          </w:tcPr>
          <w:p w:rsidR="009B6E68" w:rsidRPr="009B6E68" w:rsidP="009B6E68" w14:paraId="2985D4A3" w14:textId="4C80516E">
            <w:pPr>
              <w:jc w:val="right"/>
              <w:rPr>
                <w:rFonts w:asciiTheme="minorHAnsi" w:hAnsiTheme="minorHAnsi" w:cstheme="minorHAnsi"/>
                <w:color w:val="000000"/>
              </w:rPr>
            </w:pPr>
            <w:r w:rsidRPr="009B6E68">
              <w:rPr>
                <w:rFonts w:asciiTheme="minorHAnsi" w:hAnsiTheme="minorHAnsi" w:cstheme="minorHAnsi"/>
                <w:color w:val="000000"/>
              </w:rPr>
              <w:t xml:space="preserve"> $177,385 </w:t>
            </w:r>
          </w:p>
        </w:tc>
        <w:tc>
          <w:tcPr>
            <w:tcW w:w="720" w:type="dxa"/>
            <w:tcBorders>
              <w:top w:val="single" w:sz="4" w:space="0" w:color="auto"/>
              <w:left w:val="nil"/>
              <w:right w:val="nil"/>
            </w:tcBorders>
            <w:shd w:val="clear" w:color="auto" w:fill="FFFFFF" w:themeFill="background1"/>
            <w:vAlign w:val="center"/>
            <w:hideMark/>
          </w:tcPr>
          <w:p w:rsidR="009B6E68" w:rsidRPr="009B6E68" w:rsidP="009B6E68" w14:paraId="0E3B3BFF"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720" w:type="dxa"/>
            <w:tcBorders>
              <w:top w:val="single" w:sz="4" w:space="0" w:color="auto"/>
              <w:left w:val="nil"/>
              <w:right w:val="nil"/>
            </w:tcBorders>
            <w:shd w:val="clear" w:color="auto" w:fill="FFFFFF" w:themeFill="background1"/>
            <w:vAlign w:val="center"/>
            <w:hideMark/>
          </w:tcPr>
          <w:p w:rsidR="009B6E68" w:rsidRPr="009B6E68" w:rsidP="009B6E68" w14:paraId="117963C1"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1057" w:type="dxa"/>
            <w:tcBorders>
              <w:top w:val="single" w:sz="4" w:space="0" w:color="auto"/>
              <w:left w:val="nil"/>
              <w:right w:val="single" w:sz="4" w:space="0" w:color="auto"/>
            </w:tcBorders>
            <w:shd w:val="clear" w:color="auto" w:fill="FFFFFF" w:themeFill="background1"/>
            <w:vAlign w:val="center"/>
            <w:hideMark/>
          </w:tcPr>
          <w:p w:rsidR="009B6E68" w:rsidRPr="009B6E68" w:rsidP="009B6E68" w14:paraId="78F4ACD7" w14:textId="11EC1CF6">
            <w:pPr>
              <w:jc w:val="right"/>
              <w:rPr>
                <w:rFonts w:asciiTheme="minorHAnsi" w:hAnsiTheme="minorHAnsi" w:cstheme="minorHAnsi"/>
                <w:color w:val="000000"/>
              </w:rPr>
            </w:pPr>
            <w:r w:rsidRPr="009B6E68">
              <w:rPr>
                <w:rFonts w:asciiTheme="minorHAnsi" w:hAnsiTheme="minorHAnsi" w:cstheme="minorHAnsi"/>
                <w:color w:val="000000"/>
              </w:rPr>
              <w:t xml:space="preserve"> $0   </w:t>
            </w:r>
          </w:p>
        </w:tc>
        <w:tc>
          <w:tcPr>
            <w:tcW w:w="720" w:type="dxa"/>
            <w:tcBorders>
              <w:top w:val="single" w:sz="4" w:space="0" w:color="auto"/>
              <w:left w:val="single" w:sz="4" w:space="0" w:color="auto"/>
            </w:tcBorders>
            <w:shd w:val="clear" w:color="auto" w:fill="FFFFFF" w:themeFill="background1"/>
            <w:vAlign w:val="center"/>
            <w:hideMark/>
          </w:tcPr>
          <w:p w:rsidR="009B6E68" w:rsidRPr="009B6E68" w:rsidP="009B6E68" w14:paraId="5D97AA1E" w14:textId="2A60DB19">
            <w:pPr>
              <w:jc w:val="right"/>
              <w:rPr>
                <w:rFonts w:asciiTheme="minorHAnsi" w:hAnsiTheme="minorHAnsi" w:cstheme="minorHAnsi"/>
                <w:color w:val="000000"/>
              </w:rPr>
            </w:pPr>
            <w:r w:rsidRPr="009B6E68">
              <w:rPr>
                <w:rFonts w:asciiTheme="minorHAnsi" w:hAnsiTheme="minorHAnsi" w:cstheme="minorHAnsi"/>
                <w:color w:val="000000"/>
              </w:rPr>
              <w:t xml:space="preserve">31 </w:t>
            </w:r>
          </w:p>
        </w:tc>
        <w:tc>
          <w:tcPr>
            <w:tcW w:w="810" w:type="dxa"/>
            <w:tcBorders>
              <w:top w:val="single" w:sz="4" w:space="0" w:color="auto"/>
            </w:tcBorders>
            <w:shd w:val="clear" w:color="auto" w:fill="FFFFFF" w:themeFill="background1"/>
            <w:vAlign w:val="center"/>
            <w:hideMark/>
          </w:tcPr>
          <w:p w:rsidR="009B6E68" w:rsidRPr="009B6E68" w:rsidP="009B6E68" w14:paraId="1E661E09" w14:textId="023404DC">
            <w:pPr>
              <w:jc w:val="right"/>
              <w:rPr>
                <w:rFonts w:asciiTheme="minorHAnsi" w:hAnsiTheme="minorHAnsi" w:cstheme="minorHAnsi"/>
                <w:color w:val="000000"/>
              </w:rPr>
            </w:pPr>
            <w:r w:rsidRPr="009B6E68">
              <w:rPr>
                <w:rFonts w:asciiTheme="minorHAnsi" w:hAnsiTheme="minorHAnsi" w:cstheme="minorHAnsi"/>
                <w:color w:val="000000"/>
              </w:rPr>
              <w:t xml:space="preserve">2,891 </w:t>
            </w:r>
          </w:p>
        </w:tc>
        <w:tc>
          <w:tcPr>
            <w:tcW w:w="1182" w:type="dxa"/>
            <w:tcBorders>
              <w:top w:val="single" w:sz="4" w:space="0" w:color="auto"/>
              <w:right w:val="single" w:sz="4" w:space="0" w:color="auto"/>
            </w:tcBorders>
            <w:shd w:val="clear" w:color="auto" w:fill="FFFFFF" w:themeFill="background1"/>
            <w:vAlign w:val="center"/>
            <w:hideMark/>
          </w:tcPr>
          <w:p w:rsidR="009B6E68" w:rsidRPr="009B6E68" w:rsidP="009B6E68" w14:paraId="4E9B10A4" w14:textId="3BBD0AB3">
            <w:pPr>
              <w:jc w:val="right"/>
              <w:rPr>
                <w:rFonts w:asciiTheme="minorHAnsi" w:hAnsiTheme="minorHAnsi" w:cstheme="minorHAnsi"/>
                <w:color w:val="000000"/>
              </w:rPr>
            </w:pPr>
            <w:r w:rsidRPr="009B6E68">
              <w:rPr>
                <w:rFonts w:asciiTheme="minorHAnsi" w:hAnsiTheme="minorHAnsi" w:cstheme="minorHAnsi"/>
                <w:color w:val="000000"/>
              </w:rPr>
              <w:t xml:space="preserve"> $177,385 </w:t>
            </w:r>
          </w:p>
        </w:tc>
      </w:tr>
      <w:tr w14:paraId="13A61DDF" w14:textId="77777777" w:rsidTr="23FB9889">
        <w:tblPrEx>
          <w:tblW w:w="9889" w:type="dxa"/>
          <w:tblLayout w:type="fixed"/>
          <w:tblLook w:val="04A0"/>
        </w:tblPrEx>
        <w:trPr>
          <w:trHeight w:val="98"/>
        </w:trPr>
        <w:tc>
          <w:tcPr>
            <w:tcW w:w="2051" w:type="dxa"/>
            <w:tcBorders>
              <w:left w:val="single" w:sz="8" w:space="0" w:color="auto"/>
              <w:bottom w:val="nil"/>
              <w:right w:val="nil"/>
            </w:tcBorders>
            <w:shd w:val="clear" w:color="auto" w:fill="FFFFFF" w:themeFill="background1"/>
            <w:vAlign w:val="center"/>
          </w:tcPr>
          <w:p w:rsidR="009B6E68" w:rsidRPr="009B6E68" w:rsidP="009B6E68" w14:paraId="36DD687E" w14:textId="040A9311">
            <w:pPr>
              <w:jc w:val="both"/>
              <w:rPr>
                <w:rFonts w:asciiTheme="minorHAnsi" w:hAnsiTheme="minorHAnsi" w:cstheme="minorHAnsi"/>
                <w:color w:val="000000"/>
              </w:rPr>
            </w:pPr>
            <w:r w:rsidRPr="009B6E68">
              <w:rPr>
                <w:rFonts w:asciiTheme="minorHAnsi" w:hAnsiTheme="minorHAnsi" w:cstheme="minorHAnsi"/>
                <w:color w:val="000000"/>
              </w:rPr>
              <w:t>FTA</w:t>
            </w:r>
            <w:r w:rsidRPr="009B6E68">
              <w:rPr>
                <w:rFonts w:asciiTheme="minorHAnsi" w:hAnsiTheme="minorHAnsi" w:cstheme="minorHAnsi"/>
                <w:color w:val="000000"/>
              </w:rPr>
              <w:t xml:space="preserve"> Audits</w:t>
            </w:r>
          </w:p>
        </w:tc>
        <w:tc>
          <w:tcPr>
            <w:tcW w:w="739" w:type="dxa"/>
            <w:tcBorders>
              <w:left w:val="single" w:sz="4" w:space="0" w:color="auto"/>
              <w:bottom w:val="nil"/>
              <w:right w:val="nil"/>
            </w:tcBorders>
            <w:shd w:val="clear" w:color="auto" w:fill="FFFFFF" w:themeFill="background1"/>
            <w:vAlign w:val="center"/>
          </w:tcPr>
          <w:p w:rsidR="009B6E68" w:rsidRPr="009B6E68" w:rsidP="009B6E68" w14:paraId="66FE72FA" w14:textId="5917FAC6">
            <w:pPr>
              <w:jc w:val="right"/>
              <w:rPr>
                <w:rFonts w:asciiTheme="minorHAnsi" w:hAnsiTheme="minorHAnsi" w:cstheme="minorHAnsi"/>
                <w:color w:val="000000"/>
              </w:rPr>
            </w:pPr>
            <w:r w:rsidRPr="009B6E68">
              <w:rPr>
                <w:rFonts w:asciiTheme="minorHAnsi" w:hAnsiTheme="minorHAnsi" w:cstheme="minorHAnsi"/>
                <w:color w:val="000000"/>
              </w:rPr>
              <w:t>10</w:t>
            </w:r>
          </w:p>
        </w:tc>
        <w:tc>
          <w:tcPr>
            <w:tcW w:w="810" w:type="dxa"/>
            <w:tcBorders>
              <w:left w:val="nil"/>
              <w:bottom w:val="nil"/>
              <w:right w:val="nil"/>
            </w:tcBorders>
            <w:shd w:val="clear" w:color="auto" w:fill="FFFFFF" w:themeFill="background1"/>
            <w:vAlign w:val="center"/>
          </w:tcPr>
          <w:p w:rsidR="009B6E68" w:rsidRPr="009B6E68" w:rsidP="009B6E68" w14:paraId="4A8DCC6B" w14:textId="46E172CD">
            <w:pPr>
              <w:jc w:val="right"/>
              <w:rPr>
                <w:rFonts w:asciiTheme="minorHAnsi" w:hAnsiTheme="minorHAnsi" w:cstheme="minorHAnsi"/>
                <w:color w:val="000000"/>
              </w:rPr>
            </w:pPr>
            <w:r w:rsidRPr="009B6E68">
              <w:rPr>
                <w:rFonts w:asciiTheme="minorHAnsi" w:hAnsiTheme="minorHAnsi" w:cstheme="minorHAnsi"/>
                <w:color w:val="000000"/>
              </w:rPr>
              <w:t xml:space="preserve">1,943 </w:t>
            </w:r>
          </w:p>
        </w:tc>
        <w:tc>
          <w:tcPr>
            <w:tcW w:w="1080" w:type="dxa"/>
            <w:tcBorders>
              <w:left w:val="nil"/>
              <w:bottom w:val="nil"/>
              <w:right w:val="single" w:sz="4" w:space="0" w:color="auto"/>
            </w:tcBorders>
            <w:shd w:val="clear" w:color="auto" w:fill="FFFFFF" w:themeFill="background1"/>
            <w:vAlign w:val="center"/>
          </w:tcPr>
          <w:p w:rsidR="009B6E68" w:rsidRPr="009B6E68" w:rsidP="009B6E68" w14:paraId="3CE7F86B" w14:textId="71C0B8FB">
            <w:pPr>
              <w:jc w:val="right"/>
              <w:rPr>
                <w:rFonts w:asciiTheme="minorHAnsi" w:hAnsiTheme="minorHAnsi" w:cstheme="minorHAnsi"/>
                <w:color w:val="000000"/>
              </w:rPr>
            </w:pPr>
            <w:r w:rsidRPr="009B6E68">
              <w:rPr>
                <w:rFonts w:asciiTheme="minorHAnsi" w:hAnsiTheme="minorHAnsi" w:cstheme="minorHAnsi"/>
                <w:color w:val="000000"/>
              </w:rPr>
              <w:t xml:space="preserve"> $119,183 </w:t>
            </w:r>
          </w:p>
        </w:tc>
        <w:tc>
          <w:tcPr>
            <w:tcW w:w="720" w:type="dxa"/>
            <w:tcBorders>
              <w:left w:val="nil"/>
              <w:bottom w:val="nil"/>
              <w:right w:val="nil"/>
            </w:tcBorders>
            <w:shd w:val="clear" w:color="auto" w:fill="FFFFFF" w:themeFill="background1"/>
            <w:vAlign w:val="center"/>
          </w:tcPr>
          <w:p w:rsidR="009B6E68" w:rsidRPr="009B6E68" w:rsidP="009B6E68" w14:paraId="2A31E8A7" w14:textId="2F029F02">
            <w:pPr>
              <w:jc w:val="right"/>
              <w:rPr>
                <w:rFonts w:asciiTheme="minorHAnsi" w:hAnsiTheme="minorHAnsi" w:cstheme="minorHAnsi"/>
                <w:color w:val="000000"/>
              </w:rPr>
            </w:pPr>
            <w:r w:rsidRPr="009B6E68">
              <w:rPr>
                <w:rFonts w:asciiTheme="minorHAnsi" w:hAnsiTheme="minorHAnsi" w:cstheme="minorHAnsi"/>
                <w:color w:val="000000"/>
              </w:rPr>
              <w:t>22</w:t>
            </w:r>
          </w:p>
        </w:tc>
        <w:tc>
          <w:tcPr>
            <w:tcW w:w="720" w:type="dxa"/>
            <w:tcBorders>
              <w:left w:val="nil"/>
              <w:bottom w:val="nil"/>
              <w:right w:val="nil"/>
            </w:tcBorders>
            <w:shd w:val="clear" w:color="auto" w:fill="FFFFFF" w:themeFill="background1"/>
            <w:vAlign w:val="center"/>
          </w:tcPr>
          <w:p w:rsidR="009B6E68" w:rsidRPr="009B6E68" w:rsidP="009B6E68" w14:paraId="57B728F5" w14:textId="5BA3357C">
            <w:pPr>
              <w:jc w:val="right"/>
              <w:rPr>
                <w:rFonts w:asciiTheme="minorHAnsi" w:hAnsiTheme="minorHAnsi" w:cstheme="minorHAnsi"/>
                <w:color w:val="000000"/>
              </w:rPr>
            </w:pPr>
            <w:r w:rsidRPr="009B6E68">
              <w:rPr>
                <w:rFonts w:asciiTheme="minorHAnsi" w:hAnsiTheme="minorHAnsi" w:cstheme="minorHAnsi"/>
                <w:color w:val="000000"/>
              </w:rPr>
              <w:t xml:space="preserve">1,281 </w:t>
            </w:r>
          </w:p>
        </w:tc>
        <w:tc>
          <w:tcPr>
            <w:tcW w:w="1057" w:type="dxa"/>
            <w:tcBorders>
              <w:left w:val="nil"/>
              <w:bottom w:val="nil"/>
              <w:right w:val="single" w:sz="4" w:space="0" w:color="auto"/>
            </w:tcBorders>
            <w:shd w:val="clear" w:color="auto" w:fill="FFFFFF" w:themeFill="background1"/>
            <w:vAlign w:val="center"/>
          </w:tcPr>
          <w:p w:rsidR="009B6E68" w:rsidRPr="009B6E68" w:rsidP="009B6E68" w14:paraId="28AB1420" w14:textId="6EFA2144">
            <w:pPr>
              <w:jc w:val="right"/>
              <w:rPr>
                <w:rFonts w:asciiTheme="minorHAnsi" w:hAnsiTheme="minorHAnsi" w:cstheme="minorHAnsi"/>
                <w:color w:val="000000"/>
              </w:rPr>
            </w:pPr>
            <w:r w:rsidRPr="009B6E68">
              <w:rPr>
                <w:rFonts w:asciiTheme="minorHAnsi" w:hAnsiTheme="minorHAnsi" w:cstheme="minorHAnsi"/>
                <w:color w:val="000000"/>
              </w:rPr>
              <w:t xml:space="preserve"> $78,610 </w:t>
            </w:r>
          </w:p>
        </w:tc>
        <w:tc>
          <w:tcPr>
            <w:tcW w:w="720" w:type="dxa"/>
            <w:tcBorders>
              <w:left w:val="single" w:sz="4" w:space="0" w:color="auto"/>
            </w:tcBorders>
            <w:shd w:val="clear" w:color="auto" w:fill="FFFFFF" w:themeFill="background1"/>
            <w:vAlign w:val="center"/>
          </w:tcPr>
          <w:p w:rsidR="009B6E68" w:rsidRPr="009B6E68" w:rsidP="009B6E68" w14:paraId="3356775B" w14:textId="3BD81FB3">
            <w:pPr>
              <w:jc w:val="right"/>
              <w:rPr>
                <w:rFonts w:asciiTheme="minorHAnsi" w:hAnsiTheme="minorHAnsi" w:cstheme="minorHAnsi"/>
                <w:color w:val="000000"/>
              </w:rPr>
            </w:pPr>
            <w:r w:rsidRPr="009B6E68">
              <w:rPr>
                <w:rFonts w:asciiTheme="minorHAnsi" w:hAnsiTheme="minorHAnsi" w:cstheme="minorHAnsi"/>
                <w:color w:val="000000"/>
              </w:rPr>
              <w:t xml:space="preserve">32 </w:t>
            </w:r>
          </w:p>
        </w:tc>
        <w:tc>
          <w:tcPr>
            <w:tcW w:w="810" w:type="dxa"/>
            <w:shd w:val="clear" w:color="auto" w:fill="FFFFFF" w:themeFill="background1"/>
            <w:vAlign w:val="center"/>
          </w:tcPr>
          <w:p w:rsidR="009B6E68" w:rsidRPr="009B6E68" w:rsidP="009B6E68" w14:paraId="172DBB0C" w14:textId="46B3A7C9">
            <w:pPr>
              <w:jc w:val="right"/>
              <w:rPr>
                <w:rFonts w:asciiTheme="minorHAnsi" w:hAnsiTheme="minorHAnsi" w:cstheme="minorHAnsi"/>
                <w:color w:val="000000"/>
              </w:rPr>
            </w:pPr>
            <w:r w:rsidRPr="009B6E68">
              <w:rPr>
                <w:rFonts w:asciiTheme="minorHAnsi" w:hAnsiTheme="minorHAnsi" w:cstheme="minorHAnsi"/>
                <w:color w:val="000000"/>
              </w:rPr>
              <w:t xml:space="preserve">3,224 </w:t>
            </w:r>
          </w:p>
        </w:tc>
        <w:tc>
          <w:tcPr>
            <w:tcW w:w="1182" w:type="dxa"/>
            <w:tcBorders>
              <w:right w:val="single" w:sz="4" w:space="0" w:color="auto"/>
            </w:tcBorders>
            <w:shd w:val="clear" w:color="auto" w:fill="FFFFFF" w:themeFill="background1"/>
            <w:vAlign w:val="center"/>
          </w:tcPr>
          <w:p w:rsidR="009B6E68" w:rsidRPr="009B6E68" w:rsidP="009B6E68" w14:paraId="506D7ECB" w14:textId="7DBEE7D1">
            <w:pPr>
              <w:jc w:val="right"/>
              <w:rPr>
                <w:rFonts w:asciiTheme="minorHAnsi" w:hAnsiTheme="minorHAnsi" w:cstheme="minorHAnsi"/>
                <w:color w:val="000000"/>
              </w:rPr>
            </w:pPr>
            <w:r w:rsidRPr="009B6E68">
              <w:rPr>
                <w:rFonts w:asciiTheme="minorHAnsi" w:hAnsiTheme="minorHAnsi" w:cstheme="minorHAnsi"/>
                <w:color w:val="000000"/>
              </w:rPr>
              <w:t xml:space="preserve"> $197,792 </w:t>
            </w:r>
          </w:p>
        </w:tc>
      </w:tr>
      <w:tr w14:paraId="1EB7EE93" w14:textId="77777777" w:rsidTr="23FB9889">
        <w:tblPrEx>
          <w:tblW w:w="9889" w:type="dxa"/>
          <w:tblLayout w:type="fixed"/>
          <w:tblLook w:val="04A0"/>
        </w:tblPrEx>
        <w:trPr>
          <w:trHeight w:val="70"/>
        </w:trPr>
        <w:tc>
          <w:tcPr>
            <w:tcW w:w="2051" w:type="dxa"/>
            <w:tcBorders>
              <w:top w:val="nil"/>
              <w:left w:val="single" w:sz="8" w:space="0" w:color="auto"/>
              <w:bottom w:val="nil"/>
              <w:right w:val="nil"/>
            </w:tcBorders>
            <w:shd w:val="clear" w:color="auto" w:fill="FFFFFF" w:themeFill="background1"/>
            <w:vAlign w:val="center"/>
            <w:hideMark/>
          </w:tcPr>
          <w:p w:rsidR="009B6E68" w:rsidRPr="009B6E68" w:rsidP="009B6E68" w14:paraId="17C22E91" w14:textId="77777777">
            <w:pPr>
              <w:jc w:val="both"/>
              <w:rPr>
                <w:rFonts w:asciiTheme="minorHAnsi" w:hAnsiTheme="minorHAnsi" w:cstheme="minorHAnsi"/>
                <w:color w:val="000000"/>
              </w:rPr>
            </w:pPr>
            <w:r w:rsidRPr="009B6E68">
              <w:rPr>
                <w:rFonts w:asciiTheme="minorHAnsi" w:hAnsiTheme="minorHAnsi" w:cstheme="minorHAnsi"/>
                <w:color w:val="000000"/>
              </w:rPr>
              <w:t>Periodic Requests</w:t>
            </w:r>
          </w:p>
        </w:tc>
        <w:tc>
          <w:tcPr>
            <w:tcW w:w="739" w:type="dxa"/>
            <w:tcBorders>
              <w:top w:val="nil"/>
              <w:left w:val="single" w:sz="4" w:space="0" w:color="auto"/>
              <w:bottom w:val="nil"/>
              <w:right w:val="nil"/>
            </w:tcBorders>
            <w:shd w:val="clear" w:color="auto" w:fill="FFFFFF" w:themeFill="background1"/>
            <w:vAlign w:val="center"/>
            <w:hideMark/>
          </w:tcPr>
          <w:p w:rsidR="009B6E68" w:rsidRPr="009B6E68" w:rsidP="009B6E68" w14:paraId="0F81249B" w14:textId="77777777">
            <w:pPr>
              <w:jc w:val="right"/>
              <w:rPr>
                <w:rFonts w:asciiTheme="minorHAnsi" w:hAnsiTheme="minorHAnsi" w:cstheme="minorHAnsi"/>
                <w:color w:val="000000"/>
              </w:rPr>
            </w:pPr>
            <w:r w:rsidRPr="009B6E68">
              <w:rPr>
                <w:rFonts w:asciiTheme="minorHAnsi" w:hAnsiTheme="minorHAnsi" w:cstheme="minorHAnsi"/>
                <w:color w:val="000000"/>
              </w:rPr>
              <w:t>496</w:t>
            </w:r>
          </w:p>
        </w:tc>
        <w:tc>
          <w:tcPr>
            <w:tcW w:w="810" w:type="dxa"/>
            <w:tcBorders>
              <w:top w:val="nil"/>
              <w:left w:val="nil"/>
              <w:bottom w:val="nil"/>
              <w:right w:val="nil"/>
            </w:tcBorders>
            <w:shd w:val="clear" w:color="auto" w:fill="FFFFFF" w:themeFill="background1"/>
            <w:vAlign w:val="center"/>
            <w:hideMark/>
          </w:tcPr>
          <w:p w:rsidR="009B6E68" w:rsidRPr="009B6E68" w:rsidP="009B6E68" w14:paraId="6865FD10" w14:textId="06CBD8ED">
            <w:pPr>
              <w:jc w:val="right"/>
              <w:rPr>
                <w:rFonts w:asciiTheme="minorHAnsi" w:hAnsiTheme="minorHAnsi" w:cstheme="minorHAnsi"/>
                <w:color w:val="000000"/>
              </w:rPr>
            </w:pPr>
            <w:r w:rsidRPr="009B6E68">
              <w:rPr>
                <w:rFonts w:asciiTheme="minorHAnsi" w:hAnsiTheme="minorHAnsi" w:cstheme="minorHAnsi"/>
                <w:color w:val="000000"/>
              </w:rPr>
              <w:t xml:space="preserve">4,092 </w:t>
            </w:r>
          </w:p>
        </w:tc>
        <w:tc>
          <w:tcPr>
            <w:tcW w:w="1080" w:type="dxa"/>
            <w:tcBorders>
              <w:top w:val="nil"/>
              <w:left w:val="nil"/>
              <w:bottom w:val="nil"/>
              <w:right w:val="single" w:sz="4" w:space="0" w:color="auto"/>
            </w:tcBorders>
            <w:shd w:val="clear" w:color="auto" w:fill="FFFFFF" w:themeFill="background1"/>
            <w:vAlign w:val="center"/>
            <w:hideMark/>
          </w:tcPr>
          <w:p w:rsidR="009B6E68" w:rsidRPr="009B6E68" w:rsidP="009B6E68" w14:paraId="2BAA35D7" w14:textId="09857517">
            <w:pPr>
              <w:jc w:val="right"/>
              <w:rPr>
                <w:rFonts w:asciiTheme="minorHAnsi" w:hAnsiTheme="minorHAnsi" w:cstheme="minorHAnsi"/>
                <w:color w:val="000000"/>
              </w:rPr>
            </w:pPr>
            <w:r w:rsidRPr="009B6E68">
              <w:rPr>
                <w:rFonts w:asciiTheme="minorHAnsi" w:hAnsiTheme="minorHAnsi" w:cstheme="minorHAnsi"/>
                <w:color w:val="000000"/>
              </w:rPr>
              <w:t xml:space="preserve"> $251,044 </w:t>
            </w:r>
          </w:p>
        </w:tc>
        <w:tc>
          <w:tcPr>
            <w:tcW w:w="720" w:type="dxa"/>
            <w:tcBorders>
              <w:top w:val="nil"/>
              <w:left w:val="nil"/>
              <w:bottom w:val="nil"/>
              <w:right w:val="nil"/>
            </w:tcBorders>
            <w:shd w:val="clear" w:color="auto" w:fill="FFFFFF" w:themeFill="background1"/>
            <w:vAlign w:val="center"/>
            <w:hideMark/>
          </w:tcPr>
          <w:p w:rsidR="009B6E68" w:rsidRPr="009B6E68" w:rsidP="23FB9889" w14:paraId="3BE04994" w14:textId="424935BA">
            <w:pPr>
              <w:jc w:val="right"/>
              <w:rPr>
                <w:rFonts w:asciiTheme="minorHAnsi" w:hAnsiTheme="minorHAnsi" w:cstheme="minorBidi"/>
                <w:color w:val="000000" w:themeColor="text1"/>
              </w:rPr>
            </w:pPr>
            <w:r w:rsidRPr="23FB9889">
              <w:rPr>
                <w:rFonts w:asciiTheme="minorHAnsi" w:hAnsiTheme="minorHAnsi" w:cstheme="minorBidi"/>
                <w:color w:val="000000" w:themeColor="text1"/>
              </w:rPr>
              <w:t>13</w:t>
            </w:r>
            <w:r w:rsidRPr="23FB9889" w:rsidR="60A9A16A">
              <w:rPr>
                <w:rFonts w:asciiTheme="minorHAnsi" w:hAnsiTheme="minorHAnsi" w:cstheme="minorBidi"/>
                <w:color w:val="000000" w:themeColor="text1"/>
              </w:rPr>
              <w:t>0</w:t>
            </w:r>
          </w:p>
        </w:tc>
        <w:tc>
          <w:tcPr>
            <w:tcW w:w="720" w:type="dxa"/>
            <w:tcBorders>
              <w:top w:val="nil"/>
              <w:left w:val="nil"/>
              <w:bottom w:val="nil"/>
              <w:right w:val="nil"/>
            </w:tcBorders>
            <w:shd w:val="clear" w:color="auto" w:fill="FFFFFF" w:themeFill="background1"/>
            <w:vAlign w:val="center"/>
            <w:hideMark/>
          </w:tcPr>
          <w:p w:rsidR="009B6E68" w:rsidRPr="009B6E68" w:rsidP="245F2F03" w14:paraId="26738FC1" w14:textId="436FEB06">
            <w:pPr>
              <w:jc w:val="right"/>
              <w:rPr>
                <w:rFonts w:asciiTheme="minorHAnsi" w:hAnsiTheme="minorHAnsi" w:cstheme="minorBidi"/>
                <w:color w:val="000000"/>
              </w:rPr>
            </w:pPr>
            <w:r w:rsidRPr="23FB9889">
              <w:rPr>
                <w:rFonts w:asciiTheme="minorHAnsi" w:hAnsiTheme="minorHAnsi" w:cstheme="minorBidi"/>
                <w:color w:val="000000" w:themeColor="text1"/>
              </w:rPr>
              <w:t>3</w:t>
            </w:r>
            <w:r w:rsidRPr="23FB9889" w:rsidR="262269D4">
              <w:rPr>
                <w:rFonts w:asciiTheme="minorHAnsi" w:hAnsiTheme="minorHAnsi" w:cstheme="minorBidi"/>
                <w:color w:val="000000" w:themeColor="text1"/>
              </w:rPr>
              <w:t>,</w:t>
            </w:r>
            <w:r w:rsidRPr="23FB9889" w:rsidR="314531E9">
              <w:rPr>
                <w:rFonts w:asciiTheme="minorHAnsi" w:hAnsiTheme="minorHAnsi" w:cstheme="minorBidi"/>
                <w:color w:val="000000" w:themeColor="text1"/>
              </w:rPr>
              <w:t>9</w:t>
            </w:r>
            <w:r w:rsidRPr="23FB9889" w:rsidR="696F4F8C">
              <w:rPr>
                <w:rFonts w:asciiTheme="minorHAnsi" w:hAnsiTheme="minorHAnsi" w:cstheme="minorBidi"/>
                <w:color w:val="000000" w:themeColor="text1"/>
              </w:rPr>
              <w:t xml:space="preserve">00 </w:t>
            </w:r>
          </w:p>
        </w:tc>
        <w:tc>
          <w:tcPr>
            <w:tcW w:w="1057" w:type="dxa"/>
            <w:tcBorders>
              <w:top w:val="nil"/>
              <w:left w:val="nil"/>
              <w:bottom w:val="nil"/>
              <w:right w:val="single" w:sz="4" w:space="0" w:color="auto"/>
            </w:tcBorders>
            <w:shd w:val="clear" w:color="auto" w:fill="FFFFFF" w:themeFill="background1"/>
            <w:vAlign w:val="center"/>
            <w:hideMark/>
          </w:tcPr>
          <w:p w:rsidR="009B6E68" w:rsidRPr="009B6E68" w:rsidP="245F2F03" w14:paraId="3A5EA28D" w14:textId="0647FEBB">
            <w:pPr>
              <w:jc w:val="right"/>
              <w:rPr>
                <w:rFonts w:asciiTheme="minorHAnsi" w:hAnsiTheme="minorHAnsi" w:cstheme="minorBidi"/>
                <w:color w:val="000000"/>
              </w:rPr>
            </w:pPr>
            <w:r w:rsidRPr="245F2F03">
              <w:rPr>
                <w:rFonts w:asciiTheme="minorHAnsi" w:hAnsiTheme="minorHAnsi" w:cstheme="minorBidi"/>
                <w:color w:val="000000" w:themeColor="text1"/>
              </w:rPr>
              <w:t xml:space="preserve"> $</w:t>
            </w:r>
            <w:r w:rsidRPr="245F2F03" w:rsidR="74F9541D">
              <w:rPr>
                <w:rFonts w:asciiTheme="minorHAnsi" w:hAnsiTheme="minorHAnsi" w:cstheme="minorBidi"/>
                <w:color w:val="000000" w:themeColor="text1"/>
              </w:rPr>
              <w:t>478,530</w:t>
            </w:r>
            <w:r w:rsidRPr="245F2F03">
              <w:rPr>
                <w:rFonts w:asciiTheme="minorHAnsi" w:hAnsiTheme="minorHAnsi" w:cstheme="minorBidi"/>
                <w:color w:val="000000" w:themeColor="text1"/>
              </w:rPr>
              <w:t xml:space="preserve"> </w:t>
            </w:r>
          </w:p>
        </w:tc>
        <w:tc>
          <w:tcPr>
            <w:tcW w:w="720" w:type="dxa"/>
            <w:tcBorders>
              <w:left w:val="single" w:sz="4" w:space="0" w:color="auto"/>
            </w:tcBorders>
            <w:shd w:val="clear" w:color="auto" w:fill="FFFFFF" w:themeFill="background1"/>
            <w:vAlign w:val="center"/>
            <w:hideMark/>
          </w:tcPr>
          <w:p w:rsidR="009B6E68" w:rsidRPr="009B6E68" w:rsidP="245F2F03" w14:paraId="5B8EC0FB" w14:textId="493FE5B3">
            <w:pPr>
              <w:jc w:val="right"/>
              <w:rPr>
                <w:rFonts w:asciiTheme="minorHAnsi" w:hAnsiTheme="minorHAnsi" w:cstheme="minorBidi"/>
                <w:color w:val="000000"/>
              </w:rPr>
            </w:pPr>
            <w:r w:rsidRPr="23FB9889">
              <w:rPr>
                <w:rFonts w:asciiTheme="minorHAnsi" w:hAnsiTheme="minorHAnsi" w:cstheme="minorBidi"/>
                <w:color w:val="000000" w:themeColor="text1"/>
              </w:rPr>
              <w:t>62</w:t>
            </w:r>
            <w:r w:rsidRPr="23FB9889" w:rsidR="7C58106B">
              <w:rPr>
                <w:rFonts w:asciiTheme="minorHAnsi" w:hAnsiTheme="minorHAnsi" w:cstheme="minorBidi"/>
                <w:color w:val="000000" w:themeColor="text1"/>
              </w:rPr>
              <w:t>6</w:t>
            </w:r>
            <w:r w:rsidRPr="23FB9889" w:rsidR="696F4F8C">
              <w:rPr>
                <w:rFonts w:asciiTheme="minorHAnsi" w:hAnsiTheme="minorHAnsi" w:cstheme="minorBidi"/>
                <w:color w:val="000000" w:themeColor="text1"/>
              </w:rPr>
              <w:t xml:space="preserve"> </w:t>
            </w:r>
          </w:p>
        </w:tc>
        <w:tc>
          <w:tcPr>
            <w:tcW w:w="810" w:type="dxa"/>
            <w:shd w:val="clear" w:color="auto" w:fill="FFFFFF" w:themeFill="background1"/>
            <w:vAlign w:val="center"/>
            <w:hideMark/>
          </w:tcPr>
          <w:p w:rsidR="009B6E68" w:rsidRPr="009B6E68" w:rsidP="245F2F03" w14:paraId="0E8E3B26" w14:textId="37383B20">
            <w:pPr>
              <w:jc w:val="right"/>
              <w:rPr>
                <w:rFonts w:asciiTheme="minorHAnsi" w:hAnsiTheme="minorHAnsi" w:cstheme="minorBidi"/>
                <w:color w:val="000000"/>
              </w:rPr>
            </w:pPr>
            <w:r w:rsidRPr="23FB9889">
              <w:rPr>
                <w:rFonts w:asciiTheme="minorHAnsi" w:hAnsiTheme="minorHAnsi" w:cstheme="minorBidi"/>
                <w:color w:val="000000" w:themeColor="text1"/>
              </w:rPr>
              <w:t>7</w:t>
            </w:r>
            <w:r w:rsidRPr="23FB9889" w:rsidR="2C890038">
              <w:rPr>
                <w:rFonts w:asciiTheme="minorHAnsi" w:hAnsiTheme="minorHAnsi" w:cstheme="minorBidi"/>
                <w:color w:val="000000" w:themeColor="text1"/>
              </w:rPr>
              <w:t>,</w:t>
            </w:r>
            <w:r w:rsidRPr="23FB9889" w:rsidR="7F45DC59">
              <w:rPr>
                <w:rFonts w:asciiTheme="minorHAnsi" w:hAnsiTheme="minorHAnsi" w:cstheme="minorBidi"/>
                <w:color w:val="000000" w:themeColor="text1"/>
              </w:rPr>
              <w:t>99</w:t>
            </w:r>
            <w:r w:rsidRPr="23FB9889" w:rsidR="2C890038">
              <w:rPr>
                <w:rFonts w:asciiTheme="minorHAnsi" w:hAnsiTheme="minorHAnsi" w:cstheme="minorBidi"/>
                <w:color w:val="000000" w:themeColor="text1"/>
              </w:rPr>
              <w:t>2</w:t>
            </w:r>
            <w:r w:rsidRPr="23FB9889" w:rsidR="696F4F8C">
              <w:rPr>
                <w:rFonts w:asciiTheme="minorHAnsi" w:hAnsiTheme="minorHAnsi" w:cstheme="minorBidi"/>
                <w:color w:val="000000" w:themeColor="text1"/>
              </w:rPr>
              <w:t xml:space="preserve"> </w:t>
            </w:r>
          </w:p>
        </w:tc>
        <w:tc>
          <w:tcPr>
            <w:tcW w:w="1182" w:type="dxa"/>
            <w:tcBorders>
              <w:right w:val="single" w:sz="4" w:space="0" w:color="auto"/>
            </w:tcBorders>
            <w:shd w:val="clear" w:color="auto" w:fill="FFFFFF" w:themeFill="background1"/>
            <w:vAlign w:val="center"/>
            <w:hideMark/>
          </w:tcPr>
          <w:p w:rsidR="009B6E68" w:rsidRPr="009B6E68" w:rsidP="245F2F03" w14:paraId="017FCBBE" w14:textId="5D970F56">
            <w:pPr>
              <w:jc w:val="right"/>
              <w:rPr>
                <w:rFonts w:asciiTheme="minorHAnsi" w:hAnsiTheme="minorHAnsi" w:cstheme="minorBidi"/>
                <w:color w:val="000000"/>
              </w:rPr>
            </w:pPr>
            <w:r w:rsidRPr="23FB9889">
              <w:rPr>
                <w:rFonts w:asciiTheme="minorHAnsi" w:hAnsiTheme="minorHAnsi" w:cstheme="minorBidi"/>
                <w:color w:val="000000" w:themeColor="text1"/>
              </w:rPr>
              <w:t xml:space="preserve"> $</w:t>
            </w:r>
            <w:r w:rsidRPr="23FB9889" w:rsidR="15E6B67D">
              <w:rPr>
                <w:rFonts w:asciiTheme="minorHAnsi" w:hAnsiTheme="minorHAnsi" w:cstheme="minorBidi"/>
                <w:color w:val="000000" w:themeColor="text1"/>
              </w:rPr>
              <w:t>490,309</w:t>
            </w:r>
            <w:r w:rsidRPr="23FB9889">
              <w:rPr>
                <w:rFonts w:asciiTheme="minorHAnsi" w:hAnsiTheme="minorHAnsi" w:cstheme="minorBidi"/>
                <w:color w:val="000000" w:themeColor="text1"/>
              </w:rPr>
              <w:t xml:space="preserve"> </w:t>
            </w:r>
          </w:p>
        </w:tc>
      </w:tr>
      <w:tr w14:paraId="390F5DC2" w14:textId="77777777" w:rsidTr="23FB9889">
        <w:tblPrEx>
          <w:tblW w:w="9889" w:type="dxa"/>
          <w:tblLayout w:type="fixed"/>
          <w:tblLook w:val="04A0"/>
        </w:tblPrEx>
        <w:trPr>
          <w:trHeight w:val="70"/>
        </w:trPr>
        <w:tc>
          <w:tcPr>
            <w:tcW w:w="2051" w:type="dxa"/>
            <w:tcBorders>
              <w:top w:val="nil"/>
              <w:left w:val="single" w:sz="8" w:space="0" w:color="auto"/>
              <w:bottom w:val="nil"/>
              <w:right w:val="nil"/>
            </w:tcBorders>
            <w:shd w:val="clear" w:color="auto" w:fill="FFFFFF" w:themeFill="background1"/>
            <w:vAlign w:val="center"/>
            <w:hideMark/>
          </w:tcPr>
          <w:p w:rsidR="009B6E68" w:rsidRPr="009B6E68" w:rsidP="009B6E68" w14:paraId="114839E0" w14:textId="77777777">
            <w:pPr>
              <w:jc w:val="both"/>
              <w:rPr>
                <w:rFonts w:asciiTheme="minorHAnsi" w:hAnsiTheme="minorHAnsi" w:cstheme="minorHAnsi"/>
                <w:color w:val="000000"/>
              </w:rPr>
            </w:pPr>
            <w:r w:rsidRPr="009B6E68">
              <w:rPr>
                <w:rFonts w:asciiTheme="minorHAnsi" w:hAnsiTheme="minorHAnsi" w:cstheme="minorHAnsi"/>
                <w:color w:val="000000"/>
              </w:rPr>
              <w:t>Gra</w:t>
            </w:r>
            <w:r w:rsidRPr="009B6E68">
              <w:rPr>
                <w:rFonts w:asciiTheme="minorHAnsi" w:hAnsiTheme="minorHAnsi" w:cstheme="minorHAnsi"/>
                <w:color w:val="000000"/>
              </w:rPr>
              <w:t>nt Management</w:t>
            </w:r>
          </w:p>
        </w:tc>
        <w:tc>
          <w:tcPr>
            <w:tcW w:w="739" w:type="dxa"/>
            <w:tcBorders>
              <w:top w:val="nil"/>
              <w:left w:val="single" w:sz="4" w:space="0" w:color="auto"/>
              <w:bottom w:val="nil"/>
              <w:right w:val="nil"/>
            </w:tcBorders>
            <w:shd w:val="clear" w:color="auto" w:fill="FFFFFF" w:themeFill="background1"/>
            <w:vAlign w:val="center"/>
            <w:hideMark/>
          </w:tcPr>
          <w:p w:rsidR="009B6E68" w:rsidRPr="009B6E68" w:rsidP="009B6E68" w14:paraId="1AE0F565" w14:textId="77777777">
            <w:pPr>
              <w:jc w:val="right"/>
              <w:rPr>
                <w:rFonts w:asciiTheme="minorHAnsi" w:hAnsiTheme="minorHAnsi" w:cstheme="minorHAnsi"/>
                <w:color w:val="000000"/>
              </w:rPr>
            </w:pPr>
            <w:r w:rsidRPr="009B6E68">
              <w:rPr>
                <w:rFonts w:asciiTheme="minorHAnsi" w:hAnsiTheme="minorHAnsi" w:cstheme="minorHAnsi"/>
                <w:color w:val="000000"/>
              </w:rPr>
              <w:t>155</w:t>
            </w:r>
          </w:p>
        </w:tc>
        <w:tc>
          <w:tcPr>
            <w:tcW w:w="810" w:type="dxa"/>
            <w:tcBorders>
              <w:top w:val="nil"/>
              <w:left w:val="nil"/>
              <w:bottom w:val="nil"/>
              <w:right w:val="nil"/>
            </w:tcBorders>
            <w:shd w:val="clear" w:color="auto" w:fill="FFFFFF" w:themeFill="background1"/>
            <w:vAlign w:val="center"/>
            <w:hideMark/>
          </w:tcPr>
          <w:p w:rsidR="009B6E68" w:rsidRPr="009B6E68" w:rsidP="009B6E68" w14:paraId="4332E990" w14:textId="537582A3">
            <w:pPr>
              <w:jc w:val="right"/>
              <w:rPr>
                <w:rFonts w:asciiTheme="minorHAnsi" w:hAnsiTheme="minorHAnsi" w:cstheme="minorHAnsi"/>
                <w:color w:val="000000"/>
              </w:rPr>
            </w:pPr>
            <w:r w:rsidRPr="009B6E68">
              <w:rPr>
                <w:rFonts w:asciiTheme="minorHAnsi" w:hAnsiTheme="minorHAnsi" w:cstheme="minorHAnsi"/>
                <w:color w:val="000000"/>
              </w:rPr>
              <w:t>3,</w:t>
            </w:r>
            <w:r w:rsidR="00CA311C">
              <w:rPr>
                <w:rFonts w:asciiTheme="minorHAnsi" w:hAnsiTheme="minorHAnsi" w:cstheme="minorHAnsi"/>
                <w:color w:val="000000"/>
              </w:rPr>
              <w:t>1</w:t>
            </w:r>
            <w:r w:rsidRPr="009B6E68">
              <w:rPr>
                <w:rFonts w:asciiTheme="minorHAnsi" w:hAnsiTheme="minorHAnsi" w:cstheme="minorHAnsi"/>
                <w:color w:val="000000"/>
              </w:rPr>
              <w:t xml:space="preserve">00 </w:t>
            </w:r>
          </w:p>
        </w:tc>
        <w:tc>
          <w:tcPr>
            <w:tcW w:w="1080" w:type="dxa"/>
            <w:tcBorders>
              <w:top w:val="nil"/>
              <w:left w:val="nil"/>
              <w:bottom w:val="nil"/>
              <w:right w:val="single" w:sz="4" w:space="0" w:color="auto"/>
            </w:tcBorders>
            <w:shd w:val="clear" w:color="auto" w:fill="FFFFFF" w:themeFill="background1"/>
            <w:vAlign w:val="center"/>
            <w:hideMark/>
          </w:tcPr>
          <w:p w:rsidR="009B6E68" w:rsidRPr="009B6E68" w:rsidP="009B6E68" w14:paraId="13370E8C" w14:textId="3BA12B90">
            <w:pPr>
              <w:jc w:val="right"/>
              <w:rPr>
                <w:rFonts w:asciiTheme="minorHAnsi" w:hAnsiTheme="minorHAnsi" w:cstheme="minorHAnsi"/>
                <w:color w:val="000000"/>
              </w:rPr>
            </w:pPr>
            <w:r w:rsidRPr="009B6E68">
              <w:rPr>
                <w:rFonts w:asciiTheme="minorHAnsi" w:hAnsiTheme="minorHAnsi" w:cstheme="minorHAnsi"/>
                <w:color w:val="000000"/>
              </w:rPr>
              <w:t xml:space="preserve"> $1</w:t>
            </w:r>
            <w:r w:rsidR="00CA311C">
              <w:rPr>
                <w:rFonts w:asciiTheme="minorHAnsi" w:hAnsiTheme="minorHAnsi" w:cstheme="minorHAnsi"/>
                <w:color w:val="000000"/>
              </w:rPr>
              <w:t>90</w:t>
            </w:r>
            <w:r w:rsidRPr="009B6E68">
              <w:rPr>
                <w:rFonts w:asciiTheme="minorHAnsi" w:hAnsiTheme="minorHAnsi" w:cstheme="minorHAnsi"/>
                <w:color w:val="000000"/>
              </w:rPr>
              <w:t>,</w:t>
            </w:r>
            <w:r w:rsidR="00CA311C">
              <w:rPr>
                <w:rFonts w:asciiTheme="minorHAnsi" w:hAnsiTheme="minorHAnsi" w:cstheme="minorHAnsi"/>
                <w:color w:val="000000"/>
              </w:rPr>
              <w:t>185</w:t>
            </w:r>
            <w:r w:rsidRPr="009B6E68">
              <w:rPr>
                <w:rFonts w:asciiTheme="minorHAnsi" w:hAnsiTheme="minorHAnsi" w:cstheme="minorHAnsi"/>
                <w:color w:val="000000"/>
              </w:rPr>
              <w:t xml:space="preserve"> </w:t>
            </w:r>
          </w:p>
        </w:tc>
        <w:tc>
          <w:tcPr>
            <w:tcW w:w="720" w:type="dxa"/>
            <w:tcBorders>
              <w:top w:val="nil"/>
              <w:left w:val="nil"/>
              <w:bottom w:val="nil"/>
              <w:right w:val="nil"/>
            </w:tcBorders>
            <w:shd w:val="clear" w:color="auto" w:fill="FFFFFF" w:themeFill="background1"/>
            <w:vAlign w:val="center"/>
            <w:hideMark/>
          </w:tcPr>
          <w:p w:rsidR="009B6E68" w:rsidRPr="009B6E68" w:rsidP="009B6E68" w14:paraId="4235C8C2"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720" w:type="dxa"/>
            <w:tcBorders>
              <w:top w:val="nil"/>
              <w:left w:val="nil"/>
              <w:bottom w:val="nil"/>
              <w:right w:val="nil"/>
            </w:tcBorders>
            <w:shd w:val="clear" w:color="auto" w:fill="FFFFFF" w:themeFill="background1"/>
            <w:vAlign w:val="center"/>
            <w:hideMark/>
          </w:tcPr>
          <w:p w:rsidR="009B6E68" w:rsidRPr="009B6E68" w:rsidP="009B6E68" w14:paraId="24638149"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1057" w:type="dxa"/>
            <w:tcBorders>
              <w:top w:val="nil"/>
              <w:left w:val="nil"/>
              <w:bottom w:val="nil"/>
              <w:right w:val="single" w:sz="4" w:space="0" w:color="auto"/>
            </w:tcBorders>
            <w:shd w:val="clear" w:color="auto" w:fill="FFFFFF" w:themeFill="background1"/>
            <w:vAlign w:val="center"/>
            <w:hideMark/>
          </w:tcPr>
          <w:p w:rsidR="009B6E68" w:rsidRPr="009B6E68" w:rsidP="009B6E68" w14:paraId="186399F3" w14:textId="1ABA0268">
            <w:pPr>
              <w:jc w:val="right"/>
              <w:rPr>
                <w:rFonts w:asciiTheme="minorHAnsi" w:hAnsiTheme="minorHAnsi" w:cstheme="minorHAnsi"/>
                <w:color w:val="000000"/>
              </w:rPr>
            </w:pPr>
            <w:r w:rsidRPr="009B6E68">
              <w:rPr>
                <w:rFonts w:asciiTheme="minorHAnsi" w:hAnsiTheme="minorHAnsi" w:cstheme="minorHAnsi"/>
                <w:color w:val="000000"/>
              </w:rPr>
              <w:t xml:space="preserve"> $0   </w:t>
            </w:r>
          </w:p>
        </w:tc>
        <w:tc>
          <w:tcPr>
            <w:tcW w:w="720" w:type="dxa"/>
            <w:tcBorders>
              <w:left w:val="single" w:sz="4" w:space="0" w:color="auto"/>
            </w:tcBorders>
            <w:shd w:val="clear" w:color="auto" w:fill="FFFFFF" w:themeFill="background1"/>
            <w:vAlign w:val="center"/>
            <w:hideMark/>
          </w:tcPr>
          <w:p w:rsidR="009B6E68" w:rsidRPr="009B6E68" w:rsidP="009B6E68" w14:paraId="4015BD3E" w14:textId="7876AF76">
            <w:pPr>
              <w:jc w:val="right"/>
              <w:rPr>
                <w:rFonts w:asciiTheme="minorHAnsi" w:hAnsiTheme="minorHAnsi" w:cstheme="minorHAnsi"/>
                <w:color w:val="000000"/>
              </w:rPr>
            </w:pPr>
            <w:r w:rsidRPr="009B6E68">
              <w:rPr>
                <w:rFonts w:asciiTheme="minorHAnsi" w:hAnsiTheme="minorHAnsi" w:cstheme="minorHAnsi"/>
                <w:color w:val="000000"/>
              </w:rPr>
              <w:t xml:space="preserve">155 </w:t>
            </w:r>
          </w:p>
        </w:tc>
        <w:tc>
          <w:tcPr>
            <w:tcW w:w="810" w:type="dxa"/>
            <w:shd w:val="clear" w:color="auto" w:fill="FFFFFF" w:themeFill="background1"/>
            <w:vAlign w:val="center"/>
            <w:hideMark/>
          </w:tcPr>
          <w:p w:rsidR="009B6E68" w:rsidRPr="009B6E68" w:rsidP="009B6E68" w14:paraId="1D09D5AF" w14:textId="45C2AEDF">
            <w:pPr>
              <w:jc w:val="right"/>
              <w:rPr>
                <w:rFonts w:asciiTheme="minorHAnsi" w:hAnsiTheme="minorHAnsi" w:cstheme="minorHAnsi"/>
                <w:color w:val="000000"/>
              </w:rPr>
            </w:pPr>
            <w:r w:rsidRPr="009B6E68">
              <w:rPr>
                <w:rFonts w:asciiTheme="minorHAnsi" w:hAnsiTheme="minorHAnsi" w:cstheme="minorHAnsi"/>
                <w:color w:val="000000"/>
              </w:rPr>
              <w:t>3,</w:t>
            </w:r>
            <w:r w:rsidR="00CA311C">
              <w:rPr>
                <w:rFonts w:asciiTheme="minorHAnsi" w:hAnsiTheme="minorHAnsi" w:cstheme="minorHAnsi"/>
                <w:color w:val="000000"/>
              </w:rPr>
              <w:t>1</w:t>
            </w:r>
            <w:r w:rsidRPr="009B6E68">
              <w:rPr>
                <w:rFonts w:asciiTheme="minorHAnsi" w:hAnsiTheme="minorHAnsi" w:cstheme="minorHAnsi"/>
                <w:color w:val="000000"/>
              </w:rPr>
              <w:t xml:space="preserve">00 </w:t>
            </w:r>
          </w:p>
        </w:tc>
        <w:tc>
          <w:tcPr>
            <w:tcW w:w="1182" w:type="dxa"/>
            <w:tcBorders>
              <w:right w:val="single" w:sz="4" w:space="0" w:color="auto"/>
            </w:tcBorders>
            <w:shd w:val="clear" w:color="auto" w:fill="FFFFFF" w:themeFill="background1"/>
            <w:vAlign w:val="center"/>
            <w:hideMark/>
          </w:tcPr>
          <w:p w:rsidR="009B6E68" w:rsidRPr="009B6E68" w:rsidP="009B6E68" w14:paraId="1D574C1B" w14:textId="5967B17D">
            <w:pPr>
              <w:jc w:val="right"/>
              <w:rPr>
                <w:rFonts w:asciiTheme="minorHAnsi" w:hAnsiTheme="minorHAnsi" w:cstheme="minorHAnsi"/>
                <w:color w:val="000000"/>
              </w:rPr>
            </w:pPr>
            <w:r w:rsidRPr="009B6E68">
              <w:rPr>
                <w:rFonts w:asciiTheme="minorHAnsi" w:hAnsiTheme="minorHAnsi" w:cstheme="minorHAnsi"/>
                <w:color w:val="000000"/>
              </w:rPr>
              <w:t xml:space="preserve"> $1</w:t>
            </w:r>
            <w:r w:rsidR="00CA311C">
              <w:rPr>
                <w:rFonts w:asciiTheme="minorHAnsi" w:hAnsiTheme="minorHAnsi" w:cstheme="minorHAnsi"/>
                <w:color w:val="000000"/>
              </w:rPr>
              <w:t>90</w:t>
            </w:r>
            <w:r w:rsidRPr="009B6E68">
              <w:rPr>
                <w:rFonts w:asciiTheme="minorHAnsi" w:hAnsiTheme="minorHAnsi" w:cstheme="minorHAnsi"/>
                <w:color w:val="000000"/>
              </w:rPr>
              <w:t>,</w:t>
            </w:r>
            <w:r w:rsidR="00CA311C">
              <w:rPr>
                <w:rFonts w:asciiTheme="minorHAnsi" w:hAnsiTheme="minorHAnsi" w:cstheme="minorHAnsi"/>
                <w:color w:val="000000"/>
              </w:rPr>
              <w:t>185</w:t>
            </w:r>
            <w:r w:rsidRPr="009B6E68">
              <w:rPr>
                <w:rFonts w:asciiTheme="minorHAnsi" w:hAnsiTheme="minorHAnsi" w:cstheme="minorHAnsi"/>
                <w:color w:val="000000"/>
              </w:rPr>
              <w:t xml:space="preserve"> </w:t>
            </w:r>
          </w:p>
        </w:tc>
      </w:tr>
      <w:tr w14:paraId="74197B50" w14:textId="77777777" w:rsidTr="23FB9889">
        <w:tblPrEx>
          <w:tblW w:w="9889" w:type="dxa"/>
          <w:tblLayout w:type="fixed"/>
          <w:tblLook w:val="04A0"/>
        </w:tblPrEx>
        <w:trPr>
          <w:trHeight w:val="70"/>
        </w:trPr>
        <w:tc>
          <w:tcPr>
            <w:tcW w:w="2051" w:type="dxa"/>
            <w:tcBorders>
              <w:top w:val="nil"/>
              <w:left w:val="single" w:sz="8" w:space="0" w:color="auto"/>
              <w:bottom w:val="single" w:sz="4" w:space="0" w:color="auto"/>
              <w:right w:val="nil"/>
            </w:tcBorders>
            <w:shd w:val="clear" w:color="auto" w:fill="FFFFFF" w:themeFill="background1"/>
            <w:vAlign w:val="center"/>
            <w:hideMark/>
          </w:tcPr>
          <w:p w:rsidR="009B6E68" w:rsidRPr="009B6E68" w:rsidP="009B6E68" w14:paraId="1D8CACED" w14:textId="77777777">
            <w:pPr>
              <w:jc w:val="both"/>
              <w:rPr>
                <w:rFonts w:asciiTheme="minorHAnsi" w:hAnsiTheme="minorHAnsi" w:cstheme="minorHAnsi"/>
                <w:color w:val="000000"/>
              </w:rPr>
            </w:pPr>
            <w:r w:rsidRPr="009B6E68">
              <w:rPr>
                <w:rFonts w:asciiTheme="minorHAnsi" w:hAnsiTheme="minorHAnsi" w:cstheme="minorHAnsi"/>
                <w:color w:val="000000"/>
              </w:rPr>
              <w:t>FTA Event Notification</w:t>
            </w:r>
          </w:p>
        </w:tc>
        <w:tc>
          <w:tcPr>
            <w:tcW w:w="739" w:type="dxa"/>
            <w:tcBorders>
              <w:top w:val="nil"/>
              <w:left w:val="single" w:sz="4" w:space="0" w:color="auto"/>
              <w:bottom w:val="single" w:sz="4" w:space="0" w:color="auto"/>
              <w:right w:val="nil"/>
            </w:tcBorders>
            <w:shd w:val="clear" w:color="auto" w:fill="FFFFFF" w:themeFill="background1"/>
            <w:vAlign w:val="center"/>
            <w:hideMark/>
          </w:tcPr>
          <w:p w:rsidR="009B6E68" w:rsidRPr="009B6E68" w:rsidP="009B6E68" w14:paraId="38D2C495" w14:textId="77777777">
            <w:pPr>
              <w:jc w:val="right"/>
              <w:rPr>
                <w:rFonts w:asciiTheme="minorHAnsi" w:hAnsiTheme="minorHAnsi" w:cstheme="minorHAnsi"/>
                <w:color w:val="000000"/>
              </w:rPr>
            </w:pPr>
            <w:r w:rsidRPr="009B6E68">
              <w:rPr>
                <w:rFonts w:asciiTheme="minorHAnsi" w:hAnsiTheme="minorHAnsi" w:cstheme="minorHAnsi"/>
                <w:color w:val="000000"/>
              </w:rPr>
              <w:t>0</w:t>
            </w:r>
          </w:p>
        </w:tc>
        <w:tc>
          <w:tcPr>
            <w:tcW w:w="810" w:type="dxa"/>
            <w:tcBorders>
              <w:top w:val="nil"/>
              <w:left w:val="nil"/>
              <w:bottom w:val="single" w:sz="4" w:space="0" w:color="auto"/>
              <w:right w:val="nil"/>
            </w:tcBorders>
            <w:shd w:val="clear" w:color="auto" w:fill="FFFFFF" w:themeFill="background1"/>
            <w:vAlign w:val="center"/>
            <w:hideMark/>
          </w:tcPr>
          <w:p w:rsidR="009B6E68" w:rsidRPr="009B6E68" w:rsidP="009B6E68" w14:paraId="08CC62B9" w14:textId="787449AB">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B6E68" w:rsidRPr="009B6E68" w:rsidP="009B6E68" w14:paraId="23F3F779" w14:textId="09B48FB7">
            <w:pPr>
              <w:jc w:val="right"/>
              <w:rPr>
                <w:rFonts w:asciiTheme="minorHAnsi" w:hAnsiTheme="minorHAnsi" w:cstheme="minorHAnsi"/>
                <w:color w:val="000000"/>
              </w:rPr>
            </w:pPr>
            <w:r w:rsidRPr="009B6E68">
              <w:rPr>
                <w:rFonts w:asciiTheme="minorHAnsi" w:hAnsiTheme="minorHAnsi" w:cstheme="minorHAnsi"/>
                <w:color w:val="000000"/>
              </w:rPr>
              <w:t xml:space="preserve"> $0  </w:t>
            </w:r>
          </w:p>
        </w:tc>
        <w:tc>
          <w:tcPr>
            <w:tcW w:w="720" w:type="dxa"/>
            <w:tcBorders>
              <w:top w:val="nil"/>
              <w:left w:val="nil"/>
              <w:bottom w:val="single" w:sz="4" w:space="0" w:color="auto"/>
              <w:right w:val="nil"/>
            </w:tcBorders>
            <w:shd w:val="clear" w:color="auto" w:fill="FFFFFF" w:themeFill="background1"/>
            <w:vAlign w:val="center"/>
            <w:hideMark/>
          </w:tcPr>
          <w:p w:rsidR="009B6E68" w:rsidRPr="009B6E68" w:rsidP="009B6E68" w14:paraId="6169B37F" w14:textId="2DD82C14">
            <w:pPr>
              <w:jc w:val="right"/>
              <w:rPr>
                <w:rFonts w:asciiTheme="minorHAnsi" w:hAnsiTheme="minorHAnsi" w:cstheme="minorHAnsi"/>
                <w:color w:val="000000"/>
              </w:rPr>
            </w:pPr>
            <w:r>
              <w:rPr>
                <w:rFonts w:asciiTheme="minorHAnsi" w:hAnsiTheme="minorHAnsi" w:cstheme="minorHAnsi"/>
                <w:color w:val="000000"/>
              </w:rPr>
              <w:t>811</w:t>
            </w:r>
          </w:p>
        </w:tc>
        <w:tc>
          <w:tcPr>
            <w:tcW w:w="720" w:type="dxa"/>
            <w:tcBorders>
              <w:top w:val="nil"/>
              <w:left w:val="nil"/>
              <w:bottom w:val="single" w:sz="4" w:space="0" w:color="auto"/>
              <w:right w:val="nil"/>
            </w:tcBorders>
            <w:shd w:val="clear" w:color="auto" w:fill="FFFFFF" w:themeFill="background1"/>
            <w:vAlign w:val="center"/>
            <w:hideMark/>
          </w:tcPr>
          <w:p w:rsidR="009B6E68" w:rsidRPr="009B6E68" w:rsidP="009B6E68" w14:paraId="2F180779" w14:textId="01B76641">
            <w:pPr>
              <w:jc w:val="right"/>
              <w:rPr>
                <w:rFonts w:asciiTheme="minorHAnsi" w:hAnsiTheme="minorHAnsi" w:cstheme="minorHAnsi"/>
                <w:color w:val="000000"/>
              </w:rPr>
            </w:pPr>
            <w:r w:rsidRPr="009B6E68">
              <w:rPr>
                <w:rFonts w:asciiTheme="minorHAnsi" w:hAnsiTheme="minorHAnsi" w:cstheme="minorHAnsi"/>
                <w:color w:val="000000"/>
              </w:rPr>
              <w:t xml:space="preserve">811 </w:t>
            </w:r>
          </w:p>
        </w:tc>
        <w:tc>
          <w:tcPr>
            <w:tcW w:w="1057" w:type="dxa"/>
            <w:tcBorders>
              <w:top w:val="nil"/>
              <w:left w:val="nil"/>
              <w:bottom w:val="single" w:sz="4" w:space="0" w:color="auto"/>
              <w:right w:val="single" w:sz="4" w:space="0" w:color="auto"/>
            </w:tcBorders>
            <w:shd w:val="clear" w:color="auto" w:fill="FFFFFF" w:themeFill="background1"/>
            <w:vAlign w:val="center"/>
            <w:hideMark/>
          </w:tcPr>
          <w:p w:rsidR="009B6E68" w:rsidRPr="009B6E68" w:rsidP="009B6E68" w14:paraId="47E37BDB" w14:textId="53E21A4C">
            <w:pPr>
              <w:jc w:val="right"/>
              <w:rPr>
                <w:rFonts w:asciiTheme="minorHAnsi" w:hAnsiTheme="minorHAnsi" w:cstheme="minorHAnsi"/>
                <w:color w:val="000000"/>
              </w:rPr>
            </w:pPr>
            <w:r w:rsidRPr="009B6E68">
              <w:rPr>
                <w:rFonts w:asciiTheme="minorHAnsi" w:hAnsiTheme="minorHAnsi" w:cstheme="minorHAnsi"/>
                <w:color w:val="000000"/>
              </w:rPr>
              <w:t xml:space="preserve"> $49,755 </w:t>
            </w:r>
          </w:p>
        </w:tc>
        <w:tc>
          <w:tcPr>
            <w:tcW w:w="720" w:type="dxa"/>
            <w:tcBorders>
              <w:left w:val="single" w:sz="4" w:space="0" w:color="auto"/>
              <w:bottom w:val="single" w:sz="4" w:space="0" w:color="auto"/>
            </w:tcBorders>
            <w:shd w:val="clear" w:color="auto" w:fill="FFFFFF" w:themeFill="background1"/>
            <w:vAlign w:val="center"/>
            <w:hideMark/>
          </w:tcPr>
          <w:p w:rsidR="009B6E68" w:rsidRPr="009B6E68" w:rsidP="009B6E68" w14:paraId="7D1364A9" w14:textId="450A0BD6">
            <w:pPr>
              <w:jc w:val="right"/>
              <w:rPr>
                <w:rFonts w:asciiTheme="minorHAnsi" w:hAnsiTheme="minorHAnsi" w:cstheme="minorHAnsi"/>
                <w:color w:val="000000"/>
              </w:rPr>
            </w:pPr>
            <w:r>
              <w:rPr>
                <w:rFonts w:asciiTheme="minorHAnsi" w:hAnsiTheme="minorHAnsi" w:cstheme="minorHAnsi"/>
                <w:color w:val="000000"/>
              </w:rPr>
              <w:t>811</w:t>
            </w:r>
            <w:r w:rsidRPr="009B6E68">
              <w:rPr>
                <w:rFonts w:asciiTheme="minorHAnsi" w:hAnsiTheme="minorHAnsi" w:cstheme="minorHAnsi"/>
                <w:color w:val="000000"/>
              </w:rPr>
              <w:t xml:space="preserve"> </w:t>
            </w:r>
          </w:p>
        </w:tc>
        <w:tc>
          <w:tcPr>
            <w:tcW w:w="810" w:type="dxa"/>
            <w:tcBorders>
              <w:bottom w:val="single" w:sz="4" w:space="0" w:color="auto"/>
            </w:tcBorders>
            <w:shd w:val="clear" w:color="auto" w:fill="FFFFFF" w:themeFill="background1"/>
            <w:vAlign w:val="center"/>
            <w:hideMark/>
          </w:tcPr>
          <w:p w:rsidR="009B6E68" w:rsidRPr="009B6E68" w:rsidP="009B6E68" w14:paraId="6C099B02" w14:textId="228F37CC">
            <w:pPr>
              <w:jc w:val="right"/>
              <w:rPr>
                <w:rFonts w:asciiTheme="minorHAnsi" w:hAnsiTheme="minorHAnsi" w:cstheme="minorHAnsi"/>
                <w:color w:val="000000"/>
              </w:rPr>
            </w:pPr>
            <w:r w:rsidRPr="009B6E68">
              <w:rPr>
                <w:rFonts w:asciiTheme="minorHAnsi" w:hAnsiTheme="minorHAnsi" w:cstheme="minorHAnsi"/>
                <w:color w:val="000000"/>
              </w:rPr>
              <w:t xml:space="preserve">811 </w:t>
            </w:r>
          </w:p>
        </w:tc>
        <w:tc>
          <w:tcPr>
            <w:tcW w:w="1182" w:type="dxa"/>
            <w:tcBorders>
              <w:bottom w:val="single" w:sz="4" w:space="0" w:color="auto"/>
              <w:right w:val="single" w:sz="4" w:space="0" w:color="auto"/>
            </w:tcBorders>
            <w:shd w:val="clear" w:color="auto" w:fill="FFFFFF" w:themeFill="background1"/>
            <w:vAlign w:val="center"/>
            <w:hideMark/>
          </w:tcPr>
          <w:p w:rsidR="009B6E68" w:rsidRPr="009B6E68" w:rsidP="009B6E68" w14:paraId="478C800E" w14:textId="0DCD12B1">
            <w:pPr>
              <w:jc w:val="right"/>
              <w:rPr>
                <w:rFonts w:asciiTheme="minorHAnsi" w:hAnsiTheme="minorHAnsi" w:cstheme="minorHAnsi"/>
                <w:color w:val="000000"/>
              </w:rPr>
            </w:pPr>
            <w:r w:rsidRPr="009B6E68">
              <w:rPr>
                <w:rFonts w:asciiTheme="minorHAnsi" w:hAnsiTheme="minorHAnsi" w:cstheme="minorHAnsi"/>
                <w:color w:val="000000"/>
              </w:rPr>
              <w:t xml:space="preserve"> $49,755 </w:t>
            </w:r>
          </w:p>
        </w:tc>
      </w:tr>
      <w:tr w14:paraId="52F26317" w14:textId="77777777" w:rsidTr="23FB9889">
        <w:tblPrEx>
          <w:tblW w:w="9889" w:type="dxa"/>
          <w:tblLayout w:type="fixed"/>
          <w:tblLook w:val="04A0"/>
        </w:tblPrEx>
        <w:trPr>
          <w:trHeight w:val="340"/>
        </w:trPr>
        <w:tc>
          <w:tcPr>
            <w:tcW w:w="2051" w:type="dxa"/>
            <w:tcBorders>
              <w:top w:val="single" w:sz="4" w:space="0" w:color="auto"/>
              <w:left w:val="single" w:sz="8" w:space="0" w:color="auto"/>
              <w:bottom w:val="single" w:sz="8" w:space="0" w:color="auto"/>
              <w:right w:val="nil"/>
            </w:tcBorders>
            <w:shd w:val="clear" w:color="auto" w:fill="FFFFFF" w:themeFill="background1"/>
            <w:noWrap/>
            <w:vAlign w:val="center"/>
            <w:hideMark/>
          </w:tcPr>
          <w:p w:rsidR="009B6E68" w:rsidRPr="009B6E68" w:rsidP="009B6E68" w14:paraId="109CB14A" w14:textId="62F739E0">
            <w:pPr>
              <w:jc w:val="both"/>
              <w:rPr>
                <w:rFonts w:asciiTheme="minorHAnsi" w:hAnsiTheme="minorHAnsi" w:cstheme="minorHAnsi"/>
                <w:b/>
                <w:bCs/>
                <w:color w:val="000000"/>
              </w:rPr>
            </w:pPr>
            <w:r w:rsidRPr="009B6E68">
              <w:rPr>
                <w:rFonts w:asciiTheme="minorHAnsi" w:hAnsiTheme="minorHAnsi" w:cstheme="minorHAnsi"/>
                <w:b/>
                <w:bCs/>
                <w:color w:val="000000"/>
              </w:rPr>
              <w:t>Total</w:t>
            </w:r>
          </w:p>
        </w:tc>
        <w:tc>
          <w:tcPr>
            <w:tcW w:w="739" w:type="dxa"/>
            <w:tcBorders>
              <w:top w:val="single" w:sz="4" w:space="0" w:color="auto"/>
              <w:left w:val="single" w:sz="4" w:space="0" w:color="auto"/>
              <w:bottom w:val="single" w:sz="8" w:space="0" w:color="auto"/>
              <w:right w:val="nil"/>
            </w:tcBorders>
            <w:shd w:val="clear" w:color="auto" w:fill="FFFFFF" w:themeFill="background1"/>
            <w:noWrap/>
            <w:vAlign w:val="center"/>
            <w:hideMark/>
          </w:tcPr>
          <w:p w:rsidR="009B6E68" w:rsidRPr="009B6E68" w:rsidP="009B6E68" w14:paraId="664A15DC" w14:textId="77777777">
            <w:pPr>
              <w:jc w:val="right"/>
              <w:rPr>
                <w:rFonts w:asciiTheme="minorHAnsi" w:hAnsiTheme="minorHAnsi" w:cstheme="minorHAnsi"/>
                <w:b/>
                <w:bCs/>
                <w:color w:val="000000"/>
              </w:rPr>
            </w:pPr>
            <w:r w:rsidRPr="009B6E68">
              <w:rPr>
                <w:rFonts w:asciiTheme="minorHAnsi" w:hAnsiTheme="minorHAnsi" w:cstheme="minorHAnsi"/>
                <w:b/>
                <w:bCs/>
                <w:color w:val="000000"/>
              </w:rPr>
              <w:t>692</w:t>
            </w:r>
          </w:p>
        </w:tc>
        <w:tc>
          <w:tcPr>
            <w:tcW w:w="810" w:type="dxa"/>
            <w:tcBorders>
              <w:top w:val="nil"/>
              <w:left w:val="nil"/>
              <w:bottom w:val="single" w:sz="8" w:space="0" w:color="auto"/>
              <w:right w:val="nil"/>
            </w:tcBorders>
            <w:shd w:val="clear" w:color="auto" w:fill="FFFFFF" w:themeFill="background1"/>
            <w:vAlign w:val="center"/>
            <w:hideMark/>
          </w:tcPr>
          <w:p w:rsidR="009B6E68" w:rsidRPr="009B6E68" w:rsidP="245F2F03" w14:paraId="433578AE" w14:textId="69D3FFFE">
            <w:pPr>
              <w:jc w:val="right"/>
              <w:rPr>
                <w:rFonts w:asciiTheme="minorHAnsi" w:hAnsiTheme="minorHAnsi" w:cstheme="minorBidi"/>
                <w:b/>
                <w:bCs/>
                <w:color w:val="000000"/>
              </w:rPr>
            </w:pPr>
            <w:r w:rsidRPr="245F2F03">
              <w:rPr>
                <w:rFonts w:asciiTheme="minorHAnsi" w:hAnsiTheme="minorHAnsi" w:cstheme="minorBidi"/>
                <w:b/>
                <w:bCs/>
                <w:color w:val="000000" w:themeColor="text1"/>
              </w:rPr>
              <w:t>1</w:t>
            </w:r>
            <w:r w:rsidRPr="245F2F03" w:rsidR="0B934C13">
              <w:rPr>
                <w:rFonts w:asciiTheme="minorHAnsi" w:hAnsiTheme="minorHAnsi" w:cstheme="minorBidi"/>
                <w:b/>
                <w:bCs/>
                <w:color w:val="000000" w:themeColor="text1"/>
              </w:rPr>
              <w:t>2</w:t>
            </w:r>
            <w:r w:rsidRPr="245F2F03">
              <w:rPr>
                <w:rFonts w:asciiTheme="minorHAnsi" w:hAnsiTheme="minorHAnsi" w:cstheme="minorBidi"/>
                <w:b/>
                <w:bCs/>
                <w:color w:val="000000" w:themeColor="text1"/>
              </w:rPr>
              <w:t>,</w:t>
            </w:r>
            <w:r w:rsidRPr="245F2F03" w:rsidR="0EF03FF2">
              <w:rPr>
                <w:rFonts w:asciiTheme="minorHAnsi" w:hAnsiTheme="minorHAnsi" w:cstheme="minorBidi"/>
                <w:b/>
                <w:bCs/>
                <w:color w:val="000000" w:themeColor="text1"/>
              </w:rPr>
              <w:t>0</w:t>
            </w:r>
            <w:r w:rsidRPr="245F2F03">
              <w:rPr>
                <w:rFonts w:asciiTheme="minorHAnsi" w:hAnsiTheme="minorHAnsi" w:cstheme="minorBidi"/>
                <w:b/>
                <w:bCs/>
                <w:color w:val="000000" w:themeColor="text1"/>
              </w:rPr>
              <w:t xml:space="preserve">26 </w:t>
            </w:r>
          </w:p>
        </w:tc>
        <w:tc>
          <w:tcPr>
            <w:tcW w:w="1080" w:type="dxa"/>
            <w:tcBorders>
              <w:top w:val="single" w:sz="4" w:space="0" w:color="auto"/>
              <w:left w:val="nil"/>
              <w:bottom w:val="single" w:sz="8" w:space="0" w:color="auto"/>
              <w:right w:val="single" w:sz="4" w:space="0" w:color="auto"/>
            </w:tcBorders>
            <w:shd w:val="clear" w:color="auto" w:fill="FFFFFF" w:themeFill="background1"/>
            <w:vAlign w:val="center"/>
            <w:hideMark/>
          </w:tcPr>
          <w:p w:rsidR="009B6E68" w:rsidRPr="009B6E68" w:rsidP="009B6E68" w14:paraId="75638A4B" w14:textId="4660301C">
            <w:pPr>
              <w:jc w:val="right"/>
              <w:rPr>
                <w:rFonts w:asciiTheme="minorHAnsi" w:hAnsiTheme="minorHAnsi" w:cstheme="minorHAnsi"/>
                <w:b/>
                <w:bCs/>
                <w:color w:val="000000"/>
              </w:rPr>
            </w:pPr>
            <w:r w:rsidRPr="009B6E68">
              <w:rPr>
                <w:rFonts w:asciiTheme="minorHAnsi" w:hAnsiTheme="minorHAnsi" w:cstheme="minorHAnsi"/>
                <w:b/>
                <w:bCs/>
                <w:color w:val="000000"/>
              </w:rPr>
              <w:t xml:space="preserve"> $73</w:t>
            </w:r>
            <w:r w:rsidR="00CA311C">
              <w:rPr>
                <w:rFonts w:asciiTheme="minorHAnsi" w:hAnsiTheme="minorHAnsi" w:cstheme="minorHAnsi"/>
                <w:b/>
                <w:bCs/>
                <w:color w:val="000000"/>
              </w:rPr>
              <w:t>7</w:t>
            </w:r>
            <w:r w:rsidRPr="009B6E68">
              <w:rPr>
                <w:rFonts w:asciiTheme="minorHAnsi" w:hAnsiTheme="minorHAnsi" w:cstheme="minorHAnsi"/>
                <w:b/>
                <w:bCs/>
                <w:color w:val="000000"/>
              </w:rPr>
              <w:t>,</w:t>
            </w:r>
            <w:r w:rsidR="00CA311C">
              <w:rPr>
                <w:rFonts w:asciiTheme="minorHAnsi" w:hAnsiTheme="minorHAnsi" w:cstheme="minorHAnsi"/>
                <w:b/>
                <w:bCs/>
                <w:color w:val="000000"/>
              </w:rPr>
              <w:t>797</w:t>
            </w:r>
            <w:r w:rsidRPr="009B6E68">
              <w:rPr>
                <w:rFonts w:asciiTheme="minorHAnsi" w:hAnsiTheme="minorHAnsi" w:cstheme="minorHAnsi"/>
                <w:b/>
                <w:bCs/>
                <w:color w:val="000000"/>
              </w:rPr>
              <w:t xml:space="preserve"> </w:t>
            </w:r>
          </w:p>
        </w:tc>
        <w:tc>
          <w:tcPr>
            <w:tcW w:w="720" w:type="dxa"/>
            <w:tcBorders>
              <w:top w:val="nil"/>
              <w:left w:val="nil"/>
              <w:bottom w:val="single" w:sz="8" w:space="0" w:color="auto"/>
              <w:right w:val="nil"/>
            </w:tcBorders>
            <w:shd w:val="clear" w:color="auto" w:fill="FFFFFF" w:themeFill="background1"/>
            <w:noWrap/>
            <w:vAlign w:val="center"/>
            <w:hideMark/>
          </w:tcPr>
          <w:p w:rsidR="009B6E68" w:rsidRPr="009B6E68" w:rsidP="245F2F03" w14:paraId="06BD4C58" w14:textId="41EDCDB7">
            <w:pPr>
              <w:jc w:val="right"/>
              <w:rPr>
                <w:rFonts w:asciiTheme="minorHAnsi" w:hAnsiTheme="minorHAnsi" w:cstheme="minorBidi"/>
                <w:b/>
                <w:bCs/>
                <w:color w:val="000000"/>
              </w:rPr>
            </w:pPr>
            <w:r w:rsidRPr="23FB9889">
              <w:rPr>
                <w:rFonts w:asciiTheme="minorHAnsi" w:hAnsiTheme="minorHAnsi" w:cstheme="minorBidi"/>
                <w:b/>
                <w:bCs/>
                <w:color w:val="000000" w:themeColor="text1"/>
              </w:rPr>
              <w:t>96</w:t>
            </w:r>
            <w:r w:rsidRPr="23FB9889" w:rsidR="0B01D760">
              <w:rPr>
                <w:rFonts w:asciiTheme="minorHAnsi" w:hAnsiTheme="minorHAnsi" w:cstheme="minorBidi"/>
                <w:b/>
                <w:bCs/>
                <w:color w:val="000000" w:themeColor="text1"/>
              </w:rPr>
              <w:t>3</w:t>
            </w:r>
            <w:r w:rsidRPr="23FB9889" w:rsidR="696F4F8C">
              <w:rPr>
                <w:rFonts w:asciiTheme="minorHAnsi" w:hAnsiTheme="minorHAnsi" w:cstheme="minorBidi"/>
                <w:b/>
                <w:bCs/>
                <w:color w:val="000000" w:themeColor="text1"/>
              </w:rPr>
              <w:t xml:space="preserve"> </w:t>
            </w:r>
          </w:p>
        </w:tc>
        <w:tc>
          <w:tcPr>
            <w:tcW w:w="720" w:type="dxa"/>
            <w:tcBorders>
              <w:top w:val="nil"/>
              <w:left w:val="nil"/>
              <w:bottom w:val="single" w:sz="8" w:space="0" w:color="auto"/>
              <w:right w:val="nil"/>
            </w:tcBorders>
            <w:shd w:val="clear" w:color="auto" w:fill="FFFFFF" w:themeFill="background1"/>
            <w:vAlign w:val="center"/>
            <w:hideMark/>
          </w:tcPr>
          <w:p w:rsidR="009B6E68" w:rsidRPr="009B6E68" w:rsidP="245F2F03" w14:paraId="2726916E" w14:textId="3319230E">
            <w:pPr>
              <w:jc w:val="right"/>
              <w:rPr>
                <w:rFonts w:asciiTheme="minorHAnsi" w:hAnsiTheme="minorHAnsi" w:cstheme="minorBidi"/>
                <w:b/>
                <w:bCs/>
                <w:color w:val="000000"/>
              </w:rPr>
            </w:pPr>
            <w:r w:rsidRPr="23FB9889">
              <w:rPr>
                <w:rFonts w:asciiTheme="minorHAnsi" w:hAnsiTheme="minorHAnsi" w:cstheme="minorBidi"/>
                <w:b/>
                <w:bCs/>
                <w:color w:val="000000" w:themeColor="text1"/>
              </w:rPr>
              <w:t>5,9</w:t>
            </w:r>
            <w:r w:rsidRPr="23FB9889" w:rsidR="696F4F8C">
              <w:rPr>
                <w:rFonts w:asciiTheme="minorHAnsi" w:hAnsiTheme="minorHAnsi" w:cstheme="minorBidi"/>
                <w:b/>
                <w:bCs/>
                <w:color w:val="000000" w:themeColor="text1"/>
              </w:rPr>
              <w:t xml:space="preserve">92 </w:t>
            </w:r>
          </w:p>
        </w:tc>
        <w:tc>
          <w:tcPr>
            <w:tcW w:w="1057" w:type="dxa"/>
            <w:tcBorders>
              <w:top w:val="single" w:sz="4" w:space="0" w:color="auto"/>
              <w:left w:val="nil"/>
              <w:bottom w:val="single" w:sz="8" w:space="0" w:color="auto"/>
              <w:right w:val="single" w:sz="4" w:space="0" w:color="auto"/>
            </w:tcBorders>
            <w:shd w:val="clear" w:color="auto" w:fill="FFFFFF" w:themeFill="background1"/>
            <w:vAlign w:val="center"/>
            <w:hideMark/>
          </w:tcPr>
          <w:p w:rsidR="009B6E68" w:rsidRPr="009B6E68" w:rsidP="245F2F03" w14:paraId="0DA5EB0D" w14:textId="1DB7CDF8">
            <w:pPr>
              <w:jc w:val="right"/>
              <w:rPr>
                <w:rFonts w:asciiTheme="minorHAnsi" w:hAnsiTheme="minorHAnsi" w:cstheme="minorBidi"/>
                <w:b/>
                <w:bCs/>
                <w:color w:val="000000"/>
              </w:rPr>
            </w:pPr>
            <w:r w:rsidRPr="23FB9889">
              <w:rPr>
                <w:rFonts w:asciiTheme="minorHAnsi" w:hAnsiTheme="minorHAnsi" w:cstheme="minorBidi"/>
                <w:b/>
                <w:bCs/>
                <w:color w:val="000000" w:themeColor="text1"/>
              </w:rPr>
              <w:t xml:space="preserve"> $</w:t>
            </w:r>
            <w:r w:rsidRPr="23FB9889" w:rsidR="06C338C4">
              <w:rPr>
                <w:rFonts w:asciiTheme="minorHAnsi" w:hAnsiTheme="minorHAnsi" w:cstheme="minorBidi"/>
                <w:b/>
                <w:bCs/>
                <w:color w:val="000000" w:themeColor="text1"/>
              </w:rPr>
              <w:t>367,630</w:t>
            </w:r>
            <w:r w:rsidRPr="23FB9889">
              <w:rPr>
                <w:rFonts w:asciiTheme="minorHAnsi" w:hAnsiTheme="minorHAnsi" w:cstheme="minorBidi"/>
                <w:b/>
                <w:bCs/>
                <w:color w:val="000000" w:themeColor="text1"/>
              </w:rPr>
              <w:t xml:space="preserve"> </w:t>
            </w:r>
          </w:p>
        </w:tc>
        <w:tc>
          <w:tcPr>
            <w:tcW w:w="720" w:type="dxa"/>
            <w:tcBorders>
              <w:top w:val="single" w:sz="4" w:space="0" w:color="auto"/>
              <w:left w:val="single" w:sz="4" w:space="0" w:color="auto"/>
              <w:bottom w:val="single" w:sz="4" w:space="0" w:color="auto"/>
            </w:tcBorders>
            <w:shd w:val="clear" w:color="auto" w:fill="FFFFFF" w:themeFill="background1"/>
            <w:noWrap/>
            <w:vAlign w:val="center"/>
            <w:hideMark/>
          </w:tcPr>
          <w:p w:rsidR="009B6E68" w:rsidRPr="009B6E68" w:rsidP="245F2F03" w14:paraId="31370D24" w14:textId="116408D7">
            <w:pPr>
              <w:jc w:val="right"/>
              <w:rPr>
                <w:rFonts w:asciiTheme="minorHAnsi" w:hAnsiTheme="minorHAnsi" w:cstheme="minorBidi"/>
                <w:b/>
                <w:bCs/>
                <w:color w:val="000000"/>
              </w:rPr>
            </w:pPr>
            <w:r w:rsidRPr="23FB9889">
              <w:rPr>
                <w:rFonts w:asciiTheme="minorHAnsi" w:hAnsiTheme="minorHAnsi" w:cstheme="minorBidi"/>
                <w:b/>
                <w:bCs/>
                <w:color w:val="000000" w:themeColor="text1"/>
              </w:rPr>
              <w:t>1,</w:t>
            </w:r>
            <w:r w:rsidRPr="23FB9889" w:rsidR="2F07D931">
              <w:rPr>
                <w:rFonts w:asciiTheme="minorHAnsi" w:hAnsiTheme="minorHAnsi" w:cstheme="minorBidi"/>
                <w:b/>
                <w:bCs/>
                <w:color w:val="000000" w:themeColor="text1"/>
              </w:rPr>
              <w:t>65</w:t>
            </w:r>
            <w:r w:rsidRPr="23FB9889">
              <w:rPr>
                <w:rFonts w:asciiTheme="minorHAnsi" w:hAnsiTheme="minorHAnsi" w:cstheme="minorBidi"/>
                <w:b/>
                <w:bCs/>
                <w:color w:val="000000" w:themeColor="text1"/>
              </w:rPr>
              <w:t>5</w:t>
            </w:r>
          </w:p>
        </w:tc>
        <w:tc>
          <w:tcPr>
            <w:tcW w:w="810" w:type="dxa"/>
            <w:tcBorders>
              <w:top w:val="single" w:sz="4" w:space="0" w:color="auto"/>
              <w:bottom w:val="single" w:sz="4" w:space="0" w:color="auto"/>
            </w:tcBorders>
            <w:shd w:val="clear" w:color="auto" w:fill="FFFFFF" w:themeFill="background1"/>
            <w:vAlign w:val="center"/>
            <w:hideMark/>
          </w:tcPr>
          <w:p w:rsidR="009B6E68" w:rsidRPr="009B6E68" w:rsidP="245F2F03" w14:paraId="27FFF97E" w14:textId="46D92F2E">
            <w:pPr>
              <w:jc w:val="right"/>
              <w:rPr>
                <w:rFonts w:asciiTheme="minorHAnsi" w:hAnsiTheme="minorHAnsi" w:cstheme="minorBidi"/>
                <w:b/>
                <w:bCs/>
                <w:color w:val="000000"/>
              </w:rPr>
            </w:pPr>
            <w:r w:rsidRPr="23FB9889">
              <w:rPr>
                <w:rFonts w:asciiTheme="minorHAnsi" w:hAnsiTheme="minorHAnsi" w:cstheme="minorBidi"/>
                <w:b/>
                <w:bCs/>
                <w:color w:val="000000" w:themeColor="text1"/>
              </w:rPr>
              <w:t>18</w:t>
            </w:r>
            <w:r w:rsidRPr="23FB9889" w:rsidR="696F4F8C">
              <w:rPr>
                <w:rFonts w:asciiTheme="minorHAnsi" w:hAnsiTheme="minorHAnsi" w:cstheme="minorBidi"/>
                <w:b/>
                <w:bCs/>
                <w:color w:val="000000" w:themeColor="text1"/>
              </w:rPr>
              <w:t>,</w:t>
            </w:r>
            <w:r w:rsidRPr="23FB9889" w:rsidR="14AA5192">
              <w:rPr>
                <w:rFonts w:asciiTheme="minorHAnsi" w:hAnsiTheme="minorHAnsi" w:cstheme="minorBidi"/>
                <w:b/>
                <w:bCs/>
                <w:color w:val="000000" w:themeColor="text1"/>
              </w:rPr>
              <w:t>0</w:t>
            </w:r>
            <w:r w:rsidRPr="23FB9889" w:rsidR="40B0F26F">
              <w:rPr>
                <w:rFonts w:asciiTheme="minorHAnsi" w:hAnsiTheme="minorHAnsi" w:cstheme="minorBidi"/>
                <w:b/>
                <w:bCs/>
                <w:color w:val="000000" w:themeColor="text1"/>
              </w:rPr>
              <w:t>18</w:t>
            </w:r>
            <w:r w:rsidRPr="23FB9889" w:rsidR="696F4F8C">
              <w:rPr>
                <w:rFonts w:asciiTheme="minorHAnsi" w:hAnsiTheme="minorHAnsi" w:cstheme="minorBidi"/>
                <w:b/>
                <w:bCs/>
                <w:color w:val="000000" w:themeColor="text1"/>
              </w:rPr>
              <w:t xml:space="preserve"> </w:t>
            </w:r>
          </w:p>
        </w:tc>
        <w:tc>
          <w:tcPr>
            <w:tcW w:w="1182" w:type="dxa"/>
            <w:tcBorders>
              <w:top w:val="single" w:sz="4" w:space="0" w:color="auto"/>
              <w:bottom w:val="single" w:sz="4" w:space="0" w:color="auto"/>
              <w:right w:val="single" w:sz="4" w:space="0" w:color="auto"/>
            </w:tcBorders>
            <w:shd w:val="clear" w:color="auto" w:fill="FFFFFF" w:themeFill="background1"/>
            <w:vAlign w:val="center"/>
            <w:hideMark/>
          </w:tcPr>
          <w:p w:rsidR="009B6E68" w:rsidRPr="009B6E68" w:rsidP="245F2F03" w14:paraId="22132154" w14:textId="3B383E48">
            <w:pPr>
              <w:jc w:val="right"/>
              <w:rPr>
                <w:rFonts w:asciiTheme="minorHAnsi" w:hAnsiTheme="minorHAnsi" w:cstheme="minorBidi"/>
                <w:b/>
                <w:bCs/>
                <w:color w:val="000000"/>
              </w:rPr>
            </w:pPr>
            <w:r w:rsidRPr="23FB9889">
              <w:rPr>
                <w:rFonts w:asciiTheme="minorHAnsi" w:hAnsiTheme="minorHAnsi" w:cstheme="minorBidi"/>
                <w:b/>
                <w:bCs/>
                <w:color w:val="000000" w:themeColor="text1"/>
              </w:rPr>
              <w:t xml:space="preserve"> $1,</w:t>
            </w:r>
            <w:r w:rsidRPr="23FB9889" w:rsidR="0E50805A">
              <w:rPr>
                <w:rFonts w:asciiTheme="minorHAnsi" w:hAnsiTheme="minorHAnsi" w:cstheme="minorBidi"/>
                <w:b/>
                <w:bCs/>
                <w:color w:val="000000" w:themeColor="text1"/>
              </w:rPr>
              <w:t>105</w:t>
            </w:r>
            <w:r w:rsidRPr="23FB9889" w:rsidR="37382271">
              <w:rPr>
                <w:rFonts w:asciiTheme="minorHAnsi" w:hAnsiTheme="minorHAnsi" w:cstheme="minorBidi"/>
                <w:b/>
                <w:bCs/>
                <w:color w:val="000000" w:themeColor="text1"/>
              </w:rPr>
              <w:t>,</w:t>
            </w:r>
            <w:r w:rsidRPr="23FB9889" w:rsidR="0010FA26">
              <w:rPr>
                <w:rFonts w:asciiTheme="minorHAnsi" w:hAnsiTheme="minorHAnsi" w:cstheme="minorBidi"/>
                <w:b/>
                <w:bCs/>
                <w:color w:val="000000" w:themeColor="text1"/>
              </w:rPr>
              <w:t>427</w:t>
            </w:r>
          </w:p>
        </w:tc>
      </w:tr>
    </w:tbl>
    <w:p w:rsidR="00634C05" w:rsidRPr="00634C05" w:rsidP="00C00973" w14:paraId="0E16D70B" w14:textId="28E18879">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634C05">
        <w:rPr>
          <w:b/>
          <w:color w:val="000000"/>
          <w:sz w:val="24"/>
          <w:szCs w:val="24"/>
        </w:rPr>
        <w:t>*</w:t>
      </w:r>
      <w:r>
        <w:rPr>
          <w:b/>
          <w:color w:val="000000"/>
          <w:sz w:val="24"/>
          <w:szCs w:val="24"/>
        </w:rPr>
        <w:t xml:space="preserve"> </w:t>
      </w:r>
      <w:r w:rsidRPr="00634C05">
        <w:rPr>
          <w:bCs/>
          <w:color w:val="000000"/>
          <w:sz w:val="24"/>
          <w:szCs w:val="24"/>
        </w:rPr>
        <w:t>number of estimated responses</w:t>
      </w:r>
    </w:p>
    <w:p w:rsidR="00E75ACE" w:rsidRPr="00634C05" w:rsidP="00C00973" w14:paraId="39E0AC4D" w14:textId="543B25A0">
      <w:pPr>
        <w:autoSpaceDE w:val="0"/>
        <w:autoSpaceDN w:val="0"/>
        <w:adjustRightInd w:val="0"/>
        <w:jc w:val="both"/>
        <w:rPr>
          <w:sz w:val="24"/>
          <w:szCs w:val="24"/>
        </w:rPr>
      </w:pPr>
    </w:p>
    <w:p w:rsidR="00874206" w:rsidRPr="00634C05" w:rsidP="00C00973" w14:paraId="7B3EEA39" w14:textId="0AA11D3D">
      <w:pPr>
        <w:jc w:val="both"/>
        <w:rPr>
          <w:b/>
          <w:sz w:val="24"/>
          <w:szCs w:val="24"/>
        </w:rPr>
      </w:pPr>
      <w:r w:rsidRPr="00634C05">
        <w:rPr>
          <w:b/>
          <w:sz w:val="24"/>
          <w:szCs w:val="24"/>
        </w:rPr>
        <w:t>Annual Reporting</w:t>
      </w:r>
    </w:p>
    <w:p w:rsidR="00634C05" w:rsidRPr="00634C05" w:rsidP="00C00973" w14:paraId="61EB7204" w14:textId="208200E3">
      <w:pPr>
        <w:jc w:val="both"/>
        <w:rPr>
          <w:b/>
          <w:sz w:val="24"/>
          <w:szCs w:val="24"/>
        </w:rPr>
      </w:pPr>
    </w:p>
    <w:p w:rsidR="00634C05" w:rsidRPr="00634C05" w:rsidP="00C00973" w14:paraId="3668BA7D" w14:textId="732D163A">
      <w:pPr>
        <w:ind w:firstLine="360"/>
        <w:jc w:val="both"/>
        <w:rPr>
          <w:bCs/>
          <w:sz w:val="24"/>
          <w:szCs w:val="24"/>
        </w:rPr>
      </w:pPr>
      <w:r w:rsidRPr="00634C05">
        <w:rPr>
          <w:bCs/>
          <w:sz w:val="24"/>
          <w:szCs w:val="24"/>
        </w:rPr>
        <w:t xml:space="preserve">FTA requires each SSOA to make an Annual Submission each year summarizing their program activity for the previous calendar year. </w:t>
      </w:r>
      <w:r w:rsidR="00E26F64">
        <w:rPr>
          <w:bCs/>
          <w:sz w:val="24"/>
          <w:szCs w:val="24"/>
        </w:rPr>
        <w:t xml:space="preserve">In 2019, </w:t>
      </w:r>
      <w:r w:rsidRPr="00634C05">
        <w:rPr>
          <w:bCs/>
          <w:sz w:val="24"/>
          <w:szCs w:val="24"/>
        </w:rPr>
        <w:t xml:space="preserve">SSOAs </w:t>
      </w:r>
      <w:r w:rsidR="00E26F64">
        <w:rPr>
          <w:bCs/>
          <w:sz w:val="24"/>
          <w:szCs w:val="24"/>
        </w:rPr>
        <w:t>began making their s</w:t>
      </w:r>
      <w:r w:rsidRPr="00634C05">
        <w:rPr>
          <w:bCs/>
          <w:sz w:val="24"/>
          <w:szCs w:val="24"/>
        </w:rPr>
        <w:t>ubmission through a new web-based reporting tool.</w:t>
      </w:r>
    </w:p>
    <w:p w:rsidR="00634C05" w:rsidRPr="00634C05" w:rsidP="00C00973" w14:paraId="4A14922A" w14:textId="77777777">
      <w:pPr>
        <w:jc w:val="both"/>
        <w:rPr>
          <w:b/>
          <w:sz w:val="24"/>
          <w:szCs w:val="24"/>
        </w:rPr>
      </w:pPr>
    </w:p>
    <w:tbl>
      <w:tblPr>
        <w:tblW w:w="9390" w:type="dxa"/>
        <w:tblLook w:val="04A0"/>
      </w:tblPr>
      <w:tblGrid>
        <w:gridCol w:w="8090"/>
        <w:gridCol w:w="1300"/>
      </w:tblGrid>
      <w:tr w14:paraId="602486B7" w14:textId="77777777" w:rsidTr="009B6E68">
        <w:tblPrEx>
          <w:tblW w:w="9390" w:type="dxa"/>
          <w:tblLook w:val="04A0"/>
        </w:tblPrEx>
        <w:trPr>
          <w:trHeight w:val="260"/>
        </w:trPr>
        <w:tc>
          <w:tcPr>
            <w:tcW w:w="8090" w:type="dxa"/>
            <w:tcBorders>
              <w:top w:val="single" w:sz="4" w:space="0" w:color="auto"/>
              <w:left w:val="single" w:sz="8" w:space="0" w:color="auto"/>
              <w:bottom w:val="single" w:sz="8" w:space="0" w:color="auto"/>
              <w:right w:val="nil"/>
            </w:tcBorders>
            <w:shd w:val="clear" w:color="000000" w:fill="FFFFFF"/>
            <w:vAlign w:val="bottom"/>
            <w:hideMark/>
          </w:tcPr>
          <w:p w:rsidR="00866909" w:rsidRPr="00916CAD" w:rsidP="00C00973" w14:paraId="37AC8E42" w14:textId="77777777">
            <w:pPr>
              <w:jc w:val="both"/>
              <w:rPr>
                <w:rFonts w:ascii="Calibri" w:hAnsi="Calibri" w:cs="Calibri"/>
                <w:b/>
                <w:bCs/>
                <w:color w:val="000000"/>
              </w:rPr>
            </w:pPr>
            <w:r w:rsidRPr="00916CAD">
              <w:rPr>
                <w:rFonts w:ascii="Calibri" w:hAnsi="Calibri" w:cs="Calibri"/>
                <w:b/>
                <w:bCs/>
                <w:color w:val="000000"/>
              </w:rPr>
              <w:t>Total estimated hours necessary for Annua</w:t>
            </w:r>
            <w:r w:rsidRPr="00916CAD">
              <w:rPr>
                <w:rFonts w:ascii="Calibri" w:hAnsi="Calibri" w:cs="Calibri"/>
                <w:b/>
                <w:bCs/>
                <w:color w:val="000000"/>
              </w:rPr>
              <w:t>l Reporting for SSOA community</w:t>
            </w:r>
            <w:r>
              <w:rPr>
                <w:rStyle w:val="FootnoteReference"/>
                <w:rFonts w:ascii="Calibri" w:hAnsi="Calibri" w:cs="Calibri"/>
                <w:color w:val="000000"/>
              </w:rPr>
              <w:footnoteReference w:id="4"/>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rsidR="00866909" w:rsidRPr="00916CAD" w:rsidP="00C00973" w14:paraId="71DA5610" w14:textId="0FAD77EA">
            <w:pPr>
              <w:ind w:right="263"/>
              <w:jc w:val="both"/>
              <w:rPr>
                <w:rFonts w:ascii="Calibri" w:hAnsi="Calibri" w:cs="Calibri"/>
                <w:b/>
                <w:bCs/>
                <w:color w:val="000000"/>
              </w:rPr>
            </w:pPr>
            <w:r w:rsidRPr="00916CAD">
              <w:rPr>
                <w:rFonts w:ascii="Calibri" w:hAnsi="Calibri" w:cs="Calibri"/>
                <w:b/>
                <w:bCs/>
                <w:color w:val="000000"/>
              </w:rPr>
              <w:t>2,</w:t>
            </w:r>
            <w:r w:rsidRPr="00916CAD" w:rsidR="009B6E68">
              <w:rPr>
                <w:rFonts w:ascii="Calibri" w:hAnsi="Calibri" w:cs="Calibri"/>
                <w:b/>
                <w:bCs/>
                <w:color w:val="000000"/>
              </w:rPr>
              <w:t>891</w:t>
            </w:r>
          </w:p>
        </w:tc>
      </w:tr>
    </w:tbl>
    <w:p w:rsidR="00866909" w:rsidRPr="00634C05" w:rsidP="00C00973" w14:paraId="745111B0" w14:textId="77777777">
      <w:pPr>
        <w:jc w:val="both"/>
        <w:rPr>
          <w:b/>
          <w:sz w:val="24"/>
          <w:szCs w:val="24"/>
        </w:rPr>
      </w:pPr>
    </w:p>
    <w:p w:rsidR="00866909" w:rsidRPr="00634C05" w:rsidP="00C00973" w14:paraId="65208CC3" w14:textId="6AAB754E">
      <w:pPr>
        <w:jc w:val="both"/>
        <w:rPr>
          <w:b/>
          <w:sz w:val="24"/>
          <w:szCs w:val="24"/>
        </w:rPr>
      </w:pPr>
      <w:r w:rsidRPr="00634C05">
        <w:rPr>
          <w:b/>
          <w:sz w:val="24"/>
          <w:szCs w:val="24"/>
        </w:rPr>
        <w:t>FTA Audits</w:t>
      </w:r>
    </w:p>
    <w:p w:rsidR="00634C05" w:rsidRPr="00634C05" w:rsidP="00C00973" w14:paraId="4DAEA9C7" w14:textId="77777777">
      <w:pPr>
        <w:jc w:val="both"/>
        <w:rPr>
          <w:bCs/>
          <w:sz w:val="24"/>
          <w:szCs w:val="24"/>
        </w:rPr>
      </w:pPr>
    </w:p>
    <w:p w:rsidR="00634C05" w:rsidP="00C00973" w14:paraId="4EC02759" w14:textId="3952F12C">
      <w:pPr>
        <w:ind w:firstLine="360"/>
        <w:jc w:val="both"/>
        <w:rPr>
          <w:bCs/>
          <w:sz w:val="24"/>
          <w:szCs w:val="24"/>
        </w:rPr>
      </w:pPr>
      <w:r w:rsidRPr="00634C05">
        <w:rPr>
          <w:bCs/>
          <w:sz w:val="24"/>
          <w:szCs w:val="24"/>
        </w:rPr>
        <w:t xml:space="preserve">FTA conducts an audit of each SSOA at least once every three years. These audits include pre-audit document collection, onsite review and interviews, and audit follow-up to track finding </w:t>
      </w:r>
      <w:r w:rsidRPr="00634C05">
        <w:rPr>
          <w:bCs/>
          <w:sz w:val="24"/>
          <w:szCs w:val="24"/>
        </w:rPr>
        <w:t>resolution. FTA will conduct approximately 10 audits per year. Audits also include RTA participation and require information collection from RTAs during the onsite portion of the audit.</w:t>
      </w:r>
    </w:p>
    <w:p w:rsidR="00634C05" w:rsidRPr="00634C05" w:rsidP="00C00973" w14:paraId="3DFB0950" w14:textId="77777777">
      <w:pPr>
        <w:jc w:val="both"/>
        <w:rPr>
          <w:bCs/>
          <w:sz w:val="24"/>
          <w:szCs w:val="24"/>
        </w:rPr>
      </w:pPr>
    </w:p>
    <w:tbl>
      <w:tblPr>
        <w:tblW w:w="8055" w:type="dxa"/>
        <w:tblLook w:val="04A0"/>
      </w:tblPr>
      <w:tblGrid>
        <w:gridCol w:w="5210"/>
        <w:gridCol w:w="1455"/>
        <w:gridCol w:w="1390"/>
      </w:tblGrid>
      <w:tr w14:paraId="44A570A6" w14:textId="77777777" w:rsidTr="008A4301">
        <w:tblPrEx>
          <w:tblW w:w="8055" w:type="dxa"/>
          <w:tblLook w:val="04A0"/>
        </w:tblPrEx>
        <w:trPr>
          <w:trHeight w:val="50"/>
          <w:tblHeader/>
        </w:trPr>
        <w:tc>
          <w:tcPr>
            <w:tcW w:w="5210" w:type="dxa"/>
            <w:tcBorders>
              <w:top w:val="single" w:sz="8" w:space="0" w:color="auto"/>
              <w:left w:val="single" w:sz="8" w:space="0" w:color="auto"/>
              <w:bottom w:val="single" w:sz="4" w:space="0" w:color="auto"/>
              <w:right w:val="nil"/>
            </w:tcBorders>
            <w:shd w:val="clear" w:color="000000" w:fill="FFFFFF"/>
            <w:vAlign w:val="bottom"/>
            <w:hideMark/>
          </w:tcPr>
          <w:p w:rsidR="003B1CAD" w:rsidRPr="00916CAD" w:rsidP="00C00973" w14:paraId="2CC5108C" w14:textId="77777777">
            <w:pPr>
              <w:jc w:val="both"/>
              <w:rPr>
                <w:rFonts w:ascii="Calibri" w:hAnsi="Calibri" w:cs="Calibri"/>
                <w:b/>
                <w:bCs/>
                <w:color w:val="000000"/>
              </w:rPr>
            </w:pPr>
            <w:r w:rsidRPr="00916CAD">
              <w:rPr>
                <w:rFonts w:ascii="Calibri" w:hAnsi="Calibri" w:cs="Calibri"/>
                <w:b/>
                <w:bCs/>
                <w:color w:val="000000"/>
              </w:rPr>
              <w:t>Activity</w:t>
            </w:r>
          </w:p>
        </w:tc>
        <w:tc>
          <w:tcPr>
            <w:tcW w:w="1455" w:type="dxa"/>
            <w:tcBorders>
              <w:top w:val="single" w:sz="8" w:space="0" w:color="auto"/>
              <w:left w:val="nil"/>
              <w:bottom w:val="single" w:sz="4" w:space="0" w:color="auto"/>
              <w:right w:val="nil"/>
            </w:tcBorders>
            <w:shd w:val="clear" w:color="000000" w:fill="FFFFFF"/>
            <w:vAlign w:val="bottom"/>
            <w:hideMark/>
          </w:tcPr>
          <w:p w:rsidR="003B1CAD" w:rsidRPr="00916CAD" w:rsidP="00916CAD" w14:paraId="1F18A06E" w14:textId="77777777">
            <w:pPr>
              <w:jc w:val="center"/>
              <w:rPr>
                <w:rFonts w:ascii="Calibri" w:hAnsi="Calibri" w:cs="Calibri"/>
                <w:b/>
                <w:bCs/>
                <w:color w:val="000000"/>
              </w:rPr>
            </w:pPr>
            <w:r w:rsidRPr="00916CAD">
              <w:rPr>
                <w:rFonts w:ascii="Calibri" w:hAnsi="Calibri" w:cs="Calibri"/>
                <w:b/>
                <w:bCs/>
                <w:color w:val="000000"/>
              </w:rPr>
              <w:t>SSOA Hours Estimate</w:t>
            </w:r>
            <w:r>
              <w:rPr>
                <w:rStyle w:val="FootnoteReference"/>
                <w:rFonts w:ascii="Calibri" w:hAnsi="Calibri" w:cs="Calibri"/>
                <w:color w:val="000000"/>
              </w:rPr>
              <w:footnoteReference w:id="5"/>
            </w:r>
          </w:p>
        </w:tc>
        <w:tc>
          <w:tcPr>
            <w:tcW w:w="1390" w:type="dxa"/>
            <w:tcBorders>
              <w:top w:val="single" w:sz="8" w:space="0" w:color="auto"/>
              <w:left w:val="nil"/>
              <w:bottom w:val="single" w:sz="4" w:space="0" w:color="auto"/>
              <w:right w:val="single" w:sz="8" w:space="0" w:color="auto"/>
            </w:tcBorders>
            <w:shd w:val="clear" w:color="000000" w:fill="FFFFFF"/>
            <w:vAlign w:val="bottom"/>
            <w:hideMark/>
          </w:tcPr>
          <w:p w:rsidR="003B1CAD" w:rsidRPr="00916CAD" w:rsidP="00916CAD" w14:paraId="0ECF6013" w14:textId="3CA7ECD0">
            <w:pPr>
              <w:jc w:val="center"/>
              <w:rPr>
                <w:rFonts w:ascii="Calibri" w:hAnsi="Calibri" w:cs="Calibri"/>
                <w:b/>
                <w:bCs/>
                <w:color w:val="000000"/>
              </w:rPr>
            </w:pPr>
            <w:r w:rsidRPr="00916CAD">
              <w:rPr>
                <w:rFonts w:ascii="Calibri" w:hAnsi="Calibri" w:cs="Calibri"/>
                <w:b/>
                <w:bCs/>
                <w:color w:val="000000"/>
              </w:rPr>
              <w:t>RTA Hours Estimate</w:t>
            </w:r>
            <w:r w:rsidRPr="00916CAD" w:rsidR="001E4BE1">
              <w:rPr>
                <w:rFonts w:ascii="Calibri" w:hAnsi="Calibri" w:cs="Calibri"/>
                <w:color w:val="000000"/>
                <w:vertAlign w:val="superscript"/>
              </w:rPr>
              <w:t>3</w:t>
            </w:r>
          </w:p>
        </w:tc>
      </w:tr>
      <w:tr w14:paraId="086CC4ED" w14:textId="77777777" w:rsidTr="00634C05">
        <w:tblPrEx>
          <w:tblW w:w="8055" w:type="dxa"/>
          <w:tblLook w:val="04A0"/>
        </w:tblPrEx>
        <w:trPr>
          <w:trHeight w:val="60"/>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19DF6F8B" w14:textId="77777777">
            <w:pPr>
              <w:jc w:val="both"/>
              <w:rPr>
                <w:rFonts w:ascii="Calibri" w:hAnsi="Calibri" w:cs="Calibri"/>
                <w:color w:val="000000"/>
              </w:rPr>
            </w:pPr>
            <w:r w:rsidRPr="00916CAD">
              <w:rPr>
                <w:rFonts w:ascii="Calibri" w:hAnsi="Calibri" w:cs="Calibri"/>
                <w:color w:val="000000"/>
              </w:rPr>
              <w:t>Pre-Audit Document Request</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2BC6D5CE" w14:textId="5D7052E4">
            <w:pPr>
              <w:jc w:val="center"/>
              <w:rPr>
                <w:rFonts w:ascii="Calibri" w:hAnsi="Calibri" w:cs="Calibri"/>
                <w:color w:val="000000"/>
              </w:rPr>
            </w:pPr>
            <w:r w:rsidRPr="00916CAD">
              <w:rPr>
                <w:rFonts w:ascii="Calibri" w:hAnsi="Calibri" w:cs="Calibri"/>
                <w:color w:val="000000"/>
              </w:rPr>
              <w:t>10</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0604FD0E" w14:textId="71CFBBF9">
            <w:pPr>
              <w:jc w:val="center"/>
              <w:rPr>
                <w:rFonts w:ascii="Calibri" w:hAnsi="Calibri" w:cs="Calibri"/>
                <w:color w:val="000000"/>
              </w:rPr>
            </w:pPr>
          </w:p>
        </w:tc>
      </w:tr>
      <w:tr w14:paraId="06EDEFE9"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4FCB6C79" w14:textId="77777777">
            <w:pPr>
              <w:jc w:val="both"/>
              <w:rPr>
                <w:rFonts w:ascii="Calibri" w:hAnsi="Calibri" w:cs="Calibri"/>
                <w:color w:val="000000"/>
              </w:rPr>
            </w:pPr>
            <w:r w:rsidRPr="00916CAD">
              <w:rPr>
                <w:rFonts w:ascii="Calibri" w:hAnsi="Calibri" w:cs="Calibri"/>
                <w:color w:val="000000"/>
              </w:rPr>
              <w:t>SSOA On-Site Interviews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4A0D3686" w14:textId="5BE0278F">
            <w:pPr>
              <w:jc w:val="center"/>
              <w:rPr>
                <w:rFonts w:ascii="Calibri" w:hAnsi="Calibri" w:cs="Calibri"/>
                <w:color w:val="000000"/>
              </w:rPr>
            </w:pPr>
            <w:r w:rsidRPr="00916CAD">
              <w:rPr>
                <w:rFonts w:ascii="Calibri" w:hAnsi="Calibri" w:cs="Calibri"/>
                <w:color w:val="000000"/>
              </w:rPr>
              <w:t>24</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77F180FA" w14:textId="496B243C">
            <w:pPr>
              <w:jc w:val="center"/>
              <w:rPr>
                <w:rFonts w:ascii="Calibri" w:hAnsi="Calibri" w:cs="Calibri"/>
                <w:color w:val="000000"/>
              </w:rPr>
            </w:pPr>
          </w:p>
        </w:tc>
      </w:tr>
      <w:tr w14:paraId="0514385D"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1195F23" w14:textId="77777777">
            <w:pPr>
              <w:jc w:val="both"/>
              <w:rPr>
                <w:rFonts w:ascii="Calibri" w:hAnsi="Calibri" w:cs="Calibri"/>
                <w:color w:val="000000"/>
              </w:rPr>
            </w:pPr>
            <w:r w:rsidRPr="00916CAD">
              <w:rPr>
                <w:rFonts w:ascii="Calibri" w:hAnsi="Calibri" w:cs="Calibri"/>
                <w:color w:val="000000"/>
              </w:rPr>
              <w:t>RTA On-Site Entrance and Exit Briefing</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7563A2F8" w14:textId="205FDDCE">
            <w:pPr>
              <w:jc w:val="center"/>
              <w:rPr>
                <w:rFonts w:ascii="Calibri" w:hAnsi="Calibri" w:cs="Calibri"/>
                <w:color w:val="000000"/>
              </w:rPr>
            </w:pPr>
            <w:r w:rsidRPr="00916CAD">
              <w:rPr>
                <w:rFonts w:ascii="Calibri" w:hAnsi="Calibri" w:cs="Calibri"/>
                <w:color w:val="000000"/>
              </w:rPr>
              <w:t>4</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0A6FFB9C" w14:textId="0A140F0D">
            <w:pPr>
              <w:jc w:val="center"/>
              <w:rPr>
                <w:rFonts w:ascii="Calibri" w:hAnsi="Calibri" w:cs="Calibri"/>
                <w:color w:val="000000"/>
              </w:rPr>
            </w:pPr>
            <w:r w:rsidRPr="00916CAD">
              <w:rPr>
                <w:rFonts w:ascii="Calibri" w:hAnsi="Calibri" w:cs="Calibri"/>
                <w:color w:val="000000"/>
              </w:rPr>
              <w:t>8</w:t>
            </w:r>
          </w:p>
        </w:tc>
      </w:tr>
      <w:tr w14:paraId="3A2D2575"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3C2ED19" w14:textId="77777777">
            <w:pPr>
              <w:jc w:val="both"/>
              <w:rPr>
                <w:rFonts w:ascii="Calibri" w:hAnsi="Calibri" w:cs="Calibri"/>
                <w:color w:val="000000"/>
              </w:rPr>
            </w:pPr>
            <w:r w:rsidRPr="00916CAD">
              <w:rPr>
                <w:rFonts w:ascii="Calibri" w:hAnsi="Calibri" w:cs="Calibri"/>
                <w:color w:val="000000"/>
              </w:rPr>
              <w:t>RTA System Tour and Records Reviews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180EC375" w14:textId="07111D5D">
            <w:pPr>
              <w:jc w:val="center"/>
              <w:rPr>
                <w:rFonts w:ascii="Calibri" w:hAnsi="Calibri" w:cs="Calibri"/>
                <w:color w:val="000000"/>
              </w:rPr>
            </w:pPr>
            <w:r w:rsidRPr="00916CAD">
              <w:rPr>
                <w:rFonts w:ascii="Calibri" w:hAnsi="Calibri" w:cs="Calibri"/>
                <w:color w:val="000000"/>
              </w:rPr>
              <w:t>8</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096D1E39" w14:textId="3CA6174B">
            <w:pPr>
              <w:jc w:val="center"/>
              <w:rPr>
                <w:rFonts w:ascii="Calibri" w:hAnsi="Calibri" w:cs="Calibri"/>
                <w:color w:val="000000"/>
              </w:rPr>
            </w:pPr>
            <w:r w:rsidRPr="00916CAD">
              <w:rPr>
                <w:rFonts w:ascii="Calibri" w:hAnsi="Calibri" w:cs="Calibri"/>
                <w:color w:val="000000"/>
              </w:rPr>
              <w:t>12</w:t>
            </w:r>
          </w:p>
        </w:tc>
      </w:tr>
      <w:tr w14:paraId="3ED1CF15"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102CE8B" w14:textId="77777777">
            <w:pPr>
              <w:jc w:val="both"/>
              <w:rPr>
                <w:rFonts w:ascii="Calibri" w:hAnsi="Calibri" w:cs="Calibri"/>
                <w:color w:val="000000"/>
              </w:rPr>
            </w:pPr>
            <w:r w:rsidRPr="00916CAD">
              <w:rPr>
                <w:rFonts w:ascii="Calibri" w:hAnsi="Calibri" w:cs="Calibri"/>
                <w:color w:val="000000"/>
              </w:rPr>
              <w:t>RTA On-Site Interviews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13BAB0EC" w14:textId="6B86B435">
            <w:pPr>
              <w:jc w:val="center"/>
              <w:rPr>
                <w:rFonts w:ascii="Calibri" w:hAnsi="Calibri" w:cs="Calibri"/>
                <w:color w:val="000000"/>
              </w:rPr>
            </w:pPr>
            <w:r w:rsidRPr="00916CAD">
              <w:rPr>
                <w:rFonts w:ascii="Calibri" w:hAnsi="Calibri" w:cs="Calibri"/>
                <w:color w:val="000000"/>
              </w:rPr>
              <w:t>48</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7C21FC1D" w14:textId="35C0425D">
            <w:pPr>
              <w:jc w:val="center"/>
              <w:rPr>
                <w:rFonts w:ascii="Calibri" w:hAnsi="Calibri" w:cs="Calibri"/>
                <w:color w:val="000000"/>
              </w:rPr>
            </w:pPr>
            <w:r w:rsidRPr="00916CAD">
              <w:rPr>
                <w:rFonts w:ascii="Calibri" w:hAnsi="Calibri" w:cs="Calibri"/>
                <w:color w:val="000000"/>
              </w:rPr>
              <w:t>64</w:t>
            </w:r>
          </w:p>
        </w:tc>
      </w:tr>
      <w:tr w14:paraId="15DD96D8"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12023DDC" w14:textId="77777777">
            <w:pPr>
              <w:jc w:val="both"/>
              <w:rPr>
                <w:rFonts w:ascii="Calibri" w:hAnsi="Calibri" w:cs="Calibri"/>
                <w:color w:val="000000"/>
              </w:rPr>
            </w:pPr>
            <w:r w:rsidRPr="00916CAD">
              <w:rPr>
                <w:rFonts w:ascii="Calibri" w:hAnsi="Calibri" w:cs="Calibri"/>
                <w:color w:val="000000"/>
              </w:rPr>
              <w:t>SSOA Audit Report Review Period</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7B0BE39B" w14:textId="4DBA6172">
            <w:pPr>
              <w:jc w:val="center"/>
              <w:rPr>
                <w:rFonts w:ascii="Calibri" w:hAnsi="Calibri" w:cs="Calibri"/>
                <w:color w:val="000000"/>
              </w:rPr>
            </w:pPr>
            <w:r w:rsidRPr="00916CAD">
              <w:rPr>
                <w:rFonts w:ascii="Calibri" w:hAnsi="Calibri" w:cs="Calibri"/>
                <w:color w:val="000000"/>
              </w:rPr>
              <w:t>10</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1227A47A" w14:textId="2E59F77A">
            <w:pPr>
              <w:jc w:val="center"/>
              <w:rPr>
                <w:rFonts w:ascii="Calibri" w:hAnsi="Calibri" w:cs="Calibri"/>
                <w:color w:val="000000"/>
              </w:rPr>
            </w:pPr>
          </w:p>
        </w:tc>
      </w:tr>
      <w:tr w14:paraId="0DA3BCCE"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0F08A9F" w14:textId="77777777">
            <w:pPr>
              <w:jc w:val="both"/>
              <w:rPr>
                <w:rFonts w:ascii="Calibri" w:hAnsi="Calibri" w:cs="Calibri"/>
                <w:color w:val="000000"/>
              </w:rPr>
            </w:pPr>
            <w:r w:rsidRPr="00916CAD">
              <w:rPr>
                <w:rFonts w:ascii="Calibri" w:hAnsi="Calibri" w:cs="Calibri"/>
                <w:color w:val="000000"/>
              </w:rPr>
              <w:t xml:space="preserve">Drafting Responses to Findings and </w:t>
            </w:r>
            <w:r w:rsidRPr="00916CAD">
              <w:rPr>
                <w:rFonts w:ascii="Calibri" w:hAnsi="Calibri" w:cs="Calibri"/>
                <w:color w:val="000000"/>
              </w:rPr>
              <w:t>Creating CAPs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5702F1C4" w14:textId="04B4B64F">
            <w:pPr>
              <w:jc w:val="center"/>
              <w:rPr>
                <w:rFonts w:ascii="Calibri" w:hAnsi="Calibri" w:cs="Calibri"/>
                <w:color w:val="000000"/>
              </w:rPr>
            </w:pPr>
            <w:r w:rsidRPr="00916CAD">
              <w:rPr>
                <w:rFonts w:ascii="Calibri" w:hAnsi="Calibri" w:cs="Calibri"/>
                <w:color w:val="000000"/>
              </w:rPr>
              <w:t>24</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2701DDB9" w14:textId="4C77C974">
            <w:pPr>
              <w:jc w:val="center"/>
              <w:rPr>
                <w:rFonts w:ascii="Calibri" w:hAnsi="Calibri" w:cs="Calibri"/>
                <w:color w:val="000000"/>
              </w:rPr>
            </w:pPr>
          </w:p>
        </w:tc>
      </w:tr>
      <w:tr w14:paraId="0C24F7A1"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5D8EDFF5" w14:textId="77777777">
            <w:pPr>
              <w:jc w:val="both"/>
              <w:rPr>
                <w:rFonts w:ascii="Calibri" w:hAnsi="Calibri" w:cs="Calibri"/>
                <w:color w:val="000000"/>
              </w:rPr>
            </w:pPr>
            <w:r w:rsidRPr="00916CAD">
              <w:rPr>
                <w:rFonts w:ascii="Calibri" w:hAnsi="Calibri" w:cs="Calibri"/>
                <w:color w:val="000000"/>
              </w:rPr>
              <w:t>Executing and Reporting to FTA on CAP Progress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4D32B1E4" w14:textId="4EB0D37C">
            <w:pPr>
              <w:jc w:val="center"/>
              <w:rPr>
                <w:rFonts w:ascii="Calibri" w:hAnsi="Calibri" w:cs="Calibri"/>
                <w:color w:val="000000"/>
              </w:rPr>
            </w:pPr>
            <w:r w:rsidRPr="00916CAD">
              <w:rPr>
                <w:rFonts w:ascii="Calibri" w:hAnsi="Calibri" w:cs="Calibri"/>
                <w:color w:val="000000"/>
              </w:rPr>
              <w:t>60</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2CDF4348" w14:textId="62A14A97">
            <w:pPr>
              <w:jc w:val="center"/>
              <w:rPr>
                <w:rFonts w:ascii="Calibri" w:hAnsi="Calibri" w:cs="Calibri"/>
                <w:color w:val="000000"/>
              </w:rPr>
            </w:pPr>
            <w:r w:rsidRPr="00916CAD">
              <w:rPr>
                <w:rFonts w:ascii="Calibri" w:hAnsi="Calibri" w:cs="Calibri"/>
                <w:color w:val="000000"/>
              </w:rPr>
              <w:t>40</w:t>
            </w:r>
          </w:p>
        </w:tc>
      </w:tr>
      <w:tr w14:paraId="089C01C8" w14:textId="77777777" w:rsidTr="00916CAD">
        <w:tblPrEx>
          <w:tblW w:w="8055" w:type="dxa"/>
          <w:tblLook w:val="04A0"/>
        </w:tblPrEx>
        <w:trPr>
          <w:trHeight w:val="60"/>
        </w:trPr>
        <w:tc>
          <w:tcPr>
            <w:tcW w:w="5210" w:type="dxa"/>
            <w:tcBorders>
              <w:top w:val="nil"/>
              <w:left w:val="single" w:sz="8" w:space="0" w:color="auto"/>
              <w:bottom w:val="nil"/>
              <w:right w:val="nil"/>
            </w:tcBorders>
            <w:shd w:val="clear" w:color="000000" w:fill="FFFFFF"/>
            <w:vAlign w:val="center"/>
            <w:hideMark/>
          </w:tcPr>
          <w:p w:rsidR="003B1CAD" w:rsidRPr="00916CAD" w:rsidP="00C00973" w14:paraId="013C8022" w14:textId="77777777">
            <w:pPr>
              <w:jc w:val="both"/>
              <w:rPr>
                <w:rFonts w:ascii="Calibri" w:hAnsi="Calibri" w:cs="Calibri"/>
                <w:b/>
                <w:bCs/>
                <w:color w:val="000000"/>
              </w:rPr>
            </w:pPr>
            <w:r w:rsidRPr="00916CAD">
              <w:rPr>
                <w:rFonts w:ascii="Calibri" w:hAnsi="Calibri" w:cs="Calibri"/>
                <w:b/>
                <w:bCs/>
                <w:color w:val="000000"/>
              </w:rPr>
              <w:t>Total Estimated Hours</w:t>
            </w:r>
          </w:p>
        </w:tc>
        <w:tc>
          <w:tcPr>
            <w:tcW w:w="1455" w:type="dxa"/>
            <w:tcBorders>
              <w:top w:val="nil"/>
              <w:left w:val="nil"/>
              <w:bottom w:val="nil"/>
              <w:right w:val="nil"/>
            </w:tcBorders>
            <w:shd w:val="clear" w:color="000000" w:fill="FFFFFF"/>
            <w:noWrap/>
            <w:vAlign w:val="center"/>
            <w:hideMark/>
          </w:tcPr>
          <w:p w:rsidR="00653D81" w:rsidRPr="00916CAD" w:rsidP="002D7A3D" w14:paraId="090C4503" w14:textId="5EB7CE74">
            <w:pPr>
              <w:jc w:val="center"/>
              <w:rPr>
                <w:rFonts w:ascii="Calibri" w:hAnsi="Calibri" w:cs="Calibri"/>
                <w:color w:val="000000"/>
              </w:rPr>
            </w:pPr>
            <w:r w:rsidRPr="00916CAD">
              <w:rPr>
                <w:rFonts w:ascii="Calibri" w:hAnsi="Calibri" w:cs="Calibri"/>
                <w:color w:val="000000"/>
              </w:rPr>
              <w:t>188</w:t>
            </w:r>
          </w:p>
        </w:tc>
        <w:tc>
          <w:tcPr>
            <w:tcW w:w="1390" w:type="dxa"/>
            <w:tcBorders>
              <w:top w:val="nil"/>
              <w:left w:val="nil"/>
              <w:bottom w:val="nil"/>
              <w:right w:val="single" w:sz="8" w:space="0" w:color="auto"/>
            </w:tcBorders>
            <w:shd w:val="clear" w:color="000000" w:fill="FFFFFF"/>
            <w:noWrap/>
            <w:vAlign w:val="center"/>
            <w:hideMark/>
          </w:tcPr>
          <w:p w:rsidR="003B1CAD" w:rsidRPr="00916CAD" w:rsidP="002D7A3D" w14:paraId="36C04175" w14:textId="03A12C89">
            <w:pPr>
              <w:jc w:val="center"/>
              <w:rPr>
                <w:rFonts w:ascii="Calibri" w:hAnsi="Calibri" w:cs="Calibri"/>
                <w:color w:val="000000"/>
              </w:rPr>
            </w:pPr>
            <w:r w:rsidRPr="00916CAD">
              <w:rPr>
                <w:rFonts w:ascii="Calibri" w:hAnsi="Calibri" w:cs="Calibri"/>
                <w:color w:val="000000"/>
              </w:rPr>
              <w:t>124</w:t>
            </w:r>
          </w:p>
        </w:tc>
      </w:tr>
      <w:tr w14:paraId="388A1697" w14:textId="77777777" w:rsidTr="00916CAD">
        <w:tblPrEx>
          <w:tblW w:w="8055" w:type="dxa"/>
          <w:tblLook w:val="04A0"/>
        </w:tblPrEx>
        <w:trPr>
          <w:trHeight w:val="70"/>
        </w:trPr>
        <w:tc>
          <w:tcPr>
            <w:tcW w:w="5210" w:type="dxa"/>
            <w:tcBorders>
              <w:top w:val="nil"/>
              <w:left w:val="single" w:sz="8" w:space="0" w:color="auto"/>
              <w:bottom w:val="nil"/>
              <w:right w:val="nil"/>
            </w:tcBorders>
            <w:shd w:val="clear" w:color="000000" w:fill="FFFFFF"/>
            <w:vAlign w:val="center"/>
          </w:tcPr>
          <w:p w:rsidR="00653D81" w:rsidRPr="00916CAD" w:rsidP="00C00973" w14:paraId="35CEA7AA" w14:textId="44AF9AEE">
            <w:pPr>
              <w:jc w:val="both"/>
              <w:rPr>
                <w:rFonts w:ascii="Calibri" w:hAnsi="Calibri" w:cs="Calibri"/>
                <w:b/>
                <w:bCs/>
                <w:color w:val="000000"/>
              </w:rPr>
            </w:pPr>
            <w:r w:rsidRPr="00916CAD">
              <w:rPr>
                <w:rFonts w:ascii="Calibri" w:hAnsi="Calibri" w:cs="Calibri"/>
                <w:b/>
                <w:bCs/>
                <w:color w:val="000000"/>
              </w:rPr>
              <w:t>Average SSOA Audits per Year</w:t>
            </w:r>
          </w:p>
        </w:tc>
        <w:tc>
          <w:tcPr>
            <w:tcW w:w="1455" w:type="dxa"/>
            <w:tcBorders>
              <w:top w:val="nil"/>
              <w:left w:val="nil"/>
              <w:bottom w:val="nil"/>
              <w:right w:val="nil"/>
            </w:tcBorders>
            <w:shd w:val="clear" w:color="000000" w:fill="FFFFFF"/>
            <w:noWrap/>
            <w:vAlign w:val="center"/>
          </w:tcPr>
          <w:p w:rsidR="00653D81" w:rsidRPr="00916CAD" w:rsidP="002D7A3D" w14:paraId="5402F1DC" w14:textId="7C06B3E0">
            <w:pPr>
              <w:ind w:right="-9"/>
              <w:jc w:val="center"/>
              <w:rPr>
                <w:rFonts w:ascii="Calibri" w:hAnsi="Calibri" w:cs="Calibri"/>
                <w:color w:val="000000"/>
              </w:rPr>
            </w:pPr>
            <w:r w:rsidRPr="00916CAD">
              <w:rPr>
                <w:rFonts w:ascii="Calibri" w:hAnsi="Calibri" w:cs="Calibri"/>
                <w:color w:val="000000"/>
              </w:rPr>
              <w:t>10</w:t>
            </w:r>
          </w:p>
        </w:tc>
        <w:tc>
          <w:tcPr>
            <w:tcW w:w="1390" w:type="dxa"/>
            <w:tcBorders>
              <w:top w:val="nil"/>
              <w:left w:val="nil"/>
              <w:bottom w:val="nil"/>
              <w:right w:val="single" w:sz="8" w:space="0" w:color="auto"/>
            </w:tcBorders>
            <w:shd w:val="clear" w:color="000000" w:fill="FFFFFF"/>
            <w:noWrap/>
            <w:vAlign w:val="center"/>
          </w:tcPr>
          <w:p w:rsidR="00653D81" w:rsidRPr="00916CAD" w:rsidP="002D7A3D" w14:paraId="10055B3E" w14:textId="77777777">
            <w:pPr>
              <w:ind w:right="-9"/>
              <w:jc w:val="center"/>
              <w:rPr>
                <w:rFonts w:ascii="Calibri" w:hAnsi="Calibri" w:cs="Calibri"/>
                <w:color w:val="000000"/>
              </w:rPr>
            </w:pPr>
          </w:p>
        </w:tc>
      </w:tr>
      <w:tr w14:paraId="0713FC08" w14:textId="77777777" w:rsidTr="00916CAD">
        <w:tblPrEx>
          <w:tblW w:w="8055" w:type="dxa"/>
          <w:tblLook w:val="04A0"/>
        </w:tblPrEx>
        <w:trPr>
          <w:trHeight w:val="70"/>
        </w:trPr>
        <w:tc>
          <w:tcPr>
            <w:tcW w:w="5210" w:type="dxa"/>
            <w:tcBorders>
              <w:top w:val="nil"/>
              <w:left w:val="single" w:sz="8" w:space="0" w:color="auto"/>
              <w:bottom w:val="single" w:sz="8" w:space="0" w:color="auto"/>
              <w:right w:val="nil"/>
            </w:tcBorders>
            <w:shd w:val="clear" w:color="000000" w:fill="FFFFFF"/>
            <w:noWrap/>
            <w:vAlign w:val="center"/>
            <w:hideMark/>
          </w:tcPr>
          <w:p w:rsidR="003B1CAD" w:rsidRPr="00916CAD" w:rsidP="00C00973" w14:paraId="58315D15" w14:textId="77777777">
            <w:pPr>
              <w:jc w:val="both"/>
              <w:rPr>
                <w:rFonts w:ascii="Calibri" w:hAnsi="Calibri" w:cs="Calibri"/>
                <w:b/>
                <w:bCs/>
                <w:color w:val="000000"/>
              </w:rPr>
            </w:pPr>
            <w:r w:rsidRPr="00916CAD">
              <w:rPr>
                <w:rFonts w:ascii="Calibri" w:hAnsi="Calibri" w:cs="Calibri"/>
                <w:b/>
                <w:bCs/>
                <w:color w:val="000000"/>
              </w:rPr>
              <w:t>Industry-Wide Estimated Hours per Year</w:t>
            </w:r>
          </w:p>
        </w:tc>
        <w:tc>
          <w:tcPr>
            <w:tcW w:w="1455" w:type="dxa"/>
            <w:tcBorders>
              <w:top w:val="nil"/>
              <w:left w:val="nil"/>
              <w:bottom w:val="single" w:sz="8" w:space="0" w:color="auto"/>
              <w:right w:val="nil"/>
            </w:tcBorders>
            <w:shd w:val="clear" w:color="000000" w:fill="FFFFFF"/>
            <w:noWrap/>
            <w:vAlign w:val="center"/>
            <w:hideMark/>
          </w:tcPr>
          <w:p w:rsidR="003B1CAD" w:rsidRPr="00916CAD" w:rsidP="002D7A3D" w14:paraId="78CCCBFD" w14:textId="4ACAB38C">
            <w:pPr>
              <w:ind w:right="-9"/>
              <w:jc w:val="center"/>
              <w:rPr>
                <w:rFonts w:ascii="Calibri" w:hAnsi="Calibri" w:cs="Calibri"/>
                <w:b/>
                <w:color w:val="000000"/>
              </w:rPr>
            </w:pPr>
            <w:r w:rsidRPr="00916CAD">
              <w:rPr>
                <w:rFonts w:ascii="Calibri" w:hAnsi="Calibri" w:cs="Calibri"/>
                <w:b/>
                <w:color w:val="000000"/>
              </w:rPr>
              <w:t>1,</w:t>
            </w:r>
            <w:r w:rsidRPr="00916CAD" w:rsidR="00653D81">
              <w:rPr>
                <w:rFonts w:ascii="Calibri" w:hAnsi="Calibri" w:cs="Calibri"/>
                <w:b/>
                <w:color w:val="000000"/>
              </w:rPr>
              <w:t>943</w:t>
            </w:r>
          </w:p>
        </w:tc>
        <w:tc>
          <w:tcPr>
            <w:tcW w:w="1390" w:type="dxa"/>
            <w:tcBorders>
              <w:top w:val="nil"/>
              <w:left w:val="nil"/>
              <w:bottom w:val="single" w:sz="8" w:space="0" w:color="auto"/>
              <w:right w:val="single" w:sz="8" w:space="0" w:color="auto"/>
            </w:tcBorders>
            <w:shd w:val="clear" w:color="000000" w:fill="FFFFFF"/>
            <w:noWrap/>
            <w:vAlign w:val="center"/>
            <w:hideMark/>
          </w:tcPr>
          <w:p w:rsidR="003B1CAD" w:rsidRPr="00916CAD" w:rsidP="002D7A3D" w14:paraId="63BA8F2F" w14:textId="38ADEE71">
            <w:pPr>
              <w:ind w:right="-9"/>
              <w:jc w:val="center"/>
              <w:rPr>
                <w:rFonts w:ascii="Calibri" w:hAnsi="Calibri" w:cs="Calibri"/>
                <w:b/>
                <w:color w:val="000000"/>
              </w:rPr>
            </w:pPr>
            <w:r w:rsidRPr="00916CAD">
              <w:rPr>
                <w:rFonts w:ascii="Calibri" w:hAnsi="Calibri" w:cs="Calibri"/>
                <w:b/>
                <w:color w:val="000000"/>
              </w:rPr>
              <w:t>1,281</w:t>
            </w:r>
          </w:p>
        </w:tc>
      </w:tr>
    </w:tbl>
    <w:p w:rsidR="00866909" w:rsidRPr="00634C05" w:rsidP="00C00973" w14:paraId="24B87F59" w14:textId="77777777">
      <w:pPr>
        <w:jc w:val="both"/>
        <w:rPr>
          <w:b/>
          <w:sz w:val="24"/>
          <w:szCs w:val="24"/>
        </w:rPr>
      </w:pPr>
    </w:p>
    <w:p w:rsidR="00874206" w:rsidRPr="00634C05" w:rsidP="00C00973" w14:paraId="54FA34E6" w14:textId="208CE003">
      <w:pPr>
        <w:jc w:val="both"/>
        <w:rPr>
          <w:b/>
          <w:sz w:val="24"/>
          <w:szCs w:val="24"/>
        </w:rPr>
      </w:pPr>
      <w:r w:rsidRPr="00634C05">
        <w:rPr>
          <w:b/>
          <w:sz w:val="24"/>
          <w:szCs w:val="24"/>
        </w:rPr>
        <w:t>Periodic Requests</w:t>
      </w:r>
      <w:r>
        <w:rPr>
          <w:rStyle w:val="FootnoteReference"/>
          <w:b/>
          <w:sz w:val="24"/>
          <w:szCs w:val="24"/>
        </w:rPr>
        <w:footnoteReference w:id="6"/>
      </w:r>
    </w:p>
    <w:p w:rsidR="00634C05" w:rsidRPr="00634C05" w:rsidP="00C00973" w14:paraId="577A9673" w14:textId="5FD72318">
      <w:pPr>
        <w:jc w:val="both"/>
        <w:rPr>
          <w:b/>
          <w:sz w:val="24"/>
          <w:szCs w:val="24"/>
        </w:rPr>
      </w:pPr>
    </w:p>
    <w:p w:rsidR="00634C05" w:rsidRPr="00634C05" w:rsidP="00C00973" w14:paraId="5B6A44AE" w14:textId="54B00EF7">
      <w:pPr>
        <w:ind w:firstLine="360"/>
        <w:jc w:val="both"/>
        <w:rPr>
          <w:bCs/>
          <w:sz w:val="24"/>
          <w:szCs w:val="24"/>
        </w:rPr>
      </w:pPr>
      <w:r w:rsidRPr="00634C05">
        <w:rPr>
          <w:bCs/>
          <w:sz w:val="24"/>
          <w:szCs w:val="24"/>
        </w:rPr>
        <w:t xml:space="preserve">FTA issues periodic requests to SSOAs and </w:t>
      </w:r>
      <w:r w:rsidRPr="00634C05">
        <w:rPr>
          <w:bCs/>
          <w:sz w:val="24"/>
          <w:szCs w:val="24"/>
        </w:rPr>
        <w:t>RTAs. This may include Safety Advisories or Safety Directives that require information collection from SSOAs and/or RTAs. In addition, FTA holds monthly update teleconferences with each SSOA.</w:t>
      </w:r>
    </w:p>
    <w:p w:rsidR="00634C05" w:rsidRPr="00634C05" w:rsidP="00C00973" w14:paraId="5D010665" w14:textId="77777777">
      <w:pPr>
        <w:jc w:val="both"/>
        <w:rPr>
          <w:b/>
          <w:sz w:val="24"/>
          <w:szCs w:val="24"/>
        </w:rPr>
      </w:pPr>
    </w:p>
    <w:tbl>
      <w:tblPr>
        <w:tblW w:w="9260" w:type="dxa"/>
        <w:tblLook w:val="04A0"/>
      </w:tblPr>
      <w:tblGrid>
        <w:gridCol w:w="3140"/>
        <w:gridCol w:w="1000"/>
        <w:gridCol w:w="708"/>
        <w:gridCol w:w="954"/>
        <w:gridCol w:w="1196"/>
        <w:gridCol w:w="1092"/>
        <w:gridCol w:w="1170"/>
      </w:tblGrid>
      <w:tr w14:paraId="64A3DCF9" w14:textId="77777777" w:rsidTr="23FB9889">
        <w:tblPrEx>
          <w:tblW w:w="9260" w:type="dxa"/>
          <w:tblLook w:val="04A0"/>
        </w:tblPrEx>
        <w:trPr>
          <w:trHeight w:val="50"/>
        </w:trPr>
        <w:tc>
          <w:tcPr>
            <w:tcW w:w="3140" w:type="dxa"/>
            <w:tcBorders>
              <w:top w:val="single" w:sz="8" w:space="0" w:color="auto"/>
              <w:left w:val="single" w:sz="8" w:space="0" w:color="auto"/>
              <w:bottom w:val="single" w:sz="4" w:space="0" w:color="auto"/>
              <w:right w:val="nil"/>
            </w:tcBorders>
            <w:shd w:val="clear" w:color="auto" w:fill="FFFFFF" w:themeFill="background1"/>
            <w:noWrap/>
            <w:vAlign w:val="bottom"/>
            <w:hideMark/>
          </w:tcPr>
          <w:p w:rsidR="00866909" w:rsidRPr="009B6E68" w:rsidP="00C00973" w14:paraId="1DCC44E8" w14:textId="77777777">
            <w:pPr>
              <w:jc w:val="both"/>
              <w:rPr>
                <w:rFonts w:ascii="Calibri" w:hAnsi="Calibri" w:cs="Calibri"/>
                <w:color w:val="000000"/>
              </w:rPr>
            </w:pPr>
            <w:r w:rsidRPr="009B6E68">
              <w:rPr>
                <w:rFonts w:ascii="Calibri" w:hAnsi="Calibri" w:cs="Calibri"/>
                <w:color w:val="000000"/>
              </w:rPr>
              <w:t> </w:t>
            </w:r>
          </w:p>
        </w:tc>
        <w:tc>
          <w:tcPr>
            <w:tcW w:w="1000" w:type="dxa"/>
            <w:tcBorders>
              <w:top w:val="single" w:sz="8" w:space="0" w:color="auto"/>
              <w:left w:val="nil"/>
              <w:bottom w:val="single" w:sz="4" w:space="0" w:color="auto"/>
              <w:right w:val="nil"/>
            </w:tcBorders>
            <w:shd w:val="clear" w:color="auto" w:fill="FFFFFF" w:themeFill="background1"/>
            <w:noWrap/>
            <w:vAlign w:val="bottom"/>
            <w:hideMark/>
          </w:tcPr>
          <w:p w:rsidR="00866909" w:rsidRPr="009B6E68" w:rsidP="009B6E68" w14:paraId="407C3A98" w14:textId="77777777">
            <w:pPr>
              <w:jc w:val="center"/>
              <w:rPr>
                <w:rFonts w:ascii="Calibri" w:hAnsi="Calibri" w:cs="Calibri"/>
                <w:b/>
                <w:bCs/>
                <w:color w:val="000000"/>
              </w:rPr>
            </w:pPr>
            <w:r w:rsidRPr="009B6E68">
              <w:rPr>
                <w:rFonts w:ascii="Calibri" w:hAnsi="Calibri" w:cs="Calibri"/>
                <w:b/>
                <w:bCs/>
                <w:color w:val="000000"/>
              </w:rPr>
              <w:t>Quantity</w:t>
            </w:r>
          </w:p>
        </w:tc>
        <w:tc>
          <w:tcPr>
            <w:tcW w:w="708" w:type="dxa"/>
            <w:tcBorders>
              <w:top w:val="single" w:sz="8" w:space="0" w:color="auto"/>
              <w:left w:val="nil"/>
              <w:bottom w:val="single" w:sz="4" w:space="0" w:color="auto"/>
              <w:right w:val="nil"/>
            </w:tcBorders>
            <w:shd w:val="clear" w:color="auto" w:fill="FFFFFF" w:themeFill="background1"/>
            <w:noWrap/>
            <w:vAlign w:val="bottom"/>
            <w:hideMark/>
          </w:tcPr>
          <w:p w:rsidR="00866909" w:rsidRPr="009B6E68" w:rsidP="009B6E68" w14:paraId="78E0A98A" w14:textId="77777777">
            <w:pPr>
              <w:jc w:val="center"/>
              <w:rPr>
                <w:rFonts w:ascii="Calibri" w:hAnsi="Calibri" w:cs="Calibri"/>
                <w:b/>
                <w:bCs/>
                <w:color w:val="000000"/>
              </w:rPr>
            </w:pPr>
            <w:r w:rsidRPr="009B6E68">
              <w:rPr>
                <w:rFonts w:ascii="Calibri" w:hAnsi="Calibri" w:cs="Calibri"/>
                <w:b/>
                <w:bCs/>
                <w:color w:val="000000"/>
              </w:rPr>
              <w:t>Hours</w:t>
            </w:r>
          </w:p>
        </w:tc>
        <w:tc>
          <w:tcPr>
            <w:tcW w:w="954" w:type="dxa"/>
            <w:tcBorders>
              <w:top w:val="single" w:sz="8" w:space="0" w:color="auto"/>
              <w:left w:val="nil"/>
              <w:bottom w:val="single" w:sz="4" w:space="0" w:color="auto"/>
              <w:right w:val="single" w:sz="8" w:space="0" w:color="auto"/>
            </w:tcBorders>
            <w:shd w:val="clear" w:color="auto" w:fill="FFFFFF" w:themeFill="background1"/>
            <w:noWrap/>
            <w:vAlign w:val="bottom"/>
            <w:hideMark/>
          </w:tcPr>
          <w:p w:rsidR="00866909" w:rsidRPr="009B6E68" w:rsidP="009B6E68" w14:paraId="5DD5088B" w14:textId="77777777">
            <w:pPr>
              <w:jc w:val="center"/>
              <w:rPr>
                <w:rFonts w:ascii="Calibri" w:hAnsi="Calibri" w:cs="Calibri"/>
                <w:b/>
                <w:bCs/>
                <w:color w:val="000000"/>
              </w:rPr>
            </w:pPr>
            <w:r w:rsidRPr="009B6E68">
              <w:rPr>
                <w:rFonts w:ascii="Calibri" w:hAnsi="Calibri" w:cs="Calibri"/>
                <w:b/>
                <w:bCs/>
                <w:color w:val="000000"/>
              </w:rPr>
              <w:t>Agencies</w:t>
            </w:r>
          </w:p>
        </w:tc>
        <w:tc>
          <w:tcPr>
            <w:tcW w:w="1196" w:type="dxa"/>
            <w:tcBorders>
              <w:top w:val="single" w:sz="8" w:space="0" w:color="auto"/>
              <w:left w:val="single" w:sz="8" w:space="0" w:color="auto"/>
              <w:bottom w:val="single" w:sz="4" w:space="0" w:color="auto"/>
              <w:right w:val="nil"/>
            </w:tcBorders>
            <w:shd w:val="clear" w:color="auto" w:fill="FFFFFF" w:themeFill="background1"/>
            <w:noWrap/>
            <w:vAlign w:val="bottom"/>
            <w:hideMark/>
          </w:tcPr>
          <w:p w:rsidR="00866909" w:rsidRPr="009B6E68" w:rsidP="009B6E68" w14:paraId="50B5AE9C" w14:textId="77777777">
            <w:pPr>
              <w:jc w:val="center"/>
              <w:rPr>
                <w:rFonts w:ascii="Calibri" w:hAnsi="Calibri" w:cs="Calibri"/>
                <w:b/>
                <w:bCs/>
                <w:color w:val="000000"/>
              </w:rPr>
            </w:pPr>
            <w:r w:rsidRPr="009B6E68">
              <w:rPr>
                <w:rFonts w:ascii="Calibri" w:hAnsi="Calibri" w:cs="Calibri"/>
                <w:b/>
                <w:bCs/>
                <w:color w:val="000000"/>
              </w:rPr>
              <w:t>SSOA Total</w:t>
            </w:r>
          </w:p>
        </w:tc>
        <w:tc>
          <w:tcPr>
            <w:tcW w:w="1092" w:type="dxa"/>
            <w:tcBorders>
              <w:top w:val="single" w:sz="8" w:space="0" w:color="auto"/>
              <w:left w:val="nil"/>
              <w:bottom w:val="single" w:sz="4" w:space="0" w:color="auto"/>
              <w:right w:val="single" w:sz="8" w:space="0" w:color="auto"/>
            </w:tcBorders>
            <w:shd w:val="clear" w:color="auto" w:fill="FFFFFF" w:themeFill="background1"/>
            <w:noWrap/>
            <w:vAlign w:val="bottom"/>
            <w:hideMark/>
          </w:tcPr>
          <w:p w:rsidR="00866909" w:rsidRPr="009B6E68" w:rsidP="009B6E68" w14:paraId="64F88903" w14:textId="77777777">
            <w:pPr>
              <w:jc w:val="center"/>
              <w:rPr>
                <w:rFonts w:ascii="Calibri" w:hAnsi="Calibri" w:cs="Calibri"/>
                <w:b/>
                <w:bCs/>
                <w:color w:val="000000"/>
              </w:rPr>
            </w:pPr>
            <w:r w:rsidRPr="009B6E68">
              <w:rPr>
                <w:rFonts w:ascii="Calibri" w:hAnsi="Calibri" w:cs="Calibri"/>
                <w:b/>
                <w:bCs/>
                <w:color w:val="000000"/>
              </w:rPr>
              <w:t>RTA Total</w:t>
            </w:r>
          </w:p>
        </w:tc>
        <w:tc>
          <w:tcPr>
            <w:tcW w:w="1170" w:type="dxa"/>
            <w:tcBorders>
              <w:top w:val="single" w:sz="8" w:space="0" w:color="auto"/>
              <w:left w:val="nil"/>
              <w:bottom w:val="single" w:sz="4" w:space="0" w:color="auto"/>
              <w:right w:val="single" w:sz="8" w:space="0" w:color="auto"/>
            </w:tcBorders>
            <w:shd w:val="clear" w:color="auto" w:fill="FFFFFF" w:themeFill="background1"/>
            <w:noWrap/>
            <w:vAlign w:val="bottom"/>
            <w:hideMark/>
          </w:tcPr>
          <w:p w:rsidR="00866909" w:rsidRPr="009B6E68" w:rsidP="009B6E68" w14:paraId="2DAD18F9" w14:textId="77777777">
            <w:pPr>
              <w:jc w:val="center"/>
              <w:rPr>
                <w:rFonts w:ascii="Calibri" w:hAnsi="Calibri" w:cs="Calibri"/>
                <w:b/>
                <w:bCs/>
                <w:color w:val="000000"/>
              </w:rPr>
            </w:pPr>
            <w:r w:rsidRPr="009B6E68">
              <w:rPr>
                <w:rFonts w:ascii="Calibri" w:hAnsi="Calibri" w:cs="Calibri"/>
                <w:b/>
                <w:bCs/>
                <w:color w:val="000000"/>
              </w:rPr>
              <w:t>Total</w:t>
            </w:r>
          </w:p>
        </w:tc>
      </w:tr>
      <w:tr w14:paraId="74231D70" w14:textId="77777777" w:rsidTr="23FB9889">
        <w:tblPrEx>
          <w:tblW w:w="9260" w:type="dxa"/>
          <w:tblLook w:val="04A0"/>
        </w:tblPrEx>
        <w:trPr>
          <w:trHeight w:val="60"/>
        </w:trPr>
        <w:tc>
          <w:tcPr>
            <w:tcW w:w="3140"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866909" w:rsidRPr="009B6E68" w:rsidP="009B6E68" w14:paraId="7D613876" w14:textId="287F7157">
            <w:pPr>
              <w:rPr>
                <w:rFonts w:ascii="Calibri" w:hAnsi="Calibri" w:cs="Calibri"/>
                <w:color w:val="000000"/>
              </w:rPr>
            </w:pPr>
            <w:r w:rsidRPr="009B6E68">
              <w:rPr>
                <w:rFonts w:ascii="Calibri" w:hAnsi="Calibri" w:cs="Calibri"/>
                <w:color w:val="000000"/>
              </w:rPr>
              <w:t>Safety Advisories/Directives: SSOAs</w:t>
            </w:r>
          </w:p>
        </w:tc>
        <w:tc>
          <w:tcPr>
            <w:tcW w:w="1000"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15BFF850" w14:textId="77777777">
            <w:pPr>
              <w:ind w:right="121"/>
              <w:jc w:val="right"/>
              <w:rPr>
                <w:rFonts w:ascii="Calibri" w:hAnsi="Calibri" w:cs="Calibri"/>
                <w:color w:val="000000"/>
              </w:rPr>
            </w:pPr>
            <w:r w:rsidRPr="009B6E68">
              <w:rPr>
                <w:rFonts w:ascii="Calibri" w:hAnsi="Calibri" w:cs="Calibri"/>
                <w:color w:val="000000"/>
              </w:rPr>
              <w:t>4</w:t>
            </w:r>
          </w:p>
        </w:tc>
        <w:tc>
          <w:tcPr>
            <w:tcW w:w="708"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00A5C8D8" w14:textId="77777777">
            <w:pPr>
              <w:ind w:right="121"/>
              <w:jc w:val="right"/>
              <w:rPr>
                <w:rFonts w:ascii="Calibri" w:hAnsi="Calibri" w:cs="Calibri"/>
                <w:color w:val="000000"/>
              </w:rPr>
            </w:pPr>
            <w:r w:rsidRPr="009B6E68">
              <w:rPr>
                <w:rFonts w:ascii="Calibri" w:hAnsi="Calibri" w:cs="Calibri"/>
                <w:color w:val="000000"/>
              </w:rPr>
              <w:t>30</w:t>
            </w:r>
          </w:p>
        </w:tc>
        <w:tc>
          <w:tcPr>
            <w:tcW w:w="95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B6E68" w14:paraId="7316A749" w14:textId="77777777">
            <w:pPr>
              <w:ind w:right="121"/>
              <w:jc w:val="right"/>
              <w:rPr>
                <w:rFonts w:ascii="Calibri" w:hAnsi="Calibri" w:cs="Calibri"/>
                <w:color w:val="000000"/>
              </w:rPr>
            </w:pPr>
            <w:r w:rsidRPr="009B6E68">
              <w:rPr>
                <w:rFonts w:ascii="Calibri" w:hAnsi="Calibri" w:cs="Calibri"/>
                <w:color w:val="000000"/>
              </w:rPr>
              <w:t>31</w:t>
            </w:r>
          </w:p>
        </w:tc>
        <w:tc>
          <w:tcPr>
            <w:tcW w:w="1196" w:type="dxa"/>
            <w:tcBorders>
              <w:top w:val="single" w:sz="4" w:space="0" w:color="auto"/>
              <w:left w:val="single" w:sz="8" w:space="0" w:color="auto"/>
              <w:bottom w:val="single" w:sz="4" w:space="0" w:color="auto"/>
              <w:right w:val="nil"/>
            </w:tcBorders>
            <w:shd w:val="clear" w:color="auto" w:fill="FFFFFF" w:themeFill="background1"/>
            <w:noWrap/>
            <w:vAlign w:val="center"/>
            <w:hideMark/>
          </w:tcPr>
          <w:p w:rsidR="00866909" w:rsidRPr="009B6E68" w:rsidP="00916CAD" w14:paraId="471C8ACA" w14:textId="77777777">
            <w:pPr>
              <w:ind w:right="121"/>
              <w:jc w:val="right"/>
              <w:rPr>
                <w:rFonts w:ascii="Calibri" w:hAnsi="Calibri" w:cs="Calibri"/>
                <w:color w:val="000000"/>
              </w:rPr>
            </w:pPr>
            <w:r w:rsidRPr="009B6E68">
              <w:rPr>
                <w:rFonts w:ascii="Calibri" w:hAnsi="Calibri" w:cs="Calibri"/>
                <w:color w:val="000000"/>
              </w:rPr>
              <w:t>3,720</w:t>
            </w:r>
          </w:p>
        </w:tc>
        <w:tc>
          <w:tcPr>
            <w:tcW w:w="1092"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2D0542B9" w14:textId="77777777">
            <w:pPr>
              <w:ind w:right="121"/>
              <w:jc w:val="right"/>
              <w:rPr>
                <w:rFonts w:ascii="Calibri" w:hAnsi="Calibri" w:cs="Calibri"/>
                <w:color w:val="000000"/>
              </w:rPr>
            </w:pPr>
            <w:r w:rsidRPr="009B6E68">
              <w:rPr>
                <w:rFonts w:ascii="Calibri" w:hAnsi="Calibri" w:cs="Calibri"/>
                <w:color w:val="000000"/>
              </w:rPr>
              <w:t> </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3DDD76CB" w14:textId="77777777">
            <w:pPr>
              <w:ind w:right="36"/>
              <w:jc w:val="right"/>
              <w:rPr>
                <w:rFonts w:ascii="Calibri" w:hAnsi="Calibri" w:cs="Calibri"/>
                <w:color w:val="000000"/>
              </w:rPr>
            </w:pPr>
            <w:r w:rsidRPr="009B6E68">
              <w:rPr>
                <w:rFonts w:ascii="Calibri" w:hAnsi="Calibri" w:cs="Calibri"/>
                <w:color w:val="000000"/>
              </w:rPr>
              <w:t>3,720 </w:t>
            </w:r>
          </w:p>
        </w:tc>
      </w:tr>
      <w:tr w14:paraId="4C71609F" w14:textId="77777777" w:rsidTr="23FB9889">
        <w:tblPrEx>
          <w:tblW w:w="9260" w:type="dxa"/>
          <w:tblLook w:val="04A0"/>
        </w:tblPrEx>
        <w:trPr>
          <w:trHeight w:val="62"/>
        </w:trPr>
        <w:tc>
          <w:tcPr>
            <w:tcW w:w="3140"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866909" w:rsidRPr="009B6E68" w:rsidP="009B6E68" w14:paraId="022D4DC6" w14:textId="3C2BD89E">
            <w:pPr>
              <w:rPr>
                <w:rFonts w:ascii="Calibri" w:hAnsi="Calibri" w:cs="Calibri"/>
                <w:color w:val="000000"/>
              </w:rPr>
            </w:pPr>
            <w:r w:rsidRPr="009B6E68">
              <w:rPr>
                <w:rFonts w:ascii="Calibri" w:hAnsi="Calibri" w:cs="Calibri"/>
                <w:color w:val="000000"/>
              </w:rPr>
              <w:t>Safety Advisories/Directives: RTAs</w:t>
            </w:r>
          </w:p>
        </w:tc>
        <w:tc>
          <w:tcPr>
            <w:tcW w:w="1000"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1F0D509D" w14:textId="6F75D39D">
            <w:pPr>
              <w:ind w:right="121"/>
              <w:jc w:val="right"/>
              <w:rPr>
                <w:rFonts w:ascii="Calibri" w:hAnsi="Calibri" w:cs="Calibri"/>
                <w:color w:val="000000"/>
              </w:rPr>
            </w:pPr>
            <w:r w:rsidRPr="245F2F03">
              <w:rPr>
                <w:rFonts w:ascii="Calibri" w:hAnsi="Calibri" w:cs="Calibri"/>
                <w:color w:val="000000" w:themeColor="text1"/>
              </w:rPr>
              <w:t>4</w:t>
            </w:r>
          </w:p>
        </w:tc>
        <w:tc>
          <w:tcPr>
            <w:tcW w:w="708"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5CDA6CE7" w14:textId="77777777">
            <w:pPr>
              <w:ind w:right="121"/>
              <w:jc w:val="right"/>
              <w:rPr>
                <w:rFonts w:ascii="Calibri" w:hAnsi="Calibri" w:cs="Calibri"/>
                <w:color w:val="000000"/>
              </w:rPr>
            </w:pPr>
            <w:r w:rsidRPr="009B6E68">
              <w:rPr>
                <w:rFonts w:ascii="Calibri" w:hAnsi="Calibri" w:cs="Calibri"/>
                <w:color w:val="000000"/>
              </w:rPr>
              <w:t>30</w:t>
            </w:r>
          </w:p>
        </w:tc>
        <w:tc>
          <w:tcPr>
            <w:tcW w:w="95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B6E68" w14:paraId="4290D0E7" w14:textId="77777777">
            <w:pPr>
              <w:ind w:right="121"/>
              <w:jc w:val="right"/>
              <w:rPr>
                <w:rFonts w:ascii="Calibri" w:hAnsi="Calibri" w:cs="Calibri"/>
                <w:color w:val="000000"/>
              </w:rPr>
            </w:pPr>
            <w:r w:rsidRPr="009B6E68">
              <w:rPr>
                <w:rFonts w:ascii="Calibri" w:hAnsi="Calibri" w:cs="Calibri"/>
                <w:color w:val="000000"/>
              </w:rPr>
              <w:t>65</w:t>
            </w:r>
          </w:p>
        </w:tc>
        <w:tc>
          <w:tcPr>
            <w:tcW w:w="1196" w:type="dxa"/>
            <w:tcBorders>
              <w:top w:val="single" w:sz="4" w:space="0" w:color="auto"/>
              <w:left w:val="single" w:sz="8" w:space="0" w:color="auto"/>
              <w:bottom w:val="single" w:sz="4" w:space="0" w:color="auto"/>
              <w:right w:val="nil"/>
            </w:tcBorders>
            <w:shd w:val="clear" w:color="auto" w:fill="FFFFFF" w:themeFill="background1"/>
            <w:noWrap/>
            <w:vAlign w:val="center"/>
            <w:hideMark/>
          </w:tcPr>
          <w:p w:rsidR="00866909" w:rsidRPr="009B6E68" w:rsidP="00916CAD" w14:paraId="48AB18D7" w14:textId="77777777">
            <w:pPr>
              <w:ind w:right="121"/>
              <w:jc w:val="right"/>
              <w:rPr>
                <w:rFonts w:ascii="Calibri" w:hAnsi="Calibri" w:cs="Calibri"/>
                <w:color w:val="000000"/>
              </w:rPr>
            </w:pPr>
            <w:r w:rsidRPr="009B6E68">
              <w:rPr>
                <w:rFonts w:ascii="Calibri" w:hAnsi="Calibri" w:cs="Calibri"/>
                <w:color w:val="000000"/>
              </w:rPr>
              <w:t> </w:t>
            </w:r>
          </w:p>
        </w:tc>
        <w:tc>
          <w:tcPr>
            <w:tcW w:w="1092"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66E4D1A9" w14:textId="55020E30">
            <w:pPr>
              <w:ind w:right="121"/>
              <w:jc w:val="right"/>
              <w:rPr>
                <w:rFonts w:ascii="Calibri" w:hAnsi="Calibri" w:cs="Calibri"/>
                <w:color w:val="000000"/>
              </w:rPr>
            </w:pPr>
            <w:r w:rsidRPr="23FB9889">
              <w:rPr>
                <w:rFonts w:ascii="Calibri" w:hAnsi="Calibri" w:cs="Calibri"/>
                <w:color w:val="000000" w:themeColor="text1"/>
              </w:rPr>
              <w:t>3,</w:t>
            </w:r>
            <w:r w:rsidRPr="23FB9889" w:rsidR="4A5CA2A4">
              <w:rPr>
                <w:rFonts w:ascii="Calibri" w:hAnsi="Calibri" w:cs="Calibri"/>
                <w:color w:val="000000" w:themeColor="text1"/>
              </w:rPr>
              <w:t>9</w:t>
            </w:r>
            <w:r w:rsidRPr="23FB9889">
              <w:rPr>
                <w:rFonts w:ascii="Calibri" w:hAnsi="Calibri" w:cs="Calibri"/>
                <w:color w:val="000000" w:themeColor="text1"/>
              </w:rPr>
              <w:t>00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734C2D43" w14:textId="0A8293D2">
            <w:pPr>
              <w:ind w:right="36"/>
              <w:jc w:val="right"/>
              <w:rPr>
                <w:rFonts w:ascii="Calibri" w:hAnsi="Calibri" w:cs="Calibri"/>
                <w:color w:val="000000"/>
              </w:rPr>
            </w:pPr>
            <w:r w:rsidRPr="23FB9889">
              <w:rPr>
                <w:rFonts w:ascii="Calibri" w:hAnsi="Calibri" w:cs="Calibri"/>
                <w:color w:val="000000" w:themeColor="text1"/>
              </w:rPr>
              <w:t>3,9</w:t>
            </w:r>
            <w:r w:rsidRPr="23FB9889" w:rsidR="7F60861E">
              <w:rPr>
                <w:rFonts w:ascii="Calibri" w:hAnsi="Calibri" w:cs="Calibri"/>
                <w:color w:val="000000" w:themeColor="text1"/>
              </w:rPr>
              <w:t>00</w:t>
            </w:r>
            <w:r w:rsidRPr="23FB9889">
              <w:rPr>
                <w:rFonts w:ascii="Calibri" w:hAnsi="Calibri" w:cs="Calibri"/>
                <w:color w:val="000000" w:themeColor="text1"/>
              </w:rPr>
              <w:t> </w:t>
            </w:r>
          </w:p>
        </w:tc>
      </w:tr>
      <w:tr w14:paraId="6783A4CD" w14:textId="77777777" w:rsidTr="23FB9889">
        <w:tblPrEx>
          <w:tblW w:w="9260" w:type="dxa"/>
          <w:tblLook w:val="04A0"/>
        </w:tblPrEx>
        <w:trPr>
          <w:trHeight w:val="60"/>
        </w:trPr>
        <w:tc>
          <w:tcPr>
            <w:tcW w:w="3140"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866909" w:rsidRPr="009B6E68" w:rsidP="00C00973" w14:paraId="34948236" w14:textId="77777777">
            <w:pPr>
              <w:jc w:val="both"/>
              <w:rPr>
                <w:rFonts w:ascii="Calibri" w:hAnsi="Calibri" w:cs="Calibri"/>
                <w:color w:val="000000"/>
              </w:rPr>
            </w:pPr>
            <w:r w:rsidRPr="009B6E68">
              <w:rPr>
                <w:rFonts w:ascii="Calibri" w:hAnsi="Calibri" w:cs="Calibri"/>
                <w:color w:val="000000"/>
              </w:rPr>
              <w:t>Monthly Updates</w:t>
            </w:r>
          </w:p>
        </w:tc>
        <w:tc>
          <w:tcPr>
            <w:tcW w:w="1000"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40543246" w14:textId="77777777">
            <w:pPr>
              <w:ind w:right="121"/>
              <w:jc w:val="right"/>
              <w:rPr>
                <w:rFonts w:ascii="Calibri" w:hAnsi="Calibri" w:cs="Calibri"/>
                <w:color w:val="000000"/>
              </w:rPr>
            </w:pPr>
            <w:r w:rsidRPr="009B6E68">
              <w:rPr>
                <w:rFonts w:ascii="Calibri" w:hAnsi="Calibri" w:cs="Calibri"/>
                <w:color w:val="000000"/>
              </w:rPr>
              <w:t>12</w:t>
            </w:r>
          </w:p>
        </w:tc>
        <w:tc>
          <w:tcPr>
            <w:tcW w:w="708"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79198D67" w14:textId="77777777">
            <w:pPr>
              <w:ind w:right="121"/>
              <w:jc w:val="right"/>
              <w:rPr>
                <w:rFonts w:ascii="Calibri" w:hAnsi="Calibri" w:cs="Calibri"/>
                <w:color w:val="000000"/>
              </w:rPr>
            </w:pPr>
            <w:r w:rsidRPr="009B6E68">
              <w:rPr>
                <w:rFonts w:ascii="Calibri" w:hAnsi="Calibri" w:cs="Calibri"/>
                <w:color w:val="000000"/>
              </w:rPr>
              <w:t>1</w:t>
            </w:r>
          </w:p>
        </w:tc>
        <w:tc>
          <w:tcPr>
            <w:tcW w:w="95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B6E68" w14:paraId="6452B0C9" w14:textId="77777777">
            <w:pPr>
              <w:ind w:right="121"/>
              <w:jc w:val="right"/>
              <w:rPr>
                <w:rFonts w:ascii="Calibri" w:hAnsi="Calibri" w:cs="Calibri"/>
                <w:color w:val="000000"/>
              </w:rPr>
            </w:pPr>
            <w:r w:rsidRPr="009B6E68">
              <w:rPr>
                <w:rFonts w:ascii="Calibri" w:hAnsi="Calibri" w:cs="Calibri"/>
                <w:color w:val="000000"/>
              </w:rPr>
              <w:t>31</w:t>
            </w:r>
          </w:p>
        </w:tc>
        <w:tc>
          <w:tcPr>
            <w:tcW w:w="1196" w:type="dxa"/>
            <w:tcBorders>
              <w:top w:val="single" w:sz="4" w:space="0" w:color="auto"/>
              <w:left w:val="single" w:sz="8" w:space="0" w:color="auto"/>
              <w:bottom w:val="single" w:sz="4" w:space="0" w:color="auto"/>
              <w:right w:val="nil"/>
            </w:tcBorders>
            <w:shd w:val="clear" w:color="auto" w:fill="FFFFFF" w:themeFill="background1"/>
            <w:noWrap/>
            <w:vAlign w:val="center"/>
            <w:hideMark/>
          </w:tcPr>
          <w:p w:rsidR="00866909" w:rsidRPr="009B6E68" w:rsidP="00916CAD" w14:paraId="5354FF56" w14:textId="77777777">
            <w:pPr>
              <w:ind w:right="121"/>
              <w:jc w:val="right"/>
              <w:rPr>
                <w:rFonts w:ascii="Calibri" w:hAnsi="Calibri" w:cs="Calibri"/>
                <w:color w:val="000000"/>
              </w:rPr>
            </w:pPr>
            <w:r w:rsidRPr="009B6E68">
              <w:rPr>
                <w:rFonts w:ascii="Calibri" w:hAnsi="Calibri" w:cs="Calibri"/>
                <w:color w:val="000000"/>
              </w:rPr>
              <w:t>372</w:t>
            </w:r>
          </w:p>
        </w:tc>
        <w:tc>
          <w:tcPr>
            <w:tcW w:w="1092"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7ED46ACB" w14:textId="77777777">
            <w:pPr>
              <w:ind w:right="121"/>
              <w:jc w:val="right"/>
              <w:rPr>
                <w:rFonts w:ascii="Calibri" w:hAnsi="Calibri" w:cs="Calibri"/>
                <w:color w:val="000000"/>
              </w:rPr>
            </w:pPr>
            <w:r w:rsidRPr="009B6E68">
              <w:rPr>
                <w:rFonts w:ascii="Calibri" w:hAnsi="Calibri" w:cs="Calibri"/>
                <w:color w:val="000000"/>
              </w:rPr>
              <w:t> </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3611E4CF" w14:textId="77777777">
            <w:pPr>
              <w:ind w:right="36"/>
              <w:jc w:val="right"/>
              <w:rPr>
                <w:rFonts w:ascii="Calibri" w:hAnsi="Calibri" w:cs="Calibri"/>
                <w:color w:val="000000"/>
              </w:rPr>
            </w:pPr>
            <w:r w:rsidRPr="009B6E68">
              <w:rPr>
                <w:rFonts w:ascii="Calibri" w:hAnsi="Calibri" w:cs="Calibri"/>
                <w:color w:val="000000"/>
              </w:rPr>
              <w:t>372 </w:t>
            </w:r>
          </w:p>
        </w:tc>
      </w:tr>
      <w:tr w14:paraId="06764048" w14:textId="77777777" w:rsidTr="23FB9889">
        <w:tblPrEx>
          <w:tblW w:w="9260" w:type="dxa"/>
          <w:tblLook w:val="04A0"/>
        </w:tblPrEx>
        <w:trPr>
          <w:trHeight w:val="60"/>
        </w:trPr>
        <w:tc>
          <w:tcPr>
            <w:tcW w:w="3140" w:type="dxa"/>
            <w:tcBorders>
              <w:top w:val="single" w:sz="4" w:space="0" w:color="auto"/>
              <w:right w:val="nil"/>
            </w:tcBorders>
            <w:shd w:val="clear" w:color="auto" w:fill="FFFFFF" w:themeFill="background1"/>
            <w:noWrap/>
            <w:vAlign w:val="bottom"/>
            <w:hideMark/>
          </w:tcPr>
          <w:p w:rsidR="00866909" w:rsidRPr="009B6E68" w:rsidP="00C00973" w14:paraId="405630E0" w14:textId="77777777">
            <w:pPr>
              <w:jc w:val="both"/>
              <w:rPr>
                <w:rFonts w:ascii="Calibri" w:hAnsi="Calibri" w:cs="Calibri"/>
                <w:color w:val="000000"/>
              </w:rPr>
            </w:pPr>
            <w:r w:rsidRPr="009B6E68">
              <w:rPr>
                <w:rFonts w:ascii="Calibri" w:hAnsi="Calibri" w:cs="Calibri"/>
                <w:color w:val="000000"/>
              </w:rPr>
              <w:t> </w:t>
            </w:r>
          </w:p>
        </w:tc>
        <w:tc>
          <w:tcPr>
            <w:tcW w:w="1000" w:type="dxa"/>
            <w:tcBorders>
              <w:top w:val="single" w:sz="4" w:space="0" w:color="auto"/>
              <w:left w:val="nil"/>
              <w:right w:val="nil"/>
            </w:tcBorders>
            <w:shd w:val="clear" w:color="auto" w:fill="FFFFFF" w:themeFill="background1"/>
            <w:noWrap/>
            <w:vAlign w:val="center"/>
            <w:hideMark/>
          </w:tcPr>
          <w:p w:rsidR="00866909" w:rsidRPr="009B6E68" w:rsidP="00C00973" w14:paraId="459DEA80" w14:textId="77777777">
            <w:pPr>
              <w:ind w:right="121"/>
              <w:jc w:val="both"/>
              <w:rPr>
                <w:rFonts w:ascii="Calibri" w:hAnsi="Calibri" w:cs="Calibri"/>
                <w:color w:val="000000"/>
              </w:rPr>
            </w:pPr>
            <w:r w:rsidRPr="009B6E68">
              <w:rPr>
                <w:rFonts w:ascii="Calibri" w:hAnsi="Calibri" w:cs="Calibri"/>
                <w:color w:val="000000"/>
              </w:rPr>
              <w:t> </w:t>
            </w:r>
          </w:p>
        </w:tc>
        <w:tc>
          <w:tcPr>
            <w:tcW w:w="708" w:type="dxa"/>
            <w:tcBorders>
              <w:top w:val="single" w:sz="4" w:space="0" w:color="auto"/>
              <w:left w:val="nil"/>
              <w:right w:val="nil"/>
            </w:tcBorders>
            <w:shd w:val="clear" w:color="auto" w:fill="FFFFFF" w:themeFill="background1"/>
            <w:noWrap/>
            <w:vAlign w:val="center"/>
            <w:hideMark/>
          </w:tcPr>
          <w:p w:rsidR="00866909" w:rsidRPr="009B6E68" w:rsidP="00C00973" w14:paraId="563A0445" w14:textId="77777777">
            <w:pPr>
              <w:ind w:right="121"/>
              <w:jc w:val="both"/>
              <w:rPr>
                <w:rFonts w:ascii="Calibri" w:hAnsi="Calibri" w:cs="Calibri"/>
                <w:color w:val="000000"/>
              </w:rPr>
            </w:pPr>
            <w:r w:rsidRPr="009B6E68">
              <w:rPr>
                <w:rFonts w:ascii="Calibri" w:hAnsi="Calibri" w:cs="Calibri"/>
                <w:color w:val="000000"/>
              </w:rPr>
              <w:t> </w:t>
            </w:r>
          </w:p>
        </w:tc>
        <w:tc>
          <w:tcPr>
            <w:tcW w:w="954" w:type="dxa"/>
            <w:tcBorders>
              <w:top w:val="single" w:sz="4" w:space="0" w:color="auto"/>
              <w:left w:val="nil"/>
              <w:right w:val="single" w:sz="8" w:space="0" w:color="auto"/>
            </w:tcBorders>
            <w:shd w:val="clear" w:color="auto" w:fill="FFFFFF" w:themeFill="background1"/>
            <w:noWrap/>
            <w:vAlign w:val="center"/>
            <w:hideMark/>
          </w:tcPr>
          <w:p w:rsidR="00866909" w:rsidRPr="009B6E68" w:rsidP="00C00973" w14:paraId="0AC2A7C2" w14:textId="77777777">
            <w:pPr>
              <w:ind w:right="121"/>
              <w:jc w:val="both"/>
              <w:rPr>
                <w:rFonts w:ascii="Calibri" w:hAnsi="Calibri" w:cs="Calibri"/>
                <w:b/>
                <w:bCs/>
                <w:color w:val="000000"/>
              </w:rPr>
            </w:pPr>
            <w:r w:rsidRPr="009B6E68">
              <w:rPr>
                <w:rFonts w:ascii="Calibri" w:hAnsi="Calibri" w:cs="Calibri"/>
                <w:b/>
                <w:bCs/>
                <w:color w:val="000000"/>
              </w:rPr>
              <w:t> </w:t>
            </w:r>
          </w:p>
        </w:tc>
        <w:tc>
          <w:tcPr>
            <w:tcW w:w="1196" w:type="dxa"/>
            <w:tcBorders>
              <w:top w:val="single" w:sz="4" w:space="0" w:color="auto"/>
              <w:left w:val="single" w:sz="8" w:space="0" w:color="auto"/>
              <w:bottom w:val="single" w:sz="8" w:space="0" w:color="auto"/>
              <w:right w:val="nil"/>
            </w:tcBorders>
            <w:shd w:val="clear" w:color="auto" w:fill="FFFFFF" w:themeFill="background1"/>
            <w:noWrap/>
            <w:vAlign w:val="center"/>
            <w:hideMark/>
          </w:tcPr>
          <w:p w:rsidR="00866909" w:rsidRPr="009B6E68" w:rsidP="00916CAD" w14:paraId="68AA6509" w14:textId="77777777">
            <w:pPr>
              <w:ind w:right="121"/>
              <w:jc w:val="right"/>
              <w:rPr>
                <w:rFonts w:ascii="Calibri" w:hAnsi="Calibri" w:cs="Calibri"/>
                <w:b/>
                <w:bCs/>
                <w:color w:val="000000"/>
              </w:rPr>
            </w:pPr>
            <w:r w:rsidRPr="009B6E68">
              <w:rPr>
                <w:rFonts w:ascii="Calibri" w:hAnsi="Calibri" w:cs="Calibri"/>
                <w:b/>
                <w:bCs/>
                <w:color w:val="000000"/>
              </w:rPr>
              <w:t>4,092</w:t>
            </w:r>
          </w:p>
        </w:tc>
        <w:tc>
          <w:tcPr>
            <w:tcW w:w="1092" w:type="dxa"/>
            <w:tcBorders>
              <w:top w:val="single" w:sz="4" w:space="0" w:color="auto"/>
              <w:left w:val="nil"/>
              <w:bottom w:val="single" w:sz="8" w:space="0" w:color="auto"/>
              <w:right w:val="single" w:sz="8" w:space="0" w:color="auto"/>
            </w:tcBorders>
            <w:shd w:val="clear" w:color="auto" w:fill="FFFFFF" w:themeFill="background1"/>
            <w:noWrap/>
            <w:vAlign w:val="center"/>
            <w:hideMark/>
          </w:tcPr>
          <w:p w:rsidR="00866909" w:rsidRPr="009B6E68" w:rsidP="00916CAD" w14:paraId="6BF306DF" w14:textId="77777777">
            <w:pPr>
              <w:ind w:right="121"/>
              <w:jc w:val="right"/>
              <w:rPr>
                <w:rFonts w:ascii="Calibri" w:hAnsi="Calibri" w:cs="Calibri"/>
                <w:b/>
                <w:bCs/>
                <w:color w:val="000000"/>
              </w:rPr>
            </w:pPr>
            <w:r w:rsidRPr="009B6E68">
              <w:rPr>
                <w:rFonts w:ascii="Calibri" w:hAnsi="Calibri" w:cs="Calibri"/>
                <w:b/>
                <w:bCs/>
                <w:color w:val="000000"/>
              </w:rPr>
              <w:t>3,900</w:t>
            </w:r>
          </w:p>
        </w:tc>
        <w:tc>
          <w:tcPr>
            <w:tcW w:w="1170" w:type="dxa"/>
            <w:tcBorders>
              <w:top w:val="nil"/>
              <w:left w:val="nil"/>
              <w:bottom w:val="single" w:sz="8" w:space="0" w:color="auto"/>
              <w:right w:val="single" w:sz="8" w:space="0" w:color="auto"/>
            </w:tcBorders>
            <w:shd w:val="clear" w:color="auto" w:fill="FFFFFF" w:themeFill="background1"/>
            <w:noWrap/>
            <w:vAlign w:val="center"/>
            <w:hideMark/>
          </w:tcPr>
          <w:p w:rsidR="00866909" w:rsidRPr="009B6E68" w:rsidP="00916CAD" w14:paraId="655B9BD6" w14:textId="41FA645A">
            <w:pPr>
              <w:ind w:right="36"/>
              <w:jc w:val="right"/>
              <w:rPr>
                <w:rFonts w:ascii="Calibri" w:hAnsi="Calibri" w:cs="Calibri"/>
                <w:b/>
                <w:bCs/>
                <w:color w:val="000000"/>
              </w:rPr>
            </w:pPr>
            <w:r w:rsidRPr="23FB9889">
              <w:rPr>
                <w:rFonts w:ascii="Calibri" w:hAnsi="Calibri" w:cs="Calibri"/>
                <w:b/>
                <w:bCs/>
                <w:color w:val="000000" w:themeColor="text1"/>
              </w:rPr>
              <w:t>7,</w:t>
            </w:r>
            <w:r w:rsidRPr="23FB9889" w:rsidR="5A50281B">
              <w:rPr>
                <w:rFonts w:ascii="Calibri" w:hAnsi="Calibri" w:cs="Calibri"/>
                <w:b/>
                <w:bCs/>
                <w:color w:val="000000" w:themeColor="text1"/>
              </w:rPr>
              <w:t>9</w:t>
            </w:r>
            <w:r w:rsidRPr="23FB9889">
              <w:rPr>
                <w:rFonts w:ascii="Calibri" w:hAnsi="Calibri" w:cs="Calibri"/>
                <w:b/>
                <w:bCs/>
                <w:color w:val="000000" w:themeColor="text1"/>
              </w:rPr>
              <w:t>92</w:t>
            </w:r>
          </w:p>
        </w:tc>
      </w:tr>
    </w:tbl>
    <w:p w:rsidR="00866909" w:rsidRPr="00634C05" w:rsidP="00C00973" w14:paraId="018CADFA" w14:textId="77777777">
      <w:pPr>
        <w:jc w:val="both"/>
        <w:rPr>
          <w:sz w:val="24"/>
          <w:szCs w:val="24"/>
        </w:rPr>
      </w:pPr>
    </w:p>
    <w:p w:rsidR="00866909" w:rsidRPr="00634C05" w:rsidP="00C00973" w14:paraId="0CFAFC8E" w14:textId="31E3F609">
      <w:pPr>
        <w:jc w:val="both"/>
        <w:rPr>
          <w:b/>
          <w:sz w:val="24"/>
          <w:szCs w:val="24"/>
        </w:rPr>
      </w:pPr>
      <w:r w:rsidRPr="00634C05">
        <w:rPr>
          <w:b/>
          <w:sz w:val="24"/>
          <w:szCs w:val="24"/>
        </w:rPr>
        <w:t>Grant Management</w:t>
      </w:r>
    </w:p>
    <w:p w:rsidR="00634C05" w:rsidRPr="00634C05" w:rsidP="00C00973" w14:paraId="1162740A" w14:textId="5CA3BECC">
      <w:pPr>
        <w:jc w:val="both"/>
        <w:rPr>
          <w:b/>
          <w:sz w:val="24"/>
          <w:szCs w:val="24"/>
        </w:rPr>
      </w:pPr>
    </w:p>
    <w:p w:rsidR="00634C05" w:rsidRPr="00634C05" w:rsidP="00C00973" w14:paraId="10DB7C71" w14:textId="3F5478C3">
      <w:pPr>
        <w:ind w:firstLine="360"/>
        <w:jc w:val="both"/>
        <w:rPr>
          <w:bCs/>
          <w:sz w:val="24"/>
          <w:szCs w:val="24"/>
        </w:rPr>
      </w:pPr>
      <w:r w:rsidRPr="00634C05">
        <w:rPr>
          <w:bCs/>
          <w:sz w:val="24"/>
          <w:szCs w:val="24"/>
        </w:rPr>
        <w:t xml:space="preserve">FTA requires </w:t>
      </w:r>
      <w:r>
        <w:rPr>
          <w:bCs/>
          <w:sz w:val="24"/>
          <w:szCs w:val="24"/>
        </w:rPr>
        <w:t xml:space="preserve">SSOA grant recipients to submit reports to its </w:t>
      </w:r>
      <w:r w:rsidRPr="00F1233D">
        <w:rPr>
          <w:sz w:val="25"/>
          <w:szCs w:val="25"/>
        </w:rPr>
        <w:t xml:space="preserve">electronic grant making and management system </w:t>
      </w:r>
      <w:r>
        <w:rPr>
          <w:sz w:val="25"/>
          <w:szCs w:val="25"/>
        </w:rPr>
        <w:t>(TrAMS), including the Federal Financial Report and the Milestone Progress Report.</w:t>
      </w:r>
    </w:p>
    <w:p w:rsidR="00634C05" w:rsidRPr="00634C05" w:rsidP="00C00973" w14:paraId="2FD21D32" w14:textId="77777777">
      <w:pPr>
        <w:jc w:val="both"/>
        <w:rPr>
          <w:b/>
          <w:sz w:val="24"/>
          <w:szCs w:val="24"/>
        </w:rPr>
      </w:pPr>
    </w:p>
    <w:tbl>
      <w:tblPr>
        <w:tblW w:w="8270" w:type="dxa"/>
        <w:tblBorders>
          <w:top w:val="single" w:sz="8" w:space="0" w:color="auto"/>
          <w:left w:val="single" w:sz="8" w:space="0" w:color="auto"/>
          <w:bottom w:val="single" w:sz="8" w:space="0" w:color="auto"/>
          <w:right w:val="single" w:sz="8" w:space="0" w:color="auto"/>
        </w:tblBorders>
        <w:tblLook w:val="04A0"/>
      </w:tblPr>
      <w:tblGrid>
        <w:gridCol w:w="7190"/>
        <w:gridCol w:w="1080"/>
      </w:tblGrid>
      <w:tr w14:paraId="5230B5FC" w14:textId="77777777" w:rsidTr="002D7A3D">
        <w:tblPrEx>
          <w:tblW w:w="8270" w:type="dxa"/>
          <w:tblBorders>
            <w:top w:val="single" w:sz="8" w:space="0" w:color="auto"/>
            <w:left w:val="single" w:sz="8" w:space="0" w:color="auto"/>
            <w:bottom w:val="single" w:sz="8" w:space="0" w:color="auto"/>
            <w:right w:val="single" w:sz="8" w:space="0" w:color="auto"/>
          </w:tblBorders>
          <w:tblLook w:val="04A0"/>
        </w:tblPrEx>
        <w:trPr>
          <w:trHeight w:val="50"/>
        </w:trPr>
        <w:tc>
          <w:tcPr>
            <w:tcW w:w="7190" w:type="dxa"/>
            <w:shd w:val="clear" w:color="000000" w:fill="FFFFFF"/>
            <w:noWrap/>
            <w:vAlign w:val="center"/>
            <w:hideMark/>
          </w:tcPr>
          <w:p w:rsidR="004B55AF" w:rsidRPr="002D7A3D" w:rsidP="002D7A3D" w14:paraId="13B797ED" w14:textId="3D6D7F20">
            <w:pPr>
              <w:rPr>
                <w:rFonts w:ascii="Calibri" w:hAnsi="Calibri" w:cs="Calibri"/>
                <w:color w:val="000000"/>
              </w:rPr>
            </w:pPr>
            <w:r w:rsidRPr="002D7A3D">
              <w:rPr>
                <w:rFonts w:ascii="Calibri" w:hAnsi="Calibri" w:cs="Calibri"/>
                <w:color w:val="000000"/>
              </w:rPr>
              <w:t>Estimated Total Hours for SSO Program Grant Management</w:t>
            </w:r>
            <w:r w:rsidRPr="002D7A3D" w:rsidR="00F467E7">
              <w:rPr>
                <w:rFonts w:ascii="Calibri" w:hAnsi="Calibri" w:cs="Calibri"/>
                <w:color w:val="000000"/>
              </w:rPr>
              <w:t xml:space="preserve"> in TrAMS</w:t>
            </w:r>
          </w:p>
        </w:tc>
        <w:tc>
          <w:tcPr>
            <w:tcW w:w="1080" w:type="dxa"/>
            <w:shd w:val="clear" w:color="000000" w:fill="FFFFFF"/>
            <w:noWrap/>
            <w:vAlign w:val="center"/>
            <w:hideMark/>
          </w:tcPr>
          <w:p w:rsidR="004B55AF" w:rsidRPr="002D7A3D" w:rsidP="002D7A3D" w14:paraId="054C10E4" w14:textId="050ED334">
            <w:pPr>
              <w:jc w:val="center"/>
              <w:rPr>
                <w:rFonts w:ascii="Calibri" w:hAnsi="Calibri" w:cs="Calibri"/>
                <w:b/>
                <w:color w:val="000000"/>
              </w:rPr>
            </w:pPr>
            <w:r w:rsidRPr="002D7A3D">
              <w:rPr>
                <w:rFonts w:ascii="Calibri" w:hAnsi="Calibri" w:cs="Calibri"/>
                <w:b/>
                <w:color w:val="000000"/>
              </w:rPr>
              <w:t>3,</w:t>
            </w:r>
            <w:r w:rsidRPr="002D7A3D" w:rsidR="002D7A3D">
              <w:rPr>
                <w:rFonts w:ascii="Calibri" w:hAnsi="Calibri" w:cs="Calibri"/>
                <w:b/>
                <w:color w:val="000000"/>
              </w:rPr>
              <w:t>1</w:t>
            </w:r>
            <w:r w:rsidRPr="002D7A3D">
              <w:rPr>
                <w:rFonts w:ascii="Calibri" w:hAnsi="Calibri" w:cs="Calibri"/>
                <w:b/>
                <w:color w:val="000000"/>
              </w:rPr>
              <w:t>00</w:t>
            </w:r>
          </w:p>
        </w:tc>
      </w:tr>
    </w:tbl>
    <w:p w:rsidR="004B55AF" w:rsidRPr="00634C05" w:rsidP="00C00973" w14:paraId="31C25AC1" w14:textId="77777777">
      <w:pPr>
        <w:jc w:val="both"/>
        <w:rPr>
          <w:sz w:val="24"/>
          <w:szCs w:val="24"/>
        </w:rPr>
      </w:pPr>
    </w:p>
    <w:p w:rsidR="00866909" w:rsidRPr="00634C05" w:rsidP="00C00973" w14:paraId="082063F3" w14:textId="5BDB00BB">
      <w:pPr>
        <w:jc w:val="both"/>
        <w:rPr>
          <w:b/>
          <w:sz w:val="24"/>
          <w:szCs w:val="24"/>
        </w:rPr>
      </w:pPr>
      <w:r w:rsidRPr="00634C05">
        <w:rPr>
          <w:b/>
          <w:sz w:val="24"/>
          <w:szCs w:val="24"/>
        </w:rPr>
        <w:t>Event Notification</w:t>
      </w:r>
    </w:p>
    <w:p w:rsidR="00634C05" w:rsidRPr="00634C05" w:rsidP="00C00973" w14:paraId="7BB7E5B0" w14:textId="36B4967E">
      <w:pPr>
        <w:jc w:val="both"/>
        <w:rPr>
          <w:bCs/>
          <w:sz w:val="24"/>
          <w:szCs w:val="24"/>
        </w:rPr>
      </w:pPr>
    </w:p>
    <w:p w:rsidR="00634C05" w:rsidRPr="00634C05" w:rsidP="00C00973" w14:paraId="48FE332B" w14:textId="1231BB5A">
      <w:pPr>
        <w:ind w:firstLine="360"/>
        <w:jc w:val="both"/>
        <w:rPr>
          <w:bCs/>
          <w:sz w:val="24"/>
          <w:szCs w:val="24"/>
        </w:rPr>
      </w:pPr>
      <w:r w:rsidRPr="00634C05">
        <w:rPr>
          <w:bCs/>
          <w:sz w:val="24"/>
          <w:szCs w:val="24"/>
        </w:rPr>
        <w:t xml:space="preserve">FTA requires </w:t>
      </w:r>
      <w:r>
        <w:rPr>
          <w:bCs/>
          <w:sz w:val="24"/>
          <w:szCs w:val="24"/>
        </w:rPr>
        <w:t xml:space="preserve">RTAs to notify FTA within two hours of any event meeting the </w:t>
      </w:r>
      <w:r w:rsidR="00CA311C">
        <w:rPr>
          <w:bCs/>
          <w:sz w:val="24"/>
          <w:szCs w:val="24"/>
        </w:rPr>
        <w:t>proposed notification criteria</w:t>
      </w:r>
      <w:r>
        <w:rPr>
          <w:bCs/>
          <w:sz w:val="24"/>
          <w:szCs w:val="24"/>
        </w:rPr>
        <w:t>. RTAs submit a brief report to FTA via email.</w:t>
      </w:r>
    </w:p>
    <w:p w:rsidR="00634C05" w:rsidRPr="00634C05" w:rsidP="00C00973" w14:paraId="51DD285E" w14:textId="77777777">
      <w:pPr>
        <w:jc w:val="both"/>
        <w:rPr>
          <w:bCs/>
          <w:sz w:val="24"/>
          <w:szCs w:val="24"/>
        </w:rPr>
      </w:pPr>
    </w:p>
    <w:tbl>
      <w:tblPr>
        <w:tblW w:w="7010" w:type="dxa"/>
        <w:tblLayout w:type="fixed"/>
        <w:tblLook w:val="04A0"/>
      </w:tblPr>
      <w:tblGrid>
        <w:gridCol w:w="6110"/>
        <w:gridCol w:w="900"/>
      </w:tblGrid>
      <w:tr w14:paraId="41D5C6CA" w14:textId="77777777" w:rsidTr="002D7A3D">
        <w:tblPrEx>
          <w:tblW w:w="7010" w:type="dxa"/>
          <w:tblLayout w:type="fixed"/>
          <w:tblLook w:val="04A0"/>
        </w:tblPrEx>
        <w:trPr>
          <w:trHeight w:val="50"/>
        </w:trPr>
        <w:tc>
          <w:tcPr>
            <w:tcW w:w="6110" w:type="dxa"/>
            <w:tcBorders>
              <w:top w:val="single" w:sz="8" w:space="0" w:color="auto"/>
              <w:left w:val="single" w:sz="8" w:space="0" w:color="auto"/>
              <w:bottom w:val="single" w:sz="8" w:space="0" w:color="auto"/>
              <w:right w:val="nil"/>
            </w:tcBorders>
            <w:shd w:val="clear" w:color="000000" w:fill="FFFFFF"/>
            <w:noWrap/>
            <w:vAlign w:val="center"/>
            <w:hideMark/>
          </w:tcPr>
          <w:p w:rsidR="004B55AF" w:rsidRPr="002D7A3D" w:rsidP="00CA311C" w14:paraId="51914628" w14:textId="6753EECC">
            <w:pPr>
              <w:rPr>
                <w:rFonts w:ascii="Calibri" w:hAnsi="Calibri" w:cs="Calibri"/>
                <w:color w:val="000000"/>
              </w:rPr>
            </w:pPr>
            <w:r w:rsidRPr="002D7A3D">
              <w:rPr>
                <w:rFonts w:ascii="Calibri" w:hAnsi="Calibri" w:cs="Calibri"/>
                <w:color w:val="000000"/>
              </w:rPr>
              <w:t>Average 674-Reportable Events</w:t>
            </w:r>
            <w:r w:rsidRPr="002D7A3D" w:rsidR="00CA311C">
              <w:rPr>
                <w:rFonts w:ascii="Calibri" w:hAnsi="Calibri" w:cs="Calibri"/>
                <w:color w:val="000000"/>
              </w:rPr>
              <w:t xml:space="preserve"> based on proposed criteria</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rsidR="004B55AF" w:rsidRPr="002D7A3D" w:rsidP="00CA311C" w14:paraId="4D3D403A" w14:textId="3FB00124">
            <w:pPr>
              <w:jc w:val="right"/>
              <w:rPr>
                <w:rFonts w:ascii="Calibri" w:hAnsi="Calibri" w:cs="Calibri"/>
                <w:color w:val="000000"/>
              </w:rPr>
            </w:pPr>
            <w:r w:rsidRPr="002D7A3D">
              <w:rPr>
                <w:rFonts w:ascii="Calibri" w:hAnsi="Calibri" w:cs="Calibri"/>
                <w:color w:val="000000"/>
              </w:rPr>
              <w:t>811</w:t>
            </w:r>
          </w:p>
        </w:tc>
      </w:tr>
      <w:tr w14:paraId="1A85FF00" w14:textId="77777777" w:rsidTr="002D7A3D">
        <w:tblPrEx>
          <w:tblW w:w="7010" w:type="dxa"/>
          <w:tblLayout w:type="fixed"/>
          <w:tblLook w:val="04A0"/>
        </w:tblPrEx>
        <w:trPr>
          <w:trHeight w:val="50"/>
        </w:trPr>
        <w:tc>
          <w:tcPr>
            <w:tcW w:w="6110" w:type="dxa"/>
            <w:tcBorders>
              <w:top w:val="single" w:sz="8" w:space="0" w:color="auto"/>
              <w:left w:val="single" w:sz="8" w:space="0" w:color="auto"/>
              <w:bottom w:val="nil"/>
              <w:right w:val="nil"/>
            </w:tcBorders>
            <w:shd w:val="clear" w:color="000000" w:fill="FFFFFF"/>
            <w:noWrap/>
            <w:vAlign w:val="center"/>
            <w:hideMark/>
          </w:tcPr>
          <w:p w:rsidR="004B55AF" w:rsidRPr="002D7A3D" w:rsidP="00CA311C" w14:paraId="4138056E" w14:textId="77777777">
            <w:pPr>
              <w:rPr>
                <w:rFonts w:ascii="Calibri" w:hAnsi="Calibri" w:cs="Calibri"/>
                <w:color w:val="000000"/>
              </w:rPr>
            </w:pPr>
            <w:r w:rsidRPr="002D7A3D">
              <w:rPr>
                <w:rFonts w:ascii="Calibri" w:hAnsi="Calibri" w:cs="Calibri"/>
                <w:color w:val="000000"/>
              </w:rPr>
              <w:t xml:space="preserve">Estimated Hours to </w:t>
            </w:r>
            <w:r w:rsidRPr="002D7A3D">
              <w:rPr>
                <w:rFonts w:ascii="Calibri" w:hAnsi="Calibri" w:cs="Calibri"/>
                <w:color w:val="000000"/>
              </w:rPr>
              <w:t>Report an Event</w:t>
            </w:r>
          </w:p>
        </w:tc>
        <w:tc>
          <w:tcPr>
            <w:tcW w:w="900" w:type="dxa"/>
            <w:tcBorders>
              <w:top w:val="single" w:sz="8" w:space="0" w:color="auto"/>
              <w:left w:val="nil"/>
              <w:bottom w:val="nil"/>
              <w:right w:val="single" w:sz="8" w:space="0" w:color="auto"/>
            </w:tcBorders>
            <w:shd w:val="clear" w:color="000000" w:fill="FFFFFF"/>
            <w:noWrap/>
            <w:vAlign w:val="center"/>
            <w:hideMark/>
          </w:tcPr>
          <w:p w:rsidR="004B55AF" w:rsidRPr="002D7A3D" w:rsidP="00CA311C" w14:paraId="1D3522D5" w14:textId="77777777">
            <w:pPr>
              <w:jc w:val="right"/>
              <w:rPr>
                <w:rFonts w:ascii="Calibri" w:hAnsi="Calibri" w:cs="Calibri"/>
                <w:color w:val="000000"/>
              </w:rPr>
            </w:pPr>
            <w:r w:rsidRPr="002D7A3D">
              <w:rPr>
                <w:rFonts w:ascii="Calibri" w:hAnsi="Calibri" w:cs="Calibri"/>
                <w:color w:val="000000"/>
              </w:rPr>
              <w:t>1</w:t>
            </w:r>
          </w:p>
        </w:tc>
      </w:tr>
      <w:tr w14:paraId="7428E080" w14:textId="77777777" w:rsidTr="002D7A3D">
        <w:tblPrEx>
          <w:tblW w:w="7010" w:type="dxa"/>
          <w:tblLayout w:type="fixed"/>
          <w:tblLook w:val="04A0"/>
        </w:tblPrEx>
        <w:trPr>
          <w:trHeight w:val="60"/>
        </w:trPr>
        <w:tc>
          <w:tcPr>
            <w:tcW w:w="6110" w:type="dxa"/>
            <w:tcBorders>
              <w:top w:val="single" w:sz="4" w:space="0" w:color="auto"/>
              <w:left w:val="single" w:sz="8" w:space="0" w:color="auto"/>
              <w:bottom w:val="single" w:sz="8" w:space="0" w:color="auto"/>
              <w:right w:val="nil"/>
            </w:tcBorders>
            <w:shd w:val="clear" w:color="000000" w:fill="FFFFFF"/>
            <w:noWrap/>
            <w:vAlign w:val="center"/>
            <w:hideMark/>
          </w:tcPr>
          <w:p w:rsidR="004B55AF" w:rsidRPr="002D7A3D" w:rsidP="00CA311C" w14:paraId="219470A1" w14:textId="6B5F0043">
            <w:pPr>
              <w:rPr>
                <w:rFonts w:ascii="Calibri" w:hAnsi="Calibri" w:cs="Calibri"/>
                <w:b/>
                <w:bCs/>
                <w:color w:val="000000"/>
              </w:rPr>
            </w:pPr>
            <w:r w:rsidRPr="002D7A3D">
              <w:rPr>
                <w:rFonts w:ascii="Calibri" w:hAnsi="Calibri" w:cs="Calibri"/>
                <w:b/>
                <w:bCs/>
                <w:color w:val="000000"/>
              </w:rPr>
              <w:t xml:space="preserve">Total Estimated RTA </w:t>
            </w:r>
            <w:r w:rsidRPr="002D7A3D" w:rsidR="00600C8F">
              <w:rPr>
                <w:rFonts w:ascii="Calibri" w:hAnsi="Calibri" w:cs="Calibri"/>
                <w:b/>
                <w:bCs/>
                <w:color w:val="000000"/>
              </w:rPr>
              <w:t xml:space="preserve">Hours </w:t>
            </w:r>
            <w:r w:rsidRPr="002D7A3D">
              <w:rPr>
                <w:rFonts w:ascii="Calibri" w:hAnsi="Calibri" w:cs="Calibri"/>
                <w:b/>
                <w:bCs/>
                <w:color w:val="000000"/>
              </w:rPr>
              <w:t>Burden</w:t>
            </w:r>
          </w:p>
        </w:tc>
        <w:tc>
          <w:tcPr>
            <w:tcW w:w="900" w:type="dxa"/>
            <w:tcBorders>
              <w:top w:val="single" w:sz="4" w:space="0" w:color="auto"/>
              <w:left w:val="nil"/>
              <w:bottom w:val="single" w:sz="8" w:space="0" w:color="auto"/>
              <w:right w:val="single" w:sz="8" w:space="0" w:color="auto"/>
            </w:tcBorders>
            <w:shd w:val="clear" w:color="000000" w:fill="FFFFFF"/>
            <w:noWrap/>
            <w:vAlign w:val="center"/>
            <w:hideMark/>
          </w:tcPr>
          <w:p w:rsidR="004B55AF" w:rsidRPr="002D7A3D" w:rsidP="00CA311C" w14:paraId="56B18ADB" w14:textId="2CFDCA27">
            <w:pPr>
              <w:jc w:val="right"/>
              <w:rPr>
                <w:rFonts w:ascii="Calibri" w:hAnsi="Calibri" w:cs="Calibri"/>
                <w:b/>
                <w:bCs/>
                <w:color w:val="000000"/>
              </w:rPr>
            </w:pPr>
            <w:r w:rsidRPr="002D7A3D">
              <w:rPr>
                <w:rFonts w:ascii="Calibri" w:hAnsi="Calibri" w:cs="Calibri"/>
                <w:b/>
                <w:bCs/>
                <w:color w:val="000000"/>
              </w:rPr>
              <w:t>811</w:t>
            </w:r>
          </w:p>
        </w:tc>
      </w:tr>
    </w:tbl>
    <w:p w:rsidR="0040019A" w:rsidRPr="00634C05" w:rsidP="00C00973" w14:paraId="3EBF9A27" w14:textId="77777777">
      <w:pPr>
        <w:jc w:val="both"/>
        <w:rPr>
          <w:b/>
          <w:sz w:val="24"/>
          <w:szCs w:val="24"/>
        </w:rPr>
      </w:pPr>
    </w:p>
    <w:p w:rsidR="00E75ACE" w:rsidRPr="00634C05" w:rsidP="00C00973" w14:paraId="5789B22B" w14:textId="77777777">
      <w:pPr>
        <w:numPr>
          <w:ilvl w:val="0"/>
          <w:numId w:val="3"/>
        </w:numPr>
        <w:jc w:val="both"/>
        <w:rPr>
          <w:b/>
          <w:sz w:val="24"/>
          <w:szCs w:val="24"/>
        </w:rPr>
      </w:pPr>
      <w:r w:rsidRPr="00634C05">
        <w:rPr>
          <w:b/>
          <w:sz w:val="24"/>
          <w:szCs w:val="24"/>
        </w:rPr>
        <w:t>Estimate of the total cost burden to respondents or record keepers resulting from the collection of information (not including the cost of any hour burden shown in items 12</w:t>
      </w:r>
      <w:r w:rsidRPr="00634C05" w:rsidR="00D6595D">
        <w:rPr>
          <w:b/>
          <w:sz w:val="24"/>
          <w:szCs w:val="24"/>
        </w:rPr>
        <w:t xml:space="preserve"> </w:t>
      </w:r>
      <w:r w:rsidRPr="00634C05">
        <w:rPr>
          <w:b/>
          <w:sz w:val="24"/>
          <w:szCs w:val="24"/>
        </w:rPr>
        <w:t>and 14).</w:t>
      </w:r>
    </w:p>
    <w:p w:rsidR="00E75ACE" w:rsidRPr="00634C05" w:rsidP="00C00973" w14:paraId="5884F9F4" w14:textId="77777777">
      <w:pPr>
        <w:jc w:val="both"/>
        <w:rPr>
          <w:b/>
          <w:sz w:val="24"/>
          <w:szCs w:val="24"/>
        </w:rPr>
      </w:pPr>
    </w:p>
    <w:p w:rsidR="00E75ACE" w:rsidRPr="00634C05" w:rsidP="00C00973" w14:paraId="0075F9C9" w14:textId="77777777">
      <w:pPr>
        <w:ind w:firstLine="420"/>
        <w:jc w:val="both"/>
        <w:rPr>
          <w:b/>
          <w:sz w:val="24"/>
          <w:szCs w:val="24"/>
        </w:rPr>
      </w:pPr>
      <w:r w:rsidRPr="00634C05">
        <w:rPr>
          <w:sz w:val="24"/>
          <w:szCs w:val="24"/>
        </w:rPr>
        <w:t xml:space="preserve">There is no </w:t>
      </w:r>
      <w:r w:rsidRPr="00634C05">
        <w:rPr>
          <w:sz w:val="24"/>
          <w:szCs w:val="24"/>
        </w:rPr>
        <w:t>additional cost beyond that shown in items 12 and 14.</w:t>
      </w:r>
    </w:p>
    <w:p w:rsidR="00E75ACE" w:rsidRPr="00634C05" w:rsidP="00C00973" w14:paraId="48FC35F6" w14:textId="77777777">
      <w:pPr>
        <w:jc w:val="both"/>
        <w:rPr>
          <w:sz w:val="24"/>
          <w:szCs w:val="24"/>
        </w:rPr>
      </w:pPr>
    </w:p>
    <w:p w:rsidR="00E75ACE" w:rsidRPr="00634C05" w:rsidP="00C00973" w14:paraId="0EAF0313" w14:textId="77777777">
      <w:pPr>
        <w:numPr>
          <w:ilvl w:val="0"/>
          <w:numId w:val="3"/>
        </w:numPr>
        <w:jc w:val="both"/>
        <w:rPr>
          <w:b/>
          <w:sz w:val="24"/>
          <w:szCs w:val="24"/>
        </w:rPr>
      </w:pPr>
      <w:r w:rsidRPr="00634C05">
        <w:rPr>
          <w:b/>
          <w:sz w:val="24"/>
          <w:szCs w:val="24"/>
        </w:rPr>
        <w:t xml:space="preserve">Estimate of annualized cost to the </w:t>
      </w:r>
      <w:r w:rsidRPr="00634C05" w:rsidR="00F32E11">
        <w:rPr>
          <w:b/>
          <w:sz w:val="24"/>
          <w:szCs w:val="24"/>
        </w:rPr>
        <w:t>F</w:t>
      </w:r>
      <w:r w:rsidRPr="00634C05">
        <w:rPr>
          <w:b/>
          <w:sz w:val="24"/>
          <w:szCs w:val="24"/>
        </w:rPr>
        <w:t>ederal government.</w:t>
      </w:r>
    </w:p>
    <w:p w:rsidR="00E75ACE" w:rsidRPr="00634C05" w:rsidP="00C00973" w14:paraId="6B15B3A3" w14:textId="77777777">
      <w:pPr>
        <w:jc w:val="both"/>
        <w:rPr>
          <w:sz w:val="24"/>
          <w:szCs w:val="24"/>
        </w:rPr>
      </w:pPr>
    </w:p>
    <w:p w:rsidR="00E75ACE" w:rsidRPr="00634C05" w:rsidP="00C00973" w14:paraId="3A9955D9" w14:textId="74AA496C">
      <w:pPr>
        <w:ind w:firstLine="420"/>
        <w:jc w:val="both"/>
        <w:rPr>
          <w:sz w:val="24"/>
          <w:szCs w:val="24"/>
        </w:rPr>
      </w:pPr>
      <w:r w:rsidRPr="00634C05">
        <w:rPr>
          <w:sz w:val="24"/>
          <w:szCs w:val="24"/>
        </w:rPr>
        <w:t>To comply with Section 53</w:t>
      </w:r>
      <w:r w:rsidRPr="00634C05" w:rsidR="008356BD">
        <w:rPr>
          <w:sz w:val="24"/>
          <w:szCs w:val="24"/>
        </w:rPr>
        <w:t>29</w:t>
      </w:r>
      <w:r w:rsidRPr="00634C05">
        <w:rPr>
          <w:sz w:val="24"/>
          <w:szCs w:val="24"/>
        </w:rPr>
        <w:t xml:space="preserve">, FTA must make an initial review of each </w:t>
      </w:r>
      <w:r w:rsidRPr="00634C05" w:rsidR="00110835">
        <w:rPr>
          <w:sz w:val="24"/>
          <w:szCs w:val="24"/>
        </w:rPr>
        <w:t>S</w:t>
      </w:r>
      <w:r w:rsidRPr="00634C05" w:rsidR="00DD5D3B">
        <w:rPr>
          <w:sz w:val="24"/>
          <w:szCs w:val="24"/>
        </w:rPr>
        <w:t>SOA’s</w:t>
      </w:r>
      <w:r w:rsidRPr="00634C05">
        <w:rPr>
          <w:sz w:val="24"/>
          <w:szCs w:val="24"/>
        </w:rPr>
        <w:t xml:space="preserve"> </w:t>
      </w:r>
      <w:r w:rsidR="006A6BDA">
        <w:rPr>
          <w:sz w:val="24"/>
          <w:szCs w:val="24"/>
        </w:rPr>
        <w:t xml:space="preserve">oversight </w:t>
      </w:r>
      <w:r w:rsidRPr="00634C05" w:rsidR="006A6BDA">
        <w:rPr>
          <w:sz w:val="24"/>
          <w:szCs w:val="24"/>
        </w:rPr>
        <w:t>program</w:t>
      </w:r>
      <w:r w:rsidRPr="00634C05">
        <w:rPr>
          <w:sz w:val="24"/>
          <w:szCs w:val="24"/>
        </w:rPr>
        <w:t xml:space="preserve"> standard and procedures to determine compliance. Each year thereafter, FTA must continue to monitor compliance. In addition, FTA must provide technical assistance and general monitoring services to manage the </w:t>
      </w:r>
      <w:r w:rsidRPr="00634C05" w:rsidR="00DD5D3B">
        <w:rPr>
          <w:sz w:val="24"/>
          <w:szCs w:val="24"/>
        </w:rPr>
        <w:t xml:space="preserve">SSO </w:t>
      </w:r>
      <w:r w:rsidRPr="00634C05">
        <w:rPr>
          <w:sz w:val="24"/>
          <w:szCs w:val="24"/>
        </w:rPr>
        <w:t>program. The table below provides estimate</w:t>
      </w:r>
      <w:r w:rsidRPr="00634C05">
        <w:rPr>
          <w:sz w:val="24"/>
          <w:szCs w:val="24"/>
        </w:rPr>
        <w:t>s of the labor costs to FTA for compliance wit</w:t>
      </w:r>
      <w:r w:rsidRPr="00634C05" w:rsidR="00F32E11">
        <w:rPr>
          <w:sz w:val="24"/>
          <w:szCs w:val="24"/>
        </w:rPr>
        <w:t xml:space="preserve">h </w:t>
      </w:r>
      <w:r w:rsidRPr="00634C05">
        <w:rPr>
          <w:sz w:val="24"/>
          <w:szCs w:val="24"/>
        </w:rPr>
        <w:t>Section 53</w:t>
      </w:r>
      <w:r w:rsidRPr="00634C05" w:rsidR="008356BD">
        <w:rPr>
          <w:sz w:val="24"/>
          <w:szCs w:val="24"/>
        </w:rPr>
        <w:t>29</w:t>
      </w:r>
      <w:r w:rsidRPr="00634C05" w:rsidR="00D6595D">
        <w:rPr>
          <w:sz w:val="24"/>
          <w:szCs w:val="24"/>
        </w:rPr>
        <w:t>.</w:t>
      </w:r>
    </w:p>
    <w:p w:rsidR="00E75ACE" w:rsidRPr="00634C05" w:rsidP="00C00973" w14:paraId="277F3362" w14:textId="77777777">
      <w:pPr>
        <w:jc w:val="both"/>
        <w:rPr>
          <w:sz w:val="24"/>
          <w:szCs w:val="24"/>
        </w:rPr>
      </w:pPr>
    </w:p>
    <w:p w:rsidR="00E75ACE" w:rsidP="00C00973" w14:paraId="55E3105D" w14:textId="41AB1386">
      <w:pPr>
        <w:pStyle w:val="BodyText"/>
        <w:ind w:firstLine="420"/>
        <w:jc w:val="both"/>
      </w:pPr>
      <w:r>
        <w:t>Compliance monitoring audits have demonstrated their effectiveness to improve the state oversight for accident/hazardous condition investigations, accident reporting, and implementing correctiv</w:t>
      </w:r>
      <w:r>
        <w:t>e actions for causes of accidents. It is necessary to provide technical assistance and training to prevent future accidents with injuries and fatalities.  Costs are based on</w:t>
      </w:r>
      <w:r w:rsidR="000D705E">
        <w:t xml:space="preserve"> GS-12 Step 5</w:t>
      </w:r>
      <w:r>
        <w:t xml:space="preserve"> $</w:t>
      </w:r>
      <w:r w:rsidR="0040466D">
        <w:t>5</w:t>
      </w:r>
      <w:r w:rsidR="006B546C">
        <w:t>4</w:t>
      </w:r>
      <w:r w:rsidR="0040466D">
        <w:t>.</w:t>
      </w:r>
      <w:r w:rsidR="006B546C">
        <w:t>14</w:t>
      </w:r>
      <w:r>
        <w:t xml:space="preserve"> per labor hour</w:t>
      </w:r>
      <w:r w:rsidR="000E156B">
        <w:t xml:space="preserve"> </w:t>
      </w:r>
      <w:hyperlink r:id="rId12" w:history="1">
        <w:r w:rsidRPr="76F83234" w:rsidR="00EC2386">
          <w:rPr>
            <w:rStyle w:val="Hyperlink"/>
          </w:rPr>
          <w:t>General Schedule (opm.gov)</w:t>
        </w:r>
      </w:hyperlink>
      <w:r w:rsidR="00EC2386">
        <w:t xml:space="preserve">. </w:t>
      </w:r>
      <w:r>
        <w:t xml:space="preserve">Using this rate, FTA estimates </w:t>
      </w:r>
      <w:r w:rsidR="008A4301">
        <w:t xml:space="preserve">a total annual cost </w:t>
      </w:r>
      <w:r>
        <w:t xml:space="preserve">to </w:t>
      </w:r>
      <w:r w:rsidR="00FD2631">
        <w:t>Federal Government</w:t>
      </w:r>
      <w:r w:rsidR="008A4301">
        <w:t xml:space="preserve"> of</w:t>
      </w:r>
      <w:r>
        <w:t xml:space="preserve"> </w:t>
      </w:r>
      <w:r w:rsidRPr="76F83234">
        <w:rPr>
          <w:b/>
          <w:bCs/>
        </w:rPr>
        <w:t>$</w:t>
      </w:r>
      <w:r w:rsidRPr="76F83234" w:rsidR="4F59BE00">
        <w:rPr>
          <w:b/>
          <w:bCs/>
        </w:rPr>
        <w:t>718,517</w:t>
      </w:r>
      <w:r w:rsidRPr="76F83234" w:rsidR="00AA63B0">
        <w:rPr>
          <w:b/>
          <w:bCs/>
        </w:rPr>
        <w:t>.</w:t>
      </w:r>
    </w:p>
    <w:p w:rsidR="00AB0E12" w:rsidP="00C00973" w14:paraId="5BC8079D" w14:textId="23D8EDAD">
      <w:pPr>
        <w:pStyle w:val="BodyText"/>
        <w:ind w:firstLine="420"/>
        <w:jc w:val="both"/>
        <w:rPr>
          <w:szCs w:val="24"/>
        </w:rPr>
      </w:pPr>
    </w:p>
    <w:p w:rsidR="00AB0E12" w:rsidP="00C00973" w14:paraId="5422BEF1" w14:textId="7A4831FC">
      <w:pPr>
        <w:pStyle w:val="BodyText"/>
        <w:ind w:firstLine="420"/>
        <w:jc w:val="both"/>
        <w:rPr>
          <w:b/>
          <w:bCs/>
          <w:szCs w:val="24"/>
        </w:rPr>
      </w:pPr>
      <w:r w:rsidRPr="00DE2413">
        <w:rPr>
          <w:szCs w:val="24"/>
        </w:rPr>
        <w:t>Contract and IT support is provided at an annual estimate of</w:t>
      </w:r>
      <w:r>
        <w:rPr>
          <w:szCs w:val="24"/>
        </w:rPr>
        <w:t xml:space="preserve"> </w:t>
      </w:r>
      <w:r w:rsidR="00DE2413">
        <w:rPr>
          <w:szCs w:val="24"/>
        </w:rPr>
        <w:t>$</w:t>
      </w:r>
      <w:r w:rsidRPr="005B3A9D" w:rsidR="00DE2413">
        <w:rPr>
          <w:b/>
          <w:bCs/>
          <w:szCs w:val="24"/>
        </w:rPr>
        <w:t>38,390.</w:t>
      </w:r>
    </w:p>
    <w:p w:rsidR="00B415AA" w:rsidP="00B415AA" w14:paraId="5B399A04" w14:textId="4BD6660B">
      <w:pPr>
        <w:pStyle w:val="BodyText"/>
        <w:jc w:val="both"/>
        <w:rPr>
          <w:b/>
          <w:bCs/>
          <w:szCs w:val="24"/>
        </w:rPr>
      </w:pPr>
    </w:p>
    <w:p w:rsidR="00B415AA" w:rsidRPr="00634C05" w:rsidP="00B415AA" w14:paraId="7B157E9F" w14:textId="6325DC97">
      <w:pPr>
        <w:pStyle w:val="BodyText"/>
        <w:jc w:val="both"/>
      </w:pPr>
      <w:r w:rsidRPr="76F83234">
        <w:rPr>
          <w:b/>
          <w:bCs/>
        </w:rPr>
        <w:t xml:space="preserve">Total </w:t>
      </w:r>
      <w:r w:rsidRPr="76F83234">
        <w:rPr>
          <w:b/>
          <w:bCs/>
        </w:rPr>
        <w:t>annualized cost to the Federal government is $</w:t>
      </w:r>
      <w:r w:rsidRPr="76F83234" w:rsidR="25AA484B">
        <w:rPr>
          <w:b/>
          <w:bCs/>
        </w:rPr>
        <w:t>756,907</w:t>
      </w:r>
      <w:r w:rsidRPr="76F83234" w:rsidR="006B546C">
        <w:rPr>
          <w:b/>
          <w:bCs/>
        </w:rPr>
        <w:t xml:space="preserve"> </w:t>
      </w:r>
      <w:r w:rsidRPr="76F83234">
        <w:rPr>
          <w:b/>
          <w:bCs/>
        </w:rPr>
        <w:t>.</w:t>
      </w:r>
    </w:p>
    <w:p w:rsidR="00F467E7" w:rsidRPr="00634C05" w:rsidP="00C00973" w14:paraId="71A238AB" w14:textId="77777777">
      <w:pPr>
        <w:jc w:val="both"/>
        <w:rPr>
          <w:sz w:val="24"/>
          <w:szCs w:val="24"/>
        </w:rPr>
      </w:pPr>
    </w:p>
    <w:p w:rsidR="003E1DFF" w:rsidP="00C00973" w14:paraId="734878B4" w14:textId="609CE754">
      <w:pPr>
        <w:jc w:val="both"/>
        <w:rPr>
          <w:b/>
          <w:sz w:val="24"/>
          <w:szCs w:val="24"/>
        </w:rPr>
      </w:pPr>
      <w:r w:rsidRPr="00600C8F">
        <w:rPr>
          <w:b/>
          <w:sz w:val="24"/>
          <w:szCs w:val="24"/>
        </w:rPr>
        <w:t>Federal Transit Administration</w:t>
      </w:r>
    </w:p>
    <w:p w:rsidR="003F61E6" w:rsidP="00C00973" w14:paraId="7E637D85" w14:textId="2862B257">
      <w:pPr>
        <w:jc w:val="both"/>
        <w:rPr>
          <w:b/>
          <w:sz w:val="24"/>
          <w:szCs w:val="24"/>
        </w:rPr>
      </w:pPr>
    </w:p>
    <w:tbl>
      <w:tblPr>
        <w:tblW w:w="8720" w:type="dxa"/>
        <w:tblLook w:val="04A0"/>
      </w:tblPr>
      <w:tblGrid>
        <w:gridCol w:w="4480"/>
        <w:gridCol w:w="1880"/>
        <w:gridCol w:w="2360"/>
      </w:tblGrid>
      <w:tr w14:paraId="0E01595F" w14:textId="77777777" w:rsidTr="76F83234">
        <w:tblPrEx>
          <w:tblW w:w="8720" w:type="dxa"/>
          <w:tblLook w:val="04A0"/>
        </w:tblPrEx>
        <w:trPr>
          <w:trHeight w:val="330"/>
        </w:trPr>
        <w:tc>
          <w:tcPr>
            <w:tcW w:w="4480" w:type="dxa"/>
            <w:tcBorders>
              <w:top w:val="single" w:sz="8" w:space="0" w:color="auto"/>
              <w:left w:val="single" w:sz="8" w:space="0" w:color="auto"/>
              <w:bottom w:val="nil"/>
              <w:right w:val="nil"/>
            </w:tcBorders>
            <w:shd w:val="clear" w:color="auto" w:fill="auto"/>
            <w:noWrap/>
            <w:vAlign w:val="bottom"/>
            <w:hideMark/>
          </w:tcPr>
          <w:p w:rsidR="003F61E6" w:rsidRPr="003F61E6" w:rsidP="00C00973" w14:paraId="406D507A" w14:textId="4F2C24BD">
            <w:pPr>
              <w:jc w:val="both"/>
              <w:rPr>
                <w:rFonts w:ascii="Calibri (Body)" w:hAnsi="Calibri (Body)"/>
                <w:b/>
                <w:bCs/>
                <w:color w:val="000000"/>
                <w:sz w:val="24"/>
                <w:szCs w:val="24"/>
              </w:rPr>
            </w:pPr>
            <w:r w:rsidRPr="76F83234">
              <w:rPr>
                <w:rFonts w:ascii="Calibri (Body)" w:hAnsi="Calibri (Body)"/>
                <w:b/>
                <w:bCs/>
                <w:color w:val="000000" w:themeColor="text1"/>
                <w:sz w:val="24"/>
                <w:szCs w:val="24"/>
              </w:rPr>
              <w:t>Annual Activity for PRA Related Activities</w:t>
            </w:r>
          </w:p>
        </w:tc>
        <w:tc>
          <w:tcPr>
            <w:tcW w:w="1880" w:type="dxa"/>
            <w:tcBorders>
              <w:top w:val="single" w:sz="8" w:space="0" w:color="auto"/>
              <w:left w:val="nil"/>
              <w:bottom w:val="nil"/>
              <w:right w:val="nil"/>
            </w:tcBorders>
            <w:shd w:val="clear" w:color="auto" w:fill="auto"/>
            <w:noWrap/>
            <w:vAlign w:val="bottom"/>
            <w:hideMark/>
          </w:tcPr>
          <w:p w:rsidR="003F61E6" w:rsidRPr="003F61E6" w:rsidP="00C00973" w14:paraId="3CB51E14" w14:textId="77777777">
            <w:pPr>
              <w:jc w:val="both"/>
              <w:rPr>
                <w:rFonts w:ascii="Calibri (Body)" w:hAnsi="Calibri (Body)"/>
                <w:b/>
                <w:bCs/>
                <w:color w:val="000000"/>
                <w:sz w:val="24"/>
                <w:szCs w:val="24"/>
              </w:rPr>
            </w:pPr>
            <w:r w:rsidRPr="003F61E6">
              <w:rPr>
                <w:rFonts w:ascii="Calibri (Body)" w:hAnsi="Calibri (Body)"/>
                <w:b/>
                <w:bCs/>
                <w:color w:val="000000"/>
                <w:sz w:val="24"/>
                <w:szCs w:val="24"/>
              </w:rPr>
              <w:t>Labor Hours</w:t>
            </w:r>
          </w:p>
        </w:tc>
        <w:tc>
          <w:tcPr>
            <w:tcW w:w="2360" w:type="dxa"/>
            <w:tcBorders>
              <w:top w:val="single" w:sz="8" w:space="0" w:color="auto"/>
              <w:left w:val="nil"/>
              <w:bottom w:val="nil"/>
              <w:right w:val="single" w:sz="8" w:space="0" w:color="auto"/>
            </w:tcBorders>
            <w:shd w:val="clear" w:color="auto" w:fill="auto"/>
            <w:noWrap/>
            <w:vAlign w:val="bottom"/>
            <w:hideMark/>
          </w:tcPr>
          <w:p w:rsidR="003F61E6" w:rsidRPr="003F61E6" w:rsidP="00C00973" w14:paraId="0B4FC33B" w14:textId="77777777">
            <w:pPr>
              <w:jc w:val="both"/>
              <w:rPr>
                <w:rFonts w:ascii="Calibri (Body)" w:hAnsi="Calibri (Body)"/>
                <w:b/>
                <w:bCs/>
                <w:color w:val="000000"/>
                <w:sz w:val="24"/>
                <w:szCs w:val="24"/>
              </w:rPr>
            </w:pPr>
            <w:r w:rsidRPr="003F61E6">
              <w:rPr>
                <w:rFonts w:ascii="Calibri (Body)" w:hAnsi="Calibri (Body)"/>
                <w:b/>
                <w:bCs/>
                <w:color w:val="000000"/>
                <w:sz w:val="24"/>
                <w:szCs w:val="24"/>
              </w:rPr>
              <w:t>Total Cost</w:t>
            </w:r>
          </w:p>
        </w:tc>
      </w:tr>
      <w:tr w14:paraId="33DA14DB" w14:textId="77777777" w:rsidTr="76F83234">
        <w:tblPrEx>
          <w:tblW w:w="8720" w:type="dxa"/>
          <w:tblLook w:val="04A0"/>
        </w:tblPrEx>
        <w:trPr>
          <w:trHeight w:val="315"/>
        </w:trPr>
        <w:tc>
          <w:tcPr>
            <w:tcW w:w="4480" w:type="dxa"/>
            <w:tcBorders>
              <w:top w:val="single" w:sz="8" w:space="0" w:color="auto"/>
              <w:left w:val="single" w:sz="8" w:space="0" w:color="auto"/>
              <w:bottom w:val="nil"/>
              <w:right w:val="nil"/>
            </w:tcBorders>
            <w:shd w:val="clear" w:color="auto" w:fill="FFFFFF" w:themeFill="background1"/>
            <w:vAlign w:val="center"/>
            <w:hideMark/>
          </w:tcPr>
          <w:p w:rsidR="003F61E6" w:rsidRPr="003F61E6" w:rsidP="00C00973" w14:paraId="64CE480F" w14:textId="77777777">
            <w:pPr>
              <w:jc w:val="both"/>
              <w:rPr>
                <w:rFonts w:ascii="Calibri" w:hAnsi="Calibri"/>
                <w:color w:val="000000"/>
                <w:sz w:val="24"/>
                <w:szCs w:val="24"/>
              </w:rPr>
            </w:pPr>
            <w:r w:rsidRPr="003F61E6">
              <w:rPr>
                <w:rFonts w:ascii="Calibri" w:hAnsi="Calibri"/>
                <w:color w:val="000000"/>
                <w:sz w:val="24"/>
                <w:szCs w:val="24"/>
              </w:rPr>
              <w:t>Annual Reporting</w:t>
            </w:r>
          </w:p>
        </w:tc>
        <w:tc>
          <w:tcPr>
            <w:tcW w:w="1880" w:type="dxa"/>
            <w:tcBorders>
              <w:top w:val="single" w:sz="8" w:space="0" w:color="auto"/>
              <w:left w:val="single" w:sz="4" w:space="0" w:color="auto"/>
              <w:bottom w:val="nil"/>
              <w:right w:val="single" w:sz="4" w:space="0" w:color="auto"/>
            </w:tcBorders>
            <w:shd w:val="clear" w:color="auto" w:fill="FFFFFF" w:themeFill="background1"/>
            <w:vAlign w:val="center"/>
            <w:hideMark/>
          </w:tcPr>
          <w:p w:rsidR="003F61E6" w:rsidRPr="003F61E6" w:rsidP="00C00973" w14:paraId="58AF4A47" w14:textId="77777777">
            <w:pPr>
              <w:jc w:val="both"/>
              <w:rPr>
                <w:rFonts w:ascii="Calibri" w:hAnsi="Calibri"/>
                <w:color w:val="000000"/>
                <w:sz w:val="24"/>
                <w:szCs w:val="24"/>
              </w:rPr>
            </w:pPr>
            <w:r w:rsidRPr="003F61E6">
              <w:rPr>
                <w:rFonts w:ascii="Calibri" w:hAnsi="Calibri"/>
                <w:color w:val="000000"/>
                <w:sz w:val="24"/>
                <w:szCs w:val="24"/>
              </w:rPr>
              <w:t xml:space="preserve">                    4,800 </w:t>
            </w:r>
          </w:p>
        </w:tc>
        <w:tc>
          <w:tcPr>
            <w:tcW w:w="2360" w:type="dxa"/>
            <w:tcBorders>
              <w:top w:val="single" w:sz="8" w:space="0" w:color="auto"/>
              <w:left w:val="nil"/>
              <w:bottom w:val="nil"/>
              <w:right w:val="single" w:sz="8" w:space="0" w:color="auto"/>
            </w:tcBorders>
            <w:shd w:val="clear" w:color="auto" w:fill="FFFFFF" w:themeFill="background1"/>
            <w:vAlign w:val="center"/>
            <w:hideMark/>
          </w:tcPr>
          <w:p w:rsidR="003F61E6" w:rsidRPr="003F61E6" w:rsidP="00C00973" w14:paraId="57C17609" w14:textId="2D3AF618">
            <w:pPr>
              <w:jc w:val="both"/>
              <w:rPr>
                <w:rFonts w:ascii="Calibri" w:hAnsi="Calibri"/>
                <w:color w:val="000000"/>
                <w:sz w:val="24"/>
                <w:szCs w:val="24"/>
              </w:rPr>
            </w:pPr>
            <w:r w:rsidRPr="54EC41DE">
              <w:rPr>
                <w:rFonts w:ascii="Calibri" w:hAnsi="Calibri"/>
                <w:color w:val="000000" w:themeColor="text1"/>
                <w:sz w:val="24"/>
                <w:szCs w:val="24"/>
              </w:rPr>
              <w:t xml:space="preserve"> $                </w:t>
            </w:r>
            <w:r w:rsidRPr="54EC41DE" w:rsidR="3F64FF1E">
              <w:rPr>
                <w:rFonts w:ascii="Calibri" w:hAnsi="Calibri"/>
                <w:color w:val="000000" w:themeColor="text1"/>
                <w:sz w:val="24"/>
                <w:szCs w:val="24"/>
              </w:rPr>
              <w:t>245,472</w:t>
            </w:r>
            <w:r w:rsidRPr="54EC41DE">
              <w:rPr>
                <w:rFonts w:ascii="Calibri" w:hAnsi="Calibri"/>
                <w:color w:val="000000" w:themeColor="text1"/>
                <w:sz w:val="24"/>
                <w:szCs w:val="24"/>
              </w:rPr>
              <w:t xml:space="preserve"> </w:t>
            </w:r>
          </w:p>
        </w:tc>
      </w:tr>
      <w:tr w14:paraId="4F289B02" w14:textId="77777777" w:rsidTr="76F83234">
        <w:tblPrEx>
          <w:tblW w:w="8720" w:type="dxa"/>
          <w:tblLook w:val="04A0"/>
        </w:tblPrEx>
        <w:trPr>
          <w:trHeight w:val="315"/>
        </w:trPr>
        <w:tc>
          <w:tcPr>
            <w:tcW w:w="4480" w:type="dxa"/>
            <w:tcBorders>
              <w:top w:val="nil"/>
              <w:left w:val="single" w:sz="8" w:space="0" w:color="auto"/>
              <w:bottom w:val="nil"/>
              <w:right w:val="nil"/>
            </w:tcBorders>
            <w:shd w:val="clear" w:color="auto" w:fill="FFFFFF" w:themeFill="background1"/>
            <w:vAlign w:val="center"/>
            <w:hideMark/>
          </w:tcPr>
          <w:p w:rsidR="003F61E6" w:rsidRPr="003F61E6" w:rsidP="00C00973" w14:paraId="505EEA60" w14:textId="77777777">
            <w:pPr>
              <w:jc w:val="both"/>
              <w:rPr>
                <w:rFonts w:ascii="Calibri" w:hAnsi="Calibri"/>
                <w:color w:val="000000"/>
                <w:sz w:val="24"/>
                <w:szCs w:val="24"/>
              </w:rPr>
            </w:pPr>
            <w:r w:rsidRPr="003F61E6">
              <w:rPr>
                <w:rFonts w:ascii="Calibri" w:hAnsi="Calibri"/>
                <w:color w:val="000000"/>
                <w:sz w:val="24"/>
                <w:szCs w:val="24"/>
              </w:rPr>
              <w:t>FTA Audits</w:t>
            </w:r>
          </w:p>
        </w:tc>
        <w:tc>
          <w:tcPr>
            <w:tcW w:w="1880" w:type="dxa"/>
            <w:tcBorders>
              <w:top w:val="nil"/>
              <w:left w:val="single" w:sz="4" w:space="0" w:color="auto"/>
              <w:bottom w:val="nil"/>
              <w:right w:val="single" w:sz="4" w:space="0" w:color="auto"/>
            </w:tcBorders>
            <w:shd w:val="clear" w:color="auto" w:fill="FFFFFF" w:themeFill="background1"/>
            <w:vAlign w:val="center"/>
            <w:hideMark/>
          </w:tcPr>
          <w:p w:rsidR="003F61E6" w:rsidRPr="003F61E6" w:rsidP="00C00973" w14:paraId="64525664" w14:textId="77777777">
            <w:pPr>
              <w:jc w:val="both"/>
              <w:rPr>
                <w:rFonts w:ascii="Calibri" w:hAnsi="Calibri"/>
                <w:color w:val="000000"/>
                <w:sz w:val="24"/>
                <w:szCs w:val="24"/>
              </w:rPr>
            </w:pPr>
            <w:r w:rsidRPr="003F61E6">
              <w:rPr>
                <w:rFonts w:ascii="Calibri" w:hAnsi="Calibri"/>
                <w:color w:val="000000"/>
                <w:sz w:val="24"/>
                <w:szCs w:val="24"/>
              </w:rPr>
              <w:t xml:space="preserve">                    5,400 </w:t>
            </w:r>
          </w:p>
        </w:tc>
        <w:tc>
          <w:tcPr>
            <w:tcW w:w="2360" w:type="dxa"/>
            <w:tcBorders>
              <w:top w:val="nil"/>
              <w:left w:val="nil"/>
              <w:bottom w:val="nil"/>
              <w:right w:val="single" w:sz="8" w:space="0" w:color="auto"/>
            </w:tcBorders>
            <w:shd w:val="clear" w:color="auto" w:fill="FFFFFF" w:themeFill="background1"/>
            <w:vAlign w:val="center"/>
            <w:hideMark/>
          </w:tcPr>
          <w:p w:rsidR="003F61E6" w:rsidRPr="003F61E6" w:rsidP="00C00973" w14:paraId="45C91B49" w14:textId="0196777D">
            <w:pPr>
              <w:jc w:val="both"/>
              <w:rPr>
                <w:rFonts w:ascii="Calibri" w:hAnsi="Calibri"/>
                <w:color w:val="000000"/>
                <w:sz w:val="24"/>
                <w:szCs w:val="24"/>
              </w:rPr>
            </w:pPr>
            <w:r w:rsidRPr="54EC41DE">
              <w:rPr>
                <w:rFonts w:ascii="Calibri" w:hAnsi="Calibri"/>
                <w:color w:val="000000" w:themeColor="text1"/>
                <w:sz w:val="24"/>
                <w:szCs w:val="24"/>
              </w:rPr>
              <w:t xml:space="preserve"> $                </w:t>
            </w:r>
            <w:r w:rsidRPr="54EC41DE" w:rsidR="0C399B9E">
              <w:rPr>
                <w:rFonts w:ascii="Calibri" w:hAnsi="Calibri"/>
                <w:color w:val="000000" w:themeColor="text1"/>
                <w:sz w:val="24"/>
                <w:szCs w:val="24"/>
              </w:rPr>
              <w:t>276,156</w:t>
            </w:r>
          </w:p>
        </w:tc>
      </w:tr>
      <w:tr w14:paraId="218008ED" w14:textId="77777777" w:rsidTr="76F83234">
        <w:tblPrEx>
          <w:tblW w:w="8720" w:type="dxa"/>
          <w:tblLook w:val="04A0"/>
        </w:tblPrEx>
        <w:trPr>
          <w:trHeight w:val="315"/>
        </w:trPr>
        <w:tc>
          <w:tcPr>
            <w:tcW w:w="4480" w:type="dxa"/>
            <w:tcBorders>
              <w:top w:val="nil"/>
              <w:left w:val="single" w:sz="8" w:space="0" w:color="auto"/>
              <w:bottom w:val="nil"/>
              <w:right w:val="nil"/>
            </w:tcBorders>
            <w:shd w:val="clear" w:color="auto" w:fill="FFFFFF" w:themeFill="background1"/>
            <w:vAlign w:val="center"/>
            <w:hideMark/>
          </w:tcPr>
          <w:p w:rsidR="003F61E6" w:rsidRPr="003F61E6" w:rsidP="00C00973" w14:paraId="63CF6D3F" w14:textId="77777777">
            <w:pPr>
              <w:jc w:val="both"/>
              <w:rPr>
                <w:rFonts w:ascii="Calibri" w:hAnsi="Calibri"/>
                <w:color w:val="000000"/>
                <w:sz w:val="24"/>
                <w:szCs w:val="24"/>
              </w:rPr>
            </w:pPr>
            <w:r w:rsidRPr="003F61E6">
              <w:rPr>
                <w:rFonts w:ascii="Calibri" w:hAnsi="Calibri"/>
                <w:color w:val="000000"/>
                <w:sz w:val="24"/>
                <w:szCs w:val="24"/>
              </w:rPr>
              <w:t>Periodic Requests</w:t>
            </w:r>
          </w:p>
        </w:tc>
        <w:tc>
          <w:tcPr>
            <w:tcW w:w="1880" w:type="dxa"/>
            <w:tcBorders>
              <w:top w:val="nil"/>
              <w:left w:val="single" w:sz="4" w:space="0" w:color="auto"/>
              <w:bottom w:val="nil"/>
              <w:right w:val="single" w:sz="4" w:space="0" w:color="auto"/>
            </w:tcBorders>
            <w:shd w:val="clear" w:color="auto" w:fill="FFFFFF" w:themeFill="background1"/>
            <w:vAlign w:val="center"/>
            <w:hideMark/>
          </w:tcPr>
          <w:p w:rsidR="003F61E6" w:rsidRPr="003F61E6" w:rsidP="00C00973" w14:paraId="279EFBB4" w14:textId="77777777">
            <w:pPr>
              <w:jc w:val="both"/>
              <w:rPr>
                <w:rFonts w:ascii="Calibri" w:hAnsi="Calibri"/>
                <w:color w:val="000000"/>
                <w:sz w:val="24"/>
                <w:szCs w:val="24"/>
              </w:rPr>
            </w:pPr>
            <w:r w:rsidRPr="003F61E6">
              <w:rPr>
                <w:rFonts w:ascii="Calibri" w:hAnsi="Calibri"/>
                <w:color w:val="000000"/>
                <w:sz w:val="24"/>
                <w:szCs w:val="24"/>
              </w:rPr>
              <w:t xml:space="preserve">                    2,000 </w:t>
            </w:r>
          </w:p>
        </w:tc>
        <w:tc>
          <w:tcPr>
            <w:tcW w:w="2360" w:type="dxa"/>
            <w:tcBorders>
              <w:top w:val="nil"/>
              <w:left w:val="nil"/>
              <w:bottom w:val="nil"/>
              <w:right w:val="single" w:sz="8" w:space="0" w:color="auto"/>
            </w:tcBorders>
            <w:shd w:val="clear" w:color="auto" w:fill="FFFFFF" w:themeFill="background1"/>
            <w:vAlign w:val="center"/>
            <w:hideMark/>
          </w:tcPr>
          <w:p w:rsidR="003F61E6" w:rsidRPr="003F61E6" w:rsidP="00C00973" w14:paraId="192AFEDC" w14:textId="3F67AA11">
            <w:pPr>
              <w:jc w:val="both"/>
              <w:rPr>
                <w:rFonts w:ascii="Calibri" w:hAnsi="Calibri"/>
                <w:color w:val="000000"/>
                <w:sz w:val="24"/>
                <w:szCs w:val="24"/>
              </w:rPr>
            </w:pPr>
            <w:r w:rsidRPr="54EC41DE">
              <w:rPr>
                <w:rFonts w:ascii="Calibri" w:hAnsi="Calibri"/>
                <w:color w:val="000000" w:themeColor="text1"/>
                <w:sz w:val="24"/>
                <w:szCs w:val="24"/>
              </w:rPr>
              <w:t xml:space="preserve"> $                  </w:t>
            </w:r>
            <w:r w:rsidRPr="54EC41DE" w:rsidR="17C28E92">
              <w:rPr>
                <w:rFonts w:ascii="Calibri" w:hAnsi="Calibri"/>
                <w:color w:val="000000" w:themeColor="text1"/>
                <w:sz w:val="24"/>
                <w:szCs w:val="24"/>
              </w:rPr>
              <w:t>102,280</w:t>
            </w:r>
            <w:r w:rsidRPr="54EC41DE">
              <w:rPr>
                <w:rFonts w:ascii="Calibri" w:hAnsi="Calibri"/>
                <w:color w:val="000000" w:themeColor="text1"/>
                <w:sz w:val="24"/>
                <w:szCs w:val="24"/>
              </w:rPr>
              <w:t xml:space="preserve"> </w:t>
            </w:r>
          </w:p>
        </w:tc>
      </w:tr>
      <w:tr w14:paraId="04F096FD" w14:textId="77777777" w:rsidTr="76F83234">
        <w:tblPrEx>
          <w:tblW w:w="8720" w:type="dxa"/>
          <w:tblLook w:val="04A0"/>
        </w:tblPrEx>
        <w:trPr>
          <w:trHeight w:val="315"/>
        </w:trPr>
        <w:tc>
          <w:tcPr>
            <w:tcW w:w="4480" w:type="dxa"/>
            <w:tcBorders>
              <w:top w:val="nil"/>
              <w:left w:val="single" w:sz="8" w:space="0" w:color="auto"/>
              <w:bottom w:val="nil"/>
              <w:right w:val="nil"/>
            </w:tcBorders>
            <w:shd w:val="clear" w:color="auto" w:fill="FFFFFF" w:themeFill="background1"/>
            <w:vAlign w:val="center"/>
            <w:hideMark/>
          </w:tcPr>
          <w:p w:rsidR="003F61E6" w:rsidRPr="003F61E6" w:rsidP="00C00973" w14:paraId="47E33F1E" w14:textId="77777777">
            <w:pPr>
              <w:jc w:val="both"/>
              <w:rPr>
                <w:rFonts w:ascii="Calibri" w:hAnsi="Calibri"/>
                <w:color w:val="000000"/>
                <w:sz w:val="24"/>
                <w:szCs w:val="24"/>
              </w:rPr>
            </w:pPr>
            <w:r w:rsidRPr="003F61E6">
              <w:rPr>
                <w:rFonts w:ascii="Calibri" w:hAnsi="Calibri"/>
                <w:color w:val="000000"/>
                <w:sz w:val="24"/>
                <w:szCs w:val="24"/>
              </w:rPr>
              <w:t>Grant Management</w:t>
            </w:r>
          </w:p>
        </w:tc>
        <w:tc>
          <w:tcPr>
            <w:tcW w:w="1880" w:type="dxa"/>
            <w:tcBorders>
              <w:top w:val="nil"/>
              <w:left w:val="single" w:sz="4" w:space="0" w:color="auto"/>
              <w:bottom w:val="nil"/>
              <w:right w:val="single" w:sz="4" w:space="0" w:color="auto"/>
            </w:tcBorders>
            <w:shd w:val="clear" w:color="auto" w:fill="FFFFFF" w:themeFill="background1"/>
            <w:vAlign w:val="center"/>
            <w:hideMark/>
          </w:tcPr>
          <w:p w:rsidR="003F61E6" w:rsidRPr="003F61E6" w:rsidP="00C00973" w14:paraId="73F945A0" w14:textId="77777777">
            <w:pPr>
              <w:jc w:val="both"/>
              <w:rPr>
                <w:rFonts w:ascii="Calibri" w:hAnsi="Calibri"/>
                <w:color w:val="000000"/>
                <w:sz w:val="24"/>
                <w:szCs w:val="24"/>
              </w:rPr>
            </w:pPr>
            <w:r w:rsidRPr="003F61E6">
              <w:rPr>
                <w:rFonts w:ascii="Calibri" w:hAnsi="Calibri"/>
                <w:color w:val="000000"/>
                <w:sz w:val="24"/>
                <w:szCs w:val="24"/>
              </w:rPr>
              <w:t xml:space="preserve">                    1,232 </w:t>
            </w:r>
          </w:p>
        </w:tc>
        <w:tc>
          <w:tcPr>
            <w:tcW w:w="2360" w:type="dxa"/>
            <w:tcBorders>
              <w:top w:val="nil"/>
              <w:left w:val="nil"/>
              <w:bottom w:val="nil"/>
              <w:right w:val="single" w:sz="8" w:space="0" w:color="auto"/>
            </w:tcBorders>
            <w:shd w:val="clear" w:color="auto" w:fill="FFFFFF" w:themeFill="background1"/>
            <w:vAlign w:val="center"/>
            <w:hideMark/>
          </w:tcPr>
          <w:p w:rsidR="003F61E6" w:rsidRPr="003F61E6" w:rsidP="00C00973" w14:paraId="3CF10243" w14:textId="5D6F6049">
            <w:pPr>
              <w:jc w:val="both"/>
              <w:rPr>
                <w:rFonts w:ascii="Calibri" w:hAnsi="Calibri"/>
                <w:color w:val="000000"/>
                <w:sz w:val="24"/>
                <w:szCs w:val="24"/>
              </w:rPr>
            </w:pPr>
            <w:r w:rsidRPr="54EC41DE">
              <w:rPr>
                <w:rFonts w:ascii="Calibri" w:hAnsi="Calibri"/>
                <w:color w:val="000000" w:themeColor="text1"/>
                <w:sz w:val="24"/>
                <w:szCs w:val="24"/>
              </w:rPr>
              <w:t xml:space="preserve"> $                  </w:t>
            </w:r>
            <w:r w:rsidRPr="54EC41DE" w:rsidR="136352A4">
              <w:rPr>
                <w:rFonts w:ascii="Calibri" w:hAnsi="Calibri"/>
                <w:color w:val="000000" w:themeColor="text1"/>
                <w:sz w:val="24"/>
                <w:szCs w:val="24"/>
              </w:rPr>
              <w:t>63,004</w:t>
            </w:r>
            <w:r w:rsidRPr="54EC41DE">
              <w:rPr>
                <w:rFonts w:ascii="Calibri" w:hAnsi="Calibri"/>
                <w:color w:val="000000" w:themeColor="text1"/>
                <w:sz w:val="24"/>
                <w:szCs w:val="24"/>
              </w:rPr>
              <w:t xml:space="preserve"> </w:t>
            </w:r>
          </w:p>
        </w:tc>
      </w:tr>
      <w:tr w14:paraId="28D930D5" w14:textId="77777777" w:rsidTr="76F83234">
        <w:tblPrEx>
          <w:tblW w:w="8720" w:type="dxa"/>
          <w:tblLook w:val="04A0"/>
        </w:tblPrEx>
        <w:trPr>
          <w:trHeight w:val="315"/>
        </w:trPr>
        <w:tc>
          <w:tcPr>
            <w:tcW w:w="4480" w:type="dxa"/>
            <w:tcBorders>
              <w:top w:val="nil"/>
              <w:left w:val="single" w:sz="8" w:space="0" w:color="auto"/>
              <w:bottom w:val="single" w:sz="4" w:space="0" w:color="auto"/>
              <w:right w:val="nil"/>
            </w:tcBorders>
            <w:shd w:val="clear" w:color="auto" w:fill="FFFFFF" w:themeFill="background1"/>
            <w:vAlign w:val="center"/>
            <w:hideMark/>
          </w:tcPr>
          <w:p w:rsidR="003F61E6" w:rsidRPr="003F61E6" w:rsidP="00C00973" w14:paraId="1CDD28CD" w14:textId="77777777">
            <w:pPr>
              <w:jc w:val="both"/>
              <w:rPr>
                <w:rFonts w:ascii="Calibri" w:hAnsi="Calibri"/>
                <w:color w:val="000000"/>
                <w:sz w:val="24"/>
                <w:szCs w:val="24"/>
              </w:rPr>
            </w:pPr>
            <w:r w:rsidRPr="003F61E6">
              <w:rPr>
                <w:rFonts w:ascii="Calibri" w:hAnsi="Calibri"/>
                <w:color w:val="000000"/>
                <w:sz w:val="24"/>
                <w:szCs w:val="24"/>
              </w:rPr>
              <w:t>FTA Event Notification</w:t>
            </w:r>
          </w:p>
        </w:tc>
        <w:tc>
          <w:tcPr>
            <w:tcW w:w="1880" w:type="dxa"/>
            <w:tcBorders>
              <w:top w:val="nil"/>
              <w:left w:val="single" w:sz="4" w:space="0" w:color="auto"/>
              <w:bottom w:val="single" w:sz="4" w:space="0" w:color="auto"/>
              <w:right w:val="single" w:sz="4" w:space="0" w:color="auto"/>
            </w:tcBorders>
            <w:shd w:val="clear" w:color="auto" w:fill="FFFFFF" w:themeFill="background1"/>
            <w:vAlign w:val="center"/>
            <w:hideMark/>
          </w:tcPr>
          <w:p w:rsidR="003F61E6" w:rsidRPr="003F61E6" w:rsidP="00C00973" w14:paraId="6B72FF7C" w14:textId="77777777">
            <w:pPr>
              <w:jc w:val="both"/>
              <w:rPr>
                <w:rFonts w:ascii="Calibri" w:hAnsi="Calibri"/>
                <w:color w:val="000000"/>
                <w:sz w:val="24"/>
                <w:szCs w:val="24"/>
              </w:rPr>
            </w:pPr>
            <w:r w:rsidRPr="003F61E6">
              <w:rPr>
                <w:rFonts w:ascii="Calibri" w:hAnsi="Calibri"/>
                <w:color w:val="000000"/>
                <w:sz w:val="24"/>
                <w:szCs w:val="24"/>
              </w:rPr>
              <w:t xml:space="preserve">                       618 </w:t>
            </w:r>
          </w:p>
        </w:tc>
        <w:tc>
          <w:tcPr>
            <w:tcW w:w="2360" w:type="dxa"/>
            <w:tcBorders>
              <w:top w:val="nil"/>
              <w:left w:val="nil"/>
              <w:bottom w:val="single" w:sz="4" w:space="0" w:color="auto"/>
              <w:right w:val="single" w:sz="8" w:space="0" w:color="auto"/>
            </w:tcBorders>
            <w:shd w:val="clear" w:color="auto" w:fill="FFFFFF" w:themeFill="background1"/>
            <w:vAlign w:val="center"/>
            <w:hideMark/>
          </w:tcPr>
          <w:p w:rsidR="003F61E6" w:rsidRPr="003F61E6" w:rsidP="00C00973" w14:paraId="35C02F09" w14:textId="14CDC303">
            <w:pPr>
              <w:jc w:val="both"/>
              <w:rPr>
                <w:rFonts w:ascii="Calibri" w:hAnsi="Calibri"/>
                <w:color w:val="000000"/>
                <w:sz w:val="24"/>
                <w:szCs w:val="24"/>
              </w:rPr>
            </w:pPr>
            <w:r w:rsidRPr="76F83234">
              <w:rPr>
                <w:rFonts w:ascii="Calibri" w:hAnsi="Calibri"/>
                <w:color w:val="000000" w:themeColor="text1"/>
                <w:sz w:val="24"/>
                <w:szCs w:val="24"/>
              </w:rPr>
              <w:t xml:space="preserve"> $                  </w:t>
            </w:r>
            <w:r w:rsidRPr="76F83234" w:rsidR="089E6D15">
              <w:rPr>
                <w:rFonts w:ascii="Calibri" w:hAnsi="Calibri"/>
                <w:color w:val="000000" w:themeColor="text1"/>
                <w:sz w:val="24"/>
                <w:szCs w:val="24"/>
              </w:rPr>
              <w:t>31,605</w:t>
            </w:r>
            <w:r w:rsidRPr="76F83234">
              <w:rPr>
                <w:rFonts w:ascii="Calibri" w:hAnsi="Calibri"/>
                <w:color w:val="000000" w:themeColor="text1"/>
                <w:sz w:val="24"/>
                <w:szCs w:val="24"/>
              </w:rPr>
              <w:t xml:space="preserve"> </w:t>
            </w:r>
          </w:p>
        </w:tc>
      </w:tr>
      <w:tr w14:paraId="7BFCE2C2" w14:textId="77777777" w:rsidTr="76F83234">
        <w:tblPrEx>
          <w:tblW w:w="8720" w:type="dxa"/>
          <w:tblLook w:val="04A0"/>
        </w:tblPrEx>
        <w:trPr>
          <w:trHeight w:val="330"/>
        </w:trPr>
        <w:tc>
          <w:tcPr>
            <w:tcW w:w="4480" w:type="dxa"/>
            <w:tcBorders>
              <w:top w:val="single" w:sz="4" w:space="0" w:color="auto"/>
              <w:left w:val="single" w:sz="8" w:space="0" w:color="auto"/>
              <w:bottom w:val="single" w:sz="8" w:space="0" w:color="auto"/>
              <w:right w:val="nil"/>
            </w:tcBorders>
            <w:shd w:val="clear" w:color="auto" w:fill="FFFFFF" w:themeFill="background1"/>
            <w:noWrap/>
            <w:vAlign w:val="bottom"/>
            <w:hideMark/>
          </w:tcPr>
          <w:p w:rsidR="003F61E6" w:rsidRPr="003F61E6" w:rsidP="00C00973" w14:paraId="2F331693" w14:textId="77777777">
            <w:pPr>
              <w:jc w:val="both"/>
              <w:rPr>
                <w:rFonts w:ascii="Calibri" w:hAnsi="Calibri"/>
                <w:b/>
                <w:bCs/>
                <w:color w:val="000000"/>
                <w:sz w:val="24"/>
                <w:szCs w:val="24"/>
              </w:rPr>
            </w:pPr>
            <w:r w:rsidRPr="003F61E6">
              <w:rPr>
                <w:rFonts w:ascii="Calibri" w:hAnsi="Calibri"/>
                <w:b/>
                <w:bCs/>
                <w:color w:val="000000"/>
                <w:sz w:val="24"/>
                <w:szCs w:val="24"/>
              </w:rPr>
              <w:t>Total</w:t>
            </w:r>
          </w:p>
        </w:tc>
        <w:tc>
          <w:tcPr>
            <w:tcW w:w="1880" w:type="dxa"/>
            <w:tcBorders>
              <w:top w:val="nil"/>
              <w:left w:val="single" w:sz="4" w:space="0" w:color="auto"/>
              <w:bottom w:val="single" w:sz="8" w:space="0" w:color="auto"/>
              <w:right w:val="single" w:sz="4" w:space="0" w:color="auto"/>
            </w:tcBorders>
            <w:shd w:val="clear" w:color="auto" w:fill="FFFFFF" w:themeFill="background1"/>
            <w:noWrap/>
            <w:vAlign w:val="bottom"/>
            <w:hideMark/>
          </w:tcPr>
          <w:p w:rsidR="003F61E6" w:rsidRPr="003F61E6" w:rsidP="00C00973" w14:paraId="55F5CBE9" w14:textId="77777777">
            <w:pPr>
              <w:jc w:val="both"/>
              <w:rPr>
                <w:rFonts w:ascii="Calibri" w:hAnsi="Calibri"/>
                <w:b/>
                <w:bCs/>
                <w:color w:val="000000"/>
                <w:sz w:val="24"/>
                <w:szCs w:val="24"/>
              </w:rPr>
            </w:pPr>
            <w:r w:rsidRPr="003F61E6">
              <w:rPr>
                <w:rFonts w:ascii="Calibri" w:hAnsi="Calibri"/>
                <w:b/>
                <w:bCs/>
                <w:color w:val="000000"/>
                <w:sz w:val="24"/>
                <w:szCs w:val="24"/>
              </w:rPr>
              <w:t xml:space="preserve">                  14,050 </w:t>
            </w:r>
          </w:p>
        </w:tc>
        <w:tc>
          <w:tcPr>
            <w:tcW w:w="2360" w:type="dxa"/>
            <w:tcBorders>
              <w:top w:val="single" w:sz="4" w:space="0" w:color="auto"/>
              <w:left w:val="nil"/>
              <w:bottom w:val="single" w:sz="8" w:space="0" w:color="auto"/>
              <w:right w:val="single" w:sz="8" w:space="0" w:color="auto"/>
            </w:tcBorders>
            <w:shd w:val="clear" w:color="auto" w:fill="FFFFFF" w:themeFill="background1"/>
            <w:vAlign w:val="center"/>
            <w:hideMark/>
          </w:tcPr>
          <w:p w:rsidR="003F61E6" w:rsidRPr="003F61E6" w:rsidP="00C00973" w14:paraId="519C8090" w14:textId="21375123">
            <w:pPr>
              <w:jc w:val="both"/>
              <w:rPr>
                <w:rFonts w:ascii="Calibri" w:hAnsi="Calibri"/>
                <w:b/>
                <w:bCs/>
                <w:color w:val="000000"/>
                <w:sz w:val="24"/>
                <w:szCs w:val="24"/>
              </w:rPr>
            </w:pPr>
            <w:r w:rsidRPr="76F83234">
              <w:rPr>
                <w:rFonts w:ascii="Calibri" w:hAnsi="Calibri"/>
                <w:b/>
                <w:bCs/>
                <w:color w:val="000000" w:themeColor="text1"/>
                <w:sz w:val="24"/>
                <w:szCs w:val="24"/>
              </w:rPr>
              <w:t xml:space="preserve"> $                </w:t>
            </w:r>
            <w:r w:rsidRPr="76F83234" w:rsidR="1C1C6B9E">
              <w:rPr>
                <w:rFonts w:ascii="Calibri" w:hAnsi="Calibri"/>
                <w:b/>
                <w:bCs/>
                <w:color w:val="000000" w:themeColor="text1"/>
                <w:sz w:val="24"/>
                <w:szCs w:val="24"/>
              </w:rPr>
              <w:t>718,517</w:t>
            </w:r>
            <w:r w:rsidRPr="76F83234">
              <w:rPr>
                <w:rFonts w:ascii="Calibri" w:hAnsi="Calibri"/>
                <w:b/>
                <w:bCs/>
                <w:color w:val="000000" w:themeColor="text1"/>
                <w:sz w:val="24"/>
                <w:szCs w:val="24"/>
              </w:rPr>
              <w:t xml:space="preserve"> </w:t>
            </w:r>
          </w:p>
        </w:tc>
      </w:tr>
    </w:tbl>
    <w:p w:rsidR="003F61E6" w:rsidP="00C00973" w14:paraId="6D6087F9" w14:textId="42E66613">
      <w:pPr>
        <w:jc w:val="both"/>
        <w:rPr>
          <w:b/>
          <w:sz w:val="24"/>
          <w:szCs w:val="24"/>
        </w:rPr>
      </w:pPr>
    </w:p>
    <w:p w:rsidR="00C00973" w:rsidP="00C00973" w14:paraId="1BE6BB0D" w14:textId="01FA7936">
      <w:pPr>
        <w:jc w:val="both"/>
        <w:rPr>
          <w:b/>
          <w:sz w:val="24"/>
          <w:szCs w:val="24"/>
        </w:rPr>
      </w:pPr>
    </w:p>
    <w:p w:rsidR="00E75ACE" w:rsidRPr="00F1233D" w:rsidP="00C00973" w14:paraId="6E644E37" w14:textId="37F75EAD">
      <w:pPr>
        <w:numPr>
          <w:ilvl w:val="0"/>
          <w:numId w:val="3"/>
        </w:numPr>
        <w:jc w:val="both"/>
        <w:rPr>
          <w:b/>
          <w:sz w:val="25"/>
          <w:szCs w:val="25"/>
        </w:rPr>
      </w:pPr>
      <w:r w:rsidRPr="00600C8F">
        <w:rPr>
          <w:b/>
          <w:sz w:val="25"/>
          <w:szCs w:val="25"/>
        </w:rPr>
        <w:t>Explain the reasons for any program changes or adjustments</w:t>
      </w:r>
      <w:r w:rsidRPr="00F1233D">
        <w:rPr>
          <w:b/>
          <w:sz w:val="25"/>
          <w:szCs w:val="25"/>
        </w:rPr>
        <w:t xml:space="preserve"> reported.</w:t>
      </w:r>
    </w:p>
    <w:p w:rsidR="00E75ACE" w:rsidRPr="00F1233D" w:rsidP="00C00973" w14:paraId="1919862D" w14:textId="77777777">
      <w:pPr>
        <w:jc w:val="both"/>
        <w:rPr>
          <w:b/>
          <w:sz w:val="25"/>
          <w:szCs w:val="25"/>
        </w:rPr>
      </w:pPr>
    </w:p>
    <w:p w:rsidR="00756CAA" w:rsidRPr="00756CAA" w:rsidP="00756CAA" w14:paraId="572F6938" w14:textId="7FCCC9F6">
      <w:pPr>
        <w:rPr>
          <w:sz w:val="24"/>
          <w:szCs w:val="24"/>
          <w:u w:val="single"/>
        </w:rPr>
      </w:pPr>
      <w:r>
        <w:rPr>
          <w:sz w:val="24"/>
          <w:szCs w:val="24"/>
        </w:rPr>
        <w:t xml:space="preserve">FTA did not receive any comments </w:t>
      </w:r>
      <w:r w:rsidR="00764EF5">
        <w:rPr>
          <w:sz w:val="24"/>
          <w:szCs w:val="24"/>
        </w:rPr>
        <w:t xml:space="preserve">regarding </w:t>
      </w:r>
      <w:r>
        <w:rPr>
          <w:sz w:val="24"/>
          <w:szCs w:val="24"/>
        </w:rPr>
        <w:t xml:space="preserve">the collection of information or the associated burden cost or hours.  </w:t>
      </w:r>
      <w:r w:rsidR="00764EF5">
        <w:rPr>
          <w:sz w:val="24"/>
          <w:szCs w:val="24"/>
        </w:rPr>
        <w:t xml:space="preserve">As a result, </w:t>
      </w:r>
      <w:r>
        <w:rPr>
          <w:sz w:val="24"/>
          <w:szCs w:val="24"/>
        </w:rPr>
        <w:t xml:space="preserve">there are no changes to the supporting statement </w:t>
      </w:r>
      <w:r w:rsidR="00764EF5">
        <w:rPr>
          <w:sz w:val="24"/>
          <w:szCs w:val="24"/>
        </w:rPr>
        <w:t>from the NPRM to the F</w:t>
      </w:r>
      <w:r>
        <w:rPr>
          <w:sz w:val="24"/>
          <w:szCs w:val="24"/>
        </w:rPr>
        <w:t>inal Rulemaking</w:t>
      </w:r>
      <w:r w:rsidR="00764EF5">
        <w:rPr>
          <w:sz w:val="24"/>
          <w:szCs w:val="24"/>
        </w:rPr>
        <w:t xml:space="preserve">. </w:t>
      </w:r>
      <w:r w:rsidR="006B546C">
        <w:rPr>
          <w:sz w:val="24"/>
          <w:szCs w:val="24"/>
        </w:rPr>
        <w:t xml:space="preserve"> As submitted with the NPRM, t</w:t>
      </w:r>
      <w:r w:rsidRPr="03985F80" w:rsidR="00A53688">
        <w:rPr>
          <w:sz w:val="24"/>
          <w:szCs w:val="24"/>
        </w:rPr>
        <w:t xml:space="preserve">he </w:t>
      </w:r>
      <w:r w:rsidR="006B546C">
        <w:rPr>
          <w:sz w:val="24"/>
          <w:szCs w:val="24"/>
        </w:rPr>
        <w:t xml:space="preserve">only related to the collection of information </w:t>
      </w:r>
      <w:r w:rsidR="00764EF5">
        <w:rPr>
          <w:sz w:val="24"/>
          <w:szCs w:val="24"/>
        </w:rPr>
        <w:t xml:space="preserve">is a result of </w:t>
      </w:r>
      <w:r w:rsidRPr="03985F80" w:rsidR="00A53688">
        <w:rPr>
          <w:sz w:val="24"/>
          <w:szCs w:val="24"/>
        </w:rPr>
        <w:t xml:space="preserve">changes in the transit industry. This supporting statement reflects a small increase in the respondent universe from </w:t>
      </w:r>
      <w:r w:rsidRPr="03985F80" w:rsidR="00391FD1">
        <w:rPr>
          <w:sz w:val="24"/>
          <w:szCs w:val="24"/>
        </w:rPr>
        <w:t>30</w:t>
      </w:r>
      <w:r w:rsidRPr="03985F80" w:rsidR="00A53688">
        <w:rPr>
          <w:sz w:val="24"/>
          <w:szCs w:val="24"/>
        </w:rPr>
        <w:t xml:space="preserve"> </w:t>
      </w:r>
      <w:r w:rsidRPr="03985F80" w:rsidR="004C398A">
        <w:rPr>
          <w:sz w:val="24"/>
          <w:szCs w:val="24"/>
        </w:rPr>
        <w:t xml:space="preserve">SSOAs </w:t>
      </w:r>
      <w:r w:rsidRPr="03985F80" w:rsidR="00A53688">
        <w:rPr>
          <w:sz w:val="24"/>
          <w:szCs w:val="24"/>
        </w:rPr>
        <w:t xml:space="preserve">to </w:t>
      </w:r>
      <w:r w:rsidRPr="03985F80" w:rsidR="00391FD1">
        <w:rPr>
          <w:sz w:val="24"/>
          <w:szCs w:val="24"/>
        </w:rPr>
        <w:t>31</w:t>
      </w:r>
      <w:r w:rsidRPr="03985F80" w:rsidR="00A53688">
        <w:rPr>
          <w:sz w:val="24"/>
          <w:szCs w:val="24"/>
        </w:rPr>
        <w:t xml:space="preserve"> </w:t>
      </w:r>
      <w:r w:rsidRPr="03985F80" w:rsidR="007E0605">
        <w:rPr>
          <w:sz w:val="24"/>
          <w:szCs w:val="24"/>
        </w:rPr>
        <w:t xml:space="preserve">to reflect the current </w:t>
      </w:r>
      <w:r w:rsidRPr="03985F80" w:rsidR="00DE0671">
        <w:rPr>
          <w:sz w:val="24"/>
          <w:szCs w:val="24"/>
        </w:rPr>
        <w:t xml:space="preserve">number of SSOAs </w:t>
      </w:r>
      <w:r w:rsidRPr="03985F80" w:rsidR="00B40971">
        <w:rPr>
          <w:sz w:val="24"/>
          <w:szCs w:val="24"/>
        </w:rPr>
        <w:t xml:space="preserve">applicable under the </w:t>
      </w:r>
      <w:r w:rsidRPr="03985F80" w:rsidR="008D11F7">
        <w:rPr>
          <w:sz w:val="24"/>
          <w:szCs w:val="24"/>
        </w:rPr>
        <w:t xml:space="preserve">SSO regulation. </w:t>
      </w:r>
      <w:r w:rsidR="00764EF5">
        <w:rPr>
          <w:sz w:val="24"/>
          <w:szCs w:val="24"/>
        </w:rPr>
        <w:t xml:space="preserve">Both the NPRM and Final Rulemaking highlight </w:t>
      </w:r>
      <w:r w:rsidRPr="03985F80" w:rsidR="00A53688">
        <w:rPr>
          <w:sz w:val="24"/>
          <w:szCs w:val="24"/>
        </w:rPr>
        <w:t>an increase</w:t>
      </w:r>
      <w:r w:rsidR="00764EF5">
        <w:rPr>
          <w:sz w:val="24"/>
          <w:szCs w:val="24"/>
        </w:rPr>
        <w:t>d</w:t>
      </w:r>
      <w:r w:rsidRPr="03985F80" w:rsidR="00A53688">
        <w:rPr>
          <w:sz w:val="24"/>
          <w:szCs w:val="24"/>
        </w:rPr>
        <w:t xml:space="preserve"> burden </w:t>
      </w:r>
      <w:r w:rsidR="00764EF5">
        <w:rPr>
          <w:sz w:val="24"/>
          <w:szCs w:val="24"/>
        </w:rPr>
        <w:t xml:space="preserve">due to </w:t>
      </w:r>
      <w:r w:rsidR="00764EF5">
        <w:rPr>
          <w:color w:val="000000" w:themeColor="text1"/>
          <w:sz w:val="24"/>
          <w:szCs w:val="24"/>
        </w:rPr>
        <w:t>p</w:t>
      </w:r>
      <w:r w:rsidRPr="03985F80" w:rsidR="008D11F7">
        <w:rPr>
          <w:color w:val="000000" w:themeColor="text1"/>
          <w:sz w:val="24"/>
          <w:szCs w:val="24"/>
        </w:rPr>
        <w:t>ropos</w:t>
      </w:r>
      <w:r w:rsidRPr="03985F80" w:rsidR="00720495">
        <w:rPr>
          <w:color w:val="000000" w:themeColor="text1"/>
          <w:sz w:val="24"/>
          <w:szCs w:val="24"/>
        </w:rPr>
        <w:t>ed</w:t>
      </w:r>
      <w:r w:rsidR="00763176">
        <w:rPr>
          <w:color w:val="000000" w:themeColor="text1"/>
          <w:sz w:val="24"/>
          <w:szCs w:val="24"/>
        </w:rPr>
        <w:t xml:space="preserve"> </w:t>
      </w:r>
      <w:r w:rsidRPr="03985F80" w:rsidR="00781B87">
        <w:rPr>
          <w:sz w:val="24"/>
          <w:szCs w:val="24"/>
        </w:rPr>
        <w:t>event notification criteria, updated annual reporting burden from SSOAs, and revised burden related to the FTA SSO audit program</w:t>
      </w:r>
      <w:r w:rsidRPr="03985F80" w:rsidR="00696939">
        <w:rPr>
          <w:sz w:val="24"/>
          <w:szCs w:val="24"/>
        </w:rPr>
        <w:t>.</w:t>
      </w:r>
      <w:r w:rsidRPr="03985F80" w:rsidR="00A53688">
        <w:rPr>
          <w:color w:val="000000" w:themeColor="text1"/>
          <w:sz w:val="24"/>
          <w:szCs w:val="24"/>
        </w:rPr>
        <w:t xml:space="preserve"> </w:t>
      </w:r>
      <w:r w:rsidR="00764EF5">
        <w:rPr>
          <w:color w:val="000000" w:themeColor="text1"/>
          <w:sz w:val="24"/>
          <w:szCs w:val="24"/>
        </w:rPr>
        <w:t xml:space="preserve">Prior to the rulemaking process, </w:t>
      </w:r>
      <w:r w:rsidRPr="03985F80" w:rsidR="00A53688">
        <w:rPr>
          <w:color w:val="000000" w:themeColor="text1"/>
          <w:sz w:val="24"/>
          <w:szCs w:val="24"/>
        </w:rPr>
        <w:t xml:space="preserve">the estimated total annual burden hours </w:t>
      </w:r>
      <w:r w:rsidR="00764EF5">
        <w:rPr>
          <w:color w:val="000000" w:themeColor="text1"/>
          <w:sz w:val="24"/>
          <w:szCs w:val="24"/>
        </w:rPr>
        <w:t>was</w:t>
      </w:r>
      <w:r w:rsidRPr="03985F80" w:rsidR="00A53688">
        <w:rPr>
          <w:color w:val="000000" w:themeColor="text1"/>
          <w:sz w:val="24"/>
          <w:szCs w:val="24"/>
        </w:rPr>
        <w:t xml:space="preserve"> </w:t>
      </w:r>
      <w:r w:rsidRPr="03985F80" w:rsidR="002A1EC5">
        <w:rPr>
          <w:color w:val="000000" w:themeColor="text1"/>
          <w:sz w:val="24"/>
          <w:szCs w:val="24"/>
        </w:rPr>
        <w:t>16</w:t>
      </w:r>
      <w:r w:rsidRPr="03985F80" w:rsidR="005470CE">
        <w:rPr>
          <w:color w:val="000000" w:themeColor="text1"/>
          <w:sz w:val="24"/>
          <w:szCs w:val="24"/>
        </w:rPr>
        <w:t>,365</w:t>
      </w:r>
      <w:r w:rsidRPr="03985F80" w:rsidR="00A53688">
        <w:rPr>
          <w:color w:val="000000" w:themeColor="text1"/>
          <w:sz w:val="24"/>
          <w:szCs w:val="24"/>
        </w:rPr>
        <w:t xml:space="preserve">. </w:t>
      </w:r>
      <w:r w:rsidRPr="03985F80" w:rsidR="00A53688">
        <w:rPr>
          <w:sz w:val="24"/>
          <w:szCs w:val="24"/>
        </w:rPr>
        <w:t xml:space="preserve">If the proposals in the </w:t>
      </w:r>
      <w:r w:rsidR="00764EF5">
        <w:rPr>
          <w:sz w:val="24"/>
          <w:szCs w:val="24"/>
        </w:rPr>
        <w:t xml:space="preserve">NPRM and Final Rulemaking are </w:t>
      </w:r>
      <w:r w:rsidRPr="03985F80" w:rsidR="00A53688">
        <w:rPr>
          <w:sz w:val="24"/>
          <w:szCs w:val="24"/>
        </w:rPr>
        <w:t xml:space="preserve">adopted, </w:t>
      </w:r>
      <w:r w:rsidR="00764EF5">
        <w:rPr>
          <w:sz w:val="24"/>
          <w:szCs w:val="24"/>
        </w:rPr>
        <w:t xml:space="preserve">the </w:t>
      </w:r>
      <w:r w:rsidRPr="03985F80" w:rsidR="00A53688">
        <w:rPr>
          <w:sz w:val="24"/>
          <w:szCs w:val="24"/>
        </w:rPr>
        <w:t xml:space="preserve">estimated burden hours would increase by </w:t>
      </w:r>
      <w:r w:rsidRPr="03985F80" w:rsidR="00D91053">
        <w:rPr>
          <w:sz w:val="24"/>
          <w:szCs w:val="24"/>
        </w:rPr>
        <w:t>1,</w:t>
      </w:r>
      <w:r w:rsidRPr="03985F80" w:rsidR="00D06266">
        <w:rPr>
          <w:sz w:val="24"/>
          <w:szCs w:val="24"/>
        </w:rPr>
        <w:t>653</w:t>
      </w:r>
      <w:r w:rsidRPr="03985F80" w:rsidR="00D91053">
        <w:rPr>
          <w:sz w:val="24"/>
          <w:szCs w:val="24"/>
        </w:rPr>
        <w:t xml:space="preserve"> </w:t>
      </w:r>
      <w:r w:rsidRPr="03985F80" w:rsidR="00A53688">
        <w:rPr>
          <w:sz w:val="24"/>
          <w:szCs w:val="24"/>
        </w:rPr>
        <w:t xml:space="preserve">hours, </w:t>
      </w:r>
      <w:r w:rsidR="00764EF5">
        <w:rPr>
          <w:sz w:val="24"/>
          <w:szCs w:val="24"/>
        </w:rPr>
        <w:t xml:space="preserve">bringing the total to </w:t>
      </w:r>
      <w:r w:rsidRPr="03985F80" w:rsidR="00696939">
        <w:rPr>
          <w:sz w:val="24"/>
          <w:szCs w:val="24"/>
        </w:rPr>
        <w:t>18,018</w:t>
      </w:r>
      <w:r w:rsidRPr="03985F80" w:rsidR="00A53688">
        <w:rPr>
          <w:sz w:val="24"/>
          <w:szCs w:val="24"/>
        </w:rPr>
        <w:t xml:space="preserve"> hours.  </w:t>
      </w:r>
    </w:p>
    <w:p w:rsidR="00AB0E12" w:rsidP="00C00973" w14:paraId="30C50A44" w14:textId="77777777">
      <w:pPr>
        <w:jc w:val="both"/>
        <w:rPr>
          <w:bCs/>
          <w:sz w:val="25"/>
          <w:szCs w:val="25"/>
        </w:rPr>
      </w:pPr>
    </w:p>
    <w:p w:rsidR="00E75ACE" w:rsidRPr="00F1233D" w:rsidP="00C00973" w14:paraId="3D70429B" w14:textId="77777777">
      <w:pPr>
        <w:pStyle w:val="BodyText2"/>
        <w:numPr>
          <w:ilvl w:val="0"/>
          <w:numId w:val="3"/>
        </w:numPr>
        <w:jc w:val="both"/>
        <w:rPr>
          <w:sz w:val="25"/>
          <w:szCs w:val="25"/>
        </w:rPr>
      </w:pPr>
      <w:r w:rsidRPr="00F1233D">
        <w:rPr>
          <w:sz w:val="25"/>
          <w:szCs w:val="25"/>
        </w:rPr>
        <w:t>Plans for t</w:t>
      </w:r>
      <w:r w:rsidRPr="00F1233D">
        <w:rPr>
          <w:sz w:val="25"/>
          <w:szCs w:val="25"/>
        </w:rPr>
        <w:t>abulation and publication for collections of information whose results will be published.</w:t>
      </w:r>
    </w:p>
    <w:p w:rsidR="00E75ACE" w:rsidRPr="00F1233D" w:rsidP="00C00973" w14:paraId="16B7F713" w14:textId="77777777">
      <w:pPr>
        <w:pStyle w:val="BodyText2"/>
        <w:ind w:firstLine="420"/>
        <w:jc w:val="both"/>
        <w:rPr>
          <w:sz w:val="25"/>
          <w:szCs w:val="25"/>
        </w:rPr>
      </w:pPr>
    </w:p>
    <w:p w:rsidR="00E75ACE" w:rsidRPr="00F1233D" w:rsidP="00C00973" w14:paraId="2A8E414F" w14:textId="1322668C">
      <w:pPr>
        <w:pStyle w:val="BodyText2"/>
        <w:jc w:val="both"/>
        <w:rPr>
          <w:b w:val="0"/>
          <w:sz w:val="25"/>
          <w:szCs w:val="25"/>
        </w:rPr>
      </w:pPr>
      <w:r w:rsidRPr="00F1233D">
        <w:rPr>
          <w:b w:val="0"/>
          <w:sz w:val="25"/>
          <w:szCs w:val="25"/>
        </w:rPr>
        <w:t xml:space="preserve">FTA will prepare </w:t>
      </w:r>
      <w:r w:rsidR="001F785F">
        <w:rPr>
          <w:b w:val="0"/>
          <w:sz w:val="25"/>
          <w:szCs w:val="25"/>
        </w:rPr>
        <w:t xml:space="preserve">reports </w:t>
      </w:r>
      <w:r w:rsidRPr="00F1233D">
        <w:rPr>
          <w:b w:val="0"/>
          <w:sz w:val="25"/>
          <w:szCs w:val="25"/>
        </w:rPr>
        <w:t xml:space="preserve">on </w:t>
      </w:r>
      <w:r w:rsidR="001F785F">
        <w:rPr>
          <w:b w:val="0"/>
          <w:sz w:val="25"/>
          <w:szCs w:val="25"/>
        </w:rPr>
        <w:t>safety event data and trends</w:t>
      </w:r>
      <w:r w:rsidRPr="00F1233D">
        <w:rPr>
          <w:b w:val="0"/>
          <w:sz w:val="25"/>
          <w:szCs w:val="25"/>
        </w:rPr>
        <w:t xml:space="preserve"> as reported by </w:t>
      </w:r>
      <w:r w:rsidRPr="00F1233D" w:rsidR="00DD5D3B">
        <w:rPr>
          <w:b w:val="0"/>
          <w:sz w:val="25"/>
          <w:szCs w:val="25"/>
        </w:rPr>
        <w:t>SSOAs</w:t>
      </w:r>
      <w:r w:rsidRPr="00F1233D">
        <w:rPr>
          <w:b w:val="0"/>
          <w:sz w:val="25"/>
          <w:szCs w:val="25"/>
        </w:rPr>
        <w:t xml:space="preserve"> in their annual submission to FTA.</w:t>
      </w:r>
    </w:p>
    <w:p w:rsidR="00E75ACE" w:rsidP="00C00973" w14:paraId="2E6C5063" w14:textId="77777777">
      <w:pPr>
        <w:pStyle w:val="BodyText2"/>
        <w:ind w:firstLine="420"/>
        <w:jc w:val="both"/>
        <w:rPr>
          <w:b w:val="0"/>
          <w:sz w:val="25"/>
          <w:szCs w:val="25"/>
        </w:rPr>
      </w:pPr>
    </w:p>
    <w:p w:rsidR="006C6233" w:rsidRPr="00F1233D" w:rsidP="00C00973" w14:paraId="399C404E" w14:textId="77777777">
      <w:pPr>
        <w:pStyle w:val="BodyText2"/>
        <w:ind w:firstLine="420"/>
        <w:jc w:val="both"/>
        <w:rPr>
          <w:b w:val="0"/>
          <w:sz w:val="25"/>
          <w:szCs w:val="25"/>
        </w:rPr>
      </w:pPr>
    </w:p>
    <w:p w:rsidR="00E75ACE" w:rsidRPr="00F1233D" w:rsidP="00C00973" w14:paraId="0C54B3E5" w14:textId="77777777">
      <w:pPr>
        <w:pStyle w:val="BodyText2"/>
        <w:numPr>
          <w:ilvl w:val="0"/>
          <w:numId w:val="3"/>
        </w:numPr>
        <w:jc w:val="both"/>
        <w:rPr>
          <w:sz w:val="25"/>
          <w:szCs w:val="25"/>
        </w:rPr>
      </w:pPr>
      <w:r w:rsidRPr="00F1233D">
        <w:rPr>
          <w:sz w:val="25"/>
          <w:szCs w:val="25"/>
        </w:rPr>
        <w:t xml:space="preserve">If seeking approval not to display the </w:t>
      </w:r>
      <w:r w:rsidRPr="00F1233D">
        <w:rPr>
          <w:sz w:val="25"/>
          <w:szCs w:val="25"/>
        </w:rPr>
        <w:t>expiration date for OMB approval, explain the reasons.</w:t>
      </w:r>
    </w:p>
    <w:p w:rsidR="00E75ACE" w:rsidRPr="00F1233D" w:rsidP="00C00973" w14:paraId="28860813" w14:textId="77777777">
      <w:pPr>
        <w:pStyle w:val="BodyText2"/>
        <w:ind w:firstLine="420"/>
        <w:jc w:val="both"/>
        <w:rPr>
          <w:b w:val="0"/>
          <w:sz w:val="25"/>
          <w:szCs w:val="25"/>
        </w:rPr>
      </w:pPr>
    </w:p>
    <w:p w:rsidR="00E75ACE" w:rsidRPr="00F1233D" w:rsidP="00C00973" w14:paraId="38F07700" w14:textId="77777777">
      <w:pPr>
        <w:spacing w:line="360" w:lineRule="auto"/>
        <w:ind w:firstLine="420"/>
        <w:jc w:val="both"/>
        <w:rPr>
          <w:sz w:val="25"/>
          <w:szCs w:val="25"/>
        </w:rPr>
      </w:pPr>
      <w:r w:rsidRPr="00F1233D">
        <w:rPr>
          <w:sz w:val="25"/>
          <w:szCs w:val="25"/>
        </w:rPr>
        <w:t>FTA is not seeking this approval.</w:t>
      </w:r>
    </w:p>
    <w:p w:rsidR="00E75ACE" w:rsidRPr="00F1233D" w:rsidP="00C00973" w14:paraId="7C121A61" w14:textId="27F7D7B5">
      <w:pPr>
        <w:pStyle w:val="BodyText2"/>
        <w:numPr>
          <w:ilvl w:val="0"/>
          <w:numId w:val="3"/>
        </w:numPr>
        <w:jc w:val="both"/>
        <w:rPr>
          <w:sz w:val="25"/>
          <w:szCs w:val="25"/>
        </w:rPr>
      </w:pPr>
      <w:r w:rsidRPr="00F1233D">
        <w:rPr>
          <w:sz w:val="25"/>
          <w:szCs w:val="25"/>
        </w:rPr>
        <w:t>Explain any exception to the certification statement.</w:t>
      </w:r>
    </w:p>
    <w:p w:rsidR="00E75ACE" w:rsidRPr="00F1233D" w:rsidP="00C00973" w14:paraId="5D8B0435" w14:textId="77777777">
      <w:pPr>
        <w:pStyle w:val="BodyText2"/>
        <w:jc w:val="both"/>
        <w:rPr>
          <w:sz w:val="25"/>
          <w:szCs w:val="25"/>
        </w:rPr>
      </w:pPr>
    </w:p>
    <w:p w:rsidR="0078548E" w:rsidRPr="00F1233D" w:rsidP="0003358C" w14:paraId="426D4D2C" w14:textId="1F0A2F8A">
      <w:pPr>
        <w:pStyle w:val="BodyText2"/>
        <w:jc w:val="both"/>
        <w:rPr>
          <w:sz w:val="25"/>
          <w:szCs w:val="25"/>
        </w:rPr>
      </w:pPr>
      <w:r w:rsidRPr="00F1233D">
        <w:rPr>
          <w:sz w:val="25"/>
          <w:szCs w:val="25"/>
        </w:rPr>
        <w:t xml:space="preserve">       </w:t>
      </w:r>
      <w:r w:rsidRPr="00F1233D">
        <w:rPr>
          <w:b w:val="0"/>
          <w:sz w:val="25"/>
          <w:szCs w:val="25"/>
        </w:rPr>
        <w:t xml:space="preserve">There are no exceptions to the certification statement. </w:t>
      </w:r>
    </w:p>
    <w:sectPr w:rsidSect="00C00973">
      <w:footerReference w:type="default" r:id="rId1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072C" w14:paraId="61AE7A85" w14:textId="15C8E862">
    <w:pPr>
      <w:pStyle w:val="Footer"/>
      <w:jc w:val="center"/>
    </w:pPr>
    <w:r>
      <w:rPr>
        <w:rStyle w:val="PageNumber"/>
      </w:rPr>
      <w:fldChar w:fldCharType="begin"/>
    </w:r>
    <w:r>
      <w:rPr>
        <w:rStyle w:val="PageNumber"/>
      </w:rPr>
      <w:instrText xml:space="preserve"> PAGE </w:instrText>
    </w:r>
    <w:r>
      <w:rPr>
        <w:rStyle w:val="PageNumber"/>
      </w:rPr>
      <w:fldChar w:fldCharType="separate"/>
    </w:r>
    <w:r w:rsidR="00ED208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442F3" w14:paraId="19B92E00" w14:textId="77777777">
      <w:r>
        <w:separator/>
      </w:r>
    </w:p>
  </w:footnote>
  <w:footnote w:type="continuationSeparator" w:id="1">
    <w:p w:rsidR="005442F3" w14:paraId="0D5E56D9" w14:textId="77777777">
      <w:r>
        <w:continuationSeparator/>
      </w:r>
    </w:p>
  </w:footnote>
  <w:footnote w:type="continuationNotice" w:id="2">
    <w:p w:rsidR="005442F3" w14:paraId="00AD37A2" w14:textId="77777777"/>
  </w:footnote>
  <w:footnote w:id="3">
    <w:p w:rsidR="009B6E68" w14:paraId="1EBAE835" w14:textId="6D0CE3A8">
      <w:pPr>
        <w:pStyle w:val="FootnoteText"/>
      </w:pPr>
      <w:r>
        <w:rPr>
          <w:rStyle w:val="FootnoteReference"/>
        </w:rPr>
        <w:footnoteRef/>
      </w:r>
      <w:r>
        <w:t xml:space="preserve"> Labor rate calculated by using 2021 Bureau of Labor Statistics (BLS)</w:t>
      </w:r>
      <w:r w:rsidRPr="00FE7A74">
        <w:t xml:space="preserve"> </w:t>
      </w:r>
      <w:hyperlink r:id="rId1" w:history="1">
        <w:r w:rsidRPr="00E26F64">
          <w:rPr>
            <w:color w:val="0000FF"/>
            <w:u w:val="single"/>
          </w:rPr>
          <w:t>Health and Safety Engineers, Except Mining Safety Engineers and Inspectors (bls.gov)</w:t>
        </w:r>
      </w:hyperlink>
      <w:r>
        <w:t xml:space="preserve">category </w:t>
      </w:r>
      <w:r w:rsidRPr="00634C05">
        <w:t>17-2110</w:t>
      </w:r>
      <w:r>
        <w:t xml:space="preserve"> ($47.83) and adding 28%</w:t>
      </w:r>
      <w:r>
        <w:t xml:space="preserve"> for fringe costs ($61.35).</w:t>
      </w:r>
    </w:p>
  </w:footnote>
  <w:footnote w:id="4">
    <w:p w:rsidR="00C542C0" w:rsidP="00C542C0" w14:paraId="55FE4085" w14:textId="74E49858">
      <w:pPr>
        <w:pStyle w:val="FootnoteText"/>
      </w:pPr>
      <w:r>
        <w:rPr>
          <w:rStyle w:val="FootnoteReference"/>
        </w:rPr>
        <w:footnoteRef/>
      </w:r>
      <w:r>
        <w:t xml:space="preserve"> Based on Part 674 Workload Assessments and burden reduction related to FTA’s reporting system and process</w:t>
      </w:r>
      <w:r w:rsidR="00634C05">
        <w:t>.</w:t>
      </w:r>
    </w:p>
  </w:footnote>
  <w:footnote w:id="5">
    <w:p w:rsidR="003B1CAD" w:rsidRPr="004B55AF" w:rsidP="003B1CAD" w14:paraId="15FE0323" w14:textId="47B86AC2">
      <w:pPr>
        <w:pStyle w:val="FootnoteText"/>
      </w:pPr>
      <w:r>
        <w:rPr>
          <w:rStyle w:val="FootnoteReference"/>
        </w:rPr>
        <w:footnoteRef/>
      </w:r>
      <w:r>
        <w:t xml:space="preserve"> Estimates</w:t>
      </w:r>
      <w:r w:rsidRPr="004B55AF">
        <w:t xml:space="preserve"> based on the schedule provided in the most recent</w:t>
      </w:r>
      <w:r>
        <w:t xml:space="preserve"> </w:t>
      </w:r>
      <w:r w:rsidRPr="004B55AF">
        <w:t xml:space="preserve">SSO Audit SOP. </w:t>
      </w:r>
      <w:r w:rsidR="004753F0">
        <w:t xml:space="preserve">The 10-audit annual average </w:t>
      </w:r>
      <w:r w:rsidRPr="004B55AF">
        <w:t xml:space="preserve">is based on </w:t>
      </w:r>
      <w:r w:rsidR="004753F0">
        <w:t xml:space="preserve">FTA’s </w:t>
      </w:r>
      <w:r w:rsidRPr="004B55AF">
        <w:t>requirement to audit each SSOA</w:t>
      </w:r>
      <w:r w:rsidR="004753F0">
        <w:t xml:space="preserve"> at least once every three years</w:t>
      </w:r>
      <w:r w:rsidRPr="004B55AF">
        <w:t>.</w:t>
      </w:r>
    </w:p>
  </w:footnote>
  <w:footnote w:id="6">
    <w:p w:rsidR="004B55AF" w14:paraId="4CCB20DE" w14:textId="42D7264C">
      <w:pPr>
        <w:pStyle w:val="FootnoteText"/>
      </w:pPr>
      <w:r>
        <w:rPr>
          <w:rStyle w:val="FootnoteReference"/>
        </w:rPr>
        <w:footnoteRef/>
      </w:r>
      <w:r>
        <w:t xml:space="preserve"> </w:t>
      </w:r>
      <w:r w:rsidRPr="004B55AF">
        <w:t>Safety Advisories/Directives hours are projected based on an average of four advisories or directives a year to SSOAs and 2 requests a year to R</w:t>
      </w:r>
      <w:r w:rsidRPr="004B55AF">
        <w:t xml:space="preserve">TAs. Ongoing monthly </w:t>
      </w:r>
      <w:r w:rsidR="00F467E7">
        <w:t xml:space="preserve">teleconference </w:t>
      </w:r>
      <w:r w:rsidRPr="004B55AF">
        <w:t>updates occur between the SSOA and FTA Program Manager to discuss program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06E96"/>
    <w:multiLevelType w:val="hybridMultilevel"/>
    <w:tmpl w:val="E48A48C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932583"/>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0D7B64FD"/>
    <w:multiLevelType w:val="hybridMultilevel"/>
    <w:tmpl w:val="9EE8BD4A"/>
    <w:lvl w:ilvl="0">
      <w:start w:val="61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029E7"/>
    <w:multiLevelType w:val="singleLevel"/>
    <w:tmpl w:val="800CCC20"/>
    <w:lvl w:ilvl="0">
      <w:start w:val="1"/>
      <w:numFmt w:val="lowerLetter"/>
      <w:lvlText w:val="%1."/>
      <w:lvlJc w:val="left"/>
      <w:pPr>
        <w:tabs>
          <w:tab w:val="num" w:pos="1080"/>
        </w:tabs>
        <w:ind w:left="1080" w:hanging="360"/>
      </w:pPr>
    </w:lvl>
  </w:abstractNum>
  <w:abstractNum w:abstractNumId="4">
    <w:nsid w:val="189671E3"/>
    <w:multiLevelType w:val="hybridMultilevel"/>
    <w:tmpl w:val="E0662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932958"/>
    <w:multiLevelType w:val="hybridMultilevel"/>
    <w:tmpl w:val="7D861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DF2845"/>
    <w:multiLevelType w:val="singleLevel"/>
    <w:tmpl w:val="385EEDD2"/>
    <w:lvl w:ilvl="0">
      <w:start w:val="13"/>
      <w:numFmt w:val="decimal"/>
      <w:lvlText w:val="%1."/>
      <w:lvlJc w:val="left"/>
      <w:pPr>
        <w:tabs>
          <w:tab w:val="num" w:pos="420"/>
        </w:tabs>
        <w:ind w:left="420" w:hanging="420"/>
      </w:pPr>
      <w:rPr>
        <w:rFonts w:hint="default"/>
      </w:rPr>
    </w:lvl>
  </w:abstractNum>
  <w:abstractNum w:abstractNumId="7">
    <w:nsid w:val="406D5574"/>
    <w:multiLevelType w:val="hybridMultilevel"/>
    <w:tmpl w:val="F808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13367B"/>
    <w:multiLevelType w:val="hybridMultilevel"/>
    <w:tmpl w:val="E20A2E28"/>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0D73EC"/>
    <w:multiLevelType w:val="hybridMultilevel"/>
    <w:tmpl w:val="4B4E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654E94"/>
    <w:multiLevelType w:val="hybridMultilevel"/>
    <w:tmpl w:val="23EC77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6BF41E8"/>
    <w:multiLevelType w:val="singleLevel"/>
    <w:tmpl w:val="0409000F"/>
    <w:lvl w:ilvl="0">
      <w:start w:val="1"/>
      <w:numFmt w:val="decimal"/>
      <w:lvlText w:val="%1."/>
      <w:lvlJc w:val="left"/>
      <w:pPr>
        <w:tabs>
          <w:tab w:val="num" w:pos="360"/>
        </w:tabs>
        <w:ind w:left="360" w:hanging="360"/>
      </w:pPr>
    </w:lvl>
  </w:abstractNum>
  <w:abstractNum w:abstractNumId="12">
    <w:nsid w:val="7E607090"/>
    <w:multiLevelType w:val="hybridMultilevel"/>
    <w:tmpl w:val="C9EE3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8"/>
  </w:num>
  <w:num w:numId="5">
    <w:abstractNumId w:val="3"/>
    <w:lvlOverride w:ilvl="0">
      <w:startOverride w:val="1"/>
    </w:lvlOverride>
  </w:num>
  <w:num w:numId="6">
    <w:abstractNumId w:val="0"/>
  </w:num>
  <w:num w:numId="7">
    <w:abstractNumId w:val="10"/>
  </w:num>
  <w:num w:numId="8">
    <w:abstractNumId w:val="7"/>
  </w:num>
  <w:num w:numId="9">
    <w:abstractNumId w:val="9"/>
  </w:num>
  <w:num w:numId="10">
    <w:abstractNumId w:val="5"/>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E"/>
    <w:rsid w:val="00001938"/>
    <w:rsid w:val="00012614"/>
    <w:rsid w:val="000128B4"/>
    <w:rsid w:val="000157CD"/>
    <w:rsid w:val="00020ECF"/>
    <w:rsid w:val="0003358C"/>
    <w:rsid w:val="0003358D"/>
    <w:rsid w:val="00036954"/>
    <w:rsid w:val="000441FC"/>
    <w:rsid w:val="000572B8"/>
    <w:rsid w:val="000704D7"/>
    <w:rsid w:val="00074DE3"/>
    <w:rsid w:val="00081D6F"/>
    <w:rsid w:val="00090BE7"/>
    <w:rsid w:val="00096DAC"/>
    <w:rsid w:val="000A6ECC"/>
    <w:rsid w:val="000A7C8B"/>
    <w:rsid w:val="000C07B3"/>
    <w:rsid w:val="000D4787"/>
    <w:rsid w:val="000D705E"/>
    <w:rsid w:val="000E156B"/>
    <w:rsid w:val="000E4630"/>
    <w:rsid w:val="000E6431"/>
    <w:rsid w:val="0010593F"/>
    <w:rsid w:val="0010FA26"/>
    <w:rsid w:val="00110835"/>
    <w:rsid w:val="00116BA9"/>
    <w:rsid w:val="00122412"/>
    <w:rsid w:val="00122DF6"/>
    <w:rsid w:val="00123AAA"/>
    <w:rsid w:val="0013131B"/>
    <w:rsid w:val="001423B1"/>
    <w:rsid w:val="00142F16"/>
    <w:rsid w:val="00145CF2"/>
    <w:rsid w:val="00146257"/>
    <w:rsid w:val="00153FCB"/>
    <w:rsid w:val="00164102"/>
    <w:rsid w:val="00173681"/>
    <w:rsid w:val="0018317D"/>
    <w:rsid w:val="0018713F"/>
    <w:rsid w:val="00190EB2"/>
    <w:rsid w:val="001A0198"/>
    <w:rsid w:val="001A0BA5"/>
    <w:rsid w:val="001A6A3F"/>
    <w:rsid w:val="001B1CF1"/>
    <w:rsid w:val="001B63AC"/>
    <w:rsid w:val="001C08C2"/>
    <w:rsid w:val="001C460F"/>
    <w:rsid w:val="001C7302"/>
    <w:rsid w:val="001D34A4"/>
    <w:rsid w:val="001E4BE1"/>
    <w:rsid w:val="001E6DF1"/>
    <w:rsid w:val="001F26B7"/>
    <w:rsid w:val="001F785F"/>
    <w:rsid w:val="00203161"/>
    <w:rsid w:val="00205E4F"/>
    <w:rsid w:val="00212E23"/>
    <w:rsid w:val="00220767"/>
    <w:rsid w:val="00220BDD"/>
    <w:rsid w:val="00223B51"/>
    <w:rsid w:val="00224B2A"/>
    <w:rsid w:val="00260C83"/>
    <w:rsid w:val="00270C38"/>
    <w:rsid w:val="00271E62"/>
    <w:rsid w:val="0027627A"/>
    <w:rsid w:val="00285CAA"/>
    <w:rsid w:val="0028650A"/>
    <w:rsid w:val="00287B00"/>
    <w:rsid w:val="002A0CAA"/>
    <w:rsid w:val="002A1EC5"/>
    <w:rsid w:val="002B0FD3"/>
    <w:rsid w:val="002C335A"/>
    <w:rsid w:val="002D0E9B"/>
    <w:rsid w:val="002D7A3D"/>
    <w:rsid w:val="002E026A"/>
    <w:rsid w:val="002E1467"/>
    <w:rsid w:val="002E7FDB"/>
    <w:rsid w:val="002F7010"/>
    <w:rsid w:val="0030401B"/>
    <w:rsid w:val="00307B44"/>
    <w:rsid w:val="00307FCF"/>
    <w:rsid w:val="003138F3"/>
    <w:rsid w:val="00314B2C"/>
    <w:rsid w:val="00317759"/>
    <w:rsid w:val="00322556"/>
    <w:rsid w:val="00323E48"/>
    <w:rsid w:val="0034076D"/>
    <w:rsid w:val="0034305A"/>
    <w:rsid w:val="00344553"/>
    <w:rsid w:val="003546CD"/>
    <w:rsid w:val="00362284"/>
    <w:rsid w:val="00367261"/>
    <w:rsid w:val="0037115E"/>
    <w:rsid w:val="003717EE"/>
    <w:rsid w:val="00373A67"/>
    <w:rsid w:val="00374034"/>
    <w:rsid w:val="0038035A"/>
    <w:rsid w:val="00391FD1"/>
    <w:rsid w:val="003A295A"/>
    <w:rsid w:val="003A6ED1"/>
    <w:rsid w:val="003B1CAD"/>
    <w:rsid w:val="003B2F03"/>
    <w:rsid w:val="003C1944"/>
    <w:rsid w:val="003D3C71"/>
    <w:rsid w:val="003D3C8B"/>
    <w:rsid w:val="003D43EB"/>
    <w:rsid w:val="003D5F27"/>
    <w:rsid w:val="003E1DFF"/>
    <w:rsid w:val="003E3128"/>
    <w:rsid w:val="003E3AFC"/>
    <w:rsid w:val="003F61E6"/>
    <w:rsid w:val="0040019A"/>
    <w:rsid w:val="00400BC4"/>
    <w:rsid w:val="0040466D"/>
    <w:rsid w:val="0040510D"/>
    <w:rsid w:val="004070EA"/>
    <w:rsid w:val="00410471"/>
    <w:rsid w:val="004115B0"/>
    <w:rsid w:val="004122C7"/>
    <w:rsid w:val="00417510"/>
    <w:rsid w:val="0041765F"/>
    <w:rsid w:val="004223A4"/>
    <w:rsid w:val="00432C35"/>
    <w:rsid w:val="00434517"/>
    <w:rsid w:val="00434E5C"/>
    <w:rsid w:val="00442756"/>
    <w:rsid w:val="00461B70"/>
    <w:rsid w:val="004638D1"/>
    <w:rsid w:val="004753F0"/>
    <w:rsid w:val="00476160"/>
    <w:rsid w:val="00477731"/>
    <w:rsid w:val="00480AB2"/>
    <w:rsid w:val="004818D8"/>
    <w:rsid w:val="00482742"/>
    <w:rsid w:val="00491626"/>
    <w:rsid w:val="00491CAC"/>
    <w:rsid w:val="004944EF"/>
    <w:rsid w:val="00495DFB"/>
    <w:rsid w:val="004A5B2B"/>
    <w:rsid w:val="004B55AF"/>
    <w:rsid w:val="004B60C4"/>
    <w:rsid w:val="004C1D1A"/>
    <w:rsid w:val="004C398A"/>
    <w:rsid w:val="004D44C2"/>
    <w:rsid w:val="004D5F9C"/>
    <w:rsid w:val="004D60E6"/>
    <w:rsid w:val="004E3705"/>
    <w:rsid w:val="004E3FF2"/>
    <w:rsid w:val="004F0D6C"/>
    <w:rsid w:val="004F152A"/>
    <w:rsid w:val="004F6571"/>
    <w:rsid w:val="004F6784"/>
    <w:rsid w:val="004F762B"/>
    <w:rsid w:val="00511415"/>
    <w:rsid w:val="005147E3"/>
    <w:rsid w:val="0051719E"/>
    <w:rsid w:val="0053615D"/>
    <w:rsid w:val="005442F3"/>
    <w:rsid w:val="005470CE"/>
    <w:rsid w:val="00547F66"/>
    <w:rsid w:val="005725DF"/>
    <w:rsid w:val="005A285B"/>
    <w:rsid w:val="005A3EBE"/>
    <w:rsid w:val="005B072C"/>
    <w:rsid w:val="005B3A9D"/>
    <w:rsid w:val="005B6CBC"/>
    <w:rsid w:val="005C63A7"/>
    <w:rsid w:val="005D4F69"/>
    <w:rsid w:val="005E4B48"/>
    <w:rsid w:val="005F0ED3"/>
    <w:rsid w:val="005F2C41"/>
    <w:rsid w:val="005F7957"/>
    <w:rsid w:val="00600127"/>
    <w:rsid w:val="00600870"/>
    <w:rsid w:val="00600C8F"/>
    <w:rsid w:val="00601DCB"/>
    <w:rsid w:val="00601E25"/>
    <w:rsid w:val="00605E9A"/>
    <w:rsid w:val="00606090"/>
    <w:rsid w:val="00606D7C"/>
    <w:rsid w:val="006206BE"/>
    <w:rsid w:val="00621D6E"/>
    <w:rsid w:val="00623515"/>
    <w:rsid w:val="00634C05"/>
    <w:rsid w:val="00640BB8"/>
    <w:rsid w:val="00640CAE"/>
    <w:rsid w:val="00644ED5"/>
    <w:rsid w:val="006513C3"/>
    <w:rsid w:val="00653BE5"/>
    <w:rsid w:val="00653D81"/>
    <w:rsid w:val="00653EA6"/>
    <w:rsid w:val="00656212"/>
    <w:rsid w:val="006618C9"/>
    <w:rsid w:val="0066270F"/>
    <w:rsid w:val="00664874"/>
    <w:rsid w:val="00674F12"/>
    <w:rsid w:val="00687C13"/>
    <w:rsid w:val="00687F99"/>
    <w:rsid w:val="006932E0"/>
    <w:rsid w:val="00696939"/>
    <w:rsid w:val="006A02A4"/>
    <w:rsid w:val="006A13C6"/>
    <w:rsid w:val="006A3732"/>
    <w:rsid w:val="006A510A"/>
    <w:rsid w:val="006A5B4E"/>
    <w:rsid w:val="006A6BDA"/>
    <w:rsid w:val="006B156A"/>
    <w:rsid w:val="006B537D"/>
    <w:rsid w:val="006B546C"/>
    <w:rsid w:val="006B7AB1"/>
    <w:rsid w:val="006C475C"/>
    <w:rsid w:val="006C6233"/>
    <w:rsid w:val="006D1A15"/>
    <w:rsid w:val="006D7E0C"/>
    <w:rsid w:val="006F7D19"/>
    <w:rsid w:val="0070064A"/>
    <w:rsid w:val="0070589C"/>
    <w:rsid w:val="007116E7"/>
    <w:rsid w:val="00720495"/>
    <w:rsid w:val="00720EB0"/>
    <w:rsid w:val="00722D37"/>
    <w:rsid w:val="00726154"/>
    <w:rsid w:val="007267ED"/>
    <w:rsid w:val="007308B2"/>
    <w:rsid w:val="007326DE"/>
    <w:rsid w:val="00732A94"/>
    <w:rsid w:val="00746B3B"/>
    <w:rsid w:val="007511C1"/>
    <w:rsid w:val="00753E9E"/>
    <w:rsid w:val="00756CAA"/>
    <w:rsid w:val="00760C6C"/>
    <w:rsid w:val="00763176"/>
    <w:rsid w:val="00764EF5"/>
    <w:rsid w:val="00774EE5"/>
    <w:rsid w:val="0077598A"/>
    <w:rsid w:val="00781B87"/>
    <w:rsid w:val="0078548E"/>
    <w:rsid w:val="00785BA5"/>
    <w:rsid w:val="0079186F"/>
    <w:rsid w:val="007932F3"/>
    <w:rsid w:val="007956E7"/>
    <w:rsid w:val="007B1FA8"/>
    <w:rsid w:val="007C006E"/>
    <w:rsid w:val="007C4F09"/>
    <w:rsid w:val="007C7E02"/>
    <w:rsid w:val="007D3A87"/>
    <w:rsid w:val="007D50EC"/>
    <w:rsid w:val="007D58CB"/>
    <w:rsid w:val="007E0605"/>
    <w:rsid w:val="007E0C27"/>
    <w:rsid w:val="007E1379"/>
    <w:rsid w:val="007E291D"/>
    <w:rsid w:val="007E3B26"/>
    <w:rsid w:val="007E675F"/>
    <w:rsid w:val="007F53D4"/>
    <w:rsid w:val="007F58F6"/>
    <w:rsid w:val="00800C94"/>
    <w:rsid w:val="008074F4"/>
    <w:rsid w:val="00811C0D"/>
    <w:rsid w:val="00811CB4"/>
    <w:rsid w:val="00816D00"/>
    <w:rsid w:val="00827425"/>
    <w:rsid w:val="00832270"/>
    <w:rsid w:val="008356BD"/>
    <w:rsid w:val="00836AA0"/>
    <w:rsid w:val="00841868"/>
    <w:rsid w:val="00841E04"/>
    <w:rsid w:val="00850EE8"/>
    <w:rsid w:val="00855C4F"/>
    <w:rsid w:val="008562A5"/>
    <w:rsid w:val="00860C7B"/>
    <w:rsid w:val="008632AA"/>
    <w:rsid w:val="0086434A"/>
    <w:rsid w:val="00866909"/>
    <w:rsid w:val="00870258"/>
    <w:rsid w:val="008706A5"/>
    <w:rsid w:val="00870FC3"/>
    <w:rsid w:val="00874206"/>
    <w:rsid w:val="0088032C"/>
    <w:rsid w:val="00891CED"/>
    <w:rsid w:val="008A1F59"/>
    <w:rsid w:val="008A4301"/>
    <w:rsid w:val="008A52A3"/>
    <w:rsid w:val="008B7F7F"/>
    <w:rsid w:val="008C1BA3"/>
    <w:rsid w:val="008C5628"/>
    <w:rsid w:val="008C5892"/>
    <w:rsid w:val="008C7EB2"/>
    <w:rsid w:val="008D11F7"/>
    <w:rsid w:val="008D6C88"/>
    <w:rsid w:val="008E189F"/>
    <w:rsid w:val="008F3D99"/>
    <w:rsid w:val="008F4704"/>
    <w:rsid w:val="00905EED"/>
    <w:rsid w:val="009104EF"/>
    <w:rsid w:val="009110B5"/>
    <w:rsid w:val="00913069"/>
    <w:rsid w:val="00916CAD"/>
    <w:rsid w:val="00924EA3"/>
    <w:rsid w:val="00931DC2"/>
    <w:rsid w:val="00940E3E"/>
    <w:rsid w:val="009430A6"/>
    <w:rsid w:val="009437DB"/>
    <w:rsid w:val="00956EBD"/>
    <w:rsid w:val="009608A1"/>
    <w:rsid w:val="009643E3"/>
    <w:rsid w:val="0096704B"/>
    <w:rsid w:val="009837DF"/>
    <w:rsid w:val="009A1DD1"/>
    <w:rsid w:val="009A2184"/>
    <w:rsid w:val="009A6C9A"/>
    <w:rsid w:val="009B6E68"/>
    <w:rsid w:val="009D7A46"/>
    <w:rsid w:val="009E1A40"/>
    <w:rsid w:val="009E2727"/>
    <w:rsid w:val="009E57DE"/>
    <w:rsid w:val="009E6FEC"/>
    <w:rsid w:val="009F2650"/>
    <w:rsid w:val="009F460D"/>
    <w:rsid w:val="009F47B8"/>
    <w:rsid w:val="009F5680"/>
    <w:rsid w:val="009F7280"/>
    <w:rsid w:val="00A12E4E"/>
    <w:rsid w:val="00A23046"/>
    <w:rsid w:val="00A23703"/>
    <w:rsid w:val="00A24A3E"/>
    <w:rsid w:val="00A2679F"/>
    <w:rsid w:val="00A3567D"/>
    <w:rsid w:val="00A36E84"/>
    <w:rsid w:val="00A50C2F"/>
    <w:rsid w:val="00A53688"/>
    <w:rsid w:val="00A553D5"/>
    <w:rsid w:val="00A66FD1"/>
    <w:rsid w:val="00A70168"/>
    <w:rsid w:val="00A71AB7"/>
    <w:rsid w:val="00A73015"/>
    <w:rsid w:val="00A77813"/>
    <w:rsid w:val="00A800AD"/>
    <w:rsid w:val="00AA63B0"/>
    <w:rsid w:val="00AB0AC1"/>
    <w:rsid w:val="00AB0E12"/>
    <w:rsid w:val="00AB2616"/>
    <w:rsid w:val="00AC1CCD"/>
    <w:rsid w:val="00AC4EB2"/>
    <w:rsid w:val="00AE6B80"/>
    <w:rsid w:val="00B0457E"/>
    <w:rsid w:val="00B06E42"/>
    <w:rsid w:val="00B143AC"/>
    <w:rsid w:val="00B210A9"/>
    <w:rsid w:val="00B21606"/>
    <w:rsid w:val="00B25A9B"/>
    <w:rsid w:val="00B40691"/>
    <w:rsid w:val="00B40971"/>
    <w:rsid w:val="00B415AA"/>
    <w:rsid w:val="00B450D8"/>
    <w:rsid w:val="00B509CF"/>
    <w:rsid w:val="00B50DF9"/>
    <w:rsid w:val="00B56484"/>
    <w:rsid w:val="00B61429"/>
    <w:rsid w:val="00B61EBC"/>
    <w:rsid w:val="00B66AE4"/>
    <w:rsid w:val="00B70E98"/>
    <w:rsid w:val="00B72721"/>
    <w:rsid w:val="00B82AC7"/>
    <w:rsid w:val="00B936B4"/>
    <w:rsid w:val="00BA152E"/>
    <w:rsid w:val="00BA1DA0"/>
    <w:rsid w:val="00BA5312"/>
    <w:rsid w:val="00BB06F1"/>
    <w:rsid w:val="00BB4D7F"/>
    <w:rsid w:val="00BB68E8"/>
    <w:rsid w:val="00BC1543"/>
    <w:rsid w:val="00BD666F"/>
    <w:rsid w:val="00BE009C"/>
    <w:rsid w:val="00BE236E"/>
    <w:rsid w:val="00BE65A4"/>
    <w:rsid w:val="00BF071F"/>
    <w:rsid w:val="00BF41E0"/>
    <w:rsid w:val="00BF57A7"/>
    <w:rsid w:val="00BF59C1"/>
    <w:rsid w:val="00C00973"/>
    <w:rsid w:val="00C124E2"/>
    <w:rsid w:val="00C223C6"/>
    <w:rsid w:val="00C22796"/>
    <w:rsid w:val="00C30F59"/>
    <w:rsid w:val="00C32C6A"/>
    <w:rsid w:val="00C33351"/>
    <w:rsid w:val="00C37C6A"/>
    <w:rsid w:val="00C404AD"/>
    <w:rsid w:val="00C42A17"/>
    <w:rsid w:val="00C45FAB"/>
    <w:rsid w:val="00C51BFF"/>
    <w:rsid w:val="00C51FEB"/>
    <w:rsid w:val="00C542C0"/>
    <w:rsid w:val="00C6593C"/>
    <w:rsid w:val="00C772D2"/>
    <w:rsid w:val="00C848EF"/>
    <w:rsid w:val="00C92D9A"/>
    <w:rsid w:val="00C93E13"/>
    <w:rsid w:val="00CA0F99"/>
    <w:rsid w:val="00CA311C"/>
    <w:rsid w:val="00CA7C24"/>
    <w:rsid w:val="00CB2DBE"/>
    <w:rsid w:val="00CC1E1E"/>
    <w:rsid w:val="00CD259E"/>
    <w:rsid w:val="00CD5BAC"/>
    <w:rsid w:val="00CE5429"/>
    <w:rsid w:val="00CF4DA9"/>
    <w:rsid w:val="00D02A27"/>
    <w:rsid w:val="00D06266"/>
    <w:rsid w:val="00D117E0"/>
    <w:rsid w:val="00D163B8"/>
    <w:rsid w:val="00D1669F"/>
    <w:rsid w:val="00D179D3"/>
    <w:rsid w:val="00D27179"/>
    <w:rsid w:val="00D30E31"/>
    <w:rsid w:val="00D316FA"/>
    <w:rsid w:val="00D37E6E"/>
    <w:rsid w:val="00D4688C"/>
    <w:rsid w:val="00D479A1"/>
    <w:rsid w:val="00D53843"/>
    <w:rsid w:val="00D629AC"/>
    <w:rsid w:val="00D62C70"/>
    <w:rsid w:val="00D64AA9"/>
    <w:rsid w:val="00D6595D"/>
    <w:rsid w:val="00D66194"/>
    <w:rsid w:val="00D8394A"/>
    <w:rsid w:val="00D85F88"/>
    <w:rsid w:val="00D91053"/>
    <w:rsid w:val="00D945E0"/>
    <w:rsid w:val="00D96325"/>
    <w:rsid w:val="00D9719A"/>
    <w:rsid w:val="00D977A5"/>
    <w:rsid w:val="00DA6AB9"/>
    <w:rsid w:val="00DB47F7"/>
    <w:rsid w:val="00DB6D31"/>
    <w:rsid w:val="00DC4E88"/>
    <w:rsid w:val="00DC56A3"/>
    <w:rsid w:val="00DD114B"/>
    <w:rsid w:val="00DD45DC"/>
    <w:rsid w:val="00DD5D3B"/>
    <w:rsid w:val="00DE0671"/>
    <w:rsid w:val="00DE2413"/>
    <w:rsid w:val="00DE24F1"/>
    <w:rsid w:val="00DE5507"/>
    <w:rsid w:val="00DE643B"/>
    <w:rsid w:val="00DF0FB6"/>
    <w:rsid w:val="00DF38B9"/>
    <w:rsid w:val="00DF48A2"/>
    <w:rsid w:val="00E00F56"/>
    <w:rsid w:val="00E0394F"/>
    <w:rsid w:val="00E04E51"/>
    <w:rsid w:val="00E22296"/>
    <w:rsid w:val="00E24695"/>
    <w:rsid w:val="00E25AAA"/>
    <w:rsid w:val="00E26F64"/>
    <w:rsid w:val="00E360A5"/>
    <w:rsid w:val="00E3711F"/>
    <w:rsid w:val="00E37726"/>
    <w:rsid w:val="00E4055F"/>
    <w:rsid w:val="00E4083C"/>
    <w:rsid w:val="00E50C23"/>
    <w:rsid w:val="00E54903"/>
    <w:rsid w:val="00E57CF2"/>
    <w:rsid w:val="00E60202"/>
    <w:rsid w:val="00E62ADA"/>
    <w:rsid w:val="00E6321D"/>
    <w:rsid w:val="00E6659E"/>
    <w:rsid w:val="00E71BC3"/>
    <w:rsid w:val="00E7331B"/>
    <w:rsid w:val="00E75ACE"/>
    <w:rsid w:val="00E901E6"/>
    <w:rsid w:val="00E90C44"/>
    <w:rsid w:val="00E94490"/>
    <w:rsid w:val="00EA1114"/>
    <w:rsid w:val="00EC0A80"/>
    <w:rsid w:val="00EC0E97"/>
    <w:rsid w:val="00EC2386"/>
    <w:rsid w:val="00EC3C62"/>
    <w:rsid w:val="00EC7235"/>
    <w:rsid w:val="00ED1120"/>
    <w:rsid w:val="00ED192F"/>
    <w:rsid w:val="00ED2084"/>
    <w:rsid w:val="00EE783E"/>
    <w:rsid w:val="00EE7BAE"/>
    <w:rsid w:val="00EF5D08"/>
    <w:rsid w:val="00EF6723"/>
    <w:rsid w:val="00EF7003"/>
    <w:rsid w:val="00F00A8A"/>
    <w:rsid w:val="00F017CF"/>
    <w:rsid w:val="00F11336"/>
    <w:rsid w:val="00F1233D"/>
    <w:rsid w:val="00F1433E"/>
    <w:rsid w:val="00F1732B"/>
    <w:rsid w:val="00F200F4"/>
    <w:rsid w:val="00F27618"/>
    <w:rsid w:val="00F27835"/>
    <w:rsid w:val="00F32E11"/>
    <w:rsid w:val="00F35A45"/>
    <w:rsid w:val="00F37181"/>
    <w:rsid w:val="00F424ED"/>
    <w:rsid w:val="00F467B8"/>
    <w:rsid w:val="00F467E7"/>
    <w:rsid w:val="00F469C5"/>
    <w:rsid w:val="00F46F6A"/>
    <w:rsid w:val="00F71142"/>
    <w:rsid w:val="00F7716A"/>
    <w:rsid w:val="00F81CF6"/>
    <w:rsid w:val="00F8249A"/>
    <w:rsid w:val="00F83F73"/>
    <w:rsid w:val="00F84097"/>
    <w:rsid w:val="00F91288"/>
    <w:rsid w:val="00FA241F"/>
    <w:rsid w:val="00FB2210"/>
    <w:rsid w:val="00FC1CFF"/>
    <w:rsid w:val="00FC221A"/>
    <w:rsid w:val="00FC2A89"/>
    <w:rsid w:val="00FC2F16"/>
    <w:rsid w:val="00FD0567"/>
    <w:rsid w:val="00FD116E"/>
    <w:rsid w:val="00FD2631"/>
    <w:rsid w:val="00FD4935"/>
    <w:rsid w:val="00FE272C"/>
    <w:rsid w:val="00FE5915"/>
    <w:rsid w:val="00FE6173"/>
    <w:rsid w:val="00FE7A74"/>
    <w:rsid w:val="03169325"/>
    <w:rsid w:val="03985F80"/>
    <w:rsid w:val="03F59659"/>
    <w:rsid w:val="0521ECDC"/>
    <w:rsid w:val="06C338C4"/>
    <w:rsid w:val="089E6D15"/>
    <w:rsid w:val="089F4BDB"/>
    <w:rsid w:val="09456F5D"/>
    <w:rsid w:val="09D587ED"/>
    <w:rsid w:val="0AD5A7FE"/>
    <w:rsid w:val="0B01D760"/>
    <w:rsid w:val="0B934C13"/>
    <w:rsid w:val="0BC2642C"/>
    <w:rsid w:val="0C399B9E"/>
    <w:rsid w:val="0C529DD7"/>
    <w:rsid w:val="0C917578"/>
    <w:rsid w:val="0CB17C9B"/>
    <w:rsid w:val="0E50805A"/>
    <w:rsid w:val="0EF03FF2"/>
    <w:rsid w:val="0F07A176"/>
    <w:rsid w:val="10BD1B63"/>
    <w:rsid w:val="122C5BA8"/>
    <w:rsid w:val="136352A4"/>
    <w:rsid w:val="144962A8"/>
    <w:rsid w:val="146B2C83"/>
    <w:rsid w:val="14AA5192"/>
    <w:rsid w:val="14D2CFD7"/>
    <w:rsid w:val="153359F4"/>
    <w:rsid w:val="15A667F3"/>
    <w:rsid w:val="15E6B67D"/>
    <w:rsid w:val="16697B99"/>
    <w:rsid w:val="17423854"/>
    <w:rsid w:val="17A69A69"/>
    <w:rsid w:val="17C28E92"/>
    <w:rsid w:val="18751DE3"/>
    <w:rsid w:val="1952CDB8"/>
    <w:rsid w:val="1AA78372"/>
    <w:rsid w:val="1BA5BD04"/>
    <w:rsid w:val="1BACBEA5"/>
    <w:rsid w:val="1C1C6B9E"/>
    <w:rsid w:val="1CA43F9D"/>
    <w:rsid w:val="1CBCD177"/>
    <w:rsid w:val="1FBBD370"/>
    <w:rsid w:val="215932AD"/>
    <w:rsid w:val="23FB9889"/>
    <w:rsid w:val="24550C49"/>
    <w:rsid w:val="245F2F03"/>
    <w:rsid w:val="24A17050"/>
    <w:rsid w:val="24A323C0"/>
    <w:rsid w:val="25862F25"/>
    <w:rsid w:val="25AA484B"/>
    <w:rsid w:val="262269D4"/>
    <w:rsid w:val="28D6BBB2"/>
    <w:rsid w:val="2A728C13"/>
    <w:rsid w:val="2AC18D91"/>
    <w:rsid w:val="2B10B1D4"/>
    <w:rsid w:val="2C890038"/>
    <w:rsid w:val="2D5E1492"/>
    <w:rsid w:val="2E394D66"/>
    <w:rsid w:val="2F07D931"/>
    <w:rsid w:val="2FC518B0"/>
    <w:rsid w:val="304C6D19"/>
    <w:rsid w:val="30876B78"/>
    <w:rsid w:val="312744E4"/>
    <w:rsid w:val="314531E9"/>
    <w:rsid w:val="33BCB97D"/>
    <w:rsid w:val="342C6639"/>
    <w:rsid w:val="345E0B12"/>
    <w:rsid w:val="36255578"/>
    <w:rsid w:val="367C6E4E"/>
    <w:rsid w:val="37382271"/>
    <w:rsid w:val="39AF8C32"/>
    <w:rsid w:val="3B1C0A60"/>
    <w:rsid w:val="3B32C8C2"/>
    <w:rsid w:val="3E42EC72"/>
    <w:rsid w:val="3E73728A"/>
    <w:rsid w:val="3F64FF1E"/>
    <w:rsid w:val="3FADE852"/>
    <w:rsid w:val="4002A9FF"/>
    <w:rsid w:val="408A166A"/>
    <w:rsid w:val="40B0F26F"/>
    <w:rsid w:val="4184DC4B"/>
    <w:rsid w:val="41A7D7D9"/>
    <w:rsid w:val="41DDFC93"/>
    <w:rsid w:val="42622310"/>
    <w:rsid w:val="434339CF"/>
    <w:rsid w:val="450DBC09"/>
    <w:rsid w:val="4556E0B5"/>
    <w:rsid w:val="457519C5"/>
    <w:rsid w:val="499CEC5E"/>
    <w:rsid w:val="4A5CA2A4"/>
    <w:rsid w:val="4A67495D"/>
    <w:rsid w:val="4A8BF515"/>
    <w:rsid w:val="4B266A2A"/>
    <w:rsid w:val="4B5A7ACA"/>
    <w:rsid w:val="4DD3248A"/>
    <w:rsid w:val="4E4CEB37"/>
    <w:rsid w:val="4F4EC76B"/>
    <w:rsid w:val="4F59BE00"/>
    <w:rsid w:val="516D5B9F"/>
    <w:rsid w:val="5384155E"/>
    <w:rsid w:val="538EEAE9"/>
    <w:rsid w:val="54EC41DE"/>
    <w:rsid w:val="5536949A"/>
    <w:rsid w:val="5574D9D5"/>
    <w:rsid w:val="55B08E2A"/>
    <w:rsid w:val="56452086"/>
    <w:rsid w:val="5721FF45"/>
    <w:rsid w:val="596679A0"/>
    <w:rsid w:val="59D106A3"/>
    <w:rsid w:val="5A50281B"/>
    <w:rsid w:val="5B20488F"/>
    <w:rsid w:val="5B4E46B5"/>
    <w:rsid w:val="5BA8888E"/>
    <w:rsid w:val="5C92A845"/>
    <w:rsid w:val="5E1705FF"/>
    <w:rsid w:val="60A9A16A"/>
    <w:rsid w:val="6154931F"/>
    <w:rsid w:val="61D8C541"/>
    <w:rsid w:val="62742AAA"/>
    <w:rsid w:val="628BBE75"/>
    <w:rsid w:val="63D6F6AA"/>
    <w:rsid w:val="65E55AE1"/>
    <w:rsid w:val="661024AB"/>
    <w:rsid w:val="6633B68F"/>
    <w:rsid w:val="66D4A26E"/>
    <w:rsid w:val="68EBFAC9"/>
    <w:rsid w:val="696F4F8C"/>
    <w:rsid w:val="6B36CE9D"/>
    <w:rsid w:val="6B4CFBBC"/>
    <w:rsid w:val="6DAFCBAF"/>
    <w:rsid w:val="6DD65EA2"/>
    <w:rsid w:val="6E0B2283"/>
    <w:rsid w:val="6ED0D492"/>
    <w:rsid w:val="6EF2E671"/>
    <w:rsid w:val="702BCB5B"/>
    <w:rsid w:val="71E56F78"/>
    <w:rsid w:val="71EA35D2"/>
    <w:rsid w:val="72691811"/>
    <w:rsid w:val="73770ED0"/>
    <w:rsid w:val="73993AE9"/>
    <w:rsid w:val="741D2F32"/>
    <w:rsid w:val="74F9541D"/>
    <w:rsid w:val="75E17087"/>
    <w:rsid w:val="76F83234"/>
    <w:rsid w:val="79B5FA8B"/>
    <w:rsid w:val="79F5E186"/>
    <w:rsid w:val="7A364507"/>
    <w:rsid w:val="7ADFB1EE"/>
    <w:rsid w:val="7C4D3AE0"/>
    <w:rsid w:val="7C58106B"/>
    <w:rsid w:val="7F45DC59"/>
    <w:rsid w:val="7F60861E"/>
    <w:rsid w:val="7F98EC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9C09CE"/>
  <w15:docId w15:val="{B2C86879-89BD-4DD8-8D27-CD739EFF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909"/>
  </w:style>
  <w:style w:type="character" w:customStyle="1" w:styleId="FootnoteTextChar">
    <w:name w:val="Footnote Text Char"/>
    <w:basedOn w:val="DefaultParagraphFont"/>
    <w:link w:val="FootnoteText"/>
    <w:uiPriority w:val="99"/>
    <w:semiHidden/>
    <w:rsid w:val="008669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6909"/>
    <w:rPr>
      <w:vertAlign w:val="superscript"/>
    </w:rPr>
  </w:style>
  <w:style w:type="character" w:customStyle="1" w:styleId="UnresolvedMention1">
    <w:name w:val="Unresolved Mention1"/>
    <w:basedOn w:val="DefaultParagraphFont"/>
    <w:uiPriority w:val="99"/>
    <w:semiHidden/>
    <w:unhideWhenUsed/>
    <w:rsid w:val="00634C05"/>
    <w:rPr>
      <w:color w:val="605E5C"/>
      <w:shd w:val="clear" w:color="auto" w:fill="E1DFDD"/>
    </w:rPr>
  </w:style>
  <w:style w:type="character" w:styleId="UnresolvedMention">
    <w:name w:val="Unresolved Mention"/>
    <w:basedOn w:val="DefaultParagraphFont"/>
    <w:uiPriority w:val="99"/>
    <w:semiHidden/>
    <w:unhideWhenUsed/>
    <w:rsid w:val="004D60E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49/5329" TargetMode="External" /><Relationship Id="rId11" Type="http://schemas.openxmlformats.org/officeDocument/2006/relationships/hyperlink" Target="https://www.congress.gov/bill/117th-congress/house-bill/3684/text" TargetMode="External" /><Relationship Id="rId12" Type="http://schemas.openxmlformats.org/officeDocument/2006/relationships/hyperlink" Target="https://www.opm.gov/policy-data-oversight/pay-leave/salaries-wages/2024/general-schedul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link/plaw/112/public/14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72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16" ma:contentTypeDescription="Create a new document." ma:contentTypeScope="" ma:versionID="189018c1d9e9946b9e03f2383ca3ba04">
  <xsd:schema xmlns:xsd="http://www.w3.org/2001/XMLSchema" xmlns:xs="http://www.w3.org/2001/XMLSchema" xmlns:p="http://schemas.microsoft.com/office/2006/metadata/properties" xmlns:ns2="ca16393a-f5d8-4089-bece-96efb3901bf4" xmlns:ns3="6dd46299-25c1-451e-b3ef-839a5c7b3f96" targetNamespace="http://schemas.microsoft.com/office/2006/metadata/properties" ma:root="true" ma:fieldsID="3992eb79936c613323068c901710c1a7" ns2:_="" ns3:_="">
    <xsd:import namespace="ca16393a-f5d8-4089-bece-96efb3901bf4"/>
    <xsd:import namespace="6dd46299-25c1-451e-b3ef-839a5c7b3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d8974423-2e27-4d4c-900e-e1ce992e31e1}" ma:internalName="TaxCatchAll" ma:showField="CatchAllData" ma:web="ca16393a-f5d8-4089-bece-96efb3901b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a16393a-f5d8-4089-bece-96efb3901bf4">
      <UserInfo>
        <DisplayName>Swain, Tia (FTA)</DisplayName>
        <AccountId>32</AccountId>
        <AccountType/>
      </UserInfo>
    </SharedWithUsers>
    <TaxCatchAll xmlns="ca16393a-f5d8-4089-bece-96efb3901bf4" xsi:nil="true"/>
    <lcf76f155ced4ddcb4097134ff3c332f xmlns="6dd46299-25c1-451e-b3ef-839a5c7b3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DBC2B-3948-49CA-B2AD-9FE6761803CF}">
  <ds:schemaRefs>
    <ds:schemaRef ds:uri="http://schemas.openxmlformats.org/officeDocument/2006/bibliography"/>
  </ds:schemaRefs>
</ds:datastoreItem>
</file>

<file path=customXml/itemProps2.xml><?xml version="1.0" encoding="utf-8"?>
<ds:datastoreItem xmlns:ds="http://schemas.openxmlformats.org/officeDocument/2006/customXml" ds:itemID="{9E790548-5C69-4075-987A-400194892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393a-f5d8-4089-bece-96efb3901bf4"/>
    <ds:schemaRef ds:uri="6dd46299-25c1-451e-b3ef-839a5c7b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A6F75-0770-44BA-891E-C4D7D87023C9}">
  <ds:schemaRefs>
    <ds:schemaRef ds:uri="http://schemas.microsoft.com/sharepoint/v3/contenttype/forms"/>
  </ds:schemaRefs>
</ds:datastoreItem>
</file>

<file path=customXml/itemProps4.xml><?xml version="1.0" encoding="utf-8"?>
<ds:datastoreItem xmlns:ds="http://schemas.openxmlformats.org/officeDocument/2006/customXml" ds:itemID="{CAEF4B7C-947F-464F-B4D1-6C87361CD4A8}">
  <ds:schemaRefs>
    <ds:schemaRef ds:uri="6dd46299-25c1-451e-b3ef-839a5c7b3f96"/>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a16393a-f5d8-4089-bece-96efb3901bf4"/>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Swain, Tia (FTA)</cp:lastModifiedBy>
  <cp:revision>2</cp:revision>
  <cp:lastPrinted>2019-07-18T20:15:00Z</cp:lastPrinted>
  <dcterms:created xsi:type="dcterms:W3CDTF">2024-10-18T13:54:00Z</dcterms:created>
  <dcterms:modified xsi:type="dcterms:W3CDTF">2024-10-18T13:54:00Z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y fmtid="{D5CDD505-2E9C-101B-9397-08002B2CF9AE}" pid="3" name="MediaServiceImageTags">
    <vt:lpwstr/>
  </property>
</Properties>
</file>