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3B5" w:rsidP="007943B5" w14:paraId="1DCBF45C" w14:textId="77777777">
      <w:pPr>
        <w:jc w:val="center"/>
        <w:rPr>
          <w:b/>
          <w:sz w:val="24"/>
          <w:szCs w:val="24"/>
        </w:rPr>
      </w:pPr>
      <w:r w:rsidRPr="00167E53">
        <w:rPr>
          <w:b/>
          <w:sz w:val="24"/>
          <w:szCs w:val="24"/>
        </w:rPr>
        <w:t>Supporting Statement for Paperwork Reduction Act Submissions</w:t>
      </w:r>
    </w:p>
    <w:p w:rsidR="007943B5" w:rsidRPr="00167E53" w:rsidP="007943B5" w14:paraId="346A2F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 xml:space="preserve">HUD </w:t>
      </w:r>
      <w:r>
        <w:rPr>
          <w:b/>
          <w:sz w:val="24"/>
          <w:szCs w:val="24"/>
        </w:rPr>
        <w:t>FOIAXpress</w:t>
      </w:r>
      <w:r>
        <w:rPr>
          <w:b/>
          <w:sz w:val="24"/>
          <w:szCs w:val="24"/>
        </w:rPr>
        <w:t xml:space="preserve"> (FMS2) Tracking System FOIA Portal </w:t>
      </w:r>
    </w:p>
    <w:p w:rsidR="007943B5" w:rsidRPr="00167E53" w:rsidP="007943B5" w14:paraId="689F10A7" w14:textId="1BE1A9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Pr>
          <w:b/>
          <w:sz w:val="24"/>
          <w:szCs w:val="24"/>
        </w:rPr>
        <w:t>25</w:t>
      </w:r>
      <w:r w:rsidR="006F57CB">
        <w:rPr>
          <w:b/>
          <w:sz w:val="24"/>
          <w:szCs w:val="24"/>
        </w:rPr>
        <w:t>01</w:t>
      </w:r>
      <w:r>
        <w:rPr>
          <w:b/>
          <w:sz w:val="24"/>
          <w:szCs w:val="24"/>
        </w:rPr>
        <w:t>-xxxx</w:t>
      </w:r>
      <w:r w:rsidRPr="00167E53">
        <w:rPr>
          <w:b/>
          <w:sz w:val="24"/>
          <w:szCs w:val="24"/>
        </w:rPr>
        <w:t>)</w:t>
      </w:r>
    </w:p>
    <w:p w:rsidR="007943B5" w:rsidP="007943B5" w14:paraId="394EC6B0" w14:textId="77777777">
      <w:pPr>
        <w:rPr>
          <w:b/>
          <w:sz w:val="24"/>
          <w:szCs w:val="24"/>
        </w:rPr>
      </w:pPr>
    </w:p>
    <w:p w:rsidR="007943B5" w:rsidRPr="006C7FAE" w:rsidP="007943B5" w14:paraId="1E29169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7943B5" w:rsidRPr="006C7FAE" w:rsidP="007943B5" w14:paraId="29558C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7943B5" w:rsidRPr="00073A50" w:rsidP="007943B5" w14:paraId="51FEFA28" w14:textId="77777777">
      <w:pPr>
        <w:keepLines/>
        <w:numPr>
          <w:ilvl w:val="0"/>
          <w:numId w:val="3"/>
        </w:numPr>
        <w:tabs>
          <w:tab w:val="left" w:pos="360"/>
        </w:tabs>
        <w:spacing w:after="80"/>
        <w:rPr>
          <w:b/>
          <w:bCs/>
          <w:sz w:val="24"/>
          <w:szCs w:val="24"/>
        </w:rPr>
      </w:pPr>
      <w:r w:rsidRPr="00073A50">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943B5" w:rsidP="007943B5" w14:paraId="3DCFBC0E" w14:textId="77777777">
      <w:pPr>
        <w:keepLines/>
        <w:tabs>
          <w:tab w:val="left" w:pos="360"/>
        </w:tabs>
        <w:spacing w:after="80"/>
        <w:ind w:left="360"/>
        <w:rPr>
          <w:sz w:val="24"/>
          <w:szCs w:val="24"/>
        </w:rPr>
      </w:pPr>
    </w:p>
    <w:p w:rsidR="007943B5" w:rsidP="007943B5" w14:paraId="656E31A9" w14:textId="77777777">
      <w:pPr>
        <w:ind w:left="720"/>
        <w:rPr>
          <w:sz w:val="24"/>
          <w:szCs w:val="24"/>
        </w:rPr>
      </w:pPr>
      <w:r>
        <w:rPr>
          <w:sz w:val="24"/>
          <w:szCs w:val="24"/>
        </w:rPr>
        <w:t xml:space="preserve">The </w:t>
      </w:r>
      <w:r w:rsidRPr="001A3CC7">
        <w:rPr>
          <w:sz w:val="24"/>
          <w:szCs w:val="24"/>
        </w:rPr>
        <w:t xml:space="preserve">Freedom of Information Act (FOIA) established a statutory right of public access to </w:t>
      </w:r>
      <w:r>
        <w:rPr>
          <w:sz w:val="24"/>
          <w:szCs w:val="24"/>
        </w:rPr>
        <w:t xml:space="preserve">federal agency records within the </w:t>
      </w:r>
      <w:r w:rsidRPr="001A3CC7">
        <w:rPr>
          <w:sz w:val="24"/>
          <w:szCs w:val="24"/>
        </w:rPr>
        <w:t>Executive Branch in the federal government</w:t>
      </w:r>
      <w:r>
        <w:rPr>
          <w:sz w:val="24"/>
          <w:szCs w:val="24"/>
        </w:rPr>
        <w:t xml:space="preserve">. </w:t>
      </w:r>
      <w:r w:rsidRPr="001A3CC7">
        <w:rPr>
          <w:sz w:val="24"/>
          <w:szCs w:val="24"/>
        </w:rPr>
        <w:t xml:space="preserve">The FOIA provides that any person has a right, enforceable in court, to obtain access to federal agency records subject to the Act, except to the extent that any portions of such records are protected from public disclosure by one of nine exemptions listed </w:t>
      </w:r>
      <w:r>
        <w:rPr>
          <w:sz w:val="24"/>
          <w:szCs w:val="24"/>
        </w:rPr>
        <w:t xml:space="preserve">in 5 U.S.C. </w:t>
      </w:r>
      <w:r w:rsidRPr="00615F93">
        <w:rPr>
          <w:sz w:val="24"/>
          <w:szCs w:val="24"/>
        </w:rPr>
        <w:t>§ 552</w:t>
      </w:r>
      <w:r>
        <w:rPr>
          <w:sz w:val="24"/>
          <w:szCs w:val="24"/>
        </w:rPr>
        <w:t xml:space="preserve">(b) and 24 C.F.R. </w:t>
      </w:r>
      <w:r w:rsidRPr="00615F93">
        <w:rPr>
          <w:sz w:val="24"/>
          <w:szCs w:val="24"/>
        </w:rPr>
        <w:t xml:space="preserve">§ </w:t>
      </w:r>
      <w:r>
        <w:rPr>
          <w:sz w:val="24"/>
          <w:szCs w:val="24"/>
        </w:rPr>
        <w:t xml:space="preserve">15.107(b) which protect interests such as personal privacy, national security, and law enforcement. </w:t>
      </w:r>
    </w:p>
    <w:p w:rsidR="007943B5" w:rsidP="007943B5" w14:paraId="4F7412A9" w14:textId="77777777">
      <w:pPr>
        <w:ind w:left="720"/>
        <w:rPr>
          <w:sz w:val="24"/>
          <w:szCs w:val="24"/>
        </w:rPr>
      </w:pPr>
    </w:p>
    <w:p w:rsidR="00D77145" w:rsidP="007943B5" w14:paraId="25058EEB" w14:textId="77777777">
      <w:pPr>
        <w:ind w:left="720"/>
        <w:rPr>
          <w:sz w:val="24"/>
          <w:szCs w:val="24"/>
        </w:rPr>
      </w:pPr>
      <w:r w:rsidRPr="00DE09E4">
        <w:rPr>
          <w:sz w:val="24"/>
          <w:szCs w:val="24"/>
        </w:rPr>
        <w:t xml:space="preserve">The mission of the HUD </w:t>
      </w:r>
      <w:r>
        <w:rPr>
          <w:sz w:val="24"/>
          <w:szCs w:val="24"/>
        </w:rPr>
        <w:t>FOIA</w:t>
      </w:r>
      <w:r w:rsidRPr="00DE09E4">
        <w:rPr>
          <w:sz w:val="24"/>
          <w:szCs w:val="24"/>
        </w:rPr>
        <w:t xml:space="preserve"> Program is to </w:t>
      </w:r>
      <w:r>
        <w:rPr>
          <w:sz w:val="24"/>
          <w:szCs w:val="24"/>
        </w:rPr>
        <w:t>comply with the FOIA statute (</w:t>
      </w:r>
      <w:r w:rsidRPr="00615F93">
        <w:rPr>
          <w:sz w:val="24"/>
          <w:szCs w:val="24"/>
        </w:rPr>
        <w:t>5 U.S.C. § 552</w:t>
      </w:r>
      <w:r>
        <w:rPr>
          <w:sz w:val="24"/>
          <w:szCs w:val="24"/>
        </w:rPr>
        <w:t>) and HUD’s FOIA regulations (24 C.F.R. pt. 15) requirements to disclose any information requested under the FOIA unless it falls under one of the nine FOIA exemptions.</w:t>
      </w:r>
    </w:p>
    <w:p w:rsidR="00D77145" w:rsidP="007943B5" w14:paraId="35D749C2" w14:textId="77777777">
      <w:pPr>
        <w:ind w:left="720"/>
        <w:rPr>
          <w:sz w:val="24"/>
          <w:szCs w:val="24"/>
        </w:rPr>
      </w:pPr>
    </w:p>
    <w:p w:rsidR="00D77145" w:rsidP="00D77145" w14:paraId="1F356362" w14:textId="4CB962C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Pr>
          <w:sz w:val="24"/>
          <w:szCs w:val="24"/>
          <w:lang w:val="en"/>
        </w:rPr>
        <w:t xml:space="preserve">With the current collection process, the Department has used this information to provide appropriate responses specific to the inquiries. In addition, we have been able to create specific template responses for like inquiries to ensure a rapid response. </w:t>
      </w:r>
    </w:p>
    <w:p w:rsidR="007943B5" w:rsidRPr="00DE09E4" w:rsidP="007943B5" w14:paraId="32FCB74F" w14:textId="5E325A27">
      <w:pPr>
        <w:ind w:left="720"/>
        <w:rPr>
          <w:sz w:val="24"/>
          <w:szCs w:val="24"/>
        </w:rPr>
      </w:pPr>
      <w:r>
        <w:rPr>
          <w:sz w:val="24"/>
          <w:szCs w:val="24"/>
        </w:rPr>
        <w:t xml:space="preserve"> </w:t>
      </w:r>
    </w:p>
    <w:p w:rsidR="007943B5" w:rsidP="007943B5" w14:paraId="24112A57" w14:textId="77777777">
      <w:pPr>
        <w:ind w:left="720"/>
        <w:rPr>
          <w:sz w:val="24"/>
          <w:szCs w:val="24"/>
        </w:rPr>
      </w:pPr>
    </w:p>
    <w:p w:rsidR="007943B5" w:rsidP="007943B5" w14:paraId="370FEA75" w14:textId="77777777">
      <w:pPr>
        <w:keepLines/>
        <w:numPr>
          <w:ilvl w:val="0"/>
          <w:numId w:val="3"/>
        </w:numPr>
        <w:tabs>
          <w:tab w:val="left" w:pos="360"/>
        </w:tabs>
        <w:spacing w:after="80"/>
        <w:rPr>
          <w:b/>
          <w:bCs/>
          <w:sz w:val="24"/>
          <w:szCs w:val="24"/>
        </w:rPr>
      </w:pPr>
      <w:r w:rsidRPr="00073A50">
        <w:rPr>
          <w:b/>
          <w:bCs/>
          <w:sz w:val="24"/>
          <w:szCs w:val="24"/>
        </w:rPr>
        <w:t>Indicate how, by whom and for what purpose the information is to be used.  Except for a new collection, indicate the actual use the agency has made of the information received from the current collection.</w:t>
      </w:r>
    </w:p>
    <w:p w:rsidR="007943B5" w:rsidP="007943B5" w14:paraId="78A26D4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Pr>
          <w:sz w:val="24"/>
          <w:szCs w:val="24"/>
          <w:lang w:val="en"/>
        </w:rPr>
        <w:t xml:space="preserve">In accordance with the FOIA requirements respondents </w:t>
      </w:r>
      <w:r>
        <w:rPr>
          <w:sz w:val="24"/>
          <w:szCs w:val="24"/>
          <w:lang w:val="en"/>
        </w:rPr>
        <w:t>have the ability to</w:t>
      </w:r>
      <w:r>
        <w:rPr>
          <w:sz w:val="24"/>
          <w:szCs w:val="24"/>
          <w:lang w:val="en"/>
        </w:rPr>
        <w:t xml:space="preserve"> submit their electronic requests through the Public Access Link. HUD accepts electronic submissions from respondents through the Public Access Link, which would reduce the burden on the public. </w:t>
      </w:r>
    </w:p>
    <w:p w:rsidR="007943B5" w:rsidP="007943B5" w14:paraId="0A46664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77145" w:rsidP="00D77145" w14:paraId="7B2A7F48" w14:textId="2861F394">
      <w:pPr>
        <w:ind w:left="720"/>
        <w:rPr>
          <w:sz w:val="24"/>
          <w:szCs w:val="24"/>
        </w:rPr>
      </w:pPr>
      <w:r>
        <w:rPr>
          <w:sz w:val="24"/>
          <w:szCs w:val="24"/>
        </w:rPr>
        <w:t xml:space="preserve">HUD has a decentralized approach to FOIA processing, with each of the HUD field offices and HUD FOIA Office in Headquarters processing requests for their own records as the FOIA Requester Service Center and establishing their own FOIA Public Liaison to address any FOIA concerns and questions.  The HUD FOIA Office establishes overall policy, procedure, and provides oversight and training to the Headquarters and field offices, ensuring its processes comply with the FOIA’s requirements and HUD regulations.  </w:t>
      </w:r>
    </w:p>
    <w:p w:rsidR="007943B5" w:rsidP="007943B5" w14:paraId="6CC2195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77145" w:rsidP="007943B5" w14:paraId="3550EE3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77145" w:rsidP="007943B5" w14:paraId="22212C4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77145" w:rsidP="007943B5" w14:paraId="2A39BA2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77145" w:rsidP="007943B5" w14:paraId="6053FF9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7943B5" w:rsidRPr="00733422" w:rsidP="00733422" w14:paraId="0408E49F" w14:textId="28F933AA">
      <w:pPr>
        <w:pStyle w:val="ListParagraph"/>
        <w:numPr>
          <w:ilvl w:val="0"/>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733422">
        <w:rPr>
          <w:b/>
          <w:sz w:val="24"/>
          <w:szCs w:val="24"/>
          <w:lang w:val="en"/>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943B5" w:rsidRPr="00481A33" w:rsidP="007943B5" w14:paraId="64375E8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7943B5" w:rsidP="007943B5" w14:paraId="3B327F24" w14:textId="28184BF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Pr>
          <w:sz w:val="24"/>
          <w:szCs w:val="24"/>
          <w:lang w:val="en"/>
        </w:rPr>
        <w:t>T</w:t>
      </w:r>
      <w:r>
        <w:rPr>
          <w:sz w:val="24"/>
          <w:szCs w:val="24"/>
          <w:lang w:val="en"/>
        </w:rPr>
        <w:t xml:space="preserve">he requesters can submit their FOIA requests electronically using FMS2 tracking system. Requesters may also submit their requests </w:t>
      </w:r>
      <w:hyperlink r:id="rId4" w:history="1">
        <w:r w:rsidRPr="006C4DBA">
          <w:rPr>
            <w:rStyle w:val="Hyperlink"/>
            <w:sz w:val="24"/>
            <w:szCs w:val="24"/>
            <w:lang w:val="en"/>
          </w:rPr>
          <w:t>FOIA@hud.gov</w:t>
        </w:r>
      </w:hyperlink>
      <w:r>
        <w:rPr>
          <w:sz w:val="24"/>
          <w:szCs w:val="24"/>
          <w:lang w:val="en"/>
        </w:rPr>
        <w:t xml:space="preserve"> email box and mail. </w:t>
      </w:r>
    </w:p>
    <w:p w:rsidR="007943B5" w:rsidP="007943B5" w14:paraId="1B446B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7943B5" w:rsidRPr="006C7FAE" w:rsidP="007943B5" w14:paraId="2AEE74B7" w14:textId="77777777">
      <w:pPr>
        <w:tabs>
          <w:tab w:val="left" w:pos="360"/>
        </w:tabs>
        <w:ind w:left="360" w:hanging="360"/>
        <w:rPr>
          <w:sz w:val="24"/>
          <w:szCs w:val="24"/>
        </w:rPr>
      </w:pPr>
    </w:p>
    <w:p w:rsidR="007943B5" w:rsidP="007943B5" w14:paraId="19005ABD" w14:textId="77777777">
      <w:pPr>
        <w:keepLines/>
        <w:numPr>
          <w:ilvl w:val="0"/>
          <w:numId w:val="4"/>
        </w:numPr>
        <w:tabs>
          <w:tab w:val="left" w:pos="360"/>
        </w:tabs>
        <w:spacing w:after="80"/>
        <w:rPr>
          <w:b/>
          <w:bCs/>
          <w:sz w:val="24"/>
          <w:szCs w:val="24"/>
        </w:rPr>
      </w:pPr>
      <w:r w:rsidRPr="00073A50">
        <w:rPr>
          <w:b/>
          <w:bCs/>
          <w:sz w:val="24"/>
          <w:szCs w:val="24"/>
        </w:rPr>
        <w:t>Describe efforts to identify duplication.  Show specifically why any similar information already available cannot be used or modified for use for the purposes described in Item 2 above.</w:t>
      </w:r>
    </w:p>
    <w:p w:rsidR="007943B5" w:rsidRPr="00073A50" w:rsidP="007943B5" w14:paraId="3DA5B85C" w14:textId="77777777">
      <w:pPr>
        <w:keepLines/>
        <w:tabs>
          <w:tab w:val="left" w:pos="360"/>
        </w:tabs>
        <w:spacing w:after="80"/>
        <w:ind w:left="720"/>
        <w:rPr>
          <w:sz w:val="24"/>
          <w:szCs w:val="24"/>
        </w:rPr>
      </w:pPr>
      <w:r>
        <w:rPr>
          <w:sz w:val="24"/>
          <w:szCs w:val="24"/>
        </w:rPr>
        <w:t xml:space="preserve">HUD is not duplicating this information.  </w:t>
      </w:r>
    </w:p>
    <w:p w:rsidR="007943B5" w:rsidRPr="00073A50" w:rsidP="007943B5" w14:paraId="199E8800" w14:textId="77777777">
      <w:pPr>
        <w:keepLines/>
        <w:tabs>
          <w:tab w:val="left" w:pos="360"/>
          <w:tab w:val="left" w:pos="720"/>
        </w:tabs>
        <w:ind w:left="360"/>
        <w:rPr>
          <w:b/>
          <w:bCs/>
          <w:sz w:val="24"/>
          <w:szCs w:val="24"/>
        </w:rPr>
      </w:pPr>
    </w:p>
    <w:p w:rsidR="007943B5" w:rsidP="007943B5" w14:paraId="71D43506" w14:textId="77777777">
      <w:pPr>
        <w:keepLines/>
        <w:numPr>
          <w:ilvl w:val="0"/>
          <w:numId w:val="4"/>
        </w:numPr>
        <w:tabs>
          <w:tab w:val="left" w:pos="360"/>
        </w:tabs>
        <w:spacing w:after="80"/>
        <w:rPr>
          <w:b/>
          <w:bCs/>
          <w:sz w:val="24"/>
          <w:szCs w:val="24"/>
        </w:rPr>
      </w:pPr>
      <w:r w:rsidRPr="00073A50">
        <w:rPr>
          <w:b/>
          <w:bCs/>
          <w:sz w:val="24"/>
          <w:szCs w:val="24"/>
        </w:rPr>
        <w:t>If the collection of information impacts small businesses or other small entities describe any methods used to minimize burden.</w:t>
      </w:r>
    </w:p>
    <w:p w:rsidR="007943B5" w:rsidRPr="00073A50" w:rsidP="007943B5" w14:paraId="75031CE4" w14:textId="77777777">
      <w:pPr>
        <w:keepLines/>
        <w:tabs>
          <w:tab w:val="left" w:pos="360"/>
        </w:tabs>
        <w:spacing w:after="80"/>
        <w:ind w:left="720"/>
        <w:rPr>
          <w:b/>
          <w:bCs/>
          <w:sz w:val="24"/>
          <w:szCs w:val="24"/>
        </w:rPr>
      </w:pPr>
      <w:r w:rsidRPr="00554BB1">
        <w:rPr>
          <w:sz w:val="24"/>
          <w:szCs w:val="24"/>
          <w:lang w:val="en"/>
        </w:rPr>
        <w:t>Th</w:t>
      </w:r>
      <w:r>
        <w:rPr>
          <w:sz w:val="24"/>
          <w:szCs w:val="24"/>
          <w:lang w:val="en"/>
        </w:rPr>
        <w:t xml:space="preserve">e information collected does not have sufficient impact on </w:t>
      </w:r>
      <w:r w:rsidRPr="00554BB1">
        <w:rPr>
          <w:sz w:val="24"/>
          <w:szCs w:val="24"/>
          <w:lang w:val="en"/>
        </w:rPr>
        <w:t xml:space="preserve">small businesses or other small entities. </w:t>
      </w:r>
      <w:r w:rsidRPr="00554BB1">
        <w:rPr>
          <w:sz w:val="24"/>
          <w:szCs w:val="24"/>
        </w:rPr>
        <w:t xml:space="preserve"> </w:t>
      </w:r>
    </w:p>
    <w:p w:rsidR="007943B5" w:rsidRPr="00073A50" w:rsidP="007943B5" w14:paraId="13783E75" w14:textId="77777777">
      <w:pPr>
        <w:tabs>
          <w:tab w:val="left" w:pos="360"/>
        </w:tabs>
        <w:ind w:left="720" w:hanging="360"/>
        <w:rPr>
          <w:b/>
          <w:bCs/>
          <w:sz w:val="24"/>
          <w:szCs w:val="24"/>
        </w:rPr>
      </w:pPr>
    </w:p>
    <w:p w:rsidR="007943B5" w:rsidP="007943B5" w14:paraId="0700CA13" w14:textId="77777777">
      <w:pPr>
        <w:keepLines/>
        <w:numPr>
          <w:ilvl w:val="0"/>
          <w:numId w:val="4"/>
        </w:numPr>
        <w:tabs>
          <w:tab w:val="left" w:pos="360"/>
        </w:tabs>
        <w:spacing w:after="80"/>
        <w:rPr>
          <w:b/>
          <w:bCs/>
          <w:sz w:val="24"/>
          <w:szCs w:val="24"/>
        </w:rPr>
      </w:pPr>
      <w:r w:rsidRPr="00073A50">
        <w:rPr>
          <w:b/>
          <w:bCs/>
          <w:sz w:val="24"/>
          <w:szCs w:val="24"/>
        </w:rPr>
        <w:t>Describe the consequence to Federal program or policy activities if the collection is not conducted or is conducted less frequently, as well as any technical or legal obstacles to reducing burden.</w:t>
      </w:r>
    </w:p>
    <w:p w:rsidR="007943B5" w:rsidP="007943B5" w14:paraId="4454FDE3" w14:textId="77777777">
      <w:pPr>
        <w:keepLines/>
        <w:tabs>
          <w:tab w:val="left" w:pos="360"/>
        </w:tabs>
        <w:spacing w:after="80"/>
        <w:ind w:left="720"/>
        <w:rPr>
          <w:sz w:val="24"/>
          <w:szCs w:val="24"/>
          <w:lang w:val="en"/>
        </w:rPr>
      </w:pPr>
      <w:r w:rsidRPr="000C5A54">
        <w:rPr>
          <w:sz w:val="24"/>
          <w:szCs w:val="24"/>
          <w:lang w:val="en"/>
        </w:rPr>
        <w:t xml:space="preserve"> </w:t>
      </w:r>
    </w:p>
    <w:p w:rsidR="007943B5" w:rsidRPr="00073A50" w:rsidP="007943B5" w14:paraId="0B9CD625" w14:textId="77777777">
      <w:pPr>
        <w:keepLines/>
        <w:tabs>
          <w:tab w:val="left" w:pos="360"/>
        </w:tabs>
        <w:spacing w:after="80"/>
        <w:ind w:left="720"/>
        <w:rPr>
          <w:b/>
          <w:bCs/>
          <w:sz w:val="24"/>
          <w:szCs w:val="24"/>
        </w:rPr>
      </w:pPr>
      <w:r>
        <w:rPr>
          <w:sz w:val="24"/>
          <w:szCs w:val="24"/>
          <w:lang w:val="en"/>
        </w:rPr>
        <w:t xml:space="preserve">If information is not </w:t>
      </w:r>
      <w:r>
        <w:rPr>
          <w:sz w:val="24"/>
          <w:szCs w:val="24"/>
          <w:lang w:val="en"/>
        </w:rPr>
        <w:t>collected</w:t>
      </w:r>
      <w:r>
        <w:rPr>
          <w:sz w:val="24"/>
          <w:szCs w:val="24"/>
          <w:lang w:val="en"/>
        </w:rPr>
        <w:t xml:space="preserve"> we cannot respond to FOIA request. </w:t>
      </w:r>
    </w:p>
    <w:p w:rsidR="007943B5" w:rsidRPr="00073A50" w:rsidP="007943B5" w14:paraId="1ACFF367" w14:textId="77777777">
      <w:pPr>
        <w:keepLines/>
        <w:tabs>
          <w:tab w:val="left" w:pos="360"/>
          <w:tab w:val="left" w:pos="720"/>
        </w:tabs>
        <w:ind w:left="360"/>
        <w:rPr>
          <w:b/>
          <w:bCs/>
          <w:sz w:val="24"/>
          <w:szCs w:val="24"/>
        </w:rPr>
      </w:pPr>
    </w:p>
    <w:p w:rsidR="007943B5" w:rsidRPr="00073A50" w:rsidP="007943B5" w14:paraId="36B98578" w14:textId="77777777">
      <w:pPr>
        <w:numPr>
          <w:ilvl w:val="0"/>
          <w:numId w:val="1"/>
        </w:numPr>
        <w:tabs>
          <w:tab w:val="left" w:pos="360"/>
        </w:tabs>
        <w:rPr>
          <w:b/>
          <w:bCs/>
          <w:sz w:val="24"/>
          <w:szCs w:val="24"/>
        </w:rPr>
      </w:pPr>
      <w:r w:rsidRPr="00073A50">
        <w:rPr>
          <w:b/>
          <w:bCs/>
          <w:sz w:val="24"/>
          <w:szCs w:val="24"/>
        </w:rPr>
        <w:t>Explain any special circumstances that would cause an information collection to be conducted in a manner:</w:t>
      </w:r>
    </w:p>
    <w:p w:rsidR="007943B5" w:rsidRPr="006C7FAE" w:rsidP="007943B5" w14:paraId="06421846" w14:textId="77777777">
      <w:pPr>
        <w:tabs>
          <w:tab w:val="left" w:pos="360"/>
        </w:tabs>
        <w:ind w:left="360"/>
        <w:rPr>
          <w:sz w:val="24"/>
          <w:szCs w:val="24"/>
        </w:rPr>
      </w:pPr>
      <w:r w:rsidRPr="006C7FAE">
        <w:rPr>
          <w:sz w:val="24"/>
          <w:szCs w:val="24"/>
        </w:rPr>
        <w:t xml:space="preserve"> </w:t>
      </w:r>
    </w:p>
    <w:p w:rsidR="007943B5" w:rsidRPr="006C7FAE" w:rsidP="007943B5" w14:paraId="30A9FA71" w14:textId="77777777">
      <w:pPr>
        <w:numPr>
          <w:ilvl w:val="0"/>
          <w:numId w:val="2"/>
        </w:numPr>
        <w:tabs>
          <w:tab w:val="left" w:pos="600"/>
        </w:tabs>
        <w:rPr>
          <w:sz w:val="24"/>
          <w:szCs w:val="24"/>
        </w:rPr>
      </w:pPr>
      <w:r w:rsidRPr="006C7FAE">
        <w:rPr>
          <w:sz w:val="24"/>
          <w:szCs w:val="24"/>
        </w:rPr>
        <w:t xml:space="preserve">requiring respondents to report information to the agency more than quarterly; </w:t>
      </w:r>
      <w:r w:rsidRPr="00BF5C40">
        <w:rPr>
          <w:b/>
          <w:bCs/>
          <w:sz w:val="24"/>
          <w:szCs w:val="24"/>
        </w:rPr>
        <w:t>N/A</w:t>
      </w:r>
    </w:p>
    <w:p w:rsidR="007943B5" w:rsidP="007943B5" w14:paraId="03F97FB2" w14:textId="77777777">
      <w:pPr>
        <w:tabs>
          <w:tab w:val="left" w:pos="600"/>
        </w:tabs>
        <w:ind w:left="684"/>
        <w:rPr>
          <w:sz w:val="24"/>
          <w:szCs w:val="24"/>
        </w:rPr>
      </w:pPr>
    </w:p>
    <w:p w:rsidR="007943B5" w:rsidP="007943B5" w14:paraId="15A47D73" w14:textId="77777777">
      <w:pPr>
        <w:numPr>
          <w:ilvl w:val="0"/>
          <w:numId w:val="2"/>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BF5C40">
        <w:rPr>
          <w:b/>
          <w:bCs/>
          <w:sz w:val="24"/>
          <w:szCs w:val="24"/>
        </w:rPr>
        <w:t>N/A</w:t>
      </w:r>
    </w:p>
    <w:p w:rsidR="007943B5" w:rsidP="007943B5" w14:paraId="626D5794" w14:textId="77777777">
      <w:pPr>
        <w:pStyle w:val="ListParagraph"/>
        <w:rPr>
          <w:sz w:val="24"/>
          <w:szCs w:val="24"/>
        </w:rPr>
      </w:pPr>
    </w:p>
    <w:p w:rsidR="007943B5" w:rsidP="007943B5" w14:paraId="17C5A874" w14:textId="77777777">
      <w:pPr>
        <w:numPr>
          <w:ilvl w:val="0"/>
          <w:numId w:val="2"/>
        </w:numPr>
        <w:tabs>
          <w:tab w:val="left" w:pos="600"/>
        </w:tabs>
        <w:rPr>
          <w:sz w:val="24"/>
          <w:szCs w:val="24"/>
        </w:rPr>
      </w:pPr>
      <w:r w:rsidRPr="006C7FAE">
        <w:rPr>
          <w:sz w:val="24"/>
          <w:szCs w:val="24"/>
        </w:rPr>
        <w:t xml:space="preserve">requiring respondents to submit more than an original and two copies of any document; </w:t>
      </w:r>
      <w:r w:rsidRPr="00BF5C40">
        <w:rPr>
          <w:b/>
          <w:bCs/>
          <w:sz w:val="24"/>
          <w:szCs w:val="24"/>
        </w:rPr>
        <w:t>N/A</w:t>
      </w:r>
    </w:p>
    <w:p w:rsidR="007943B5" w:rsidP="007943B5" w14:paraId="14DC1BE5" w14:textId="77777777">
      <w:pPr>
        <w:pStyle w:val="ListParagraph"/>
        <w:rPr>
          <w:sz w:val="24"/>
          <w:szCs w:val="24"/>
        </w:rPr>
      </w:pPr>
    </w:p>
    <w:p w:rsidR="007943B5" w:rsidRPr="006C7FAE" w:rsidP="007943B5" w14:paraId="5B26EB0B" w14:textId="77777777">
      <w:pPr>
        <w:numPr>
          <w:ilvl w:val="0"/>
          <w:numId w:val="2"/>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BF5C40">
        <w:rPr>
          <w:b/>
          <w:bCs/>
          <w:sz w:val="24"/>
          <w:szCs w:val="24"/>
        </w:rPr>
        <w:t>N/A</w:t>
      </w:r>
    </w:p>
    <w:p w:rsidR="007943B5" w:rsidP="007943B5" w14:paraId="7F13F071" w14:textId="77777777">
      <w:pPr>
        <w:tabs>
          <w:tab w:val="left" w:pos="600"/>
        </w:tabs>
        <w:ind w:left="684"/>
        <w:rPr>
          <w:sz w:val="24"/>
          <w:szCs w:val="24"/>
        </w:rPr>
      </w:pPr>
    </w:p>
    <w:p w:rsidR="007943B5" w:rsidP="007943B5" w14:paraId="3AFC0B06" w14:textId="77777777">
      <w:pPr>
        <w:numPr>
          <w:ilvl w:val="0"/>
          <w:numId w:val="2"/>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BF5C40">
        <w:rPr>
          <w:b/>
          <w:bCs/>
          <w:sz w:val="24"/>
          <w:szCs w:val="24"/>
        </w:rPr>
        <w:t>N/A</w:t>
      </w:r>
    </w:p>
    <w:p w:rsidR="007943B5" w:rsidP="007943B5" w14:paraId="723FB546" w14:textId="77777777">
      <w:pPr>
        <w:pStyle w:val="ListParagraph"/>
        <w:rPr>
          <w:sz w:val="24"/>
          <w:szCs w:val="24"/>
        </w:rPr>
      </w:pPr>
    </w:p>
    <w:p w:rsidR="007943B5" w:rsidP="007943B5" w14:paraId="111A454E" w14:textId="77777777">
      <w:pPr>
        <w:numPr>
          <w:ilvl w:val="0"/>
          <w:numId w:val="2"/>
        </w:numPr>
        <w:tabs>
          <w:tab w:val="left" w:pos="600"/>
        </w:tabs>
        <w:rPr>
          <w:sz w:val="24"/>
          <w:szCs w:val="24"/>
        </w:rPr>
      </w:pPr>
      <w:r w:rsidRPr="006C7FAE">
        <w:rPr>
          <w:sz w:val="24"/>
          <w:szCs w:val="24"/>
        </w:rPr>
        <w:t>requiring the use of a statistical data classification that has not been reviewed and approved by OMB;</w:t>
      </w:r>
      <w:r w:rsidRPr="00B223C4">
        <w:rPr>
          <w:b/>
          <w:bCs/>
          <w:sz w:val="24"/>
          <w:szCs w:val="24"/>
        </w:rPr>
        <w:t xml:space="preserve"> </w:t>
      </w:r>
      <w:r w:rsidRPr="00BF5C40">
        <w:rPr>
          <w:b/>
          <w:bCs/>
          <w:sz w:val="24"/>
          <w:szCs w:val="24"/>
        </w:rPr>
        <w:t>N/A</w:t>
      </w:r>
    </w:p>
    <w:p w:rsidR="007943B5" w:rsidRPr="006C7FAE" w:rsidP="007943B5" w14:paraId="37E17304" w14:textId="77777777">
      <w:pPr>
        <w:tabs>
          <w:tab w:val="left" w:pos="600"/>
        </w:tabs>
        <w:ind w:left="684"/>
        <w:rPr>
          <w:sz w:val="24"/>
          <w:szCs w:val="24"/>
        </w:rPr>
      </w:pPr>
      <w:r w:rsidRPr="006C7FAE">
        <w:rPr>
          <w:sz w:val="24"/>
          <w:szCs w:val="24"/>
        </w:rPr>
        <w:t xml:space="preserve"> </w:t>
      </w:r>
    </w:p>
    <w:p w:rsidR="007943B5" w:rsidRPr="006C7FAE" w:rsidP="007943B5" w14:paraId="5F062456" w14:textId="77777777">
      <w:pPr>
        <w:numPr>
          <w:ilvl w:val="0"/>
          <w:numId w:val="2"/>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BF5C40">
        <w:rPr>
          <w:b/>
          <w:bCs/>
          <w:sz w:val="24"/>
          <w:szCs w:val="24"/>
        </w:rPr>
        <w:t>N/A</w:t>
      </w:r>
      <w:r w:rsidRPr="006C7FAE">
        <w:rPr>
          <w:sz w:val="24"/>
          <w:szCs w:val="24"/>
        </w:rPr>
        <w:t xml:space="preserve"> or </w:t>
      </w:r>
    </w:p>
    <w:p w:rsidR="007943B5" w:rsidP="007943B5" w14:paraId="09ACE6D0" w14:textId="77777777">
      <w:pPr>
        <w:keepLines/>
        <w:tabs>
          <w:tab w:val="left" w:pos="600"/>
        </w:tabs>
        <w:spacing w:after="80"/>
        <w:ind w:left="684"/>
        <w:rPr>
          <w:sz w:val="24"/>
          <w:szCs w:val="24"/>
        </w:rPr>
      </w:pPr>
    </w:p>
    <w:p w:rsidR="007943B5" w:rsidRPr="006C7FAE" w:rsidP="007943B5" w14:paraId="491F7ECC" w14:textId="77777777">
      <w:pPr>
        <w:keepLines/>
        <w:numPr>
          <w:ilvl w:val="0"/>
          <w:numId w:val="2"/>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Pr>
          <w:sz w:val="24"/>
          <w:szCs w:val="24"/>
        </w:rPr>
        <w:t xml:space="preserve"> </w:t>
      </w:r>
      <w:r w:rsidRPr="00BF5C40">
        <w:rPr>
          <w:b/>
          <w:bCs/>
          <w:sz w:val="24"/>
          <w:szCs w:val="24"/>
        </w:rPr>
        <w:t>N/A</w:t>
      </w:r>
    </w:p>
    <w:p w:rsidR="007943B5" w:rsidRPr="006C7FAE" w:rsidP="007943B5" w14:paraId="58502BA7" w14:textId="77777777">
      <w:pPr>
        <w:tabs>
          <w:tab w:val="left" w:pos="360"/>
        </w:tabs>
        <w:ind w:left="360" w:hanging="360"/>
        <w:rPr>
          <w:sz w:val="24"/>
          <w:szCs w:val="24"/>
        </w:rPr>
      </w:pPr>
    </w:p>
    <w:p w:rsidR="007943B5" w:rsidRPr="00073A50" w:rsidP="007943B5" w14:paraId="16A793D1" w14:textId="77777777">
      <w:pPr>
        <w:numPr>
          <w:ilvl w:val="0"/>
          <w:numId w:val="1"/>
        </w:numPr>
        <w:tabs>
          <w:tab w:val="left" w:pos="360"/>
        </w:tabs>
        <w:rPr>
          <w:b/>
          <w:bCs/>
          <w:sz w:val="24"/>
          <w:szCs w:val="24"/>
        </w:rPr>
      </w:pPr>
      <w:r w:rsidRPr="00073A50">
        <w:rPr>
          <w:b/>
          <w:bCs/>
          <w:sz w:val="24"/>
          <w:szCs w:val="24"/>
        </w:rPr>
        <w:t>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943B5" w:rsidRPr="00733422" w:rsidP="00733422" w14:paraId="3102BC51" w14:textId="14A0B519">
      <w:pPr>
        <w:pStyle w:val="pf0"/>
        <w:ind w:left="360"/>
      </w:pPr>
      <w:r w:rsidRPr="00733422">
        <w:rPr>
          <w:rStyle w:val="cf01"/>
          <w:rFonts w:ascii="Times New Roman" w:hAnsi="Times New Roman" w:cs="Times New Roman"/>
          <w:sz w:val="24"/>
          <w:szCs w:val="24"/>
        </w:rPr>
        <w:t xml:space="preserve">In accordance with 5 CFR 1320.8(d), this information collection soliciting public comments was announced in the Federal Register on, </w:t>
      </w:r>
      <w:r w:rsidR="00E75F9E">
        <w:rPr>
          <w:rStyle w:val="cf01"/>
          <w:rFonts w:ascii="Times New Roman" w:hAnsi="Times New Roman" w:cs="Times New Roman"/>
          <w:sz w:val="24"/>
          <w:szCs w:val="24"/>
        </w:rPr>
        <w:t>May 8, 2024</w:t>
      </w:r>
      <w:r w:rsidRPr="00733422">
        <w:rPr>
          <w:rStyle w:val="cf01"/>
          <w:rFonts w:ascii="Times New Roman" w:hAnsi="Times New Roman" w:cs="Times New Roman"/>
          <w:sz w:val="24"/>
          <w:szCs w:val="24"/>
        </w:rPr>
        <w:t>, Volume,</w:t>
      </w:r>
      <w:r w:rsidR="00E75F9E">
        <w:rPr>
          <w:rStyle w:val="cf01"/>
          <w:rFonts w:ascii="Times New Roman" w:hAnsi="Times New Roman" w:cs="Times New Roman"/>
          <w:sz w:val="24"/>
          <w:szCs w:val="24"/>
        </w:rPr>
        <w:t xml:space="preserve"> 89</w:t>
      </w:r>
      <w:r w:rsidRPr="00733422">
        <w:rPr>
          <w:rStyle w:val="cf01"/>
          <w:rFonts w:ascii="Times New Roman" w:hAnsi="Times New Roman" w:cs="Times New Roman"/>
          <w:sz w:val="24"/>
          <w:szCs w:val="24"/>
        </w:rPr>
        <w:t>, Pages</w:t>
      </w:r>
      <w:r w:rsidR="00E75F9E">
        <w:rPr>
          <w:rStyle w:val="cf01"/>
          <w:rFonts w:ascii="Times New Roman" w:hAnsi="Times New Roman" w:cs="Times New Roman"/>
          <w:sz w:val="24"/>
          <w:szCs w:val="24"/>
        </w:rPr>
        <w:t xml:space="preserve"> 38913-38912</w:t>
      </w:r>
      <w:r w:rsidRPr="00733422">
        <w:rPr>
          <w:rStyle w:val="cf01"/>
          <w:rFonts w:ascii="Times New Roman" w:hAnsi="Times New Roman" w:cs="Times New Roman"/>
          <w:sz w:val="24"/>
          <w:szCs w:val="24"/>
        </w:rPr>
        <w:t xml:space="preserve">. </w:t>
      </w:r>
      <w:r w:rsidR="00E75F9E">
        <w:rPr>
          <w:rStyle w:val="cf01"/>
          <w:rFonts w:ascii="Times New Roman" w:hAnsi="Times New Roman" w:cs="Times New Roman"/>
          <w:sz w:val="24"/>
          <w:szCs w:val="24"/>
        </w:rPr>
        <w:t xml:space="preserve">No </w:t>
      </w:r>
      <w:r w:rsidRPr="00733422">
        <w:rPr>
          <w:rStyle w:val="cf01"/>
          <w:rFonts w:ascii="Times New Roman" w:hAnsi="Times New Roman" w:cs="Times New Roman"/>
          <w:sz w:val="24"/>
          <w:szCs w:val="24"/>
        </w:rPr>
        <w:t>Comment(s)</w:t>
      </w:r>
      <w:r w:rsidR="00E75F9E">
        <w:rPr>
          <w:rStyle w:val="cf01"/>
          <w:rFonts w:ascii="Times New Roman" w:hAnsi="Times New Roman" w:cs="Times New Roman"/>
          <w:sz w:val="24"/>
          <w:szCs w:val="24"/>
        </w:rPr>
        <w:t xml:space="preserve"> were</w:t>
      </w:r>
      <w:r w:rsidRPr="00733422">
        <w:rPr>
          <w:rStyle w:val="cf01"/>
          <w:rFonts w:ascii="Times New Roman" w:hAnsi="Times New Roman" w:cs="Times New Roman"/>
          <w:sz w:val="24"/>
          <w:szCs w:val="24"/>
        </w:rPr>
        <w:t xml:space="preserve"> received.</w:t>
      </w:r>
    </w:p>
    <w:p w:rsidR="007943B5" w:rsidRPr="006C7FAE" w:rsidP="007943B5" w14:paraId="28AD4C01" w14:textId="77777777">
      <w:pPr>
        <w:keepLines/>
        <w:tabs>
          <w:tab w:val="left" w:pos="360"/>
        </w:tabs>
        <w:spacing w:after="80"/>
        <w:ind w:left="360" w:hanging="360"/>
        <w:rPr>
          <w:sz w:val="24"/>
          <w:szCs w:val="24"/>
        </w:rPr>
      </w:pPr>
      <w:r w:rsidRPr="006C7FAE">
        <w:rPr>
          <w:sz w:val="24"/>
          <w:szCs w:val="24"/>
        </w:rPr>
        <w:t>9.</w:t>
      </w:r>
      <w:r w:rsidRPr="006C7FAE">
        <w:rPr>
          <w:sz w:val="24"/>
          <w:szCs w:val="24"/>
        </w:rPr>
        <w:tab/>
      </w:r>
      <w:r w:rsidRPr="00073A50">
        <w:rPr>
          <w:b/>
          <w:bCs/>
          <w:sz w:val="24"/>
          <w:szCs w:val="24"/>
        </w:rPr>
        <w:t>Explain any decision to provide any payment or gift to respondents, other than renumeration of contractors or grantees.</w:t>
      </w:r>
    </w:p>
    <w:p w:rsidR="007943B5" w:rsidP="007943B5" w14:paraId="1B4985CD" w14:textId="77777777">
      <w:pPr>
        <w:tabs>
          <w:tab w:val="left" w:pos="360"/>
        </w:tabs>
        <w:ind w:left="360" w:hanging="360"/>
        <w:rPr>
          <w:sz w:val="24"/>
          <w:szCs w:val="24"/>
        </w:rPr>
      </w:pPr>
    </w:p>
    <w:p w:rsidR="007943B5" w:rsidP="007943B5" w14:paraId="6E9ECF3A" w14:textId="77777777">
      <w:pPr>
        <w:tabs>
          <w:tab w:val="left" w:pos="360"/>
        </w:tabs>
        <w:ind w:left="720" w:hanging="360"/>
        <w:rPr>
          <w:sz w:val="24"/>
          <w:szCs w:val="24"/>
          <w:lang w:val="en"/>
        </w:rPr>
      </w:pPr>
      <w:r w:rsidRPr="0015628E">
        <w:rPr>
          <w:sz w:val="24"/>
          <w:szCs w:val="24"/>
          <w:lang w:val="en"/>
        </w:rPr>
        <w:t>HUD does not provide payments or gifts to respondents in exchange for a benefit sought.</w:t>
      </w:r>
    </w:p>
    <w:p w:rsidR="007943B5" w:rsidRPr="006C7FAE" w:rsidP="007943B5" w14:paraId="5D80E864" w14:textId="77777777">
      <w:pPr>
        <w:tabs>
          <w:tab w:val="left" w:pos="360"/>
        </w:tabs>
        <w:ind w:left="360" w:hanging="360"/>
        <w:rPr>
          <w:sz w:val="24"/>
          <w:szCs w:val="24"/>
        </w:rPr>
      </w:pPr>
    </w:p>
    <w:p w:rsidR="007943B5" w:rsidP="007943B5" w14:paraId="35603C24" w14:textId="77777777">
      <w:pPr>
        <w:keepLines/>
        <w:tabs>
          <w:tab w:val="left" w:pos="360"/>
        </w:tabs>
        <w:spacing w:after="80"/>
        <w:ind w:left="360" w:hanging="360"/>
        <w:rPr>
          <w:b/>
          <w:bCs/>
          <w:sz w:val="24"/>
          <w:szCs w:val="24"/>
        </w:rPr>
      </w:pPr>
      <w:r w:rsidRPr="006C7FAE">
        <w:rPr>
          <w:sz w:val="24"/>
          <w:szCs w:val="24"/>
        </w:rPr>
        <w:t>10.</w:t>
      </w:r>
      <w:r w:rsidRPr="006C7FAE">
        <w:rPr>
          <w:sz w:val="24"/>
          <w:szCs w:val="24"/>
        </w:rPr>
        <w:tab/>
      </w:r>
      <w:r w:rsidRPr="00073A50">
        <w:rPr>
          <w:b/>
          <w:bCs/>
          <w:sz w:val="24"/>
          <w:szCs w:val="24"/>
        </w:rPr>
        <w:t>Describe any assurance of confidentiality provided to respondents and the basis for assurance in statute, regulation or agency policy.</w:t>
      </w:r>
      <w:r w:rsidRPr="00073A50">
        <w:rPr>
          <w:b/>
          <w:bCs/>
        </w:rPr>
        <w:t xml:space="preserve"> </w:t>
      </w:r>
      <w:r w:rsidRPr="00073A50">
        <w:rPr>
          <w:b/>
          <w:bCs/>
          <w:sz w:val="24"/>
          <w:szCs w:val="24"/>
        </w:rPr>
        <w:t xml:space="preserve">If the collection requires a system of records notice </w:t>
      </w:r>
      <w:r w:rsidRPr="00501EE7">
        <w:rPr>
          <w:b/>
          <w:bCs/>
          <w:sz w:val="24"/>
          <w:szCs w:val="24"/>
        </w:rPr>
        <w:t>(SORN)</w:t>
      </w:r>
      <w:r w:rsidRPr="00073A50">
        <w:rPr>
          <w:b/>
          <w:bCs/>
          <w:sz w:val="24"/>
          <w:szCs w:val="24"/>
        </w:rPr>
        <w:t xml:space="preserve"> or privacy impact assessment (PIA), those should be cited and described here.</w:t>
      </w:r>
    </w:p>
    <w:p w:rsidR="007943B5" w:rsidRPr="00733422" w:rsidP="00733422" w14:paraId="47EFF590" w14:textId="77777777">
      <w:pPr>
        <w:pStyle w:val="NoSpacing"/>
        <w:rPr>
          <w:sz w:val="24"/>
          <w:szCs w:val="24"/>
        </w:rPr>
      </w:pPr>
      <w:r>
        <w:tab/>
      </w:r>
    </w:p>
    <w:p w:rsidR="007943B5" w:rsidRPr="00733422" w:rsidP="00733422" w14:paraId="1E20C067" w14:textId="0726E797">
      <w:pPr>
        <w:pStyle w:val="NoSpacing"/>
        <w:ind w:left="360"/>
        <w:rPr>
          <w:sz w:val="24"/>
          <w:szCs w:val="24"/>
        </w:rPr>
      </w:pPr>
      <w:r w:rsidRPr="00733422">
        <w:rPr>
          <w:sz w:val="24"/>
          <w:szCs w:val="24"/>
        </w:rPr>
        <w:t>A SORN is in the process of being reviewed by the Privacy Act Office and PIA will be worked on.</w:t>
      </w:r>
      <w:r w:rsidR="00733422">
        <w:rPr>
          <w:sz w:val="24"/>
          <w:szCs w:val="24"/>
        </w:rPr>
        <w:t xml:space="preserve"> </w:t>
      </w:r>
      <w:r w:rsidRPr="00733422">
        <w:rPr>
          <w:color w:val="000000"/>
          <w:sz w:val="24"/>
          <w:szCs w:val="24"/>
          <w:lang w:val="en"/>
        </w:rPr>
        <w:t xml:space="preserve">HUD secures and protects the electronic transfer of sensitive information by means of </w:t>
      </w:r>
      <w:r w:rsidR="00733422">
        <w:rPr>
          <w:color w:val="000000"/>
          <w:sz w:val="24"/>
          <w:szCs w:val="24"/>
          <w:lang w:val="en"/>
        </w:rPr>
        <w:t xml:space="preserve"> </w:t>
      </w:r>
      <w:r w:rsidRPr="00733422">
        <w:rPr>
          <w:color w:val="000000"/>
          <w:sz w:val="24"/>
          <w:szCs w:val="24"/>
          <w:lang w:val="en"/>
        </w:rPr>
        <w:t>FOIAXpress</w:t>
      </w:r>
      <w:r w:rsidRPr="00733422">
        <w:rPr>
          <w:color w:val="000000"/>
          <w:sz w:val="24"/>
          <w:szCs w:val="24"/>
          <w:lang w:val="en"/>
        </w:rPr>
        <w:t xml:space="preserve"> System, using firewall protection, encryptions, and restricted access security.</w:t>
      </w:r>
    </w:p>
    <w:p w:rsidR="007943B5" w:rsidRPr="006C7FAE" w:rsidP="007943B5" w14:paraId="69820163" w14:textId="77777777">
      <w:pPr>
        <w:tabs>
          <w:tab w:val="left" w:pos="360"/>
        </w:tabs>
        <w:ind w:left="360" w:hanging="360"/>
        <w:rPr>
          <w:sz w:val="24"/>
          <w:szCs w:val="24"/>
        </w:rPr>
      </w:pPr>
    </w:p>
    <w:p w:rsidR="007943B5" w:rsidRPr="006C7FAE" w:rsidP="007943B5" w14:paraId="3B7C33BB" w14:textId="77777777">
      <w:pPr>
        <w:keepLines/>
        <w:tabs>
          <w:tab w:val="left" w:pos="360"/>
        </w:tabs>
        <w:spacing w:after="80"/>
        <w:ind w:left="360" w:hanging="360"/>
        <w:rPr>
          <w:sz w:val="24"/>
          <w:szCs w:val="24"/>
        </w:rPr>
      </w:pPr>
      <w:r w:rsidRPr="006C7FAE">
        <w:rPr>
          <w:sz w:val="24"/>
          <w:szCs w:val="24"/>
        </w:rPr>
        <w:t>11.</w:t>
      </w:r>
      <w:r w:rsidRPr="006C7FAE">
        <w:rPr>
          <w:sz w:val="24"/>
          <w:szCs w:val="24"/>
        </w:rPr>
        <w:tab/>
      </w:r>
      <w:r w:rsidRPr="00073A50">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943B5" w:rsidRPr="006C7FAE" w:rsidP="007943B5" w14:paraId="26D9595D" w14:textId="77777777">
      <w:pPr>
        <w:tabs>
          <w:tab w:val="left" w:pos="360"/>
        </w:tabs>
        <w:ind w:left="360" w:hanging="360"/>
        <w:rPr>
          <w:sz w:val="24"/>
          <w:szCs w:val="24"/>
        </w:rPr>
      </w:pPr>
    </w:p>
    <w:p w:rsidR="007943B5" w:rsidP="007943B5" w14:paraId="7B4602BF" w14:textId="77777777">
      <w:pPr>
        <w:tabs>
          <w:tab w:val="left" w:pos="360"/>
        </w:tabs>
        <w:ind w:left="720" w:hanging="360"/>
        <w:rPr>
          <w:sz w:val="24"/>
          <w:szCs w:val="24"/>
        </w:rPr>
      </w:pPr>
      <w:r>
        <w:rPr>
          <w:sz w:val="24"/>
          <w:szCs w:val="24"/>
        </w:rPr>
        <w:t xml:space="preserve">There are no questions of sensitive nature. </w:t>
      </w:r>
    </w:p>
    <w:p w:rsidR="007943B5" w:rsidP="007943B5" w14:paraId="1F8CD953" w14:textId="77777777">
      <w:pPr>
        <w:tabs>
          <w:tab w:val="left" w:pos="360"/>
        </w:tabs>
        <w:ind w:left="360" w:hanging="360"/>
        <w:rPr>
          <w:sz w:val="24"/>
          <w:szCs w:val="24"/>
        </w:rPr>
      </w:pPr>
    </w:p>
    <w:p w:rsidR="007943B5" w:rsidRPr="0096563F" w:rsidP="007943B5" w14:paraId="797A0909" w14:textId="77777777">
      <w:pPr>
        <w:tabs>
          <w:tab w:val="left" w:pos="360"/>
        </w:tabs>
        <w:ind w:left="360" w:hanging="360"/>
        <w:rPr>
          <w:b/>
          <w:bCs/>
          <w:sz w:val="24"/>
          <w:szCs w:val="24"/>
        </w:rPr>
      </w:pPr>
      <w:r w:rsidRPr="006C7FAE">
        <w:rPr>
          <w:sz w:val="24"/>
          <w:szCs w:val="24"/>
        </w:rPr>
        <w:t>12.</w:t>
      </w:r>
      <w:r w:rsidRPr="006C7FAE">
        <w:rPr>
          <w:sz w:val="24"/>
          <w:szCs w:val="24"/>
        </w:rPr>
        <w:tab/>
      </w:r>
      <w:r w:rsidRPr="0096563F">
        <w:rPr>
          <w:b/>
          <w:bCs/>
          <w:sz w:val="24"/>
          <w:szCs w:val="24"/>
        </w:rPr>
        <w:t>Provide estimates of the hour burden of the collection of information.  The statement should:</w:t>
      </w:r>
    </w:p>
    <w:p w:rsidR="007943B5" w:rsidRPr="0096563F" w:rsidP="007943B5" w14:paraId="59B98DD6" w14:textId="77777777">
      <w:pPr>
        <w:tabs>
          <w:tab w:val="left" w:pos="360"/>
        </w:tabs>
        <w:ind w:left="360" w:hanging="360"/>
        <w:rPr>
          <w:b/>
          <w:bCs/>
          <w:sz w:val="24"/>
          <w:szCs w:val="24"/>
        </w:rPr>
      </w:pPr>
      <w:r w:rsidRPr="0096563F">
        <w:rPr>
          <w:b/>
          <w:bCs/>
          <w:sz w:val="24"/>
          <w:szCs w:val="24"/>
        </w:rPr>
        <w:t xml:space="preserve"> </w:t>
      </w:r>
    </w:p>
    <w:p w:rsidR="007943B5" w:rsidRPr="006C7FAE" w:rsidP="007943B5" w14:paraId="3E83366A" w14:textId="77777777">
      <w:pPr>
        <w:numPr>
          <w:ilvl w:val="0"/>
          <w:numId w:val="2"/>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6C7FAE">
        <w:rPr>
          <w:sz w:val="24"/>
          <w:szCs w:val="24"/>
        </w:rPr>
        <w:t>practices;</w:t>
      </w:r>
      <w:r w:rsidRPr="006C7FAE">
        <w:rPr>
          <w:sz w:val="24"/>
          <w:szCs w:val="24"/>
        </w:rPr>
        <w:t xml:space="preserve"> </w:t>
      </w:r>
    </w:p>
    <w:p w:rsidR="007943B5" w:rsidRPr="006C7FAE" w:rsidP="007943B5" w14:paraId="4ACB5B05" w14:textId="77777777">
      <w:pPr>
        <w:numPr>
          <w:ilvl w:val="0"/>
          <w:numId w:val="2"/>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Pr>
          <w:sz w:val="24"/>
          <w:szCs w:val="24"/>
        </w:rPr>
        <w:t>chart below</w:t>
      </w:r>
      <w:r w:rsidRPr="006C7FAE">
        <w:rPr>
          <w:sz w:val="24"/>
          <w:szCs w:val="24"/>
        </w:rPr>
        <w:t xml:space="preserve">; and </w:t>
      </w:r>
    </w:p>
    <w:p w:rsidR="007943B5" w:rsidP="007943B5" w14:paraId="766FB8D6" w14:textId="77777777">
      <w:pPr>
        <w:keepLines/>
        <w:numPr>
          <w:ilvl w:val="0"/>
          <w:numId w:val="2"/>
        </w:numPr>
        <w:tabs>
          <w:tab w:val="left" w:pos="480"/>
        </w:tabs>
        <w:spacing w:after="80"/>
        <w:ind w:left="480"/>
        <w:rPr>
          <w:sz w:val="24"/>
          <w:szCs w:val="24"/>
        </w:rPr>
      </w:pPr>
      <w:r>
        <w:rPr>
          <w:sz w:val="24"/>
          <w:szCs w:val="24"/>
        </w:rPr>
        <w:t>P</w:t>
      </w:r>
      <w:r w:rsidRPr="006C7FAE">
        <w:rPr>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943B5" w:rsidRPr="006C7FAE" w:rsidP="007943B5" w14:paraId="3712EAC5"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0" w:type="auto"/>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363"/>
        <w:gridCol w:w="1361"/>
        <w:gridCol w:w="1175"/>
        <w:gridCol w:w="1139"/>
        <w:gridCol w:w="1058"/>
        <w:gridCol w:w="922"/>
        <w:gridCol w:w="1058"/>
        <w:gridCol w:w="1216"/>
      </w:tblGrid>
      <w:tr w14:paraId="40DE356D" w14:textId="77777777" w:rsidTr="006358A4">
        <w:tblPrEx>
          <w:tblW w:w="0" w:type="auto"/>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469" w:type="dxa"/>
            <w:tcMar>
              <w:top w:w="0" w:type="dxa"/>
              <w:left w:w="108" w:type="dxa"/>
              <w:bottom w:w="0" w:type="dxa"/>
              <w:right w:w="108" w:type="dxa"/>
            </w:tcMar>
            <w:hideMark/>
          </w:tcPr>
          <w:p w:rsidR="007943B5" w:rsidRPr="006C7FAE" w:rsidP="006358A4" w14:paraId="6BC55950" w14:textId="77777777">
            <w:pPr>
              <w:adjustRightInd/>
              <w:jc w:val="center"/>
              <w:textAlignment w:val="auto"/>
              <w:rPr>
                <w:rFonts w:eastAsia="Calibri"/>
                <w:b/>
                <w:bCs/>
                <w:color w:val="000000"/>
              </w:rPr>
            </w:pPr>
            <w:bookmarkStart w:id="0" w:name="_Hlk72491044"/>
            <w:r w:rsidRPr="006C7FAE">
              <w:rPr>
                <w:rFonts w:eastAsia="Calibri"/>
                <w:b/>
                <w:bCs/>
                <w:color w:val="000000"/>
              </w:rPr>
              <w:t>Information Collection</w:t>
            </w:r>
          </w:p>
        </w:tc>
        <w:tc>
          <w:tcPr>
            <w:tcW w:w="1419" w:type="dxa"/>
            <w:tcMar>
              <w:top w:w="0" w:type="dxa"/>
              <w:left w:w="108" w:type="dxa"/>
              <w:bottom w:w="0" w:type="dxa"/>
              <w:right w:w="108" w:type="dxa"/>
            </w:tcMar>
            <w:hideMark/>
          </w:tcPr>
          <w:p w:rsidR="007943B5" w:rsidRPr="006C7FAE" w:rsidP="006358A4" w14:paraId="0D00326C"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7943B5" w:rsidRPr="006C7FAE" w:rsidP="006358A4" w14:paraId="5B9B237D"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7943B5" w:rsidRPr="006C7FAE" w:rsidP="006358A4" w14:paraId="69AD4C79"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7943B5" w:rsidRPr="006C7FAE" w:rsidP="006358A4" w14:paraId="385BA489"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7943B5" w:rsidRPr="006C7FAE" w:rsidP="006358A4" w14:paraId="2EC3E8CC"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7943B5" w:rsidRPr="006C7FAE" w:rsidP="006358A4" w14:paraId="2CC6A976"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7943B5" w:rsidRPr="006C7FAE" w:rsidP="006358A4" w14:paraId="5C5FD50E"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Mar>
              <w:top w:w="0" w:type="dxa"/>
              <w:left w:w="108" w:type="dxa"/>
              <w:bottom w:w="0" w:type="dxa"/>
              <w:right w:w="108" w:type="dxa"/>
            </w:tcMar>
          </w:tcPr>
          <w:p w:rsidR="007943B5" w:rsidRPr="006C7FAE" w:rsidP="006358A4" w14:paraId="637D54F9"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7943B5" w:rsidRPr="006C7FAE" w:rsidP="006358A4" w14:paraId="5A31BAF5" w14:textId="77777777">
            <w:pPr>
              <w:adjustRightInd/>
              <w:jc w:val="center"/>
              <w:textAlignment w:val="auto"/>
              <w:rPr>
                <w:rFonts w:eastAsia="Calibri"/>
                <w:b/>
                <w:bCs/>
                <w:color w:val="000000"/>
              </w:rPr>
            </w:pPr>
          </w:p>
        </w:tc>
      </w:tr>
      <w:tr w14:paraId="357BAE1F" w14:textId="77777777" w:rsidTr="006358A4">
        <w:tblPrEx>
          <w:tblW w:w="0" w:type="auto"/>
          <w:tblInd w:w="588" w:type="dxa"/>
          <w:tblCellMar>
            <w:left w:w="0" w:type="dxa"/>
            <w:right w:w="0" w:type="dxa"/>
          </w:tblCellMar>
          <w:tblLook w:val="04A0"/>
        </w:tblPrEx>
        <w:tc>
          <w:tcPr>
            <w:tcW w:w="1469" w:type="dxa"/>
            <w:tcMar>
              <w:top w:w="0" w:type="dxa"/>
              <w:left w:w="108" w:type="dxa"/>
              <w:bottom w:w="0" w:type="dxa"/>
              <w:right w:w="108" w:type="dxa"/>
            </w:tcMar>
          </w:tcPr>
          <w:p w:rsidR="007943B5" w:rsidRPr="006C7FAE" w:rsidP="006358A4" w14:paraId="27B46A12" w14:textId="77777777">
            <w:pPr>
              <w:adjustRightInd/>
              <w:textAlignment w:val="auto"/>
              <w:rPr>
                <w:rFonts w:eastAsia="Calibri"/>
                <w:b/>
                <w:bCs/>
                <w:color w:val="000000"/>
              </w:rPr>
            </w:pPr>
            <w:r>
              <w:rPr>
                <w:rFonts w:eastAsia="Calibri"/>
                <w:b/>
                <w:bCs/>
                <w:color w:val="000000"/>
              </w:rPr>
              <w:t>Public Access Link</w:t>
            </w:r>
          </w:p>
        </w:tc>
        <w:tc>
          <w:tcPr>
            <w:tcW w:w="1419" w:type="dxa"/>
            <w:tcMar>
              <w:top w:w="0" w:type="dxa"/>
              <w:left w:w="108" w:type="dxa"/>
              <w:bottom w:w="0" w:type="dxa"/>
              <w:right w:w="108" w:type="dxa"/>
            </w:tcMar>
          </w:tcPr>
          <w:p w:rsidR="007943B5" w:rsidRPr="006C7FAE" w:rsidP="006358A4" w14:paraId="4F55F55A" w14:textId="77777777">
            <w:pPr>
              <w:adjustRightInd/>
              <w:jc w:val="center"/>
              <w:textAlignment w:val="auto"/>
              <w:rPr>
                <w:rFonts w:eastAsia="Calibri"/>
                <w:b/>
                <w:bCs/>
                <w:color w:val="000000"/>
              </w:rPr>
            </w:pPr>
            <w:r>
              <w:rPr>
                <w:rFonts w:eastAsia="Calibri"/>
                <w:b/>
                <w:bCs/>
                <w:color w:val="000000"/>
              </w:rPr>
              <w:t>11,510</w:t>
            </w:r>
          </w:p>
        </w:tc>
        <w:tc>
          <w:tcPr>
            <w:tcW w:w="1224" w:type="dxa"/>
            <w:tcMar>
              <w:top w:w="0" w:type="dxa"/>
              <w:left w:w="108" w:type="dxa"/>
              <w:bottom w:w="0" w:type="dxa"/>
              <w:right w:w="108" w:type="dxa"/>
            </w:tcMar>
          </w:tcPr>
          <w:p w:rsidR="007943B5" w:rsidRPr="006C7FAE" w:rsidP="006358A4" w14:paraId="2FB25C1B" w14:textId="77777777">
            <w:pPr>
              <w:adjustRightInd/>
              <w:jc w:val="center"/>
              <w:textAlignment w:val="auto"/>
              <w:rPr>
                <w:rFonts w:eastAsia="Calibri"/>
                <w:b/>
                <w:bCs/>
                <w:color w:val="000000"/>
              </w:rPr>
            </w:pPr>
            <w:r>
              <w:rPr>
                <w:rFonts w:eastAsia="Calibri"/>
                <w:b/>
                <w:bCs/>
                <w:color w:val="000000"/>
              </w:rPr>
              <w:t>1</w:t>
            </w:r>
          </w:p>
        </w:tc>
        <w:tc>
          <w:tcPr>
            <w:tcW w:w="1186" w:type="dxa"/>
            <w:tcMar>
              <w:top w:w="0" w:type="dxa"/>
              <w:left w:w="108" w:type="dxa"/>
              <w:bottom w:w="0" w:type="dxa"/>
              <w:right w:w="108" w:type="dxa"/>
            </w:tcMar>
          </w:tcPr>
          <w:p w:rsidR="007943B5" w:rsidRPr="006C7FAE" w:rsidP="006358A4" w14:paraId="68844C8D" w14:textId="77777777">
            <w:pPr>
              <w:adjustRightInd/>
              <w:jc w:val="center"/>
              <w:textAlignment w:val="auto"/>
              <w:rPr>
                <w:rFonts w:eastAsia="Calibri"/>
                <w:b/>
                <w:bCs/>
                <w:color w:val="000000"/>
              </w:rPr>
            </w:pPr>
            <w:r>
              <w:rPr>
                <w:rFonts w:eastAsia="Calibri"/>
                <w:b/>
                <w:bCs/>
                <w:color w:val="000000"/>
              </w:rPr>
              <w:t>11,510</w:t>
            </w:r>
          </w:p>
        </w:tc>
        <w:tc>
          <w:tcPr>
            <w:tcW w:w="1100" w:type="dxa"/>
            <w:tcMar>
              <w:top w:w="0" w:type="dxa"/>
              <w:left w:w="108" w:type="dxa"/>
              <w:bottom w:w="0" w:type="dxa"/>
              <w:right w:w="108" w:type="dxa"/>
            </w:tcMar>
          </w:tcPr>
          <w:p w:rsidR="007943B5" w:rsidRPr="006C7FAE" w:rsidP="006358A4" w14:paraId="3679A7C6" w14:textId="77777777">
            <w:pPr>
              <w:adjustRightInd/>
              <w:jc w:val="center"/>
              <w:textAlignment w:val="auto"/>
              <w:rPr>
                <w:rFonts w:eastAsia="Calibri"/>
                <w:b/>
                <w:bCs/>
                <w:color w:val="000000"/>
              </w:rPr>
            </w:pPr>
            <w:r>
              <w:rPr>
                <w:rFonts w:eastAsia="Calibri"/>
                <w:b/>
                <w:bCs/>
                <w:color w:val="000000"/>
              </w:rPr>
              <w:t>.33</w:t>
            </w:r>
          </w:p>
        </w:tc>
        <w:tc>
          <w:tcPr>
            <w:tcW w:w="929" w:type="dxa"/>
            <w:tcMar>
              <w:top w:w="0" w:type="dxa"/>
              <w:left w:w="108" w:type="dxa"/>
              <w:bottom w:w="0" w:type="dxa"/>
              <w:right w:w="108" w:type="dxa"/>
            </w:tcMar>
          </w:tcPr>
          <w:p w:rsidR="007943B5" w:rsidRPr="006C7FAE" w:rsidP="006358A4" w14:paraId="742615A4" w14:textId="77777777">
            <w:pPr>
              <w:adjustRightInd/>
              <w:jc w:val="center"/>
              <w:textAlignment w:val="auto"/>
              <w:rPr>
                <w:rFonts w:eastAsia="Calibri"/>
                <w:b/>
                <w:bCs/>
                <w:color w:val="000000"/>
              </w:rPr>
            </w:pPr>
            <w:r>
              <w:rPr>
                <w:rFonts w:eastAsia="Calibri"/>
                <w:b/>
                <w:bCs/>
                <w:color w:val="000000"/>
              </w:rPr>
              <w:t>3,798.30</w:t>
            </w:r>
          </w:p>
        </w:tc>
        <w:tc>
          <w:tcPr>
            <w:tcW w:w="1100" w:type="dxa"/>
            <w:tcMar>
              <w:top w:w="0" w:type="dxa"/>
              <w:left w:w="108" w:type="dxa"/>
              <w:bottom w:w="0" w:type="dxa"/>
              <w:right w:w="108" w:type="dxa"/>
            </w:tcMar>
          </w:tcPr>
          <w:p w:rsidR="007943B5" w:rsidRPr="006C7FAE" w:rsidP="006358A4" w14:paraId="7419360D" w14:textId="77777777">
            <w:pPr>
              <w:adjustRightInd/>
              <w:jc w:val="right"/>
              <w:textAlignment w:val="auto"/>
              <w:rPr>
                <w:rFonts w:eastAsia="Calibri"/>
                <w:b/>
                <w:bCs/>
                <w:color w:val="000000"/>
              </w:rPr>
            </w:pPr>
            <w:r>
              <w:rPr>
                <w:rFonts w:eastAsia="Calibri"/>
                <w:b/>
                <w:bCs/>
                <w:color w:val="000000"/>
              </w:rPr>
              <w:t>$29.76</w:t>
            </w:r>
          </w:p>
        </w:tc>
        <w:tc>
          <w:tcPr>
            <w:tcW w:w="1041" w:type="dxa"/>
            <w:tcMar>
              <w:top w:w="0" w:type="dxa"/>
              <w:left w:w="108" w:type="dxa"/>
              <w:bottom w:w="0" w:type="dxa"/>
              <w:right w:w="108" w:type="dxa"/>
            </w:tcMar>
          </w:tcPr>
          <w:p w:rsidR="007943B5" w:rsidRPr="006C7FAE" w:rsidP="006358A4" w14:paraId="063B8C22" w14:textId="77777777">
            <w:pPr>
              <w:adjustRightInd/>
              <w:jc w:val="right"/>
              <w:textAlignment w:val="auto"/>
              <w:rPr>
                <w:rFonts w:eastAsia="Calibri"/>
                <w:b/>
                <w:bCs/>
                <w:color w:val="000000"/>
              </w:rPr>
            </w:pPr>
            <w:r>
              <w:rPr>
                <w:rFonts w:eastAsia="Calibri"/>
                <w:b/>
                <w:bCs/>
                <w:color w:val="000000"/>
              </w:rPr>
              <w:t>$113,037.41</w:t>
            </w:r>
          </w:p>
        </w:tc>
      </w:tr>
      <w:tr w14:paraId="4AF8DF88" w14:textId="77777777" w:rsidTr="006358A4">
        <w:tblPrEx>
          <w:tblW w:w="0" w:type="auto"/>
          <w:tblInd w:w="588" w:type="dxa"/>
          <w:tblCellMar>
            <w:left w:w="0" w:type="dxa"/>
            <w:right w:w="0" w:type="dxa"/>
          </w:tblCellMar>
          <w:tblLook w:val="04A0"/>
        </w:tblPrEx>
        <w:trPr>
          <w:trHeight w:val="85"/>
        </w:trPr>
        <w:tc>
          <w:tcPr>
            <w:tcW w:w="1469" w:type="dxa"/>
            <w:tcMar>
              <w:top w:w="0" w:type="dxa"/>
              <w:left w:w="108" w:type="dxa"/>
              <w:bottom w:w="0" w:type="dxa"/>
              <w:right w:w="108" w:type="dxa"/>
            </w:tcMar>
          </w:tcPr>
          <w:p w:rsidR="007943B5" w:rsidRPr="006C7FAE" w:rsidP="006358A4" w14:paraId="64D3B6D2" w14:textId="279AFF46">
            <w:pPr>
              <w:adjustRightInd/>
              <w:textAlignment w:val="auto"/>
              <w:rPr>
                <w:rFonts w:eastAsia="Calibri"/>
                <w:b/>
                <w:bCs/>
                <w:color w:val="000000"/>
              </w:rPr>
            </w:pPr>
            <w:r>
              <w:rPr>
                <w:rFonts w:eastAsia="Calibri"/>
                <w:b/>
                <w:bCs/>
                <w:color w:val="000000"/>
              </w:rPr>
              <w:t>TOTAL</w:t>
            </w:r>
          </w:p>
        </w:tc>
        <w:tc>
          <w:tcPr>
            <w:tcW w:w="1419" w:type="dxa"/>
            <w:tcMar>
              <w:top w:w="0" w:type="dxa"/>
              <w:left w:w="108" w:type="dxa"/>
              <w:bottom w:w="0" w:type="dxa"/>
              <w:right w:w="108" w:type="dxa"/>
            </w:tcMar>
          </w:tcPr>
          <w:p w:rsidR="007943B5" w:rsidRPr="006C7FAE" w:rsidP="006358A4" w14:paraId="29199525" w14:textId="6B5B5F33">
            <w:pPr>
              <w:adjustRightInd/>
              <w:jc w:val="center"/>
              <w:textAlignment w:val="auto"/>
              <w:rPr>
                <w:rFonts w:eastAsia="Calibri"/>
                <w:b/>
                <w:bCs/>
                <w:color w:val="000000"/>
              </w:rPr>
            </w:pPr>
            <w:r>
              <w:rPr>
                <w:rFonts w:eastAsia="Calibri"/>
                <w:b/>
                <w:bCs/>
                <w:color w:val="000000"/>
              </w:rPr>
              <w:t>11,510</w:t>
            </w:r>
          </w:p>
        </w:tc>
        <w:tc>
          <w:tcPr>
            <w:tcW w:w="1224" w:type="dxa"/>
            <w:tcMar>
              <w:top w:w="0" w:type="dxa"/>
              <w:left w:w="108" w:type="dxa"/>
              <w:bottom w:w="0" w:type="dxa"/>
              <w:right w:w="108" w:type="dxa"/>
            </w:tcMar>
          </w:tcPr>
          <w:p w:rsidR="007943B5" w:rsidRPr="006C7FAE" w:rsidP="006358A4" w14:paraId="557B73C6" w14:textId="77777777">
            <w:pPr>
              <w:adjustRightInd/>
              <w:jc w:val="center"/>
              <w:textAlignment w:val="auto"/>
              <w:rPr>
                <w:rFonts w:eastAsia="Calibri"/>
                <w:b/>
                <w:bCs/>
                <w:color w:val="000000"/>
              </w:rPr>
            </w:pPr>
          </w:p>
        </w:tc>
        <w:tc>
          <w:tcPr>
            <w:tcW w:w="1186" w:type="dxa"/>
            <w:tcMar>
              <w:top w:w="0" w:type="dxa"/>
              <w:left w:w="108" w:type="dxa"/>
              <w:bottom w:w="0" w:type="dxa"/>
              <w:right w:w="108" w:type="dxa"/>
            </w:tcMar>
          </w:tcPr>
          <w:p w:rsidR="007943B5" w:rsidRPr="006C7FAE" w:rsidP="006358A4" w14:paraId="7C1549C5" w14:textId="77777777">
            <w:pPr>
              <w:adjustRightInd/>
              <w:jc w:val="center"/>
              <w:textAlignment w:val="auto"/>
              <w:rPr>
                <w:rFonts w:eastAsia="Calibri"/>
                <w:b/>
                <w:bCs/>
                <w:color w:val="000000"/>
              </w:rPr>
            </w:pPr>
          </w:p>
        </w:tc>
        <w:tc>
          <w:tcPr>
            <w:tcW w:w="1100" w:type="dxa"/>
            <w:tcMar>
              <w:top w:w="0" w:type="dxa"/>
              <w:left w:w="108" w:type="dxa"/>
              <w:bottom w:w="0" w:type="dxa"/>
              <w:right w:w="108" w:type="dxa"/>
            </w:tcMar>
          </w:tcPr>
          <w:p w:rsidR="007943B5" w:rsidRPr="006C7FAE" w:rsidP="006358A4" w14:paraId="57BBF869" w14:textId="77777777">
            <w:pPr>
              <w:adjustRightInd/>
              <w:jc w:val="center"/>
              <w:textAlignment w:val="auto"/>
              <w:rPr>
                <w:rFonts w:eastAsia="Calibri"/>
                <w:b/>
                <w:bCs/>
                <w:color w:val="000000"/>
              </w:rPr>
            </w:pPr>
          </w:p>
        </w:tc>
        <w:tc>
          <w:tcPr>
            <w:tcW w:w="929" w:type="dxa"/>
            <w:tcMar>
              <w:top w:w="0" w:type="dxa"/>
              <w:left w:w="108" w:type="dxa"/>
              <w:bottom w:w="0" w:type="dxa"/>
              <w:right w:w="108" w:type="dxa"/>
            </w:tcMar>
          </w:tcPr>
          <w:p w:rsidR="007943B5" w:rsidRPr="006C7FAE" w:rsidP="006358A4" w14:paraId="6135B912" w14:textId="77777777">
            <w:pPr>
              <w:adjustRightInd/>
              <w:jc w:val="center"/>
              <w:textAlignment w:val="auto"/>
              <w:rPr>
                <w:rFonts w:eastAsia="Calibri"/>
                <w:b/>
                <w:bCs/>
                <w:color w:val="000000"/>
              </w:rPr>
            </w:pPr>
          </w:p>
        </w:tc>
        <w:tc>
          <w:tcPr>
            <w:tcW w:w="1100" w:type="dxa"/>
            <w:tcMar>
              <w:top w:w="0" w:type="dxa"/>
              <w:left w:w="108" w:type="dxa"/>
              <w:bottom w:w="0" w:type="dxa"/>
              <w:right w:w="108" w:type="dxa"/>
            </w:tcMar>
          </w:tcPr>
          <w:p w:rsidR="007943B5" w:rsidRPr="006C7FAE" w:rsidP="006358A4" w14:paraId="6509DB14" w14:textId="77777777">
            <w:pPr>
              <w:adjustRightInd/>
              <w:jc w:val="right"/>
              <w:textAlignment w:val="auto"/>
              <w:rPr>
                <w:rFonts w:eastAsia="Calibri"/>
                <w:b/>
                <w:bCs/>
                <w:color w:val="000000"/>
              </w:rPr>
            </w:pPr>
          </w:p>
        </w:tc>
        <w:tc>
          <w:tcPr>
            <w:tcW w:w="1041" w:type="dxa"/>
            <w:tcMar>
              <w:top w:w="0" w:type="dxa"/>
              <w:left w:w="108" w:type="dxa"/>
              <w:bottom w:w="0" w:type="dxa"/>
              <w:right w:w="108" w:type="dxa"/>
            </w:tcMar>
          </w:tcPr>
          <w:p w:rsidR="007943B5" w:rsidRPr="006C7FAE" w:rsidP="006358A4" w14:paraId="46266B8D" w14:textId="744D962A">
            <w:pPr>
              <w:adjustRightInd/>
              <w:jc w:val="right"/>
              <w:textAlignment w:val="auto"/>
              <w:rPr>
                <w:rFonts w:eastAsia="Calibri"/>
                <w:b/>
                <w:bCs/>
                <w:color w:val="000000"/>
              </w:rPr>
            </w:pPr>
            <w:r w:rsidRPr="00733422">
              <w:rPr>
                <w:rFonts w:eastAsia="Calibri"/>
                <w:b/>
                <w:bCs/>
                <w:color w:val="000000"/>
              </w:rPr>
              <w:t>$113,037.41</w:t>
            </w:r>
          </w:p>
        </w:tc>
      </w:tr>
    </w:tbl>
    <w:bookmarkEnd w:id="0"/>
    <w:p w:rsidR="007943B5" w:rsidP="007943B5" w14:paraId="48A4400B"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r>
        <w:rPr>
          <w:sz w:val="24"/>
          <w:szCs w:val="24"/>
        </w:rPr>
        <w:t>*Estimated cost for respondents is calculated from the May 2022 Department of Labor Statistics report on Employee Costs for all occupations the average per hour is $29.76.</w:t>
      </w:r>
    </w:p>
    <w:p w:rsidR="007943B5" w:rsidRPr="006C7FAE" w:rsidP="007943B5" w14:paraId="6039C574"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7943B5" w:rsidP="007943B5" w14:paraId="2358DCB7" w14:textId="77777777">
      <w:pPr>
        <w:tabs>
          <w:tab w:val="left" w:pos="360"/>
        </w:tabs>
        <w:ind w:left="360" w:hanging="360"/>
        <w:rPr>
          <w:sz w:val="24"/>
          <w:szCs w:val="24"/>
        </w:rPr>
      </w:pPr>
      <w:r w:rsidRPr="006C7FAE">
        <w:rPr>
          <w:sz w:val="24"/>
          <w:szCs w:val="24"/>
        </w:rPr>
        <w:t>13.</w:t>
      </w:r>
      <w:r w:rsidRPr="006C7FAE">
        <w:rPr>
          <w:sz w:val="24"/>
          <w:szCs w:val="24"/>
        </w:rPr>
        <w:tab/>
      </w:r>
      <w:r w:rsidRPr="00073A50">
        <w:rPr>
          <w:b/>
          <w:bCs/>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7943B5" w:rsidRPr="006C7FAE" w:rsidP="007943B5" w14:paraId="23182FB3" w14:textId="77777777">
      <w:pPr>
        <w:tabs>
          <w:tab w:val="left" w:pos="360"/>
        </w:tabs>
        <w:ind w:left="360" w:hanging="360"/>
        <w:rPr>
          <w:sz w:val="24"/>
          <w:szCs w:val="24"/>
        </w:rPr>
      </w:pPr>
      <w:r w:rsidRPr="006C7FAE">
        <w:rPr>
          <w:sz w:val="24"/>
          <w:szCs w:val="24"/>
        </w:rPr>
        <w:t xml:space="preserve"> </w:t>
      </w:r>
    </w:p>
    <w:p w:rsidR="007943B5" w:rsidRPr="006C7FAE" w:rsidP="007943B5" w14:paraId="71EAA9FC" w14:textId="77777777">
      <w:pPr>
        <w:numPr>
          <w:ilvl w:val="0"/>
          <w:numId w:val="2"/>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C7FAE">
        <w:rPr>
          <w:sz w:val="24"/>
          <w:szCs w:val="24"/>
        </w:rPr>
        <w:t>facilities;</w:t>
      </w:r>
      <w:r w:rsidRPr="006C7FAE">
        <w:rPr>
          <w:sz w:val="24"/>
          <w:szCs w:val="24"/>
        </w:rPr>
        <w:t xml:space="preserve"> </w:t>
      </w:r>
    </w:p>
    <w:p w:rsidR="007943B5" w:rsidRPr="006C7FAE" w:rsidP="007943B5" w14:paraId="52881F15" w14:textId="77777777">
      <w:pPr>
        <w:numPr>
          <w:ilvl w:val="0"/>
          <w:numId w:val="2"/>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943B5" w:rsidRPr="006C7FAE" w:rsidP="007943B5" w14:paraId="4B1D5041" w14:textId="77777777">
      <w:pPr>
        <w:keepLines/>
        <w:numPr>
          <w:ilvl w:val="0"/>
          <w:numId w:val="2"/>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943B5" w:rsidP="007943B5" w14:paraId="3E9CAF78" w14:textId="77777777">
      <w:pPr>
        <w:keepLines/>
        <w:tabs>
          <w:tab w:val="left" w:pos="360"/>
        </w:tabs>
        <w:spacing w:after="80"/>
        <w:ind w:left="360" w:hanging="360"/>
        <w:rPr>
          <w:sz w:val="24"/>
          <w:szCs w:val="24"/>
        </w:rPr>
      </w:pPr>
    </w:p>
    <w:p w:rsidR="007943B5" w:rsidP="007943B5" w14:paraId="1C0470FA" w14:textId="77777777">
      <w:pPr>
        <w:keepLines/>
        <w:tabs>
          <w:tab w:val="left" w:pos="360"/>
        </w:tabs>
        <w:spacing w:after="80"/>
        <w:ind w:left="360" w:hanging="360"/>
        <w:rPr>
          <w:sz w:val="24"/>
          <w:szCs w:val="24"/>
        </w:rPr>
      </w:pPr>
    </w:p>
    <w:p w:rsidR="007943B5" w:rsidP="007943B5" w14:paraId="716EED40" w14:textId="77777777">
      <w:pPr>
        <w:keepLines/>
        <w:tabs>
          <w:tab w:val="left" w:pos="360"/>
        </w:tabs>
        <w:spacing w:after="80"/>
        <w:ind w:left="360" w:hanging="360"/>
        <w:rPr>
          <w:sz w:val="24"/>
          <w:szCs w:val="24"/>
        </w:rPr>
      </w:pPr>
    </w:p>
    <w:p w:rsidR="007943B5" w:rsidP="007943B5" w14:paraId="4790A690" w14:textId="77777777">
      <w:pPr>
        <w:keepLines/>
        <w:tabs>
          <w:tab w:val="left" w:pos="360"/>
        </w:tabs>
        <w:spacing w:after="80"/>
        <w:ind w:left="360" w:hanging="360"/>
        <w:rPr>
          <w:sz w:val="24"/>
          <w:szCs w:val="24"/>
        </w:rPr>
      </w:pPr>
    </w:p>
    <w:p w:rsidR="007943B5" w:rsidRPr="006C7FAE" w:rsidP="007943B5" w14:paraId="1352B4F6" w14:textId="77777777">
      <w:pPr>
        <w:keepLines/>
        <w:tabs>
          <w:tab w:val="left" w:pos="360"/>
        </w:tabs>
        <w:spacing w:after="80"/>
        <w:ind w:left="360" w:hanging="360"/>
        <w:rPr>
          <w:sz w:val="24"/>
          <w:szCs w:val="24"/>
        </w:rPr>
      </w:pPr>
      <w:r w:rsidRPr="006C7FAE">
        <w:rPr>
          <w:sz w:val="24"/>
          <w:szCs w:val="24"/>
        </w:rPr>
        <w:t>14.</w:t>
      </w:r>
      <w:r w:rsidRPr="006C7FAE">
        <w:rPr>
          <w:sz w:val="24"/>
          <w:szCs w:val="24"/>
        </w:rPr>
        <w:tab/>
      </w:r>
      <w:r w:rsidRPr="00073A50">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943B5" w:rsidRPr="006C7FAE" w:rsidP="007943B5" w14:paraId="66F50241" w14:textId="77777777">
      <w:pPr>
        <w:overflowPunct/>
        <w:autoSpaceDE/>
        <w:autoSpaceDN/>
        <w:adjustRightInd/>
        <w:spacing w:after="80"/>
        <w:ind w:left="360"/>
        <w:textAlignment w:val="auto"/>
        <w:rPr>
          <w:rFonts w:eastAsia="Calibri"/>
          <w:color w:val="000000"/>
        </w:rPr>
      </w:pPr>
    </w:p>
    <w:tbl>
      <w:tblPr>
        <w:tblW w:w="9592"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53"/>
        <w:gridCol w:w="1411"/>
        <w:gridCol w:w="1217"/>
        <w:gridCol w:w="1179"/>
        <w:gridCol w:w="1094"/>
        <w:gridCol w:w="928"/>
        <w:gridCol w:w="1094"/>
        <w:gridCol w:w="1216"/>
      </w:tblGrid>
      <w:tr w14:paraId="00488969" w14:textId="77777777" w:rsidTr="00733422">
        <w:tblPrEx>
          <w:tblW w:w="9592"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453" w:type="dxa"/>
            <w:tcMar>
              <w:top w:w="0" w:type="dxa"/>
              <w:left w:w="108" w:type="dxa"/>
              <w:bottom w:w="0" w:type="dxa"/>
              <w:right w:w="108" w:type="dxa"/>
            </w:tcMar>
            <w:hideMark/>
          </w:tcPr>
          <w:p w:rsidR="007943B5" w:rsidRPr="006C7FAE" w:rsidP="006358A4" w14:paraId="60645CFD"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1" w:type="dxa"/>
            <w:tcMar>
              <w:top w:w="0" w:type="dxa"/>
              <w:left w:w="108" w:type="dxa"/>
              <w:bottom w:w="0" w:type="dxa"/>
              <w:right w:w="108" w:type="dxa"/>
            </w:tcMar>
            <w:hideMark/>
          </w:tcPr>
          <w:p w:rsidR="007943B5" w:rsidRPr="006C7FAE" w:rsidP="006358A4" w14:paraId="05504CE6"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17" w:type="dxa"/>
            <w:tcMar>
              <w:top w:w="0" w:type="dxa"/>
              <w:left w:w="108" w:type="dxa"/>
              <w:bottom w:w="0" w:type="dxa"/>
              <w:right w:w="108" w:type="dxa"/>
            </w:tcMar>
            <w:hideMark/>
          </w:tcPr>
          <w:p w:rsidR="007943B5" w:rsidRPr="006C7FAE" w:rsidP="006358A4" w14:paraId="74A2D81C"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79" w:type="dxa"/>
            <w:tcMar>
              <w:top w:w="0" w:type="dxa"/>
              <w:left w:w="108" w:type="dxa"/>
              <w:bottom w:w="0" w:type="dxa"/>
              <w:right w:w="108" w:type="dxa"/>
            </w:tcMar>
            <w:hideMark/>
          </w:tcPr>
          <w:p w:rsidR="007943B5" w:rsidRPr="006C7FAE" w:rsidP="006358A4" w14:paraId="2649B218"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7943B5" w:rsidRPr="006C7FAE" w:rsidP="006358A4" w14:paraId="74420960" w14:textId="77777777">
            <w:pPr>
              <w:adjustRightInd/>
              <w:jc w:val="center"/>
              <w:textAlignment w:val="auto"/>
              <w:rPr>
                <w:rFonts w:eastAsia="Calibri"/>
                <w:b/>
                <w:bCs/>
                <w:color w:val="000000"/>
              </w:rPr>
            </w:pPr>
            <w:r w:rsidRPr="006C7FAE">
              <w:rPr>
                <w:rFonts w:eastAsia="Calibri"/>
                <w:b/>
                <w:bCs/>
                <w:color w:val="000000"/>
              </w:rPr>
              <w:t>Per Annum</w:t>
            </w:r>
          </w:p>
        </w:tc>
        <w:tc>
          <w:tcPr>
            <w:tcW w:w="1094" w:type="dxa"/>
            <w:tcMar>
              <w:top w:w="0" w:type="dxa"/>
              <w:left w:w="108" w:type="dxa"/>
              <w:bottom w:w="0" w:type="dxa"/>
              <w:right w:w="108" w:type="dxa"/>
            </w:tcMar>
            <w:hideMark/>
          </w:tcPr>
          <w:p w:rsidR="007943B5" w:rsidRPr="006C7FAE" w:rsidP="006358A4" w14:paraId="246E8CBB"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8" w:type="dxa"/>
            <w:tcMar>
              <w:top w:w="0" w:type="dxa"/>
              <w:left w:w="108" w:type="dxa"/>
              <w:bottom w:w="0" w:type="dxa"/>
              <w:right w:w="108" w:type="dxa"/>
            </w:tcMar>
            <w:hideMark/>
          </w:tcPr>
          <w:p w:rsidR="007943B5" w:rsidRPr="006C7FAE" w:rsidP="006358A4" w14:paraId="4019A84B" w14:textId="77777777">
            <w:pPr>
              <w:adjustRightInd/>
              <w:jc w:val="center"/>
              <w:textAlignment w:val="auto"/>
              <w:rPr>
                <w:rFonts w:eastAsia="Calibri"/>
                <w:b/>
                <w:bCs/>
                <w:color w:val="000000"/>
              </w:rPr>
            </w:pPr>
            <w:r w:rsidRPr="006C7FAE">
              <w:rPr>
                <w:rFonts w:eastAsia="Calibri"/>
                <w:b/>
                <w:bCs/>
                <w:color w:val="000000"/>
              </w:rPr>
              <w:t>Annual Burden Hours</w:t>
            </w:r>
          </w:p>
        </w:tc>
        <w:tc>
          <w:tcPr>
            <w:tcW w:w="1094" w:type="dxa"/>
            <w:tcMar>
              <w:top w:w="0" w:type="dxa"/>
              <w:left w:w="108" w:type="dxa"/>
              <w:bottom w:w="0" w:type="dxa"/>
              <w:right w:w="108" w:type="dxa"/>
            </w:tcMar>
            <w:hideMark/>
          </w:tcPr>
          <w:p w:rsidR="007943B5" w:rsidRPr="00274973" w:rsidP="006358A4" w14:paraId="335A0E3A" w14:textId="77777777">
            <w:pPr>
              <w:adjustRightInd/>
              <w:jc w:val="center"/>
              <w:textAlignment w:val="auto"/>
              <w:rPr>
                <w:rFonts w:eastAsia="Calibri"/>
                <w:b/>
                <w:bCs/>
                <w:color w:val="000000"/>
              </w:rPr>
            </w:pPr>
            <w:r w:rsidRPr="00274973">
              <w:rPr>
                <w:rFonts w:eastAsia="Calibri"/>
                <w:b/>
                <w:bCs/>
                <w:color w:val="000000"/>
              </w:rPr>
              <w:t>Hourly Cost Per Response</w:t>
            </w:r>
          </w:p>
        </w:tc>
        <w:tc>
          <w:tcPr>
            <w:tcW w:w="1216" w:type="dxa"/>
            <w:tcMar>
              <w:top w:w="0" w:type="dxa"/>
              <w:left w:w="108" w:type="dxa"/>
              <w:bottom w:w="0" w:type="dxa"/>
              <w:right w:w="108" w:type="dxa"/>
            </w:tcMar>
          </w:tcPr>
          <w:p w:rsidR="007943B5" w:rsidRPr="00274973" w:rsidP="006358A4" w14:paraId="20E09DC4" w14:textId="77777777">
            <w:pPr>
              <w:overflowPunct/>
              <w:autoSpaceDE/>
              <w:autoSpaceDN/>
              <w:adjustRightInd/>
              <w:jc w:val="center"/>
              <w:textAlignment w:val="auto"/>
              <w:rPr>
                <w:rFonts w:eastAsia="Calibri"/>
                <w:b/>
                <w:bCs/>
                <w:color w:val="000000"/>
              </w:rPr>
            </w:pPr>
            <w:r w:rsidRPr="00274973">
              <w:rPr>
                <w:rFonts w:eastAsia="Calibri"/>
                <w:b/>
                <w:bCs/>
                <w:color w:val="000000"/>
              </w:rPr>
              <w:t>Annual Cost</w:t>
            </w:r>
          </w:p>
          <w:p w:rsidR="007943B5" w:rsidRPr="007C45D6" w:rsidP="006358A4" w14:paraId="641121BF" w14:textId="77777777">
            <w:pPr>
              <w:adjustRightInd/>
              <w:jc w:val="center"/>
              <w:textAlignment w:val="auto"/>
              <w:rPr>
                <w:rFonts w:eastAsia="Calibri"/>
                <w:b/>
                <w:bCs/>
                <w:color w:val="000000"/>
                <w:highlight w:val="yellow"/>
              </w:rPr>
            </w:pPr>
          </w:p>
        </w:tc>
      </w:tr>
      <w:tr w14:paraId="19B4909C" w14:textId="77777777" w:rsidTr="00733422">
        <w:tblPrEx>
          <w:tblW w:w="9592" w:type="dxa"/>
          <w:tblInd w:w="468" w:type="dxa"/>
          <w:tblCellMar>
            <w:left w:w="0" w:type="dxa"/>
            <w:right w:w="0" w:type="dxa"/>
          </w:tblCellMar>
          <w:tblLook w:val="04A0"/>
        </w:tblPrEx>
        <w:tc>
          <w:tcPr>
            <w:tcW w:w="1453" w:type="dxa"/>
            <w:tcMar>
              <w:top w:w="0" w:type="dxa"/>
              <w:left w:w="108" w:type="dxa"/>
              <w:bottom w:w="0" w:type="dxa"/>
              <w:right w:w="108" w:type="dxa"/>
            </w:tcMar>
          </w:tcPr>
          <w:p w:rsidR="007943B5" w:rsidRPr="006C7FAE" w:rsidP="006358A4" w14:paraId="79CC3FA2" w14:textId="77777777">
            <w:pPr>
              <w:adjustRightInd/>
              <w:textAlignment w:val="auto"/>
              <w:rPr>
                <w:rFonts w:eastAsia="Calibri"/>
                <w:b/>
                <w:bCs/>
                <w:color w:val="000000"/>
              </w:rPr>
            </w:pPr>
          </w:p>
        </w:tc>
        <w:tc>
          <w:tcPr>
            <w:tcW w:w="1411" w:type="dxa"/>
            <w:tcMar>
              <w:top w:w="0" w:type="dxa"/>
              <w:left w:w="108" w:type="dxa"/>
              <w:bottom w:w="0" w:type="dxa"/>
              <w:right w:w="108" w:type="dxa"/>
            </w:tcMar>
          </w:tcPr>
          <w:p w:rsidR="007943B5" w:rsidRPr="006C7FAE" w:rsidP="006358A4" w14:paraId="2BB2166D" w14:textId="77777777">
            <w:pPr>
              <w:adjustRightInd/>
              <w:jc w:val="center"/>
              <w:textAlignment w:val="auto"/>
              <w:rPr>
                <w:rFonts w:eastAsia="Calibri"/>
                <w:b/>
                <w:bCs/>
                <w:color w:val="000000"/>
              </w:rPr>
            </w:pPr>
          </w:p>
        </w:tc>
        <w:tc>
          <w:tcPr>
            <w:tcW w:w="1217" w:type="dxa"/>
            <w:tcMar>
              <w:top w:w="0" w:type="dxa"/>
              <w:left w:w="108" w:type="dxa"/>
              <w:bottom w:w="0" w:type="dxa"/>
              <w:right w:w="108" w:type="dxa"/>
            </w:tcMar>
          </w:tcPr>
          <w:p w:rsidR="007943B5" w:rsidRPr="006C7FAE" w:rsidP="006358A4" w14:paraId="6A131D1A" w14:textId="77777777">
            <w:pPr>
              <w:adjustRightInd/>
              <w:jc w:val="center"/>
              <w:textAlignment w:val="auto"/>
              <w:rPr>
                <w:rFonts w:eastAsia="Calibri"/>
                <w:b/>
                <w:bCs/>
                <w:color w:val="000000"/>
              </w:rPr>
            </w:pPr>
          </w:p>
        </w:tc>
        <w:tc>
          <w:tcPr>
            <w:tcW w:w="1179" w:type="dxa"/>
            <w:tcMar>
              <w:top w:w="0" w:type="dxa"/>
              <w:left w:w="108" w:type="dxa"/>
              <w:bottom w:w="0" w:type="dxa"/>
              <w:right w:w="108" w:type="dxa"/>
            </w:tcMar>
          </w:tcPr>
          <w:p w:rsidR="007943B5" w:rsidRPr="006C7FAE" w:rsidP="006358A4" w14:paraId="7A504F8D" w14:textId="77777777">
            <w:pPr>
              <w:adjustRightInd/>
              <w:jc w:val="center"/>
              <w:textAlignment w:val="auto"/>
              <w:rPr>
                <w:rFonts w:eastAsia="Calibri"/>
                <w:b/>
                <w:bCs/>
                <w:color w:val="000000"/>
              </w:rPr>
            </w:pPr>
          </w:p>
        </w:tc>
        <w:tc>
          <w:tcPr>
            <w:tcW w:w="1094" w:type="dxa"/>
            <w:tcMar>
              <w:top w:w="0" w:type="dxa"/>
              <w:left w:w="108" w:type="dxa"/>
              <w:bottom w:w="0" w:type="dxa"/>
              <w:right w:w="108" w:type="dxa"/>
            </w:tcMar>
          </w:tcPr>
          <w:p w:rsidR="007943B5" w:rsidRPr="006C7FAE" w:rsidP="006358A4" w14:paraId="7608BDA5" w14:textId="77777777">
            <w:pPr>
              <w:adjustRightInd/>
              <w:jc w:val="center"/>
              <w:textAlignment w:val="auto"/>
              <w:rPr>
                <w:rFonts w:eastAsia="Calibri"/>
                <w:b/>
                <w:bCs/>
                <w:color w:val="000000"/>
              </w:rPr>
            </w:pPr>
          </w:p>
        </w:tc>
        <w:tc>
          <w:tcPr>
            <w:tcW w:w="928" w:type="dxa"/>
            <w:tcMar>
              <w:top w:w="0" w:type="dxa"/>
              <w:left w:w="108" w:type="dxa"/>
              <w:bottom w:w="0" w:type="dxa"/>
              <w:right w:w="108" w:type="dxa"/>
            </w:tcMar>
          </w:tcPr>
          <w:p w:rsidR="007943B5" w:rsidRPr="006C7FAE" w:rsidP="006358A4" w14:paraId="486052A9" w14:textId="77777777">
            <w:pPr>
              <w:adjustRightInd/>
              <w:jc w:val="center"/>
              <w:textAlignment w:val="auto"/>
              <w:rPr>
                <w:rFonts w:eastAsia="Calibri"/>
                <w:b/>
                <w:bCs/>
                <w:color w:val="000000"/>
              </w:rPr>
            </w:pPr>
          </w:p>
        </w:tc>
        <w:tc>
          <w:tcPr>
            <w:tcW w:w="1094" w:type="dxa"/>
            <w:tcMar>
              <w:top w:w="0" w:type="dxa"/>
              <w:left w:w="108" w:type="dxa"/>
              <w:bottom w:w="0" w:type="dxa"/>
              <w:right w:w="108" w:type="dxa"/>
            </w:tcMar>
          </w:tcPr>
          <w:p w:rsidR="007943B5" w:rsidRPr="007C45D6" w:rsidP="006358A4" w14:paraId="324FF0A4" w14:textId="77777777">
            <w:pPr>
              <w:adjustRightInd/>
              <w:jc w:val="right"/>
              <w:textAlignment w:val="auto"/>
              <w:rPr>
                <w:rFonts w:eastAsia="Calibri"/>
                <w:b/>
                <w:bCs/>
                <w:color w:val="000000"/>
                <w:highlight w:val="yellow"/>
              </w:rPr>
            </w:pPr>
          </w:p>
        </w:tc>
        <w:tc>
          <w:tcPr>
            <w:tcW w:w="1216" w:type="dxa"/>
            <w:tcMar>
              <w:top w:w="0" w:type="dxa"/>
              <w:left w:w="108" w:type="dxa"/>
              <w:bottom w:w="0" w:type="dxa"/>
              <w:right w:w="108" w:type="dxa"/>
            </w:tcMar>
          </w:tcPr>
          <w:p w:rsidR="007943B5" w:rsidRPr="007C45D6" w:rsidP="006358A4" w14:paraId="3FCF95DA" w14:textId="77777777">
            <w:pPr>
              <w:adjustRightInd/>
              <w:jc w:val="right"/>
              <w:textAlignment w:val="auto"/>
              <w:rPr>
                <w:rFonts w:eastAsia="Calibri"/>
                <w:b/>
                <w:bCs/>
                <w:color w:val="000000"/>
                <w:highlight w:val="yellow"/>
              </w:rPr>
            </w:pPr>
          </w:p>
        </w:tc>
      </w:tr>
      <w:tr w14:paraId="37B45D63" w14:textId="77777777" w:rsidTr="00733422">
        <w:tblPrEx>
          <w:tblW w:w="9592" w:type="dxa"/>
          <w:tblInd w:w="468" w:type="dxa"/>
          <w:tblCellMar>
            <w:left w:w="0" w:type="dxa"/>
            <w:right w:w="0" w:type="dxa"/>
          </w:tblCellMar>
          <w:tblLook w:val="04A0"/>
        </w:tblPrEx>
        <w:tc>
          <w:tcPr>
            <w:tcW w:w="1453" w:type="dxa"/>
            <w:tcMar>
              <w:top w:w="0" w:type="dxa"/>
              <w:left w:w="108" w:type="dxa"/>
              <w:bottom w:w="0" w:type="dxa"/>
              <w:right w:w="108" w:type="dxa"/>
            </w:tcMar>
          </w:tcPr>
          <w:p w:rsidR="007943B5" w:rsidRPr="006C7FAE" w:rsidP="006358A4" w14:paraId="3F1C5DEE" w14:textId="77777777">
            <w:pPr>
              <w:adjustRightInd/>
              <w:textAlignment w:val="auto"/>
              <w:rPr>
                <w:rFonts w:eastAsia="Calibri"/>
                <w:b/>
                <w:bCs/>
                <w:color w:val="000000"/>
              </w:rPr>
            </w:pPr>
            <w:r>
              <w:rPr>
                <w:rFonts w:eastAsia="Calibri"/>
                <w:b/>
                <w:bCs/>
                <w:color w:val="000000"/>
              </w:rPr>
              <w:t>Public Access Link</w:t>
            </w:r>
          </w:p>
        </w:tc>
        <w:tc>
          <w:tcPr>
            <w:tcW w:w="1411" w:type="dxa"/>
            <w:tcMar>
              <w:top w:w="0" w:type="dxa"/>
              <w:left w:w="108" w:type="dxa"/>
              <w:bottom w:w="0" w:type="dxa"/>
              <w:right w:w="108" w:type="dxa"/>
            </w:tcMar>
          </w:tcPr>
          <w:p w:rsidR="007943B5" w:rsidRPr="006C7FAE" w:rsidP="006358A4" w14:paraId="3E4C4236" w14:textId="77777777">
            <w:pPr>
              <w:adjustRightInd/>
              <w:jc w:val="center"/>
              <w:textAlignment w:val="auto"/>
              <w:rPr>
                <w:rFonts w:eastAsia="Calibri"/>
                <w:b/>
                <w:bCs/>
                <w:color w:val="000000"/>
              </w:rPr>
            </w:pPr>
            <w:r>
              <w:rPr>
                <w:rFonts w:eastAsia="Calibri"/>
                <w:b/>
                <w:bCs/>
                <w:color w:val="000000"/>
              </w:rPr>
              <w:t>11,510</w:t>
            </w:r>
          </w:p>
        </w:tc>
        <w:tc>
          <w:tcPr>
            <w:tcW w:w="1217" w:type="dxa"/>
            <w:tcMar>
              <w:top w:w="0" w:type="dxa"/>
              <w:left w:w="108" w:type="dxa"/>
              <w:bottom w:w="0" w:type="dxa"/>
              <w:right w:w="108" w:type="dxa"/>
            </w:tcMar>
          </w:tcPr>
          <w:p w:rsidR="007943B5" w:rsidRPr="006C7FAE" w:rsidP="006358A4" w14:paraId="0E94E7CA" w14:textId="77777777">
            <w:pPr>
              <w:adjustRightInd/>
              <w:jc w:val="center"/>
              <w:textAlignment w:val="auto"/>
              <w:rPr>
                <w:rFonts w:eastAsia="Calibri"/>
                <w:b/>
                <w:bCs/>
                <w:color w:val="000000"/>
              </w:rPr>
            </w:pPr>
            <w:r>
              <w:rPr>
                <w:rFonts w:eastAsia="Calibri"/>
                <w:b/>
                <w:bCs/>
                <w:color w:val="000000"/>
              </w:rPr>
              <w:t>1</w:t>
            </w:r>
          </w:p>
        </w:tc>
        <w:tc>
          <w:tcPr>
            <w:tcW w:w="1179" w:type="dxa"/>
            <w:tcMar>
              <w:top w:w="0" w:type="dxa"/>
              <w:left w:w="108" w:type="dxa"/>
              <w:bottom w:w="0" w:type="dxa"/>
              <w:right w:w="108" w:type="dxa"/>
            </w:tcMar>
          </w:tcPr>
          <w:p w:rsidR="007943B5" w:rsidRPr="006C7FAE" w:rsidP="006358A4" w14:paraId="018CDF84" w14:textId="77777777">
            <w:pPr>
              <w:adjustRightInd/>
              <w:jc w:val="center"/>
              <w:textAlignment w:val="auto"/>
              <w:rPr>
                <w:rFonts w:eastAsia="Calibri"/>
                <w:b/>
                <w:bCs/>
                <w:color w:val="000000"/>
              </w:rPr>
            </w:pPr>
            <w:r>
              <w:rPr>
                <w:rFonts w:eastAsia="Calibri"/>
                <w:b/>
                <w:bCs/>
                <w:color w:val="000000"/>
              </w:rPr>
              <w:t>11,510</w:t>
            </w:r>
          </w:p>
        </w:tc>
        <w:tc>
          <w:tcPr>
            <w:tcW w:w="1094" w:type="dxa"/>
            <w:tcMar>
              <w:top w:w="0" w:type="dxa"/>
              <w:left w:w="108" w:type="dxa"/>
              <w:bottom w:w="0" w:type="dxa"/>
              <w:right w:w="108" w:type="dxa"/>
            </w:tcMar>
          </w:tcPr>
          <w:p w:rsidR="007943B5" w:rsidRPr="006C7FAE" w:rsidP="006358A4" w14:paraId="14678819" w14:textId="77777777">
            <w:pPr>
              <w:adjustRightInd/>
              <w:jc w:val="center"/>
              <w:textAlignment w:val="auto"/>
              <w:rPr>
                <w:rFonts w:eastAsia="Calibri"/>
                <w:b/>
                <w:bCs/>
                <w:color w:val="000000"/>
              </w:rPr>
            </w:pPr>
            <w:r>
              <w:rPr>
                <w:rFonts w:eastAsia="Calibri"/>
                <w:b/>
                <w:bCs/>
                <w:color w:val="000000"/>
              </w:rPr>
              <w:t>.33</w:t>
            </w:r>
          </w:p>
        </w:tc>
        <w:tc>
          <w:tcPr>
            <w:tcW w:w="928" w:type="dxa"/>
            <w:tcMar>
              <w:top w:w="0" w:type="dxa"/>
              <w:left w:w="108" w:type="dxa"/>
              <w:bottom w:w="0" w:type="dxa"/>
              <w:right w:w="108" w:type="dxa"/>
            </w:tcMar>
          </w:tcPr>
          <w:p w:rsidR="007943B5" w:rsidRPr="006C7FAE" w:rsidP="006358A4" w14:paraId="62DCE2F3" w14:textId="77777777">
            <w:pPr>
              <w:adjustRightInd/>
              <w:jc w:val="center"/>
              <w:textAlignment w:val="auto"/>
              <w:rPr>
                <w:rFonts w:eastAsia="Calibri"/>
                <w:b/>
                <w:bCs/>
                <w:color w:val="000000"/>
              </w:rPr>
            </w:pPr>
            <w:r>
              <w:rPr>
                <w:rFonts w:eastAsia="Calibri"/>
                <w:b/>
                <w:bCs/>
                <w:color w:val="000000"/>
              </w:rPr>
              <w:t>3,798.30</w:t>
            </w:r>
          </w:p>
        </w:tc>
        <w:tc>
          <w:tcPr>
            <w:tcW w:w="1094" w:type="dxa"/>
            <w:tcMar>
              <w:top w:w="0" w:type="dxa"/>
              <w:left w:w="108" w:type="dxa"/>
              <w:bottom w:w="0" w:type="dxa"/>
              <w:right w:w="108" w:type="dxa"/>
            </w:tcMar>
          </w:tcPr>
          <w:p w:rsidR="007943B5" w:rsidRPr="00274973" w:rsidP="006358A4" w14:paraId="4EFB6EA3" w14:textId="77777777">
            <w:pPr>
              <w:adjustRightInd/>
              <w:jc w:val="right"/>
              <w:textAlignment w:val="auto"/>
              <w:rPr>
                <w:rFonts w:eastAsia="Calibri"/>
                <w:b/>
                <w:bCs/>
                <w:color w:val="000000"/>
              </w:rPr>
            </w:pPr>
            <w:r>
              <w:rPr>
                <w:rFonts w:eastAsia="Calibri"/>
                <w:b/>
                <w:bCs/>
                <w:color w:val="000000"/>
              </w:rPr>
              <w:t>$67.02</w:t>
            </w:r>
          </w:p>
        </w:tc>
        <w:tc>
          <w:tcPr>
            <w:tcW w:w="1216" w:type="dxa"/>
            <w:tcMar>
              <w:top w:w="0" w:type="dxa"/>
              <w:left w:w="108" w:type="dxa"/>
              <w:bottom w:w="0" w:type="dxa"/>
              <w:right w:w="108" w:type="dxa"/>
            </w:tcMar>
          </w:tcPr>
          <w:p w:rsidR="007943B5" w:rsidRPr="00274973" w:rsidP="006358A4" w14:paraId="1ED04A05" w14:textId="77777777">
            <w:pPr>
              <w:adjustRightInd/>
              <w:jc w:val="right"/>
              <w:textAlignment w:val="auto"/>
              <w:rPr>
                <w:rFonts w:eastAsia="Calibri"/>
                <w:b/>
                <w:bCs/>
                <w:color w:val="000000"/>
              </w:rPr>
            </w:pPr>
            <w:r w:rsidRPr="00274973">
              <w:rPr>
                <w:rFonts w:eastAsia="Calibri"/>
                <w:b/>
                <w:bCs/>
                <w:color w:val="000000"/>
              </w:rPr>
              <w:t>$</w:t>
            </w:r>
            <w:r>
              <w:rPr>
                <w:rFonts w:eastAsia="Calibri"/>
                <w:b/>
                <w:bCs/>
                <w:color w:val="000000"/>
              </w:rPr>
              <w:t>254,562.67</w:t>
            </w:r>
          </w:p>
        </w:tc>
      </w:tr>
      <w:tr w14:paraId="584A2F88" w14:textId="77777777" w:rsidTr="00733422">
        <w:tblPrEx>
          <w:tblW w:w="9592" w:type="dxa"/>
          <w:tblInd w:w="468" w:type="dxa"/>
          <w:tblCellMar>
            <w:left w:w="0" w:type="dxa"/>
            <w:right w:w="0" w:type="dxa"/>
          </w:tblCellMar>
          <w:tblLook w:val="04A0"/>
        </w:tblPrEx>
        <w:tc>
          <w:tcPr>
            <w:tcW w:w="1453" w:type="dxa"/>
            <w:tcMar>
              <w:top w:w="0" w:type="dxa"/>
              <w:left w:w="108" w:type="dxa"/>
              <w:bottom w:w="0" w:type="dxa"/>
              <w:right w:w="108" w:type="dxa"/>
            </w:tcMar>
          </w:tcPr>
          <w:p w:rsidR="007943B5" w:rsidRPr="006C7FAE" w:rsidP="006358A4" w14:paraId="1D6F61F4" w14:textId="197B1624">
            <w:pPr>
              <w:adjustRightInd/>
              <w:textAlignment w:val="auto"/>
              <w:rPr>
                <w:rFonts w:eastAsia="Calibri"/>
                <w:b/>
                <w:bCs/>
                <w:color w:val="000000"/>
              </w:rPr>
            </w:pPr>
            <w:r>
              <w:rPr>
                <w:rFonts w:eastAsia="Calibri"/>
                <w:b/>
                <w:bCs/>
                <w:color w:val="000000"/>
              </w:rPr>
              <w:t>TOTAL</w:t>
            </w:r>
          </w:p>
        </w:tc>
        <w:tc>
          <w:tcPr>
            <w:tcW w:w="1411" w:type="dxa"/>
            <w:tcMar>
              <w:top w:w="0" w:type="dxa"/>
              <w:left w:w="108" w:type="dxa"/>
              <w:bottom w:w="0" w:type="dxa"/>
              <w:right w:w="108" w:type="dxa"/>
            </w:tcMar>
          </w:tcPr>
          <w:p w:rsidR="007943B5" w:rsidRPr="006C7FAE" w:rsidP="006358A4" w14:paraId="550D8FF4" w14:textId="3E5C565A">
            <w:pPr>
              <w:adjustRightInd/>
              <w:jc w:val="center"/>
              <w:textAlignment w:val="auto"/>
              <w:rPr>
                <w:rFonts w:eastAsia="Calibri"/>
                <w:b/>
                <w:bCs/>
                <w:color w:val="000000"/>
              </w:rPr>
            </w:pPr>
            <w:r w:rsidRPr="00733422">
              <w:rPr>
                <w:rFonts w:eastAsia="Calibri"/>
                <w:b/>
                <w:bCs/>
                <w:color w:val="000000"/>
              </w:rPr>
              <w:t>11,510</w:t>
            </w:r>
          </w:p>
        </w:tc>
        <w:tc>
          <w:tcPr>
            <w:tcW w:w="1217" w:type="dxa"/>
            <w:tcMar>
              <w:top w:w="0" w:type="dxa"/>
              <w:left w:w="108" w:type="dxa"/>
              <w:bottom w:w="0" w:type="dxa"/>
              <w:right w:w="108" w:type="dxa"/>
            </w:tcMar>
          </w:tcPr>
          <w:p w:rsidR="007943B5" w:rsidRPr="006C7FAE" w:rsidP="006358A4" w14:paraId="045853F8" w14:textId="77777777">
            <w:pPr>
              <w:adjustRightInd/>
              <w:jc w:val="center"/>
              <w:textAlignment w:val="auto"/>
              <w:rPr>
                <w:rFonts w:eastAsia="Calibri"/>
                <w:b/>
                <w:bCs/>
                <w:color w:val="000000"/>
              </w:rPr>
            </w:pPr>
          </w:p>
        </w:tc>
        <w:tc>
          <w:tcPr>
            <w:tcW w:w="1179" w:type="dxa"/>
            <w:tcMar>
              <w:top w:w="0" w:type="dxa"/>
              <w:left w:w="108" w:type="dxa"/>
              <w:bottom w:w="0" w:type="dxa"/>
              <w:right w:w="108" w:type="dxa"/>
            </w:tcMar>
          </w:tcPr>
          <w:p w:rsidR="007943B5" w:rsidRPr="006C7FAE" w:rsidP="006358A4" w14:paraId="4B99F9C8" w14:textId="77777777">
            <w:pPr>
              <w:adjustRightInd/>
              <w:jc w:val="center"/>
              <w:textAlignment w:val="auto"/>
              <w:rPr>
                <w:rFonts w:eastAsia="Calibri"/>
                <w:b/>
                <w:bCs/>
                <w:color w:val="000000"/>
              </w:rPr>
            </w:pPr>
          </w:p>
        </w:tc>
        <w:tc>
          <w:tcPr>
            <w:tcW w:w="1094" w:type="dxa"/>
            <w:tcMar>
              <w:top w:w="0" w:type="dxa"/>
              <w:left w:w="108" w:type="dxa"/>
              <w:bottom w:w="0" w:type="dxa"/>
              <w:right w:w="108" w:type="dxa"/>
            </w:tcMar>
          </w:tcPr>
          <w:p w:rsidR="007943B5" w:rsidRPr="006C7FAE" w:rsidP="006358A4" w14:paraId="6D103955" w14:textId="77777777">
            <w:pPr>
              <w:adjustRightInd/>
              <w:jc w:val="center"/>
              <w:textAlignment w:val="auto"/>
              <w:rPr>
                <w:rFonts w:eastAsia="Calibri"/>
                <w:b/>
                <w:bCs/>
                <w:color w:val="000000"/>
              </w:rPr>
            </w:pPr>
          </w:p>
        </w:tc>
        <w:tc>
          <w:tcPr>
            <w:tcW w:w="928" w:type="dxa"/>
            <w:tcMar>
              <w:top w:w="0" w:type="dxa"/>
              <w:left w:w="108" w:type="dxa"/>
              <w:bottom w:w="0" w:type="dxa"/>
              <w:right w:w="108" w:type="dxa"/>
            </w:tcMar>
          </w:tcPr>
          <w:p w:rsidR="007943B5" w:rsidRPr="006C7FAE" w:rsidP="006358A4" w14:paraId="22745D41" w14:textId="77777777">
            <w:pPr>
              <w:adjustRightInd/>
              <w:jc w:val="center"/>
              <w:textAlignment w:val="auto"/>
              <w:rPr>
                <w:rFonts w:eastAsia="Calibri"/>
                <w:b/>
                <w:bCs/>
                <w:color w:val="000000"/>
              </w:rPr>
            </w:pPr>
          </w:p>
        </w:tc>
        <w:tc>
          <w:tcPr>
            <w:tcW w:w="1094" w:type="dxa"/>
            <w:tcMar>
              <w:top w:w="0" w:type="dxa"/>
              <w:left w:w="108" w:type="dxa"/>
              <w:bottom w:w="0" w:type="dxa"/>
              <w:right w:w="108" w:type="dxa"/>
            </w:tcMar>
          </w:tcPr>
          <w:p w:rsidR="007943B5" w:rsidRPr="006C7FAE" w:rsidP="006358A4" w14:paraId="652A4554" w14:textId="77777777">
            <w:pPr>
              <w:adjustRightInd/>
              <w:jc w:val="right"/>
              <w:textAlignment w:val="auto"/>
              <w:rPr>
                <w:rFonts w:eastAsia="Calibri"/>
                <w:b/>
                <w:bCs/>
                <w:color w:val="000000"/>
              </w:rPr>
            </w:pPr>
          </w:p>
        </w:tc>
        <w:tc>
          <w:tcPr>
            <w:tcW w:w="1216" w:type="dxa"/>
            <w:tcMar>
              <w:top w:w="0" w:type="dxa"/>
              <w:left w:w="108" w:type="dxa"/>
              <w:bottom w:w="0" w:type="dxa"/>
              <w:right w:w="108" w:type="dxa"/>
            </w:tcMar>
          </w:tcPr>
          <w:p w:rsidR="007943B5" w:rsidRPr="006C7FAE" w:rsidP="006358A4" w14:paraId="21B282A1" w14:textId="2F4DBDD8">
            <w:pPr>
              <w:adjustRightInd/>
              <w:jc w:val="right"/>
              <w:textAlignment w:val="auto"/>
              <w:rPr>
                <w:rFonts w:eastAsia="Calibri"/>
                <w:b/>
                <w:bCs/>
                <w:color w:val="000000"/>
              </w:rPr>
            </w:pPr>
            <w:r w:rsidRPr="00733422">
              <w:rPr>
                <w:rFonts w:eastAsia="Calibri"/>
                <w:b/>
                <w:bCs/>
                <w:color w:val="000000"/>
              </w:rPr>
              <w:t>$254,562.67</w:t>
            </w:r>
          </w:p>
        </w:tc>
      </w:tr>
    </w:tbl>
    <w:p w:rsidR="007943B5" w:rsidRPr="006C7FAE" w:rsidP="007943B5" w14:paraId="62862BD6" w14:textId="77777777">
      <w:pPr>
        <w:tabs>
          <w:tab w:val="left" w:pos="360"/>
        </w:tabs>
        <w:ind w:left="360" w:hanging="360"/>
        <w:rPr>
          <w:sz w:val="24"/>
          <w:szCs w:val="24"/>
        </w:rPr>
      </w:pPr>
    </w:p>
    <w:p w:rsidR="007943B5" w:rsidRPr="00073A50" w:rsidP="007943B5" w14:paraId="504C8E67" w14:textId="77777777">
      <w:pPr>
        <w:keepLines/>
        <w:tabs>
          <w:tab w:val="left" w:pos="360"/>
        </w:tabs>
        <w:spacing w:after="80"/>
        <w:ind w:left="360" w:hanging="360"/>
        <w:rPr>
          <w:b/>
          <w:bCs/>
          <w:sz w:val="24"/>
          <w:szCs w:val="24"/>
        </w:rPr>
      </w:pPr>
      <w:r w:rsidRPr="006C7FAE">
        <w:rPr>
          <w:sz w:val="24"/>
          <w:szCs w:val="24"/>
        </w:rPr>
        <w:t>15.</w:t>
      </w:r>
      <w:r w:rsidRPr="006C7FAE">
        <w:rPr>
          <w:sz w:val="24"/>
          <w:szCs w:val="24"/>
        </w:rPr>
        <w:tab/>
      </w:r>
      <w:r w:rsidRPr="00073A50">
        <w:rPr>
          <w:b/>
          <w:bCs/>
          <w:sz w:val="24"/>
          <w:szCs w:val="24"/>
        </w:rPr>
        <w:t>Explain the reasons for any program changes or adjustments reported in Items 12 and 14 of the Supporting Statement.</w:t>
      </w:r>
    </w:p>
    <w:p w:rsidR="007943B5" w:rsidP="007943B5" w14:paraId="23FFE135" w14:textId="77777777">
      <w:pPr>
        <w:keepLines/>
        <w:tabs>
          <w:tab w:val="left" w:pos="360"/>
          <w:tab w:val="left" w:pos="720"/>
        </w:tabs>
        <w:ind w:left="360"/>
        <w:rPr>
          <w:b/>
          <w:bCs/>
          <w:sz w:val="24"/>
          <w:szCs w:val="24"/>
        </w:rPr>
      </w:pPr>
    </w:p>
    <w:p w:rsidR="007943B5" w:rsidRPr="0096563F" w:rsidP="007943B5" w14:paraId="2A6F754A" w14:textId="77777777">
      <w:pPr>
        <w:keepLines/>
        <w:tabs>
          <w:tab w:val="left" w:pos="360"/>
          <w:tab w:val="left" w:pos="720"/>
        </w:tabs>
        <w:ind w:left="360"/>
        <w:rPr>
          <w:sz w:val="24"/>
          <w:szCs w:val="24"/>
        </w:rPr>
      </w:pPr>
      <w:r>
        <w:rPr>
          <w:sz w:val="24"/>
          <w:szCs w:val="24"/>
        </w:rPr>
        <w:t xml:space="preserve">Not Applicable; </w:t>
      </w:r>
      <w:r w:rsidRPr="0096563F">
        <w:rPr>
          <w:sz w:val="24"/>
          <w:szCs w:val="24"/>
        </w:rPr>
        <w:t>New collection</w:t>
      </w:r>
      <w:r>
        <w:rPr>
          <w:sz w:val="24"/>
          <w:szCs w:val="24"/>
        </w:rPr>
        <w:t>.</w:t>
      </w:r>
    </w:p>
    <w:p w:rsidR="007943B5" w:rsidRPr="00073A50" w:rsidP="007943B5" w14:paraId="10F352DB" w14:textId="77777777">
      <w:pPr>
        <w:keepLines/>
        <w:tabs>
          <w:tab w:val="left" w:pos="360"/>
          <w:tab w:val="left" w:pos="720"/>
        </w:tabs>
        <w:ind w:left="360"/>
        <w:rPr>
          <w:b/>
          <w:bCs/>
          <w:sz w:val="24"/>
          <w:szCs w:val="24"/>
        </w:rPr>
      </w:pPr>
    </w:p>
    <w:p w:rsidR="007943B5" w:rsidRPr="00073A50" w:rsidP="007943B5" w14:paraId="61BE4D29" w14:textId="77777777">
      <w:pPr>
        <w:keepLines/>
        <w:tabs>
          <w:tab w:val="left" w:pos="360"/>
        </w:tabs>
        <w:spacing w:after="80"/>
        <w:ind w:left="360" w:hanging="360"/>
        <w:rPr>
          <w:b/>
          <w:bCs/>
          <w:sz w:val="24"/>
          <w:szCs w:val="24"/>
        </w:rPr>
      </w:pPr>
      <w:r w:rsidRPr="00073A50">
        <w:rPr>
          <w:b/>
          <w:bCs/>
          <w:sz w:val="24"/>
          <w:szCs w:val="24"/>
        </w:rPr>
        <w:t>16.</w:t>
      </w:r>
      <w:r w:rsidRPr="00073A50">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943B5" w:rsidRPr="0096563F" w:rsidP="007943B5" w14:paraId="5CA3012C" w14:textId="77777777">
      <w:pPr>
        <w:tabs>
          <w:tab w:val="left" w:pos="360"/>
        </w:tabs>
        <w:ind w:left="720" w:hanging="360"/>
        <w:rPr>
          <w:sz w:val="24"/>
          <w:szCs w:val="24"/>
        </w:rPr>
      </w:pPr>
      <w:r w:rsidRPr="0096563F">
        <w:rPr>
          <w:sz w:val="24"/>
          <w:szCs w:val="24"/>
        </w:rPr>
        <w:t xml:space="preserve">Not applicable. </w:t>
      </w:r>
    </w:p>
    <w:p w:rsidR="007943B5" w:rsidRPr="00073A50" w:rsidP="007943B5" w14:paraId="7470E8AC" w14:textId="77777777">
      <w:pPr>
        <w:tabs>
          <w:tab w:val="left" w:pos="360"/>
        </w:tabs>
        <w:ind w:left="360" w:hanging="360"/>
        <w:rPr>
          <w:b/>
          <w:bCs/>
          <w:sz w:val="24"/>
          <w:szCs w:val="24"/>
        </w:rPr>
      </w:pPr>
    </w:p>
    <w:p w:rsidR="007943B5" w:rsidRPr="00073A50" w:rsidP="007943B5" w14:paraId="2A9AF9B5" w14:textId="77777777">
      <w:pPr>
        <w:keepLines/>
        <w:tabs>
          <w:tab w:val="left" w:pos="360"/>
        </w:tabs>
        <w:spacing w:after="80"/>
        <w:ind w:left="360" w:hanging="360"/>
        <w:rPr>
          <w:b/>
          <w:bCs/>
          <w:sz w:val="24"/>
          <w:szCs w:val="24"/>
        </w:rPr>
      </w:pPr>
      <w:r w:rsidRPr="00073A50">
        <w:rPr>
          <w:b/>
          <w:bCs/>
          <w:sz w:val="24"/>
          <w:szCs w:val="24"/>
        </w:rPr>
        <w:t>17.</w:t>
      </w:r>
      <w:r w:rsidRPr="00073A50">
        <w:rPr>
          <w:b/>
          <w:bCs/>
          <w:sz w:val="24"/>
          <w:szCs w:val="24"/>
        </w:rPr>
        <w:tab/>
        <w:t>If seeking approval to not display the expiration date for OMB approval of the information collection, explain the reasons that display would be inappropriate.</w:t>
      </w:r>
    </w:p>
    <w:p w:rsidR="007943B5" w:rsidP="007943B5" w14:paraId="166A6BE6" w14:textId="77777777">
      <w:pPr>
        <w:keepLines/>
        <w:tabs>
          <w:tab w:val="left" w:pos="360"/>
          <w:tab w:val="left" w:pos="720"/>
        </w:tabs>
        <w:ind w:left="360"/>
        <w:rPr>
          <w:sz w:val="24"/>
          <w:szCs w:val="24"/>
        </w:rPr>
      </w:pPr>
      <w:r w:rsidRPr="0096563F">
        <w:rPr>
          <w:sz w:val="24"/>
          <w:szCs w:val="24"/>
        </w:rPr>
        <w:t xml:space="preserve">Not applicable. </w:t>
      </w:r>
    </w:p>
    <w:p w:rsidR="007943B5" w:rsidRPr="0096563F" w:rsidP="007943B5" w14:paraId="0BBA138D" w14:textId="77777777">
      <w:pPr>
        <w:keepLines/>
        <w:tabs>
          <w:tab w:val="left" w:pos="360"/>
          <w:tab w:val="left" w:pos="720"/>
        </w:tabs>
        <w:ind w:left="360"/>
        <w:rPr>
          <w:sz w:val="24"/>
          <w:szCs w:val="24"/>
        </w:rPr>
      </w:pPr>
    </w:p>
    <w:p w:rsidR="007943B5" w:rsidRPr="00073A50" w:rsidP="007943B5" w14:paraId="7C8CB626" w14:textId="77777777">
      <w:pPr>
        <w:keepLines/>
        <w:tabs>
          <w:tab w:val="left" w:pos="360"/>
        </w:tabs>
        <w:spacing w:after="80"/>
        <w:ind w:left="360" w:hanging="360"/>
        <w:rPr>
          <w:rFonts w:ascii="Courier" w:hAnsi="Courier"/>
          <w:b/>
          <w:bCs/>
          <w:sz w:val="24"/>
          <w:szCs w:val="24"/>
        </w:rPr>
      </w:pPr>
      <w:r w:rsidRPr="00073A50">
        <w:rPr>
          <w:b/>
          <w:bCs/>
          <w:sz w:val="24"/>
          <w:szCs w:val="24"/>
        </w:rPr>
        <w:t>18.</w:t>
      </w:r>
      <w:r w:rsidRPr="00073A50">
        <w:rPr>
          <w:b/>
          <w:bCs/>
          <w:sz w:val="24"/>
          <w:szCs w:val="24"/>
        </w:rPr>
        <w:tab/>
        <w:t>Explain each exception to the certification statement identified in item 19.</w:t>
      </w:r>
    </w:p>
    <w:p w:rsidR="007943B5" w:rsidRPr="006C7FAE" w:rsidP="007943B5" w14:paraId="3D34DD45" w14:textId="77777777">
      <w:pPr>
        <w:keepLines/>
        <w:tabs>
          <w:tab w:val="left" w:pos="360"/>
          <w:tab w:val="left" w:pos="720"/>
        </w:tabs>
        <w:ind w:left="360"/>
        <w:rPr>
          <w:sz w:val="24"/>
          <w:szCs w:val="24"/>
        </w:rPr>
      </w:pPr>
      <w:r>
        <w:rPr>
          <w:sz w:val="24"/>
          <w:szCs w:val="24"/>
        </w:rPr>
        <w:t xml:space="preserve">Not applicable. </w:t>
      </w:r>
    </w:p>
    <w:p w:rsidR="007943B5" w:rsidRPr="006C7FAE" w:rsidP="007943B5" w14:paraId="30197782" w14:textId="77777777">
      <w:pPr>
        <w:tabs>
          <w:tab w:val="left" w:pos="360"/>
          <w:tab w:val="left" w:pos="720"/>
        </w:tabs>
        <w:rPr>
          <w:sz w:val="24"/>
          <w:szCs w:val="24"/>
        </w:rPr>
      </w:pPr>
    </w:p>
    <w:p w:rsidR="007943B5" w:rsidRPr="006C7FAE" w:rsidP="007943B5" w14:paraId="5C0A8F17"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F366C0" w14:paraId="099029DC" w14:textId="77777777"/>
    <w:sectPr w:rsidSect="007943B5">
      <w:headerReference w:type="default" r:id="rId5"/>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3B5" w14:paraId="185AC0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05853C5"/>
    <w:multiLevelType w:val="hybridMultilevel"/>
    <w:tmpl w:val="AB58DC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EC56A2"/>
    <w:multiLevelType w:val="hybridMultilevel"/>
    <w:tmpl w:val="599635E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num w:numId="1" w16cid:durableId="2041583656">
    <w:abstractNumId w:val="3"/>
  </w:num>
  <w:num w:numId="2" w16cid:durableId="2039508329">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1405104531">
    <w:abstractNumId w:val="1"/>
  </w:num>
  <w:num w:numId="4" w16cid:durableId="441341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B5"/>
    <w:rsid w:val="00073A50"/>
    <w:rsid w:val="000C5A54"/>
    <w:rsid w:val="0015628E"/>
    <w:rsid w:val="00167E53"/>
    <w:rsid w:val="001A3CC7"/>
    <w:rsid w:val="002404E9"/>
    <w:rsid w:val="0025288F"/>
    <w:rsid w:val="00274973"/>
    <w:rsid w:val="00481A33"/>
    <w:rsid w:val="00501EE7"/>
    <w:rsid w:val="00554BB1"/>
    <w:rsid w:val="00615F93"/>
    <w:rsid w:val="006358A4"/>
    <w:rsid w:val="0065118D"/>
    <w:rsid w:val="006C4DBA"/>
    <w:rsid w:val="006C7FAE"/>
    <w:rsid w:val="006F57CB"/>
    <w:rsid w:val="00733422"/>
    <w:rsid w:val="007943B5"/>
    <w:rsid w:val="007C45D6"/>
    <w:rsid w:val="0096563F"/>
    <w:rsid w:val="009F0565"/>
    <w:rsid w:val="00A930BF"/>
    <w:rsid w:val="00B223C4"/>
    <w:rsid w:val="00BF5C40"/>
    <w:rsid w:val="00D77145"/>
    <w:rsid w:val="00DE09E4"/>
    <w:rsid w:val="00E75F9E"/>
    <w:rsid w:val="00F366C0"/>
    <w:rsid w:val="00F959DB"/>
    <w:rsid w:val="00FB05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E15BAD"/>
  <w15:chartTrackingRefBased/>
  <w15:docId w15:val="{BC7DF878-3E7D-437C-A9A8-967E1BBE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3B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94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3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3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3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3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3B5"/>
    <w:rPr>
      <w:rFonts w:eastAsiaTheme="majorEastAsia" w:cstheme="majorBidi"/>
      <w:color w:val="272727" w:themeColor="text1" w:themeTint="D8"/>
    </w:rPr>
  </w:style>
  <w:style w:type="paragraph" w:styleId="Title">
    <w:name w:val="Title"/>
    <w:basedOn w:val="Normal"/>
    <w:next w:val="Normal"/>
    <w:link w:val="TitleChar"/>
    <w:uiPriority w:val="10"/>
    <w:qFormat/>
    <w:rsid w:val="007943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3B5"/>
    <w:pPr>
      <w:spacing w:before="160"/>
      <w:jc w:val="center"/>
    </w:pPr>
    <w:rPr>
      <w:i/>
      <w:iCs/>
      <w:color w:val="404040" w:themeColor="text1" w:themeTint="BF"/>
    </w:rPr>
  </w:style>
  <w:style w:type="character" w:customStyle="1" w:styleId="QuoteChar">
    <w:name w:val="Quote Char"/>
    <w:basedOn w:val="DefaultParagraphFont"/>
    <w:link w:val="Quote"/>
    <w:uiPriority w:val="29"/>
    <w:rsid w:val="007943B5"/>
    <w:rPr>
      <w:i/>
      <w:iCs/>
      <w:color w:val="404040" w:themeColor="text1" w:themeTint="BF"/>
    </w:rPr>
  </w:style>
  <w:style w:type="paragraph" w:styleId="ListParagraph">
    <w:name w:val="List Paragraph"/>
    <w:basedOn w:val="Normal"/>
    <w:uiPriority w:val="34"/>
    <w:qFormat/>
    <w:rsid w:val="007943B5"/>
    <w:pPr>
      <w:ind w:left="720"/>
      <w:contextualSpacing/>
    </w:pPr>
  </w:style>
  <w:style w:type="character" w:styleId="IntenseEmphasis">
    <w:name w:val="Intense Emphasis"/>
    <w:basedOn w:val="DefaultParagraphFont"/>
    <w:uiPriority w:val="21"/>
    <w:qFormat/>
    <w:rsid w:val="007943B5"/>
    <w:rPr>
      <w:i/>
      <w:iCs/>
      <w:color w:val="0F4761" w:themeColor="accent1" w:themeShade="BF"/>
    </w:rPr>
  </w:style>
  <w:style w:type="paragraph" w:styleId="IntenseQuote">
    <w:name w:val="Intense Quote"/>
    <w:basedOn w:val="Normal"/>
    <w:next w:val="Normal"/>
    <w:link w:val="IntenseQuoteChar"/>
    <w:uiPriority w:val="30"/>
    <w:qFormat/>
    <w:rsid w:val="00794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3B5"/>
    <w:rPr>
      <w:i/>
      <w:iCs/>
      <w:color w:val="0F4761" w:themeColor="accent1" w:themeShade="BF"/>
    </w:rPr>
  </w:style>
  <w:style w:type="character" w:styleId="IntenseReference">
    <w:name w:val="Intense Reference"/>
    <w:basedOn w:val="DefaultParagraphFont"/>
    <w:uiPriority w:val="32"/>
    <w:qFormat/>
    <w:rsid w:val="007943B5"/>
    <w:rPr>
      <w:b/>
      <w:bCs/>
      <w:smallCaps/>
      <w:color w:val="0F4761" w:themeColor="accent1" w:themeShade="BF"/>
      <w:spacing w:val="5"/>
    </w:rPr>
  </w:style>
  <w:style w:type="paragraph" w:styleId="Header">
    <w:name w:val="header"/>
    <w:basedOn w:val="Normal"/>
    <w:link w:val="HeaderChar"/>
    <w:semiHidden/>
    <w:rsid w:val="007943B5"/>
    <w:pPr>
      <w:tabs>
        <w:tab w:val="center" w:pos="4320"/>
        <w:tab w:val="right" w:pos="8640"/>
      </w:tabs>
    </w:pPr>
  </w:style>
  <w:style w:type="character" w:customStyle="1" w:styleId="HeaderChar">
    <w:name w:val="Header Char"/>
    <w:basedOn w:val="DefaultParagraphFont"/>
    <w:link w:val="Header"/>
    <w:semiHidden/>
    <w:rsid w:val="007943B5"/>
    <w:rPr>
      <w:rFonts w:ascii="Times New Roman" w:eastAsia="Times New Roman" w:hAnsi="Times New Roman" w:cs="Times New Roman"/>
      <w:kern w:val="0"/>
      <w:sz w:val="20"/>
      <w:szCs w:val="20"/>
      <w14:ligatures w14:val="none"/>
    </w:rPr>
  </w:style>
  <w:style w:type="character" w:styleId="CommentReference">
    <w:name w:val="annotation reference"/>
    <w:uiPriority w:val="99"/>
    <w:semiHidden/>
    <w:unhideWhenUsed/>
    <w:rsid w:val="007943B5"/>
    <w:rPr>
      <w:sz w:val="16"/>
      <w:szCs w:val="16"/>
    </w:rPr>
  </w:style>
  <w:style w:type="paragraph" w:styleId="CommentText">
    <w:name w:val="annotation text"/>
    <w:basedOn w:val="Normal"/>
    <w:link w:val="CommentTextChar"/>
    <w:uiPriority w:val="99"/>
    <w:unhideWhenUsed/>
    <w:rsid w:val="007943B5"/>
  </w:style>
  <w:style w:type="character" w:customStyle="1" w:styleId="CommentTextChar">
    <w:name w:val="Comment Text Char"/>
    <w:basedOn w:val="DefaultParagraphFont"/>
    <w:link w:val="CommentText"/>
    <w:uiPriority w:val="99"/>
    <w:rsid w:val="007943B5"/>
    <w:rPr>
      <w:rFonts w:ascii="Times New Roman" w:eastAsia="Times New Roman" w:hAnsi="Times New Roman" w:cs="Times New Roman"/>
      <w:kern w:val="0"/>
      <w:sz w:val="20"/>
      <w:szCs w:val="20"/>
      <w14:ligatures w14:val="none"/>
    </w:rPr>
  </w:style>
  <w:style w:type="character" w:styleId="Hyperlink">
    <w:name w:val="Hyperlink"/>
    <w:uiPriority w:val="99"/>
    <w:unhideWhenUsed/>
    <w:rsid w:val="007943B5"/>
    <w:rPr>
      <w:color w:val="467886"/>
      <w:u w:val="single"/>
    </w:rPr>
  </w:style>
  <w:style w:type="paragraph" w:customStyle="1" w:styleId="pf0">
    <w:name w:val="pf0"/>
    <w:basedOn w:val="Normal"/>
    <w:rsid w:val="007943B5"/>
    <w:pPr>
      <w:overflowPunct/>
      <w:autoSpaceDE/>
      <w:autoSpaceDN/>
      <w:adjustRightInd/>
      <w:spacing w:before="100" w:beforeAutospacing="1" w:after="100" w:afterAutospacing="1"/>
      <w:textAlignment w:val="auto"/>
    </w:pPr>
    <w:rPr>
      <w:sz w:val="24"/>
      <w:szCs w:val="24"/>
    </w:rPr>
  </w:style>
  <w:style w:type="character" w:customStyle="1" w:styleId="cf01">
    <w:name w:val="cf01"/>
    <w:rsid w:val="007943B5"/>
    <w:rPr>
      <w:rFonts w:ascii="Segoe UI" w:hAnsi="Segoe UI" w:cs="Segoe UI" w:hint="default"/>
      <w:sz w:val="18"/>
      <w:szCs w:val="18"/>
    </w:rPr>
  </w:style>
  <w:style w:type="paragraph" w:styleId="NoSpacing">
    <w:name w:val="No Spacing"/>
    <w:uiPriority w:val="1"/>
    <w:qFormat/>
    <w:rsid w:val="0073342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OIA@hud.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Sandra J</dc:creator>
  <cp:lastModifiedBy>Guido, Anna P</cp:lastModifiedBy>
  <cp:revision>2</cp:revision>
  <dcterms:created xsi:type="dcterms:W3CDTF">2024-09-05T17:01:00Z</dcterms:created>
  <dcterms:modified xsi:type="dcterms:W3CDTF">2024-09-05T17:01:00Z</dcterms:modified>
</cp:coreProperties>
</file>