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674B" w:rsidP="000F674B" w14:paraId="3C326B0E" w14:textId="77777777">
      <w:pPr>
        <w:jc w:val="center"/>
        <w:rPr>
          <w:b/>
          <w:sz w:val="24"/>
          <w:szCs w:val="24"/>
        </w:rPr>
      </w:pPr>
      <w:r w:rsidRPr="00167E53">
        <w:rPr>
          <w:b/>
          <w:sz w:val="24"/>
          <w:szCs w:val="24"/>
        </w:rPr>
        <w:t>Supporting Statement for Paperwork Reduction Act Submissions</w:t>
      </w:r>
    </w:p>
    <w:p w:rsidR="000F674B" w:rsidP="000F674B" w14:paraId="7541CB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Semi-Annual Labor Standards Enforcement Report</w:t>
      </w:r>
    </w:p>
    <w:p w:rsidR="000F674B" w:rsidRPr="00D51A14" w:rsidP="000F674B" w14:paraId="782AEDC2" w14:textId="77777777">
      <w:pPr>
        <w:jc w:val="center"/>
        <w:rPr>
          <w:rFonts w:eastAsia="Arial"/>
          <w:b/>
          <w:spacing w:val="8"/>
          <w:sz w:val="24"/>
          <w:szCs w:val="24"/>
        </w:rPr>
      </w:pPr>
      <w:r w:rsidRPr="00D51A14">
        <w:rPr>
          <w:rFonts w:eastAsia="Arial"/>
          <w:b/>
          <w:spacing w:val="8"/>
          <w:sz w:val="24"/>
          <w:szCs w:val="24"/>
        </w:rPr>
        <w:t>Local Contracting Agencies (HUD Programs)</w:t>
      </w:r>
    </w:p>
    <w:p w:rsidR="000F674B" w:rsidRPr="00167E53" w:rsidP="000F674B" w14:paraId="21F0305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Pr>
          <w:b/>
          <w:sz w:val="24"/>
          <w:szCs w:val="24"/>
        </w:rPr>
        <w:t>2501-0019</w:t>
      </w:r>
    </w:p>
    <w:p w:rsidR="000F674B" w:rsidP="000F674B" w14:paraId="167ABBF1" w14:textId="77777777">
      <w:pPr>
        <w:rPr>
          <w:b/>
          <w:sz w:val="24"/>
          <w:szCs w:val="24"/>
        </w:rPr>
      </w:pPr>
    </w:p>
    <w:p w:rsidR="00B912FB" w:rsidP="000F674B" w14:paraId="75879B9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0F674B" w:rsidRPr="006C7FAE" w:rsidP="000F674B" w14:paraId="7D88D394" w14:textId="379F4E3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0F674B" w:rsidRPr="006C7FAE" w:rsidP="000F674B" w14:paraId="0529DC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0F674B" w:rsidP="000F674B" w14:paraId="31FB72E9"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7D2A" w:rsidP="000F674B" w14:paraId="1B5D2C69" w14:textId="77777777">
      <w:pPr>
        <w:ind w:left="432" w:right="72"/>
        <w:rPr>
          <w:color w:val="000000"/>
          <w:sz w:val="24"/>
          <w:szCs w:val="24"/>
        </w:rPr>
      </w:pPr>
    </w:p>
    <w:p w:rsidR="000F674B" w:rsidRPr="00396FEC" w:rsidP="000F674B" w14:paraId="16741888" w14:textId="71E5E3B3">
      <w:pPr>
        <w:ind w:left="432" w:right="72"/>
        <w:rPr>
          <w:color w:val="000000"/>
          <w:sz w:val="24"/>
          <w:szCs w:val="24"/>
        </w:rPr>
      </w:pPr>
      <w:r>
        <w:rPr>
          <w:color w:val="000000"/>
          <w:sz w:val="24"/>
          <w:szCs w:val="24"/>
        </w:rPr>
        <w:t>The Department of Labor (DOL) requires a</w:t>
      </w:r>
      <w:r w:rsidRPr="00396FEC">
        <w:rPr>
          <w:color w:val="000000"/>
          <w:sz w:val="24"/>
          <w:szCs w:val="24"/>
        </w:rPr>
        <w:t xml:space="preserve">ll Federal agencies administering programs subject to Davis-Bacon wage provisions </w:t>
      </w:r>
      <w:r>
        <w:rPr>
          <w:color w:val="000000"/>
          <w:sz w:val="24"/>
          <w:szCs w:val="24"/>
        </w:rPr>
        <w:t xml:space="preserve">under </w:t>
      </w:r>
      <w:r w:rsidRPr="00396FEC">
        <w:rPr>
          <w:color w:val="000000"/>
          <w:sz w:val="24"/>
          <w:szCs w:val="24"/>
        </w:rPr>
        <w:t>29 CFR Part 5, Section 5.7(b) to submit a</w:t>
      </w:r>
      <w:r>
        <w:rPr>
          <w:color w:val="000000"/>
          <w:sz w:val="24"/>
          <w:szCs w:val="24"/>
        </w:rPr>
        <w:t xml:space="preserve"> semi-annual</w:t>
      </w:r>
      <w:r w:rsidRPr="00396FEC">
        <w:rPr>
          <w:color w:val="000000"/>
          <w:sz w:val="24"/>
          <w:szCs w:val="24"/>
        </w:rPr>
        <w:t xml:space="preserve"> report of all new covered contracts/projects and all enforcement activities. </w:t>
      </w:r>
      <w:r>
        <w:rPr>
          <w:color w:val="000000"/>
          <w:sz w:val="24"/>
          <w:szCs w:val="24"/>
        </w:rPr>
        <w:t>For</w:t>
      </w:r>
      <w:r w:rsidRPr="00396FEC">
        <w:rPr>
          <w:color w:val="000000"/>
          <w:sz w:val="24"/>
          <w:szCs w:val="24"/>
        </w:rPr>
        <w:t xml:space="preserve"> HUD to comply</w:t>
      </w:r>
      <w:r>
        <w:rPr>
          <w:color w:val="000000"/>
          <w:sz w:val="24"/>
          <w:szCs w:val="24"/>
        </w:rPr>
        <w:t xml:space="preserve">, HUD collects data from </w:t>
      </w:r>
      <w:r w:rsidRPr="00396FEC">
        <w:rPr>
          <w:color w:val="000000"/>
          <w:sz w:val="24"/>
          <w:szCs w:val="24"/>
        </w:rPr>
        <w:t>state</w:t>
      </w:r>
      <w:r w:rsidR="00351AD0">
        <w:rPr>
          <w:color w:val="000000"/>
          <w:sz w:val="24"/>
          <w:szCs w:val="24"/>
        </w:rPr>
        <w:t xml:space="preserve">, tribal, and </w:t>
      </w:r>
      <w:r w:rsidRPr="00396FEC">
        <w:rPr>
          <w:color w:val="000000"/>
          <w:sz w:val="24"/>
          <w:szCs w:val="24"/>
        </w:rPr>
        <w:t xml:space="preserve">local agencies that administer HUD-assisted programs subject to Davis-Bacon requirements. HUD requires </w:t>
      </w:r>
      <w:r>
        <w:rPr>
          <w:color w:val="000000"/>
          <w:sz w:val="24"/>
          <w:szCs w:val="24"/>
        </w:rPr>
        <w:t xml:space="preserve">these </w:t>
      </w:r>
      <w:r w:rsidRPr="00396FEC">
        <w:rPr>
          <w:color w:val="000000"/>
          <w:sz w:val="24"/>
          <w:szCs w:val="24"/>
        </w:rPr>
        <w:t xml:space="preserve">agencies </w:t>
      </w:r>
      <w:r>
        <w:rPr>
          <w:color w:val="000000"/>
          <w:sz w:val="24"/>
          <w:szCs w:val="24"/>
        </w:rPr>
        <w:t xml:space="preserve">to </w:t>
      </w:r>
      <w:r w:rsidRPr="00396FEC">
        <w:rPr>
          <w:color w:val="000000"/>
          <w:sz w:val="24"/>
          <w:szCs w:val="24"/>
        </w:rPr>
        <w:t>complete and submit a Semi-annual Labor Standards Enforcement Report e</w:t>
      </w:r>
      <w:r>
        <w:rPr>
          <w:color w:val="000000"/>
          <w:sz w:val="24"/>
          <w:szCs w:val="24"/>
        </w:rPr>
        <w:t xml:space="preserve">very </w:t>
      </w:r>
      <w:r w:rsidRPr="00396FEC">
        <w:rPr>
          <w:color w:val="000000"/>
          <w:sz w:val="24"/>
          <w:szCs w:val="24"/>
        </w:rPr>
        <w:t>six months.</w:t>
      </w:r>
      <w:r>
        <w:rPr>
          <w:color w:val="000000"/>
          <w:sz w:val="24"/>
          <w:szCs w:val="24"/>
        </w:rPr>
        <w:t xml:space="preserve"> </w:t>
      </w:r>
      <w:r w:rsidRPr="00396FEC">
        <w:rPr>
          <w:color w:val="000000"/>
          <w:sz w:val="24"/>
          <w:szCs w:val="24"/>
        </w:rPr>
        <w:t xml:space="preserve">Respondents and HUD must retain a copy of the Semi-annual Labor Standards Enforcement Report in their files for at least </w:t>
      </w:r>
      <w:r>
        <w:rPr>
          <w:color w:val="000000"/>
          <w:sz w:val="24"/>
          <w:szCs w:val="24"/>
        </w:rPr>
        <w:t>three</w:t>
      </w:r>
      <w:r w:rsidRPr="00396FEC">
        <w:rPr>
          <w:color w:val="000000"/>
          <w:sz w:val="24"/>
          <w:szCs w:val="24"/>
        </w:rPr>
        <w:t xml:space="preserve"> years.</w:t>
      </w:r>
    </w:p>
    <w:p w:rsidR="000F674B" w:rsidP="000F674B" w14:paraId="7EDDE29C" w14:textId="77777777">
      <w:pPr>
        <w:ind w:right="-144"/>
        <w:rPr>
          <w:color w:val="000000"/>
          <w:sz w:val="24"/>
          <w:szCs w:val="24"/>
        </w:rPr>
      </w:pPr>
    </w:p>
    <w:p w:rsidR="000F674B" w:rsidRPr="006C7FAE" w:rsidP="000F674B" w14:paraId="214B6645" w14:textId="2CAD424C">
      <w:pPr>
        <w:keepLines/>
        <w:tabs>
          <w:tab w:val="left" w:pos="360"/>
        </w:tabs>
        <w:spacing w:after="80"/>
        <w:ind w:left="360" w:hanging="360"/>
        <w:rPr>
          <w:sz w:val="24"/>
          <w:szCs w:val="24"/>
        </w:rPr>
      </w:pPr>
      <w:r>
        <w:rPr>
          <w:color w:val="000000"/>
          <w:sz w:val="24"/>
          <w:szCs w:val="24"/>
        </w:rPr>
        <w:tab/>
      </w:r>
      <w:r w:rsidRPr="00396FEC">
        <w:rPr>
          <w:color w:val="000000"/>
          <w:sz w:val="24"/>
          <w:szCs w:val="24"/>
        </w:rPr>
        <w:t>This collection is not related to the Patient Protection and Affordable Care Act (PPACA, PL 111-148 and 111-152</w:t>
      </w:r>
      <w:r w:rsidR="005E5840">
        <w:rPr>
          <w:color w:val="000000"/>
          <w:sz w:val="24"/>
          <w:szCs w:val="24"/>
        </w:rPr>
        <w:t>;</w:t>
      </w:r>
      <w:r w:rsidRPr="00396FEC">
        <w:rPr>
          <w:color w:val="000000"/>
          <w:sz w:val="24"/>
          <w:szCs w:val="24"/>
        </w:rPr>
        <w:t xml:space="preserve">) </w:t>
      </w:r>
      <w:r w:rsidR="00FE587F">
        <w:rPr>
          <w:color w:val="000000"/>
          <w:sz w:val="24"/>
          <w:szCs w:val="24"/>
        </w:rPr>
        <w:t>(</w:t>
      </w:r>
      <w:r w:rsidRPr="00396FEC">
        <w:rPr>
          <w:color w:val="000000"/>
          <w:sz w:val="24"/>
          <w:szCs w:val="24"/>
        </w:rPr>
        <w:t>Affordable Care Act</w:t>
      </w:r>
      <w:r w:rsidR="00FE587F">
        <w:rPr>
          <w:color w:val="000000"/>
          <w:sz w:val="24"/>
          <w:szCs w:val="24"/>
        </w:rPr>
        <w:t>)</w:t>
      </w:r>
      <w:r w:rsidRPr="00396FEC">
        <w:rPr>
          <w:color w:val="000000"/>
          <w:sz w:val="24"/>
          <w:szCs w:val="24"/>
        </w:rPr>
        <w:t>.</w:t>
      </w:r>
    </w:p>
    <w:p w:rsidR="000F674B" w:rsidRPr="006C7FAE" w:rsidP="000F674B" w14:paraId="649F389C" w14:textId="77777777">
      <w:pPr>
        <w:tabs>
          <w:tab w:val="left" w:pos="360"/>
        </w:tabs>
        <w:ind w:left="360" w:hanging="360"/>
        <w:rPr>
          <w:sz w:val="24"/>
          <w:szCs w:val="24"/>
        </w:rPr>
      </w:pPr>
    </w:p>
    <w:p w:rsidR="000F674B" w:rsidRPr="006C7FAE" w:rsidP="000F674B" w14:paraId="4B4BA6D1"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2106D7" w:rsidP="000F674B" w14:paraId="1AE7A19C" w14:textId="77777777">
      <w:pPr>
        <w:ind w:left="360"/>
        <w:rPr>
          <w:color w:val="000000"/>
          <w:sz w:val="24"/>
          <w:szCs w:val="24"/>
        </w:rPr>
      </w:pPr>
    </w:p>
    <w:p w:rsidR="002106D7" w:rsidP="000F674B" w14:paraId="42EC4161" w14:textId="19F4B0C6">
      <w:pPr>
        <w:ind w:left="360"/>
        <w:rPr>
          <w:color w:val="000000"/>
          <w:sz w:val="24"/>
          <w:szCs w:val="24"/>
        </w:rPr>
      </w:pPr>
      <w:r>
        <w:rPr>
          <w:color w:val="000000"/>
          <w:sz w:val="24"/>
          <w:szCs w:val="24"/>
        </w:rPr>
        <w:t xml:space="preserve">This is a revision of a currently approved collection. </w:t>
      </w:r>
    </w:p>
    <w:p w:rsidR="002106D7" w:rsidP="000F674B" w14:paraId="14A65C0C" w14:textId="77777777">
      <w:pPr>
        <w:ind w:left="360"/>
        <w:rPr>
          <w:color w:val="000000"/>
          <w:sz w:val="24"/>
          <w:szCs w:val="24"/>
        </w:rPr>
      </w:pPr>
    </w:p>
    <w:p w:rsidR="00E37FD0" w:rsidP="000F674B" w14:paraId="4B9D85BE" w14:textId="77777777">
      <w:pPr>
        <w:ind w:left="360"/>
        <w:rPr>
          <w:color w:val="000000"/>
          <w:sz w:val="24"/>
          <w:szCs w:val="24"/>
        </w:rPr>
      </w:pPr>
      <w:r>
        <w:rPr>
          <w:color w:val="000000"/>
          <w:sz w:val="24"/>
          <w:szCs w:val="24"/>
        </w:rPr>
        <w:t xml:space="preserve">HUD uses the </w:t>
      </w:r>
      <w:r w:rsidRPr="00396FEC">
        <w:rPr>
          <w:color w:val="000000"/>
          <w:sz w:val="24"/>
          <w:szCs w:val="24"/>
        </w:rPr>
        <w:t xml:space="preserve">information collected to compile </w:t>
      </w:r>
      <w:r>
        <w:rPr>
          <w:color w:val="000000"/>
          <w:sz w:val="24"/>
          <w:szCs w:val="24"/>
        </w:rPr>
        <w:t xml:space="preserve">the semi-annual report to DOL required by </w:t>
      </w:r>
      <w:r w:rsidRPr="00396FEC">
        <w:rPr>
          <w:color w:val="000000"/>
          <w:sz w:val="24"/>
          <w:szCs w:val="24"/>
        </w:rPr>
        <w:t>29 CFR 5.7(b)</w:t>
      </w:r>
      <w:r>
        <w:rPr>
          <w:color w:val="000000"/>
          <w:sz w:val="24"/>
          <w:szCs w:val="24"/>
        </w:rPr>
        <w:t>:</w:t>
      </w:r>
    </w:p>
    <w:p w:rsidR="00E37FD0" w:rsidP="000F674B" w14:paraId="0EED307D" w14:textId="77777777">
      <w:pPr>
        <w:ind w:left="360"/>
        <w:rPr>
          <w:color w:val="000000"/>
          <w:sz w:val="24"/>
          <w:szCs w:val="24"/>
        </w:rPr>
      </w:pPr>
    </w:p>
    <w:p w:rsidR="00E37FD0" w:rsidP="00E40E14" w14:paraId="6F0B5770" w14:textId="68939C24">
      <w:pPr>
        <w:ind w:left="720"/>
        <w:rPr>
          <w:color w:val="000000"/>
          <w:sz w:val="24"/>
          <w:szCs w:val="24"/>
        </w:rPr>
      </w:pPr>
      <w:r w:rsidRPr="00E37FD0">
        <w:rPr>
          <w:b/>
          <w:bCs/>
          <w:i/>
          <w:iCs/>
          <w:color w:val="000000"/>
          <w:sz w:val="24"/>
          <w:szCs w:val="24"/>
        </w:rPr>
        <w:t>Semi-annual enforcement reports.</w:t>
      </w:r>
      <w:r w:rsidRPr="00E37FD0">
        <w:rPr>
          <w:color w:val="000000"/>
          <w:sz w:val="24"/>
          <w:szCs w:val="24"/>
        </w:rPr>
        <w:t xml:space="preserve"> To assist the Secretary in fulfilling the responsibilities under Reorganization Plan No. 14 of 1950, Federal agencies shall furnish to the Administrator by April 30 and October 31 of each calendar year semi-annual reports on compliance with and enforcement of the labor standards provisions of the Davis-Bacon Act and its related acts covering the periods of October 1 through March 31 and April 1 through September 30, respectively. Such reports shall be prepared in the manner prescribed in memoranda issued to Federal agencies by the Administrator. This report has been cleared in accordance with FPMR 101-11.11 and assigned interagency report control number 1482-DOL-SA.</w:t>
      </w:r>
      <w:r w:rsidRPr="00396FEC" w:rsidR="000F674B">
        <w:rPr>
          <w:color w:val="000000"/>
          <w:sz w:val="24"/>
          <w:szCs w:val="24"/>
        </w:rPr>
        <w:t xml:space="preserve"> </w:t>
      </w:r>
    </w:p>
    <w:p w:rsidR="00E37FD0" w:rsidP="000F674B" w14:paraId="5612B355" w14:textId="77777777">
      <w:pPr>
        <w:ind w:left="360"/>
        <w:rPr>
          <w:color w:val="000000"/>
          <w:sz w:val="24"/>
          <w:szCs w:val="24"/>
        </w:rPr>
      </w:pPr>
    </w:p>
    <w:p w:rsidR="000F674B" w:rsidP="000F674B" w14:paraId="304B7A37" w14:textId="6401E6BC">
      <w:pPr>
        <w:ind w:left="360"/>
        <w:rPr>
          <w:color w:val="000000"/>
          <w:sz w:val="24"/>
          <w:szCs w:val="24"/>
        </w:rPr>
      </w:pPr>
      <w:bookmarkStart w:id="0" w:name="_Hlk175824406"/>
      <w:r>
        <w:rPr>
          <w:color w:val="000000"/>
          <w:sz w:val="24"/>
          <w:szCs w:val="24"/>
        </w:rPr>
        <w:t xml:space="preserve">To be in compliance with the </w:t>
      </w:r>
      <w:r w:rsidR="004655F7">
        <w:rPr>
          <w:color w:val="000000"/>
          <w:sz w:val="24"/>
          <w:szCs w:val="24"/>
        </w:rPr>
        <w:t xml:space="preserve">new Davis Bacon regulations above, </w:t>
      </w:r>
      <w:r w:rsidR="00577443">
        <w:rPr>
          <w:color w:val="000000"/>
          <w:sz w:val="24"/>
          <w:szCs w:val="24"/>
        </w:rPr>
        <w:t xml:space="preserve">HUD has edited </w:t>
      </w:r>
      <w:r w:rsidR="004514A3">
        <w:rPr>
          <w:color w:val="000000"/>
          <w:sz w:val="24"/>
          <w:szCs w:val="24"/>
        </w:rPr>
        <w:t>its</w:t>
      </w:r>
      <w:r w:rsidR="00A17EED">
        <w:rPr>
          <w:color w:val="000000"/>
          <w:sz w:val="24"/>
          <w:szCs w:val="24"/>
        </w:rPr>
        <w:t xml:space="preserve"> </w:t>
      </w:r>
      <w:r w:rsidR="00346D7C">
        <w:rPr>
          <w:color w:val="000000"/>
          <w:sz w:val="24"/>
          <w:szCs w:val="24"/>
        </w:rPr>
        <w:t>form HUD</w:t>
      </w:r>
      <w:r w:rsidR="00FC4555">
        <w:rPr>
          <w:color w:val="000000"/>
          <w:sz w:val="24"/>
          <w:szCs w:val="24"/>
        </w:rPr>
        <w:t>-</w:t>
      </w:r>
      <w:r w:rsidR="00346D7C">
        <w:rPr>
          <w:color w:val="000000"/>
          <w:sz w:val="24"/>
          <w:szCs w:val="24"/>
        </w:rPr>
        <w:t xml:space="preserve">4710, </w:t>
      </w:r>
      <w:r w:rsidRPr="00A17EED" w:rsidR="00A17EED">
        <w:rPr>
          <w:color w:val="000000"/>
          <w:sz w:val="24"/>
          <w:szCs w:val="24"/>
        </w:rPr>
        <w:t>Semi-Annual Labor Standards Enforcement Report - Local Contracting Agencies (HUD Programs)</w:t>
      </w:r>
      <w:r w:rsidR="00346D7C">
        <w:rPr>
          <w:color w:val="000000"/>
          <w:sz w:val="24"/>
          <w:szCs w:val="24"/>
        </w:rPr>
        <w:t xml:space="preserve">, to match the template provided in </w:t>
      </w:r>
      <w:hyperlink r:id="rId9" w:history="1">
        <w:r w:rsidRPr="00EA1DE6" w:rsidR="00E6657A">
          <w:rPr>
            <w:rStyle w:val="Hyperlink"/>
            <w:sz w:val="24"/>
            <w:szCs w:val="24"/>
          </w:rPr>
          <w:t>DOL AAM 189</w:t>
        </w:r>
      </w:hyperlink>
      <w:r w:rsidR="00E106F5">
        <w:rPr>
          <w:color w:val="000000"/>
          <w:sz w:val="24"/>
          <w:szCs w:val="24"/>
        </w:rPr>
        <w:t>.</w:t>
      </w:r>
      <w:r>
        <w:rPr>
          <w:rStyle w:val="FootnoteReference"/>
          <w:color w:val="000000"/>
          <w:sz w:val="24"/>
          <w:szCs w:val="24"/>
        </w:rPr>
        <w:footnoteReference w:id="2"/>
      </w:r>
      <w:r w:rsidR="004514A3">
        <w:rPr>
          <w:color w:val="000000"/>
          <w:sz w:val="24"/>
          <w:szCs w:val="24"/>
        </w:rPr>
        <w:t xml:space="preserve"> </w:t>
      </w:r>
      <w:r w:rsidRPr="00396FEC">
        <w:rPr>
          <w:color w:val="000000"/>
          <w:sz w:val="24"/>
          <w:szCs w:val="24"/>
        </w:rPr>
        <w:t>HUD consolidates the data collected from respondents and submits the data to DOL in its report.</w:t>
      </w:r>
      <w:r w:rsidR="00F42749">
        <w:rPr>
          <w:color w:val="000000"/>
          <w:sz w:val="24"/>
          <w:szCs w:val="24"/>
        </w:rPr>
        <w:t xml:space="preserve"> </w:t>
      </w:r>
    </w:p>
    <w:p w:rsidR="00FC4555" w:rsidP="000F674B" w14:paraId="3D771C4F" w14:textId="65B56DF3">
      <w:pPr>
        <w:ind w:left="360"/>
        <w:rPr>
          <w:color w:val="000000"/>
          <w:sz w:val="24"/>
          <w:szCs w:val="24"/>
        </w:rPr>
      </w:pPr>
      <w:r>
        <w:rPr>
          <w:color w:val="000000"/>
          <w:sz w:val="24"/>
          <w:szCs w:val="24"/>
        </w:rPr>
        <w:t>HUD has also updated the corresponding instruction form HUD-4710i to</w:t>
      </w:r>
      <w:r w:rsidR="003B366A">
        <w:rPr>
          <w:color w:val="000000"/>
          <w:sz w:val="24"/>
          <w:szCs w:val="24"/>
        </w:rPr>
        <w:t xml:space="preserve"> match the changes made to form HUD-4710. </w:t>
      </w:r>
    </w:p>
    <w:bookmarkEnd w:id="0"/>
    <w:p w:rsidR="000F674B" w:rsidRPr="006C7FAE" w:rsidP="000F674B" w14:paraId="5A9C6519" w14:textId="77777777">
      <w:pPr>
        <w:keepLines/>
        <w:tabs>
          <w:tab w:val="left" w:pos="360"/>
          <w:tab w:val="left" w:pos="720"/>
        </w:tabs>
        <w:ind w:left="360"/>
        <w:rPr>
          <w:sz w:val="24"/>
          <w:szCs w:val="24"/>
        </w:rPr>
      </w:pPr>
    </w:p>
    <w:p w:rsidR="000F674B" w:rsidP="000F674B" w14:paraId="3CDF571C"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B366A" w:rsidRPr="006C7FAE" w:rsidP="000F674B" w14:paraId="79B00284" w14:textId="77777777">
      <w:pPr>
        <w:keepLines/>
        <w:tabs>
          <w:tab w:val="left" w:pos="360"/>
        </w:tabs>
        <w:spacing w:after="80"/>
        <w:ind w:left="360" w:hanging="360"/>
        <w:rPr>
          <w:sz w:val="24"/>
          <w:szCs w:val="24"/>
        </w:rPr>
      </w:pPr>
    </w:p>
    <w:p w:rsidR="000F674B" w:rsidP="000F674B" w14:paraId="5F1D9DA5" w14:textId="057347DC">
      <w:pPr>
        <w:ind w:left="360"/>
        <w:rPr>
          <w:color w:val="000000"/>
          <w:sz w:val="24"/>
          <w:szCs w:val="24"/>
        </w:rPr>
      </w:pPr>
      <w:r>
        <w:rPr>
          <w:color w:val="000000"/>
          <w:sz w:val="24"/>
          <w:szCs w:val="24"/>
        </w:rPr>
        <w:t>Reports were collected from state</w:t>
      </w:r>
      <w:r w:rsidR="00DF784E">
        <w:rPr>
          <w:color w:val="000000"/>
          <w:sz w:val="24"/>
          <w:szCs w:val="24"/>
        </w:rPr>
        <w:t xml:space="preserve">, tribal, and </w:t>
      </w:r>
      <w:r>
        <w:rPr>
          <w:color w:val="000000"/>
          <w:sz w:val="24"/>
          <w:szCs w:val="24"/>
        </w:rPr>
        <w:t xml:space="preserve">local agencies via email, fax, and mailed to HUD.  During the second reporting period in 2023, HUD implemented an automated reporting system that eliminated state and local agencies emailing, faxing and mailing their reports.  </w:t>
      </w:r>
      <w:r w:rsidR="002F1E7A">
        <w:rPr>
          <w:color w:val="000000"/>
          <w:sz w:val="24"/>
          <w:szCs w:val="24"/>
        </w:rPr>
        <w:t>DocuSign</w:t>
      </w:r>
      <w:r>
        <w:rPr>
          <w:color w:val="000000"/>
          <w:sz w:val="24"/>
          <w:szCs w:val="24"/>
        </w:rPr>
        <w:t xml:space="preserve"> is currently being used </w:t>
      </w:r>
      <w:r w:rsidR="003B366A">
        <w:rPr>
          <w:color w:val="000000"/>
          <w:sz w:val="24"/>
          <w:szCs w:val="24"/>
        </w:rPr>
        <w:t xml:space="preserve">and will continue to be used </w:t>
      </w:r>
      <w:r>
        <w:rPr>
          <w:color w:val="000000"/>
          <w:sz w:val="24"/>
          <w:szCs w:val="24"/>
        </w:rPr>
        <w:t>to receive Semi-Annual Labor Standards Enforcement Reports nationwide. By automating this process, it reduces the time required to respond to each item from two hours to one hour.  Because of the platform change, the data is automatically summarized on a nationwide basis for all state</w:t>
      </w:r>
      <w:r w:rsidR="005C17C2">
        <w:rPr>
          <w:color w:val="000000"/>
          <w:sz w:val="24"/>
          <w:szCs w:val="24"/>
        </w:rPr>
        <w:t xml:space="preserve">, tribal, and </w:t>
      </w:r>
      <w:r>
        <w:rPr>
          <w:color w:val="000000"/>
          <w:sz w:val="24"/>
          <w:szCs w:val="24"/>
        </w:rPr>
        <w:t xml:space="preserve">local agencies responding.  HUD uses the </w:t>
      </w:r>
      <w:r w:rsidRPr="00396FEC">
        <w:rPr>
          <w:color w:val="000000"/>
          <w:sz w:val="24"/>
          <w:szCs w:val="24"/>
        </w:rPr>
        <w:t xml:space="preserve">information collected to </w:t>
      </w:r>
      <w:r>
        <w:rPr>
          <w:color w:val="000000"/>
          <w:sz w:val="24"/>
          <w:szCs w:val="24"/>
        </w:rPr>
        <w:t xml:space="preserve">submit the semi-annual report to DOL required by </w:t>
      </w:r>
      <w:r w:rsidRPr="00396FEC">
        <w:rPr>
          <w:color w:val="000000"/>
          <w:sz w:val="24"/>
          <w:szCs w:val="24"/>
        </w:rPr>
        <w:t xml:space="preserve">29 CFR 5.7(b). </w:t>
      </w:r>
    </w:p>
    <w:p w:rsidR="000F674B" w:rsidP="000F674B" w14:paraId="0E359FEE" w14:textId="77777777">
      <w:pPr>
        <w:tabs>
          <w:tab w:val="left" w:pos="360"/>
        </w:tabs>
        <w:ind w:left="360" w:hanging="360"/>
        <w:rPr>
          <w:sz w:val="24"/>
          <w:szCs w:val="24"/>
        </w:rPr>
      </w:pPr>
    </w:p>
    <w:p w:rsidR="000F674B" w:rsidRPr="006C7FAE" w:rsidP="000F674B" w14:paraId="0B71AD51"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0F674B" w:rsidP="000F674B" w14:paraId="2312B406" w14:textId="77777777">
      <w:pPr>
        <w:ind w:firstLine="360"/>
        <w:rPr>
          <w:color w:val="000000"/>
          <w:sz w:val="24"/>
          <w:szCs w:val="24"/>
        </w:rPr>
      </w:pPr>
    </w:p>
    <w:p w:rsidR="000F674B" w:rsidP="000F674B" w14:paraId="1F911B7B" w14:textId="77777777">
      <w:pPr>
        <w:ind w:firstLine="360"/>
        <w:rPr>
          <w:color w:val="000000"/>
          <w:sz w:val="24"/>
          <w:szCs w:val="24"/>
        </w:rPr>
      </w:pPr>
      <w:r>
        <w:rPr>
          <w:color w:val="000000"/>
          <w:sz w:val="24"/>
          <w:szCs w:val="24"/>
        </w:rPr>
        <w:t>HUD cannot collect the information from respondents using existing data sources.</w:t>
      </w:r>
    </w:p>
    <w:p w:rsidR="000F674B" w:rsidRPr="006C7FAE" w:rsidP="000F674B" w14:paraId="1CD7F43C" w14:textId="77777777">
      <w:pPr>
        <w:keepLines/>
        <w:tabs>
          <w:tab w:val="left" w:pos="360"/>
          <w:tab w:val="left" w:pos="720"/>
        </w:tabs>
        <w:ind w:left="360"/>
        <w:rPr>
          <w:sz w:val="24"/>
          <w:szCs w:val="24"/>
        </w:rPr>
      </w:pPr>
    </w:p>
    <w:p w:rsidR="000F674B" w:rsidRPr="006C7FAE" w:rsidP="000F674B" w14:paraId="23C15E44"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0F674B" w:rsidP="000F674B" w14:paraId="4C4A2095" w14:textId="77777777">
      <w:pPr>
        <w:ind w:firstLine="360"/>
        <w:rPr>
          <w:sz w:val="24"/>
          <w:szCs w:val="24"/>
        </w:rPr>
      </w:pPr>
    </w:p>
    <w:p w:rsidR="000F674B" w:rsidP="000F674B" w14:paraId="52D0D1B7" w14:textId="77777777">
      <w:pPr>
        <w:ind w:firstLine="360"/>
        <w:rPr>
          <w:color w:val="000000"/>
          <w:sz w:val="24"/>
          <w:szCs w:val="24"/>
        </w:rPr>
      </w:pPr>
      <w:r>
        <w:rPr>
          <w:color w:val="000000"/>
          <w:sz w:val="24"/>
          <w:szCs w:val="24"/>
        </w:rPr>
        <w:t xml:space="preserve">Small businesses and other small entities are not </w:t>
      </w:r>
      <w:r w:rsidRPr="00396FEC">
        <w:rPr>
          <w:color w:val="000000"/>
          <w:sz w:val="24"/>
          <w:szCs w:val="24"/>
        </w:rPr>
        <w:t>adversely impact</w:t>
      </w:r>
      <w:r>
        <w:rPr>
          <w:color w:val="000000"/>
          <w:sz w:val="24"/>
          <w:szCs w:val="24"/>
        </w:rPr>
        <w:t>ed</w:t>
      </w:r>
      <w:r w:rsidRPr="00396FEC">
        <w:rPr>
          <w:color w:val="000000"/>
          <w:sz w:val="24"/>
          <w:szCs w:val="24"/>
        </w:rPr>
        <w:t xml:space="preserve"> </w:t>
      </w:r>
      <w:r>
        <w:rPr>
          <w:color w:val="000000"/>
          <w:sz w:val="24"/>
          <w:szCs w:val="24"/>
        </w:rPr>
        <w:t>by this collection.</w:t>
      </w:r>
    </w:p>
    <w:p w:rsidR="000F674B" w:rsidP="000F674B" w14:paraId="300A2E4D" w14:textId="77777777">
      <w:pPr>
        <w:tabs>
          <w:tab w:val="left" w:pos="360"/>
        </w:tabs>
        <w:ind w:left="360" w:hanging="360"/>
        <w:rPr>
          <w:sz w:val="24"/>
          <w:szCs w:val="24"/>
        </w:rPr>
      </w:pPr>
      <w:r>
        <w:rPr>
          <w:sz w:val="24"/>
          <w:szCs w:val="24"/>
        </w:rPr>
        <w:tab/>
      </w:r>
    </w:p>
    <w:p w:rsidR="000F674B" w:rsidRPr="006C7FAE" w:rsidP="000F674B" w14:paraId="119F0B21"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0F674B" w:rsidP="000F674B" w14:paraId="1D7AAB96" w14:textId="77777777">
      <w:pPr>
        <w:ind w:right="144" w:firstLine="360"/>
        <w:rPr>
          <w:color w:val="000000"/>
          <w:sz w:val="24"/>
          <w:szCs w:val="24"/>
        </w:rPr>
      </w:pPr>
    </w:p>
    <w:p w:rsidR="000F674B" w:rsidP="000F674B" w14:paraId="06154E9F" w14:textId="77777777">
      <w:pPr>
        <w:ind w:left="360" w:right="144"/>
        <w:rPr>
          <w:color w:val="000000"/>
          <w:sz w:val="24"/>
          <w:szCs w:val="24"/>
        </w:rPr>
      </w:pPr>
      <w:r w:rsidRPr="008F57B2">
        <w:rPr>
          <w:color w:val="000000"/>
          <w:sz w:val="24"/>
          <w:szCs w:val="24"/>
        </w:rPr>
        <w:t>HUD will violate DOL semi-annual reporting requirements under the Davis-Bacon Act if the information is not collected.</w:t>
      </w:r>
    </w:p>
    <w:p w:rsidR="000F674B" w:rsidP="000F674B" w14:paraId="7A75D4EB" w14:textId="77777777">
      <w:pPr>
        <w:keepLines/>
        <w:tabs>
          <w:tab w:val="left" w:pos="360"/>
          <w:tab w:val="left" w:pos="720"/>
        </w:tabs>
        <w:ind w:left="360"/>
        <w:rPr>
          <w:sz w:val="24"/>
          <w:szCs w:val="24"/>
        </w:rPr>
      </w:pPr>
    </w:p>
    <w:p w:rsidR="00637D2A" w:rsidP="000F674B" w14:paraId="4970A396" w14:textId="77777777">
      <w:pPr>
        <w:keepLines/>
        <w:tabs>
          <w:tab w:val="left" w:pos="360"/>
          <w:tab w:val="left" w:pos="720"/>
        </w:tabs>
        <w:ind w:left="360"/>
        <w:rPr>
          <w:sz w:val="24"/>
          <w:szCs w:val="24"/>
        </w:rPr>
      </w:pPr>
    </w:p>
    <w:p w:rsidR="00637D2A" w:rsidP="000F674B" w14:paraId="22792136" w14:textId="77777777">
      <w:pPr>
        <w:keepLines/>
        <w:tabs>
          <w:tab w:val="left" w:pos="360"/>
          <w:tab w:val="left" w:pos="720"/>
        </w:tabs>
        <w:ind w:left="360"/>
        <w:rPr>
          <w:sz w:val="24"/>
          <w:szCs w:val="24"/>
        </w:rPr>
      </w:pPr>
    </w:p>
    <w:p w:rsidR="00637D2A" w:rsidRPr="006C7FAE" w:rsidP="000F674B" w14:paraId="2709C8F1" w14:textId="77777777">
      <w:pPr>
        <w:keepLines/>
        <w:tabs>
          <w:tab w:val="left" w:pos="360"/>
          <w:tab w:val="left" w:pos="720"/>
        </w:tabs>
        <w:ind w:left="360"/>
        <w:rPr>
          <w:sz w:val="24"/>
          <w:szCs w:val="24"/>
        </w:rPr>
      </w:pPr>
    </w:p>
    <w:p w:rsidR="000F674B" w:rsidP="000F674B" w14:paraId="15762D31" w14:textId="77777777">
      <w:pPr>
        <w:numPr>
          <w:ilvl w:val="0"/>
          <w:numId w:val="1"/>
        </w:numPr>
        <w:tabs>
          <w:tab w:val="left" w:pos="360"/>
        </w:tabs>
        <w:rPr>
          <w:sz w:val="24"/>
          <w:szCs w:val="24"/>
        </w:rPr>
      </w:pPr>
      <w:r w:rsidRPr="006C7FAE">
        <w:rPr>
          <w:sz w:val="24"/>
          <w:szCs w:val="24"/>
        </w:rPr>
        <w:t>Explain any special circumstances that would cause an information collection to be conducted in a manner:</w:t>
      </w:r>
    </w:p>
    <w:p w:rsidR="000F674B" w:rsidRPr="006C7FAE" w:rsidP="000F674B" w14:paraId="71B060FA" w14:textId="77777777">
      <w:pPr>
        <w:tabs>
          <w:tab w:val="left" w:pos="360"/>
        </w:tabs>
        <w:ind w:left="360"/>
        <w:rPr>
          <w:sz w:val="24"/>
          <w:szCs w:val="24"/>
        </w:rPr>
      </w:pPr>
      <w:r w:rsidRPr="006C7FAE">
        <w:rPr>
          <w:sz w:val="24"/>
          <w:szCs w:val="24"/>
        </w:rPr>
        <w:t xml:space="preserve"> </w:t>
      </w:r>
    </w:p>
    <w:p w:rsidR="000F674B" w:rsidRPr="00637D2A" w:rsidP="00755D6B" w14:paraId="133A8095" w14:textId="438ED626">
      <w:pPr>
        <w:numPr>
          <w:ilvl w:val="0"/>
          <w:numId w:val="2"/>
        </w:numPr>
        <w:tabs>
          <w:tab w:val="left" w:pos="600"/>
        </w:tabs>
        <w:rPr>
          <w:sz w:val="24"/>
          <w:szCs w:val="24"/>
        </w:rPr>
      </w:pPr>
      <w:r w:rsidRPr="00637D2A">
        <w:rPr>
          <w:sz w:val="24"/>
          <w:szCs w:val="24"/>
        </w:rPr>
        <w:t xml:space="preserve">requiring respondents to report information to the agency more than quarterly; </w:t>
      </w:r>
      <w:r w:rsidRPr="00637D2A">
        <w:rPr>
          <w:b/>
          <w:bCs/>
          <w:sz w:val="24"/>
          <w:szCs w:val="24"/>
        </w:rPr>
        <w:t>Not applicable</w:t>
      </w:r>
      <w:r w:rsidRPr="00637D2A">
        <w:rPr>
          <w:sz w:val="24"/>
          <w:szCs w:val="24"/>
        </w:rPr>
        <w:t xml:space="preserve">. </w:t>
      </w:r>
    </w:p>
    <w:p w:rsidR="00FF1533" w:rsidP="000F674B" w14:paraId="4FAA0D41" w14:textId="77777777">
      <w:pPr>
        <w:tabs>
          <w:tab w:val="left" w:pos="600"/>
        </w:tabs>
        <w:ind w:left="684"/>
        <w:rPr>
          <w:sz w:val="24"/>
          <w:szCs w:val="24"/>
        </w:rPr>
      </w:pPr>
    </w:p>
    <w:p w:rsidR="000F674B" w:rsidRPr="00637D2A" w:rsidP="001D73EE" w14:paraId="76F68D35" w14:textId="6A58F937">
      <w:pPr>
        <w:numPr>
          <w:ilvl w:val="0"/>
          <w:numId w:val="2"/>
        </w:numPr>
        <w:tabs>
          <w:tab w:val="left" w:pos="600"/>
        </w:tabs>
        <w:rPr>
          <w:sz w:val="24"/>
          <w:szCs w:val="24"/>
        </w:rPr>
      </w:pPr>
      <w:r w:rsidRPr="00637D2A">
        <w:rPr>
          <w:sz w:val="24"/>
          <w:szCs w:val="24"/>
        </w:rPr>
        <w:t xml:space="preserve">requiring respondents to prepare a written response to a collection of information in fewer than 30 days after receipt of it; </w:t>
      </w:r>
      <w:r w:rsidRPr="00637D2A">
        <w:rPr>
          <w:b/>
          <w:bCs/>
          <w:sz w:val="24"/>
          <w:szCs w:val="24"/>
        </w:rPr>
        <w:t>Not applicable</w:t>
      </w:r>
      <w:r w:rsidRPr="00637D2A">
        <w:rPr>
          <w:sz w:val="24"/>
          <w:szCs w:val="24"/>
        </w:rPr>
        <w:t>.</w:t>
      </w:r>
    </w:p>
    <w:p w:rsidR="00FF1533" w:rsidP="000F674B" w14:paraId="62C965CA" w14:textId="77777777">
      <w:pPr>
        <w:pStyle w:val="ListParagraph"/>
        <w:rPr>
          <w:sz w:val="24"/>
          <w:szCs w:val="24"/>
        </w:rPr>
      </w:pPr>
    </w:p>
    <w:p w:rsidR="000F674B" w:rsidRPr="00637D2A" w:rsidP="009027FB" w14:paraId="2A1A2B1F" w14:textId="0A57487D">
      <w:pPr>
        <w:numPr>
          <w:ilvl w:val="0"/>
          <w:numId w:val="2"/>
        </w:numPr>
        <w:tabs>
          <w:tab w:val="left" w:pos="600"/>
        </w:tabs>
        <w:rPr>
          <w:sz w:val="24"/>
          <w:szCs w:val="24"/>
        </w:rPr>
      </w:pPr>
      <w:r w:rsidRPr="00637D2A">
        <w:rPr>
          <w:sz w:val="24"/>
          <w:szCs w:val="24"/>
        </w:rPr>
        <w:t xml:space="preserve">requiring respondents to submit more than an original and two copies of any document; </w:t>
      </w:r>
      <w:r w:rsidRPr="00637D2A">
        <w:rPr>
          <w:b/>
          <w:bCs/>
          <w:sz w:val="24"/>
          <w:szCs w:val="24"/>
        </w:rPr>
        <w:t>Not applicable</w:t>
      </w:r>
      <w:r w:rsidRPr="00637D2A">
        <w:rPr>
          <w:sz w:val="24"/>
          <w:szCs w:val="24"/>
        </w:rPr>
        <w:t>.</w:t>
      </w:r>
    </w:p>
    <w:p w:rsidR="00FF1533" w:rsidP="000F674B" w14:paraId="1343E855" w14:textId="77777777">
      <w:pPr>
        <w:pStyle w:val="ListParagraph"/>
        <w:rPr>
          <w:sz w:val="24"/>
          <w:szCs w:val="24"/>
        </w:rPr>
      </w:pPr>
    </w:p>
    <w:p w:rsidR="000F674B" w:rsidRPr="00637D2A" w:rsidP="002C643B" w14:paraId="7E799E26" w14:textId="2AD3031A">
      <w:pPr>
        <w:numPr>
          <w:ilvl w:val="0"/>
          <w:numId w:val="2"/>
        </w:numPr>
        <w:tabs>
          <w:tab w:val="left" w:pos="600"/>
        </w:tabs>
        <w:rPr>
          <w:sz w:val="24"/>
          <w:szCs w:val="24"/>
        </w:rPr>
      </w:pPr>
      <w:r w:rsidRPr="00637D2A">
        <w:rPr>
          <w:sz w:val="24"/>
          <w:szCs w:val="24"/>
        </w:rPr>
        <w:t xml:space="preserve">requiring respondents to retain records other than health, medical, government contract, grant-in-aid, or tax records for more than three years; </w:t>
      </w:r>
      <w:r w:rsidRPr="00637D2A">
        <w:rPr>
          <w:b/>
          <w:bCs/>
          <w:sz w:val="24"/>
          <w:szCs w:val="24"/>
        </w:rPr>
        <w:t>Not applicable</w:t>
      </w:r>
      <w:r w:rsidRPr="00637D2A">
        <w:rPr>
          <w:sz w:val="24"/>
          <w:szCs w:val="24"/>
        </w:rPr>
        <w:t>.</w:t>
      </w:r>
    </w:p>
    <w:p w:rsidR="00FF1533" w:rsidP="000F674B" w14:paraId="1F57FCC6" w14:textId="77777777">
      <w:pPr>
        <w:tabs>
          <w:tab w:val="left" w:pos="600"/>
        </w:tabs>
        <w:ind w:left="684"/>
        <w:rPr>
          <w:sz w:val="24"/>
          <w:szCs w:val="24"/>
        </w:rPr>
      </w:pPr>
    </w:p>
    <w:p w:rsidR="000F674B" w:rsidRPr="00637D2A" w:rsidP="000B397E" w14:paraId="2F86A090" w14:textId="1A5CFA43">
      <w:pPr>
        <w:numPr>
          <w:ilvl w:val="0"/>
          <w:numId w:val="2"/>
        </w:numPr>
        <w:tabs>
          <w:tab w:val="left" w:pos="600"/>
        </w:tabs>
        <w:rPr>
          <w:sz w:val="24"/>
          <w:szCs w:val="24"/>
        </w:rPr>
      </w:pPr>
      <w:r w:rsidRPr="00637D2A">
        <w:rPr>
          <w:sz w:val="24"/>
          <w:szCs w:val="24"/>
        </w:rPr>
        <w:t>in connection with a statistical survey, that is not designed to produce valid and reliable results than can be generalized to the universe of study;</w:t>
      </w:r>
      <w:r w:rsidR="00637D2A">
        <w:rPr>
          <w:sz w:val="24"/>
          <w:szCs w:val="24"/>
        </w:rPr>
        <w:t xml:space="preserve"> </w:t>
      </w:r>
      <w:r w:rsidRPr="00637D2A">
        <w:rPr>
          <w:b/>
          <w:bCs/>
          <w:sz w:val="24"/>
          <w:szCs w:val="24"/>
        </w:rPr>
        <w:t>Not applicable</w:t>
      </w:r>
      <w:r w:rsidRPr="00637D2A">
        <w:rPr>
          <w:sz w:val="24"/>
          <w:szCs w:val="24"/>
        </w:rPr>
        <w:t xml:space="preserve">. </w:t>
      </w:r>
    </w:p>
    <w:p w:rsidR="00FF1533" w:rsidRPr="006C7FAE" w:rsidP="000F674B" w14:paraId="6677DDBA" w14:textId="77777777">
      <w:pPr>
        <w:tabs>
          <w:tab w:val="left" w:pos="600"/>
        </w:tabs>
        <w:ind w:left="684"/>
        <w:rPr>
          <w:sz w:val="24"/>
          <w:szCs w:val="24"/>
        </w:rPr>
      </w:pPr>
    </w:p>
    <w:p w:rsidR="000F674B" w:rsidRPr="00637D2A" w:rsidP="007A6005" w14:paraId="25243DB7" w14:textId="5BBCABBA">
      <w:pPr>
        <w:numPr>
          <w:ilvl w:val="0"/>
          <w:numId w:val="2"/>
        </w:numPr>
        <w:tabs>
          <w:tab w:val="left" w:pos="600"/>
        </w:tabs>
        <w:rPr>
          <w:sz w:val="24"/>
          <w:szCs w:val="24"/>
        </w:rPr>
      </w:pPr>
      <w:r w:rsidRPr="00637D2A">
        <w:rPr>
          <w:sz w:val="24"/>
          <w:szCs w:val="24"/>
        </w:rPr>
        <w:t>requiring the use of a statistical data classification that has not been reviewed and approved by OMB;</w:t>
      </w:r>
      <w:r w:rsidRPr="00637D2A" w:rsidR="00637D2A">
        <w:rPr>
          <w:sz w:val="24"/>
          <w:szCs w:val="24"/>
        </w:rPr>
        <w:t xml:space="preserve"> </w:t>
      </w:r>
      <w:r w:rsidRPr="00637D2A">
        <w:rPr>
          <w:b/>
          <w:bCs/>
          <w:sz w:val="24"/>
          <w:szCs w:val="24"/>
        </w:rPr>
        <w:t>Not applicable</w:t>
      </w:r>
      <w:r w:rsidRPr="00637D2A">
        <w:rPr>
          <w:sz w:val="24"/>
          <w:szCs w:val="24"/>
        </w:rPr>
        <w:t>.</w:t>
      </w:r>
    </w:p>
    <w:p w:rsidR="00FF1533" w:rsidP="000F674B" w14:paraId="2B4C3C54" w14:textId="77777777">
      <w:pPr>
        <w:tabs>
          <w:tab w:val="left" w:pos="600"/>
        </w:tabs>
        <w:ind w:left="684"/>
        <w:rPr>
          <w:sz w:val="24"/>
          <w:szCs w:val="24"/>
        </w:rPr>
      </w:pPr>
    </w:p>
    <w:p w:rsidR="000F674B" w:rsidP="00637D2A" w14:paraId="5F791B85" w14:textId="6B2C40E6">
      <w:pPr>
        <w:tabs>
          <w:tab w:val="left" w:pos="600"/>
        </w:tabs>
        <w:ind w:left="684"/>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637D2A">
        <w:rPr>
          <w:b/>
          <w:bCs/>
          <w:sz w:val="24"/>
          <w:szCs w:val="24"/>
        </w:rPr>
        <w:t>Not</w:t>
      </w:r>
      <w:r w:rsidRPr="00637D2A">
        <w:rPr>
          <w:b/>
          <w:bCs/>
          <w:sz w:val="24"/>
          <w:szCs w:val="24"/>
        </w:rPr>
        <w:t xml:space="preserve"> applicable</w:t>
      </w:r>
      <w:r>
        <w:rPr>
          <w:sz w:val="24"/>
          <w:szCs w:val="24"/>
        </w:rPr>
        <w:t>.</w:t>
      </w:r>
    </w:p>
    <w:p w:rsidR="00FF1533" w:rsidP="000F674B" w14:paraId="5834AC88" w14:textId="77777777">
      <w:pPr>
        <w:keepLines/>
        <w:tabs>
          <w:tab w:val="left" w:pos="600"/>
        </w:tabs>
        <w:spacing w:after="80"/>
        <w:ind w:left="684"/>
        <w:rPr>
          <w:sz w:val="24"/>
          <w:szCs w:val="24"/>
        </w:rPr>
      </w:pPr>
    </w:p>
    <w:p w:rsidR="000F674B" w:rsidRPr="00637D2A" w:rsidP="00566461" w14:paraId="5C84B397" w14:textId="2C145F8A">
      <w:pPr>
        <w:keepLines/>
        <w:numPr>
          <w:ilvl w:val="0"/>
          <w:numId w:val="2"/>
        </w:numPr>
        <w:tabs>
          <w:tab w:val="left" w:pos="600"/>
        </w:tabs>
        <w:spacing w:after="80"/>
        <w:rPr>
          <w:sz w:val="24"/>
          <w:szCs w:val="24"/>
        </w:rPr>
      </w:pPr>
      <w:r w:rsidRPr="00637D2A">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37D2A" w:rsidR="00637D2A">
        <w:rPr>
          <w:sz w:val="24"/>
          <w:szCs w:val="24"/>
        </w:rPr>
        <w:t xml:space="preserve"> </w:t>
      </w:r>
      <w:r w:rsidRPr="00637D2A">
        <w:rPr>
          <w:b/>
          <w:bCs/>
          <w:sz w:val="24"/>
          <w:szCs w:val="24"/>
        </w:rPr>
        <w:t>Not applicable</w:t>
      </w:r>
      <w:r w:rsidRPr="00637D2A">
        <w:rPr>
          <w:sz w:val="24"/>
          <w:szCs w:val="24"/>
        </w:rPr>
        <w:t>.</w:t>
      </w:r>
    </w:p>
    <w:p w:rsidR="00FF1533" w:rsidRPr="006C7FAE" w:rsidP="000F674B" w14:paraId="3D5C01CC" w14:textId="77777777">
      <w:pPr>
        <w:tabs>
          <w:tab w:val="left" w:pos="360"/>
        </w:tabs>
        <w:ind w:left="684"/>
        <w:rPr>
          <w:sz w:val="24"/>
          <w:szCs w:val="24"/>
        </w:rPr>
      </w:pPr>
    </w:p>
    <w:p w:rsidR="000F674B" w:rsidP="000F674B" w14:paraId="69EAA043" w14:textId="77777777">
      <w:pPr>
        <w:numPr>
          <w:ilvl w:val="0"/>
          <w:numId w:val="1"/>
        </w:numPr>
        <w:tabs>
          <w:tab w:val="left" w:pos="360"/>
        </w:tabs>
        <w:rPr>
          <w:sz w:val="24"/>
          <w:szCs w:val="24"/>
        </w:rPr>
      </w:pPr>
      <w:r w:rsidRPr="006C7FAE">
        <w:rPr>
          <w:sz w:val="24"/>
          <w:szCs w:val="24"/>
        </w:rPr>
        <w:t xml:space="preserve">If applicable, provide a copy and identify the date and page number of </w:t>
      </w:r>
      <w:r w:rsidRPr="006C7FAE">
        <w:rPr>
          <w:sz w:val="24"/>
          <w:szCs w:val="24"/>
        </w:rPr>
        <w:t>publication</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F674B" w:rsidP="000F674B" w14:paraId="69132692" w14:textId="77777777">
      <w:pPr>
        <w:tabs>
          <w:tab w:val="left" w:pos="360"/>
        </w:tabs>
        <w:rPr>
          <w:sz w:val="24"/>
          <w:szCs w:val="24"/>
        </w:rPr>
      </w:pPr>
    </w:p>
    <w:p w:rsidR="000F674B" w:rsidRPr="006C7FAE" w:rsidP="000F674B" w14:paraId="5EAB609F" w14:textId="3CC767E9">
      <w:pPr>
        <w:tabs>
          <w:tab w:val="left" w:pos="360"/>
        </w:tabs>
        <w:ind w:left="360"/>
        <w:rPr>
          <w:sz w:val="24"/>
          <w:szCs w:val="24"/>
        </w:rPr>
      </w:pPr>
    </w:p>
    <w:p w:rsidR="000F674B" w:rsidRPr="006C7FAE" w:rsidP="000F674B" w14:paraId="6FA691A5" w14:textId="77777777">
      <w:pPr>
        <w:numPr>
          <w:ilvl w:val="0"/>
          <w:numId w:val="2"/>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F674B" w:rsidP="000F674B" w14:paraId="642E57A2" w14:textId="77777777">
      <w:pPr>
        <w:keepLines/>
        <w:tabs>
          <w:tab w:val="left" w:pos="360"/>
        </w:tabs>
        <w:spacing w:after="80"/>
        <w:ind w:left="480"/>
        <w:rPr>
          <w:sz w:val="24"/>
          <w:szCs w:val="24"/>
        </w:rPr>
      </w:pPr>
      <w:r>
        <w:rPr>
          <w:sz w:val="24"/>
          <w:szCs w:val="24"/>
        </w:rPr>
        <w:t xml:space="preserve">HUD consulted with state and local agencies to obtain feedback regarding updated reporting procedures.  </w:t>
      </w:r>
    </w:p>
    <w:p w:rsidR="000F674B" w:rsidP="000F674B" w14:paraId="60E4C2E2" w14:textId="77777777">
      <w:pPr>
        <w:keepLines/>
        <w:tabs>
          <w:tab w:val="left" w:pos="360"/>
        </w:tabs>
        <w:spacing w:after="80"/>
        <w:ind w:left="480"/>
        <w:rPr>
          <w:sz w:val="24"/>
          <w:szCs w:val="24"/>
        </w:rPr>
      </w:pPr>
    </w:p>
    <w:p w:rsidR="000F674B" w:rsidP="000F674B" w14:paraId="43153A8F" w14:textId="77777777">
      <w:pPr>
        <w:keepLines/>
        <w:numPr>
          <w:ilvl w:val="0"/>
          <w:numId w:val="2"/>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0F674B" w:rsidP="000F674B" w14:paraId="20744D5A" w14:textId="77777777">
      <w:pPr>
        <w:keepLines/>
        <w:tabs>
          <w:tab w:val="left" w:pos="360"/>
        </w:tabs>
        <w:spacing w:after="80"/>
        <w:ind w:left="480"/>
        <w:rPr>
          <w:sz w:val="24"/>
          <w:szCs w:val="24"/>
        </w:rPr>
      </w:pPr>
      <w:r>
        <w:rPr>
          <w:sz w:val="24"/>
          <w:szCs w:val="24"/>
        </w:rPr>
        <w:t>HUD consulted representatives who compile the information.</w:t>
      </w:r>
    </w:p>
    <w:p w:rsidR="00CF1CE5" w:rsidP="000F674B" w14:paraId="4A6DA4A7" w14:textId="77777777">
      <w:pPr>
        <w:keepLines/>
        <w:tabs>
          <w:tab w:val="left" w:pos="360"/>
        </w:tabs>
        <w:spacing w:after="80"/>
        <w:ind w:left="480"/>
        <w:rPr>
          <w:sz w:val="24"/>
          <w:szCs w:val="24"/>
        </w:rPr>
      </w:pPr>
    </w:p>
    <w:p w:rsidR="00CF1CE5" w:rsidRPr="006C7FAE" w:rsidP="00637D2A" w14:paraId="58600D76" w14:textId="75E53723">
      <w:pPr>
        <w:tabs>
          <w:tab w:val="left" w:pos="360"/>
        </w:tabs>
        <w:ind w:left="480"/>
        <w:rPr>
          <w:sz w:val="24"/>
          <w:szCs w:val="24"/>
        </w:rPr>
      </w:pPr>
      <w:r w:rsidRPr="00406B39">
        <w:rPr>
          <w:rStyle w:val="cf01"/>
          <w:rFonts w:ascii="Times New Roman" w:hAnsi="Times New Roman" w:cs="Times New Roman"/>
          <w:sz w:val="24"/>
          <w:szCs w:val="24"/>
        </w:rPr>
        <w:t xml:space="preserve">In accordance with 5 CFR 1320.8(d), the agency’s notice announcing this collection of information appeared in the Federal Register on </w:t>
      </w:r>
      <w:r w:rsidRPr="00EF2F2E" w:rsidR="006A287B">
        <w:rPr>
          <w:color w:val="000000"/>
          <w:sz w:val="24"/>
          <w:szCs w:val="24"/>
        </w:rPr>
        <w:t>June 11, 2024 (89 FR 49182)</w:t>
      </w:r>
      <w:r w:rsidR="00BA3DAD">
        <w:rPr>
          <w:color w:val="000000"/>
          <w:sz w:val="24"/>
          <w:szCs w:val="24"/>
        </w:rPr>
        <w:t xml:space="preserve">. </w:t>
      </w:r>
      <w:r w:rsidRPr="00EF2F2E" w:rsidR="006A287B">
        <w:rPr>
          <w:color w:val="000000"/>
          <w:sz w:val="24"/>
          <w:szCs w:val="24"/>
        </w:rPr>
        <w:t>The public was given until August 12, 2024</w:t>
      </w:r>
      <w:r w:rsidR="002977E0">
        <w:rPr>
          <w:color w:val="000000"/>
          <w:sz w:val="24"/>
          <w:szCs w:val="24"/>
        </w:rPr>
        <w:t>,</w:t>
      </w:r>
      <w:r w:rsidRPr="00EF2F2E" w:rsidR="006A287B">
        <w:rPr>
          <w:color w:val="000000"/>
          <w:sz w:val="24"/>
          <w:szCs w:val="24"/>
        </w:rPr>
        <w:t xml:space="preserve"> to submit comments on the proposed info</w:t>
      </w:r>
      <w:r w:rsidRPr="00EF2F2E" w:rsidR="002977E0">
        <w:rPr>
          <w:color w:val="000000"/>
          <w:sz w:val="24"/>
          <w:szCs w:val="24"/>
        </w:rPr>
        <w:t>rmation collection</w:t>
      </w:r>
      <w:r w:rsidRPr="00EF2F2E" w:rsidR="006A287B">
        <w:rPr>
          <w:color w:val="000000"/>
          <w:sz w:val="24"/>
          <w:szCs w:val="24"/>
        </w:rPr>
        <w:t>.</w:t>
      </w:r>
      <w:r w:rsidRPr="006A287B" w:rsidR="006A287B">
        <w:rPr>
          <w:color w:val="000000"/>
          <w:sz w:val="24"/>
          <w:szCs w:val="24"/>
        </w:rPr>
        <w:t xml:space="preserve"> No comments or questions were received.</w:t>
      </w:r>
    </w:p>
    <w:p w:rsidR="000F674B" w:rsidRPr="006C7FAE" w:rsidP="000F674B" w14:paraId="28C84186" w14:textId="77777777">
      <w:pPr>
        <w:tabs>
          <w:tab w:val="left" w:pos="360"/>
        </w:tabs>
        <w:ind w:left="360" w:hanging="360"/>
        <w:rPr>
          <w:sz w:val="24"/>
          <w:szCs w:val="24"/>
        </w:rPr>
      </w:pPr>
      <w:r>
        <w:rPr>
          <w:sz w:val="24"/>
          <w:szCs w:val="24"/>
        </w:rPr>
        <w:tab/>
      </w:r>
    </w:p>
    <w:p w:rsidR="000F674B" w:rsidRPr="006C7FAE" w:rsidP="000F674B" w14:paraId="258684A1"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4B4DD9" w:rsidP="000F674B" w14:paraId="7E8E2477" w14:textId="77777777">
      <w:pPr>
        <w:tabs>
          <w:tab w:val="left" w:pos="360"/>
        </w:tabs>
        <w:ind w:left="360" w:hanging="360"/>
        <w:rPr>
          <w:sz w:val="24"/>
          <w:szCs w:val="24"/>
        </w:rPr>
      </w:pPr>
      <w:r>
        <w:rPr>
          <w:sz w:val="24"/>
          <w:szCs w:val="24"/>
        </w:rPr>
        <w:tab/>
      </w:r>
    </w:p>
    <w:p w:rsidR="000F674B" w:rsidP="000F674B" w14:paraId="349ACAE3" w14:textId="2E19EA55">
      <w:pPr>
        <w:tabs>
          <w:tab w:val="left" w:pos="360"/>
        </w:tabs>
        <w:ind w:left="360" w:hanging="360"/>
        <w:rPr>
          <w:color w:val="000000"/>
          <w:spacing w:val="-1"/>
          <w:sz w:val="24"/>
          <w:szCs w:val="24"/>
        </w:rPr>
      </w:pPr>
      <w:r>
        <w:rPr>
          <w:sz w:val="24"/>
          <w:szCs w:val="24"/>
        </w:rPr>
        <w:tab/>
      </w:r>
      <w:r w:rsidRPr="00396FEC">
        <w:rPr>
          <w:color w:val="000000"/>
          <w:spacing w:val="-1"/>
          <w:sz w:val="24"/>
          <w:szCs w:val="24"/>
        </w:rPr>
        <w:t>There are no payments or gifts to respondents.</w:t>
      </w:r>
    </w:p>
    <w:p w:rsidR="000F674B" w:rsidRPr="006C7FAE" w:rsidP="000F674B" w14:paraId="31663B5C" w14:textId="77777777">
      <w:pPr>
        <w:tabs>
          <w:tab w:val="left" w:pos="360"/>
        </w:tabs>
        <w:ind w:left="360" w:hanging="360"/>
        <w:rPr>
          <w:sz w:val="24"/>
          <w:szCs w:val="24"/>
        </w:rPr>
      </w:pPr>
    </w:p>
    <w:p w:rsidR="000F674B" w:rsidRPr="00EF2F2E" w:rsidP="00EF2F2E" w14:paraId="3A000A8B" w14:textId="0FC4F93C">
      <w:pPr>
        <w:pStyle w:val="ListParagraph"/>
        <w:keepLines/>
        <w:numPr>
          <w:ilvl w:val="0"/>
          <w:numId w:val="9"/>
        </w:numPr>
        <w:tabs>
          <w:tab w:val="left" w:pos="360"/>
        </w:tabs>
        <w:spacing w:after="80"/>
        <w:ind w:left="360"/>
        <w:rPr>
          <w:sz w:val="24"/>
          <w:szCs w:val="24"/>
        </w:rPr>
      </w:pPr>
      <w:r w:rsidRPr="00EF2F2E">
        <w:rPr>
          <w:sz w:val="24"/>
          <w:szCs w:val="24"/>
        </w:rPr>
        <w:t>Describe any assurance of confidentiality provided to respondents and the basis for assurance in statute, regulation or agency policy.</w:t>
      </w:r>
      <w:r w:rsidRPr="000D5079">
        <w:t xml:space="preserve"> </w:t>
      </w:r>
      <w:r w:rsidRPr="00EF2F2E">
        <w:rPr>
          <w:sz w:val="24"/>
          <w:szCs w:val="24"/>
        </w:rPr>
        <w:t>If the collection requires a system of records notice (SORN) or privacy impact assessment (PIA), those should be cited and described here.</w:t>
      </w:r>
    </w:p>
    <w:p w:rsidR="00846578" w:rsidRPr="00846578" w:rsidP="00846578" w14:paraId="291F20F3" w14:textId="77777777">
      <w:pPr>
        <w:pStyle w:val="ListParagraph"/>
        <w:keepLines/>
        <w:tabs>
          <w:tab w:val="left" w:pos="360"/>
        </w:tabs>
        <w:spacing w:after="80"/>
        <w:ind w:left="360"/>
        <w:rPr>
          <w:sz w:val="24"/>
          <w:szCs w:val="24"/>
        </w:rPr>
      </w:pPr>
    </w:p>
    <w:p w:rsidR="000F674B" w:rsidP="000F674B" w14:paraId="2EA15355" w14:textId="77777777">
      <w:pPr>
        <w:tabs>
          <w:tab w:val="left" w:pos="360"/>
        </w:tabs>
        <w:ind w:left="360" w:hanging="360"/>
        <w:rPr>
          <w:color w:val="000000"/>
          <w:spacing w:val="-1"/>
          <w:sz w:val="24"/>
          <w:szCs w:val="24"/>
        </w:rPr>
      </w:pPr>
      <w:r>
        <w:rPr>
          <w:sz w:val="24"/>
          <w:szCs w:val="24"/>
        </w:rPr>
        <w:tab/>
      </w:r>
      <w:r>
        <w:rPr>
          <w:color w:val="000000"/>
          <w:spacing w:val="-1"/>
          <w:sz w:val="24"/>
          <w:szCs w:val="24"/>
        </w:rPr>
        <w:t xml:space="preserve">Respondents have no </w:t>
      </w:r>
      <w:r w:rsidRPr="00396FEC">
        <w:rPr>
          <w:color w:val="000000"/>
          <w:spacing w:val="-1"/>
          <w:sz w:val="24"/>
          <w:szCs w:val="24"/>
        </w:rPr>
        <w:t>assurance of confidentiality.</w:t>
      </w:r>
    </w:p>
    <w:p w:rsidR="000F674B" w:rsidRPr="006C7FAE" w:rsidP="000F674B" w14:paraId="7E06BFBD" w14:textId="77777777">
      <w:pPr>
        <w:tabs>
          <w:tab w:val="left" w:pos="360"/>
        </w:tabs>
        <w:ind w:left="360" w:hanging="360"/>
        <w:rPr>
          <w:sz w:val="24"/>
          <w:szCs w:val="24"/>
        </w:rPr>
      </w:pPr>
    </w:p>
    <w:p w:rsidR="000F674B" w:rsidRPr="00846578" w:rsidP="00EF2F2E" w14:paraId="63F6AA06" w14:textId="216E7044">
      <w:pPr>
        <w:pStyle w:val="ListParagraph"/>
        <w:keepLines/>
        <w:numPr>
          <w:ilvl w:val="0"/>
          <w:numId w:val="9"/>
        </w:numPr>
        <w:tabs>
          <w:tab w:val="left" w:pos="360"/>
        </w:tabs>
        <w:spacing w:after="80"/>
        <w:ind w:left="360"/>
        <w:rPr>
          <w:sz w:val="24"/>
          <w:szCs w:val="24"/>
        </w:rPr>
      </w:pPr>
      <w:r w:rsidRPr="00846578">
        <w:rPr>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46578" w:rsidRPr="00846578" w:rsidP="00846578" w14:paraId="4F76F3A9" w14:textId="77777777">
      <w:pPr>
        <w:pStyle w:val="ListParagraph"/>
        <w:keepLines/>
        <w:tabs>
          <w:tab w:val="left" w:pos="360"/>
        </w:tabs>
        <w:spacing w:after="80"/>
        <w:ind w:left="360"/>
        <w:rPr>
          <w:sz w:val="24"/>
          <w:szCs w:val="24"/>
        </w:rPr>
      </w:pPr>
    </w:p>
    <w:p w:rsidR="000F674B" w:rsidP="000F674B" w14:paraId="08E58578" w14:textId="77777777">
      <w:pPr>
        <w:ind w:firstLine="360"/>
        <w:rPr>
          <w:color w:val="000000"/>
          <w:sz w:val="24"/>
          <w:szCs w:val="24"/>
        </w:rPr>
      </w:pPr>
      <w:r>
        <w:rPr>
          <w:color w:val="000000"/>
          <w:sz w:val="24"/>
          <w:szCs w:val="24"/>
        </w:rPr>
        <w:t xml:space="preserve">This collection has no </w:t>
      </w:r>
      <w:r w:rsidRPr="00396FEC">
        <w:rPr>
          <w:color w:val="000000"/>
          <w:sz w:val="24"/>
          <w:szCs w:val="24"/>
        </w:rPr>
        <w:t>questions of a sensitive nature</w:t>
      </w:r>
      <w:r>
        <w:rPr>
          <w:color w:val="000000"/>
          <w:sz w:val="24"/>
          <w:szCs w:val="24"/>
        </w:rPr>
        <w:t>.</w:t>
      </w:r>
    </w:p>
    <w:p w:rsidR="000F674B" w:rsidP="000F674B" w14:paraId="683E058A" w14:textId="77777777">
      <w:pPr>
        <w:tabs>
          <w:tab w:val="left" w:pos="360"/>
        </w:tabs>
        <w:ind w:left="360" w:hanging="360"/>
        <w:rPr>
          <w:sz w:val="24"/>
          <w:szCs w:val="24"/>
        </w:rPr>
      </w:pPr>
    </w:p>
    <w:p w:rsidR="000F674B" w:rsidP="000F674B" w14:paraId="2E675AC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0F674B" w:rsidRPr="006C7FAE" w:rsidP="000F674B" w14:paraId="4E121706" w14:textId="77777777">
      <w:pPr>
        <w:tabs>
          <w:tab w:val="left" w:pos="360"/>
        </w:tabs>
        <w:ind w:left="360" w:hanging="360"/>
        <w:rPr>
          <w:sz w:val="24"/>
          <w:szCs w:val="24"/>
        </w:rPr>
      </w:pPr>
      <w:r w:rsidRPr="006C7FAE">
        <w:rPr>
          <w:sz w:val="24"/>
          <w:szCs w:val="24"/>
        </w:rPr>
        <w:t xml:space="preserve"> </w:t>
      </w:r>
    </w:p>
    <w:p w:rsidR="000F674B" w:rsidRPr="006C7FAE" w:rsidP="000F674B" w14:paraId="270A2AC1" w14:textId="77777777">
      <w:pPr>
        <w:numPr>
          <w:ilvl w:val="0"/>
          <w:numId w:val="2"/>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w:t>
      </w:r>
      <w:r w:rsidRPr="00565D65">
        <w:rPr>
          <w:sz w:val="24"/>
          <w:szCs w:val="24"/>
        </w:rPr>
        <w:t>of how the burden was estimated.</w:t>
      </w:r>
      <w:r w:rsidRPr="006C7FAE">
        <w:rPr>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6C7FAE">
        <w:rPr>
          <w:sz w:val="24"/>
          <w:szCs w:val="24"/>
        </w:rPr>
        <w:t>practices;</w:t>
      </w:r>
      <w:r w:rsidRPr="006C7FAE">
        <w:rPr>
          <w:sz w:val="24"/>
          <w:szCs w:val="24"/>
        </w:rPr>
        <w:t xml:space="preserve"> </w:t>
      </w:r>
    </w:p>
    <w:p w:rsidR="000F674B" w:rsidRPr="006C7FAE" w:rsidP="000F674B" w14:paraId="4C170554" w14:textId="77777777">
      <w:pPr>
        <w:numPr>
          <w:ilvl w:val="0"/>
          <w:numId w:val="2"/>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Pr>
          <w:sz w:val="24"/>
          <w:szCs w:val="24"/>
        </w:rPr>
        <w:t>chart below</w:t>
      </w:r>
      <w:r w:rsidRPr="006C7FAE">
        <w:rPr>
          <w:sz w:val="24"/>
          <w:szCs w:val="24"/>
        </w:rPr>
        <w:t xml:space="preserve">; and </w:t>
      </w:r>
    </w:p>
    <w:p w:rsidR="000F674B" w:rsidP="000F674B" w14:paraId="2A3451D7" w14:textId="77777777">
      <w:pPr>
        <w:keepLines/>
        <w:numPr>
          <w:ilvl w:val="0"/>
          <w:numId w:val="2"/>
        </w:numPr>
        <w:tabs>
          <w:tab w:val="left" w:pos="480"/>
        </w:tabs>
        <w:spacing w:after="80"/>
        <w:ind w:left="480"/>
        <w:rPr>
          <w:sz w:val="24"/>
          <w:szCs w:val="24"/>
        </w:rPr>
      </w:pPr>
      <w:r>
        <w:rPr>
          <w:sz w:val="24"/>
          <w:szCs w:val="24"/>
        </w:rPr>
        <w:t>P</w:t>
      </w:r>
      <w:r w:rsidRPr="006C7FAE">
        <w:rPr>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F674B" w:rsidRPr="006C7FAE" w:rsidP="000F674B" w14:paraId="34347548" w14:textId="77777777">
      <w:pPr>
        <w:keepLines/>
        <w:tabs>
          <w:tab w:val="left" w:pos="480"/>
        </w:tabs>
        <w:spacing w:after="80"/>
        <w:ind w:left="480"/>
        <w:rPr>
          <w:sz w:val="24"/>
          <w:szCs w:val="24"/>
        </w:rPr>
      </w:pPr>
    </w:p>
    <w:p w:rsidR="000F674B" w:rsidRPr="006C7FAE" w:rsidP="000F674B" w14:paraId="5B840C45"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9472" w:type="dxa"/>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363"/>
        <w:gridCol w:w="1335"/>
        <w:gridCol w:w="1152"/>
        <w:gridCol w:w="1118"/>
        <w:gridCol w:w="1038"/>
        <w:gridCol w:w="879"/>
        <w:gridCol w:w="1371"/>
        <w:gridCol w:w="1216"/>
      </w:tblGrid>
      <w:tr w14:paraId="4476FF36" w14:textId="77777777" w:rsidTr="005A70FF">
        <w:tblPrEx>
          <w:tblW w:w="9472" w:type="dxa"/>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363" w:type="dxa"/>
            <w:tcMar>
              <w:top w:w="0" w:type="dxa"/>
              <w:left w:w="108" w:type="dxa"/>
              <w:bottom w:w="0" w:type="dxa"/>
              <w:right w:w="108" w:type="dxa"/>
            </w:tcMar>
            <w:hideMark/>
          </w:tcPr>
          <w:p w:rsidR="000F674B" w:rsidRPr="006C7FAE" w:rsidP="00180620" w14:paraId="73D786FC" w14:textId="77777777">
            <w:pPr>
              <w:adjustRightInd/>
              <w:jc w:val="center"/>
              <w:textAlignment w:val="auto"/>
              <w:rPr>
                <w:rFonts w:eastAsia="Calibri"/>
                <w:b/>
                <w:bCs/>
                <w:color w:val="000000"/>
              </w:rPr>
            </w:pPr>
            <w:bookmarkStart w:id="1" w:name="_Hlk72491044"/>
            <w:r w:rsidRPr="006C7FAE">
              <w:rPr>
                <w:rFonts w:eastAsia="Calibri"/>
                <w:b/>
                <w:bCs/>
                <w:color w:val="000000"/>
              </w:rPr>
              <w:t>Information Collection</w:t>
            </w:r>
          </w:p>
        </w:tc>
        <w:tc>
          <w:tcPr>
            <w:tcW w:w="1335" w:type="dxa"/>
            <w:tcMar>
              <w:top w:w="0" w:type="dxa"/>
              <w:left w:w="108" w:type="dxa"/>
              <w:bottom w:w="0" w:type="dxa"/>
              <w:right w:w="108" w:type="dxa"/>
            </w:tcMar>
            <w:hideMark/>
          </w:tcPr>
          <w:p w:rsidR="000F674B" w:rsidRPr="006C7FAE" w:rsidP="00180620" w14:paraId="2E625C2C"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152" w:type="dxa"/>
            <w:tcMar>
              <w:top w:w="0" w:type="dxa"/>
              <w:left w:w="108" w:type="dxa"/>
              <w:bottom w:w="0" w:type="dxa"/>
              <w:right w:w="108" w:type="dxa"/>
            </w:tcMar>
            <w:hideMark/>
          </w:tcPr>
          <w:p w:rsidR="000F674B" w:rsidRPr="006C7FAE" w:rsidP="00180620" w14:paraId="0E76C9BF"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18" w:type="dxa"/>
            <w:tcMar>
              <w:top w:w="0" w:type="dxa"/>
              <w:left w:w="108" w:type="dxa"/>
              <w:bottom w:w="0" w:type="dxa"/>
              <w:right w:w="108" w:type="dxa"/>
            </w:tcMar>
            <w:hideMark/>
          </w:tcPr>
          <w:p w:rsidR="000F674B" w:rsidRPr="006C7FAE" w:rsidP="00180620" w14:paraId="7E265BFB"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0F674B" w:rsidRPr="006C7FAE" w:rsidP="00180620" w14:paraId="20A3A3D9" w14:textId="77777777">
            <w:pPr>
              <w:adjustRightInd/>
              <w:jc w:val="center"/>
              <w:textAlignment w:val="auto"/>
              <w:rPr>
                <w:rFonts w:eastAsia="Calibri"/>
                <w:b/>
                <w:bCs/>
                <w:color w:val="000000"/>
              </w:rPr>
            </w:pPr>
            <w:r w:rsidRPr="006C7FAE">
              <w:rPr>
                <w:rFonts w:eastAsia="Calibri"/>
                <w:b/>
                <w:bCs/>
                <w:color w:val="000000"/>
              </w:rPr>
              <w:t>Per Annum</w:t>
            </w:r>
          </w:p>
        </w:tc>
        <w:tc>
          <w:tcPr>
            <w:tcW w:w="1038" w:type="dxa"/>
            <w:tcMar>
              <w:top w:w="0" w:type="dxa"/>
              <w:left w:w="108" w:type="dxa"/>
              <w:bottom w:w="0" w:type="dxa"/>
              <w:right w:w="108" w:type="dxa"/>
            </w:tcMar>
            <w:hideMark/>
          </w:tcPr>
          <w:p w:rsidR="000F674B" w:rsidRPr="006C7FAE" w:rsidP="00180620" w14:paraId="40D17274"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879" w:type="dxa"/>
            <w:tcMar>
              <w:top w:w="0" w:type="dxa"/>
              <w:left w:w="108" w:type="dxa"/>
              <w:bottom w:w="0" w:type="dxa"/>
              <w:right w:w="108" w:type="dxa"/>
            </w:tcMar>
            <w:hideMark/>
          </w:tcPr>
          <w:p w:rsidR="000F674B" w:rsidRPr="006C7FAE" w:rsidP="00180620" w14:paraId="3E20B5F1" w14:textId="77777777">
            <w:pPr>
              <w:adjustRightInd/>
              <w:jc w:val="center"/>
              <w:textAlignment w:val="auto"/>
              <w:rPr>
                <w:rFonts w:eastAsia="Calibri"/>
                <w:b/>
                <w:bCs/>
                <w:color w:val="000000"/>
              </w:rPr>
            </w:pPr>
            <w:r w:rsidRPr="006C7FAE">
              <w:rPr>
                <w:rFonts w:eastAsia="Calibri"/>
                <w:b/>
                <w:bCs/>
                <w:color w:val="000000"/>
              </w:rPr>
              <w:t>Annual Burden Hours</w:t>
            </w:r>
          </w:p>
        </w:tc>
        <w:tc>
          <w:tcPr>
            <w:tcW w:w="1371" w:type="dxa"/>
            <w:tcMar>
              <w:top w:w="0" w:type="dxa"/>
              <w:left w:w="108" w:type="dxa"/>
              <w:bottom w:w="0" w:type="dxa"/>
              <w:right w:w="108" w:type="dxa"/>
            </w:tcMar>
            <w:hideMark/>
          </w:tcPr>
          <w:p w:rsidR="000F674B" w:rsidRPr="006C7FAE" w:rsidP="00180620" w14:paraId="07F0A450"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16" w:type="dxa"/>
            <w:tcMar>
              <w:top w:w="0" w:type="dxa"/>
              <w:left w:w="108" w:type="dxa"/>
              <w:bottom w:w="0" w:type="dxa"/>
              <w:right w:w="108" w:type="dxa"/>
            </w:tcMar>
          </w:tcPr>
          <w:p w:rsidR="000F674B" w:rsidRPr="006C7FAE" w:rsidP="00180620" w14:paraId="35DC48A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0F674B" w:rsidRPr="006C7FAE" w:rsidP="00180620" w14:paraId="5EDC4CB1" w14:textId="77777777">
            <w:pPr>
              <w:adjustRightInd/>
              <w:jc w:val="center"/>
              <w:textAlignment w:val="auto"/>
              <w:rPr>
                <w:rFonts w:eastAsia="Calibri"/>
                <w:b/>
                <w:bCs/>
                <w:color w:val="000000"/>
              </w:rPr>
            </w:pPr>
          </w:p>
        </w:tc>
      </w:tr>
      <w:tr w14:paraId="2FBAFD55" w14:textId="77777777" w:rsidTr="00EF2F2E">
        <w:tblPrEx>
          <w:tblW w:w="9472" w:type="dxa"/>
          <w:tblInd w:w="588" w:type="dxa"/>
          <w:tblCellMar>
            <w:left w:w="0" w:type="dxa"/>
            <w:right w:w="0" w:type="dxa"/>
          </w:tblCellMar>
          <w:tblLook w:val="04A0"/>
        </w:tblPrEx>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70FF" w:rsidRPr="006C7FAE" w:rsidP="005A70FF" w14:paraId="24299D73" w14:textId="77777777">
            <w:pPr>
              <w:adjustRightInd/>
              <w:textAlignment w:val="auto"/>
              <w:rPr>
                <w:rFonts w:eastAsia="Calibri"/>
                <w:b/>
                <w:bCs/>
                <w:color w:val="000000"/>
              </w:rPr>
            </w:pPr>
            <w:r>
              <w:rPr>
                <w:b/>
                <w:bCs/>
                <w:color w:val="000000"/>
              </w:rPr>
              <w:t>HUD 4710 Semi-annual Labor Standards Enforcement Report – Local Contracting Agencies</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5A70FF" w14:paraId="3D89695E" w14:textId="77777777">
            <w:pPr>
              <w:adjustRightInd/>
              <w:jc w:val="center"/>
              <w:textAlignment w:val="auto"/>
              <w:rPr>
                <w:rFonts w:eastAsia="Calibri"/>
                <w:b/>
                <w:bCs/>
                <w:color w:val="000000"/>
              </w:rPr>
            </w:pPr>
            <w:r>
              <w:rPr>
                <w:b/>
                <w:bCs/>
                <w:color w:val="000000"/>
              </w:rPr>
              <w:t>4,565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5A70FF" w14:paraId="3D12D4A7" w14:textId="77777777">
            <w:pPr>
              <w:adjustRightInd/>
              <w:jc w:val="center"/>
              <w:textAlignment w:val="auto"/>
              <w:rPr>
                <w:rFonts w:eastAsia="Calibri"/>
                <w:b/>
                <w:bCs/>
                <w:color w:val="000000"/>
              </w:rPr>
            </w:pPr>
            <w:r>
              <w:rPr>
                <w:rFonts w:eastAsia="Calibri"/>
                <w:b/>
                <w:bCs/>
                <w:color w:val="000000"/>
              </w:rPr>
              <w:t>2</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5A70FF" w14:paraId="462AFE15" w14:textId="77777777">
            <w:pPr>
              <w:adjustRightInd/>
              <w:jc w:val="center"/>
              <w:textAlignment w:val="auto"/>
              <w:rPr>
                <w:rFonts w:eastAsia="Calibri"/>
                <w:b/>
                <w:bCs/>
                <w:color w:val="000000"/>
              </w:rPr>
            </w:pPr>
            <w:r>
              <w:rPr>
                <w:rFonts w:eastAsia="Calibri"/>
                <w:b/>
                <w:bCs/>
                <w:color w:val="000000"/>
              </w:rPr>
              <w:t>9,130</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5A70FF" w14:paraId="79D74759" w14:textId="77777777">
            <w:pPr>
              <w:adjustRightInd/>
              <w:jc w:val="center"/>
              <w:textAlignment w:val="auto"/>
              <w:rPr>
                <w:rFonts w:eastAsia="Calibri"/>
                <w:b/>
                <w:bCs/>
                <w:color w:val="000000"/>
              </w:rPr>
            </w:pPr>
            <w:r>
              <w:rPr>
                <w:rFonts w:eastAsia="Calibri"/>
                <w:b/>
                <w:bCs/>
                <w:color w:val="000000"/>
              </w:rPr>
              <w:t>1</w:t>
            </w:r>
          </w:p>
        </w:tc>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5A70FF" w14:paraId="0934F580" w14:textId="105AA415">
            <w:pPr>
              <w:adjustRightInd/>
              <w:jc w:val="center"/>
              <w:textAlignment w:val="auto"/>
              <w:rPr>
                <w:rFonts w:eastAsia="Calibri"/>
                <w:b/>
                <w:bCs/>
                <w:color w:val="000000"/>
              </w:rPr>
            </w:pPr>
            <w:r>
              <w:rPr>
                <w:rFonts w:eastAsia="Calibri"/>
                <w:b/>
                <w:bCs/>
                <w:color w:val="000000"/>
              </w:rPr>
              <w:t>9,130</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EF2F2E" w14:paraId="4673DAF2" w14:textId="5F766578">
            <w:pPr>
              <w:adjustRightInd/>
              <w:jc w:val="center"/>
              <w:textAlignment w:val="auto"/>
              <w:rPr>
                <w:rFonts w:eastAsia="Calibri"/>
                <w:b/>
                <w:bCs/>
                <w:color w:val="000000"/>
              </w:rPr>
            </w:pPr>
            <w:r>
              <w:rPr>
                <w:rFonts w:eastAsia="Calibri"/>
                <w:b/>
                <w:bCs/>
                <w:color w:val="000000"/>
              </w:rPr>
              <w:t>$45.49</w:t>
            </w:r>
            <w:r w:rsidR="00222DC4">
              <w:rPr>
                <w:rFonts w:eastAsia="Calibri"/>
                <w:b/>
                <w:bCs/>
                <w:color w:val="000000"/>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EF2F2E" w14:paraId="2AF26289" w14:textId="41652B4B">
            <w:pPr>
              <w:adjustRightInd/>
              <w:jc w:val="center"/>
              <w:textAlignment w:val="auto"/>
              <w:rPr>
                <w:rFonts w:eastAsia="Calibri"/>
                <w:b/>
                <w:bCs/>
                <w:color w:val="000000"/>
              </w:rPr>
            </w:pPr>
            <w:r>
              <w:rPr>
                <w:rFonts w:eastAsia="Calibri"/>
                <w:b/>
                <w:bCs/>
                <w:color w:val="000000"/>
              </w:rPr>
              <w:t>$415,323.70</w:t>
            </w:r>
          </w:p>
        </w:tc>
      </w:tr>
      <w:tr w14:paraId="7B432EC8" w14:textId="77777777" w:rsidTr="005A70FF">
        <w:tblPrEx>
          <w:tblW w:w="9472" w:type="dxa"/>
          <w:tblInd w:w="588" w:type="dxa"/>
          <w:tblCellMar>
            <w:left w:w="0" w:type="dxa"/>
            <w:right w:w="0" w:type="dxa"/>
          </w:tblCellMar>
          <w:tblLook w:val="04A0"/>
        </w:tblPrEx>
        <w:trPr>
          <w:trHeight w:val="85"/>
        </w:trPr>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33957E5F" w14:textId="77777777">
            <w:pPr>
              <w:adjustRightInd/>
              <w:textAlignment w:val="auto"/>
              <w:rPr>
                <w:rFonts w:eastAsia="Calibri"/>
                <w:b/>
                <w:bCs/>
                <w:color w:val="000000"/>
              </w:rPr>
            </w:pPr>
            <w:r>
              <w:rPr>
                <w:b/>
                <w:bCs/>
                <w:color w:val="000000"/>
              </w:rPr>
              <w:t>HUD 4710i Instruction to fill out the above form</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091DC9D9" w14:textId="77777777">
            <w:pPr>
              <w:adjustRightInd/>
              <w:jc w:val="center"/>
              <w:textAlignment w:val="auto"/>
              <w:rPr>
                <w:rFonts w:eastAsia="Calibri"/>
                <w:b/>
                <w:bCs/>
                <w:color w:val="000000"/>
              </w:rPr>
            </w:pPr>
            <w:r>
              <w:rPr>
                <w:b/>
                <w:bCs/>
                <w:color w:val="000000"/>
              </w:rPr>
              <w:t>0</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56D53A4F" w14:textId="77777777">
            <w:pPr>
              <w:adjustRightInd/>
              <w:jc w:val="center"/>
              <w:textAlignment w:val="auto"/>
              <w:rPr>
                <w:rFonts w:eastAsia="Calibri"/>
                <w:b/>
                <w:bCs/>
                <w:color w:val="000000"/>
              </w:rPr>
            </w:pPr>
            <w:r>
              <w:rPr>
                <w:rFonts w:eastAsia="Calibri"/>
                <w:b/>
                <w:bCs/>
                <w:color w:val="000000"/>
              </w:rPr>
              <w:t>0</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4D2AD68B" w14:textId="77777777">
            <w:pPr>
              <w:adjustRightInd/>
              <w:jc w:val="center"/>
              <w:textAlignment w:val="auto"/>
              <w:rPr>
                <w:rFonts w:eastAsia="Calibri"/>
                <w:b/>
                <w:bCs/>
                <w:color w:val="000000"/>
              </w:rPr>
            </w:pPr>
            <w:r>
              <w:rPr>
                <w:rFonts w:eastAsia="Calibri"/>
                <w:b/>
                <w:bCs/>
                <w:color w:val="000000"/>
              </w:rPr>
              <w:t>0</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7F757745" w14:textId="77777777">
            <w:pPr>
              <w:adjustRightInd/>
              <w:jc w:val="center"/>
              <w:textAlignment w:val="auto"/>
              <w:rPr>
                <w:rFonts w:eastAsia="Calibri"/>
                <w:b/>
                <w:bCs/>
                <w:color w:val="000000"/>
              </w:rPr>
            </w:pPr>
            <w:r>
              <w:rPr>
                <w:rFonts w:eastAsia="Calibri"/>
                <w:b/>
                <w:bCs/>
                <w:color w:val="000000"/>
              </w:rPr>
              <w:t>0</w:t>
            </w:r>
          </w:p>
        </w:tc>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586D9E08" w14:textId="77777777">
            <w:pPr>
              <w:adjustRightInd/>
              <w:jc w:val="center"/>
              <w:textAlignment w:val="auto"/>
              <w:rPr>
                <w:rFonts w:eastAsia="Calibri"/>
                <w:b/>
                <w:bCs/>
                <w:color w:val="000000"/>
              </w:rPr>
            </w:pPr>
            <w:r>
              <w:rPr>
                <w:rFonts w:eastAsia="Calibri"/>
                <w:b/>
                <w:bCs/>
                <w:color w:val="000000"/>
              </w:rPr>
              <w:t>0</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00547E70" w14:textId="77777777">
            <w:pPr>
              <w:adjustRightInd/>
              <w:jc w:val="right"/>
              <w:textAlignment w:val="auto"/>
              <w:rPr>
                <w:rFonts w:eastAsia="Calibri"/>
                <w:b/>
                <w:bCs/>
                <w:color w:val="000000"/>
              </w:rPr>
            </w:pPr>
            <w:r>
              <w:rPr>
                <w:rFonts w:eastAsia="Calibri"/>
                <w:b/>
                <w:bCs/>
                <w:color w:val="000000"/>
              </w:rPr>
              <w:t>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448346E2" w14:textId="77777777">
            <w:pPr>
              <w:adjustRightInd/>
              <w:jc w:val="right"/>
              <w:textAlignment w:val="auto"/>
              <w:rPr>
                <w:rFonts w:eastAsia="Calibri"/>
                <w:b/>
                <w:bCs/>
                <w:color w:val="000000"/>
              </w:rPr>
            </w:pPr>
            <w:r>
              <w:rPr>
                <w:rFonts w:eastAsia="Calibri"/>
                <w:b/>
                <w:bCs/>
                <w:color w:val="000000"/>
              </w:rPr>
              <w:t>0</w:t>
            </w:r>
          </w:p>
        </w:tc>
      </w:tr>
      <w:tr w14:paraId="4F276400" w14:textId="77777777" w:rsidTr="00EF2F2E">
        <w:tblPrEx>
          <w:tblW w:w="9472" w:type="dxa"/>
          <w:tblInd w:w="588" w:type="dxa"/>
          <w:tblCellMar>
            <w:left w:w="0" w:type="dxa"/>
            <w:right w:w="0" w:type="dxa"/>
          </w:tblCellMar>
          <w:tblLook w:val="04A0"/>
        </w:tblPrEx>
        <w:trPr>
          <w:trHeight w:val="85"/>
        </w:trPr>
        <w:tc>
          <w:tcPr>
            <w:tcW w:w="1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70FF" w:rsidRPr="006C7FAE" w:rsidP="005A70FF" w14:paraId="5B669F59" w14:textId="77777777">
            <w:pPr>
              <w:adjustRightInd/>
              <w:textAlignment w:val="auto"/>
              <w:rPr>
                <w:rFonts w:eastAsia="Calibri"/>
                <w:b/>
                <w:bCs/>
                <w:color w:val="000000"/>
              </w:rPr>
            </w:pPr>
            <w:r w:rsidRPr="00ED3DD9">
              <w:rPr>
                <w:b/>
                <w:bCs/>
                <w:color w:val="000000"/>
              </w:rPr>
              <w:t>Total</w:t>
            </w:r>
          </w:p>
        </w:tc>
        <w:tc>
          <w:tcPr>
            <w:tcW w:w="1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70FF" w:rsidRPr="006C7FAE" w:rsidP="005A70FF" w14:paraId="0AFBFA5E" w14:textId="77777777">
            <w:pPr>
              <w:adjustRightInd/>
              <w:jc w:val="center"/>
              <w:textAlignment w:val="auto"/>
              <w:rPr>
                <w:rFonts w:eastAsia="Calibri"/>
                <w:b/>
                <w:bCs/>
                <w:color w:val="000000"/>
              </w:rPr>
            </w:pPr>
            <w:r>
              <w:rPr>
                <w:b/>
                <w:bCs/>
                <w:color w:val="000000"/>
              </w:rPr>
              <w:t>4,565</w:t>
            </w:r>
          </w:p>
        </w:tc>
        <w:tc>
          <w:tcPr>
            <w:tcW w:w="11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70FF" w:rsidRPr="006C7FAE" w:rsidP="005A70FF" w14:paraId="7FC0A43D" w14:textId="77777777">
            <w:pPr>
              <w:adjustRightInd/>
              <w:jc w:val="center"/>
              <w:textAlignment w:val="auto"/>
              <w:rPr>
                <w:rFonts w:eastAsia="Calibri"/>
                <w:b/>
                <w:bCs/>
                <w:color w:val="000000"/>
              </w:rPr>
            </w:pPr>
            <w:r>
              <w:rPr>
                <w:rFonts w:eastAsia="Calibri"/>
                <w:b/>
                <w:bCs/>
                <w:color w:val="000000"/>
              </w:rPr>
              <w:t>2</w:t>
            </w:r>
          </w:p>
        </w:tc>
        <w:tc>
          <w:tcPr>
            <w:tcW w:w="1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70FF" w:rsidRPr="006C7FAE" w:rsidP="005A70FF" w14:paraId="1C69ABED" w14:textId="77777777">
            <w:pPr>
              <w:adjustRightInd/>
              <w:jc w:val="center"/>
              <w:textAlignment w:val="auto"/>
              <w:rPr>
                <w:rFonts w:eastAsia="Calibri"/>
                <w:b/>
                <w:bCs/>
                <w:color w:val="000000"/>
              </w:rPr>
            </w:pPr>
            <w:r>
              <w:rPr>
                <w:rFonts w:eastAsia="Calibri"/>
                <w:b/>
                <w:bCs/>
                <w:color w:val="000000"/>
              </w:rPr>
              <w:t>9,130</w:t>
            </w:r>
          </w:p>
        </w:tc>
        <w:tc>
          <w:tcPr>
            <w:tcW w:w="1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70FF" w:rsidRPr="006C7FAE" w:rsidP="005A70FF" w14:paraId="1CF56F01" w14:textId="77777777">
            <w:pPr>
              <w:adjustRightInd/>
              <w:jc w:val="center"/>
              <w:textAlignment w:val="auto"/>
              <w:rPr>
                <w:rFonts w:eastAsia="Calibri"/>
                <w:b/>
                <w:bCs/>
                <w:color w:val="000000"/>
              </w:rPr>
            </w:pPr>
            <w:r>
              <w:rPr>
                <w:rFonts w:eastAsia="Calibri"/>
                <w:b/>
                <w:bCs/>
                <w:color w:val="000000"/>
              </w:rPr>
              <w:t>1</w:t>
            </w:r>
          </w:p>
        </w:tc>
        <w:tc>
          <w:tcPr>
            <w:tcW w:w="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A70FF" w:rsidRPr="006C7FAE" w:rsidP="005A70FF" w14:paraId="0EB02CEB" w14:textId="77777777">
            <w:pPr>
              <w:adjustRightInd/>
              <w:jc w:val="center"/>
              <w:textAlignment w:val="auto"/>
              <w:rPr>
                <w:rFonts w:eastAsia="Calibri"/>
                <w:b/>
                <w:bCs/>
                <w:color w:val="000000"/>
              </w:rPr>
            </w:pPr>
            <w:r>
              <w:rPr>
                <w:rFonts w:eastAsia="Calibri"/>
                <w:b/>
                <w:bCs/>
                <w:color w:val="000000"/>
              </w:rPr>
              <w:t>9,130</w:t>
            </w:r>
          </w:p>
        </w:tc>
        <w:tc>
          <w:tcPr>
            <w:tcW w:w="1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5A70FF" w14:paraId="17B7E5A7" w14:textId="5C1F8F7F">
            <w:pPr>
              <w:adjustRightInd/>
              <w:jc w:val="right"/>
              <w:textAlignment w:val="auto"/>
              <w:rPr>
                <w:rFonts w:eastAsia="Calibri"/>
                <w:b/>
                <w:bCs/>
                <w:color w:val="000000"/>
              </w:rPr>
            </w:pPr>
            <w:r>
              <w:rPr>
                <w:rFonts w:eastAsia="Calibri"/>
                <w:b/>
                <w:bCs/>
                <w:color w:val="000000"/>
              </w:rPr>
              <w:t xml:space="preserve">$45.49 </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A70FF" w:rsidRPr="006C7FAE" w:rsidP="005A70FF" w14:paraId="04F1E694" w14:textId="3048924A">
            <w:pPr>
              <w:adjustRightInd/>
              <w:jc w:val="right"/>
              <w:textAlignment w:val="auto"/>
              <w:rPr>
                <w:rFonts w:eastAsia="Calibri"/>
                <w:b/>
                <w:bCs/>
                <w:color w:val="000000"/>
              </w:rPr>
            </w:pPr>
            <w:r>
              <w:rPr>
                <w:rFonts w:eastAsia="Calibri"/>
                <w:b/>
                <w:bCs/>
                <w:color w:val="000000"/>
              </w:rPr>
              <w:t xml:space="preserve">$415,323.70 </w:t>
            </w:r>
          </w:p>
        </w:tc>
      </w:tr>
    </w:tbl>
    <w:bookmarkEnd w:id="1"/>
    <w:p w:rsidR="00FC25C2" w:rsidRPr="00B912FB" w:rsidP="00B912FB" w14:paraId="3364DA84" w14:textId="0236C623">
      <w:pPr>
        <w:tabs>
          <w:tab w:val="left" w:pos="360"/>
        </w:tabs>
        <w:ind w:left="720"/>
        <w:rPr>
          <w:sz w:val="18"/>
          <w:szCs w:val="18"/>
        </w:rPr>
      </w:pPr>
      <w:r w:rsidRPr="00B912FB">
        <w:rPr>
          <w:sz w:val="18"/>
          <w:szCs w:val="18"/>
        </w:rPr>
        <w:t>*</w:t>
      </w:r>
      <w:r w:rsidRPr="00B912FB">
        <w:rPr>
          <w:rFonts w:ascii="Segoe UI" w:hAnsi="Segoe UI" w:cs="Segoe UI"/>
          <w:sz w:val="18"/>
          <w:szCs w:val="18"/>
        </w:rPr>
        <w:t xml:space="preserve"> </w:t>
      </w:r>
      <w:r w:rsidRPr="00B912FB">
        <w:rPr>
          <w:sz w:val="18"/>
          <w:szCs w:val="18"/>
        </w:rPr>
        <w:t xml:space="preserve">The estimated costs to the </w:t>
      </w:r>
      <w:r w:rsidRPr="00B912FB" w:rsidR="00EA4340">
        <w:rPr>
          <w:sz w:val="18"/>
          <w:szCs w:val="18"/>
        </w:rPr>
        <w:t>respondents</w:t>
      </w:r>
      <w:r w:rsidRPr="00B912FB">
        <w:rPr>
          <w:sz w:val="18"/>
          <w:szCs w:val="18"/>
        </w:rPr>
        <w:t xml:space="preserve"> </w:t>
      </w:r>
      <w:r w:rsidRPr="00B912FB" w:rsidR="004B7FBF">
        <w:rPr>
          <w:sz w:val="18"/>
          <w:szCs w:val="18"/>
        </w:rPr>
        <w:t>are</w:t>
      </w:r>
      <w:r w:rsidRPr="00B912FB">
        <w:rPr>
          <w:sz w:val="18"/>
          <w:szCs w:val="18"/>
        </w:rPr>
        <w:t xml:space="preserve"> based on an estimated labor rate of $</w:t>
      </w:r>
      <w:r w:rsidRPr="00B912FB" w:rsidR="004B7FBF">
        <w:rPr>
          <w:sz w:val="18"/>
          <w:szCs w:val="18"/>
        </w:rPr>
        <w:t>45</w:t>
      </w:r>
      <w:r w:rsidRPr="00B912FB">
        <w:rPr>
          <w:sz w:val="18"/>
          <w:szCs w:val="18"/>
        </w:rPr>
        <w:t>.</w:t>
      </w:r>
      <w:r w:rsidRPr="00B912FB" w:rsidR="004B7FBF">
        <w:rPr>
          <w:sz w:val="18"/>
          <w:szCs w:val="18"/>
        </w:rPr>
        <w:t>49</w:t>
      </w:r>
      <w:r w:rsidRPr="00B912FB">
        <w:rPr>
          <w:sz w:val="18"/>
          <w:szCs w:val="18"/>
        </w:rPr>
        <w:t xml:space="preserve"> </w:t>
      </w:r>
      <w:r w:rsidRPr="00B912FB" w:rsidR="004B7FBF">
        <w:rPr>
          <w:sz w:val="18"/>
          <w:szCs w:val="18"/>
        </w:rPr>
        <w:t xml:space="preserve">which is the </w:t>
      </w:r>
      <w:r w:rsidRPr="00B912FB" w:rsidR="005A5835">
        <w:rPr>
          <w:sz w:val="18"/>
          <w:szCs w:val="18"/>
        </w:rPr>
        <w:t xml:space="preserve">mean wage estimates for Labor Relations Specialists according the Bureau of Labor Statistics </w:t>
      </w:r>
      <w:r w:rsidRPr="00B912FB">
        <w:rPr>
          <w:sz w:val="18"/>
          <w:szCs w:val="18"/>
        </w:rPr>
        <w:t>Occupational Employment and Wages, May 2023</w:t>
      </w:r>
      <w:r w:rsidRPr="00B912FB" w:rsidR="00C81CDC">
        <w:rPr>
          <w:sz w:val="18"/>
          <w:szCs w:val="18"/>
        </w:rPr>
        <w:t xml:space="preserve"> </w:t>
      </w:r>
      <w:r w:rsidRPr="00B912FB">
        <w:rPr>
          <w:sz w:val="18"/>
          <w:szCs w:val="18"/>
        </w:rPr>
        <w:t>(</w:t>
      </w:r>
      <w:r>
        <w:fldChar w:fldCharType="begin"/>
      </w:r>
      <w:r w:rsidRPr="00B912FB" w:rsidR="00354863">
        <w:rPr>
          <w:rStyle w:val="Hyperlink"/>
          <w:sz w:val="18"/>
          <w:szCs w:val="18"/>
        </w:rPr>
        <w:instrText xml:space="preserve"> HYPERLINK "https://www.bls.gov/oes/current/oes131075.htm" </w:instrText>
      </w:r>
      <w:r>
        <w:fldChar w:fldCharType="separate"/>
      </w:r>
      <w:r w:rsidRPr="00B912FB" w:rsidR="00354863">
        <w:rPr>
          <w:rStyle w:val="Hyperlink"/>
          <w:sz w:val="18"/>
          <w:szCs w:val="18"/>
        </w:rPr>
        <w:t>https://www.bls.gov/oes/current/oes131075.htm</w:t>
      </w:r>
      <w:r>
        <w:fldChar w:fldCharType="end"/>
      </w:r>
      <w:r w:rsidRPr="00B912FB" w:rsidR="00354863">
        <w:rPr>
          <w:sz w:val="18"/>
          <w:szCs w:val="18"/>
        </w:rPr>
        <w:t xml:space="preserve">) </w:t>
      </w:r>
    </w:p>
    <w:p w:rsidR="001F0E7E" w:rsidRPr="006C7FAE" w:rsidP="000F674B" w14:paraId="45217917"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F674B" w:rsidP="000F674B" w14:paraId="30EB9EF5"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0F674B" w:rsidRPr="006C7FAE" w:rsidP="000F674B" w14:paraId="5A3DD965" w14:textId="77777777">
      <w:pPr>
        <w:tabs>
          <w:tab w:val="left" w:pos="360"/>
        </w:tabs>
        <w:ind w:left="360" w:hanging="360"/>
        <w:rPr>
          <w:sz w:val="24"/>
          <w:szCs w:val="24"/>
        </w:rPr>
      </w:pPr>
      <w:r w:rsidRPr="006C7FAE">
        <w:rPr>
          <w:sz w:val="24"/>
          <w:szCs w:val="24"/>
        </w:rPr>
        <w:t xml:space="preserve"> </w:t>
      </w:r>
    </w:p>
    <w:p w:rsidR="000F674B" w:rsidRPr="006C7FAE" w:rsidP="000F674B" w14:paraId="11C9E0F8" w14:textId="77777777">
      <w:pPr>
        <w:numPr>
          <w:ilvl w:val="0"/>
          <w:numId w:val="2"/>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6C7FAE">
        <w:rPr>
          <w:sz w:val="24"/>
          <w:szCs w:val="24"/>
        </w:rPr>
        <w:t>take into account</w:t>
      </w:r>
      <w:r w:rsidRPr="006C7FAE">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6C7FAE">
        <w:rPr>
          <w:sz w:val="24"/>
          <w:szCs w:val="24"/>
        </w:rPr>
        <w:t>time period</w:t>
      </w:r>
      <w:r w:rsidRPr="006C7FAE">
        <w:rPr>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6C7FAE">
        <w:rPr>
          <w:sz w:val="24"/>
          <w:szCs w:val="24"/>
        </w:rPr>
        <w:t>facilities;</w:t>
      </w:r>
      <w:r w:rsidRPr="006C7FAE">
        <w:rPr>
          <w:sz w:val="24"/>
          <w:szCs w:val="24"/>
        </w:rPr>
        <w:t xml:space="preserve"> </w:t>
      </w:r>
    </w:p>
    <w:p w:rsidR="000F674B" w:rsidRPr="006C7FAE" w:rsidP="000F674B" w14:paraId="08C84571" w14:textId="77777777">
      <w:pPr>
        <w:numPr>
          <w:ilvl w:val="0"/>
          <w:numId w:val="2"/>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0F674B" w:rsidP="000F674B" w14:paraId="061CAE23" w14:textId="77777777">
      <w:pPr>
        <w:keepLines/>
        <w:numPr>
          <w:ilvl w:val="0"/>
          <w:numId w:val="2"/>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75AEC" w:rsidP="00B912FB" w14:paraId="0416C8B5" w14:textId="77777777">
      <w:pPr>
        <w:pStyle w:val="NoSpacing"/>
      </w:pPr>
    </w:p>
    <w:p w:rsidR="00A55BB8" w:rsidP="00EF2F2E" w14:paraId="7E5C7B11" w14:textId="61F160AD">
      <w:pPr>
        <w:keepLines/>
        <w:tabs>
          <w:tab w:val="left" w:pos="360"/>
        </w:tabs>
        <w:spacing w:after="80"/>
        <w:ind w:left="360"/>
        <w:rPr>
          <w:sz w:val="24"/>
          <w:szCs w:val="24"/>
        </w:rPr>
      </w:pPr>
      <w:r w:rsidRPr="00F75AEC">
        <w:rPr>
          <w:sz w:val="24"/>
          <w:szCs w:val="24"/>
        </w:rPr>
        <w:t>There are no additional burden costs for respondents or recordkeepers other than the costs outlined in Question 12.</w:t>
      </w:r>
    </w:p>
    <w:p w:rsidR="000F674B" w:rsidRPr="006C7FAE" w:rsidP="000F674B" w14:paraId="15511D07"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F674B" w:rsidRPr="006C7FAE" w:rsidP="000F674B" w14:paraId="63D364BE" w14:textId="77777777">
      <w:pPr>
        <w:overflowPunct/>
        <w:autoSpaceDE/>
        <w:autoSpaceDN/>
        <w:adjustRightInd/>
        <w:spacing w:after="80"/>
        <w:ind w:left="360"/>
        <w:textAlignment w:val="auto"/>
        <w:rPr>
          <w:rFonts w:eastAsia="Calibri"/>
          <w:color w:val="000000"/>
        </w:rPr>
      </w:pPr>
    </w:p>
    <w:tbl>
      <w:tblPr>
        <w:tblW w:w="0" w:type="auto"/>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31"/>
        <w:gridCol w:w="1384"/>
        <w:gridCol w:w="1194"/>
        <w:gridCol w:w="1157"/>
        <w:gridCol w:w="1073"/>
        <w:gridCol w:w="907"/>
        <w:gridCol w:w="1073"/>
        <w:gridCol w:w="1193"/>
      </w:tblGrid>
      <w:tr w14:paraId="69364ED4" w14:textId="77777777" w:rsidTr="00180620">
        <w:tblPrEx>
          <w:tblW w:w="0" w:type="auto"/>
          <w:tblInd w:w="46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0F674B" w:rsidRPr="006C7FAE" w:rsidP="00180620" w14:paraId="3FCCA6A3"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Mar>
              <w:top w:w="0" w:type="dxa"/>
              <w:left w:w="108" w:type="dxa"/>
              <w:bottom w:w="0" w:type="dxa"/>
              <w:right w:w="108" w:type="dxa"/>
            </w:tcMar>
            <w:hideMark/>
          </w:tcPr>
          <w:p w:rsidR="000F674B" w:rsidRPr="006C7FAE" w:rsidP="00180620" w14:paraId="29219E59"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0F674B" w:rsidRPr="006C7FAE" w:rsidP="00180620" w14:paraId="09C47BBA"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0F674B" w:rsidRPr="006C7FAE" w:rsidP="00180620" w14:paraId="51CB354F"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0F674B" w:rsidRPr="006C7FAE" w:rsidP="00180620" w14:paraId="7BC8EE03"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0F674B" w:rsidRPr="006C7FAE" w:rsidP="00180620" w14:paraId="665FF2E2"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0F674B" w:rsidRPr="006C7FAE" w:rsidP="00180620" w14:paraId="09F5A371"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0F674B" w:rsidRPr="006C7FAE" w:rsidP="00180620" w14:paraId="2F8BE9A3"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216" w:type="dxa"/>
            <w:tcMar>
              <w:top w:w="0" w:type="dxa"/>
              <w:left w:w="108" w:type="dxa"/>
              <w:bottom w:w="0" w:type="dxa"/>
              <w:right w:w="108" w:type="dxa"/>
            </w:tcMar>
          </w:tcPr>
          <w:p w:rsidR="000F674B" w:rsidRPr="006C7FAE" w:rsidP="00180620" w14:paraId="258EE5E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0F674B" w:rsidRPr="006C7FAE" w:rsidP="00180620" w14:paraId="7616F15C" w14:textId="77777777">
            <w:pPr>
              <w:adjustRightInd/>
              <w:jc w:val="center"/>
              <w:textAlignment w:val="auto"/>
              <w:rPr>
                <w:rFonts w:eastAsia="Calibri"/>
                <w:b/>
                <w:bCs/>
                <w:color w:val="000000"/>
              </w:rPr>
            </w:pPr>
          </w:p>
        </w:tc>
      </w:tr>
      <w:tr w14:paraId="582AA1B2" w14:textId="77777777" w:rsidTr="00180620">
        <w:tblPrEx>
          <w:tblW w:w="0" w:type="auto"/>
          <w:tblInd w:w="468" w:type="dxa"/>
          <w:tblCellMar>
            <w:left w:w="0" w:type="dxa"/>
            <w:right w:w="0" w:type="dxa"/>
          </w:tblCellMar>
          <w:tblLook w:val="04A0"/>
        </w:tblPrEx>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637B1752" w14:textId="77777777">
            <w:pPr>
              <w:adjustRightInd/>
              <w:textAlignment w:val="auto"/>
              <w:rPr>
                <w:rFonts w:eastAsia="Calibri"/>
                <w:b/>
                <w:bCs/>
                <w:color w:val="000000"/>
              </w:rPr>
            </w:pPr>
            <w:r>
              <w:rPr>
                <w:b/>
                <w:bCs/>
                <w:color w:val="000000"/>
              </w:rPr>
              <w:t>HUD 4710 Semi-annual Labor Standards Enforcement Report – Local Contracting Agencies</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P="00180620" w14:paraId="043A8BBF" w14:textId="77777777">
            <w:pPr>
              <w:jc w:val="center"/>
              <w:rPr>
                <w:b/>
                <w:bCs/>
                <w:color w:val="000000"/>
              </w:rPr>
            </w:pPr>
          </w:p>
          <w:p w:rsidR="000F674B" w:rsidP="00180620" w14:paraId="550FC187" w14:textId="77777777">
            <w:pPr>
              <w:jc w:val="center"/>
              <w:rPr>
                <w:b/>
                <w:bCs/>
                <w:color w:val="000000"/>
              </w:rPr>
            </w:pPr>
          </w:p>
          <w:p w:rsidR="000F674B" w:rsidP="00180620" w14:paraId="58803926" w14:textId="77777777">
            <w:pPr>
              <w:jc w:val="center"/>
              <w:rPr>
                <w:b/>
                <w:bCs/>
                <w:color w:val="000000"/>
              </w:rPr>
            </w:pPr>
          </w:p>
          <w:p w:rsidR="000F674B" w:rsidRPr="006C7FAE" w:rsidP="00180620" w14:paraId="4A1D503A" w14:textId="77777777">
            <w:pPr>
              <w:adjustRightInd/>
              <w:jc w:val="center"/>
              <w:textAlignment w:val="auto"/>
              <w:rPr>
                <w:rFonts w:eastAsia="Calibri"/>
                <w:b/>
                <w:bCs/>
                <w:color w:val="000000"/>
              </w:rPr>
            </w:pPr>
            <w:r>
              <w:rPr>
                <w:b/>
                <w:bCs/>
                <w:color w:val="000000"/>
              </w:rPr>
              <w:t>4,565</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P="00180620" w14:paraId="619BB0B6" w14:textId="77777777">
            <w:pPr>
              <w:jc w:val="center"/>
              <w:rPr>
                <w:rFonts w:eastAsia="Calibri"/>
                <w:b/>
                <w:bCs/>
                <w:color w:val="000000"/>
              </w:rPr>
            </w:pPr>
          </w:p>
          <w:p w:rsidR="000F674B" w:rsidP="00180620" w14:paraId="2CD728AF" w14:textId="77777777">
            <w:pPr>
              <w:jc w:val="center"/>
              <w:rPr>
                <w:rFonts w:eastAsia="Calibri"/>
                <w:b/>
                <w:bCs/>
                <w:color w:val="000000"/>
              </w:rPr>
            </w:pPr>
          </w:p>
          <w:p w:rsidR="000F674B" w:rsidP="00180620" w14:paraId="554090FF" w14:textId="77777777">
            <w:pPr>
              <w:jc w:val="center"/>
              <w:rPr>
                <w:rFonts w:eastAsia="Calibri"/>
                <w:b/>
                <w:bCs/>
                <w:color w:val="000000"/>
              </w:rPr>
            </w:pPr>
          </w:p>
          <w:p w:rsidR="000F674B" w:rsidRPr="006C7FAE" w:rsidP="00180620" w14:paraId="29077528" w14:textId="77777777">
            <w:pPr>
              <w:adjustRightInd/>
              <w:jc w:val="center"/>
              <w:textAlignment w:val="auto"/>
              <w:rPr>
                <w:rFonts w:eastAsia="Calibri"/>
                <w:b/>
                <w:bCs/>
                <w:color w:val="000000"/>
              </w:rPr>
            </w:pPr>
            <w:r>
              <w:rPr>
                <w:rFonts w:eastAsia="Calibri"/>
                <w:b/>
                <w:bCs/>
                <w:color w:val="000000"/>
              </w:rPr>
              <w:t>2</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P="00180620" w14:paraId="1E26564D" w14:textId="77777777">
            <w:pPr>
              <w:jc w:val="center"/>
              <w:rPr>
                <w:rFonts w:eastAsia="Calibri"/>
                <w:b/>
                <w:bCs/>
                <w:color w:val="000000"/>
              </w:rPr>
            </w:pPr>
          </w:p>
          <w:p w:rsidR="000F674B" w:rsidP="00180620" w14:paraId="3FC9887C" w14:textId="77777777">
            <w:pPr>
              <w:jc w:val="center"/>
              <w:rPr>
                <w:rFonts w:eastAsia="Calibri"/>
                <w:b/>
                <w:bCs/>
                <w:color w:val="000000"/>
              </w:rPr>
            </w:pPr>
          </w:p>
          <w:p w:rsidR="000F674B" w:rsidP="00180620" w14:paraId="3185E5F3" w14:textId="77777777">
            <w:pPr>
              <w:jc w:val="center"/>
              <w:rPr>
                <w:rFonts w:eastAsia="Calibri"/>
                <w:b/>
                <w:bCs/>
                <w:color w:val="000000"/>
              </w:rPr>
            </w:pPr>
          </w:p>
          <w:p w:rsidR="000F674B" w:rsidRPr="006C7FAE" w:rsidP="00180620" w14:paraId="78D35A24" w14:textId="77777777">
            <w:pPr>
              <w:adjustRightInd/>
              <w:jc w:val="center"/>
              <w:textAlignment w:val="auto"/>
              <w:rPr>
                <w:rFonts w:eastAsia="Calibri"/>
                <w:b/>
                <w:bCs/>
                <w:color w:val="000000"/>
              </w:rPr>
            </w:pPr>
            <w:r>
              <w:rPr>
                <w:rFonts w:eastAsia="Calibri"/>
                <w:b/>
                <w:bCs/>
                <w:color w:val="000000"/>
              </w:rPr>
              <w:t>9,130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P="00180620" w14:paraId="5F360020" w14:textId="77777777">
            <w:pPr>
              <w:jc w:val="center"/>
              <w:rPr>
                <w:rFonts w:eastAsia="Calibri"/>
                <w:b/>
                <w:bCs/>
                <w:color w:val="000000"/>
              </w:rPr>
            </w:pPr>
          </w:p>
          <w:p w:rsidR="000F674B" w:rsidP="00180620" w14:paraId="35AFBEF1" w14:textId="77777777">
            <w:pPr>
              <w:jc w:val="center"/>
              <w:rPr>
                <w:rFonts w:eastAsia="Calibri"/>
                <w:b/>
                <w:bCs/>
                <w:color w:val="000000"/>
              </w:rPr>
            </w:pPr>
          </w:p>
          <w:p w:rsidR="000F674B" w:rsidP="00180620" w14:paraId="323CEBEF" w14:textId="77777777">
            <w:pPr>
              <w:jc w:val="center"/>
              <w:rPr>
                <w:rFonts w:eastAsia="Calibri"/>
                <w:b/>
                <w:bCs/>
                <w:color w:val="000000"/>
              </w:rPr>
            </w:pPr>
          </w:p>
          <w:p w:rsidR="000F674B" w:rsidRPr="006C7FAE" w:rsidP="00180620" w14:paraId="6633F522" w14:textId="77777777">
            <w:pPr>
              <w:adjustRightInd/>
              <w:jc w:val="center"/>
              <w:textAlignment w:val="auto"/>
              <w:rPr>
                <w:rFonts w:eastAsia="Calibri"/>
                <w:b/>
                <w:bCs/>
                <w:color w:val="000000"/>
              </w:rPr>
            </w:pPr>
            <w:r>
              <w:rPr>
                <w:rFonts w:eastAsia="Calibri"/>
                <w:b/>
                <w:bCs/>
                <w:color w:val="000000"/>
              </w:rPr>
              <w:t>.333</w:t>
            </w:r>
          </w:p>
        </w:tc>
        <w:tc>
          <w:tcPr>
            <w:tcW w:w="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P="00180620" w14:paraId="724FF3DD" w14:textId="77777777">
            <w:pPr>
              <w:jc w:val="center"/>
              <w:rPr>
                <w:rFonts w:eastAsia="Calibri"/>
                <w:b/>
                <w:bCs/>
                <w:color w:val="000000"/>
              </w:rPr>
            </w:pPr>
          </w:p>
          <w:p w:rsidR="000F674B" w:rsidP="00180620" w14:paraId="004B4F50" w14:textId="77777777">
            <w:pPr>
              <w:jc w:val="center"/>
              <w:rPr>
                <w:rFonts w:eastAsia="Calibri"/>
                <w:b/>
                <w:bCs/>
                <w:color w:val="000000"/>
              </w:rPr>
            </w:pPr>
          </w:p>
          <w:p w:rsidR="000F674B" w:rsidP="00180620" w14:paraId="642E646F" w14:textId="77777777">
            <w:pPr>
              <w:jc w:val="center"/>
              <w:rPr>
                <w:rFonts w:eastAsia="Calibri"/>
                <w:b/>
                <w:bCs/>
                <w:color w:val="000000"/>
              </w:rPr>
            </w:pPr>
          </w:p>
          <w:p w:rsidR="000F674B" w:rsidRPr="006C7FAE" w:rsidP="00180620" w14:paraId="62CFF541" w14:textId="77777777">
            <w:pPr>
              <w:adjustRightInd/>
              <w:jc w:val="center"/>
              <w:textAlignment w:val="auto"/>
              <w:rPr>
                <w:rFonts w:eastAsia="Calibri"/>
                <w:b/>
                <w:bCs/>
                <w:color w:val="000000"/>
              </w:rPr>
            </w:pPr>
            <w:r>
              <w:rPr>
                <w:rFonts w:eastAsia="Calibri"/>
                <w:b/>
                <w:bCs/>
                <w:color w:val="000000"/>
              </w:rPr>
              <w:t>3,040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P="00180620" w14:paraId="5F009B4C" w14:textId="77777777">
            <w:pPr>
              <w:jc w:val="right"/>
              <w:rPr>
                <w:rFonts w:eastAsia="Calibri"/>
                <w:b/>
                <w:bCs/>
                <w:color w:val="000000"/>
              </w:rPr>
            </w:pPr>
          </w:p>
          <w:p w:rsidR="000F674B" w:rsidP="00180620" w14:paraId="3552A6E6" w14:textId="77777777">
            <w:pPr>
              <w:jc w:val="right"/>
              <w:rPr>
                <w:rFonts w:eastAsia="Calibri"/>
                <w:b/>
                <w:bCs/>
                <w:color w:val="000000"/>
              </w:rPr>
            </w:pPr>
          </w:p>
          <w:p w:rsidR="000F674B" w:rsidP="00180620" w14:paraId="3ED99BCC" w14:textId="77777777">
            <w:pPr>
              <w:jc w:val="right"/>
              <w:rPr>
                <w:rFonts w:eastAsia="Calibri"/>
                <w:b/>
                <w:bCs/>
                <w:color w:val="000000"/>
              </w:rPr>
            </w:pPr>
          </w:p>
          <w:p w:rsidR="000F674B" w:rsidRPr="006C7FAE" w:rsidP="00180620" w14:paraId="3D3ABD92" w14:textId="77777777">
            <w:pPr>
              <w:adjustRightInd/>
              <w:jc w:val="right"/>
              <w:textAlignment w:val="auto"/>
              <w:rPr>
                <w:rFonts w:eastAsia="Calibri"/>
                <w:b/>
                <w:bCs/>
                <w:color w:val="000000"/>
              </w:rPr>
            </w:pPr>
            <w:r>
              <w:rPr>
                <w:rFonts w:eastAsia="Calibri"/>
                <w:b/>
                <w:bCs/>
                <w:color w:val="000000"/>
              </w:rPr>
              <w:t>$49.55</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P="00180620" w14:paraId="1187696D" w14:textId="77777777">
            <w:pPr>
              <w:jc w:val="right"/>
              <w:rPr>
                <w:rFonts w:eastAsia="Calibri"/>
                <w:b/>
                <w:bCs/>
                <w:color w:val="000000"/>
              </w:rPr>
            </w:pPr>
          </w:p>
          <w:p w:rsidR="000F674B" w:rsidP="00180620" w14:paraId="12E436D8" w14:textId="77777777">
            <w:pPr>
              <w:jc w:val="right"/>
              <w:rPr>
                <w:rFonts w:eastAsia="Calibri"/>
                <w:b/>
                <w:bCs/>
                <w:color w:val="000000"/>
              </w:rPr>
            </w:pPr>
          </w:p>
          <w:p w:rsidR="000F674B" w:rsidP="00180620" w14:paraId="5818B171" w14:textId="77777777">
            <w:pPr>
              <w:jc w:val="right"/>
              <w:rPr>
                <w:rFonts w:eastAsia="Calibri"/>
                <w:b/>
                <w:bCs/>
                <w:color w:val="000000"/>
              </w:rPr>
            </w:pPr>
          </w:p>
          <w:p w:rsidR="000F674B" w:rsidRPr="006C7FAE" w:rsidP="00180620" w14:paraId="465C2600" w14:textId="77777777">
            <w:pPr>
              <w:adjustRightInd/>
              <w:jc w:val="right"/>
              <w:textAlignment w:val="auto"/>
              <w:rPr>
                <w:rFonts w:eastAsia="Calibri"/>
                <w:b/>
                <w:bCs/>
                <w:color w:val="000000"/>
              </w:rPr>
            </w:pPr>
            <w:r>
              <w:rPr>
                <w:rFonts w:eastAsia="Calibri"/>
                <w:b/>
                <w:bCs/>
                <w:color w:val="000000"/>
              </w:rPr>
              <w:t>$150,632.00</w:t>
            </w:r>
          </w:p>
        </w:tc>
      </w:tr>
      <w:tr w14:paraId="03C431D5" w14:textId="77777777" w:rsidTr="00180620">
        <w:tblPrEx>
          <w:tblW w:w="0" w:type="auto"/>
          <w:tblInd w:w="468" w:type="dxa"/>
          <w:tblCellMar>
            <w:left w:w="0" w:type="dxa"/>
            <w:right w:w="0" w:type="dxa"/>
          </w:tblCellMar>
          <w:tblLook w:val="04A0"/>
        </w:tblPrEx>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7689FF61" w14:textId="77777777">
            <w:pPr>
              <w:adjustRightInd/>
              <w:textAlignment w:val="auto"/>
              <w:rPr>
                <w:rFonts w:eastAsia="Calibri"/>
                <w:b/>
                <w:bCs/>
                <w:color w:val="000000"/>
              </w:rPr>
            </w:pPr>
            <w:r>
              <w:rPr>
                <w:b/>
                <w:bCs/>
                <w:color w:val="000000"/>
              </w:rPr>
              <w:t>HUD 4710i Instruction to fill out the above form</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271724A6" w14:textId="77777777">
            <w:pPr>
              <w:adjustRightInd/>
              <w:jc w:val="center"/>
              <w:textAlignment w:val="auto"/>
              <w:rPr>
                <w:rFonts w:eastAsia="Calibri"/>
                <w:b/>
                <w:bCs/>
                <w:color w:val="000000"/>
              </w:rPr>
            </w:pPr>
            <w:r>
              <w:rPr>
                <w:b/>
                <w:bCs/>
                <w:color w:val="000000"/>
              </w:rPr>
              <w:t>0</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3DE5CA3F" w14:textId="77777777">
            <w:pPr>
              <w:adjustRightInd/>
              <w:jc w:val="center"/>
              <w:textAlignment w:val="auto"/>
              <w:rPr>
                <w:rFonts w:eastAsia="Calibri"/>
                <w:b/>
                <w:bCs/>
                <w:color w:val="000000"/>
              </w:rPr>
            </w:pPr>
            <w:r>
              <w:rPr>
                <w:rFonts w:eastAsia="Calibri"/>
                <w:b/>
                <w:bCs/>
                <w:color w:val="000000"/>
              </w:rPr>
              <w:t>0</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338CB9D7" w14:textId="77777777">
            <w:pPr>
              <w:adjustRightInd/>
              <w:jc w:val="center"/>
              <w:textAlignment w:val="auto"/>
              <w:rPr>
                <w:rFonts w:eastAsia="Calibri"/>
                <w:b/>
                <w:bCs/>
                <w:color w:val="000000"/>
              </w:rPr>
            </w:pPr>
            <w:r>
              <w:rPr>
                <w:rFonts w:eastAsia="Calibri"/>
                <w:b/>
                <w:bCs/>
                <w:color w:val="000000"/>
              </w:rPr>
              <w:t>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38C2369C" w14:textId="77777777">
            <w:pPr>
              <w:adjustRightInd/>
              <w:jc w:val="center"/>
              <w:textAlignment w:val="auto"/>
              <w:rPr>
                <w:rFonts w:eastAsia="Calibri"/>
                <w:b/>
                <w:bCs/>
                <w:color w:val="000000"/>
              </w:rPr>
            </w:pPr>
            <w:r>
              <w:rPr>
                <w:rFonts w:eastAsia="Calibri"/>
                <w:b/>
                <w:bCs/>
                <w:color w:val="000000"/>
              </w:rPr>
              <w:t>0</w:t>
            </w:r>
          </w:p>
        </w:tc>
        <w:tc>
          <w:tcPr>
            <w:tcW w:w="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0DB5DFC8" w14:textId="77777777">
            <w:pPr>
              <w:adjustRightInd/>
              <w:jc w:val="center"/>
              <w:textAlignment w:val="auto"/>
              <w:rPr>
                <w:rFonts w:eastAsia="Calibri"/>
                <w:b/>
                <w:bCs/>
                <w:color w:val="000000"/>
              </w:rPr>
            </w:pPr>
            <w:r>
              <w:rPr>
                <w:rFonts w:eastAsia="Calibri"/>
                <w:b/>
                <w:bCs/>
                <w:color w:val="000000"/>
              </w:rPr>
              <w:t>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1556BEB8" w14:textId="77777777">
            <w:pPr>
              <w:adjustRightInd/>
              <w:jc w:val="right"/>
              <w:textAlignment w:val="auto"/>
              <w:rPr>
                <w:rFonts w:eastAsia="Calibri"/>
                <w:b/>
                <w:bCs/>
                <w:color w:val="000000"/>
              </w:rPr>
            </w:pPr>
            <w:r>
              <w:rPr>
                <w:rFonts w:eastAsia="Calibri"/>
                <w:b/>
                <w:bCs/>
                <w:color w:val="000000"/>
              </w:rPr>
              <w:t>0</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3BDF6220" w14:textId="77777777">
            <w:pPr>
              <w:adjustRightInd/>
              <w:jc w:val="right"/>
              <w:textAlignment w:val="auto"/>
              <w:rPr>
                <w:rFonts w:eastAsia="Calibri"/>
                <w:b/>
                <w:bCs/>
                <w:color w:val="000000"/>
              </w:rPr>
            </w:pPr>
            <w:r>
              <w:rPr>
                <w:rFonts w:eastAsia="Calibri"/>
                <w:b/>
                <w:bCs/>
                <w:color w:val="000000"/>
              </w:rPr>
              <w:t>0</w:t>
            </w:r>
          </w:p>
        </w:tc>
      </w:tr>
      <w:tr w14:paraId="6F862111" w14:textId="77777777" w:rsidTr="00180620">
        <w:tblPrEx>
          <w:tblW w:w="0" w:type="auto"/>
          <w:tblInd w:w="468" w:type="dxa"/>
          <w:tblCellMar>
            <w:left w:w="0" w:type="dxa"/>
            <w:right w:w="0" w:type="dxa"/>
          </w:tblCellMar>
          <w:tblLook w:val="04A0"/>
        </w:tblPrEx>
        <w:tc>
          <w:tcPr>
            <w:tcW w:w="14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18B86171" w14:textId="77777777">
            <w:pPr>
              <w:adjustRightInd/>
              <w:textAlignment w:val="auto"/>
              <w:rPr>
                <w:rFonts w:eastAsia="Calibri"/>
                <w:b/>
                <w:bCs/>
                <w:color w:val="000000"/>
              </w:rPr>
            </w:pPr>
            <w:r w:rsidRPr="00ED3DD9">
              <w:rPr>
                <w:b/>
                <w:bCs/>
                <w:color w:val="000000"/>
              </w:rPr>
              <w:t>Total</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747EF434" w14:textId="77777777">
            <w:pPr>
              <w:adjustRightInd/>
              <w:jc w:val="center"/>
              <w:textAlignment w:val="auto"/>
              <w:rPr>
                <w:rFonts w:eastAsia="Calibri"/>
                <w:b/>
                <w:bCs/>
                <w:color w:val="000000"/>
              </w:rPr>
            </w:pPr>
            <w:r>
              <w:rPr>
                <w:b/>
                <w:bCs/>
                <w:color w:val="000000"/>
              </w:rPr>
              <w:t>4,565</w:t>
            </w:r>
          </w:p>
        </w:tc>
        <w:tc>
          <w:tcPr>
            <w:tcW w:w="12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456B6C05" w14:textId="77777777">
            <w:pPr>
              <w:adjustRightInd/>
              <w:jc w:val="center"/>
              <w:textAlignment w:val="auto"/>
              <w:rPr>
                <w:rFonts w:eastAsia="Calibri"/>
                <w:b/>
                <w:bCs/>
                <w:color w:val="000000"/>
              </w:rPr>
            </w:pPr>
            <w:r>
              <w:rPr>
                <w:rFonts w:eastAsia="Calibri"/>
                <w:b/>
                <w:bCs/>
                <w:color w:val="000000"/>
              </w:rPr>
              <w:t>2</w:t>
            </w:r>
          </w:p>
        </w:tc>
        <w:tc>
          <w:tcPr>
            <w:tcW w:w="11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451BE2D8" w14:textId="77777777">
            <w:pPr>
              <w:adjustRightInd/>
              <w:jc w:val="center"/>
              <w:textAlignment w:val="auto"/>
              <w:rPr>
                <w:rFonts w:eastAsia="Calibri"/>
                <w:b/>
                <w:bCs/>
                <w:color w:val="000000"/>
              </w:rPr>
            </w:pPr>
            <w:r>
              <w:rPr>
                <w:rFonts w:eastAsia="Calibri"/>
                <w:b/>
                <w:bCs/>
                <w:color w:val="000000"/>
              </w:rPr>
              <w:t>9,130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59DA48F1" w14:textId="77777777">
            <w:pPr>
              <w:adjustRightInd/>
              <w:jc w:val="center"/>
              <w:textAlignment w:val="auto"/>
              <w:rPr>
                <w:rFonts w:eastAsia="Calibri"/>
                <w:b/>
                <w:bCs/>
                <w:color w:val="000000"/>
              </w:rPr>
            </w:pPr>
            <w:r>
              <w:rPr>
                <w:rFonts w:eastAsia="Calibri"/>
                <w:b/>
                <w:bCs/>
                <w:color w:val="000000"/>
              </w:rPr>
              <w:t>.333</w:t>
            </w:r>
          </w:p>
        </w:tc>
        <w:tc>
          <w:tcPr>
            <w:tcW w:w="9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262D228A" w14:textId="77777777">
            <w:pPr>
              <w:adjustRightInd/>
              <w:jc w:val="center"/>
              <w:textAlignment w:val="auto"/>
              <w:rPr>
                <w:rFonts w:eastAsia="Calibri"/>
                <w:b/>
                <w:bCs/>
                <w:color w:val="000000"/>
              </w:rPr>
            </w:pPr>
            <w:r>
              <w:rPr>
                <w:rFonts w:eastAsia="Calibri"/>
                <w:b/>
                <w:bCs/>
                <w:color w:val="000000"/>
              </w:rPr>
              <w:t>3,040</w:t>
            </w:r>
          </w:p>
        </w:tc>
        <w:tc>
          <w:tcPr>
            <w:tcW w:w="11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2C92CB92" w14:textId="618D9518">
            <w:pPr>
              <w:adjustRightInd/>
              <w:jc w:val="right"/>
              <w:textAlignment w:val="auto"/>
              <w:rPr>
                <w:rFonts w:eastAsia="Calibri"/>
                <w:b/>
                <w:bCs/>
                <w:color w:val="000000"/>
              </w:rPr>
            </w:pPr>
            <w:r>
              <w:rPr>
                <w:rFonts w:eastAsia="Calibri"/>
                <w:b/>
                <w:bCs/>
                <w:color w:val="000000"/>
              </w:rPr>
              <w:t>$49.55</w:t>
            </w:r>
            <w:r w:rsidR="00476842">
              <w:rPr>
                <w:rFonts w:eastAsia="Calibri"/>
                <w:b/>
                <w:bCs/>
                <w:color w:val="000000"/>
              </w:rPr>
              <w:t>*</w:t>
            </w:r>
          </w:p>
        </w:tc>
        <w:tc>
          <w:tcPr>
            <w:tcW w:w="1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F674B" w:rsidRPr="006C7FAE" w:rsidP="00180620" w14:paraId="169865CD" w14:textId="77777777">
            <w:pPr>
              <w:adjustRightInd/>
              <w:jc w:val="right"/>
              <w:textAlignment w:val="auto"/>
              <w:rPr>
                <w:rFonts w:eastAsia="Calibri"/>
                <w:b/>
                <w:bCs/>
                <w:color w:val="000000"/>
              </w:rPr>
            </w:pPr>
            <w:r>
              <w:rPr>
                <w:rFonts w:eastAsia="Calibri"/>
                <w:b/>
                <w:bCs/>
                <w:color w:val="000000"/>
              </w:rPr>
              <w:t>$150,632.00</w:t>
            </w:r>
          </w:p>
        </w:tc>
      </w:tr>
    </w:tbl>
    <w:p w:rsidR="006F1EAB" w:rsidRPr="00B912FB" w:rsidP="00B912FB" w14:paraId="6229BFAB" w14:textId="222AD2BC">
      <w:pPr>
        <w:tabs>
          <w:tab w:val="left" w:pos="360"/>
        </w:tabs>
        <w:ind w:left="720"/>
        <w:rPr>
          <w:sz w:val="18"/>
          <w:szCs w:val="18"/>
        </w:rPr>
      </w:pPr>
      <w:r w:rsidRPr="00B912FB">
        <w:rPr>
          <w:sz w:val="18"/>
          <w:szCs w:val="18"/>
        </w:rPr>
        <w:t>*</w:t>
      </w:r>
      <w:r w:rsidRPr="00B912FB">
        <w:rPr>
          <w:rFonts w:ascii="Segoe UI" w:hAnsi="Segoe UI" w:cs="Segoe UI"/>
          <w:sz w:val="18"/>
          <w:szCs w:val="18"/>
        </w:rPr>
        <w:t xml:space="preserve"> </w:t>
      </w:r>
      <w:r w:rsidRPr="00B912FB">
        <w:rPr>
          <w:sz w:val="18"/>
          <w:szCs w:val="18"/>
        </w:rPr>
        <w:t>The estimated costs to the Federal government are based on an estimated labor rate of $49.55 (GS-13, Step 1, for the Office of Personnel Management's (OPM’s) General Schedule pay table for 2024 for the “Rest of United States” (reflecting the geographic dispersity of the reviewers of the forms) (</w:t>
      </w:r>
      <w:hyperlink r:id="rId10" w:history="1">
        <w:r w:rsidRPr="00B912FB">
          <w:rPr>
            <w:rStyle w:val="Hyperlink"/>
            <w:sz w:val="18"/>
            <w:szCs w:val="18"/>
          </w:rPr>
          <w:t>https://www.opm.gov/policy-data-oversight/pay-leave/salaries-wages/salary-tables/24Tables/html/RUS_h.aspx</w:t>
        </w:r>
      </w:hyperlink>
      <w:r w:rsidRPr="00B912FB">
        <w:rPr>
          <w:sz w:val="18"/>
          <w:szCs w:val="18"/>
        </w:rPr>
        <w:t>).</w:t>
      </w:r>
    </w:p>
    <w:p w:rsidR="000F674B" w:rsidRPr="006C7FAE" w:rsidP="00EF2F2E" w14:paraId="401ABF5F" w14:textId="77777777">
      <w:pPr>
        <w:tabs>
          <w:tab w:val="left" w:pos="360"/>
        </w:tabs>
        <w:rPr>
          <w:sz w:val="24"/>
          <w:szCs w:val="24"/>
        </w:rPr>
      </w:pPr>
    </w:p>
    <w:p w:rsidR="000F674B" w:rsidRPr="006C7FAE" w:rsidP="000F674B" w14:paraId="5D2C6545"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Pr>
          <w:sz w:val="24"/>
          <w:szCs w:val="24"/>
        </w:rPr>
        <w:t>2</w:t>
      </w:r>
      <w:r w:rsidRPr="006C7FAE">
        <w:rPr>
          <w:sz w:val="24"/>
          <w:szCs w:val="24"/>
        </w:rPr>
        <w:t xml:space="preserve"> and 14 of the </w:t>
      </w:r>
      <w:r>
        <w:rPr>
          <w:sz w:val="24"/>
          <w:szCs w:val="24"/>
        </w:rPr>
        <w:t>Supporting Statement</w:t>
      </w:r>
      <w:r w:rsidRPr="006C7FAE">
        <w:rPr>
          <w:sz w:val="24"/>
          <w:szCs w:val="24"/>
        </w:rPr>
        <w:t>.</w:t>
      </w:r>
    </w:p>
    <w:p w:rsidR="00B912FB" w:rsidP="000F674B" w14:paraId="5C25F973" w14:textId="77777777">
      <w:pPr>
        <w:keepLines/>
        <w:tabs>
          <w:tab w:val="left" w:pos="360"/>
          <w:tab w:val="left" w:pos="720"/>
        </w:tabs>
        <w:ind w:left="360"/>
        <w:rPr>
          <w:sz w:val="24"/>
          <w:szCs w:val="24"/>
        </w:rPr>
      </w:pPr>
    </w:p>
    <w:p w:rsidR="001530BF" w:rsidP="000F674B" w14:paraId="058FA4B5" w14:textId="77777777">
      <w:pPr>
        <w:keepLines/>
        <w:tabs>
          <w:tab w:val="left" w:pos="360"/>
          <w:tab w:val="left" w:pos="720"/>
        </w:tabs>
        <w:ind w:left="360"/>
        <w:rPr>
          <w:sz w:val="24"/>
          <w:szCs w:val="24"/>
        </w:rPr>
      </w:pPr>
      <w:r>
        <w:rPr>
          <w:sz w:val="24"/>
          <w:szCs w:val="24"/>
        </w:rPr>
        <w:t>Adjustments</w:t>
      </w:r>
      <w:r w:rsidR="000F674B">
        <w:rPr>
          <w:sz w:val="24"/>
          <w:szCs w:val="24"/>
        </w:rPr>
        <w:t xml:space="preserve"> were made to items 12 and 14.  The number of respondents changed from 4,870 to 4,565 which is substantiated by a reduced number of agencies receiving HUD funding subject to the Davis-Bacon and Related Acts (DBRA) labor standard requirements.  Due to the process being automated, the response time for both state and local agencies and HUD staff was reduced from 2.5 hours to 1 hour for state and local agencies, and from 1 hour to 20 minutes (0.333) for HUD staff. Finally, hourly wage rates </w:t>
      </w:r>
      <w:r w:rsidR="00576A8B">
        <w:rPr>
          <w:sz w:val="24"/>
          <w:szCs w:val="24"/>
        </w:rPr>
        <w:t xml:space="preserve">changed </w:t>
      </w:r>
      <w:r w:rsidR="000F674B">
        <w:rPr>
          <w:sz w:val="24"/>
          <w:szCs w:val="24"/>
        </w:rPr>
        <w:t xml:space="preserve">since </w:t>
      </w:r>
      <w:r w:rsidR="00D96716">
        <w:rPr>
          <w:sz w:val="24"/>
          <w:szCs w:val="24"/>
        </w:rPr>
        <w:t>th</w:t>
      </w:r>
      <w:r w:rsidR="00BC06BE">
        <w:rPr>
          <w:sz w:val="24"/>
          <w:szCs w:val="24"/>
        </w:rPr>
        <w:t>is</w:t>
      </w:r>
      <w:r w:rsidR="00D96716">
        <w:rPr>
          <w:sz w:val="24"/>
          <w:szCs w:val="24"/>
        </w:rPr>
        <w:t xml:space="preserve"> </w:t>
      </w:r>
      <w:r w:rsidR="000F674B">
        <w:rPr>
          <w:sz w:val="24"/>
          <w:szCs w:val="24"/>
        </w:rPr>
        <w:t>collect</w:t>
      </w:r>
      <w:r w:rsidR="00D96716">
        <w:rPr>
          <w:sz w:val="24"/>
          <w:szCs w:val="24"/>
        </w:rPr>
        <w:t>ion</w:t>
      </w:r>
      <w:r w:rsidR="000F674B">
        <w:rPr>
          <w:sz w:val="24"/>
          <w:szCs w:val="24"/>
        </w:rPr>
        <w:t xml:space="preserve"> </w:t>
      </w:r>
      <w:r w:rsidR="00F76F89">
        <w:rPr>
          <w:sz w:val="24"/>
          <w:szCs w:val="24"/>
        </w:rPr>
        <w:t xml:space="preserve">was </w:t>
      </w:r>
      <w:r w:rsidR="000F674B">
        <w:rPr>
          <w:sz w:val="24"/>
          <w:szCs w:val="24"/>
        </w:rPr>
        <w:t>last approved.</w:t>
      </w:r>
      <w:r w:rsidR="0008401B">
        <w:rPr>
          <w:sz w:val="24"/>
          <w:szCs w:val="24"/>
        </w:rPr>
        <w:t xml:space="preserve"> </w:t>
      </w:r>
      <w:r w:rsidR="000F674B">
        <w:rPr>
          <w:sz w:val="24"/>
          <w:szCs w:val="24"/>
        </w:rPr>
        <w:t xml:space="preserve"> </w:t>
      </w:r>
    </w:p>
    <w:p w:rsidR="001530BF" w:rsidP="000F674B" w14:paraId="269E80E9" w14:textId="77777777">
      <w:pPr>
        <w:keepLines/>
        <w:tabs>
          <w:tab w:val="left" w:pos="360"/>
          <w:tab w:val="left" w:pos="720"/>
        </w:tabs>
        <w:ind w:left="360"/>
        <w:rPr>
          <w:sz w:val="24"/>
          <w:szCs w:val="24"/>
        </w:rPr>
      </w:pPr>
    </w:p>
    <w:p w:rsidR="001530BF" w:rsidP="001530BF" w14:paraId="2DFB81F7" w14:textId="2BBC0205">
      <w:pPr>
        <w:ind w:left="360"/>
        <w:rPr>
          <w:color w:val="000000"/>
          <w:sz w:val="24"/>
          <w:szCs w:val="24"/>
        </w:rPr>
      </w:pPr>
      <w:r>
        <w:rPr>
          <w:color w:val="000000"/>
          <w:sz w:val="24"/>
          <w:szCs w:val="24"/>
        </w:rPr>
        <w:t xml:space="preserve">To be in compliance with the new Davis Bacon regulations above, HUD has edited its form HUD-4710, </w:t>
      </w:r>
      <w:r w:rsidRPr="00A17EED">
        <w:rPr>
          <w:color w:val="000000"/>
          <w:sz w:val="24"/>
          <w:szCs w:val="24"/>
        </w:rPr>
        <w:t>Semi-Annual Labor Standards Enforcement Report - Local Contracting Agencies (HUD Programs)</w:t>
      </w:r>
      <w:r>
        <w:rPr>
          <w:color w:val="000000"/>
          <w:sz w:val="24"/>
          <w:szCs w:val="24"/>
        </w:rPr>
        <w:t xml:space="preserve">, to match the template provided in </w:t>
      </w:r>
      <w:hyperlink r:id="rId9" w:history="1">
        <w:r w:rsidRPr="00EA1DE6">
          <w:rPr>
            <w:rStyle w:val="Hyperlink"/>
            <w:sz w:val="24"/>
            <w:szCs w:val="24"/>
          </w:rPr>
          <w:t>DOL AAM 189</w:t>
        </w:r>
      </w:hyperlink>
      <w:r>
        <w:rPr>
          <w:color w:val="000000"/>
          <w:sz w:val="24"/>
          <w:szCs w:val="24"/>
        </w:rPr>
        <w:t>.</w:t>
      </w:r>
      <w:r>
        <w:rPr>
          <w:rStyle w:val="FootnoteReference"/>
          <w:color w:val="000000"/>
          <w:sz w:val="24"/>
          <w:szCs w:val="24"/>
        </w:rPr>
        <w:footnoteReference w:id="3"/>
      </w:r>
      <w:r>
        <w:rPr>
          <w:color w:val="000000"/>
          <w:sz w:val="24"/>
          <w:szCs w:val="24"/>
        </w:rPr>
        <w:t xml:space="preserve"> </w:t>
      </w:r>
      <w:r w:rsidRPr="00396FEC">
        <w:rPr>
          <w:color w:val="000000"/>
          <w:sz w:val="24"/>
          <w:szCs w:val="24"/>
        </w:rPr>
        <w:t>HUD consolidates the data collected from respondents and submits the data to DOL in its report.</w:t>
      </w:r>
      <w:r>
        <w:rPr>
          <w:color w:val="000000"/>
          <w:sz w:val="24"/>
          <w:szCs w:val="24"/>
        </w:rPr>
        <w:t xml:space="preserve"> HUD has also updated the corresponding instruction form HUD-4710i to match the changes made to form HUD-4710. </w:t>
      </w:r>
    </w:p>
    <w:p w:rsidR="000F674B" w:rsidP="000F674B" w14:paraId="3023F405"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C4562" w:rsidP="00B912FB" w14:paraId="2F64211C" w14:textId="77777777">
      <w:pPr>
        <w:pStyle w:val="NoSpacing"/>
      </w:pPr>
    </w:p>
    <w:p w:rsidR="000F674B" w:rsidRPr="006C7F33" w:rsidP="000F674B" w14:paraId="6E552048" w14:textId="77777777">
      <w:pPr>
        <w:keepLines/>
        <w:tabs>
          <w:tab w:val="left" w:pos="360"/>
        </w:tabs>
        <w:spacing w:after="80"/>
        <w:ind w:left="360" w:hanging="360"/>
        <w:rPr>
          <w:sz w:val="24"/>
          <w:szCs w:val="24"/>
        </w:rPr>
      </w:pPr>
      <w:r>
        <w:rPr>
          <w:sz w:val="24"/>
          <w:szCs w:val="24"/>
        </w:rPr>
        <w:tab/>
      </w:r>
      <w:r>
        <w:rPr>
          <w:color w:val="000000"/>
          <w:sz w:val="24"/>
          <w:szCs w:val="24"/>
        </w:rPr>
        <w:t>HUD will not publish t</w:t>
      </w:r>
      <w:r w:rsidRPr="00396FEC">
        <w:rPr>
          <w:color w:val="000000"/>
          <w:sz w:val="24"/>
          <w:szCs w:val="24"/>
        </w:rPr>
        <w:t>he information gathered from this collection</w:t>
      </w:r>
      <w:r>
        <w:rPr>
          <w:color w:val="000000"/>
          <w:sz w:val="24"/>
          <w:szCs w:val="24"/>
        </w:rPr>
        <w:t>.</w:t>
      </w:r>
    </w:p>
    <w:p w:rsidR="00B912FB" w:rsidRPr="006C7FAE" w:rsidP="00B912FB" w14:paraId="66DA826E" w14:textId="77777777">
      <w:pPr>
        <w:pStyle w:val="NoSpacing"/>
      </w:pPr>
    </w:p>
    <w:p w:rsidR="000F674B" w:rsidP="000F674B" w14:paraId="51CCD8CA"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AC3BC5" w:rsidP="000F674B" w14:paraId="38FBAA35" w14:textId="77777777">
      <w:pPr>
        <w:keepLines/>
        <w:tabs>
          <w:tab w:val="left" w:pos="360"/>
        </w:tabs>
        <w:spacing w:after="80"/>
        <w:ind w:left="360" w:hanging="360"/>
        <w:rPr>
          <w:sz w:val="24"/>
          <w:szCs w:val="24"/>
        </w:rPr>
      </w:pPr>
    </w:p>
    <w:p w:rsidR="000F674B" w:rsidP="000F674B" w14:paraId="3AA5A024" w14:textId="77777777">
      <w:pPr>
        <w:ind w:left="432"/>
        <w:rPr>
          <w:color w:val="000000"/>
          <w:sz w:val="24"/>
          <w:szCs w:val="24"/>
        </w:rPr>
      </w:pPr>
      <w:r w:rsidRPr="00396FEC">
        <w:rPr>
          <w:color w:val="000000"/>
          <w:sz w:val="24"/>
          <w:szCs w:val="24"/>
        </w:rPr>
        <w:t>HUD is not seeking approval to avoid displaying the expiration date for this information collection.</w:t>
      </w:r>
    </w:p>
    <w:p w:rsidR="000F674B" w:rsidRPr="006C7FAE" w:rsidP="000F674B" w14:paraId="7EFD47FC" w14:textId="77777777">
      <w:pPr>
        <w:keepLines/>
        <w:tabs>
          <w:tab w:val="left" w:pos="360"/>
        </w:tabs>
        <w:spacing w:after="80"/>
        <w:ind w:left="360" w:hanging="360"/>
        <w:rPr>
          <w:sz w:val="24"/>
          <w:szCs w:val="24"/>
        </w:rPr>
      </w:pPr>
    </w:p>
    <w:p w:rsidR="000F674B" w:rsidRPr="006C7FAE" w:rsidP="000F674B" w14:paraId="55BF969E"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0F674B" w:rsidRPr="00396FEC" w:rsidP="000F674B" w14:paraId="3201FFD8" w14:textId="77777777">
      <w:pPr>
        <w:ind w:left="432" w:right="288"/>
        <w:rPr>
          <w:color w:val="000000"/>
          <w:sz w:val="24"/>
          <w:szCs w:val="24"/>
        </w:rPr>
      </w:pPr>
      <w:r w:rsidRPr="00396FEC">
        <w:rPr>
          <w:color w:val="000000"/>
          <w:sz w:val="24"/>
          <w:szCs w:val="24"/>
        </w:rPr>
        <w:t>There are no exceptions to the Certification Statement identified in item 19 of the OMB 83-1. The certification provisions identified in items a through j have been satisfied within this supporting statement; therefore, there are no exceptions to the certification statement.</w:t>
      </w:r>
    </w:p>
    <w:p w:rsidR="000F674B" w:rsidRPr="006C7FAE" w:rsidP="000F674B" w14:paraId="11C0D026" w14:textId="77777777">
      <w:pPr>
        <w:keepLines/>
        <w:tabs>
          <w:tab w:val="left" w:pos="360"/>
          <w:tab w:val="left" w:pos="720"/>
        </w:tabs>
        <w:ind w:left="360"/>
        <w:rPr>
          <w:sz w:val="24"/>
          <w:szCs w:val="24"/>
        </w:rPr>
      </w:pPr>
    </w:p>
    <w:p w:rsidR="000F674B" w:rsidRPr="006C7FAE" w:rsidP="000F674B" w14:paraId="2CFDEAA4" w14:textId="77777777">
      <w:pPr>
        <w:tabs>
          <w:tab w:val="left" w:pos="360"/>
          <w:tab w:val="left" w:pos="720"/>
        </w:tabs>
        <w:rPr>
          <w:sz w:val="24"/>
          <w:szCs w:val="24"/>
        </w:rPr>
      </w:pPr>
    </w:p>
    <w:p w:rsidR="000F674B" w:rsidP="000F674B" w14:paraId="241F6F32"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0F674B" w:rsidP="000F674B" w14:paraId="64F98DEE"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0F674B" w:rsidRPr="006C7FAE" w:rsidP="000F674B" w14:paraId="54C6C936" w14:textId="77777777">
      <w:pPr>
        <w:spacing w:before="205" w:line="253" w:lineRule="exact"/>
        <w:ind w:left="360"/>
        <w:rPr>
          <w:sz w:val="24"/>
          <w:szCs w:val="24"/>
        </w:rPr>
      </w:pPr>
      <w:r w:rsidRPr="00396FEC">
        <w:rPr>
          <w:color w:val="000000"/>
          <w:sz w:val="24"/>
          <w:szCs w:val="24"/>
        </w:rPr>
        <w:t>There are no statistical methods used in this collection.</w:t>
      </w:r>
    </w:p>
    <w:p w:rsidR="00CE4C30" w14:paraId="0577607F" w14:textId="77777777"/>
    <w:sectPr w:rsidSect="000F674B">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D45" w14:paraId="31A0D56F" w14:textId="77777777">
      <w:r>
        <w:separator/>
      </w:r>
    </w:p>
  </w:footnote>
  <w:footnote w:type="continuationSeparator" w:id="1">
    <w:p w:rsidR="001D6D45" w14:paraId="72BF7CB0" w14:textId="77777777">
      <w:r>
        <w:continuationSeparator/>
      </w:r>
    </w:p>
  </w:footnote>
  <w:footnote w:id="2">
    <w:p w:rsidR="00EA1DE6" w14:paraId="2FCE1AC5" w14:textId="3F5BADED">
      <w:pPr>
        <w:pStyle w:val="FootnoteText"/>
      </w:pPr>
      <w:r>
        <w:rPr>
          <w:rStyle w:val="FootnoteReference"/>
        </w:rPr>
        <w:footnoteRef/>
      </w:r>
      <w:r>
        <w:t xml:space="preserve"> DOL AAM 189: </w:t>
      </w:r>
      <w:hyperlink r:id="rId1" w:history="1">
        <w:r w:rsidRPr="002C00EB">
          <w:rPr>
            <w:rStyle w:val="Hyperlink"/>
          </w:rPr>
          <w:t>https://iae-wdol-sam-gov.s3.amazonaws.com/WDOL_MEMORANDUM/AAM189.pdf?X-Amz-Algorithm=AWS4-HMAC-SHA256&amp;X-Amz-Date=20240827T172016Z&amp;X-Amz-SignedHeaders=host&amp;X-Amz-Expires=10&amp;X-Amz-Credential=AKIAY3LPYEEXYSOFBWGG%2F20240827%2Fus-east-1%2Fs3%2Faws4_request&amp;X-Amz-Signature=3cf00e62e3583dc890c882f6921bb483537e1a48738712fef2441d0ab5c74881</w:t>
        </w:r>
      </w:hyperlink>
      <w:r>
        <w:t xml:space="preserve"> </w:t>
      </w:r>
    </w:p>
  </w:footnote>
  <w:footnote w:id="3">
    <w:p w:rsidR="001530BF" w:rsidP="001530BF" w14:paraId="69DD4F0E" w14:textId="77777777">
      <w:pPr>
        <w:pStyle w:val="FootnoteText"/>
      </w:pPr>
      <w:r>
        <w:rPr>
          <w:rStyle w:val="FootnoteReference"/>
        </w:rPr>
        <w:footnoteRef/>
      </w:r>
      <w:r>
        <w:t xml:space="preserve"> DOL AAM 189: </w:t>
      </w:r>
      <w:hyperlink r:id="rId1" w:history="1">
        <w:r w:rsidRPr="002C00EB">
          <w:rPr>
            <w:rStyle w:val="Hyperlink"/>
          </w:rPr>
          <w:t>https://iae-wdol-sam-gov.s3.amazonaws.com/WDOL_MEMORANDUM/AAM189.pdf?X-Amz-Algorithm=AWS4-HMAC-SHA256&amp;X-Amz-Date=20240827T172016Z&amp;X-Amz-SignedHeaders=host&amp;X-Amz-Expires=10&amp;X-Amz-Credential=AKIAY3LPYEEXYSOFBWGG%2F20240827%2Fus-east-1%2Fs3%2Faws4_request&amp;X-Amz-Signature=3cf00e62e3583dc890c882f6921bb483537e1a48738712fef2441d0ab5c74881</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68B23E3"/>
    <w:multiLevelType w:val="hybridMultilevel"/>
    <w:tmpl w:val="E4F2B2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18A65BBF"/>
    <w:multiLevelType w:val="hybridMultilevel"/>
    <w:tmpl w:val="FAD8BB8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2C04E40"/>
    <w:multiLevelType w:val="hybridMultilevel"/>
    <w:tmpl w:val="413AC0A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27523372"/>
    <w:multiLevelType w:val="multilevel"/>
    <w:tmpl w:val="C22E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151797"/>
    <w:multiLevelType w:val="hybridMultilevel"/>
    <w:tmpl w:val="4F5AA7C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7">
    <w:nsid w:val="51A85A75"/>
    <w:multiLevelType w:val="hybridMultilevel"/>
    <w:tmpl w:val="3AD45FC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AC737A"/>
    <w:multiLevelType w:val="hybridMultilevel"/>
    <w:tmpl w:val="D8D267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493954902">
    <w:abstractNumId w:val="6"/>
  </w:num>
  <w:num w:numId="2" w16cid:durableId="1018459861">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3" w16cid:durableId="727456158">
    <w:abstractNumId w:val="3"/>
  </w:num>
  <w:num w:numId="4" w16cid:durableId="1074744570">
    <w:abstractNumId w:val="2"/>
  </w:num>
  <w:num w:numId="5" w16cid:durableId="275523574">
    <w:abstractNumId w:val="8"/>
  </w:num>
  <w:num w:numId="6" w16cid:durableId="1004672065">
    <w:abstractNumId w:val="1"/>
  </w:num>
  <w:num w:numId="7" w16cid:durableId="647782089">
    <w:abstractNumId w:val="5"/>
  </w:num>
  <w:num w:numId="8" w16cid:durableId="160972105">
    <w:abstractNumId w:val="4"/>
  </w:num>
  <w:num w:numId="9" w16cid:durableId="363335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B"/>
    <w:rsid w:val="000033CE"/>
    <w:rsid w:val="0008401B"/>
    <w:rsid w:val="000B397E"/>
    <w:rsid w:val="000C3DE2"/>
    <w:rsid w:val="000D5079"/>
    <w:rsid w:val="000F3423"/>
    <w:rsid w:val="000F674B"/>
    <w:rsid w:val="001530BF"/>
    <w:rsid w:val="00167E53"/>
    <w:rsid w:val="00180620"/>
    <w:rsid w:val="001C7106"/>
    <w:rsid w:val="001D6D45"/>
    <w:rsid w:val="001D73EE"/>
    <w:rsid w:val="001F0E7E"/>
    <w:rsid w:val="002106D7"/>
    <w:rsid w:val="00222DC4"/>
    <w:rsid w:val="00256FCB"/>
    <w:rsid w:val="002977E0"/>
    <w:rsid w:val="002A2003"/>
    <w:rsid w:val="002C00EB"/>
    <w:rsid w:val="002C643B"/>
    <w:rsid w:val="002F1E7A"/>
    <w:rsid w:val="002F5AF6"/>
    <w:rsid w:val="00322BF3"/>
    <w:rsid w:val="003330BB"/>
    <w:rsid w:val="00346D7C"/>
    <w:rsid w:val="00351AD0"/>
    <w:rsid w:val="00354863"/>
    <w:rsid w:val="00354ECD"/>
    <w:rsid w:val="00390794"/>
    <w:rsid w:val="00396FEC"/>
    <w:rsid w:val="003B2DC6"/>
    <w:rsid w:val="003B366A"/>
    <w:rsid w:val="003D7BE0"/>
    <w:rsid w:val="003F2BE7"/>
    <w:rsid w:val="003F7360"/>
    <w:rsid w:val="00406B39"/>
    <w:rsid w:val="004427A9"/>
    <w:rsid w:val="00442DC0"/>
    <w:rsid w:val="004514A3"/>
    <w:rsid w:val="004655F7"/>
    <w:rsid w:val="00476842"/>
    <w:rsid w:val="004B4DD9"/>
    <w:rsid w:val="004B7FBF"/>
    <w:rsid w:val="004E1992"/>
    <w:rsid w:val="004F0C31"/>
    <w:rsid w:val="00556F59"/>
    <w:rsid w:val="00560AD9"/>
    <w:rsid w:val="00565D65"/>
    <w:rsid w:val="00566461"/>
    <w:rsid w:val="00570A05"/>
    <w:rsid w:val="0057158A"/>
    <w:rsid w:val="00576A8B"/>
    <w:rsid w:val="00577443"/>
    <w:rsid w:val="0058181B"/>
    <w:rsid w:val="00583BFC"/>
    <w:rsid w:val="005A5835"/>
    <w:rsid w:val="005A70FF"/>
    <w:rsid w:val="005B1077"/>
    <w:rsid w:val="005B44F4"/>
    <w:rsid w:val="005B7E9F"/>
    <w:rsid w:val="005C17C2"/>
    <w:rsid w:val="005E5840"/>
    <w:rsid w:val="00637D2A"/>
    <w:rsid w:val="0065118D"/>
    <w:rsid w:val="006519B1"/>
    <w:rsid w:val="006644C4"/>
    <w:rsid w:val="00676D3C"/>
    <w:rsid w:val="006A287B"/>
    <w:rsid w:val="006B5598"/>
    <w:rsid w:val="006B6CF8"/>
    <w:rsid w:val="006C7F33"/>
    <w:rsid w:val="006C7FAE"/>
    <w:rsid w:val="006F1EAB"/>
    <w:rsid w:val="006F3208"/>
    <w:rsid w:val="006F511D"/>
    <w:rsid w:val="007427A9"/>
    <w:rsid w:val="00755D6B"/>
    <w:rsid w:val="007725DD"/>
    <w:rsid w:val="007A6005"/>
    <w:rsid w:val="007C4B32"/>
    <w:rsid w:val="007C5A1F"/>
    <w:rsid w:val="007D14F8"/>
    <w:rsid w:val="007D7689"/>
    <w:rsid w:val="007F7EEF"/>
    <w:rsid w:val="00803744"/>
    <w:rsid w:val="00846578"/>
    <w:rsid w:val="008877F3"/>
    <w:rsid w:val="008F57B2"/>
    <w:rsid w:val="009027FB"/>
    <w:rsid w:val="00916194"/>
    <w:rsid w:val="00945C11"/>
    <w:rsid w:val="00981126"/>
    <w:rsid w:val="00997EBC"/>
    <w:rsid w:val="00A17EED"/>
    <w:rsid w:val="00A55BB8"/>
    <w:rsid w:val="00A73C55"/>
    <w:rsid w:val="00AA1952"/>
    <w:rsid w:val="00AC3BC5"/>
    <w:rsid w:val="00AE3FB7"/>
    <w:rsid w:val="00B056B8"/>
    <w:rsid w:val="00B33560"/>
    <w:rsid w:val="00B82784"/>
    <w:rsid w:val="00B912FB"/>
    <w:rsid w:val="00BA1672"/>
    <w:rsid w:val="00BA3DAD"/>
    <w:rsid w:val="00BC06BE"/>
    <w:rsid w:val="00BD1C68"/>
    <w:rsid w:val="00BD76E8"/>
    <w:rsid w:val="00C6448D"/>
    <w:rsid w:val="00C75CE8"/>
    <w:rsid w:val="00C81CDC"/>
    <w:rsid w:val="00CE4C30"/>
    <w:rsid w:val="00CF1CE5"/>
    <w:rsid w:val="00D51A14"/>
    <w:rsid w:val="00D7765A"/>
    <w:rsid w:val="00D96716"/>
    <w:rsid w:val="00DF784E"/>
    <w:rsid w:val="00E106F5"/>
    <w:rsid w:val="00E33474"/>
    <w:rsid w:val="00E37FD0"/>
    <w:rsid w:val="00E40E14"/>
    <w:rsid w:val="00E438E1"/>
    <w:rsid w:val="00E6657A"/>
    <w:rsid w:val="00EA1DE6"/>
    <w:rsid w:val="00EA4340"/>
    <w:rsid w:val="00ED3DD9"/>
    <w:rsid w:val="00EF2F2E"/>
    <w:rsid w:val="00F16B3B"/>
    <w:rsid w:val="00F42749"/>
    <w:rsid w:val="00F4760A"/>
    <w:rsid w:val="00F75AEC"/>
    <w:rsid w:val="00F76F89"/>
    <w:rsid w:val="00FC1842"/>
    <w:rsid w:val="00FC25C2"/>
    <w:rsid w:val="00FC4555"/>
    <w:rsid w:val="00FC4562"/>
    <w:rsid w:val="00FE587F"/>
    <w:rsid w:val="00FF15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8CE1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74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F6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6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7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7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7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7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74B"/>
    <w:rPr>
      <w:rFonts w:eastAsiaTheme="majorEastAsia" w:cstheme="majorBidi"/>
      <w:color w:val="272727" w:themeColor="text1" w:themeTint="D8"/>
    </w:rPr>
  </w:style>
  <w:style w:type="paragraph" w:styleId="Title">
    <w:name w:val="Title"/>
    <w:basedOn w:val="Normal"/>
    <w:next w:val="Normal"/>
    <w:link w:val="TitleChar"/>
    <w:uiPriority w:val="10"/>
    <w:qFormat/>
    <w:rsid w:val="000F67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74B"/>
    <w:pPr>
      <w:spacing w:before="160"/>
      <w:jc w:val="center"/>
    </w:pPr>
    <w:rPr>
      <w:i/>
      <w:iCs/>
      <w:color w:val="404040" w:themeColor="text1" w:themeTint="BF"/>
    </w:rPr>
  </w:style>
  <w:style w:type="character" w:customStyle="1" w:styleId="QuoteChar">
    <w:name w:val="Quote Char"/>
    <w:basedOn w:val="DefaultParagraphFont"/>
    <w:link w:val="Quote"/>
    <w:uiPriority w:val="29"/>
    <w:rsid w:val="000F674B"/>
    <w:rPr>
      <w:i/>
      <w:iCs/>
      <w:color w:val="404040" w:themeColor="text1" w:themeTint="BF"/>
    </w:rPr>
  </w:style>
  <w:style w:type="paragraph" w:styleId="ListParagraph">
    <w:name w:val="List Paragraph"/>
    <w:basedOn w:val="Normal"/>
    <w:uiPriority w:val="34"/>
    <w:qFormat/>
    <w:rsid w:val="000F674B"/>
    <w:pPr>
      <w:ind w:left="720"/>
      <w:contextualSpacing/>
    </w:pPr>
  </w:style>
  <w:style w:type="character" w:styleId="IntenseEmphasis">
    <w:name w:val="Intense Emphasis"/>
    <w:basedOn w:val="DefaultParagraphFont"/>
    <w:uiPriority w:val="21"/>
    <w:qFormat/>
    <w:rsid w:val="000F674B"/>
    <w:rPr>
      <w:i/>
      <w:iCs/>
      <w:color w:val="0F4761" w:themeColor="accent1" w:themeShade="BF"/>
    </w:rPr>
  </w:style>
  <w:style w:type="paragraph" w:styleId="IntenseQuote">
    <w:name w:val="Intense Quote"/>
    <w:basedOn w:val="Normal"/>
    <w:next w:val="Normal"/>
    <w:link w:val="IntenseQuoteChar"/>
    <w:uiPriority w:val="30"/>
    <w:qFormat/>
    <w:rsid w:val="000F6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74B"/>
    <w:rPr>
      <w:i/>
      <w:iCs/>
      <w:color w:val="0F4761" w:themeColor="accent1" w:themeShade="BF"/>
    </w:rPr>
  </w:style>
  <w:style w:type="character" w:styleId="IntenseReference">
    <w:name w:val="Intense Reference"/>
    <w:basedOn w:val="DefaultParagraphFont"/>
    <w:uiPriority w:val="32"/>
    <w:qFormat/>
    <w:rsid w:val="000F674B"/>
    <w:rPr>
      <w:b/>
      <w:bCs/>
      <w:smallCaps/>
      <w:color w:val="0F4761" w:themeColor="accent1" w:themeShade="BF"/>
      <w:spacing w:val="5"/>
    </w:rPr>
  </w:style>
  <w:style w:type="paragraph" w:styleId="Header">
    <w:name w:val="header"/>
    <w:basedOn w:val="Normal"/>
    <w:link w:val="HeaderChar"/>
    <w:semiHidden/>
    <w:rsid w:val="000F674B"/>
    <w:pPr>
      <w:tabs>
        <w:tab w:val="center" w:pos="4320"/>
        <w:tab w:val="right" w:pos="8640"/>
      </w:tabs>
    </w:pPr>
  </w:style>
  <w:style w:type="character" w:customStyle="1" w:styleId="HeaderChar">
    <w:name w:val="Header Char"/>
    <w:basedOn w:val="DefaultParagraphFont"/>
    <w:link w:val="Header"/>
    <w:semiHidden/>
    <w:rsid w:val="000F674B"/>
    <w:rPr>
      <w:rFonts w:ascii="Times New Roman" w:eastAsia="Times New Roman" w:hAnsi="Times New Roman" w:cs="Times New Roman"/>
      <w:kern w:val="0"/>
      <w:sz w:val="20"/>
      <w:szCs w:val="20"/>
      <w14:ligatures w14:val="none"/>
    </w:rPr>
  </w:style>
  <w:style w:type="paragraph" w:styleId="Revision">
    <w:name w:val="Revision"/>
    <w:hidden/>
    <w:uiPriority w:val="99"/>
    <w:semiHidden/>
    <w:rsid w:val="003F2BE7"/>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CF1CE5"/>
    <w:rPr>
      <w:sz w:val="16"/>
      <w:szCs w:val="16"/>
    </w:rPr>
  </w:style>
  <w:style w:type="paragraph" w:styleId="CommentText">
    <w:name w:val="annotation text"/>
    <w:basedOn w:val="Normal"/>
    <w:link w:val="CommentTextChar"/>
    <w:uiPriority w:val="99"/>
    <w:unhideWhenUsed/>
    <w:rsid w:val="00CF1CE5"/>
    <w:pPr>
      <w:overflowPunct/>
      <w:autoSpaceDE/>
      <w:autoSpaceDN/>
      <w:adjustRightInd/>
      <w:textAlignment w:val="auto"/>
    </w:pPr>
    <w:rPr>
      <w:rFonts w:eastAsia="PMingLiU"/>
    </w:rPr>
  </w:style>
  <w:style w:type="character" w:customStyle="1" w:styleId="CommentTextChar">
    <w:name w:val="Comment Text Char"/>
    <w:basedOn w:val="DefaultParagraphFont"/>
    <w:link w:val="CommentText"/>
    <w:uiPriority w:val="99"/>
    <w:rsid w:val="00CF1CE5"/>
    <w:rPr>
      <w:rFonts w:ascii="Times New Roman" w:eastAsia="PMingLiU" w:hAnsi="Times New Roman" w:cs="Times New Roman"/>
      <w:kern w:val="0"/>
      <w:sz w:val="20"/>
      <w:szCs w:val="20"/>
      <w14:ligatures w14:val="none"/>
    </w:rPr>
  </w:style>
  <w:style w:type="character" w:customStyle="1" w:styleId="cf01">
    <w:name w:val="cf01"/>
    <w:basedOn w:val="DefaultParagraphFont"/>
    <w:rsid w:val="00CF1CE5"/>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C75CE8"/>
    <w:pPr>
      <w:overflowPunct w:val="0"/>
      <w:autoSpaceDE w:val="0"/>
      <w:autoSpaceDN w:val="0"/>
      <w:adjustRightInd w:val="0"/>
      <w:textAlignment w:val="baseline"/>
    </w:pPr>
    <w:rPr>
      <w:rFonts w:eastAsia="Times New Roman"/>
      <w:b/>
      <w:bCs/>
    </w:rPr>
  </w:style>
  <w:style w:type="character" w:customStyle="1" w:styleId="CommentSubjectChar">
    <w:name w:val="Comment Subject Char"/>
    <w:basedOn w:val="CommentTextChar"/>
    <w:link w:val="CommentSubject"/>
    <w:uiPriority w:val="99"/>
    <w:semiHidden/>
    <w:rsid w:val="00C75CE8"/>
    <w:rPr>
      <w:rFonts w:ascii="Times New Roman" w:eastAsia="Times New Roman" w:hAnsi="Times New Roman" w:cs="Times New Roman"/>
      <w:b/>
      <w:bCs/>
      <w:kern w:val="0"/>
      <w:sz w:val="20"/>
      <w:szCs w:val="20"/>
      <w14:ligatures w14:val="none"/>
    </w:rPr>
  </w:style>
  <w:style w:type="paragraph" w:styleId="Footer">
    <w:name w:val="footer"/>
    <w:basedOn w:val="Normal"/>
    <w:link w:val="FooterChar"/>
    <w:uiPriority w:val="99"/>
    <w:unhideWhenUsed/>
    <w:rsid w:val="00A73C55"/>
    <w:pPr>
      <w:tabs>
        <w:tab w:val="center" w:pos="4680"/>
        <w:tab w:val="right" w:pos="9360"/>
      </w:tabs>
    </w:pPr>
  </w:style>
  <w:style w:type="character" w:customStyle="1" w:styleId="FooterChar">
    <w:name w:val="Footer Char"/>
    <w:basedOn w:val="DefaultParagraphFont"/>
    <w:link w:val="Footer"/>
    <w:uiPriority w:val="99"/>
    <w:rsid w:val="00A73C55"/>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58181B"/>
    <w:rPr>
      <w:color w:val="467886" w:themeColor="hyperlink"/>
      <w:u w:val="single"/>
    </w:rPr>
  </w:style>
  <w:style w:type="character" w:styleId="UnresolvedMention">
    <w:name w:val="Unresolved Mention"/>
    <w:basedOn w:val="DefaultParagraphFont"/>
    <w:uiPriority w:val="99"/>
    <w:semiHidden/>
    <w:unhideWhenUsed/>
    <w:rsid w:val="0058181B"/>
    <w:rPr>
      <w:color w:val="605E5C"/>
      <w:shd w:val="clear" w:color="auto" w:fill="E1DFDD"/>
    </w:rPr>
  </w:style>
  <w:style w:type="paragraph" w:styleId="FootnoteText">
    <w:name w:val="footnote text"/>
    <w:basedOn w:val="Normal"/>
    <w:link w:val="FootnoteTextChar"/>
    <w:uiPriority w:val="99"/>
    <w:semiHidden/>
    <w:unhideWhenUsed/>
    <w:rsid w:val="00EA1DE6"/>
  </w:style>
  <w:style w:type="character" w:customStyle="1" w:styleId="FootnoteTextChar">
    <w:name w:val="Footnote Text Char"/>
    <w:basedOn w:val="DefaultParagraphFont"/>
    <w:link w:val="FootnoteText"/>
    <w:uiPriority w:val="99"/>
    <w:semiHidden/>
    <w:rsid w:val="00EA1D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EA1DE6"/>
    <w:rPr>
      <w:vertAlign w:val="superscript"/>
    </w:rPr>
  </w:style>
  <w:style w:type="paragraph" w:styleId="NoSpacing">
    <w:name w:val="No Spacing"/>
    <w:uiPriority w:val="1"/>
    <w:qFormat/>
    <w:rsid w:val="00B912FB"/>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24Tables/html/RUS_h.aspx"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ae-wdol-sam-gov.s3.amazonaws.com/WDOL_MEMORANDUM/AAM189.pdf?X-Amz-Algorithm=AWS4-HMAC-SHA256&amp;X-Amz-Date=20240827T172016Z&amp;X-Amz-SignedHeaders=host&amp;X-Amz-Expires=10&amp;X-Amz-Credential=AKIAY3LPYEEXYSOFBWGG%2F20240827%2Fus-east-1%2Fs3%2Faws4_request&amp;X-Amz-Signature=3cf00e62e3583dc890c882f6921bb483537e1a48738712fef2441d0ab5c7488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iae-wdol-sam-gov.s3.amazonaws.com/WDOL_MEMORANDUM/AAM189.pdf?X-Amz-Algorithm=AWS4-HMAC-SHA256&amp;X-Amz-Date=20240827T172016Z&amp;X-Amz-SignedHeaders=host&amp;X-Amz-Expires=10&amp;X-Amz-Credential=AKIAY3LPYEEXYSOFBWGG%2F20240827%2Fus-east-1%2Fs3%2Faws4_request&amp;X-Amz-Signature=3cf00e62e3583dc890c882f6921bb483537e1a48738712fef2441d0ab5c748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EAAB5-4294-40E3-A256-99FA2E8AB5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41600C-F0E1-4CC7-859F-06EF9023598E}">
  <ds:schemaRefs>
    <ds:schemaRef ds:uri="http://schemas.openxmlformats.org/officeDocument/2006/bibliography"/>
  </ds:schemaRefs>
</ds:datastoreItem>
</file>

<file path=customXml/itemProps3.xml><?xml version="1.0" encoding="utf-8"?>
<ds:datastoreItem xmlns:ds="http://schemas.openxmlformats.org/officeDocument/2006/customXml" ds:itemID="{A8BC5A10-9D68-4F9A-A061-6B7F93FDB9F4}">
  <ds:schemaRefs>
    <ds:schemaRef ds:uri="http://schemas.microsoft.com/sharepoint/v3/contenttype/forms"/>
  </ds:schemaRefs>
</ds:datastoreItem>
</file>

<file path=customXml/itemProps4.xml><?xml version="1.0" encoding="utf-8"?>
<ds:datastoreItem xmlns:ds="http://schemas.openxmlformats.org/officeDocument/2006/customXml" ds:itemID="{4BB01807-CC47-4D8A-BE7F-7F16CDA99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2600</Words>
  <Characters>14826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2024-08-29T16:10:00Z</dcterms:created>
  <dcterms:modified xsi:type="dcterms:W3CDTF">2024-08-29T16:10:00Z</dcterms:modified>
</cp:coreProperties>
</file>