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386D6735" w14:textId="77777777">
      <w:pPr>
        <w:jc w:val="center"/>
        <w:rPr>
          <w:b/>
          <w:sz w:val="24"/>
          <w:szCs w:val="24"/>
        </w:rPr>
      </w:pPr>
      <w:r w:rsidRPr="00167E53">
        <w:rPr>
          <w:b/>
          <w:sz w:val="24"/>
          <w:szCs w:val="24"/>
        </w:rPr>
        <w:t>Supporting Statement for Paperwork Reduction Act Submissions</w:t>
      </w:r>
    </w:p>
    <w:p w:rsidR="000E7276" w:rsidP="000E7276" w14:paraId="581D2250" w14:textId="614870AC">
      <w:pPr>
        <w:jc w:val="center"/>
        <w:rPr>
          <w:b/>
          <w:color w:val="000000"/>
          <w:sz w:val="24"/>
          <w:szCs w:val="24"/>
        </w:rPr>
      </w:pPr>
      <w:bookmarkStart w:id="0" w:name="_Hlk505613485"/>
      <w:r>
        <w:rPr>
          <w:b/>
          <w:color w:val="000000"/>
          <w:sz w:val="24"/>
          <w:szCs w:val="24"/>
        </w:rPr>
        <w:t>Protection and Enhancement of Environmental Quality</w:t>
      </w:r>
      <w:r w:rsidR="00612EA2">
        <w:rPr>
          <w:b/>
          <w:color w:val="000000"/>
          <w:sz w:val="24"/>
          <w:szCs w:val="24"/>
        </w:rPr>
        <w:t>–24 CFR Part 50</w:t>
      </w:r>
    </w:p>
    <w:p w:rsidR="000E7276" w:rsidRPr="00E1714D" w:rsidP="000E7276" w14:paraId="70BA2A88" w14:textId="77777777">
      <w:pPr>
        <w:jc w:val="center"/>
        <w:rPr>
          <w:b/>
          <w:sz w:val="24"/>
          <w:szCs w:val="24"/>
        </w:rPr>
      </w:pPr>
      <w:r w:rsidRPr="00E1714D">
        <w:rPr>
          <w:b/>
          <w:sz w:val="24"/>
          <w:szCs w:val="24"/>
        </w:rPr>
        <w:t xml:space="preserve">OMB# </w:t>
      </w:r>
      <w:r w:rsidRPr="00130C3F">
        <w:rPr>
          <w:b/>
          <w:sz w:val="24"/>
          <w:szCs w:val="24"/>
        </w:rPr>
        <w:t>2506-0</w:t>
      </w:r>
      <w:r>
        <w:rPr>
          <w:b/>
          <w:sz w:val="24"/>
          <w:szCs w:val="24"/>
        </w:rPr>
        <w:t>177</w:t>
      </w:r>
    </w:p>
    <w:bookmarkEnd w:id="0"/>
    <w:p w:rsidR="009E13B1" w:rsidRPr="00167E53" w:rsidP="006C7FAE" w14:paraId="30FE8A95" w14:textId="77777777">
      <w:pPr>
        <w:rPr>
          <w:b/>
          <w:sz w:val="24"/>
          <w:szCs w:val="24"/>
        </w:rPr>
      </w:pPr>
    </w:p>
    <w:p w:rsidR="009E13B1" w:rsidRPr="006C7FAE" w14:paraId="3017549D" w14:textId="355D92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0A15E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054213D1" w14:textId="77777777">
      <w:pPr>
        <w:keepLines/>
        <w:tabs>
          <w:tab w:val="left" w:pos="360"/>
        </w:tabs>
        <w:spacing w:after="80"/>
        <w:ind w:left="360" w:hanging="360"/>
        <w:rPr>
          <w:sz w:val="24"/>
          <w:szCs w:val="24"/>
        </w:rPr>
      </w:pPr>
      <w:r w:rsidRPr="006C7FAE">
        <w:rPr>
          <w:sz w:val="24"/>
          <w:szCs w:val="24"/>
        </w:rPr>
        <w:t>1.</w:t>
      </w:r>
      <w:r w:rsidRPr="006C7FAE">
        <w:rPr>
          <w:sz w:val="24"/>
          <w:szCs w:val="24"/>
        </w:rPr>
        <w:tab/>
        <w:t xml:space="preserve">Explain the circumstances that make the collection of information necessary.  </w:t>
      </w:r>
      <w:r w:rsidRPr="006C7FAE">
        <w:rPr>
          <w:sz w:val="24"/>
          <w:szCs w:val="24"/>
        </w:rPr>
        <w:t>Identify any legal or administrative requirements that necessitate the collection.  Attach a copy of the appropriate section of each statute and regulation mandating or authorizing the collection of information.</w:t>
      </w:r>
    </w:p>
    <w:p w:rsidR="00510663" w:rsidP="00510663" w14:paraId="6E4A0EA3" w14:textId="77777777">
      <w:pPr>
        <w:pStyle w:val="NoSpacing"/>
        <w:ind w:left="360"/>
        <w:rPr>
          <w:sz w:val="24"/>
          <w:szCs w:val="24"/>
        </w:rPr>
      </w:pPr>
    </w:p>
    <w:p w:rsidR="005A27EB" w:rsidP="00510663" w14:paraId="02A0FCE7" w14:textId="3690DBB9">
      <w:pPr>
        <w:pStyle w:val="NoSpacing"/>
        <w:ind w:left="360"/>
        <w:rPr>
          <w:sz w:val="24"/>
          <w:szCs w:val="24"/>
        </w:rPr>
      </w:pPr>
      <w:r>
        <w:rPr>
          <w:sz w:val="24"/>
          <w:szCs w:val="24"/>
        </w:rPr>
        <w:t xml:space="preserve">The US Department of Housing and Urban Development (HUD) </w:t>
      </w:r>
      <w:r w:rsidRPr="0048317E">
        <w:rPr>
          <w:sz w:val="24"/>
          <w:szCs w:val="24"/>
        </w:rPr>
        <w:t>requests its applicants to supply environmental information that is not otherwise available to HUD staff for the environmental review on an applicant's proposal for HUD financial assistance to develop or improve</w:t>
      </w:r>
      <w:r>
        <w:rPr>
          <w:sz w:val="24"/>
          <w:szCs w:val="24"/>
        </w:rPr>
        <w:t xml:space="preserve"> housing or commun</w:t>
      </w:r>
      <w:r w:rsidRPr="0048317E">
        <w:rPr>
          <w:sz w:val="24"/>
          <w:szCs w:val="24"/>
        </w:rPr>
        <w:t>ity facilities. HUD itself must perform an environmental review for the purpose of compliance with its environmental regulations found at 24 CFR Part 50, Protection and Enhancement of Environmental Quality.  Part 50 implements the National Environmental Policy Act and implementing p</w:t>
      </w:r>
      <w:r w:rsidRPr="0048317E">
        <w:rPr>
          <w:sz w:val="24"/>
          <w:szCs w:val="24"/>
        </w:rPr>
        <w:t>rocedures of the Council on Environmental Quality, as well as the related federal environmental laws and executive orders.  HUD's agency</w:t>
      </w:r>
      <w:r>
        <w:rPr>
          <w:sz w:val="24"/>
          <w:szCs w:val="24"/>
        </w:rPr>
        <w:t>-</w:t>
      </w:r>
      <w:r w:rsidRPr="0048317E">
        <w:rPr>
          <w:sz w:val="24"/>
          <w:szCs w:val="24"/>
        </w:rPr>
        <w:t>wide provisions -- 24 CFR 50.3(h)(1) and 50.32 --</w:t>
      </w:r>
      <w:r>
        <w:rPr>
          <w:sz w:val="24"/>
          <w:szCs w:val="24"/>
        </w:rPr>
        <w:t xml:space="preserve"> </w:t>
      </w:r>
      <w:r w:rsidRPr="0048317E">
        <w:rPr>
          <w:sz w:val="24"/>
          <w:szCs w:val="24"/>
        </w:rPr>
        <w:t>regulate how individual HUD program staffs are to utilize such collected data when HUD itself prepares the environmental review and compliance.  Separately, individual HUD programs each have their own regulations and guidance implementing environmental and related collection responsibilities</w:t>
      </w:r>
      <w:r>
        <w:rPr>
          <w:sz w:val="24"/>
          <w:szCs w:val="24"/>
        </w:rPr>
        <w:t>, including</w:t>
      </w:r>
    </w:p>
    <w:p w:rsidR="008C6161" w:rsidP="00510663" w14:paraId="7CBF2353" w14:textId="08BFCD89">
      <w:pPr>
        <w:pStyle w:val="NoSpacing"/>
        <w:numPr>
          <w:ilvl w:val="0"/>
          <w:numId w:val="17"/>
        </w:numPr>
        <w:ind w:left="1080"/>
        <w:rPr>
          <w:sz w:val="24"/>
          <w:szCs w:val="24"/>
        </w:rPr>
      </w:pPr>
      <w:r>
        <w:rPr>
          <w:sz w:val="24"/>
          <w:szCs w:val="24"/>
        </w:rPr>
        <w:t>The Office of the Secretary’s environmental review procedures for entities assuming HUD environmental responsibilities at 24 CFR Part 58;</w:t>
      </w:r>
    </w:p>
    <w:p w:rsidR="005A27EB" w:rsidP="00510663" w14:paraId="77617E60" w14:textId="5E9DE14C">
      <w:pPr>
        <w:pStyle w:val="NoSpacing"/>
        <w:numPr>
          <w:ilvl w:val="0"/>
          <w:numId w:val="17"/>
        </w:numPr>
        <w:ind w:left="1080"/>
        <w:rPr>
          <w:sz w:val="24"/>
          <w:szCs w:val="24"/>
        </w:rPr>
      </w:pPr>
      <w:r>
        <w:rPr>
          <w:sz w:val="24"/>
          <w:szCs w:val="24"/>
        </w:rPr>
        <w:t>The Office of Assistant Secretary for Community Planning and Development’s National Environmental Policy Act (NEPA) and other related Acts’ regulations at 24 CFR 581.16;</w:t>
      </w:r>
    </w:p>
    <w:p w:rsidR="005B0FD6" w:rsidP="00510663" w14:paraId="204B3D36" w14:textId="38F682B9">
      <w:pPr>
        <w:pStyle w:val="NoSpacing"/>
        <w:numPr>
          <w:ilvl w:val="0"/>
          <w:numId w:val="17"/>
        </w:numPr>
        <w:ind w:left="1080"/>
        <w:rPr>
          <w:sz w:val="24"/>
          <w:szCs w:val="24"/>
        </w:rPr>
      </w:pPr>
      <w:r>
        <w:rPr>
          <w:sz w:val="24"/>
          <w:szCs w:val="24"/>
        </w:rPr>
        <w:t>The Office of the Assistant Secretary for Housing – Federal Housing Commissioner’s regulations for other Federal requirements, including NEPA and other associated laws and requirements at 24 CFR 886.313;</w:t>
      </w:r>
    </w:p>
    <w:p w:rsidR="005A27EB" w:rsidP="00510663" w14:paraId="34F6F934" w14:textId="1AE1547E">
      <w:pPr>
        <w:pStyle w:val="NoSpacing"/>
        <w:numPr>
          <w:ilvl w:val="0"/>
          <w:numId w:val="17"/>
        </w:numPr>
        <w:ind w:left="1080"/>
        <w:rPr>
          <w:sz w:val="24"/>
          <w:szCs w:val="24"/>
        </w:rPr>
      </w:pPr>
      <w:r>
        <w:rPr>
          <w:sz w:val="24"/>
          <w:szCs w:val="24"/>
        </w:rPr>
        <w:t xml:space="preserve">The </w:t>
      </w:r>
      <w:r>
        <w:rPr>
          <w:sz w:val="24"/>
          <w:szCs w:val="24"/>
        </w:rPr>
        <w:t>Office of Assistant Secretary for Public and Indian Housing’s environmental review requirements at 24 CFR 970.13;</w:t>
      </w:r>
      <w:r w:rsidR="008C6161">
        <w:rPr>
          <w:sz w:val="24"/>
          <w:szCs w:val="24"/>
        </w:rPr>
        <w:t xml:space="preserve"> </w:t>
      </w:r>
      <w:r w:rsidRPr="0048317E" w:rsidR="000E7276">
        <w:rPr>
          <w:sz w:val="24"/>
          <w:szCs w:val="24"/>
        </w:rPr>
        <w:t xml:space="preserve">  </w:t>
      </w:r>
    </w:p>
    <w:p w:rsidR="00B3115F" w:rsidP="00510663" w14:paraId="2E94B00C" w14:textId="77777777">
      <w:pPr>
        <w:pStyle w:val="NoSpacing"/>
        <w:numPr>
          <w:ilvl w:val="0"/>
          <w:numId w:val="17"/>
        </w:numPr>
        <w:ind w:left="1080"/>
        <w:rPr>
          <w:sz w:val="24"/>
          <w:szCs w:val="24"/>
        </w:rPr>
      </w:pPr>
      <w:r>
        <w:rPr>
          <w:sz w:val="24"/>
          <w:szCs w:val="24"/>
        </w:rPr>
        <w:t>The Community Development Block Grants for Indian Tribes and Alaska Native Village’s environment requirements at 24 CFR 1003.605;</w:t>
      </w:r>
    </w:p>
    <w:p w:rsidR="00B01788" w:rsidP="00510663" w14:paraId="5FA9D4F2" w14:textId="6BBC3A53">
      <w:pPr>
        <w:pStyle w:val="NoSpacing"/>
        <w:numPr>
          <w:ilvl w:val="0"/>
          <w:numId w:val="17"/>
        </w:numPr>
        <w:ind w:left="1080"/>
        <w:rPr>
          <w:sz w:val="24"/>
          <w:szCs w:val="24"/>
        </w:rPr>
      </w:pPr>
      <w:r>
        <w:rPr>
          <w:sz w:val="24"/>
          <w:szCs w:val="24"/>
        </w:rPr>
        <w:t xml:space="preserve">The </w:t>
      </w:r>
      <w:r w:rsidRPr="00B3115F">
        <w:rPr>
          <w:sz w:val="24"/>
          <w:szCs w:val="24"/>
        </w:rPr>
        <w:t>Office of the Assistant Secretary for Community Planning and Development</w:t>
      </w:r>
      <w:r>
        <w:rPr>
          <w:sz w:val="24"/>
          <w:szCs w:val="24"/>
        </w:rPr>
        <w:t xml:space="preserve">’s </w:t>
      </w:r>
      <w:r w:rsidRPr="00B3115F">
        <w:rPr>
          <w:sz w:val="24"/>
          <w:szCs w:val="24"/>
        </w:rPr>
        <w:t xml:space="preserve">Common Application, Waivers, and Alternative Requirements for Community Development Block Grant Disaster Recovery Grantees: </w:t>
      </w:r>
      <w:r w:rsidR="00473435">
        <w:rPr>
          <w:sz w:val="24"/>
          <w:szCs w:val="24"/>
        </w:rPr>
        <w:t>t</w:t>
      </w:r>
      <w:r w:rsidRPr="00B3115F">
        <w:rPr>
          <w:sz w:val="24"/>
          <w:szCs w:val="24"/>
        </w:rPr>
        <w:t>he Universal Notice</w:t>
      </w:r>
      <w:r>
        <w:rPr>
          <w:sz w:val="24"/>
          <w:szCs w:val="24"/>
        </w:rPr>
        <w:t>;</w:t>
      </w:r>
      <w:r w:rsidR="00CC3FD3">
        <w:rPr>
          <w:sz w:val="24"/>
          <w:szCs w:val="24"/>
        </w:rPr>
        <w:t xml:space="preserve"> and</w:t>
      </w:r>
    </w:p>
    <w:p w:rsidR="005A27EB" w:rsidP="00510663" w14:paraId="2AE13080" w14:textId="00492A19">
      <w:pPr>
        <w:pStyle w:val="NoSpacing"/>
        <w:numPr>
          <w:ilvl w:val="0"/>
          <w:numId w:val="17"/>
        </w:numPr>
        <w:ind w:left="1080"/>
        <w:rPr>
          <w:sz w:val="24"/>
          <w:szCs w:val="24"/>
        </w:rPr>
      </w:pPr>
      <w:r>
        <w:rPr>
          <w:sz w:val="24"/>
          <w:szCs w:val="24"/>
        </w:rPr>
        <w:t>The Office of the Assistant Secretary for Housing – Federal Housing Commissioner’s</w:t>
      </w:r>
      <w:r w:rsidR="00D265ED">
        <w:rPr>
          <w:sz w:val="24"/>
          <w:szCs w:val="24"/>
        </w:rPr>
        <w:t xml:space="preserve"> Multifamily Accelerated Processing (MAP) Guide</w:t>
      </w:r>
      <w:r w:rsidR="008C6161">
        <w:rPr>
          <w:sz w:val="24"/>
          <w:szCs w:val="24"/>
        </w:rPr>
        <w:t>.</w:t>
      </w:r>
    </w:p>
    <w:p w:rsidR="000E7276" w:rsidP="00510663" w14:paraId="52FEF804" w14:textId="7E87A5F7">
      <w:pPr>
        <w:pStyle w:val="NoSpacing"/>
        <w:ind w:left="360"/>
        <w:rPr>
          <w:sz w:val="24"/>
          <w:szCs w:val="24"/>
        </w:rPr>
      </w:pPr>
      <w:r w:rsidRPr="0048317E">
        <w:rPr>
          <w:sz w:val="24"/>
          <w:szCs w:val="24"/>
        </w:rPr>
        <w:t>For the next three years, this approved collection will continue</w:t>
      </w:r>
      <w:r>
        <w:rPr>
          <w:sz w:val="24"/>
          <w:szCs w:val="24"/>
        </w:rPr>
        <w:t xml:space="preserve"> </w:t>
      </w:r>
      <w:r w:rsidRPr="0048317E">
        <w:rPr>
          <w:sz w:val="24"/>
          <w:szCs w:val="24"/>
        </w:rPr>
        <w:t>under this OMB control number to assure adequate coverage for all HUD programs subject to Part 50.</w:t>
      </w:r>
    </w:p>
    <w:p w:rsidR="009E13B1" w:rsidP="00652C2E" w14:paraId="1A7D890C" w14:textId="77777777">
      <w:pPr>
        <w:tabs>
          <w:tab w:val="left" w:pos="360"/>
        </w:tabs>
        <w:rPr>
          <w:sz w:val="24"/>
          <w:szCs w:val="24"/>
        </w:rPr>
      </w:pPr>
    </w:p>
    <w:p w:rsidR="00510663" w:rsidP="00652C2E" w14:paraId="3AE302B1" w14:textId="77777777">
      <w:pPr>
        <w:tabs>
          <w:tab w:val="left" w:pos="360"/>
        </w:tabs>
        <w:rPr>
          <w:sz w:val="24"/>
          <w:szCs w:val="24"/>
        </w:rPr>
      </w:pPr>
    </w:p>
    <w:p w:rsidR="00510663" w:rsidP="00652C2E" w14:paraId="1F9973D1" w14:textId="77777777">
      <w:pPr>
        <w:tabs>
          <w:tab w:val="left" w:pos="360"/>
        </w:tabs>
        <w:rPr>
          <w:sz w:val="24"/>
          <w:szCs w:val="24"/>
        </w:rPr>
      </w:pPr>
    </w:p>
    <w:p w:rsidR="00510663" w:rsidP="00652C2E" w14:paraId="6D988AC8" w14:textId="77777777">
      <w:pPr>
        <w:tabs>
          <w:tab w:val="left" w:pos="360"/>
        </w:tabs>
        <w:rPr>
          <w:sz w:val="24"/>
          <w:szCs w:val="24"/>
        </w:rPr>
      </w:pPr>
    </w:p>
    <w:p w:rsidR="009E13B1" w:rsidRPr="006C7FAE" w14:paraId="5CFF51CC"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510663" w:rsidP="00510663" w14:paraId="1E04BB44" w14:textId="77777777">
      <w:pPr>
        <w:pStyle w:val="NoSpacing"/>
        <w:ind w:left="360"/>
        <w:rPr>
          <w:sz w:val="24"/>
          <w:szCs w:val="24"/>
        </w:rPr>
      </w:pPr>
    </w:p>
    <w:p w:rsidR="00A7511E" w:rsidP="00510663" w14:paraId="49F1E10A" w14:textId="1A49D889">
      <w:pPr>
        <w:pStyle w:val="NoSpacing"/>
        <w:ind w:left="360"/>
        <w:rPr>
          <w:sz w:val="24"/>
          <w:szCs w:val="24"/>
        </w:rPr>
      </w:pPr>
      <w:r>
        <w:rPr>
          <w:sz w:val="24"/>
          <w:szCs w:val="24"/>
        </w:rPr>
        <w:t xml:space="preserve">HUD must depend on applicants to collect and supply HUD with </w:t>
      </w:r>
      <w:r w:rsidRPr="009437D4">
        <w:rPr>
          <w:sz w:val="24"/>
          <w:szCs w:val="24"/>
        </w:rPr>
        <w:t>the requisite data</w:t>
      </w:r>
      <w:r w:rsidR="00652C2E">
        <w:rPr>
          <w:sz w:val="24"/>
          <w:szCs w:val="24"/>
        </w:rPr>
        <w:t xml:space="preserve"> to perform environmental reviews</w:t>
      </w:r>
      <w:r w:rsidRPr="009437D4">
        <w:rPr>
          <w:sz w:val="24"/>
          <w:szCs w:val="24"/>
        </w:rPr>
        <w:t xml:space="preserve">, most of which is readily available from qualified data sources.  HUD applicants are for-profit and non-profit developers of affordable housing and community facilities. From their own project and local agency data bases, applicants supply HUD with all </w:t>
      </w:r>
      <w:r w:rsidRPr="009437D4" w:rsidR="002A0B89">
        <w:rPr>
          <w:sz w:val="24"/>
          <w:szCs w:val="24"/>
        </w:rPr>
        <w:t>available</w:t>
      </w:r>
      <w:r w:rsidRPr="009437D4">
        <w:rPr>
          <w:sz w:val="24"/>
          <w:szCs w:val="24"/>
        </w:rPr>
        <w:t xml:space="preserve"> relevant information necessary for HUD to perform its environmental review for each property</w:t>
      </w:r>
      <w:r>
        <w:rPr>
          <w:sz w:val="24"/>
          <w:szCs w:val="24"/>
        </w:rPr>
        <w:t xml:space="preserve"> (i.e.</w:t>
      </w:r>
      <w:r w:rsidR="00806668">
        <w:rPr>
          <w:sz w:val="24"/>
          <w:szCs w:val="24"/>
        </w:rPr>
        <w:t>,</w:t>
      </w:r>
      <w:r>
        <w:rPr>
          <w:sz w:val="24"/>
          <w:szCs w:val="24"/>
        </w:rPr>
        <w:t xml:space="preserve"> information regarding the site being reviewed)</w:t>
      </w:r>
      <w:r w:rsidRPr="009437D4">
        <w:rPr>
          <w:sz w:val="24"/>
          <w:szCs w:val="24"/>
        </w:rPr>
        <w:t xml:space="preserve">. </w:t>
      </w:r>
      <w:r w:rsidR="007B7D32">
        <w:rPr>
          <w:sz w:val="24"/>
          <w:szCs w:val="24"/>
        </w:rPr>
        <w:t xml:space="preserve"> HUD </w:t>
      </w:r>
      <w:r w:rsidR="00AA65AC">
        <w:rPr>
          <w:sz w:val="24"/>
          <w:szCs w:val="24"/>
        </w:rPr>
        <w:t xml:space="preserve">program </w:t>
      </w:r>
      <w:r w:rsidR="007B7D32">
        <w:rPr>
          <w:sz w:val="24"/>
          <w:szCs w:val="24"/>
        </w:rPr>
        <w:t>offices complete environmental reviews based upon the requirements at 24 CFR Part 50, and Responsible Entities</w:t>
      </w:r>
      <w:r>
        <w:rPr>
          <w:rStyle w:val="FootnoteReference"/>
          <w:sz w:val="24"/>
          <w:szCs w:val="24"/>
        </w:rPr>
        <w:footnoteReference w:id="2"/>
      </w:r>
      <w:r w:rsidR="007B7D32">
        <w:rPr>
          <w:sz w:val="24"/>
          <w:szCs w:val="24"/>
        </w:rPr>
        <w:t xml:space="preserve"> complete environmental reviews based upon the requirements at 24 CFR Part 58.  </w:t>
      </w:r>
      <w:r w:rsidRPr="009437D4">
        <w:rPr>
          <w:sz w:val="24"/>
          <w:szCs w:val="24"/>
        </w:rPr>
        <w:t>Generally, the environmental review must be completed and approved before applicants are allowed to commit or expend HUD and non-HUD funds with respect to any eligible property proposed for the project.</w:t>
      </w:r>
      <w:r>
        <w:rPr>
          <w:sz w:val="24"/>
          <w:szCs w:val="24"/>
        </w:rPr>
        <w:t xml:space="preserve"> </w:t>
      </w:r>
    </w:p>
    <w:p w:rsidR="00A7511E" w:rsidRPr="006C7FAE" w:rsidP="00A7511E" w14:paraId="5F5325FB" w14:textId="77777777">
      <w:pPr>
        <w:keepLines/>
        <w:tabs>
          <w:tab w:val="left" w:pos="360"/>
          <w:tab w:val="left" w:pos="720"/>
        </w:tabs>
        <w:rPr>
          <w:sz w:val="24"/>
          <w:szCs w:val="24"/>
        </w:rPr>
      </w:pPr>
    </w:p>
    <w:p w:rsidR="009E13B1" w14:paraId="13E4F6DD" w14:textId="77777777">
      <w:pPr>
        <w:keepLines/>
        <w:tabs>
          <w:tab w:val="left" w:pos="360"/>
        </w:tabs>
        <w:spacing w:after="80"/>
        <w:ind w:left="360" w:hanging="360"/>
        <w:rPr>
          <w:sz w:val="24"/>
          <w:szCs w:val="24"/>
        </w:rPr>
      </w:pPr>
      <w:r w:rsidRPr="006C7FAE">
        <w:rPr>
          <w:sz w:val="24"/>
          <w:szCs w:val="24"/>
        </w:rPr>
        <w:t>3.</w:t>
      </w:r>
      <w:r w:rsidRPr="006C7FAE">
        <w:rPr>
          <w:sz w:val="24"/>
          <w:szCs w:val="24"/>
        </w:rPr>
        <w:tab/>
      </w:r>
      <w:bookmarkStart w:id="1" w:name="_Hlk75942115"/>
      <w:r w:rsidRPr="006C7FA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0663" w:rsidP="00510663" w14:paraId="5532D608" w14:textId="77777777">
      <w:pPr>
        <w:pStyle w:val="NoSpacing"/>
        <w:ind w:left="360"/>
        <w:rPr>
          <w:sz w:val="24"/>
          <w:szCs w:val="24"/>
        </w:rPr>
      </w:pPr>
      <w:bookmarkStart w:id="2" w:name="_Hlk75941742"/>
    </w:p>
    <w:p w:rsidR="00652C2E" w:rsidRPr="006C7FAE" w:rsidP="00510663" w14:paraId="51DF263F" w14:textId="73CE878B">
      <w:pPr>
        <w:pStyle w:val="NoSpacing"/>
        <w:ind w:left="360"/>
        <w:rPr>
          <w:sz w:val="24"/>
          <w:szCs w:val="24"/>
        </w:rPr>
      </w:pPr>
      <w:r>
        <w:rPr>
          <w:sz w:val="24"/>
          <w:szCs w:val="24"/>
        </w:rPr>
        <w:t xml:space="preserve">The format used to collect this information varies, as HUD program offices may adopt their own required formats and procedures. </w:t>
      </w:r>
      <w:bookmarkEnd w:id="2"/>
      <w:r>
        <w:rPr>
          <w:sz w:val="24"/>
          <w:szCs w:val="24"/>
        </w:rPr>
        <w:t>Most</w:t>
      </w:r>
      <w:r w:rsidRPr="009437D4">
        <w:rPr>
          <w:sz w:val="24"/>
          <w:szCs w:val="24"/>
        </w:rPr>
        <w:t xml:space="preserve"> HUD programs encourage applicants to use the HUD Environmental Review Online System (HEROS)</w:t>
      </w:r>
      <w:r w:rsidR="00E3781C">
        <w:rPr>
          <w:sz w:val="24"/>
          <w:szCs w:val="24"/>
        </w:rPr>
        <w:t xml:space="preserve"> (see OMB Control </w:t>
      </w:r>
      <w:r w:rsidR="00634049">
        <w:rPr>
          <w:sz w:val="24"/>
          <w:szCs w:val="24"/>
        </w:rPr>
        <w:t>Number</w:t>
      </w:r>
      <w:r w:rsidR="00E3781C">
        <w:rPr>
          <w:sz w:val="24"/>
          <w:szCs w:val="24"/>
        </w:rPr>
        <w:t xml:space="preserve"> 2506-0202)</w:t>
      </w:r>
      <w:r w:rsidRPr="009437D4">
        <w:rPr>
          <w:sz w:val="24"/>
          <w:szCs w:val="24"/>
        </w:rPr>
        <w:t xml:space="preserve"> to submit this information to HUD</w:t>
      </w:r>
      <w:r>
        <w:rPr>
          <w:sz w:val="24"/>
          <w:szCs w:val="24"/>
        </w:rPr>
        <w:t>. HEROS was designed to reduce the burden on applicants and recipients by eliminating repetitive and unnecessary requirements, tailoring formats to the specifics of each environmental review record, and autofilling information where feasible to avoid repetitive or unnecessary data entry. This option has become increasingly common in recent years</w:t>
      </w:r>
      <w:r>
        <w:rPr>
          <w:sz w:val="24"/>
          <w:szCs w:val="24"/>
        </w:rPr>
        <w:t xml:space="preserve">. </w:t>
      </w:r>
    </w:p>
    <w:bookmarkEnd w:id="1"/>
    <w:p w:rsidR="009E13B1" w:rsidRPr="006C7FAE" w14:paraId="78CB0DEF" w14:textId="77777777">
      <w:pPr>
        <w:tabs>
          <w:tab w:val="left" w:pos="360"/>
        </w:tabs>
        <w:ind w:left="360" w:hanging="360"/>
        <w:rPr>
          <w:sz w:val="24"/>
          <w:szCs w:val="24"/>
        </w:rPr>
      </w:pPr>
    </w:p>
    <w:p w:rsidR="009E13B1" w14:paraId="20E27BDE"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510663" w:rsidP="00510663" w14:paraId="401EAC8E" w14:textId="77777777">
      <w:pPr>
        <w:keepLines/>
        <w:tabs>
          <w:tab w:val="left" w:pos="0"/>
        </w:tabs>
        <w:spacing w:after="80"/>
        <w:ind w:left="360"/>
        <w:rPr>
          <w:sz w:val="24"/>
          <w:szCs w:val="24"/>
        </w:rPr>
      </w:pPr>
    </w:p>
    <w:p w:rsidR="00652C2E" w:rsidRPr="006C7FAE" w:rsidP="00510663" w14:paraId="2BB6B8CF" w14:textId="7B7E876F">
      <w:pPr>
        <w:keepLines/>
        <w:tabs>
          <w:tab w:val="left" w:pos="0"/>
        </w:tabs>
        <w:spacing w:after="80"/>
        <w:ind w:left="360"/>
        <w:rPr>
          <w:sz w:val="24"/>
          <w:szCs w:val="24"/>
        </w:rPr>
      </w:pPr>
      <w:r>
        <w:rPr>
          <w:sz w:val="24"/>
          <w:szCs w:val="24"/>
        </w:rPr>
        <w:t xml:space="preserve">There is no similar information already available. Environmental reviews must be completed for each project individually. However, there are tools to avoid duplicative or unnecessary environmental reviews. </w:t>
      </w:r>
      <w:r w:rsidRPr="0098098D">
        <w:rPr>
          <w:sz w:val="24"/>
          <w:szCs w:val="24"/>
        </w:rPr>
        <w:t>Where project sponsors propose more than one property for a project, project sponsors are</w:t>
      </w:r>
      <w:r>
        <w:rPr>
          <w:sz w:val="24"/>
          <w:szCs w:val="24"/>
        </w:rPr>
        <w:t xml:space="preserve"> encouraged</w:t>
      </w:r>
      <w:r w:rsidRPr="0098098D">
        <w:rPr>
          <w:sz w:val="24"/>
          <w:szCs w:val="24"/>
        </w:rPr>
        <w:t xml:space="preserve"> to aggregate properties into a single group (or even a neighborhood area) to facilitate a single evaluatio</w:t>
      </w:r>
      <w:r>
        <w:rPr>
          <w:sz w:val="24"/>
          <w:szCs w:val="24"/>
        </w:rPr>
        <w:t xml:space="preserve">n. HUD may perform tiered or programmatic environmental reviews for simple, repetitive activities to avoid unnecessary analysis on simple projects. Where an environmental review was already performed for the same or a very similar project, HUD may adopt that review in whole or part. </w:t>
      </w:r>
    </w:p>
    <w:p w:rsidR="009E13B1" w14:paraId="1BDCA9C7" w14:textId="77777777">
      <w:pPr>
        <w:keepLines/>
        <w:tabs>
          <w:tab w:val="left" w:pos="360"/>
          <w:tab w:val="left" w:pos="720"/>
        </w:tabs>
        <w:ind w:left="360"/>
        <w:rPr>
          <w:sz w:val="24"/>
          <w:szCs w:val="24"/>
        </w:rPr>
      </w:pPr>
    </w:p>
    <w:p w:rsidR="00510663" w:rsidRPr="006C7FAE" w14:paraId="0E7352E6" w14:textId="77777777">
      <w:pPr>
        <w:keepLines/>
        <w:tabs>
          <w:tab w:val="left" w:pos="360"/>
          <w:tab w:val="left" w:pos="720"/>
        </w:tabs>
        <w:ind w:left="360"/>
        <w:rPr>
          <w:sz w:val="24"/>
          <w:szCs w:val="24"/>
        </w:rPr>
      </w:pPr>
    </w:p>
    <w:p w:rsidR="009E13B1" w14:paraId="7B6A0331"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510663" w:rsidP="00510663" w14:paraId="7F871F28" w14:textId="77777777">
      <w:pPr>
        <w:keepLines/>
        <w:tabs>
          <w:tab w:val="left" w:pos="360"/>
        </w:tabs>
        <w:spacing w:after="80"/>
        <w:ind w:left="360"/>
        <w:rPr>
          <w:sz w:val="24"/>
          <w:szCs w:val="24"/>
        </w:rPr>
      </w:pPr>
    </w:p>
    <w:p w:rsidR="00652C2E" w:rsidRPr="006C7FAE" w:rsidP="00510663" w14:paraId="2D096F14" w14:textId="69A87B17">
      <w:pPr>
        <w:keepLines/>
        <w:tabs>
          <w:tab w:val="left" w:pos="360"/>
        </w:tabs>
        <w:spacing w:after="80"/>
        <w:ind w:left="360"/>
        <w:rPr>
          <w:sz w:val="24"/>
          <w:szCs w:val="24"/>
        </w:rPr>
      </w:pPr>
      <w:r>
        <w:rPr>
          <w:sz w:val="24"/>
          <w:szCs w:val="24"/>
        </w:rPr>
        <w:t xml:space="preserve">This </w:t>
      </w:r>
      <w:r>
        <w:rPr>
          <w:sz w:val="24"/>
          <w:szCs w:val="24"/>
        </w:rPr>
        <w:t>collection of information does not impact small businesses or other small entities. G</w:t>
      </w:r>
      <w:r>
        <w:rPr>
          <w:noProof/>
          <w:sz w:val="22"/>
        </w:rPr>
        <w:t xml:space="preserve">enerally, the cost of the information collection for the environmental review for the applicant's proposed project is eligible for HUD funding as a project cost to the </w:t>
      </w:r>
      <w:r>
        <w:rPr>
          <w:noProof/>
          <w:sz w:val="22"/>
        </w:rPr>
        <w:t>extent allowable under the regulations of the HUD program assisting the project.</w:t>
      </w:r>
    </w:p>
    <w:p w:rsidR="009E13B1" w:rsidRPr="006C7FAE" w:rsidP="00652C2E" w14:paraId="5DF72AE7" w14:textId="77777777">
      <w:pPr>
        <w:tabs>
          <w:tab w:val="left" w:pos="360"/>
        </w:tabs>
        <w:rPr>
          <w:sz w:val="24"/>
          <w:szCs w:val="24"/>
        </w:rPr>
      </w:pPr>
    </w:p>
    <w:p w:rsidR="009E13B1" w:rsidRPr="006C7FAE" w14:paraId="6E35DB8C"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510663" w:rsidP="00652C2E" w14:paraId="46983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652C2E" w:rsidP="00510663" w14:paraId="23347ED3" w14:textId="7DC340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Pr>
          <w:sz w:val="24"/>
          <w:szCs w:val="24"/>
        </w:rPr>
        <w:t xml:space="preserve">HUD is required to collect this information by </w:t>
      </w:r>
      <w:r w:rsidRPr="00895BA9">
        <w:rPr>
          <w:sz w:val="24"/>
          <w:szCs w:val="24"/>
        </w:rPr>
        <w:t xml:space="preserve">NEPA, the regulations of the Council on Environmental Quality, related federal environmental laws, executive orders, and authorities, and </w:t>
      </w:r>
      <w:r>
        <w:rPr>
          <w:sz w:val="24"/>
          <w:szCs w:val="24"/>
        </w:rPr>
        <w:t xml:space="preserve">24 CFR </w:t>
      </w:r>
      <w:r w:rsidRPr="00895BA9">
        <w:rPr>
          <w:sz w:val="24"/>
          <w:szCs w:val="24"/>
        </w:rPr>
        <w:t>Part</w:t>
      </w:r>
      <w:r>
        <w:rPr>
          <w:sz w:val="24"/>
          <w:szCs w:val="24"/>
        </w:rPr>
        <w:t>s 50 and</w:t>
      </w:r>
      <w:r w:rsidRPr="00895BA9">
        <w:rPr>
          <w:sz w:val="24"/>
          <w:szCs w:val="24"/>
        </w:rPr>
        <w:t xml:space="preserve"> 58</w:t>
      </w:r>
      <w:r>
        <w:rPr>
          <w:sz w:val="24"/>
          <w:szCs w:val="24"/>
        </w:rPr>
        <w:t>. If HUD does not collect this information, it would be in violation of these laws.</w:t>
      </w:r>
    </w:p>
    <w:p w:rsidR="009E13B1" w:rsidRPr="006C7FAE" w14:paraId="2FF22CF6" w14:textId="77777777">
      <w:pPr>
        <w:keepLines/>
        <w:tabs>
          <w:tab w:val="left" w:pos="360"/>
          <w:tab w:val="left" w:pos="720"/>
        </w:tabs>
        <w:ind w:left="360"/>
        <w:rPr>
          <w:sz w:val="24"/>
          <w:szCs w:val="24"/>
        </w:rPr>
      </w:pPr>
    </w:p>
    <w:p w:rsidR="009E13B1" w:rsidRPr="006C7FAE" w14:paraId="78B397B4"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1CCFD964"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B23B2D" w:rsidR="00652C2E">
        <w:rPr>
          <w:b/>
          <w:sz w:val="24"/>
          <w:szCs w:val="24"/>
        </w:rPr>
        <w:t>None</w:t>
      </w:r>
    </w:p>
    <w:p w:rsidR="009E13B1" w:rsidRPr="006C7FAE" w14:paraId="6CD394B0"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23B2D" w:rsidR="00652C2E">
        <w:rPr>
          <w:b/>
          <w:sz w:val="24"/>
          <w:szCs w:val="24"/>
        </w:rPr>
        <w:t>None</w:t>
      </w:r>
    </w:p>
    <w:p w:rsidR="009E13B1" w:rsidRPr="006C7FAE" w14:paraId="0BFC0918"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B23B2D" w:rsidR="00652C2E">
        <w:rPr>
          <w:b/>
          <w:sz w:val="24"/>
          <w:szCs w:val="24"/>
        </w:rPr>
        <w:t>None</w:t>
      </w:r>
    </w:p>
    <w:p w:rsidR="009E13B1" w:rsidRPr="006C7FAE" w14:paraId="5EF5999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B23B2D" w:rsidR="00652C2E">
        <w:rPr>
          <w:b/>
          <w:sz w:val="24"/>
          <w:szCs w:val="24"/>
        </w:rPr>
        <w:t>None</w:t>
      </w:r>
    </w:p>
    <w:p w:rsidR="009E13B1" w:rsidRPr="006C7FAE" w14:paraId="0F11EE5B"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B23B2D" w:rsidR="00652C2E">
        <w:rPr>
          <w:b/>
          <w:sz w:val="24"/>
          <w:szCs w:val="24"/>
        </w:rPr>
        <w:t>None</w:t>
      </w:r>
    </w:p>
    <w:p w:rsidR="009E13B1" w:rsidRPr="006C7FAE" w14:paraId="3DF1CAE3"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B23B2D" w:rsidR="00652C2E">
        <w:rPr>
          <w:b/>
          <w:sz w:val="24"/>
          <w:szCs w:val="24"/>
        </w:rPr>
        <w:t>None</w:t>
      </w:r>
    </w:p>
    <w:p w:rsidR="009E13B1" w:rsidRPr="006C7FAE" w14:paraId="0001384A"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23B2D" w:rsidR="00652C2E">
        <w:rPr>
          <w:b/>
          <w:sz w:val="24"/>
          <w:szCs w:val="24"/>
        </w:rPr>
        <w:t>None</w:t>
      </w:r>
    </w:p>
    <w:p w:rsidR="009E13B1" w:rsidRPr="006C7FAE" w14:paraId="49D92FD8"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52C2E" w:rsidR="00652C2E">
        <w:rPr>
          <w:b/>
          <w:sz w:val="24"/>
          <w:szCs w:val="24"/>
        </w:rPr>
        <w:t xml:space="preserve"> </w:t>
      </w:r>
      <w:r w:rsidRPr="00B23B2D" w:rsidR="00652C2E">
        <w:rPr>
          <w:b/>
          <w:sz w:val="24"/>
          <w:szCs w:val="24"/>
        </w:rPr>
        <w:t>None</w:t>
      </w:r>
    </w:p>
    <w:p w:rsidR="00510663" w:rsidP="00652C2E" w14:paraId="05FC054B" w14:textId="77777777">
      <w:pPr>
        <w:keepLines/>
        <w:tabs>
          <w:tab w:val="left" w:pos="600"/>
        </w:tabs>
        <w:spacing w:after="80"/>
        <w:rPr>
          <w:sz w:val="24"/>
          <w:szCs w:val="24"/>
        </w:rPr>
      </w:pPr>
    </w:p>
    <w:p w:rsidR="00652C2E" w:rsidRPr="006933E8" w:rsidP="00510663" w14:paraId="2C0D5DD1" w14:textId="596154B8">
      <w:pPr>
        <w:keepLines/>
        <w:tabs>
          <w:tab w:val="left" w:pos="600"/>
        </w:tabs>
        <w:spacing w:after="80"/>
        <w:ind w:left="360"/>
        <w:rPr>
          <w:sz w:val="24"/>
          <w:szCs w:val="24"/>
        </w:rPr>
      </w:pPr>
      <w:r>
        <w:rPr>
          <w:sz w:val="24"/>
          <w:szCs w:val="24"/>
        </w:rPr>
        <w:t>T</w:t>
      </w:r>
      <w:r w:rsidRPr="006933E8">
        <w:rPr>
          <w:sz w:val="24"/>
          <w:szCs w:val="24"/>
        </w:rPr>
        <w:t xml:space="preserve">here are no special circumstances mentioned above that apply to this information collection. </w:t>
      </w:r>
    </w:p>
    <w:p w:rsidR="009E13B1" w14:paraId="17D4F54B" w14:textId="77777777">
      <w:pPr>
        <w:tabs>
          <w:tab w:val="left" w:pos="360"/>
        </w:tabs>
        <w:ind w:left="360" w:hanging="360"/>
        <w:rPr>
          <w:sz w:val="24"/>
          <w:szCs w:val="24"/>
        </w:rPr>
      </w:pPr>
    </w:p>
    <w:p w:rsidR="00510663" w14:paraId="7C8A7935" w14:textId="77777777">
      <w:pPr>
        <w:tabs>
          <w:tab w:val="left" w:pos="360"/>
        </w:tabs>
        <w:ind w:left="360" w:hanging="360"/>
        <w:rPr>
          <w:sz w:val="24"/>
          <w:szCs w:val="24"/>
        </w:rPr>
      </w:pPr>
    </w:p>
    <w:p w:rsidR="00510663" w14:paraId="5501911E" w14:textId="77777777">
      <w:pPr>
        <w:tabs>
          <w:tab w:val="left" w:pos="360"/>
        </w:tabs>
        <w:ind w:left="360" w:hanging="360"/>
        <w:rPr>
          <w:sz w:val="24"/>
          <w:szCs w:val="24"/>
        </w:rPr>
      </w:pPr>
    </w:p>
    <w:p w:rsidR="00510663" w14:paraId="19778DB4" w14:textId="77777777">
      <w:pPr>
        <w:tabs>
          <w:tab w:val="left" w:pos="360"/>
        </w:tabs>
        <w:ind w:left="360" w:hanging="360"/>
        <w:rPr>
          <w:sz w:val="24"/>
          <w:szCs w:val="24"/>
        </w:rPr>
      </w:pPr>
    </w:p>
    <w:p w:rsidR="00510663" w14:paraId="54D37C41" w14:textId="77777777">
      <w:pPr>
        <w:tabs>
          <w:tab w:val="left" w:pos="360"/>
        </w:tabs>
        <w:ind w:left="360" w:hanging="360"/>
        <w:rPr>
          <w:sz w:val="24"/>
          <w:szCs w:val="24"/>
        </w:rPr>
      </w:pPr>
    </w:p>
    <w:p w:rsidR="00510663" w14:paraId="0E947C76" w14:textId="77777777">
      <w:pPr>
        <w:tabs>
          <w:tab w:val="left" w:pos="360"/>
        </w:tabs>
        <w:ind w:left="360" w:hanging="360"/>
        <w:rPr>
          <w:sz w:val="24"/>
          <w:szCs w:val="24"/>
        </w:rPr>
      </w:pPr>
    </w:p>
    <w:p w:rsidR="00510663" w:rsidRPr="006C7FAE" w14:paraId="0E2FD360" w14:textId="77777777">
      <w:pPr>
        <w:tabs>
          <w:tab w:val="left" w:pos="360"/>
        </w:tabs>
        <w:ind w:left="360" w:hanging="360"/>
        <w:rPr>
          <w:sz w:val="24"/>
          <w:szCs w:val="24"/>
        </w:rPr>
      </w:pPr>
    </w:p>
    <w:p w:rsidR="009E13B1" w:rsidRPr="006C7FAE" w14:paraId="5FD2F3F8"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3AE65400"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FA7F1D" w14:paraId="313154D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w:t>
      </w:r>
      <w:r w:rsidRPr="00FA7F1D">
        <w:rPr>
          <w:sz w:val="24"/>
          <w:szCs w:val="24"/>
        </w:rPr>
        <w:t xml:space="preserve">consultation in a specific situation.  These circumstances should be explained. </w:t>
      </w:r>
    </w:p>
    <w:p w:rsidR="00510663" w:rsidP="00652C2E" w14:paraId="5B1859E1" w14:textId="77777777">
      <w:pPr>
        <w:pStyle w:val="NoSpacing"/>
        <w:rPr>
          <w:sz w:val="24"/>
          <w:szCs w:val="24"/>
        </w:rPr>
      </w:pPr>
    </w:p>
    <w:p w:rsidR="00652C2E" w:rsidRPr="00DE209D" w:rsidP="00510663" w14:paraId="4C90E24C" w14:textId="5BCCCE6F">
      <w:pPr>
        <w:pStyle w:val="NoSpacing"/>
        <w:ind w:left="336"/>
        <w:rPr>
          <w:sz w:val="24"/>
          <w:szCs w:val="24"/>
        </w:rPr>
      </w:pPr>
      <w:r w:rsidRPr="00FA7F1D">
        <w:rPr>
          <w:sz w:val="24"/>
          <w:szCs w:val="24"/>
        </w:rPr>
        <w:t xml:space="preserve">This information collection was announced in the Federal Register, Volume </w:t>
      </w:r>
      <w:r w:rsidRPr="00FA7F1D" w:rsidR="002A6D71">
        <w:rPr>
          <w:sz w:val="24"/>
          <w:szCs w:val="24"/>
        </w:rPr>
        <w:t xml:space="preserve">89; Page 80912, on 193. This was published on October 04, 2024. HUD received </w:t>
      </w:r>
      <w:r w:rsidRPr="00FA7F1D" w:rsidR="00FA7F1D">
        <w:rPr>
          <w:sz w:val="24"/>
          <w:szCs w:val="24"/>
        </w:rPr>
        <w:t xml:space="preserve">no </w:t>
      </w:r>
      <w:r w:rsidRPr="00FA7F1D" w:rsidR="00273853">
        <w:rPr>
          <w:sz w:val="24"/>
          <w:szCs w:val="24"/>
        </w:rPr>
        <w:t>comment</w:t>
      </w:r>
      <w:r w:rsidRPr="00FA7F1D" w:rsidR="00FA7F1D">
        <w:rPr>
          <w:sz w:val="24"/>
          <w:szCs w:val="24"/>
        </w:rPr>
        <w:t>s</w:t>
      </w:r>
      <w:r w:rsidRPr="00FA7F1D" w:rsidR="00273853">
        <w:rPr>
          <w:sz w:val="24"/>
          <w:szCs w:val="24"/>
        </w:rPr>
        <w:t>.</w:t>
      </w:r>
      <w:r w:rsidR="00273853">
        <w:rPr>
          <w:sz w:val="24"/>
          <w:szCs w:val="24"/>
        </w:rPr>
        <w:t xml:space="preserve"> </w:t>
      </w:r>
      <w:r w:rsidR="002A6D71">
        <w:rPr>
          <w:sz w:val="24"/>
          <w:szCs w:val="24"/>
        </w:rPr>
        <w:t xml:space="preserve"> </w:t>
      </w:r>
      <w:r w:rsidRPr="00DE209D">
        <w:rPr>
          <w:sz w:val="24"/>
          <w:szCs w:val="24"/>
        </w:rPr>
        <w:t xml:space="preserve"> </w:t>
      </w:r>
    </w:p>
    <w:p w:rsidR="009E13B1" w:rsidRPr="006C7FAE" w14:paraId="6D4652CD" w14:textId="77777777">
      <w:pPr>
        <w:tabs>
          <w:tab w:val="left" w:pos="360"/>
        </w:tabs>
        <w:ind w:left="360" w:hanging="360"/>
        <w:rPr>
          <w:sz w:val="24"/>
          <w:szCs w:val="24"/>
        </w:rPr>
      </w:pPr>
    </w:p>
    <w:p w:rsidR="009E13B1" w:rsidP="00652C2E" w14:paraId="3DE37078" w14:textId="3F715C43">
      <w:pPr>
        <w:keepLines/>
        <w:tabs>
          <w:tab w:val="left" w:pos="360"/>
        </w:tabs>
        <w:spacing w:after="80"/>
        <w:ind w:left="360" w:hanging="360"/>
        <w:rPr>
          <w:sz w:val="24"/>
          <w:szCs w:val="24"/>
        </w:rPr>
      </w:pPr>
      <w:r>
        <w:rPr>
          <w:sz w:val="24"/>
          <w:szCs w:val="24"/>
        </w:rPr>
        <w:t xml:space="preserve">9.   </w:t>
      </w:r>
      <w:r w:rsidRPr="006C7FAE">
        <w:rPr>
          <w:sz w:val="24"/>
          <w:szCs w:val="24"/>
        </w:rPr>
        <w:t xml:space="preserve">Explain any decision to provide any payment or gift to respondents, other than </w:t>
      </w:r>
      <w:r w:rsidRPr="006C7FAE" w:rsidR="00824175">
        <w:rPr>
          <w:sz w:val="24"/>
          <w:szCs w:val="24"/>
        </w:rPr>
        <w:t>renumeration</w:t>
      </w:r>
      <w:r w:rsidRPr="006C7FAE">
        <w:rPr>
          <w:sz w:val="24"/>
          <w:szCs w:val="24"/>
        </w:rPr>
        <w:t xml:space="preserve"> of contractors or grantees.</w:t>
      </w:r>
    </w:p>
    <w:p w:rsidR="00510663" w:rsidP="00652C2E" w14:paraId="4E40AC97" w14:textId="77777777">
      <w:pPr>
        <w:pStyle w:val="NoSpacing"/>
        <w:rPr>
          <w:sz w:val="24"/>
          <w:szCs w:val="24"/>
        </w:rPr>
      </w:pPr>
    </w:p>
    <w:p w:rsidR="00652C2E" w:rsidRPr="00DE209D" w:rsidP="00510663" w14:paraId="595E77F2" w14:textId="503CF99C">
      <w:pPr>
        <w:pStyle w:val="NoSpacing"/>
        <w:ind w:left="360"/>
        <w:rPr>
          <w:sz w:val="24"/>
          <w:szCs w:val="24"/>
        </w:rPr>
      </w:pPr>
      <w:r w:rsidRPr="00DE209D">
        <w:rPr>
          <w:sz w:val="24"/>
          <w:szCs w:val="24"/>
        </w:rPr>
        <w:t>This is not applicable, because HUD does not provide any payment or gifts as remuneration for this information collection other than allowing remuneration of costs. Generally, the cost of the information collection for the environmental review for the applicant's proposed project is eligible for HUD funding as a project cost to the extent allowable under the regulations of the HUD program assisting the project.</w:t>
      </w:r>
    </w:p>
    <w:p w:rsidR="009E13B1" w:rsidRPr="006C7FAE" w14:paraId="182C5C47" w14:textId="77777777">
      <w:pPr>
        <w:tabs>
          <w:tab w:val="left" w:pos="360"/>
        </w:tabs>
        <w:ind w:left="360" w:hanging="360"/>
        <w:rPr>
          <w:sz w:val="24"/>
          <w:szCs w:val="24"/>
        </w:rPr>
      </w:pPr>
    </w:p>
    <w:p w:rsidR="009E13B1" w14:paraId="78DCCFB4" w14:textId="24011ABE">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00E17872">
        <w:rPr>
          <w:sz w:val="24"/>
          <w:szCs w:val="24"/>
        </w:rPr>
        <w:t xml:space="preserve"> </w:t>
      </w:r>
      <w:r w:rsidRPr="00E17872" w:rsidR="00E17872">
        <w:rPr>
          <w:sz w:val="24"/>
          <w:szCs w:val="24"/>
        </w:rPr>
        <w:t>If the collection requires a system of records notice (SORN) or privacy impact assessment (PIA), those should be cited and described here.</w:t>
      </w:r>
    </w:p>
    <w:p w:rsidR="00510663" w:rsidP="00652C2E" w14:paraId="3D34EFFE" w14:textId="77777777">
      <w:pPr>
        <w:rPr>
          <w:sz w:val="24"/>
          <w:szCs w:val="24"/>
        </w:rPr>
      </w:pPr>
    </w:p>
    <w:p w:rsidR="00652C2E" w:rsidRPr="002158C8" w:rsidP="00510663" w14:paraId="4A192A45" w14:textId="2229EB4F">
      <w:pPr>
        <w:ind w:left="360"/>
        <w:rPr>
          <w:rFonts w:ascii="Calibri" w:hAnsi="Calibri" w:cs="Calibri"/>
          <w:sz w:val="22"/>
          <w:szCs w:val="22"/>
        </w:rPr>
      </w:pPr>
      <w:r w:rsidRPr="002158C8">
        <w:rPr>
          <w:sz w:val="24"/>
          <w:szCs w:val="24"/>
        </w:rPr>
        <w:t>Environmental review</w:t>
      </w:r>
      <w:r w:rsidR="00C53008">
        <w:rPr>
          <w:sz w:val="24"/>
          <w:szCs w:val="24"/>
        </w:rPr>
        <w:t xml:space="preserve"> document</w:t>
      </w:r>
      <w:r w:rsidRPr="002158C8">
        <w:rPr>
          <w:sz w:val="24"/>
          <w:szCs w:val="24"/>
        </w:rPr>
        <w:t xml:space="preserve">s are public </w:t>
      </w:r>
      <w:r w:rsidR="00680BA8">
        <w:rPr>
          <w:sz w:val="24"/>
          <w:szCs w:val="24"/>
        </w:rPr>
        <w:t>and</w:t>
      </w:r>
      <w:r w:rsidRPr="002158C8">
        <w:rPr>
          <w:sz w:val="24"/>
          <w:szCs w:val="24"/>
        </w:rPr>
        <w:t xml:space="preserve"> must be made available upon request to any member of the public</w:t>
      </w:r>
      <w:r w:rsidR="00CA57AF">
        <w:rPr>
          <w:sz w:val="24"/>
          <w:szCs w:val="24"/>
        </w:rPr>
        <w:t xml:space="preserve">.  Environmental reviews completed per 24 CFR Part 50 </w:t>
      </w:r>
      <w:r w:rsidR="002E0940">
        <w:rPr>
          <w:sz w:val="24"/>
          <w:szCs w:val="24"/>
        </w:rPr>
        <w:t xml:space="preserve">must follow the public participation requirements at 24 CFR § 50.23 and </w:t>
      </w:r>
      <w:r w:rsidR="00CA57AF">
        <w:rPr>
          <w:sz w:val="24"/>
          <w:szCs w:val="24"/>
        </w:rPr>
        <w:t xml:space="preserve">are available in </w:t>
      </w:r>
      <w:r w:rsidRPr="009437D4" w:rsidR="00CA57AF">
        <w:rPr>
          <w:sz w:val="24"/>
          <w:szCs w:val="24"/>
        </w:rPr>
        <w:t>HEROS</w:t>
      </w:r>
      <w:r w:rsidR="00A965DC">
        <w:rPr>
          <w:sz w:val="24"/>
          <w:szCs w:val="24"/>
        </w:rPr>
        <w:t xml:space="preserve">. </w:t>
      </w:r>
      <w:r w:rsidR="00520A64">
        <w:rPr>
          <w:sz w:val="24"/>
          <w:szCs w:val="24"/>
        </w:rPr>
        <w:t xml:space="preserve">Environmental reviews completed per 24 CFR Part 58 must follow </w:t>
      </w:r>
      <w:r w:rsidR="00C16FCF">
        <w:rPr>
          <w:sz w:val="24"/>
          <w:szCs w:val="24"/>
        </w:rPr>
        <w:t xml:space="preserve">the public availability requirements at 24 CFR </w:t>
      </w:r>
      <w:r w:rsidR="00427AC5">
        <w:rPr>
          <w:sz w:val="24"/>
          <w:szCs w:val="24"/>
        </w:rPr>
        <w:t>§§</w:t>
      </w:r>
      <w:r w:rsidR="0098250C">
        <w:rPr>
          <w:sz w:val="24"/>
          <w:szCs w:val="24"/>
        </w:rPr>
        <w:t xml:space="preserve"> </w:t>
      </w:r>
      <w:r w:rsidR="00C16FCF">
        <w:rPr>
          <w:sz w:val="24"/>
          <w:szCs w:val="24"/>
        </w:rPr>
        <w:t>58.38</w:t>
      </w:r>
      <w:r w:rsidR="00923D52">
        <w:rPr>
          <w:sz w:val="24"/>
          <w:szCs w:val="24"/>
        </w:rPr>
        <w:t>,</w:t>
      </w:r>
      <w:r w:rsidR="00427AC5">
        <w:rPr>
          <w:sz w:val="24"/>
          <w:szCs w:val="24"/>
        </w:rPr>
        <w:t xml:space="preserve"> 58.60</w:t>
      </w:r>
      <w:r w:rsidR="00C16FCF">
        <w:rPr>
          <w:sz w:val="24"/>
          <w:szCs w:val="24"/>
        </w:rPr>
        <w:t>.  T</w:t>
      </w:r>
      <w:r w:rsidRPr="002158C8">
        <w:rPr>
          <w:sz w:val="24"/>
          <w:szCs w:val="24"/>
        </w:rPr>
        <w:t>herefore</w:t>
      </w:r>
      <w:r w:rsidR="00C16FCF">
        <w:rPr>
          <w:sz w:val="24"/>
          <w:szCs w:val="24"/>
        </w:rPr>
        <w:t>,</w:t>
      </w:r>
      <w:r w:rsidRPr="002158C8">
        <w:rPr>
          <w:sz w:val="24"/>
          <w:szCs w:val="24"/>
        </w:rPr>
        <w:t xml:space="preserve"> </w:t>
      </w:r>
      <w:r w:rsidR="00CB2D7A">
        <w:rPr>
          <w:sz w:val="24"/>
          <w:szCs w:val="24"/>
        </w:rPr>
        <w:t>HUD</w:t>
      </w:r>
      <w:r w:rsidRPr="002158C8" w:rsidR="00CB2D7A">
        <w:rPr>
          <w:sz w:val="24"/>
          <w:szCs w:val="24"/>
        </w:rPr>
        <w:t xml:space="preserve"> </w:t>
      </w:r>
      <w:r w:rsidRPr="002158C8">
        <w:rPr>
          <w:sz w:val="24"/>
          <w:szCs w:val="24"/>
        </w:rPr>
        <w:t xml:space="preserve">provides no assurance of confidentiality </w:t>
      </w:r>
      <w:r w:rsidR="00002EDE">
        <w:rPr>
          <w:sz w:val="24"/>
          <w:szCs w:val="24"/>
        </w:rPr>
        <w:t>in connection with this information collection</w:t>
      </w:r>
      <w:r w:rsidRPr="002158C8">
        <w:rPr>
          <w:sz w:val="24"/>
          <w:szCs w:val="24"/>
        </w:rPr>
        <w:t xml:space="preserve">. </w:t>
      </w:r>
    </w:p>
    <w:p w:rsidR="009E13B1" w:rsidRPr="006C7FAE" w14:paraId="427778E6" w14:textId="77777777">
      <w:pPr>
        <w:tabs>
          <w:tab w:val="left" w:pos="360"/>
        </w:tabs>
        <w:ind w:left="360" w:hanging="360"/>
        <w:rPr>
          <w:sz w:val="24"/>
          <w:szCs w:val="24"/>
        </w:rPr>
      </w:pPr>
    </w:p>
    <w:p w:rsidR="009E13B1" w14:paraId="7C65F59B"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10663" w:rsidP="00652C2E" w14:paraId="01207E43" w14:textId="77777777">
      <w:pPr>
        <w:pStyle w:val="NoSpacing"/>
        <w:rPr>
          <w:noProof/>
          <w:sz w:val="24"/>
          <w:szCs w:val="24"/>
        </w:rPr>
      </w:pPr>
    </w:p>
    <w:p w:rsidR="00652C2E" w:rsidRPr="00D11CDA" w:rsidP="00510663" w14:paraId="6E8C2448" w14:textId="32E7C941">
      <w:pPr>
        <w:pStyle w:val="NoSpacing"/>
        <w:ind w:left="360"/>
        <w:rPr>
          <w:noProof/>
          <w:sz w:val="24"/>
          <w:szCs w:val="24"/>
        </w:rPr>
      </w:pPr>
      <w:r w:rsidRPr="00D11CDA">
        <w:rPr>
          <w:noProof/>
          <w:sz w:val="24"/>
          <w:szCs w:val="24"/>
        </w:rPr>
        <w:t xml:space="preserve">This is not applicable, because the information collected for environmental review does not </w:t>
      </w:r>
      <w:r>
        <w:rPr>
          <w:noProof/>
          <w:sz w:val="24"/>
          <w:szCs w:val="24"/>
        </w:rPr>
        <w:t xml:space="preserve">relate </w:t>
      </w:r>
      <w:r w:rsidRPr="00D11CDA">
        <w:rPr>
          <w:noProof/>
          <w:sz w:val="24"/>
          <w:szCs w:val="24"/>
        </w:rPr>
        <w:t>to the above-mentioned subjects.</w:t>
      </w:r>
    </w:p>
    <w:p w:rsidR="009E13B1" w:rsidRPr="006C7FAE" w14:paraId="1158CA6E" w14:textId="77777777">
      <w:pPr>
        <w:tabs>
          <w:tab w:val="left" w:pos="360"/>
        </w:tabs>
        <w:ind w:left="360" w:hanging="360"/>
        <w:rPr>
          <w:sz w:val="24"/>
          <w:szCs w:val="24"/>
        </w:rPr>
      </w:pPr>
    </w:p>
    <w:p w:rsidR="009E13B1" w:rsidRPr="006C7FAE" w14:paraId="165AA392" w14:textId="77777777">
      <w:pPr>
        <w:tabs>
          <w:tab w:val="left" w:pos="360"/>
        </w:tabs>
        <w:ind w:left="360" w:hanging="360"/>
        <w:rPr>
          <w:sz w:val="24"/>
          <w:szCs w:val="24"/>
        </w:rPr>
      </w:pPr>
      <w:r w:rsidRPr="006C7FAE">
        <w:rPr>
          <w:sz w:val="24"/>
          <w:szCs w:val="24"/>
        </w:rPr>
        <w:t>12.</w:t>
      </w:r>
      <w:r w:rsidRPr="006C7FAE">
        <w:rPr>
          <w:sz w:val="24"/>
          <w:szCs w:val="24"/>
        </w:rPr>
        <w:tab/>
      </w:r>
      <w:r w:rsidRPr="006C7FAE">
        <w:rPr>
          <w:sz w:val="24"/>
          <w:szCs w:val="24"/>
        </w:rPr>
        <w:t xml:space="preserve">Provide estimates of the hour burden of the collection of information.  The statement should: </w:t>
      </w:r>
    </w:p>
    <w:p w:rsidR="009E13B1" w:rsidRPr="006C7FAE" w14:paraId="2E41E810" w14:textId="77777777">
      <w:pPr>
        <w:numPr>
          <w:ilvl w:val="0"/>
          <w:numId w:val="14"/>
        </w:numPr>
        <w:tabs>
          <w:tab w:val="left" w:pos="480"/>
        </w:tabs>
        <w:ind w:left="480"/>
        <w:rPr>
          <w:sz w:val="24"/>
          <w:szCs w:val="24"/>
        </w:rPr>
      </w:pPr>
      <w:r w:rsidRPr="006C7FAE">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6C7FAE">
        <w:rPr>
          <w:sz w:val="24"/>
          <w:szCs w:val="24"/>
        </w:rPr>
        <w:t xml:space="preserv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3170875A" w14:textId="37702849">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w:t>
      </w:r>
      <w:r w:rsidR="00DE06C3">
        <w:rPr>
          <w:sz w:val="24"/>
          <w:szCs w:val="24"/>
        </w:rPr>
        <w:t>chart below</w:t>
      </w:r>
      <w:r w:rsidRPr="006C7FAE">
        <w:rPr>
          <w:sz w:val="24"/>
          <w:szCs w:val="24"/>
        </w:rPr>
        <w:t xml:space="preserve">; and </w:t>
      </w:r>
    </w:p>
    <w:p w:rsidR="009E13B1" w:rsidRPr="006C7FAE" w14:paraId="450563DB" w14:textId="53C6781E">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042D23">
        <w:rPr>
          <w:sz w:val="24"/>
          <w:szCs w:val="24"/>
        </w:rPr>
        <w:t>Instead,</w:t>
      </w:r>
      <w:r w:rsidRPr="006C7FAE">
        <w:rPr>
          <w:sz w:val="24"/>
          <w:szCs w:val="24"/>
        </w:rPr>
        <w:t xml:space="preserve"> this cost should be included in Item 13.</w:t>
      </w:r>
    </w:p>
    <w:p w:rsidR="00652C2E" w:rsidP="00652C2E" w14:paraId="4CCE190D"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tbl>
      <w:tblPr>
        <w:tblW w:w="9540" w:type="dxa"/>
        <w:tblInd w:w="260" w:type="dxa"/>
        <w:tblCellMar>
          <w:left w:w="0" w:type="dxa"/>
          <w:right w:w="0" w:type="dxa"/>
        </w:tblCellMar>
        <w:tblLook w:val="04A0"/>
      </w:tblPr>
      <w:tblGrid>
        <w:gridCol w:w="1272"/>
        <w:gridCol w:w="1663"/>
        <w:gridCol w:w="1160"/>
        <w:gridCol w:w="1153"/>
        <w:gridCol w:w="1066"/>
        <w:gridCol w:w="961"/>
        <w:gridCol w:w="1017"/>
        <w:gridCol w:w="1248"/>
      </w:tblGrid>
      <w:tr w14:paraId="5AB82DA3" w14:textId="77777777" w:rsidTr="00510663">
        <w:tblPrEx>
          <w:tblW w:w="9540" w:type="dxa"/>
          <w:tblInd w:w="260" w:type="dxa"/>
          <w:tblCellMar>
            <w:left w:w="0" w:type="dxa"/>
            <w:right w:w="0" w:type="dxa"/>
          </w:tblCellMar>
          <w:tblLook w:val="04A0"/>
        </w:tblPrEx>
        <w:tc>
          <w:tcPr>
            <w:tcW w:w="12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52C2E" w:rsidRPr="00ED3DD9" w:rsidP="001E3B3E" w14:paraId="19A3E190" w14:textId="77777777">
            <w:pPr>
              <w:jc w:val="center"/>
              <w:rPr>
                <w:rFonts w:eastAsia="Calibri"/>
                <w:b/>
                <w:color w:val="000000"/>
              </w:rPr>
            </w:pPr>
            <w:bookmarkStart w:id="3" w:name="_Hlk72414059"/>
            <w:r w:rsidRPr="00ED3DD9">
              <w:rPr>
                <w:b/>
                <w:color w:val="000000"/>
              </w:rPr>
              <w:t>Information Collection</w:t>
            </w:r>
          </w:p>
        </w:tc>
        <w:tc>
          <w:tcPr>
            <w:tcW w:w="166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3F1122FC" w14:textId="77777777">
            <w:pPr>
              <w:jc w:val="center"/>
              <w:rPr>
                <w:rFonts w:eastAsia="Calibri"/>
                <w:b/>
                <w:color w:val="000000"/>
              </w:rPr>
            </w:pPr>
            <w:r w:rsidRPr="00ED3DD9">
              <w:rPr>
                <w:b/>
                <w:color w:val="000000"/>
              </w:rPr>
              <w:t>Number of Respondents</w:t>
            </w:r>
          </w:p>
        </w:tc>
        <w:tc>
          <w:tcPr>
            <w:tcW w:w="11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0F77F6F1" w14:textId="77777777">
            <w:pPr>
              <w:jc w:val="center"/>
              <w:rPr>
                <w:rFonts w:eastAsia="Calibri"/>
                <w:b/>
                <w:color w:val="000000"/>
              </w:rPr>
            </w:pPr>
            <w:r w:rsidRPr="00ED3DD9">
              <w:rPr>
                <w:b/>
                <w:color w:val="000000"/>
              </w:rPr>
              <w:t>Frequency of Response</w:t>
            </w:r>
          </w:p>
        </w:tc>
        <w:tc>
          <w:tcPr>
            <w:tcW w:w="115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0849236B" w14:textId="77777777">
            <w:pPr>
              <w:jc w:val="center"/>
              <w:rPr>
                <w:rFonts w:eastAsia="Calibri"/>
                <w:b/>
                <w:color w:val="000000"/>
              </w:rPr>
            </w:pPr>
            <w:r w:rsidRPr="00ED3DD9">
              <w:rPr>
                <w:b/>
                <w:color w:val="000000"/>
              </w:rPr>
              <w:t>Responses</w:t>
            </w:r>
          </w:p>
          <w:p w:rsidR="00652C2E" w:rsidRPr="00ED3DD9" w:rsidP="001E3B3E" w14:paraId="78E06542" w14:textId="77777777">
            <w:pPr>
              <w:jc w:val="center"/>
              <w:rPr>
                <w:rFonts w:eastAsia="Calibri"/>
                <w:b/>
                <w:color w:val="000000"/>
              </w:rPr>
            </w:pPr>
            <w:r w:rsidRPr="00ED3DD9">
              <w:rPr>
                <w:b/>
                <w:color w:val="000000"/>
              </w:rPr>
              <w:t>Per Annum</w:t>
            </w:r>
          </w:p>
        </w:tc>
        <w:tc>
          <w:tcPr>
            <w:tcW w:w="10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53998751" w14:textId="77777777">
            <w:pPr>
              <w:jc w:val="center"/>
              <w:rPr>
                <w:rFonts w:eastAsia="Calibri"/>
                <w:b/>
                <w:color w:val="000000"/>
              </w:rPr>
            </w:pPr>
            <w:r w:rsidRPr="00ED3DD9">
              <w:rPr>
                <w:b/>
                <w:color w:val="000000"/>
              </w:rPr>
              <w:t>Burden Hour Per Response</w:t>
            </w:r>
          </w:p>
        </w:tc>
        <w:tc>
          <w:tcPr>
            <w:tcW w:w="96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43E90F75" w14:textId="77777777">
            <w:pPr>
              <w:jc w:val="center"/>
              <w:rPr>
                <w:rFonts w:eastAsia="Calibri"/>
                <w:b/>
                <w:color w:val="000000"/>
              </w:rPr>
            </w:pPr>
            <w:r w:rsidRPr="00ED3DD9">
              <w:rPr>
                <w:b/>
                <w:color w:val="000000"/>
              </w:rPr>
              <w:t>Annual Burden Hours</w:t>
            </w:r>
          </w:p>
        </w:tc>
        <w:tc>
          <w:tcPr>
            <w:tcW w:w="10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52C2E" w:rsidRPr="00ED3DD9" w:rsidP="001E3B3E" w14:paraId="5F02DDF5" w14:textId="77777777">
            <w:pPr>
              <w:jc w:val="center"/>
              <w:rPr>
                <w:rFonts w:eastAsia="Calibri"/>
                <w:b/>
                <w:color w:val="000000"/>
              </w:rPr>
            </w:pPr>
            <w:r w:rsidRPr="00ED3DD9">
              <w:rPr>
                <w:b/>
                <w:color w:val="000000"/>
              </w:rPr>
              <w:t>Hourly Cost Per Response</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52C2E" w:rsidRPr="00ED3DD9" w:rsidP="001E3B3E" w14:paraId="0C09F3C6" w14:textId="4E9811BC">
            <w:pPr>
              <w:jc w:val="center"/>
              <w:rPr>
                <w:rFonts w:eastAsia="Calibri"/>
                <w:b/>
                <w:color w:val="000000"/>
              </w:rPr>
            </w:pPr>
            <w:r w:rsidRPr="00ED3DD9">
              <w:rPr>
                <w:b/>
                <w:color w:val="000000"/>
              </w:rPr>
              <w:t>Annual Cost</w:t>
            </w:r>
            <w:r w:rsidR="003C66E9">
              <w:rPr>
                <w:b/>
                <w:color w:val="000000"/>
              </w:rPr>
              <w:t>*</w:t>
            </w:r>
          </w:p>
          <w:p w:rsidR="00652C2E" w:rsidRPr="00ED3DD9" w:rsidP="001E3B3E" w14:paraId="74D99864" w14:textId="77777777">
            <w:pPr>
              <w:jc w:val="center"/>
              <w:rPr>
                <w:rFonts w:eastAsia="Calibri"/>
                <w:b/>
                <w:color w:val="000000"/>
              </w:rPr>
            </w:pPr>
          </w:p>
        </w:tc>
      </w:tr>
      <w:tr w14:paraId="7E782523" w14:textId="77777777" w:rsidTr="0064587F">
        <w:tblPrEx>
          <w:tblW w:w="9540" w:type="dxa"/>
          <w:tblInd w:w="260" w:type="dxa"/>
          <w:tblCellMar>
            <w:left w:w="0" w:type="dxa"/>
            <w:right w:w="0" w:type="dxa"/>
          </w:tblCellMar>
          <w:tblLook w:val="04A0"/>
        </w:tblPrEx>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567" w:rsidRPr="00DF1097" w:rsidP="00392567" w14:paraId="66BBA30D" w14:textId="77777777">
            <w:pPr>
              <w:rPr>
                <w:b/>
                <w:bCs/>
                <w:color w:val="000000"/>
              </w:rPr>
            </w:pPr>
            <w:r>
              <w:rPr>
                <w:b/>
                <w:bCs/>
                <w:color w:val="000000"/>
              </w:rPr>
              <w:t>Total to respondents</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476B0596" w14:textId="126BB031">
            <w:pPr>
              <w:jc w:val="right"/>
              <w:rPr>
                <w:b/>
                <w:bCs/>
                <w:color w:val="000000"/>
              </w:rPr>
            </w:pPr>
            <w:r w:rsidRPr="00612EA2">
              <w:rPr>
                <w:b/>
                <w:bCs/>
              </w:rPr>
              <w:t xml:space="preserve"> 1,378.00 </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6FC2197D" w14:textId="339857CB">
            <w:pPr>
              <w:jc w:val="right"/>
              <w:rPr>
                <w:rFonts w:eastAsia="Calibri"/>
                <w:b/>
                <w:bCs/>
                <w:color w:val="000000"/>
              </w:rPr>
            </w:pPr>
            <w:r w:rsidRPr="00612EA2">
              <w:rPr>
                <w:b/>
                <w:bCs/>
              </w:rPr>
              <w:t>1</w:t>
            </w:r>
          </w:p>
        </w:tc>
        <w:tc>
          <w:tcPr>
            <w:tcW w:w="11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0458D3FD" w14:textId="46D74FDC">
            <w:pPr>
              <w:jc w:val="right"/>
              <w:rPr>
                <w:rFonts w:eastAsia="Calibri"/>
                <w:b/>
                <w:bCs/>
                <w:color w:val="000000"/>
              </w:rPr>
            </w:pPr>
            <w:r w:rsidRPr="00612EA2">
              <w:rPr>
                <w:b/>
                <w:bCs/>
              </w:rPr>
              <w:t xml:space="preserve"> 1,378.00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5EC942E3" w14:textId="4B24164F">
            <w:pPr>
              <w:jc w:val="right"/>
              <w:rPr>
                <w:rFonts w:eastAsia="Calibri"/>
                <w:b/>
                <w:bCs/>
                <w:color w:val="000000"/>
              </w:rPr>
            </w:pPr>
            <w:r w:rsidRPr="00612EA2">
              <w:rPr>
                <w:b/>
                <w:bCs/>
              </w:rPr>
              <w:t xml:space="preserve"> 3.00 </w:t>
            </w:r>
          </w:p>
        </w:tc>
        <w:tc>
          <w:tcPr>
            <w:tcW w:w="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6A17DE39" w14:textId="0295C17B">
            <w:pPr>
              <w:rPr>
                <w:rFonts w:eastAsia="Calibri"/>
                <w:b/>
                <w:bCs/>
                <w:color w:val="000000"/>
              </w:rPr>
            </w:pPr>
            <w:r w:rsidRPr="00612EA2">
              <w:rPr>
                <w:b/>
                <w:bCs/>
              </w:rPr>
              <w:t xml:space="preserve">4,134.00 </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30B50FCB" w14:textId="1F12FAC0">
            <w:pPr>
              <w:jc w:val="right"/>
              <w:rPr>
                <w:rFonts w:eastAsia="Calibri"/>
                <w:b/>
                <w:bCs/>
                <w:color w:val="000000"/>
              </w:rPr>
            </w:pPr>
            <w:r w:rsidRPr="00612EA2">
              <w:rPr>
                <w:b/>
                <w:bCs/>
              </w:rPr>
              <w:t>$50.89</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2D2BA57B" w14:textId="10B9F48E">
            <w:pPr>
              <w:jc w:val="right"/>
              <w:rPr>
                <w:rFonts w:eastAsia="Calibri"/>
                <w:b/>
                <w:bCs/>
                <w:color w:val="000000"/>
              </w:rPr>
            </w:pPr>
            <w:r w:rsidRPr="00612EA2">
              <w:rPr>
                <w:b/>
                <w:bCs/>
              </w:rPr>
              <w:t xml:space="preserve"> 210,379.26 </w:t>
            </w:r>
          </w:p>
        </w:tc>
      </w:tr>
      <w:tr w14:paraId="4772EB02" w14:textId="77777777" w:rsidTr="00392567">
        <w:tblPrEx>
          <w:tblW w:w="9540" w:type="dxa"/>
          <w:tblInd w:w="260" w:type="dxa"/>
          <w:tblCellMar>
            <w:left w:w="0" w:type="dxa"/>
            <w:right w:w="0" w:type="dxa"/>
          </w:tblCellMar>
          <w:tblLook w:val="04A0"/>
        </w:tblPrEx>
        <w:trPr>
          <w:trHeight w:val="341"/>
        </w:trPr>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567" w:rsidRPr="00E8603D" w:rsidP="00392567" w14:paraId="6235BE87" w14:textId="5197F0AD">
            <w:pPr>
              <w:rPr>
                <w:b/>
                <w:bCs/>
                <w:color w:val="000000"/>
              </w:rPr>
            </w:pPr>
            <w:r w:rsidRPr="00E8603D">
              <w:rPr>
                <w:b/>
                <w:bCs/>
                <w:color w:val="000000"/>
              </w:rPr>
              <w:t>Total*</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42DB22F9" w14:textId="3AAE0937">
            <w:pPr>
              <w:jc w:val="right"/>
              <w:rPr>
                <w:b/>
                <w:bCs/>
                <w:color w:val="000000"/>
              </w:rPr>
            </w:pPr>
            <w:r w:rsidRPr="00612EA2">
              <w:rPr>
                <w:b/>
                <w:bCs/>
              </w:rPr>
              <w:t xml:space="preserve"> 1,378.00 </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6BD993CE" w14:textId="562E3CA1">
            <w:pPr>
              <w:jc w:val="right"/>
              <w:rPr>
                <w:rFonts w:eastAsia="Calibri"/>
                <w:b/>
                <w:bCs/>
                <w:color w:val="000000"/>
              </w:rPr>
            </w:pPr>
            <w:r w:rsidRPr="00612EA2">
              <w:rPr>
                <w:b/>
                <w:bCs/>
              </w:rPr>
              <w:t>1</w:t>
            </w:r>
          </w:p>
        </w:tc>
        <w:tc>
          <w:tcPr>
            <w:tcW w:w="11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15082E84" w14:textId="05DB6F14">
            <w:pPr>
              <w:jc w:val="right"/>
              <w:rPr>
                <w:rFonts w:eastAsia="Calibri"/>
                <w:b/>
                <w:bCs/>
                <w:color w:val="000000"/>
              </w:rPr>
            </w:pPr>
            <w:r w:rsidRPr="00612EA2">
              <w:rPr>
                <w:b/>
                <w:bCs/>
              </w:rPr>
              <w:t xml:space="preserve"> 1,378.00 </w:t>
            </w: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75ED27FC" w14:textId="2FFBF665">
            <w:pPr>
              <w:jc w:val="right"/>
              <w:rPr>
                <w:rFonts w:eastAsia="Calibri"/>
                <w:b/>
                <w:bCs/>
                <w:color w:val="000000"/>
              </w:rPr>
            </w:pPr>
            <w:r w:rsidRPr="00612EA2">
              <w:rPr>
                <w:b/>
                <w:bCs/>
              </w:rPr>
              <w:t xml:space="preserve"> 3.00 </w:t>
            </w:r>
          </w:p>
        </w:tc>
        <w:tc>
          <w:tcPr>
            <w:tcW w:w="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2623EAEE" w14:textId="462C3C16">
            <w:pPr>
              <w:rPr>
                <w:rFonts w:eastAsia="Calibri"/>
                <w:b/>
                <w:bCs/>
                <w:color w:val="000000"/>
              </w:rPr>
            </w:pPr>
            <w:r w:rsidRPr="00612EA2">
              <w:rPr>
                <w:b/>
                <w:bCs/>
              </w:rPr>
              <w:t xml:space="preserve">4,134.00 </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4AF87404" w14:textId="4D4D64F0">
            <w:pPr>
              <w:jc w:val="right"/>
              <w:rPr>
                <w:rFonts w:eastAsia="Calibri"/>
                <w:b/>
                <w:bCs/>
                <w:color w:val="000000"/>
              </w:rPr>
            </w:pPr>
            <w:r w:rsidRPr="00612EA2">
              <w:rPr>
                <w:b/>
                <w:bCs/>
              </w:rPr>
              <w:t>$50.89</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3887A933" w14:textId="2BDA4A0B">
            <w:pPr>
              <w:jc w:val="right"/>
              <w:rPr>
                <w:rFonts w:eastAsia="Calibri"/>
                <w:b/>
                <w:bCs/>
                <w:color w:val="000000"/>
                <w:highlight w:val="yellow"/>
              </w:rPr>
            </w:pPr>
            <w:r w:rsidRPr="00612EA2">
              <w:rPr>
                <w:b/>
                <w:bCs/>
              </w:rPr>
              <w:t xml:space="preserve"> 210,379.26 </w:t>
            </w:r>
          </w:p>
        </w:tc>
      </w:tr>
    </w:tbl>
    <w:bookmarkEnd w:id="3"/>
    <w:p w:rsidR="00652C2E" w:rsidRPr="00F75E52" w:rsidP="00A319EA" w14:paraId="1EAE91A2" w14:textId="0B099C2F">
      <w:pPr>
        <w:keepLines/>
        <w:tabs>
          <w:tab w:val="left" w:pos="480"/>
        </w:tabs>
        <w:spacing w:after="80"/>
        <w:ind w:left="360"/>
      </w:pPr>
      <w:r w:rsidRPr="00F75E52">
        <w:t xml:space="preserve">*For </w:t>
      </w:r>
      <w:r w:rsidRPr="00F75E52">
        <w:rPr>
          <w:noProof/>
        </w:rPr>
        <w:t>92.</w:t>
      </w:r>
      <w:r w:rsidR="00BD2DE4">
        <w:rPr>
          <w:noProof/>
        </w:rPr>
        <w:t>6</w:t>
      </w:r>
      <w:r w:rsidRPr="00F75E52">
        <w:rPr>
          <w:noProof/>
        </w:rPr>
        <w:t xml:space="preserve">% of projects – roughly </w:t>
      </w:r>
      <w:r w:rsidRPr="00392567" w:rsidR="00392567">
        <w:rPr>
          <w:noProof/>
        </w:rPr>
        <w:t xml:space="preserve">1,378.00 </w:t>
      </w:r>
      <w:r w:rsidRPr="00F75E52">
        <w:rPr>
          <w:noProof/>
        </w:rPr>
        <w:t>per year – there is zero cost to the respondent</w:t>
      </w:r>
      <w:r w:rsidR="009C6761">
        <w:rPr>
          <w:noProof/>
        </w:rPr>
        <w:t xml:space="preserve">, as HUD covers </w:t>
      </w:r>
      <w:r w:rsidR="00806C90">
        <w:rPr>
          <w:noProof/>
        </w:rPr>
        <w:t>all eligible</w:t>
      </w:r>
      <w:r w:rsidR="009C6761">
        <w:rPr>
          <w:noProof/>
        </w:rPr>
        <w:t xml:space="preserve"> cost</w:t>
      </w:r>
      <w:r w:rsidR="00806C90">
        <w:rPr>
          <w:noProof/>
        </w:rPr>
        <w:t>s including staff work</w:t>
      </w:r>
    </w:p>
    <w:p w:rsidR="00510663" w:rsidP="00510663" w14:paraId="02CD28FF" w14:textId="77777777">
      <w:pPr>
        <w:rPr>
          <w:sz w:val="24"/>
          <w:szCs w:val="24"/>
        </w:rPr>
      </w:pPr>
    </w:p>
    <w:p w:rsidR="00652C2E" w:rsidRPr="00510663" w:rsidP="00510663" w14:paraId="2A15A887" w14:textId="512515D0">
      <w:pPr>
        <w:ind w:left="360"/>
        <w:rPr>
          <w:sz w:val="24"/>
          <w:szCs w:val="24"/>
        </w:rPr>
      </w:pPr>
      <w:r w:rsidRPr="00510663">
        <w:rPr>
          <w:sz w:val="24"/>
          <w:szCs w:val="24"/>
        </w:rPr>
        <w:t xml:space="preserve">The number of responses per annum was based on a combination of data and estimates. Most, but not all, HUD programs require HUD staff to complete their Part 50 environmental reviews using HEROS. </w:t>
      </w:r>
      <w:r w:rsidRPr="00510663" w:rsidR="00B066EE">
        <w:rPr>
          <w:sz w:val="24"/>
          <w:szCs w:val="24"/>
        </w:rPr>
        <w:t>Based on data collected in HEROS, t</w:t>
      </w:r>
      <w:r w:rsidRPr="00510663">
        <w:rPr>
          <w:sz w:val="24"/>
          <w:szCs w:val="24"/>
        </w:rPr>
        <w:t xml:space="preserve">here were </w:t>
      </w:r>
      <w:r w:rsidRPr="00392567" w:rsidR="00392567">
        <w:rPr>
          <w:sz w:val="24"/>
          <w:szCs w:val="24"/>
        </w:rPr>
        <w:t xml:space="preserve">1,378.00 </w:t>
      </w:r>
      <w:r w:rsidRPr="00510663">
        <w:rPr>
          <w:sz w:val="24"/>
          <w:szCs w:val="24"/>
        </w:rPr>
        <w:t>Part 50 environmental reviews completed in HEROS in calendar year 20</w:t>
      </w:r>
      <w:r w:rsidRPr="00510663" w:rsidR="006054AB">
        <w:rPr>
          <w:sz w:val="24"/>
          <w:szCs w:val="24"/>
        </w:rPr>
        <w:t>2</w:t>
      </w:r>
      <w:r w:rsidRPr="00510663" w:rsidR="00BE1CE9">
        <w:rPr>
          <w:sz w:val="24"/>
          <w:szCs w:val="24"/>
        </w:rPr>
        <w:t>4</w:t>
      </w:r>
      <w:r w:rsidRPr="00510663">
        <w:rPr>
          <w:sz w:val="24"/>
          <w:szCs w:val="24"/>
        </w:rPr>
        <w:t>. HUD estimates that, with the additional Part 50 environmental reviews completed outside of HEROS, roughly 1,</w:t>
      </w:r>
      <w:r w:rsidRPr="00510663" w:rsidR="00760CF9">
        <w:rPr>
          <w:sz w:val="24"/>
          <w:szCs w:val="24"/>
        </w:rPr>
        <w:t>378</w:t>
      </w:r>
      <w:r w:rsidRPr="00510663">
        <w:rPr>
          <w:sz w:val="24"/>
          <w:szCs w:val="24"/>
        </w:rPr>
        <w:t xml:space="preserve"> Part 50 environmental reviews were completed overall in 20</w:t>
      </w:r>
      <w:r w:rsidRPr="00510663" w:rsidR="00CD0C91">
        <w:rPr>
          <w:sz w:val="24"/>
          <w:szCs w:val="24"/>
        </w:rPr>
        <w:t>2</w:t>
      </w:r>
      <w:r w:rsidRPr="00510663" w:rsidR="00760CF9">
        <w:rPr>
          <w:sz w:val="24"/>
          <w:szCs w:val="24"/>
        </w:rPr>
        <w:t>4</w:t>
      </w:r>
      <w:r w:rsidRPr="00510663">
        <w:rPr>
          <w:sz w:val="24"/>
          <w:szCs w:val="24"/>
        </w:rPr>
        <w:t xml:space="preserve">. </w:t>
      </w:r>
    </w:p>
    <w:p w:rsidR="00CB2D7A" w:rsidRPr="00510663" w:rsidP="00510663" w14:paraId="6BA9E7F6" w14:textId="77777777">
      <w:pPr>
        <w:rPr>
          <w:noProof/>
          <w:sz w:val="24"/>
          <w:szCs w:val="24"/>
        </w:rPr>
      </w:pPr>
    </w:p>
    <w:p w:rsidR="00B4307F" w:rsidRPr="00510663" w:rsidP="00510663" w14:paraId="3D709014" w14:textId="337FA30B">
      <w:pPr>
        <w:ind w:left="360"/>
        <w:rPr>
          <w:sz w:val="24"/>
          <w:szCs w:val="24"/>
        </w:rPr>
      </w:pPr>
      <w:r w:rsidRPr="00510663">
        <w:rPr>
          <w:sz w:val="24"/>
          <w:szCs w:val="24"/>
        </w:rPr>
        <w:t xml:space="preserve">The amount of time required to complete this collection will vary depending on the scope and scale of the proposed HUD-assisted project, but on </w:t>
      </w:r>
      <w:r w:rsidRPr="00510663" w:rsidR="00B36FD5">
        <w:rPr>
          <w:sz w:val="24"/>
          <w:szCs w:val="24"/>
        </w:rPr>
        <w:t>average it</w:t>
      </w:r>
      <w:r w:rsidRPr="00510663">
        <w:rPr>
          <w:sz w:val="24"/>
          <w:szCs w:val="24"/>
        </w:rPr>
        <w:t xml:space="preserve"> requires approximately 3 hours. This average is based on the approximate average time to complete environmental reviews at various levels of reviews. Most projects require only a very short review, and it requires only a few minutes to prepare the submission. A smaller number of projects require a longer review, for which the submission can take several hours to prepare. </w:t>
      </w:r>
    </w:p>
    <w:p w:rsidR="00B4307F" w:rsidRPr="00510663" w:rsidP="00510663" w14:paraId="2254237D" w14:textId="77777777">
      <w:pPr>
        <w:rPr>
          <w:sz w:val="24"/>
          <w:szCs w:val="24"/>
        </w:rPr>
      </w:pPr>
    </w:p>
    <w:p w:rsidR="00B4307F" w:rsidRPr="00510663" w:rsidP="00510663" w14:paraId="10E22C2F" w14:textId="47F888CE">
      <w:pPr>
        <w:ind w:left="360"/>
        <w:rPr>
          <w:sz w:val="24"/>
          <w:szCs w:val="24"/>
        </w:rPr>
      </w:pPr>
      <w:r w:rsidRPr="00510663">
        <w:rPr>
          <w:sz w:val="24"/>
          <w:szCs w:val="24"/>
        </w:rPr>
        <w:t xml:space="preserve">HUD grants cover all eligible costs including staff work. Hourly cost per response was </w:t>
      </w:r>
      <w:r w:rsidRPr="00510663" w:rsidR="000D6FA2">
        <w:rPr>
          <w:sz w:val="24"/>
          <w:szCs w:val="24"/>
        </w:rPr>
        <w:t xml:space="preserve">based </w:t>
      </w:r>
      <w:r w:rsidRPr="00510663">
        <w:rPr>
          <w:sz w:val="24"/>
          <w:szCs w:val="24"/>
        </w:rPr>
        <w:t xml:space="preserve">on hourly mean wage of environmental engineers working in technical consulting services (Bureau of Labor Statistics, </w:t>
      </w:r>
      <w:hyperlink r:id="rId11" w:history="1">
        <w:r w:rsidRPr="00510663">
          <w:rPr>
            <w:rStyle w:val="Hyperlink"/>
            <w:sz w:val="24"/>
            <w:szCs w:val="24"/>
          </w:rPr>
          <w:t>https://www.bls.gov/oes/current/oes172081.htm</w:t>
        </w:r>
      </w:hyperlink>
      <w:r w:rsidRPr="00510663">
        <w:rPr>
          <w:sz w:val="24"/>
          <w:szCs w:val="24"/>
        </w:rPr>
        <w:t xml:space="preserve">). </w:t>
      </w:r>
      <w:r w:rsidRPr="00510663" w:rsidR="006054AB">
        <w:rPr>
          <w:sz w:val="24"/>
          <w:szCs w:val="24"/>
        </w:rPr>
        <w:t>Based on BLS data, this hourly wage increased by $</w:t>
      </w:r>
      <w:r w:rsidRPr="00510663" w:rsidR="00DC0CB1">
        <w:rPr>
          <w:sz w:val="24"/>
          <w:szCs w:val="24"/>
        </w:rPr>
        <w:t>4.17</w:t>
      </w:r>
      <w:r w:rsidRPr="00510663" w:rsidR="006054AB">
        <w:rPr>
          <w:sz w:val="24"/>
          <w:szCs w:val="24"/>
        </w:rPr>
        <w:t xml:space="preserve"> as compared to the last time this collection was renewed. </w:t>
      </w:r>
    </w:p>
    <w:p w:rsidR="00B4307F" w:rsidRPr="00510663" w:rsidP="00510663" w14:paraId="4FC5BC46" w14:textId="77777777">
      <w:pPr>
        <w:rPr>
          <w:sz w:val="24"/>
          <w:szCs w:val="24"/>
        </w:rPr>
      </w:pPr>
    </w:p>
    <w:p w:rsidR="00B4307F" w:rsidRPr="00510663" w:rsidP="00510663" w14:paraId="08DA3D05" w14:textId="77777777">
      <w:pPr>
        <w:ind w:left="360"/>
        <w:rPr>
          <w:sz w:val="24"/>
          <w:szCs w:val="24"/>
        </w:rPr>
      </w:pPr>
      <w:r w:rsidRPr="00510663">
        <w:rPr>
          <w:noProof/>
          <w:sz w:val="24"/>
          <w:szCs w:val="24"/>
        </w:rPr>
        <w:t xml:space="preserve">For each project proposal, this is a one-time, voluntary (i.e., not an </w:t>
      </w:r>
      <w:r w:rsidRPr="00510663">
        <w:rPr>
          <w:noProof/>
          <w:sz w:val="24"/>
          <w:szCs w:val="24"/>
        </w:rPr>
        <w:t>"absolute" requirement, but rather a request to applicants for their cooperation and assistance in) collection to help HUD staff expedite environmental approval.</w:t>
      </w:r>
    </w:p>
    <w:p w:rsidR="00B4307F" w:rsidRPr="00510663" w:rsidP="00510663" w14:paraId="3763B04D" w14:textId="77777777">
      <w:pPr>
        <w:rPr>
          <w:sz w:val="24"/>
          <w:szCs w:val="24"/>
        </w:rPr>
      </w:pPr>
    </w:p>
    <w:p w:rsidR="00652C2E" w:rsidRPr="00510663" w:rsidP="00510663" w14:paraId="066F3864" w14:textId="77777777">
      <w:pPr>
        <w:pStyle w:val="NoSpacing"/>
      </w:pPr>
    </w:p>
    <w:p w:rsidR="009E13B1" w:rsidRPr="006C7FAE" w14:paraId="73D31391"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C7FAE" w14:paraId="03A28735" w14:textId="77777777">
      <w:pPr>
        <w:numPr>
          <w:ilvl w:val="0"/>
          <w:numId w:val="14"/>
        </w:numPr>
        <w:tabs>
          <w:tab w:val="left" w:pos="360"/>
        </w:tabs>
        <w:ind w:left="480"/>
        <w:rPr>
          <w:sz w:val="24"/>
          <w:szCs w:val="24"/>
        </w:rPr>
      </w:pPr>
      <w:r w:rsidRPr="006C7FAE">
        <w:rPr>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w:t>
      </w:r>
      <w:r w:rsidRPr="006C7FAE">
        <w:rPr>
          <w:sz w:val="24"/>
          <w:szCs w:val="24"/>
        </w:rPr>
        <w:t xml:space="preserve">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0D29B487" w14:textId="77777777">
      <w:pPr>
        <w:numPr>
          <w:ilvl w:val="0"/>
          <w:numId w:val="14"/>
        </w:numPr>
        <w:tabs>
          <w:tab w:val="left" w:pos="360"/>
        </w:tabs>
        <w:ind w:left="480"/>
        <w:rPr>
          <w:sz w:val="24"/>
          <w:szCs w:val="24"/>
        </w:rPr>
      </w:pPr>
      <w:r w:rsidRPr="006C7FAE">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sidRPr="006C7FAE">
        <w:rPr>
          <w:sz w:val="24"/>
          <w:szCs w:val="24"/>
        </w:rPr>
        <w:t xml:space="preserve">ntaining the information collection, as appropriate. </w:t>
      </w:r>
    </w:p>
    <w:p w:rsidR="009E13B1" w:rsidRPr="006C7FAE" w14:paraId="13FF6255"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10663" w:rsidP="00B4307F" w14:paraId="3F7CCB10" w14:textId="77777777">
      <w:pPr>
        <w:keepLines/>
        <w:tabs>
          <w:tab w:val="left" w:pos="360"/>
          <w:tab w:val="left" w:pos="720"/>
        </w:tabs>
        <w:rPr>
          <w:sz w:val="24"/>
          <w:szCs w:val="24"/>
        </w:rPr>
      </w:pPr>
    </w:p>
    <w:p w:rsidR="009E13B1" w:rsidP="00510663" w14:paraId="177CCF3B" w14:textId="6033D4EF">
      <w:pPr>
        <w:keepLines/>
        <w:tabs>
          <w:tab w:val="left" w:pos="360"/>
          <w:tab w:val="left" w:pos="720"/>
        </w:tabs>
        <w:ind w:left="336"/>
        <w:rPr>
          <w:sz w:val="24"/>
          <w:szCs w:val="24"/>
        </w:rPr>
      </w:pPr>
      <w:r w:rsidRPr="00E62969">
        <w:rPr>
          <w:sz w:val="24"/>
          <w:szCs w:val="24"/>
        </w:rPr>
        <w:t>This is not applicable for these reasons: (1) generally the above listed items do not apply to this information collection; and (2</w:t>
      </w:r>
      <w:r w:rsidRPr="005C7AAA">
        <w:rPr>
          <w:sz w:val="24"/>
          <w:szCs w:val="24"/>
        </w:rPr>
        <w:t>)</w:t>
      </w:r>
      <w:r w:rsidRPr="00606472" w:rsidR="0097702C">
        <w:rPr>
          <w:sz w:val="24"/>
          <w:szCs w:val="24"/>
        </w:rPr>
        <w:t xml:space="preserve"> as previously mentioned,</w:t>
      </w:r>
      <w:r w:rsidR="0097702C">
        <w:t xml:space="preserve"> </w:t>
      </w:r>
      <w:r w:rsidR="0097702C">
        <w:rPr>
          <w:sz w:val="24"/>
          <w:szCs w:val="24"/>
        </w:rPr>
        <w:t>g</w:t>
      </w:r>
      <w:r w:rsidRPr="0097702C" w:rsidR="0097702C">
        <w:rPr>
          <w:sz w:val="24"/>
          <w:szCs w:val="24"/>
        </w:rPr>
        <w:t>enerally, the cost of the information collection for the environmental review for the applicant's proposed project is eligible for HUD funding as a project cost</w:t>
      </w:r>
      <w:r w:rsidR="005C7AAA">
        <w:rPr>
          <w:sz w:val="24"/>
          <w:szCs w:val="24"/>
        </w:rPr>
        <w:t xml:space="preserve"> (aka “soft cost”)</w:t>
      </w:r>
      <w:r w:rsidRPr="0097702C" w:rsidR="0097702C">
        <w:rPr>
          <w:sz w:val="24"/>
          <w:szCs w:val="24"/>
        </w:rPr>
        <w:t xml:space="preserve"> to the extent allowable under the regulations of the HUD program assisting the project.</w:t>
      </w:r>
      <w:r w:rsidRPr="00E62969">
        <w:rPr>
          <w:sz w:val="24"/>
          <w:szCs w:val="24"/>
        </w:rPr>
        <w:t xml:space="preserve"> </w:t>
      </w:r>
    </w:p>
    <w:p w:rsidR="00AC1539" w:rsidP="00B4307F" w14:paraId="20DF12AE" w14:textId="77777777">
      <w:pPr>
        <w:keepLines/>
        <w:tabs>
          <w:tab w:val="left" w:pos="360"/>
          <w:tab w:val="left" w:pos="720"/>
        </w:tabs>
        <w:rPr>
          <w:sz w:val="24"/>
          <w:szCs w:val="24"/>
        </w:rPr>
      </w:pPr>
    </w:p>
    <w:p w:rsidR="00167E53" w:rsidRPr="00B4307F" w:rsidP="00B4307F" w14:paraId="2A26DAFC"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E13B1" w:rsidRPr="006C7FAE" w:rsidP="00167E53" w14:paraId="2FABB324" w14:textId="77777777">
      <w:pPr>
        <w:keepLines/>
        <w:tabs>
          <w:tab w:val="left" w:pos="360"/>
          <w:tab w:val="left" w:pos="720"/>
        </w:tabs>
        <w:ind w:left="720"/>
      </w:pPr>
    </w:p>
    <w:tbl>
      <w:tblPr>
        <w:tblW w:w="9422" w:type="dxa"/>
        <w:tblInd w:w="108" w:type="dxa"/>
        <w:tblCellMar>
          <w:left w:w="0" w:type="dxa"/>
          <w:right w:w="0" w:type="dxa"/>
        </w:tblCellMar>
        <w:tblLook w:val="04A0"/>
      </w:tblPr>
      <w:tblGrid>
        <w:gridCol w:w="1357"/>
        <w:gridCol w:w="1277"/>
        <w:gridCol w:w="1122"/>
        <w:gridCol w:w="1111"/>
        <w:gridCol w:w="1242"/>
        <w:gridCol w:w="1021"/>
        <w:gridCol w:w="1032"/>
        <w:gridCol w:w="1260"/>
      </w:tblGrid>
      <w:tr w14:paraId="4948F50D" w14:textId="77777777" w:rsidTr="00DE06C3">
        <w:tblPrEx>
          <w:tblW w:w="9422" w:type="dxa"/>
          <w:tblInd w:w="108" w:type="dxa"/>
          <w:tblCellMar>
            <w:left w:w="0" w:type="dxa"/>
            <w:right w:w="0" w:type="dxa"/>
          </w:tblCellMar>
          <w:tblLook w:val="04A0"/>
        </w:tblPrEx>
        <w:tc>
          <w:tcPr>
            <w:tcW w:w="13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F4D6B" w:rsidRPr="00510663" w:rsidP="001E3B3E" w14:paraId="69042B64" w14:textId="77777777">
            <w:pPr>
              <w:jc w:val="center"/>
              <w:rPr>
                <w:rFonts w:eastAsia="Calibri"/>
                <w:b/>
                <w:color w:val="000000"/>
                <w:sz w:val="18"/>
                <w:szCs w:val="18"/>
              </w:rPr>
            </w:pPr>
            <w:r w:rsidRPr="00510663">
              <w:rPr>
                <w:b/>
                <w:color w:val="000000"/>
                <w:sz w:val="18"/>
                <w:szCs w:val="18"/>
              </w:rPr>
              <w:t xml:space="preserve">Information </w:t>
            </w:r>
            <w:r w:rsidRPr="00510663">
              <w:rPr>
                <w:b/>
                <w:color w:val="000000"/>
                <w:sz w:val="18"/>
                <w:szCs w:val="18"/>
              </w:rPr>
              <w:t>Collection</w:t>
            </w:r>
          </w:p>
        </w:tc>
        <w:tc>
          <w:tcPr>
            <w:tcW w:w="127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600187D3" w14:textId="77777777">
            <w:pPr>
              <w:jc w:val="center"/>
              <w:rPr>
                <w:rFonts w:eastAsia="Calibri"/>
                <w:b/>
                <w:color w:val="000000"/>
                <w:sz w:val="18"/>
                <w:szCs w:val="18"/>
              </w:rPr>
            </w:pPr>
            <w:r w:rsidRPr="00510663">
              <w:rPr>
                <w:b/>
                <w:color w:val="000000"/>
                <w:sz w:val="18"/>
                <w:szCs w:val="18"/>
              </w:rPr>
              <w:t>Number of Respondents</w:t>
            </w:r>
          </w:p>
        </w:tc>
        <w:tc>
          <w:tcPr>
            <w:tcW w:w="112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35C48417" w14:textId="77777777">
            <w:pPr>
              <w:jc w:val="center"/>
              <w:rPr>
                <w:rFonts w:eastAsia="Calibri"/>
                <w:b/>
                <w:color w:val="000000"/>
                <w:sz w:val="18"/>
                <w:szCs w:val="18"/>
              </w:rPr>
            </w:pPr>
            <w:r w:rsidRPr="00510663">
              <w:rPr>
                <w:b/>
                <w:color w:val="000000"/>
                <w:sz w:val="18"/>
                <w:szCs w:val="18"/>
              </w:rPr>
              <w:t>Frequency of Response</w:t>
            </w:r>
          </w:p>
        </w:tc>
        <w:tc>
          <w:tcPr>
            <w:tcW w:w="11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4F0C4969" w14:textId="77777777">
            <w:pPr>
              <w:jc w:val="center"/>
              <w:rPr>
                <w:rFonts w:eastAsia="Calibri"/>
                <w:b/>
                <w:color w:val="000000"/>
                <w:sz w:val="18"/>
                <w:szCs w:val="18"/>
              </w:rPr>
            </w:pPr>
            <w:r w:rsidRPr="00510663">
              <w:rPr>
                <w:b/>
                <w:color w:val="000000"/>
                <w:sz w:val="18"/>
                <w:szCs w:val="18"/>
              </w:rPr>
              <w:t>Responses</w:t>
            </w:r>
          </w:p>
          <w:p w:rsidR="008F4D6B" w:rsidRPr="00510663" w:rsidP="001E3B3E" w14:paraId="25691FEE" w14:textId="77777777">
            <w:pPr>
              <w:jc w:val="center"/>
              <w:rPr>
                <w:rFonts w:eastAsia="Calibri"/>
                <w:b/>
                <w:color w:val="000000"/>
                <w:sz w:val="18"/>
                <w:szCs w:val="18"/>
              </w:rPr>
            </w:pPr>
            <w:r w:rsidRPr="00510663">
              <w:rPr>
                <w:b/>
                <w:color w:val="000000"/>
                <w:sz w:val="18"/>
                <w:szCs w:val="18"/>
              </w:rPr>
              <w:t>Per Annum</w:t>
            </w:r>
          </w:p>
        </w:tc>
        <w:tc>
          <w:tcPr>
            <w:tcW w:w="12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4CFABEAF" w14:textId="77777777">
            <w:pPr>
              <w:jc w:val="center"/>
              <w:rPr>
                <w:rFonts w:eastAsia="Calibri"/>
                <w:b/>
                <w:color w:val="000000"/>
                <w:sz w:val="18"/>
                <w:szCs w:val="18"/>
              </w:rPr>
            </w:pPr>
            <w:r w:rsidRPr="00510663">
              <w:rPr>
                <w:b/>
                <w:color w:val="000000"/>
                <w:sz w:val="18"/>
                <w:szCs w:val="18"/>
              </w:rPr>
              <w:t>Burden Hour Per Response</w:t>
            </w:r>
          </w:p>
        </w:tc>
        <w:tc>
          <w:tcPr>
            <w:tcW w:w="102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4A721584" w14:textId="77777777">
            <w:pPr>
              <w:jc w:val="center"/>
              <w:rPr>
                <w:rFonts w:eastAsia="Calibri"/>
                <w:b/>
                <w:color w:val="000000"/>
                <w:sz w:val="18"/>
                <w:szCs w:val="18"/>
              </w:rPr>
            </w:pPr>
            <w:r w:rsidRPr="00510663">
              <w:rPr>
                <w:b/>
                <w:color w:val="000000"/>
                <w:sz w:val="18"/>
                <w:szCs w:val="18"/>
              </w:rPr>
              <w:t>Annual Burden Hours</w:t>
            </w:r>
          </w:p>
        </w:tc>
        <w:tc>
          <w:tcPr>
            <w:tcW w:w="103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F4D6B" w:rsidRPr="00510663" w:rsidP="001E3B3E" w14:paraId="15B04FE8" w14:textId="77777777">
            <w:pPr>
              <w:jc w:val="center"/>
              <w:rPr>
                <w:rFonts w:eastAsia="Calibri"/>
                <w:b/>
                <w:color w:val="000000"/>
                <w:sz w:val="18"/>
                <w:szCs w:val="18"/>
              </w:rPr>
            </w:pPr>
            <w:r w:rsidRPr="00510663">
              <w:rPr>
                <w:b/>
                <w:color w:val="000000"/>
                <w:sz w:val="18"/>
                <w:szCs w:val="18"/>
              </w:rPr>
              <w:t>Hourly Cost Per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F4D6B" w:rsidRPr="00510663" w:rsidP="001E3B3E" w14:paraId="27F640CA" w14:textId="77777777">
            <w:pPr>
              <w:jc w:val="center"/>
              <w:rPr>
                <w:rFonts w:eastAsia="Calibri"/>
                <w:b/>
                <w:color w:val="000000"/>
                <w:sz w:val="18"/>
                <w:szCs w:val="18"/>
              </w:rPr>
            </w:pPr>
            <w:r w:rsidRPr="00510663">
              <w:rPr>
                <w:b/>
                <w:color w:val="000000"/>
                <w:sz w:val="18"/>
                <w:szCs w:val="18"/>
              </w:rPr>
              <w:t>Annual Cost</w:t>
            </w:r>
          </w:p>
          <w:p w:rsidR="008F4D6B" w:rsidRPr="00510663" w:rsidP="001E3B3E" w14:paraId="2D204021" w14:textId="77777777">
            <w:pPr>
              <w:jc w:val="center"/>
              <w:rPr>
                <w:rFonts w:eastAsia="Calibri"/>
                <w:b/>
                <w:color w:val="000000"/>
                <w:sz w:val="18"/>
                <w:szCs w:val="18"/>
              </w:rPr>
            </w:pPr>
          </w:p>
        </w:tc>
      </w:tr>
      <w:tr w14:paraId="15CA52F5" w14:textId="77777777" w:rsidTr="00694ED7">
        <w:tblPrEx>
          <w:tblW w:w="9422" w:type="dxa"/>
          <w:tblInd w:w="108" w:type="dxa"/>
          <w:tblCellMar>
            <w:left w:w="0" w:type="dxa"/>
            <w:right w:w="0" w:type="dxa"/>
          </w:tblCellMar>
          <w:tblLook w:val="04A0"/>
        </w:tblPrEx>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567" w:rsidRPr="00510663" w:rsidP="00392567" w14:paraId="46B9AEEC" w14:textId="77777777">
            <w:pPr>
              <w:rPr>
                <w:b/>
                <w:bCs/>
                <w:color w:val="000000"/>
                <w:sz w:val="18"/>
                <w:szCs w:val="18"/>
              </w:rPr>
            </w:pPr>
            <w:r w:rsidRPr="00510663">
              <w:rPr>
                <w:b/>
                <w:bCs/>
                <w:color w:val="000000"/>
                <w:sz w:val="18"/>
                <w:szCs w:val="18"/>
              </w:rPr>
              <w:t xml:space="preserve">Total to Federal govt.  </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5C788001" w14:textId="4F22D596">
            <w:pPr>
              <w:jc w:val="right"/>
              <w:rPr>
                <w:b/>
                <w:bCs/>
                <w:color w:val="000000"/>
                <w:sz w:val="18"/>
                <w:szCs w:val="18"/>
              </w:rPr>
            </w:pPr>
            <w:r w:rsidRPr="00612EA2">
              <w:rPr>
                <w:b/>
                <w:bCs/>
              </w:rPr>
              <w:t xml:space="preserve"> 1,378.00 </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15D39243" w14:textId="7D62889F">
            <w:pPr>
              <w:jc w:val="right"/>
              <w:rPr>
                <w:rFonts w:eastAsia="Calibri"/>
                <w:b/>
                <w:bCs/>
                <w:color w:val="000000"/>
                <w:sz w:val="18"/>
                <w:szCs w:val="18"/>
              </w:rPr>
            </w:pPr>
            <w:r w:rsidRPr="00612EA2">
              <w:rPr>
                <w:b/>
                <w:bCs/>
              </w:rPr>
              <w:t>1</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709EDD64" w14:textId="15AC7B72">
            <w:pPr>
              <w:jc w:val="right"/>
              <w:rPr>
                <w:rFonts w:eastAsia="Calibri"/>
                <w:b/>
                <w:bCs/>
                <w:color w:val="000000"/>
                <w:sz w:val="18"/>
                <w:szCs w:val="18"/>
              </w:rPr>
            </w:pPr>
            <w:r w:rsidRPr="00612EA2">
              <w:rPr>
                <w:b/>
                <w:bCs/>
              </w:rPr>
              <w:t xml:space="preserve"> 1,378.00 </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19A0495B" w14:textId="0305BF52">
            <w:pPr>
              <w:jc w:val="right"/>
              <w:rPr>
                <w:rFonts w:eastAsia="Calibri"/>
                <w:b/>
                <w:bCs/>
                <w:color w:val="000000"/>
                <w:sz w:val="18"/>
                <w:szCs w:val="18"/>
              </w:rPr>
            </w:pPr>
            <w:r w:rsidRPr="00612EA2">
              <w:rPr>
                <w:b/>
                <w:bCs/>
              </w:rPr>
              <w:t>3.00</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352ADDA2" w14:textId="46AC48F9">
            <w:pPr>
              <w:jc w:val="right"/>
              <w:rPr>
                <w:rFonts w:eastAsia="Calibri"/>
                <w:b/>
                <w:bCs/>
                <w:color w:val="000000"/>
                <w:sz w:val="18"/>
                <w:szCs w:val="18"/>
              </w:rPr>
            </w:pPr>
            <w:r w:rsidRPr="00612EA2">
              <w:rPr>
                <w:b/>
                <w:bCs/>
              </w:rPr>
              <w:t xml:space="preserve"> 4,134.00 </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488564D2" w14:textId="555BBAE2">
            <w:pPr>
              <w:jc w:val="right"/>
              <w:rPr>
                <w:rFonts w:eastAsia="Calibri"/>
                <w:b/>
                <w:bCs/>
                <w:color w:val="000000"/>
                <w:sz w:val="18"/>
                <w:szCs w:val="18"/>
              </w:rPr>
            </w:pPr>
            <w:r w:rsidRPr="00612EA2">
              <w:rPr>
                <w:b/>
                <w:bCs/>
              </w:rPr>
              <w:t>$43.14</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4079A561" w14:textId="3B1D56D4">
            <w:pPr>
              <w:jc w:val="right"/>
              <w:rPr>
                <w:rFonts w:eastAsia="Calibri"/>
                <w:b/>
                <w:bCs/>
                <w:color w:val="000000"/>
                <w:sz w:val="18"/>
                <w:szCs w:val="18"/>
              </w:rPr>
            </w:pPr>
            <w:r w:rsidRPr="00612EA2">
              <w:rPr>
                <w:b/>
                <w:bCs/>
              </w:rPr>
              <w:t xml:space="preserve"> 178,340.76 </w:t>
            </w:r>
          </w:p>
        </w:tc>
      </w:tr>
      <w:tr w14:paraId="42368A4B" w14:textId="77777777" w:rsidTr="00392567">
        <w:tblPrEx>
          <w:tblW w:w="9422" w:type="dxa"/>
          <w:tblInd w:w="108" w:type="dxa"/>
          <w:tblCellMar>
            <w:left w:w="0" w:type="dxa"/>
            <w:right w:w="0" w:type="dxa"/>
          </w:tblCellMar>
          <w:tblLook w:val="04A0"/>
        </w:tblPrEx>
        <w:trPr>
          <w:trHeight w:val="287"/>
        </w:trPr>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2567" w:rsidRPr="00510663" w:rsidP="00392567" w14:paraId="0DDD36E1" w14:textId="77777777">
            <w:pPr>
              <w:rPr>
                <w:b/>
                <w:bCs/>
                <w:color w:val="000000"/>
                <w:sz w:val="18"/>
                <w:szCs w:val="18"/>
              </w:rPr>
            </w:pPr>
            <w:r w:rsidRPr="00510663">
              <w:rPr>
                <w:b/>
                <w:bCs/>
                <w:color w:val="000000"/>
                <w:sz w:val="18"/>
                <w:szCs w:val="18"/>
              </w:rPr>
              <w:t>Total</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7A8F2037" w14:textId="4456AD9E">
            <w:pPr>
              <w:jc w:val="right"/>
              <w:rPr>
                <w:b/>
                <w:bCs/>
                <w:color w:val="000000"/>
                <w:sz w:val="18"/>
                <w:szCs w:val="18"/>
              </w:rPr>
            </w:pPr>
            <w:r w:rsidRPr="00612EA2">
              <w:rPr>
                <w:b/>
                <w:bCs/>
              </w:rPr>
              <w:t xml:space="preserve"> 1,378.00 </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5FD3CCF3" w14:textId="1DEC41A9">
            <w:pPr>
              <w:jc w:val="right"/>
              <w:rPr>
                <w:rFonts w:eastAsia="Calibri"/>
                <w:b/>
                <w:bCs/>
                <w:color w:val="000000"/>
                <w:sz w:val="18"/>
                <w:szCs w:val="18"/>
              </w:rPr>
            </w:pPr>
            <w:r w:rsidRPr="00612EA2">
              <w:rPr>
                <w:b/>
                <w:bCs/>
              </w:rPr>
              <w:t>1</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5B6A6091" w14:textId="07B1A46D">
            <w:pPr>
              <w:jc w:val="right"/>
              <w:rPr>
                <w:rFonts w:eastAsia="Calibri"/>
                <w:b/>
                <w:bCs/>
                <w:color w:val="000000"/>
                <w:sz w:val="18"/>
                <w:szCs w:val="18"/>
              </w:rPr>
            </w:pPr>
            <w:r w:rsidRPr="00612EA2">
              <w:rPr>
                <w:b/>
                <w:bCs/>
              </w:rPr>
              <w:t xml:space="preserve"> 1,378.00 </w:t>
            </w:r>
          </w:p>
        </w:tc>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1B076FCC" w14:textId="524B9EE2">
            <w:pPr>
              <w:jc w:val="right"/>
              <w:rPr>
                <w:rFonts w:eastAsia="Calibri"/>
                <w:b/>
                <w:bCs/>
                <w:color w:val="000000"/>
                <w:sz w:val="18"/>
                <w:szCs w:val="18"/>
              </w:rPr>
            </w:pPr>
            <w:r w:rsidRPr="00612EA2">
              <w:rPr>
                <w:b/>
                <w:bCs/>
              </w:rPr>
              <w:t>3.00</w:t>
            </w: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0758A5C7" w14:textId="3C33456A">
            <w:pPr>
              <w:jc w:val="right"/>
              <w:rPr>
                <w:rFonts w:eastAsia="Calibri"/>
                <w:b/>
                <w:bCs/>
                <w:color w:val="000000"/>
                <w:sz w:val="18"/>
                <w:szCs w:val="18"/>
              </w:rPr>
            </w:pPr>
            <w:r w:rsidRPr="00612EA2">
              <w:rPr>
                <w:b/>
                <w:bCs/>
              </w:rPr>
              <w:t xml:space="preserve"> 4,134.00 </w:t>
            </w:r>
          </w:p>
        </w:tc>
        <w:tc>
          <w:tcPr>
            <w:tcW w:w="1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6EDC6D66" w14:textId="515424A0">
            <w:pPr>
              <w:jc w:val="right"/>
              <w:rPr>
                <w:rFonts w:eastAsia="Calibri"/>
                <w:b/>
                <w:bCs/>
                <w:color w:val="000000"/>
                <w:sz w:val="18"/>
                <w:szCs w:val="18"/>
              </w:rPr>
            </w:pPr>
            <w:r w:rsidRPr="00612EA2">
              <w:rPr>
                <w:b/>
                <w:bCs/>
              </w:rPr>
              <w:t>$43.14</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2567" w:rsidRPr="00612EA2" w:rsidP="00392567" w14:paraId="195DE568" w14:textId="240DE7D1">
            <w:pPr>
              <w:jc w:val="right"/>
              <w:rPr>
                <w:rFonts w:eastAsia="Calibri"/>
                <w:b/>
                <w:bCs/>
                <w:color w:val="000000"/>
                <w:sz w:val="18"/>
                <w:szCs w:val="18"/>
              </w:rPr>
            </w:pPr>
            <w:r w:rsidRPr="00612EA2">
              <w:rPr>
                <w:b/>
                <w:bCs/>
              </w:rPr>
              <w:t xml:space="preserve"> 178,340.76 </w:t>
            </w:r>
          </w:p>
        </w:tc>
      </w:tr>
    </w:tbl>
    <w:p w:rsidR="00B4307F" w:rsidP="00B4307F" w14:paraId="41642BF9" w14:textId="77777777">
      <w:pPr>
        <w:keepLines/>
        <w:tabs>
          <w:tab w:val="left" w:pos="480"/>
        </w:tabs>
        <w:spacing w:after="80"/>
        <w:rPr>
          <w:sz w:val="24"/>
          <w:szCs w:val="24"/>
        </w:rPr>
      </w:pPr>
    </w:p>
    <w:p w:rsidR="008F4D6B" w:rsidRPr="00DE06C3" w:rsidP="00DE06C3" w14:paraId="3AF7C94C" w14:textId="09B86780">
      <w:pPr>
        <w:pStyle w:val="NoSpacing"/>
        <w:ind w:left="360"/>
        <w:rPr>
          <w:sz w:val="24"/>
          <w:szCs w:val="24"/>
        </w:rPr>
      </w:pPr>
      <w:r w:rsidRPr="00DE06C3">
        <w:rPr>
          <w:sz w:val="24"/>
          <w:szCs w:val="24"/>
        </w:rPr>
        <w:t>The number of responses per annum was based on a combination of data and estimates. Most, but not all, HUD programs require HUD staff to complete their Part 50 environmental reviews using HEROS. There were 1,</w:t>
      </w:r>
      <w:r w:rsidRPr="00DE06C3" w:rsidR="00536778">
        <w:rPr>
          <w:sz w:val="24"/>
          <w:szCs w:val="24"/>
        </w:rPr>
        <w:t>277</w:t>
      </w:r>
      <w:r w:rsidRPr="00DE06C3">
        <w:rPr>
          <w:sz w:val="24"/>
          <w:szCs w:val="24"/>
        </w:rPr>
        <w:t xml:space="preserve"> Part 50 environmental reviews completed in HEROS in calendar year 202</w:t>
      </w:r>
      <w:r w:rsidRPr="00DE06C3" w:rsidR="00BD2DE4">
        <w:rPr>
          <w:sz w:val="24"/>
          <w:szCs w:val="24"/>
        </w:rPr>
        <w:t>4</w:t>
      </w:r>
      <w:r w:rsidRPr="00DE06C3">
        <w:rPr>
          <w:sz w:val="24"/>
          <w:szCs w:val="24"/>
        </w:rPr>
        <w:t>. HUD estimates that, with the additional Part 50 environmental reviews completed outside of HEROS, roughly 1,</w:t>
      </w:r>
      <w:r w:rsidRPr="00DE06C3" w:rsidR="00BD2DE4">
        <w:rPr>
          <w:sz w:val="24"/>
          <w:szCs w:val="24"/>
        </w:rPr>
        <w:t>378</w:t>
      </w:r>
      <w:r w:rsidRPr="00DE06C3">
        <w:rPr>
          <w:sz w:val="24"/>
          <w:szCs w:val="24"/>
        </w:rPr>
        <w:t xml:space="preserve"> Part 50 environmental reviews were completed overall in 202</w:t>
      </w:r>
      <w:r w:rsidRPr="00DE06C3" w:rsidR="002949FE">
        <w:rPr>
          <w:sz w:val="24"/>
          <w:szCs w:val="24"/>
        </w:rPr>
        <w:t>4</w:t>
      </w:r>
      <w:r w:rsidRPr="00DE06C3">
        <w:rPr>
          <w:sz w:val="24"/>
          <w:szCs w:val="24"/>
        </w:rPr>
        <w:t xml:space="preserve">. </w:t>
      </w:r>
    </w:p>
    <w:p w:rsidR="00B4307F" w:rsidRPr="00DE06C3" w:rsidP="00DE06C3" w14:paraId="4EF23A48" w14:textId="77777777">
      <w:pPr>
        <w:pStyle w:val="NoSpacing"/>
        <w:ind w:left="720"/>
        <w:rPr>
          <w:sz w:val="24"/>
          <w:szCs w:val="24"/>
        </w:rPr>
      </w:pPr>
    </w:p>
    <w:p w:rsidR="00CB2D7A" w:rsidRPr="00DE06C3" w:rsidP="00DE06C3" w14:paraId="0F2FFD60" w14:textId="4129CFF5">
      <w:pPr>
        <w:pStyle w:val="NoSpacing"/>
        <w:ind w:left="360"/>
        <w:rPr>
          <w:noProof/>
          <w:sz w:val="24"/>
          <w:szCs w:val="24"/>
        </w:rPr>
      </w:pPr>
      <w:r w:rsidRPr="00DE06C3">
        <w:rPr>
          <w:noProof/>
          <w:sz w:val="24"/>
          <w:szCs w:val="24"/>
        </w:rPr>
        <w:t xml:space="preserve">As stated in Item 12, there </w:t>
      </w:r>
      <w:r w:rsidRPr="00DE06C3" w:rsidR="00C72269">
        <w:rPr>
          <w:noProof/>
          <w:sz w:val="24"/>
          <w:szCs w:val="24"/>
        </w:rPr>
        <w:t xml:space="preserve">are </w:t>
      </w:r>
      <w:r w:rsidRPr="00DE06C3">
        <w:rPr>
          <w:noProof/>
          <w:sz w:val="24"/>
          <w:szCs w:val="24"/>
        </w:rPr>
        <w:t xml:space="preserve">no costs to HUD applicants for proposals accepted by HUD because this cost is considered a project expediture chargeable to HUD grants. </w:t>
      </w:r>
      <w:r w:rsidRPr="00DE06C3">
        <w:rPr>
          <w:noProof/>
          <w:sz w:val="24"/>
          <w:szCs w:val="24"/>
        </w:rPr>
        <w:t xml:space="preserve">The estimate of the </w:t>
      </w:r>
      <w:r w:rsidRPr="00DE06C3" w:rsidR="00BF0A6A">
        <w:rPr>
          <w:noProof/>
          <w:sz w:val="24"/>
          <w:szCs w:val="24"/>
        </w:rPr>
        <w:t xml:space="preserve">total </w:t>
      </w:r>
      <w:r w:rsidRPr="00DE06C3">
        <w:rPr>
          <w:noProof/>
          <w:sz w:val="24"/>
          <w:szCs w:val="24"/>
        </w:rPr>
        <w:t xml:space="preserve">annualized cost is </w:t>
      </w:r>
      <w:r w:rsidRPr="00DE06C3">
        <w:rPr>
          <w:noProof/>
          <w:sz w:val="24"/>
          <w:szCs w:val="24"/>
        </w:rPr>
        <w:t>$</w:t>
      </w:r>
      <w:r w:rsidRPr="00392567" w:rsidR="00392567">
        <w:rPr>
          <w:noProof/>
          <w:sz w:val="24"/>
          <w:szCs w:val="24"/>
        </w:rPr>
        <w:t>178,340.76</w:t>
      </w:r>
      <w:r w:rsidRPr="00DE06C3">
        <w:rPr>
          <w:noProof/>
          <w:sz w:val="24"/>
          <w:szCs w:val="24"/>
        </w:rPr>
        <w:t>.</w:t>
      </w:r>
      <w:r w:rsidRPr="00DE06C3">
        <w:rPr>
          <w:noProof/>
          <w:sz w:val="24"/>
          <w:szCs w:val="24"/>
        </w:rPr>
        <w:t xml:space="preserve"> </w:t>
      </w:r>
    </w:p>
    <w:p w:rsidR="00CB2D7A" w:rsidRPr="00DE06C3" w:rsidP="00DE06C3" w14:paraId="16A071E3" w14:textId="77777777">
      <w:pPr>
        <w:pStyle w:val="NoSpacing"/>
        <w:ind w:left="720"/>
        <w:rPr>
          <w:sz w:val="24"/>
          <w:szCs w:val="24"/>
        </w:rPr>
      </w:pPr>
    </w:p>
    <w:p w:rsidR="00B4307F" w:rsidRPr="00DE06C3" w:rsidP="00DE06C3" w14:paraId="3DB2B58C" w14:textId="77777777">
      <w:pPr>
        <w:pStyle w:val="NoSpacing"/>
        <w:ind w:left="360"/>
        <w:rPr>
          <w:sz w:val="24"/>
          <w:szCs w:val="24"/>
        </w:rPr>
      </w:pPr>
      <w:r w:rsidRPr="00DE06C3">
        <w:rPr>
          <w:sz w:val="24"/>
          <w:szCs w:val="24"/>
        </w:rPr>
        <w:t xml:space="preserve">The amount of time required to complete this collection will vary depending on the scope and scale of the proposed HUD-assisted project, but on average requires approximately 3 hours. </w:t>
      </w:r>
    </w:p>
    <w:p w:rsidR="00B4307F" w:rsidRPr="00DE06C3" w:rsidP="00DE06C3" w14:paraId="0BEB8A17" w14:textId="77777777">
      <w:pPr>
        <w:pStyle w:val="NoSpacing"/>
        <w:ind w:left="720"/>
        <w:rPr>
          <w:sz w:val="24"/>
          <w:szCs w:val="24"/>
        </w:rPr>
      </w:pPr>
    </w:p>
    <w:p w:rsidR="00B4307F" w:rsidP="00DE06C3" w14:paraId="661D39BE" w14:textId="25B5FFE7">
      <w:pPr>
        <w:pStyle w:val="NoSpacing"/>
        <w:ind w:left="360"/>
      </w:pPr>
      <w:r w:rsidRPr="00DE06C3">
        <w:rPr>
          <w:sz w:val="24"/>
          <w:szCs w:val="24"/>
        </w:rPr>
        <w:t xml:space="preserve">The hourly cost to the federal government was based on a GS-13 </w:t>
      </w:r>
      <w:r w:rsidRPr="00DE06C3" w:rsidR="002949FE">
        <w:rPr>
          <w:sz w:val="24"/>
          <w:szCs w:val="24"/>
        </w:rPr>
        <w:t>federal employee</w:t>
      </w:r>
      <w:r w:rsidRPr="00DE06C3">
        <w:rPr>
          <w:sz w:val="24"/>
          <w:szCs w:val="24"/>
        </w:rPr>
        <w:t>, at the hourly rate for a GS-13, step one of the base general schedule.</w:t>
      </w:r>
    </w:p>
    <w:p w:rsidR="006C7FAE" w:rsidRPr="006C7FAE" w14:paraId="796224A3" w14:textId="77777777">
      <w:pPr>
        <w:tabs>
          <w:tab w:val="left" w:pos="360"/>
        </w:tabs>
        <w:ind w:left="360" w:hanging="360"/>
        <w:rPr>
          <w:sz w:val="24"/>
          <w:szCs w:val="24"/>
        </w:rPr>
      </w:pPr>
    </w:p>
    <w:p w:rsidR="00B4307F" w14:paraId="45247D39" w14:textId="2DB973EE">
      <w:pPr>
        <w:keepLines/>
        <w:tabs>
          <w:tab w:val="left" w:pos="360"/>
        </w:tabs>
        <w:spacing w:after="80"/>
        <w:ind w:left="360" w:hanging="360"/>
        <w:rPr>
          <w:sz w:val="24"/>
          <w:szCs w:val="24"/>
        </w:rPr>
      </w:pPr>
      <w:r w:rsidRPr="006C7FAE">
        <w:rPr>
          <w:sz w:val="24"/>
          <w:szCs w:val="24"/>
        </w:rPr>
        <w:t>15.</w:t>
      </w:r>
      <w:r w:rsidRPr="006C7FAE">
        <w:rPr>
          <w:sz w:val="24"/>
          <w:szCs w:val="24"/>
        </w:rPr>
        <w:tab/>
      </w:r>
      <w:r w:rsidRPr="00530BD5" w:rsidR="00530BD5">
        <w:rPr>
          <w:sz w:val="24"/>
          <w:szCs w:val="24"/>
        </w:rPr>
        <w:t>Explain the reasons for any program changes or adjustments reported in Items 12 and 14 of the Supporting Statement.</w:t>
      </w:r>
    </w:p>
    <w:p w:rsidR="00DE06C3" w:rsidP="00B4307F" w14:paraId="4560F9A0"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8F4D6B" w:rsidP="00DE06C3" w14:paraId="23E4BEDD" w14:textId="19895A7C">
      <w:pPr>
        <w:keepLines/>
        <w:tabs>
          <w:tab w:val="left" w:pos="0"/>
          <w:tab w:val="left" w:pos="720"/>
          <w:tab w:val="center" w:pos="1680"/>
          <w:tab w:val="center" w:pos="3120"/>
          <w:tab w:val="center" w:pos="4560"/>
          <w:tab w:val="center" w:pos="6000"/>
          <w:tab w:val="center" w:pos="7440"/>
          <w:tab w:val="center" w:pos="8880"/>
        </w:tabs>
        <w:ind w:left="360"/>
        <w:rPr>
          <w:color w:val="000000"/>
          <w:sz w:val="24"/>
          <w:szCs w:val="24"/>
        </w:rPr>
      </w:pPr>
      <w:r>
        <w:rPr>
          <w:color w:val="000000"/>
          <w:sz w:val="24"/>
          <w:szCs w:val="24"/>
        </w:rPr>
        <w:t>This is a reinstatement of a previously approved collection. No program changes or adjustments affect this collection. The number of collections per year and hourly cost per response were adjusted based on the latest data available to HUD.</w:t>
      </w:r>
    </w:p>
    <w:p w:rsidR="009E13B1" w:rsidRPr="006C7FAE" w14:paraId="197ADEE2" w14:textId="77777777">
      <w:pPr>
        <w:keepLines/>
        <w:tabs>
          <w:tab w:val="left" w:pos="360"/>
          <w:tab w:val="left" w:pos="720"/>
        </w:tabs>
        <w:ind w:left="360"/>
        <w:rPr>
          <w:sz w:val="24"/>
          <w:szCs w:val="24"/>
        </w:rPr>
      </w:pPr>
    </w:p>
    <w:p w:rsidR="009E13B1" w14:paraId="19C5393A" w14:textId="77777777">
      <w:pPr>
        <w:keepLines/>
        <w:tabs>
          <w:tab w:val="left" w:pos="360"/>
        </w:tabs>
        <w:spacing w:after="80"/>
        <w:ind w:left="360" w:hanging="360"/>
        <w:rPr>
          <w:sz w:val="24"/>
          <w:szCs w:val="24"/>
        </w:rPr>
      </w:pPr>
      <w:r w:rsidRPr="006C7FAE">
        <w:rPr>
          <w:sz w:val="24"/>
          <w:szCs w:val="24"/>
        </w:rPr>
        <w:t>16.</w:t>
      </w:r>
      <w:r w:rsidRPr="006C7FAE">
        <w:rPr>
          <w:sz w:val="24"/>
          <w:szCs w:val="24"/>
        </w:rPr>
        <w:tab/>
        <w:t xml:space="preserve">For collection of information whose results will be published, outline plans for tabulation and publication.  Address any complex analytical techniques that will be used.  </w:t>
      </w:r>
      <w:r w:rsidRPr="006C7FAE">
        <w:rPr>
          <w:sz w:val="24"/>
          <w:szCs w:val="24"/>
        </w:rPr>
        <w:t>Provide the time schedule for the entire project, including beginning and ending dates of the collection of information, completion of report, publication dates, and other actions.</w:t>
      </w:r>
    </w:p>
    <w:p w:rsidR="007411E2" w:rsidRPr="006C7FAE" w:rsidP="00DE06C3" w14:paraId="01FF08C6" w14:textId="77777777">
      <w:pPr>
        <w:pStyle w:val="NoSpacing"/>
      </w:pPr>
    </w:p>
    <w:p w:rsidR="00B4307F" w:rsidP="00DE06C3" w14:paraId="3E313798" w14:textId="77777777">
      <w:pPr>
        <w:tabs>
          <w:tab w:val="left" w:pos="360"/>
        </w:tabs>
        <w:ind w:left="360"/>
        <w:rPr>
          <w:sz w:val="24"/>
          <w:szCs w:val="24"/>
        </w:rPr>
      </w:pPr>
      <w:r>
        <w:rPr>
          <w:sz w:val="24"/>
          <w:szCs w:val="24"/>
        </w:rPr>
        <w:t xml:space="preserve">The results will not be published. </w:t>
      </w:r>
    </w:p>
    <w:p w:rsidR="009E13B1" w:rsidRPr="006C7FAE" w14:paraId="012E8DAD" w14:textId="77777777">
      <w:pPr>
        <w:tabs>
          <w:tab w:val="left" w:pos="360"/>
        </w:tabs>
        <w:ind w:left="360" w:hanging="360"/>
        <w:rPr>
          <w:sz w:val="24"/>
          <w:szCs w:val="24"/>
        </w:rPr>
      </w:pPr>
    </w:p>
    <w:p w:rsidR="009E13B1" w:rsidRPr="006C7FAE" w14:paraId="71FDD5F3" w14:textId="77777777">
      <w:pPr>
        <w:keepLines/>
        <w:tabs>
          <w:tab w:val="left" w:pos="360"/>
        </w:tabs>
        <w:spacing w:after="80"/>
        <w:ind w:left="360" w:hanging="360"/>
        <w:rPr>
          <w:sz w:val="24"/>
          <w:szCs w:val="24"/>
        </w:rPr>
      </w:pPr>
      <w:r w:rsidRPr="006C7FAE">
        <w:rPr>
          <w:sz w:val="24"/>
          <w:szCs w:val="24"/>
        </w:rPr>
        <w:t>17.</w:t>
      </w:r>
      <w:r w:rsidRPr="006C7FAE">
        <w:rPr>
          <w:sz w:val="24"/>
          <w:szCs w:val="24"/>
        </w:rPr>
        <w:tab/>
        <w:t xml:space="preserve">If seeking approval to not </w:t>
      </w:r>
      <w:r w:rsidRPr="006C7FAE">
        <w:rPr>
          <w:sz w:val="24"/>
          <w:szCs w:val="24"/>
        </w:rPr>
        <w:t>display the expiration date for OMB approval of the information collection, explain the reasons that display would be inappropriate.</w:t>
      </w:r>
    </w:p>
    <w:p w:rsidR="00DE06C3" w:rsidP="00B4307F" w14:paraId="02786401" w14:textId="77777777">
      <w:pPr>
        <w:keepLines/>
        <w:tabs>
          <w:tab w:val="left" w:pos="360"/>
          <w:tab w:val="left" w:pos="720"/>
        </w:tabs>
        <w:rPr>
          <w:sz w:val="24"/>
          <w:szCs w:val="24"/>
        </w:rPr>
      </w:pPr>
    </w:p>
    <w:p w:rsidR="00B4307F" w:rsidP="00DE06C3" w14:paraId="3205BCA5" w14:textId="7B0824CA">
      <w:pPr>
        <w:keepLines/>
        <w:tabs>
          <w:tab w:val="left" w:pos="360"/>
          <w:tab w:val="left" w:pos="720"/>
        </w:tabs>
        <w:ind w:left="360"/>
        <w:rPr>
          <w:sz w:val="24"/>
          <w:szCs w:val="24"/>
        </w:rPr>
      </w:pPr>
      <w:r>
        <w:rPr>
          <w:sz w:val="24"/>
          <w:szCs w:val="24"/>
        </w:rPr>
        <w:t xml:space="preserve">The expiration date will be displayed. </w:t>
      </w:r>
    </w:p>
    <w:p w:rsidR="009E13B1" w:rsidRPr="006C7FAE" w:rsidP="00B4307F" w14:paraId="2122E494" w14:textId="77777777">
      <w:pPr>
        <w:keepLines/>
        <w:tabs>
          <w:tab w:val="left" w:pos="360"/>
          <w:tab w:val="left" w:pos="720"/>
        </w:tabs>
        <w:rPr>
          <w:sz w:val="24"/>
          <w:szCs w:val="24"/>
        </w:rPr>
      </w:pPr>
    </w:p>
    <w:p w:rsidR="009E13B1" w14:paraId="52A7C50D"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DE06C3" w:rsidP="00B4307F" w14:paraId="45A1E031" w14:textId="77777777">
      <w:pPr>
        <w:keepLines/>
        <w:tabs>
          <w:tab w:val="left" w:pos="360"/>
          <w:tab w:val="left" w:pos="720"/>
        </w:tabs>
        <w:rPr>
          <w:sz w:val="24"/>
          <w:szCs w:val="24"/>
        </w:rPr>
      </w:pPr>
    </w:p>
    <w:p w:rsidR="00B4307F" w:rsidRPr="006C7FAE" w:rsidP="00DE06C3" w14:paraId="093F61E9" w14:textId="5FA12F56">
      <w:pPr>
        <w:keepLines/>
        <w:tabs>
          <w:tab w:val="left" w:pos="360"/>
          <w:tab w:val="left" w:pos="720"/>
        </w:tabs>
        <w:ind w:left="360"/>
        <w:rPr>
          <w:sz w:val="24"/>
          <w:szCs w:val="24"/>
        </w:rPr>
      </w:pPr>
      <w:r>
        <w:rPr>
          <w:sz w:val="24"/>
          <w:szCs w:val="24"/>
        </w:rPr>
        <w:t xml:space="preserve">No exceptions were identified. </w:t>
      </w:r>
    </w:p>
    <w:p w:rsidR="00B4307F" w:rsidRPr="006C7FAE" w14:paraId="5F9BE77B" w14:textId="77777777">
      <w:pPr>
        <w:keepLines/>
        <w:tabs>
          <w:tab w:val="left" w:pos="360"/>
        </w:tabs>
        <w:spacing w:after="80"/>
        <w:ind w:left="360" w:hanging="360"/>
        <w:rPr>
          <w:rFonts w:ascii="Courier" w:hAnsi="Courier"/>
          <w:sz w:val="24"/>
          <w:szCs w:val="24"/>
        </w:rPr>
      </w:pPr>
    </w:p>
    <w:p w:rsidR="009E13B1" w:rsidRPr="006C7FAE" w14:paraId="7B0C5097" w14:textId="77777777">
      <w:pPr>
        <w:keepLines/>
        <w:tabs>
          <w:tab w:val="left" w:pos="360"/>
          <w:tab w:val="left" w:pos="720"/>
        </w:tabs>
        <w:ind w:left="360"/>
        <w:rPr>
          <w:sz w:val="24"/>
          <w:szCs w:val="24"/>
        </w:rPr>
      </w:pPr>
    </w:p>
    <w:p w:rsidR="009E13B1" w:rsidRPr="006C7FAE" w14:paraId="227CBB2D" w14:textId="77777777">
      <w:pPr>
        <w:tabs>
          <w:tab w:val="left" w:pos="360"/>
          <w:tab w:val="left" w:pos="720"/>
        </w:tabs>
        <w:rPr>
          <w:sz w:val="24"/>
          <w:szCs w:val="24"/>
        </w:rPr>
      </w:pPr>
    </w:p>
    <w:p w:rsidR="009E13B1" w:rsidRPr="006C7FAE" w:rsidP="00167E53" w14:paraId="26256CD0"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43C2" w14:paraId="33443B50" w14:textId="77777777">
      <w:r>
        <w:separator/>
      </w:r>
    </w:p>
  </w:footnote>
  <w:footnote w:type="continuationSeparator" w:id="1">
    <w:p w:rsidR="006A43C2" w14:paraId="447FCA1A" w14:textId="77777777">
      <w:r>
        <w:continuationSeparator/>
      </w:r>
    </w:p>
  </w:footnote>
  <w:footnote w:id="2">
    <w:p w:rsidR="003E7020" w14:paraId="44F155DC" w14:textId="335CC298">
      <w:pPr>
        <w:pStyle w:val="FootnoteText"/>
      </w:pPr>
      <w:r>
        <w:rPr>
          <w:rStyle w:val="FootnoteReference"/>
        </w:rPr>
        <w:footnoteRef/>
      </w:r>
      <w:r>
        <w:t xml:space="preserve"> </w:t>
      </w:r>
      <w:r w:rsidR="00E22BB9">
        <w:t>See 24 CFR 58.2</w:t>
      </w:r>
      <w:r w:rsidR="00690732">
        <w:t>(a)</w:t>
      </w:r>
      <w:r w:rsidR="00E22BB9">
        <w:t>(7)</w:t>
      </w:r>
      <w:r w:rsidR="0069073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27B5BCD"/>
    <w:multiLevelType w:val="hybridMultilevel"/>
    <w:tmpl w:val="392A7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B30CCF"/>
    <w:multiLevelType w:val="hybridMultilevel"/>
    <w:tmpl w:val="89A04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B00F7"/>
    <w:multiLevelType w:val="hybridMultilevel"/>
    <w:tmpl w:val="3AC03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534733356">
    <w:abstractNumId w:val="7"/>
  </w:num>
  <w:num w:numId="2" w16cid:durableId="2007853233">
    <w:abstractNumId w:val="5"/>
  </w:num>
  <w:num w:numId="3" w16cid:durableId="1029836107">
    <w:abstractNumId w:val="11"/>
  </w:num>
  <w:num w:numId="4" w16cid:durableId="969825025">
    <w:abstractNumId w:val="8"/>
  </w:num>
  <w:num w:numId="5" w16cid:durableId="1320575566">
    <w:abstractNumId w:val="9"/>
  </w:num>
  <w:num w:numId="6" w16cid:durableId="927155843">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888220802">
    <w:abstractNumId w:val="6"/>
  </w:num>
  <w:num w:numId="8" w16cid:durableId="2123718370">
    <w:abstractNumId w:val="14"/>
  </w:num>
  <w:num w:numId="9" w16cid:durableId="802576757">
    <w:abstractNumId w:val="4"/>
  </w:num>
  <w:num w:numId="10" w16cid:durableId="1109157494">
    <w:abstractNumId w:val="13"/>
  </w:num>
  <w:num w:numId="11" w16cid:durableId="1989630274">
    <w:abstractNumId w:val="12"/>
  </w:num>
  <w:num w:numId="12" w16cid:durableId="2095396195">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279222019">
    <w:abstractNumId w:val="10"/>
  </w:num>
  <w:num w:numId="14" w16cid:durableId="567500896">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847839342">
    <w:abstractNumId w:val="2"/>
  </w:num>
  <w:num w:numId="16" w16cid:durableId="2124031138">
    <w:abstractNumId w:val="3"/>
  </w:num>
  <w:num w:numId="17" w16cid:durableId="195428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revisionView w:comments="1" w:formatting="1" w:inkAnnotations="0" w:insDel="1" w:markup="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2EDE"/>
    <w:rsid w:val="00003340"/>
    <w:rsid w:val="00012BAC"/>
    <w:rsid w:val="00042D23"/>
    <w:rsid w:val="000540DB"/>
    <w:rsid w:val="00066E45"/>
    <w:rsid w:val="00072FE1"/>
    <w:rsid w:val="00087993"/>
    <w:rsid w:val="000A1639"/>
    <w:rsid w:val="000B3184"/>
    <w:rsid w:val="000C6DC2"/>
    <w:rsid w:val="000D6FA2"/>
    <w:rsid w:val="000E00A8"/>
    <w:rsid w:val="000E2A89"/>
    <w:rsid w:val="000E7276"/>
    <w:rsid w:val="000F068C"/>
    <w:rsid w:val="0010207E"/>
    <w:rsid w:val="00130C3F"/>
    <w:rsid w:val="00142715"/>
    <w:rsid w:val="00151513"/>
    <w:rsid w:val="00153A87"/>
    <w:rsid w:val="00165D07"/>
    <w:rsid w:val="00167E53"/>
    <w:rsid w:val="00183BFC"/>
    <w:rsid w:val="00186796"/>
    <w:rsid w:val="00193EF8"/>
    <w:rsid w:val="00196283"/>
    <w:rsid w:val="001A1D5E"/>
    <w:rsid w:val="001B0CF1"/>
    <w:rsid w:val="001C78B5"/>
    <w:rsid w:val="001E1D2E"/>
    <w:rsid w:val="001E3B3E"/>
    <w:rsid w:val="001E6CC4"/>
    <w:rsid w:val="001F776C"/>
    <w:rsid w:val="001F7980"/>
    <w:rsid w:val="00206FF3"/>
    <w:rsid w:val="002158C8"/>
    <w:rsid w:val="00222C02"/>
    <w:rsid w:val="00231360"/>
    <w:rsid w:val="00240E59"/>
    <w:rsid w:val="00245BAD"/>
    <w:rsid w:val="00256CE1"/>
    <w:rsid w:val="00273853"/>
    <w:rsid w:val="00281EEB"/>
    <w:rsid w:val="00291F85"/>
    <w:rsid w:val="002949FE"/>
    <w:rsid w:val="002A0B89"/>
    <w:rsid w:val="002A323A"/>
    <w:rsid w:val="002A4E4D"/>
    <w:rsid w:val="002A6D71"/>
    <w:rsid w:val="002B61E1"/>
    <w:rsid w:val="002B7374"/>
    <w:rsid w:val="002D36D8"/>
    <w:rsid w:val="002E0940"/>
    <w:rsid w:val="002E2FB6"/>
    <w:rsid w:val="002F6CE8"/>
    <w:rsid w:val="003013F4"/>
    <w:rsid w:val="00312619"/>
    <w:rsid w:val="00314A92"/>
    <w:rsid w:val="00315302"/>
    <w:rsid w:val="0032355F"/>
    <w:rsid w:val="00331390"/>
    <w:rsid w:val="003318FC"/>
    <w:rsid w:val="00336E24"/>
    <w:rsid w:val="003472E7"/>
    <w:rsid w:val="00350274"/>
    <w:rsid w:val="003537EC"/>
    <w:rsid w:val="00354B9A"/>
    <w:rsid w:val="00360090"/>
    <w:rsid w:val="003630FD"/>
    <w:rsid w:val="00371CC2"/>
    <w:rsid w:val="00377FE2"/>
    <w:rsid w:val="00392567"/>
    <w:rsid w:val="003A7DB9"/>
    <w:rsid w:val="003C64D3"/>
    <w:rsid w:val="003C66E9"/>
    <w:rsid w:val="003E5829"/>
    <w:rsid w:val="003E7020"/>
    <w:rsid w:val="00400243"/>
    <w:rsid w:val="0040561F"/>
    <w:rsid w:val="00414C29"/>
    <w:rsid w:val="00416759"/>
    <w:rsid w:val="00427AC5"/>
    <w:rsid w:val="00433350"/>
    <w:rsid w:val="004442C2"/>
    <w:rsid w:val="00450591"/>
    <w:rsid w:val="00450D96"/>
    <w:rsid w:val="00452104"/>
    <w:rsid w:val="004549FC"/>
    <w:rsid w:val="004568C0"/>
    <w:rsid w:val="00473435"/>
    <w:rsid w:val="00481E59"/>
    <w:rsid w:val="0048317E"/>
    <w:rsid w:val="0049141E"/>
    <w:rsid w:val="004929C1"/>
    <w:rsid w:val="004A37A5"/>
    <w:rsid w:val="004A633D"/>
    <w:rsid w:val="004B41CC"/>
    <w:rsid w:val="004B7F66"/>
    <w:rsid w:val="004C0125"/>
    <w:rsid w:val="004C0DCD"/>
    <w:rsid w:val="004C2E02"/>
    <w:rsid w:val="004E23B4"/>
    <w:rsid w:val="004E698D"/>
    <w:rsid w:val="004F2F31"/>
    <w:rsid w:val="0050538D"/>
    <w:rsid w:val="00510663"/>
    <w:rsid w:val="0051295B"/>
    <w:rsid w:val="00520A64"/>
    <w:rsid w:val="00523A25"/>
    <w:rsid w:val="00530BD5"/>
    <w:rsid w:val="00536778"/>
    <w:rsid w:val="00577C1D"/>
    <w:rsid w:val="005910E0"/>
    <w:rsid w:val="005968A2"/>
    <w:rsid w:val="005A27EB"/>
    <w:rsid w:val="005A5034"/>
    <w:rsid w:val="005B04A8"/>
    <w:rsid w:val="005B0FD6"/>
    <w:rsid w:val="005B4C54"/>
    <w:rsid w:val="005B7D58"/>
    <w:rsid w:val="005C6F39"/>
    <w:rsid w:val="005C75D7"/>
    <w:rsid w:val="005C7AAA"/>
    <w:rsid w:val="005D2321"/>
    <w:rsid w:val="005E5A7C"/>
    <w:rsid w:val="005F41FD"/>
    <w:rsid w:val="006054AB"/>
    <w:rsid w:val="00606472"/>
    <w:rsid w:val="00612EA2"/>
    <w:rsid w:val="006142F9"/>
    <w:rsid w:val="006238DA"/>
    <w:rsid w:val="00631BB6"/>
    <w:rsid w:val="00634049"/>
    <w:rsid w:val="00652645"/>
    <w:rsid w:val="00652C2E"/>
    <w:rsid w:val="00680BA8"/>
    <w:rsid w:val="00690732"/>
    <w:rsid w:val="006933E8"/>
    <w:rsid w:val="006A43C2"/>
    <w:rsid w:val="006A606F"/>
    <w:rsid w:val="006B7674"/>
    <w:rsid w:val="006C2D90"/>
    <w:rsid w:val="006C7FAE"/>
    <w:rsid w:val="006D23F8"/>
    <w:rsid w:val="006D66D9"/>
    <w:rsid w:val="006E60C3"/>
    <w:rsid w:val="006E7D18"/>
    <w:rsid w:val="006F0EF4"/>
    <w:rsid w:val="006F6674"/>
    <w:rsid w:val="00722144"/>
    <w:rsid w:val="0073127D"/>
    <w:rsid w:val="007411E2"/>
    <w:rsid w:val="0074694F"/>
    <w:rsid w:val="00746A24"/>
    <w:rsid w:val="00750470"/>
    <w:rsid w:val="007548B6"/>
    <w:rsid w:val="00760CF9"/>
    <w:rsid w:val="00773159"/>
    <w:rsid w:val="007862CC"/>
    <w:rsid w:val="00792770"/>
    <w:rsid w:val="00796510"/>
    <w:rsid w:val="007967EE"/>
    <w:rsid w:val="00796CD0"/>
    <w:rsid w:val="007A1801"/>
    <w:rsid w:val="007B7D32"/>
    <w:rsid w:val="007C19A7"/>
    <w:rsid w:val="007C2604"/>
    <w:rsid w:val="007C5659"/>
    <w:rsid w:val="007E360A"/>
    <w:rsid w:val="007E3EBD"/>
    <w:rsid w:val="0080122B"/>
    <w:rsid w:val="00806668"/>
    <w:rsid w:val="00806C90"/>
    <w:rsid w:val="00824175"/>
    <w:rsid w:val="008342D4"/>
    <w:rsid w:val="0084754E"/>
    <w:rsid w:val="0086251F"/>
    <w:rsid w:val="00863BF0"/>
    <w:rsid w:val="0087244A"/>
    <w:rsid w:val="00882C30"/>
    <w:rsid w:val="00890CB7"/>
    <w:rsid w:val="0089322C"/>
    <w:rsid w:val="00895BA9"/>
    <w:rsid w:val="008A19D1"/>
    <w:rsid w:val="008A548B"/>
    <w:rsid w:val="008B2427"/>
    <w:rsid w:val="008C6161"/>
    <w:rsid w:val="008E1CC0"/>
    <w:rsid w:val="008E1E74"/>
    <w:rsid w:val="008E55E5"/>
    <w:rsid w:val="008E7D4F"/>
    <w:rsid w:val="008F4D6B"/>
    <w:rsid w:val="00911A8F"/>
    <w:rsid w:val="00912068"/>
    <w:rsid w:val="009166CB"/>
    <w:rsid w:val="00923D52"/>
    <w:rsid w:val="0092547F"/>
    <w:rsid w:val="009437D4"/>
    <w:rsid w:val="0095678E"/>
    <w:rsid w:val="00962FB2"/>
    <w:rsid w:val="009642EE"/>
    <w:rsid w:val="00966FC0"/>
    <w:rsid w:val="009759F3"/>
    <w:rsid w:val="0097702C"/>
    <w:rsid w:val="0098098D"/>
    <w:rsid w:val="0098250C"/>
    <w:rsid w:val="00993B7C"/>
    <w:rsid w:val="0099546C"/>
    <w:rsid w:val="009A0C25"/>
    <w:rsid w:val="009A4962"/>
    <w:rsid w:val="009C6761"/>
    <w:rsid w:val="009D5AB3"/>
    <w:rsid w:val="009E0C3E"/>
    <w:rsid w:val="009E13B1"/>
    <w:rsid w:val="009F3EF0"/>
    <w:rsid w:val="00A11F75"/>
    <w:rsid w:val="00A16DCD"/>
    <w:rsid w:val="00A210D8"/>
    <w:rsid w:val="00A319EA"/>
    <w:rsid w:val="00A327FE"/>
    <w:rsid w:val="00A35933"/>
    <w:rsid w:val="00A54AAA"/>
    <w:rsid w:val="00A60687"/>
    <w:rsid w:val="00A60FBF"/>
    <w:rsid w:val="00A667B0"/>
    <w:rsid w:val="00A7511E"/>
    <w:rsid w:val="00A75655"/>
    <w:rsid w:val="00A86BF5"/>
    <w:rsid w:val="00A965DC"/>
    <w:rsid w:val="00AA65AC"/>
    <w:rsid w:val="00AC1539"/>
    <w:rsid w:val="00AC4CBF"/>
    <w:rsid w:val="00AC5F94"/>
    <w:rsid w:val="00AD3200"/>
    <w:rsid w:val="00AD57F9"/>
    <w:rsid w:val="00AE2BB4"/>
    <w:rsid w:val="00AE4276"/>
    <w:rsid w:val="00AE5DCD"/>
    <w:rsid w:val="00B01788"/>
    <w:rsid w:val="00B01940"/>
    <w:rsid w:val="00B04BA6"/>
    <w:rsid w:val="00B066EE"/>
    <w:rsid w:val="00B23B2D"/>
    <w:rsid w:val="00B2626F"/>
    <w:rsid w:val="00B3115F"/>
    <w:rsid w:val="00B35761"/>
    <w:rsid w:val="00B36FD5"/>
    <w:rsid w:val="00B37D44"/>
    <w:rsid w:val="00B4307F"/>
    <w:rsid w:val="00B45891"/>
    <w:rsid w:val="00B60BE3"/>
    <w:rsid w:val="00B61FD7"/>
    <w:rsid w:val="00B95222"/>
    <w:rsid w:val="00BA7BE3"/>
    <w:rsid w:val="00BB3690"/>
    <w:rsid w:val="00BB5B06"/>
    <w:rsid w:val="00BB5F20"/>
    <w:rsid w:val="00BC10AF"/>
    <w:rsid w:val="00BC69BE"/>
    <w:rsid w:val="00BC6D35"/>
    <w:rsid w:val="00BD2DE4"/>
    <w:rsid w:val="00BE1CE9"/>
    <w:rsid w:val="00BF0A6A"/>
    <w:rsid w:val="00BF6D81"/>
    <w:rsid w:val="00C03637"/>
    <w:rsid w:val="00C11462"/>
    <w:rsid w:val="00C16FCF"/>
    <w:rsid w:val="00C22167"/>
    <w:rsid w:val="00C266B6"/>
    <w:rsid w:val="00C53008"/>
    <w:rsid w:val="00C572D5"/>
    <w:rsid w:val="00C72269"/>
    <w:rsid w:val="00C75FD6"/>
    <w:rsid w:val="00C90B80"/>
    <w:rsid w:val="00C93FDB"/>
    <w:rsid w:val="00CA1BCE"/>
    <w:rsid w:val="00CA57AF"/>
    <w:rsid w:val="00CB2D7A"/>
    <w:rsid w:val="00CC3FD3"/>
    <w:rsid w:val="00CD0C91"/>
    <w:rsid w:val="00CD593D"/>
    <w:rsid w:val="00CD63A4"/>
    <w:rsid w:val="00CE1567"/>
    <w:rsid w:val="00CE7D11"/>
    <w:rsid w:val="00D03A85"/>
    <w:rsid w:val="00D11CDA"/>
    <w:rsid w:val="00D128AC"/>
    <w:rsid w:val="00D265ED"/>
    <w:rsid w:val="00D311CF"/>
    <w:rsid w:val="00D3212F"/>
    <w:rsid w:val="00D412D4"/>
    <w:rsid w:val="00D54E60"/>
    <w:rsid w:val="00D649A2"/>
    <w:rsid w:val="00D71F6A"/>
    <w:rsid w:val="00D83AA4"/>
    <w:rsid w:val="00D867D0"/>
    <w:rsid w:val="00DA0173"/>
    <w:rsid w:val="00DA5E85"/>
    <w:rsid w:val="00DB78F3"/>
    <w:rsid w:val="00DC0CB1"/>
    <w:rsid w:val="00DC2342"/>
    <w:rsid w:val="00DC5B07"/>
    <w:rsid w:val="00DD65F4"/>
    <w:rsid w:val="00DE06C3"/>
    <w:rsid w:val="00DE209D"/>
    <w:rsid w:val="00DE6977"/>
    <w:rsid w:val="00DF1097"/>
    <w:rsid w:val="00DF3916"/>
    <w:rsid w:val="00DF6F45"/>
    <w:rsid w:val="00E013A6"/>
    <w:rsid w:val="00E1714D"/>
    <w:rsid w:val="00E17872"/>
    <w:rsid w:val="00E22BB9"/>
    <w:rsid w:val="00E238DD"/>
    <w:rsid w:val="00E3781C"/>
    <w:rsid w:val="00E4552C"/>
    <w:rsid w:val="00E461C1"/>
    <w:rsid w:val="00E54671"/>
    <w:rsid w:val="00E62969"/>
    <w:rsid w:val="00E724E5"/>
    <w:rsid w:val="00E7386D"/>
    <w:rsid w:val="00E81440"/>
    <w:rsid w:val="00E81A32"/>
    <w:rsid w:val="00E82EE9"/>
    <w:rsid w:val="00E8603D"/>
    <w:rsid w:val="00EB6BCB"/>
    <w:rsid w:val="00ED3DD9"/>
    <w:rsid w:val="00EE5087"/>
    <w:rsid w:val="00EF2B9C"/>
    <w:rsid w:val="00F11AF9"/>
    <w:rsid w:val="00F244F0"/>
    <w:rsid w:val="00F27C8F"/>
    <w:rsid w:val="00F362FE"/>
    <w:rsid w:val="00F51475"/>
    <w:rsid w:val="00F67AAC"/>
    <w:rsid w:val="00F71BB2"/>
    <w:rsid w:val="00F7318C"/>
    <w:rsid w:val="00F74CF0"/>
    <w:rsid w:val="00F75228"/>
    <w:rsid w:val="00F75E52"/>
    <w:rsid w:val="00F76D28"/>
    <w:rsid w:val="00F80A5E"/>
    <w:rsid w:val="00F8438A"/>
    <w:rsid w:val="00FA7F1D"/>
    <w:rsid w:val="00FD1D78"/>
    <w:rsid w:val="00FF6C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1D58F7"/>
  <w15:chartTrackingRefBased/>
  <w15:docId w15:val="{A72ECF57-AD07-44A3-91BC-8F49D6D8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0E7276"/>
    <w:rPr>
      <w:sz w:val="16"/>
      <w:szCs w:val="16"/>
    </w:rPr>
  </w:style>
  <w:style w:type="paragraph" w:styleId="CommentText">
    <w:name w:val="annotation text"/>
    <w:basedOn w:val="Normal"/>
    <w:link w:val="CommentTextChar"/>
    <w:uiPriority w:val="99"/>
    <w:unhideWhenUsed/>
    <w:rsid w:val="000E7276"/>
  </w:style>
  <w:style w:type="character" w:customStyle="1" w:styleId="CommentTextChar">
    <w:name w:val="Comment Text Char"/>
    <w:basedOn w:val="DefaultParagraphFont"/>
    <w:link w:val="CommentText"/>
    <w:uiPriority w:val="99"/>
    <w:rsid w:val="000E7276"/>
  </w:style>
  <w:style w:type="paragraph" w:styleId="NoSpacing">
    <w:name w:val="No Spacing"/>
    <w:uiPriority w:val="1"/>
    <w:qFormat/>
    <w:rsid w:val="000E7276"/>
    <w:pPr>
      <w:overflowPunct w:val="0"/>
      <w:autoSpaceDE w:val="0"/>
      <w:autoSpaceDN w:val="0"/>
      <w:adjustRightInd w:val="0"/>
      <w:textAlignment w:val="baseline"/>
    </w:pPr>
  </w:style>
  <w:style w:type="paragraph" w:styleId="ListParagraph">
    <w:name w:val="List Paragraph"/>
    <w:basedOn w:val="Normal"/>
    <w:uiPriority w:val="34"/>
    <w:qFormat/>
    <w:rsid w:val="00652C2E"/>
    <w:pPr>
      <w:ind w:left="720"/>
    </w:pPr>
  </w:style>
  <w:style w:type="character" w:styleId="Hyperlink">
    <w:name w:val="Hyperlink"/>
    <w:uiPriority w:val="99"/>
    <w:unhideWhenUsed/>
    <w:rsid w:val="00B4307F"/>
    <w:rPr>
      <w:color w:val="0563C1"/>
      <w:u w:val="single"/>
    </w:rPr>
  </w:style>
  <w:style w:type="paragraph" w:styleId="CommentSubject">
    <w:name w:val="annotation subject"/>
    <w:basedOn w:val="CommentText"/>
    <w:next w:val="CommentText"/>
    <w:link w:val="CommentSubjectChar"/>
    <w:uiPriority w:val="99"/>
    <w:semiHidden/>
    <w:unhideWhenUsed/>
    <w:rsid w:val="00B4307F"/>
    <w:rPr>
      <w:b/>
      <w:bCs/>
    </w:rPr>
  </w:style>
  <w:style w:type="character" w:customStyle="1" w:styleId="CommentSubjectChar">
    <w:name w:val="Comment Subject Char"/>
    <w:link w:val="CommentSubject"/>
    <w:uiPriority w:val="99"/>
    <w:semiHidden/>
    <w:rsid w:val="00B4307F"/>
    <w:rPr>
      <w:b/>
      <w:bCs/>
    </w:rPr>
  </w:style>
  <w:style w:type="character" w:styleId="FollowedHyperlink">
    <w:name w:val="FollowedHyperlink"/>
    <w:uiPriority w:val="99"/>
    <w:semiHidden/>
    <w:unhideWhenUsed/>
    <w:rsid w:val="006054AB"/>
    <w:rPr>
      <w:color w:val="954F72"/>
      <w:u w:val="single"/>
    </w:rPr>
  </w:style>
  <w:style w:type="character" w:styleId="UnresolvedMention">
    <w:name w:val="Unresolved Mention"/>
    <w:basedOn w:val="DefaultParagraphFont"/>
    <w:uiPriority w:val="99"/>
    <w:semiHidden/>
    <w:unhideWhenUsed/>
    <w:rsid w:val="00CB2D7A"/>
    <w:rPr>
      <w:color w:val="605E5C"/>
      <w:shd w:val="clear" w:color="auto" w:fill="E1DFDD"/>
    </w:rPr>
  </w:style>
  <w:style w:type="paragraph" w:styleId="Revision">
    <w:name w:val="Revision"/>
    <w:hidden/>
    <w:uiPriority w:val="99"/>
    <w:semiHidden/>
    <w:rsid w:val="006D66D9"/>
  </w:style>
  <w:style w:type="paragraph" w:styleId="FootnoteText">
    <w:name w:val="footnote text"/>
    <w:basedOn w:val="Normal"/>
    <w:link w:val="FootnoteTextChar"/>
    <w:uiPriority w:val="99"/>
    <w:semiHidden/>
    <w:unhideWhenUsed/>
    <w:rsid w:val="003E7020"/>
  </w:style>
  <w:style w:type="character" w:customStyle="1" w:styleId="FootnoteTextChar">
    <w:name w:val="Footnote Text Char"/>
    <w:basedOn w:val="DefaultParagraphFont"/>
    <w:link w:val="FootnoteText"/>
    <w:uiPriority w:val="99"/>
    <w:semiHidden/>
    <w:rsid w:val="003E7020"/>
  </w:style>
  <w:style w:type="character" w:styleId="FootnoteReference">
    <w:name w:val="footnote reference"/>
    <w:basedOn w:val="DefaultParagraphFont"/>
    <w:uiPriority w:val="99"/>
    <w:semiHidden/>
    <w:unhideWhenUsed/>
    <w:rsid w:val="003E7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17208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49c88-f57a-445d-8c70-3ec5410f8b9f">
      <Terms xmlns="http://schemas.microsoft.com/office/infopath/2007/PartnerControls"/>
    </lcf76f155ced4ddcb4097134ff3c332f>
    <Date xmlns="64849c88-f57a-445d-8c70-3ec5410f8b9f" xsi:nil="true"/>
    <TaxCatchAll xmlns="8eb0fa7c-9f51-48f2-ba8c-307774cffbc6" xsi:nil="true"/>
    <_dlc_DocId xmlns="8eb0fa7c-9f51-48f2-ba8c-307774cffbc6">HUDCPD-1173188988-19991</_dlc_DocId>
    <_dlc_DocIdUrl xmlns="8eb0fa7c-9f51-48f2-ba8c-307774cffbc6">
      <Url>https://hudgov.sharepoint.com/sites/CPD/DASO/OEE/_layouts/15/DocIdRedir.aspx?ID=HUDCPD-1173188988-19991</Url>
      <Description>HUDCPD-1173188988-19991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6D652D6EA8F448E79D95CE82A04A8" ma:contentTypeVersion="2493" ma:contentTypeDescription="Create a new document." ma:contentTypeScope="" ma:versionID="a19397df121042eb63e18abfe4bf6c66">
  <xsd:schema xmlns:xsd="http://www.w3.org/2001/XMLSchema" xmlns:xs="http://www.w3.org/2001/XMLSchema" xmlns:p="http://schemas.microsoft.com/office/2006/metadata/properties" xmlns:ns2="8eb0fa7c-9f51-48f2-ba8c-307774cffbc6" xmlns:ns3="64849c88-f57a-445d-8c70-3ec5410f8b9f" xmlns:ns4="aad17eb1-86c1-4a58-a209-5453f9269478" targetNamespace="http://schemas.microsoft.com/office/2006/metadata/properties" ma:root="true" ma:fieldsID="0910c074c5494a680f533150352091d7" ns2:_="" ns3:_="" ns4:_="">
    <xsd:import namespace="8eb0fa7c-9f51-48f2-ba8c-307774cffbc6"/>
    <xsd:import namespace="64849c88-f57a-445d-8c70-3ec5410f8b9f"/>
    <xsd:import namespace="aad17eb1-86c1-4a58-a209-5453f92694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fa7c-9f51-48f2-ba8c-307774cffbc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e4f5359-992f-4577-b4b8-dbf646d6212b}" ma:internalName="TaxCatchAll" ma:showField="CatchAllData" ma:web="8eb0fa7c-9f51-48f2-ba8c-307774cff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49c88-f57a-445d-8c70-3ec5410f8b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17eb1-86c1-4a58-a209-5453f9269478"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E4D163-02F9-4306-BAAE-3134AB517819}">
  <ds:schemaRefs>
    <ds:schemaRef ds:uri="http://schemas.microsoft.com/sharepoint/v3/contenttype/forms"/>
  </ds:schemaRefs>
</ds:datastoreItem>
</file>

<file path=customXml/itemProps2.xml><?xml version="1.0" encoding="utf-8"?>
<ds:datastoreItem xmlns:ds="http://schemas.openxmlformats.org/officeDocument/2006/customXml" ds:itemID="{7AEF1C58-72A1-489B-B51A-B94AC7463E1A}">
  <ds:schemaRefs>
    <ds:schemaRef ds:uri="http://schemas.openxmlformats.org/officeDocument/2006/bibliography"/>
  </ds:schemaRefs>
</ds:datastoreItem>
</file>

<file path=customXml/itemProps3.xml><?xml version="1.0" encoding="utf-8"?>
<ds:datastoreItem xmlns:ds="http://schemas.openxmlformats.org/officeDocument/2006/customXml" ds:itemID="{41CA2A39-26B0-41ED-8B6F-A0F9B396A211}">
  <ds:schemaRefs>
    <ds:schemaRef ds:uri="http://purl.org/dc/elements/1.1/"/>
    <ds:schemaRef ds:uri="http://schemas.microsoft.com/office/2006/metadata/properties"/>
    <ds:schemaRef ds:uri="aad17eb1-86c1-4a58-a209-5453f9269478"/>
    <ds:schemaRef ds:uri="64849c88-f57a-445d-8c70-3ec5410f8b9f"/>
    <ds:schemaRef ds:uri="http://purl.org/dc/terms/"/>
    <ds:schemaRef ds:uri="http://schemas.openxmlformats.org/package/2006/metadata/core-properties"/>
    <ds:schemaRef ds:uri="http://schemas.microsoft.com/office/2006/documentManagement/types"/>
    <ds:schemaRef ds:uri="8eb0fa7c-9f51-48f2-ba8c-307774cffbc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FF6876E-11CE-427C-AEB1-E2C7E9F30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fa7c-9f51-48f2-ba8c-307774cffbc6"/>
    <ds:schemaRef ds:uri="64849c88-f57a-445d-8c70-3ec5410f8b9f"/>
    <ds:schemaRef ds:uri="aad17eb1-86c1-4a58-a209-5453f9269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E6B170-8255-4A45-AFA3-B6E252508263}">
  <ds:schemaRefs>
    <ds:schemaRef ds:uri="http://schemas.microsoft.com/office/2006/metadata/longProperties"/>
  </ds:schemaRefs>
</ds:datastoreItem>
</file>

<file path=customXml/itemProps6.xml><?xml version="1.0" encoding="utf-8"?>
<ds:datastoreItem xmlns:ds="http://schemas.openxmlformats.org/officeDocument/2006/customXml" ds:itemID="{F45C7195-B38C-420D-A412-5C1448312C1E}">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3013</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Lauren E</dc:creator>
  <cp:lastModifiedBy>Guido, Anna P</cp:lastModifiedBy>
  <cp:revision>2</cp:revision>
  <dcterms:created xsi:type="dcterms:W3CDTF">2025-04-29T15:44:00Z</dcterms:created>
  <dcterms:modified xsi:type="dcterms:W3CDTF">2025-04-29T15:44:00Z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0x0101008826D652D6EA8F448E79D95CE82A04A8</vt:lpwstr>
  </property>
  <property fmtid="{D5CDD505-2E9C-101B-9397-08002B2CF9AE}" pid="3" name="MediaServiceImageTags">
    <vt:lpwstr/>
  </property>
  <property fmtid="{D5CDD505-2E9C-101B-9397-08002B2CF9AE}" pid="4" name="_dlc_DocIdItemGuid">
    <vt:lpwstr>ea52112a-6927-48c6-a970-55927b95a1d2</vt:lpwstr>
  </property>
</Properties>
</file>