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7254" w:rsidR="00F5259C" w:rsidP="00F5259C" w:rsidRDefault="00F5259C" w14:paraId="72AA259A" w14:textId="77777777">
      <w:pPr>
        <w:pStyle w:val="Title2"/>
      </w:pPr>
      <w:r w:rsidRPr="002A2E67">
        <w:t xml:space="preserve">Evaluation of the </w:t>
      </w:r>
      <w:bookmarkStart w:name="_Hlk58406110" w:id="0"/>
      <w:r w:rsidRPr="002A2E67">
        <w:t xml:space="preserve">Older Adults </w:t>
      </w:r>
      <w:bookmarkEnd w:id="0"/>
      <w:r w:rsidRPr="002A2E67">
        <w:t>Home Modification Grant Program</w:t>
      </w:r>
    </w:p>
    <w:p w:rsidRPr="00997254" w:rsidR="00F5259C" w:rsidP="00F5259C" w:rsidRDefault="00F5259C" w14:paraId="047181EE" w14:textId="77777777">
      <w:pPr>
        <w:pStyle w:val="Title2"/>
        <w:rPr>
          <w:b w:val="0"/>
        </w:rPr>
      </w:pPr>
      <w:r w:rsidRPr="00997254">
        <w:t>OMB #2528-NEW</w:t>
      </w:r>
    </w:p>
    <w:p w:rsidR="00F5259C" w:rsidP="00F5259C" w:rsidRDefault="00F5259C" w14:paraId="11923A0A" w14:textId="77777777">
      <w:pPr>
        <w:pStyle w:val="Title2"/>
        <w:rPr>
          <w:noProof/>
        </w:rPr>
      </w:pPr>
    </w:p>
    <w:p w:rsidRPr="0065217F" w:rsidR="00F5259C" w:rsidP="00F5259C" w:rsidRDefault="00F5259C" w14:paraId="31C95C6A" w14:textId="77777777">
      <w:pPr>
        <w:pStyle w:val="Heading1"/>
        <w:rPr>
          <w:sz w:val="32"/>
          <w:szCs w:val="32"/>
          <w:u w:val="none"/>
        </w:rPr>
      </w:pPr>
      <w:bookmarkStart w:name="_Toc69888468" w:id="1"/>
      <w:bookmarkStart w:name="_Toc75878151" w:id="2"/>
      <w:r w:rsidRPr="0065217F">
        <w:rPr>
          <w:sz w:val="32"/>
          <w:szCs w:val="32"/>
          <w:u w:val="none"/>
        </w:rPr>
        <w:t xml:space="preserve">A. Justification </w:t>
      </w:r>
      <w:bookmarkEnd w:id="1"/>
      <w:bookmarkEnd w:id="2"/>
    </w:p>
    <w:p w:rsidRPr="00BB22A2" w:rsidR="00F5259C" w:rsidP="00F5259C" w:rsidRDefault="00F5259C" w14:paraId="14EB0CA0" w14:textId="77777777">
      <w:pPr>
        <w:pStyle w:val="Heading2"/>
        <w:spacing w:before="240"/>
      </w:pPr>
      <w:r w:rsidRPr="00997254">
        <w:rPr>
          <w:sz w:val="28"/>
          <w:szCs w:val="28"/>
          <w:u w:val="single"/>
        </w:rPr>
        <w:t>1. Circumstances Necessitating the Data Collection</w:t>
      </w:r>
    </w:p>
    <w:p w:rsidR="00F5259C" w:rsidP="00F5259C" w:rsidRDefault="00F5259C" w14:paraId="18501FDB" w14:textId="77777777">
      <w:pPr>
        <w:rPr>
          <w:i/>
        </w:rPr>
      </w:pPr>
      <w:r w:rsidRPr="00997254">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97254" w:rsidR="00F5259C" w:rsidP="00F5259C" w:rsidRDefault="00F5259C" w14:paraId="54E2E435" w14:textId="77777777">
      <w:pPr>
        <w:rPr>
          <w:i/>
        </w:rPr>
      </w:pPr>
    </w:p>
    <w:p w:rsidR="00F5259C" w:rsidP="00F5259C" w:rsidRDefault="00F5259C" w14:paraId="1F59A251" w14:textId="77777777">
      <w:pPr>
        <w:spacing w:after="240"/>
      </w:pPr>
      <w:r>
        <w:t>The U.S. Department of Housing and Urban Development’s (HUD) Office of Lead Hazard Control and Healthy Homes (OLHCHH)</w:t>
      </w:r>
      <w:r w:rsidRPr="00B33EEB">
        <w:t xml:space="preserve"> </w:t>
      </w:r>
      <w:r>
        <w:t>is launching</w:t>
      </w:r>
      <w:r w:rsidRPr="00B33EEB">
        <w:t xml:space="preserve"> a </w:t>
      </w:r>
      <w:r>
        <w:t xml:space="preserve">new grant program, the Older Adult Home Modification </w:t>
      </w:r>
      <w:r w:rsidRPr="00B33EEB">
        <w:t>Program</w:t>
      </w:r>
      <w:r>
        <w:t xml:space="preserve"> (OAHMP). The goal of this home modification program is</w:t>
      </w:r>
      <w:r w:rsidRPr="00B33EEB">
        <w:t xml:space="preserve"> to </w:t>
      </w:r>
      <w:r>
        <w:t xml:space="preserve">help low-income older adults “age-in-place” in their own homes by funding </w:t>
      </w:r>
      <w:r w:rsidRPr="00940E5E">
        <w:t xml:space="preserve">low-barrier, high-impact home modifications </w:t>
      </w:r>
      <w:r>
        <w:t xml:space="preserve">that </w:t>
      </w:r>
      <w:r w:rsidRPr="00940E5E">
        <w:t xml:space="preserve">reduce </w:t>
      </w:r>
      <w:r>
        <w:t xml:space="preserve">clients’ </w:t>
      </w:r>
      <w:r w:rsidRPr="00940E5E">
        <w:t xml:space="preserve">risk of falling, </w:t>
      </w:r>
      <w:r>
        <w:t xml:space="preserve">enhance their </w:t>
      </w:r>
      <w:r w:rsidRPr="00940E5E">
        <w:t xml:space="preserve">general safety, increase </w:t>
      </w:r>
      <w:r>
        <w:t xml:space="preserve">their homes’ </w:t>
      </w:r>
      <w:r w:rsidRPr="00940E5E">
        <w:t>accessibility, and improve</w:t>
      </w:r>
      <w:r>
        <w:t xml:space="preserve"> their</w:t>
      </w:r>
      <w:r w:rsidRPr="00940E5E">
        <w:t xml:space="preserve"> functional abilities</w:t>
      </w:r>
      <w:r>
        <w:t xml:space="preserve">. OLHCHH will award OAHMP grants to approximately 32 experienced organizations (non-profit organizations, state or local governments, or public housing agencies) </w:t>
      </w:r>
      <w:r w:rsidRPr="00940E5E">
        <w:t>that make modifications and limited repairs to</w:t>
      </w:r>
      <w:r>
        <w:t xml:space="preserve"> the homes of eligible adults</w:t>
      </w:r>
      <w:r w:rsidRPr="004A46D0">
        <w:t>.</w:t>
      </w:r>
      <w:r w:rsidRPr="0076280A">
        <w:t xml:space="preserve"> </w:t>
      </w:r>
    </w:p>
    <w:p w:rsidR="00F5259C" w:rsidP="00F5259C" w:rsidRDefault="00F5259C" w14:paraId="4CB4C7D4" w14:textId="77777777">
      <w:pPr>
        <w:spacing w:after="240"/>
      </w:pPr>
      <w:r>
        <w:t xml:space="preserve">The </w:t>
      </w:r>
      <w:r w:rsidRPr="00B82B04">
        <w:rPr>
          <w:noProof/>
        </w:rPr>
        <w:t xml:space="preserve">Office of </w:t>
      </w:r>
      <w:r w:rsidRPr="00B82B04">
        <w:t>Policy Development and Research (PD&amp;R</w:t>
      </w:r>
      <w:r>
        <w:t>) will evaluate</w:t>
      </w:r>
      <w:r w:rsidRPr="0012779C">
        <w:t xml:space="preserve"> </w:t>
      </w:r>
      <w:r w:rsidRPr="00B82B04">
        <w:t>the implementation and impact</w:t>
      </w:r>
      <w:r>
        <w:t xml:space="preserve"> of this new program. </w:t>
      </w:r>
      <w:r w:rsidRPr="00B82B04">
        <w:rPr>
          <w:szCs w:val="20"/>
        </w:rPr>
        <w:t>This document represents a new Information Collection Request (ICR) to the Office of Management and Budget (</w:t>
      </w:r>
      <w:r w:rsidRPr="00B82B04">
        <w:t>OMB), requesting approval for up to three years of data collection</w:t>
      </w:r>
      <w:r>
        <w:t xml:space="preserve"> for this evaluation,</w:t>
      </w:r>
      <w:r w:rsidRPr="00B82B04">
        <w:t xml:space="preserve"> to begin in 2021.</w:t>
      </w:r>
      <w:r>
        <w:t xml:space="preserve"> </w:t>
      </w:r>
      <w:r w:rsidRPr="00B82B04">
        <w:t xml:space="preserve">Through a competitive procurement, PD&amp;R has chosen Healthy Housing Solutions, Inc. (“the Contractor”), a small business, as its contractor for the purposes of conducting this Evaluation. </w:t>
      </w:r>
    </w:p>
    <w:p w:rsidR="00F5259C" w:rsidP="00F5259C" w:rsidRDefault="00F5259C" w14:paraId="4E62F804" w14:textId="77777777">
      <w:pPr>
        <w:autoSpaceDE w:val="0"/>
        <w:autoSpaceDN w:val="0"/>
        <w:adjustRightInd w:val="0"/>
        <w:spacing w:after="240"/>
      </w:pPr>
      <w:r w:rsidRPr="00B82B04">
        <w:t>The federal government has a long-term interest in reducing the costs of services to the elderly by enabling them to remain safely in their homes. In 2018, 55% of skilled nursing facility costs were paid by Medicaid, Medicare, and the Veterans Administration.</w:t>
      </w:r>
      <w:r w:rsidRPr="00B82B04">
        <w:rPr>
          <w:rStyle w:val="FootnoteReference"/>
        </w:rPr>
        <w:footnoteReference w:id="2"/>
      </w:r>
      <w:r w:rsidRPr="00B82B04">
        <w:t xml:space="preserve"> In 2016, total long-term care spending—including public, out-of-pocket, and other private spending—was $366 billion (12.9% of all U.S. personal health care spending), almost two-thirds of which was paid by Medicaid and Medicare.</w:t>
      </w:r>
      <w:r w:rsidRPr="00B82B04">
        <w:rPr>
          <w:rStyle w:val="FootnoteReference"/>
        </w:rPr>
        <w:footnoteReference w:id="3"/>
      </w:r>
      <w:r w:rsidRPr="00B82B04">
        <w:t xml:space="preserve"> Acute-care costs, i.e., costs associated with short term, immediate medical care for serious illnesses (e.g., heart attack, abdominal pain/spasms) or traumatic injuries (e.g., fall-related broken bones), are also burdensome. Each year, approximately $50 billion is spent on nonfatal fall injuries, $29 billion of which are paid by Medicare and $9 billion by Medicaid.</w:t>
      </w:r>
      <w:r w:rsidRPr="00B82B04">
        <w:rPr>
          <w:rStyle w:val="FootnoteReference"/>
        </w:rPr>
        <w:footnoteReference w:id="4"/>
      </w:r>
    </w:p>
    <w:p w:rsidRPr="00B82B04" w:rsidR="00F5259C" w:rsidP="00F5259C" w:rsidRDefault="00F5259C" w14:paraId="45D18FCA" w14:textId="77777777">
      <w:pPr>
        <w:spacing w:after="240"/>
      </w:pPr>
      <w:r w:rsidRPr="00B82B04">
        <w:lastRenderedPageBreak/>
        <w:t xml:space="preserve">Researchers and policymakers have found that limitations in multiple </w:t>
      </w:r>
      <w:r>
        <w:t>activities of daily living (</w:t>
      </w:r>
      <w:r w:rsidRPr="00B82B04">
        <w:t>ADLs</w:t>
      </w:r>
      <w:r>
        <w:t>)</w:t>
      </w:r>
      <w:r w:rsidRPr="00B82B04">
        <w:t>,</w:t>
      </w:r>
      <w:r>
        <w:rPr>
          <w:rStyle w:val="FootnoteReference"/>
        </w:rPr>
        <w:footnoteReference w:id="5"/>
      </w:r>
      <w:r>
        <w:t xml:space="preserve"> </w:t>
      </w:r>
      <w:r w:rsidRPr="00B82B04">
        <w:t xml:space="preserve">such as daily self-care, or </w:t>
      </w:r>
      <w:r>
        <w:t>instrumental activities of daily living (</w:t>
      </w:r>
      <w:r w:rsidRPr="00B82B04">
        <w:t>IADLs</w:t>
      </w:r>
      <w:r>
        <w:t>),</w:t>
      </w:r>
      <w:r>
        <w:rPr>
          <w:rStyle w:val="FootnoteReference"/>
        </w:rPr>
        <w:footnoteReference w:id="6"/>
      </w:r>
      <w:r w:rsidRPr="00B82B04">
        <w:t xml:space="preserve"> such as shopping, are the leading modifiable predictor of nursing home admission.</w:t>
      </w:r>
      <w:r w:rsidRPr="00B82B04">
        <w:rPr>
          <w:rStyle w:val="FootnoteReference"/>
        </w:rPr>
        <w:footnoteReference w:id="7"/>
      </w:r>
      <w:r w:rsidRPr="00B82B04">
        <w:rPr>
          <w:vertAlign w:val="superscript"/>
        </w:rPr>
        <w:t>,</w:t>
      </w:r>
      <w:r w:rsidRPr="00B82B04">
        <w:rPr>
          <w:rStyle w:val="FootnoteReference"/>
        </w:rPr>
        <w:footnoteReference w:id="8"/>
      </w:r>
      <w:r w:rsidRPr="00B82B04">
        <w:t xml:space="preserve"> Low-income older adult clients often lack the resources necessary to improve their housing functionality and </w:t>
      </w:r>
      <w:r>
        <w:t xml:space="preserve">to </w:t>
      </w:r>
      <w:r w:rsidRPr="00B82B04">
        <w:t>compensate for the increased difficulty of performing ADLs that comes with advancing age.</w:t>
      </w:r>
    </w:p>
    <w:p w:rsidRPr="00B82B04" w:rsidR="00F5259C" w:rsidP="00F5259C" w:rsidRDefault="00F5259C" w14:paraId="13860629" w14:textId="77777777">
      <w:pPr>
        <w:spacing w:after="240"/>
        <w:ind w:right="-90"/>
      </w:pPr>
      <w:r w:rsidRPr="00B82B04">
        <w:t>Program models for home modifications targeting both housing (environmental) and health risk factors are limited, even though disability often results from the combination of both. Low-income older adults have a particular need for interventions addressing both housing and</w:t>
      </w:r>
      <w:r>
        <w:t xml:space="preserve"> i</w:t>
      </w:r>
      <w:r w:rsidRPr="00B82B04">
        <w:t>ndividual health risk factors as they have higher rates of disability,</w:t>
      </w:r>
      <w:r w:rsidRPr="00B82B04">
        <w:rPr>
          <w:rStyle w:val="FootnoteReference"/>
        </w:rPr>
        <w:footnoteReference w:id="9"/>
      </w:r>
      <w:r w:rsidRPr="00B82B04">
        <w:rPr>
          <w:vertAlign w:val="superscript"/>
        </w:rPr>
        <w:t>,</w:t>
      </w:r>
      <w:r w:rsidRPr="00B82B04">
        <w:rPr>
          <w:rStyle w:val="FootnoteReference"/>
        </w:rPr>
        <w:footnoteReference w:id="10"/>
      </w:r>
      <w:r w:rsidRPr="00B82B04">
        <w:rPr>
          <w:vertAlign w:val="superscript"/>
        </w:rPr>
        <w:t>,</w:t>
      </w:r>
      <w:r w:rsidRPr="00B82B04">
        <w:rPr>
          <w:rStyle w:val="FootnoteReference"/>
        </w:rPr>
        <w:footnoteReference w:id="11"/>
      </w:r>
      <w:r w:rsidRPr="00B82B04">
        <w:t xml:space="preserve"> pain,</w:t>
      </w:r>
      <w:r w:rsidRPr="00B82B04">
        <w:rPr>
          <w:rStyle w:val="FootnoteReference"/>
        </w:rPr>
        <w:footnoteReference w:id="12"/>
      </w:r>
      <w:r w:rsidRPr="00B82B04">
        <w:t xml:space="preserve"> and depression;</w:t>
      </w:r>
      <w:r w:rsidRPr="00B82B04">
        <w:rPr>
          <w:rStyle w:val="FootnoteReference"/>
        </w:rPr>
        <w:footnoteReference w:id="13"/>
      </w:r>
      <w:r w:rsidRPr="00B82B04">
        <w:rPr>
          <w:vertAlign w:val="superscript"/>
        </w:rPr>
        <w:t>,</w:t>
      </w:r>
      <w:r>
        <w:rPr>
          <w:vertAlign w:val="superscript"/>
        </w:rPr>
        <w:t xml:space="preserve"> </w:t>
      </w:r>
      <w:r w:rsidRPr="00B82B04">
        <w:rPr>
          <w:rStyle w:val="FootnoteReference"/>
        </w:rPr>
        <w:footnoteReference w:id="14"/>
      </w:r>
      <w:r>
        <w:t xml:space="preserve"> </w:t>
      </w:r>
      <w:r w:rsidRPr="00B82B04">
        <w:t>less access to primary care;</w:t>
      </w:r>
      <w:r w:rsidRPr="00B82B04">
        <w:rPr>
          <w:rStyle w:val="FootnoteReference"/>
        </w:rPr>
        <w:footnoteReference w:id="15"/>
      </w:r>
      <w:r w:rsidRPr="00B82B04">
        <w:t xml:space="preserve"> and increased likelihood of living in substandard housing.</w:t>
      </w:r>
      <w:r w:rsidRPr="00B82B04">
        <w:rPr>
          <w:rStyle w:val="FootnoteReference"/>
        </w:rPr>
        <w:footnoteReference w:id="16"/>
      </w:r>
      <w:r w:rsidRPr="00B82B04">
        <w:t xml:space="preserve">  </w:t>
      </w:r>
    </w:p>
    <w:p w:rsidRPr="00B82B04" w:rsidR="00F5259C" w:rsidP="00F5259C" w:rsidRDefault="00F5259C" w14:paraId="17A71B34" w14:textId="77777777">
      <w:pPr>
        <w:spacing w:after="240"/>
      </w:pPr>
      <w:r w:rsidRPr="00B82B04">
        <w:t xml:space="preserve">Research demonstrates, under certain conditions, home modification can significantly reduce the risk of falling among community-dwelling elderly persons. A 2015 systematic literature review concluded a ‘high intensity’ environmental assessment delivered by an </w:t>
      </w:r>
      <w:r>
        <w:t xml:space="preserve">Occupational Therapist </w:t>
      </w:r>
      <w:r>
        <w:lastRenderedPageBreak/>
        <w:t>(</w:t>
      </w:r>
      <w:r w:rsidRPr="00B82B04">
        <w:t>OT</w:t>
      </w:r>
      <w:r>
        <w:t>)</w:t>
      </w:r>
      <w:r w:rsidRPr="00B82B04">
        <w:t xml:space="preserve"> and home modifications for “high risk” elderly adults were clinically effective in preventing falls. The researchers defined “high risk” as community-dwelling adults aged 65 and older with one or more of the following risk factors: one or more falls in the previous year, a recent hospital admission, a chronic health condition, or visual impairment. The authors concluded OT-led interventions were effective because OTs focused on the impact of the environment on an individual’s function and considered personal, environmental, and activity-related fall risk factors. Protocols that did not use an OT to conduct the assessment and/or that did not limit the interventions to high-risk adults did not show the same level of effectiveness.</w:t>
      </w:r>
      <w:r w:rsidRPr="00B82B04">
        <w:rPr>
          <w:rStyle w:val="FootnoteReference"/>
        </w:rPr>
        <w:footnoteReference w:id="17"/>
      </w:r>
    </w:p>
    <w:p w:rsidRPr="00B82B04" w:rsidR="00F5259C" w:rsidP="00F5259C" w:rsidRDefault="00F5259C" w14:paraId="00CB583C" w14:textId="77777777">
      <w:pPr>
        <w:spacing w:after="240"/>
      </w:pPr>
      <w:r w:rsidRPr="00B82B04">
        <w:t>Johns Hopkins University School of Nursing program’s Community Aging in Place – Advancing Better Living in Elders (CAPABLE) is a core program model for the OAHMP. This model employs a team, comprised of an OT, a registered nurse, and a home modifier (i.e., a contractor or a maintenance person hired by the grantee), to conduct an assessment and implement home modifications to improve the functional ability of clients. A recent randomized controlled trial of the CAPABLE model with low-income community-dwelling adults aged 65 and older who lacked cognitive impairments and had self-reported difficulty with ADLs or two or more IADLs found the intervention group experienced a significant reduction in disability (ADLs and IADLs) compared to the control group.</w:t>
      </w:r>
      <w:r w:rsidRPr="00B82B04">
        <w:rPr>
          <w:rStyle w:val="FootnoteReference"/>
        </w:rPr>
        <w:footnoteReference w:id="18"/>
      </w:r>
    </w:p>
    <w:p w:rsidRPr="00B82B04" w:rsidR="00F5259C" w:rsidP="00F5259C" w:rsidRDefault="00F5259C" w14:paraId="1404AE12" w14:textId="77777777">
      <w:pPr>
        <w:spacing w:after="240"/>
        <w:rPr>
          <w:rFonts w:ascii="TimesNewRomanPSMT" w:hAnsi="TimesNewRomanPSMT" w:cs="TimesNewRomanPSMT"/>
        </w:rPr>
      </w:pPr>
      <w:r w:rsidRPr="00B82B04">
        <w:t xml:space="preserve">However, OAHMP grantees may use other program models if approved by OLHCHH. Possible differences in program models indicate a need to document the health and cost impact of an older adult home modification program over a broader set of program models. While housing modification programs are currently available in many local communities, many are limited in their repair options, lack an evidence base, and have not documented their impact on reducing older adults' ADL/IADL limitations and improving their ability to remain in their homes. </w:t>
      </w:r>
    </w:p>
    <w:p w:rsidRPr="005C63E3" w:rsidR="00F5259C" w:rsidP="00F5259C" w:rsidRDefault="00F5259C" w14:paraId="1296ABD4" w14:textId="77777777">
      <w:pPr>
        <w:spacing w:after="240"/>
      </w:pPr>
      <w:r w:rsidRPr="00B82B04">
        <w:t>These data indicate HUD has the need to develop, test, and implement creative, practical strategies to promote safe and healthy aging in place that can decrease older adult healthcare costs. This Evaluation will improve HUD’s ability to design, manage, and sustain programs for older adult home modifications, particularly those targeted to owner-occupied homes.</w:t>
      </w:r>
    </w:p>
    <w:p w:rsidR="00F5259C" w:rsidP="00F5259C" w:rsidRDefault="00F5259C" w14:paraId="394AA757" w14:textId="77777777">
      <w:pPr>
        <w:pStyle w:val="Heading2"/>
      </w:pPr>
      <w:r>
        <w:t>Legal Authority for the Data Collection</w:t>
      </w:r>
    </w:p>
    <w:p w:rsidRPr="00B82B04" w:rsidR="00F5259C" w:rsidP="00F5259C" w:rsidRDefault="00F5259C" w14:paraId="00028319" w14:textId="77777777">
      <w:pPr>
        <w:pStyle w:val="BodyText22"/>
        <w:widowControl/>
        <w:tabs>
          <w:tab w:val="clear" w:pos="939"/>
          <w:tab w:val="clear" w:pos="1449"/>
          <w:tab w:val="clear" w:pos="1959"/>
          <w:tab w:val="clear" w:pos="9360"/>
          <w:tab w:val="left" w:pos="1440"/>
        </w:tabs>
        <w:rPr>
          <w:rFonts w:ascii="Times New Roman" w:hAnsi="Times New Roman"/>
          <w:b w:val="0"/>
          <w:bCs w:val="0"/>
          <w:sz w:val="24"/>
          <w:szCs w:val="24"/>
        </w:rPr>
      </w:pPr>
      <w:r w:rsidRPr="00B82B04">
        <w:rPr>
          <w:rFonts w:ascii="Times New Roman" w:hAnsi="Times New Roman"/>
          <w:b w:val="0"/>
          <w:bCs w:val="0"/>
          <w:sz w:val="24"/>
          <w:szCs w:val="24"/>
        </w:rPr>
        <w:t>Authority and funding for the OAHMP are provided by the Consolidated Appropriations Act, 2019, approved February 15, 2019 (Public Law 116-6); the Further Consolidated Appropriations</w:t>
      </w:r>
      <w:r w:rsidRPr="00B82B04">
        <w:t xml:space="preserve"> </w:t>
      </w:r>
      <w:r w:rsidRPr="00B82B04">
        <w:rPr>
          <w:rFonts w:ascii="Times New Roman" w:hAnsi="Times New Roman"/>
          <w:b w:val="0"/>
          <w:bCs w:val="0"/>
          <w:sz w:val="24"/>
          <w:szCs w:val="24"/>
        </w:rPr>
        <w:t>Act, 2020, approved December 20, 2019 (Public Law 116-94); and the Consolidated Appropriations Act, 2021, approved December 27, 2020 (Public Law 116-260).</w:t>
      </w:r>
      <w:r w:rsidRPr="00B82B04">
        <w:rPr>
          <w:rStyle w:val="FootnoteReference"/>
          <w:rFonts w:ascii="Times New Roman" w:hAnsi="Times New Roman"/>
          <w:b w:val="0"/>
          <w:bCs w:val="0"/>
        </w:rPr>
        <w:footnoteReference w:id="19"/>
      </w:r>
      <w:r w:rsidRPr="00B82B04">
        <w:rPr>
          <w:rFonts w:ascii="Times New Roman" w:hAnsi="Times New Roman"/>
          <w:b w:val="0"/>
          <w:bCs w:val="0"/>
          <w:sz w:val="24"/>
          <w:szCs w:val="24"/>
        </w:rPr>
        <w:t xml:space="preserve"> </w:t>
      </w:r>
    </w:p>
    <w:p w:rsidRPr="00B82B04" w:rsidR="00F5259C" w:rsidP="00F5259C" w:rsidRDefault="00F5259C" w14:paraId="7B6C00A3" w14:textId="77777777">
      <w:pPr>
        <w:pStyle w:val="List"/>
        <w:tabs>
          <w:tab w:val="left" w:pos="360"/>
        </w:tabs>
        <w:ind w:left="0" w:firstLine="0"/>
        <w:rPr>
          <w:rFonts w:ascii="Times New Roman" w:hAnsi="Times New Roman"/>
          <w:color w:val="000000"/>
          <w:sz w:val="24"/>
          <w:szCs w:val="24"/>
          <w:shd w:val="clear" w:color="auto" w:fill="FFFFFF"/>
        </w:rPr>
      </w:pPr>
    </w:p>
    <w:p w:rsidRPr="00B82B04" w:rsidR="00F5259C" w:rsidP="00F5259C" w:rsidRDefault="00F5259C" w14:paraId="79617402" w14:textId="77777777">
      <w:pPr>
        <w:pStyle w:val="List"/>
        <w:spacing w:after="240"/>
        <w:ind w:left="0" w:firstLine="0"/>
        <w:rPr>
          <w:rFonts w:ascii="Times New Roman" w:hAnsi="Times New Roman"/>
          <w:color w:val="000000"/>
          <w:sz w:val="24"/>
          <w:szCs w:val="24"/>
          <w:shd w:val="clear" w:color="auto" w:fill="FFFFFF"/>
        </w:rPr>
      </w:pPr>
      <w:r w:rsidRPr="00B82B04">
        <w:rPr>
          <w:rFonts w:ascii="Times New Roman" w:hAnsi="Times New Roman"/>
          <w:color w:val="000000"/>
          <w:sz w:val="24"/>
          <w:szCs w:val="24"/>
          <w:shd w:val="clear" w:color="auto" w:fill="FFFFFF"/>
        </w:rPr>
        <w:t>The authority for PD&amp;R and OLHCHH to conduct evaluation is as follows.</w:t>
      </w:r>
    </w:p>
    <w:p w:rsidRPr="00B82B04" w:rsidR="00F5259C" w:rsidP="00F5259C" w:rsidRDefault="00F5259C" w14:paraId="2AAC7607" w14:textId="77777777">
      <w:pPr>
        <w:pStyle w:val="List"/>
        <w:widowControl/>
        <w:tabs>
          <w:tab w:val="left" w:pos="360"/>
        </w:tabs>
        <w:overflowPunct/>
        <w:spacing w:after="60"/>
        <w:ind w:left="0" w:firstLine="0"/>
        <w:textAlignment w:val="auto"/>
        <w:rPr>
          <w:rFonts w:ascii="Times New Roman" w:hAnsi="Times New Roman"/>
          <w:color w:val="000000"/>
          <w:sz w:val="24"/>
          <w:szCs w:val="24"/>
          <w:shd w:val="clear" w:color="auto" w:fill="FFFFFF"/>
        </w:rPr>
      </w:pPr>
      <w:r w:rsidRPr="00B82B04">
        <w:rPr>
          <w:rFonts w:ascii="Times New Roman" w:hAnsi="Times New Roman"/>
          <w:color w:val="000000"/>
          <w:sz w:val="24"/>
          <w:szCs w:val="24"/>
          <w:shd w:val="clear" w:color="auto" w:fill="FFFFFF"/>
        </w:rPr>
        <w:t xml:space="preserve">HUD's stated mission is: </w:t>
      </w:r>
    </w:p>
    <w:p w:rsidRPr="00B82B04" w:rsidR="00F5259C" w:rsidP="00F5259C" w:rsidRDefault="00F5259C" w14:paraId="3538A36A" w14:textId="77777777">
      <w:pPr>
        <w:pStyle w:val="List"/>
        <w:tabs>
          <w:tab w:val="left" w:pos="360"/>
        </w:tabs>
        <w:ind w:right="360" w:firstLine="0"/>
        <w:jc w:val="both"/>
        <w:rPr>
          <w:rFonts w:ascii="Times New Roman" w:hAnsi="Times New Roman"/>
          <w:color w:val="000000"/>
          <w:sz w:val="24"/>
          <w:szCs w:val="24"/>
          <w:shd w:val="clear" w:color="auto" w:fill="FFFFFF"/>
        </w:rPr>
      </w:pPr>
      <w:r w:rsidRPr="00B82B04">
        <w:rPr>
          <w:rFonts w:ascii="Times New Roman" w:hAnsi="Times New Roman"/>
          <w:color w:val="000000"/>
          <w:sz w:val="24"/>
          <w:szCs w:val="24"/>
          <w:shd w:val="clear" w:color="auto" w:fill="FFFFFF"/>
        </w:rPr>
        <w:t>…to create strong, sustainable, inclusive communities and quality affordable homes for all. HUD is working to strengthen the housing market to bolster the economy and protect consumers; meet the need for quality affordable rental homes</w:t>
      </w:r>
      <w:r w:rsidRPr="00B82B04">
        <w:rPr>
          <w:rFonts w:ascii="Times New Roman" w:hAnsi="Times New Roman"/>
          <w:i/>
          <w:iCs/>
          <w:color w:val="000000"/>
          <w:sz w:val="24"/>
          <w:szCs w:val="24"/>
          <w:shd w:val="clear" w:color="auto" w:fill="FFFFFF"/>
        </w:rPr>
        <w:t>; utilize housing as a platform for improving quality of life</w:t>
      </w:r>
      <w:r w:rsidRPr="00B82B04">
        <w:rPr>
          <w:rFonts w:ascii="Times New Roman" w:hAnsi="Times New Roman"/>
          <w:color w:val="000000"/>
          <w:sz w:val="24"/>
          <w:szCs w:val="24"/>
          <w:shd w:val="clear" w:color="auto" w:fill="FFFFFF"/>
        </w:rPr>
        <w:t xml:space="preserve">; build inclusive and sustainable communities free from </w:t>
      </w:r>
      <w:proofErr w:type="gramStart"/>
      <w:r w:rsidRPr="00B82B04">
        <w:rPr>
          <w:rFonts w:ascii="Times New Roman" w:hAnsi="Times New Roman"/>
          <w:color w:val="000000"/>
          <w:sz w:val="24"/>
          <w:szCs w:val="24"/>
          <w:shd w:val="clear" w:color="auto" w:fill="FFFFFF"/>
        </w:rPr>
        <w:t>discrimination, and</w:t>
      </w:r>
      <w:proofErr w:type="gramEnd"/>
      <w:r w:rsidRPr="00B82B04">
        <w:rPr>
          <w:rFonts w:ascii="Times New Roman" w:hAnsi="Times New Roman"/>
          <w:color w:val="000000"/>
          <w:sz w:val="24"/>
          <w:szCs w:val="24"/>
          <w:shd w:val="clear" w:color="auto" w:fill="FFFFFF"/>
        </w:rPr>
        <w:t xml:space="preserve"> transform the way HUD does business</w:t>
      </w:r>
      <w:r w:rsidRPr="00B82B04">
        <w:rPr>
          <w:rFonts w:ascii="Gill Sans MT Condensed" w:hAnsi="Gill Sans MT Condensed"/>
          <w:color w:val="000000"/>
          <w:sz w:val="27"/>
          <w:szCs w:val="27"/>
          <w:shd w:val="clear" w:color="auto" w:fill="FFFFFF"/>
        </w:rPr>
        <w:t>.</w:t>
      </w:r>
      <w:r w:rsidRPr="00B82B04">
        <w:rPr>
          <w:rStyle w:val="FootnoteReference"/>
          <w:rFonts w:ascii="Times New Roman" w:hAnsi="Times New Roman"/>
          <w:color w:val="000000"/>
          <w:shd w:val="clear" w:color="auto" w:fill="FFFFFF"/>
        </w:rPr>
        <w:footnoteReference w:id="20"/>
      </w:r>
      <w:r w:rsidRPr="00B82B04">
        <w:rPr>
          <w:rFonts w:ascii="Times New Roman" w:hAnsi="Times New Roman"/>
          <w:color w:val="000000"/>
          <w:sz w:val="24"/>
          <w:szCs w:val="24"/>
          <w:shd w:val="clear" w:color="auto" w:fill="FFFFFF"/>
        </w:rPr>
        <w:t xml:space="preserve"> [Emphasis added.]</w:t>
      </w:r>
    </w:p>
    <w:p w:rsidRPr="00B82B04" w:rsidR="00F5259C" w:rsidP="00F5259C" w:rsidRDefault="00F5259C" w14:paraId="58E1EE2D" w14:textId="77777777">
      <w:pPr>
        <w:pStyle w:val="List"/>
        <w:tabs>
          <w:tab w:val="left" w:pos="360"/>
        </w:tabs>
        <w:ind w:left="720" w:firstLine="0"/>
        <w:rPr>
          <w:rFonts w:ascii="Gill Sans MT Condensed" w:hAnsi="Gill Sans MT Condensed"/>
          <w:color w:val="000000"/>
          <w:sz w:val="27"/>
          <w:szCs w:val="27"/>
          <w:shd w:val="clear" w:color="auto" w:fill="FFFFFF"/>
        </w:rPr>
      </w:pPr>
    </w:p>
    <w:p w:rsidRPr="00B82B04" w:rsidR="00F5259C" w:rsidP="00F5259C" w:rsidRDefault="00F5259C" w14:paraId="6E7B17ED" w14:textId="77777777">
      <w:pPr>
        <w:keepNext/>
        <w:overflowPunct w:val="0"/>
        <w:autoSpaceDE w:val="0"/>
        <w:autoSpaceDN w:val="0"/>
        <w:adjustRightInd w:val="0"/>
        <w:spacing w:after="120"/>
        <w:textAlignment w:val="baseline"/>
      </w:pPr>
      <w:r w:rsidRPr="00B82B04">
        <w:t xml:space="preserve">HUD’s authority to conduct research related to the housing needs of older adults is codified in </w:t>
      </w:r>
      <w:r>
        <w:t>the U.S. Code at 12 U.S.C.§</w:t>
      </w:r>
      <w:r w:rsidRPr="00036A90">
        <w:t xml:space="preserve"> </w:t>
      </w:r>
      <w:hyperlink w:history="1" r:id="rId12">
        <w:r w:rsidRPr="00036A90">
          <w:rPr>
            <w:rStyle w:val="Hyperlink"/>
          </w:rPr>
          <w:t>1701z-1</w:t>
        </w:r>
      </w:hyperlink>
      <w:r w:rsidRPr="00036A90">
        <w:rPr>
          <w:rStyle w:val="FootnoteReference"/>
        </w:rPr>
        <w:footnoteReference w:id="21"/>
      </w:r>
      <w:r w:rsidRPr="00036A90">
        <w:t xml:space="preserve"> and </w:t>
      </w:r>
      <w:r w:rsidRPr="00B82B04">
        <w:t>§</w:t>
      </w:r>
      <w:r>
        <w:t xml:space="preserve"> </w:t>
      </w:r>
      <w:hyperlink w:history="1" r:id="rId13">
        <w:r w:rsidRPr="00036A90">
          <w:rPr>
            <w:rStyle w:val="Hyperlink"/>
          </w:rPr>
          <w:t>1701z-6</w:t>
        </w:r>
      </w:hyperlink>
      <w:r w:rsidRPr="00036A90">
        <w:t>.</w:t>
      </w:r>
      <w:r w:rsidRPr="00036A90">
        <w:rPr>
          <w:rStyle w:val="FootnoteReference"/>
        </w:rPr>
        <w:footnoteReference w:id="22"/>
      </w:r>
      <w:r w:rsidRPr="00036A90">
        <w:t xml:space="preserve"> (See appendix A)</w:t>
      </w:r>
    </w:p>
    <w:p w:rsidRPr="00B82B04" w:rsidR="00F5259C" w:rsidP="00F5259C" w:rsidRDefault="00F5259C" w14:paraId="0351C84D" w14:textId="77777777">
      <w:pPr>
        <w:autoSpaceDE w:val="0"/>
        <w:autoSpaceDN w:val="0"/>
        <w:adjustRightInd w:val="0"/>
        <w:spacing w:after="60"/>
      </w:pPr>
      <w:r w:rsidRPr="00B82B04">
        <w:t>Section 1701z-1 authorizes:</w:t>
      </w:r>
    </w:p>
    <w:p w:rsidRPr="00B82B04" w:rsidR="00F5259C" w:rsidP="00F5259C" w:rsidRDefault="00F5259C" w14:paraId="737DE658" w14:textId="77777777">
      <w:pPr>
        <w:widowControl w:val="0"/>
        <w:overflowPunct w:val="0"/>
        <w:autoSpaceDE w:val="0"/>
        <w:autoSpaceDN w:val="0"/>
        <w:adjustRightInd w:val="0"/>
        <w:ind w:left="360" w:right="360"/>
        <w:jc w:val="both"/>
        <w:textAlignment w:val="baseline"/>
      </w:pPr>
      <w:r w:rsidRPr="00B82B04">
        <w:t xml:space="preserve"> …such programs of research, studies, testing, and demonstration relating to the mission and programs of the Department as [the Secretary] determines to be necessary and appropriate.</w:t>
      </w:r>
    </w:p>
    <w:p w:rsidRPr="00B82B04" w:rsidR="00F5259C" w:rsidP="00F5259C" w:rsidRDefault="00F5259C" w14:paraId="3FFABCE6" w14:textId="77777777">
      <w:pPr>
        <w:ind w:right="720"/>
      </w:pPr>
    </w:p>
    <w:p w:rsidRPr="00B82B04" w:rsidR="00F5259C" w:rsidP="00F5259C" w:rsidRDefault="00F5259C" w14:paraId="112DA8F0" w14:textId="77777777">
      <w:pPr>
        <w:autoSpaceDE w:val="0"/>
        <w:autoSpaceDN w:val="0"/>
        <w:adjustRightInd w:val="0"/>
        <w:spacing w:after="60"/>
      </w:pPr>
      <w:r w:rsidRPr="00B82B04">
        <w:t>Section 1701z-6 (a) further authorizes:</w:t>
      </w:r>
    </w:p>
    <w:p w:rsidRPr="00B82B04" w:rsidR="00F5259C" w:rsidP="00F5259C" w:rsidRDefault="00F5259C" w14:paraId="1FB6A973" w14:textId="77777777">
      <w:pPr>
        <w:widowControl w:val="0"/>
        <w:overflowPunct w:val="0"/>
        <w:autoSpaceDE w:val="0"/>
        <w:autoSpaceDN w:val="0"/>
        <w:adjustRightInd w:val="0"/>
        <w:ind w:left="360" w:right="360"/>
        <w:jc w:val="both"/>
        <w:textAlignment w:val="baseline"/>
        <w:rPr>
          <w:color w:val="000000"/>
          <w:shd w:val="clear" w:color="auto" w:fill="FFFFFF"/>
        </w:rPr>
      </w:pPr>
      <w:r w:rsidRPr="00B82B04">
        <w:t xml:space="preserve">Special demonstrations of housing design, structure, facilities, and amenities to meet needs of </w:t>
      </w:r>
      <w:r w:rsidRPr="00B82B04">
        <w:rPr>
          <w:i/>
          <w:iCs/>
        </w:rPr>
        <w:t>elderly</w:t>
      </w:r>
      <w:r w:rsidRPr="00B82B04">
        <w:t xml:space="preserve">, handicapped, etc.; contracts, grants, and assistance by Secretary.…In carrying out activities under section 1701z-1 of this title, the Secretary may undertake special demonstrations to determine the housing design, the housing structure, and the housing-related facilities, and amenities most effective or appropriate to meet the needs of groups with special housing needs including the </w:t>
      </w:r>
      <w:r w:rsidRPr="00B82B04">
        <w:rPr>
          <w:i/>
          <w:iCs/>
        </w:rPr>
        <w:t>elderly</w:t>
      </w:r>
      <w:r w:rsidRPr="00B82B04">
        <w:t xml:space="preserve">, the handicapped, the displaced, single individuals, broken families, and large households. For this purpose, the Secretary is authorized to </w:t>
      </w:r>
      <w:proofErr w:type="gramStart"/>
      <w:r w:rsidRPr="00B82B04">
        <w:t>enter into</w:t>
      </w:r>
      <w:proofErr w:type="gramEnd"/>
      <w:r w:rsidRPr="00B82B04">
        <w:t xml:space="preserve"> contracts with, to make grants to, and to provide other types of assistance to individuals and entities with special competence and knowledge to contribute to the planning, development, design, and management of such housing. </w:t>
      </w:r>
      <w:r w:rsidRPr="00B82B04">
        <w:rPr>
          <w:color w:val="000000"/>
          <w:shd w:val="clear" w:color="auto" w:fill="FFFFFF"/>
        </w:rPr>
        <w:t>[Emphases added.]</w:t>
      </w:r>
    </w:p>
    <w:p w:rsidRPr="00B82B04" w:rsidR="00F5259C" w:rsidP="00F5259C" w:rsidRDefault="00F5259C" w14:paraId="3D8F6556" w14:textId="77777777">
      <w:pPr>
        <w:widowControl w:val="0"/>
        <w:overflowPunct w:val="0"/>
        <w:autoSpaceDE w:val="0"/>
        <w:autoSpaceDN w:val="0"/>
        <w:adjustRightInd w:val="0"/>
        <w:ind w:left="360" w:right="360"/>
        <w:jc w:val="both"/>
        <w:textAlignment w:val="baseline"/>
      </w:pPr>
    </w:p>
    <w:p w:rsidRPr="00B82B04" w:rsidR="00F5259C" w:rsidP="00F5259C" w:rsidRDefault="00F5259C" w14:paraId="412F75CD" w14:textId="77777777">
      <w:pPr>
        <w:autoSpaceDE w:val="0"/>
        <w:autoSpaceDN w:val="0"/>
        <w:adjustRightInd w:val="0"/>
        <w:spacing w:after="60"/>
      </w:pPr>
      <w:r w:rsidRPr="00B82B04">
        <w:t>Subsection 1701z-6(d) authorizes:</w:t>
      </w:r>
    </w:p>
    <w:p w:rsidRPr="00B82B04" w:rsidR="00F5259C" w:rsidP="00F5259C" w:rsidRDefault="00F5259C" w14:paraId="54C6FFFB" w14:textId="77777777">
      <w:pPr>
        <w:widowControl w:val="0"/>
        <w:overflowPunct w:val="0"/>
        <w:autoSpaceDE w:val="0"/>
        <w:autoSpaceDN w:val="0"/>
        <w:adjustRightInd w:val="0"/>
        <w:ind w:left="360" w:right="360"/>
        <w:jc w:val="both"/>
        <w:textAlignment w:val="baseline"/>
      </w:pPr>
      <w:r w:rsidRPr="00B82B04">
        <w:t>Evaluation of demonstration. In carrying out this section, the Secretary shall include, as part of any demonstration, an evaluation of the demonstration to cover the full experience involved in planning, development, and occupancy.</w:t>
      </w:r>
    </w:p>
    <w:p w:rsidRPr="00B82B04" w:rsidR="00F5259C" w:rsidP="00F5259C" w:rsidRDefault="00F5259C" w14:paraId="71571719" w14:textId="77777777">
      <w:pPr>
        <w:ind w:right="720"/>
      </w:pPr>
    </w:p>
    <w:p w:rsidRPr="00B82B04" w:rsidR="00F5259C" w:rsidP="00F5259C" w:rsidRDefault="00F5259C" w14:paraId="351E0EE5" w14:textId="77777777">
      <w:pPr>
        <w:autoSpaceDE w:val="0"/>
        <w:autoSpaceDN w:val="0"/>
        <w:adjustRightInd w:val="0"/>
        <w:spacing w:after="60"/>
      </w:pPr>
      <w:r w:rsidRPr="00B82B04">
        <w:t>PD&amp;R supports HUD’s mission by informing:</w:t>
      </w:r>
    </w:p>
    <w:p w:rsidRPr="00B82B04" w:rsidR="00F5259C" w:rsidP="00F5259C" w:rsidRDefault="00F5259C" w14:paraId="5D2E47EC" w14:textId="77777777">
      <w:pPr>
        <w:widowControl w:val="0"/>
        <w:overflowPunct w:val="0"/>
        <w:autoSpaceDE w:val="0"/>
        <w:autoSpaceDN w:val="0"/>
        <w:adjustRightInd w:val="0"/>
        <w:ind w:left="360" w:right="360"/>
        <w:jc w:val="both"/>
        <w:textAlignment w:val="baseline"/>
      </w:pPr>
      <w:r w:rsidRPr="00B82B04">
        <w:t xml:space="preserve">…HUD policy development and implementation to improve life in American communities through conducting, supporting, and sharing research, surveys, demonstrations, program evaluations, and best practices. Within HUD, PD&amp;R is responsible for nearly all program </w:t>
      </w:r>
      <w:r w:rsidRPr="00B82B04">
        <w:lastRenderedPageBreak/>
        <w:t>evaluations.</w:t>
      </w:r>
      <w:r w:rsidRPr="00B82B04">
        <w:rPr>
          <w:rStyle w:val="FootnoteReference"/>
          <w:sz w:val="24"/>
          <w:szCs w:val="24"/>
        </w:rPr>
        <w:footnoteReference w:id="23"/>
      </w:r>
      <w:r w:rsidRPr="00B82B04">
        <w:t xml:space="preserve">  </w:t>
      </w:r>
    </w:p>
    <w:p w:rsidRPr="00B82B04" w:rsidR="00F5259C" w:rsidP="00F5259C" w:rsidRDefault="00F5259C" w14:paraId="538A15AE" w14:textId="77777777">
      <w:pPr>
        <w:ind w:left="720" w:right="720"/>
      </w:pPr>
    </w:p>
    <w:p w:rsidRPr="00B82B04" w:rsidR="00F5259C" w:rsidP="00F5259C" w:rsidRDefault="00F5259C" w14:paraId="736E9218" w14:textId="77777777">
      <w:pPr>
        <w:autoSpaceDE w:val="0"/>
        <w:autoSpaceDN w:val="0"/>
        <w:adjustRightInd w:val="0"/>
        <w:spacing w:after="60"/>
      </w:pPr>
      <w:r w:rsidRPr="00B82B04">
        <w:t>OHHLHC further supports HUD’s mission by advancing:</w:t>
      </w:r>
    </w:p>
    <w:p w:rsidR="00F5259C" w:rsidP="00F5259C" w:rsidRDefault="00F5259C" w14:paraId="73E79368" w14:textId="77777777">
      <w:pPr>
        <w:widowControl w:val="0"/>
        <w:overflowPunct w:val="0"/>
        <w:autoSpaceDE w:val="0"/>
        <w:autoSpaceDN w:val="0"/>
        <w:adjustRightInd w:val="0"/>
        <w:ind w:left="360" w:right="360"/>
        <w:jc w:val="both"/>
        <w:textAlignment w:val="baseline"/>
      </w:pPr>
      <w:r w:rsidRPr="00B82B04">
        <w:t xml:space="preserve"> …the research agenda on the effects, evaluations and control of lead and </w:t>
      </w:r>
      <w:r w:rsidRPr="00B82B04">
        <w:rPr>
          <w:i/>
          <w:iCs/>
        </w:rPr>
        <w:t>other health and safety hazards</w:t>
      </w:r>
      <w:r w:rsidRPr="00B82B04">
        <w:t xml:space="preserve"> in housing and the impacts on resident health.”</w:t>
      </w:r>
      <w:r w:rsidRPr="00B82B04">
        <w:rPr>
          <w:rStyle w:val="FootnoteReference"/>
        </w:rPr>
        <w:footnoteReference w:id="24"/>
      </w:r>
      <w:r w:rsidRPr="00B82B04">
        <w:t xml:space="preserve"> [Emphasis added]</w:t>
      </w:r>
    </w:p>
    <w:p w:rsidR="00F5259C" w:rsidP="00F5259C" w:rsidRDefault="00F5259C" w14:paraId="160F042E" w14:textId="77777777">
      <w:pPr>
        <w:widowControl w:val="0"/>
        <w:overflowPunct w:val="0"/>
        <w:autoSpaceDE w:val="0"/>
        <w:autoSpaceDN w:val="0"/>
        <w:adjustRightInd w:val="0"/>
        <w:ind w:left="360" w:right="360"/>
        <w:jc w:val="both"/>
        <w:textAlignment w:val="baseline"/>
      </w:pPr>
    </w:p>
    <w:p w:rsidR="00F5259C" w:rsidP="00F5259C" w:rsidRDefault="00F5259C" w14:paraId="592014E1" w14:textId="77777777">
      <w:pPr>
        <w:pStyle w:val="BodyText22"/>
        <w:tabs>
          <w:tab w:val="clear" w:pos="0"/>
          <w:tab w:val="clear" w:pos="720"/>
          <w:tab w:val="clear" w:pos="939"/>
          <w:tab w:val="clear" w:pos="1449"/>
          <w:tab w:val="clear" w:pos="1959"/>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rPr>
          <w:rFonts w:ascii="Times New Roman" w:hAnsi="Times New Roman"/>
          <w:b w:val="0"/>
          <w:bCs w:val="0"/>
          <w:sz w:val="24"/>
          <w:szCs w:val="24"/>
        </w:rPr>
      </w:pPr>
      <w:r w:rsidRPr="00F94D44">
        <w:rPr>
          <w:rFonts w:ascii="Times New Roman" w:hAnsi="Times New Roman"/>
          <w:b w:val="0"/>
          <w:bCs w:val="0"/>
          <w:sz w:val="24"/>
          <w:szCs w:val="24"/>
        </w:rPr>
        <w:t xml:space="preserve">Both PD&amp;R’s and OLHCHH’s agendas identify research into home modifications that will enable the elderly to remain in their homes as a priority. </w:t>
      </w:r>
    </w:p>
    <w:p w:rsidR="00F5259C" w:rsidP="00F5259C" w:rsidRDefault="00F5259C" w14:paraId="3ECDD01C" w14:textId="77777777">
      <w:pPr>
        <w:pStyle w:val="BodyText22"/>
        <w:tabs>
          <w:tab w:val="clear" w:pos="0"/>
          <w:tab w:val="clear" w:pos="720"/>
          <w:tab w:val="clear" w:pos="939"/>
          <w:tab w:val="clear" w:pos="1449"/>
          <w:tab w:val="clear" w:pos="1959"/>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rPr>
          <w:rFonts w:ascii="Times New Roman" w:hAnsi="Times New Roman"/>
          <w:b w:val="0"/>
          <w:bCs w:val="0"/>
          <w:sz w:val="24"/>
          <w:szCs w:val="24"/>
        </w:rPr>
      </w:pPr>
    </w:p>
    <w:p w:rsidRPr="00B82B04" w:rsidR="00F5259C" w:rsidP="00F5259C" w:rsidRDefault="00F5259C" w14:paraId="78B589E0" w14:textId="77777777">
      <w:pPr>
        <w:pStyle w:val="Heading1"/>
      </w:pPr>
      <w:r>
        <w:t>2. Use of C</w:t>
      </w:r>
      <w:r w:rsidRPr="005C63E3">
        <w:t>ollect</w:t>
      </w:r>
      <w:r>
        <w:t>ed Data</w:t>
      </w:r>
    </w:p>
    <w:p w:rsidR="00F5259C" w:rsidP="00F5259C" w:rsidRDefault="00F5259C" w14:paraId="6777500E" w14:textId="77777777">
      <w:pPr>
        <w:spacing w:after="240"/>
        <w:rPr>
          <w:bCs/>
          <w:i/>
        </w:rPr>
      </w:pPr>
      <w:r w:rsidRPr="005A1C52">
        <w:rPr>
          <w:bCs/>
          <w:i/>
        </w:rPr>
        <w:t xml:space="preserve">Indicate how, by whom, and for what purpose the information is to be used. Except for a new collection, indicate the actual use the agency has made of the </w:t>
      </w:r>
      <w:r w:rsidRPr="007E78CC">
        <w:rPr>
          <w:bCs/>
          <w:i/>
        </w:rPr>
        <w:t>information received from the current collection</w:t>
      </w:r>
      <w:r>
        <w:rPr>
          <w:bCs/>
          <w:i/>
        </w:rPr>
        <w:t>.</w:t>
      </w:r>
    </w:p>
    <w:p w:rsidRPr="005A1C52" w:rsidR="00F5259C" w:rsidP="00F5259C" w:rsidRDefault="00F5259C" w14:paraId="674728B0" w14:textId="77777777">
      <w:pPr>
        <w:pStyle w:val="Heading2"/>
        <w:ind w:left="0" w:firstLine="0"/>
      </w:pPr>
      <w:bookmarkStart w:name="_Toc69888470" w:id="3"/>
      <w:bookmarkStart w:name="_Toc75878154" w:id="4"/>
      <w:r w:rsidRPr="005A1C52">
        <w:t>Study Overview</w:t>
      </w:r>
      <w:bookmarkEnd w:id="3"/>
      <w:bookmarkEnd w:id="4"/>
    </w:p>
    <w:p w:rsidRPr="00B82B04" w:rsidR="00F5259C" w:rsidP="00F5259C" w:rsidRDefault="00F5259C" w14:paraId="2FF0CE97" w14:textId="77777777">
      <w:pPr>
        <w:pStyle w:val="BodyText22"/>
        <w:tabs>
          <w:tab w:val="clear" w:pos="1449"/>
          <w:tab w:val="left" w:pos="1440"/>
        </w:tabs>
        <w:rPr>
          <w:rFonts w:ascii="Times New Roman" w:hAnsi="Times New Roman"/>
          <w:b w:val="0"/>
          <w:bCs w:val="0"/>
          <w:sz w:val="24"/>
          <w:szCs w:val="24"/>
        </w:rPr>
      </w:pPr>
      <w:bookmarkStart w:name="_Hlk58495261" w:id="5"/>
      <w:r w:rsidRPr="00B82B04">
        <w:rPr>
          <w:rFonts w:ascii="Times New Roman" w:hAnsi="Times New Roman"/>
          <w:b w:val="0"/>
          <w:bCs w:val="0"/>
          <w:sz w:val="24"/>
          <w:szCs w:val="24"/>
        </w:rPr>
        <w:t xml:space="preserve">The Evaluation of the OAHMP grants will assess the OLHCHH grant program's effectiveness. HUD’s purpose for the OAHMP is </w:t>
      </w:r>
    </w:p>
    <w:p w:rsidRPr="00B82B04" w:rsidR="00F5259C" w:rsidP="00F5259C" w:rsidRDefault="00F5259C" w14:paraId="44324ADA" w14:textId="77777777">
      <w:pPr>
        <w:pStyle w:val="BodyText22"/>
        <w:tabs>
          <w:tab w:val="clear" w:pos="0"/>
          <w:tab w:val="clear" w:pos="720"/>
          <w:tab w:val="clear" w:pos="939"/>
          <w:tab w:val="clear" w:pos="1449"/>
          <w:tab w:val="clear" w:pos="1959"/>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ind w:left="360" w:right="360"/>
        <w:jc w:val="both"/>
        <w:rPr>
          <w:rFonts w:ascii="Times New Roman" w:hAnsi="Times New Roman"/>
          <w:b w:val="0"/>
          <w:bCs w:val="0"/>
          <w:sz w:val="24"/>
          <w:szCs w:val="24"/>
        </w:rPr>
      </w:pPr>
      <w:r w:rsidRPr="00B82B04">
        <w:rPr>
          <w:rFonts w:ascii="Times New Roman" w:hAnsi="Times New Roman"/>
          <w:b w:val="0"/>
          <w:bCs w:val="0"/>
          <w:sz w:val="24"/>
          <w:szCs w:val="24"/>
        </w:rPr>
        <w:t>…to assist experienced nonprofit organizations, state and local governments, and public housing authorities in undertaking comprehensive programs that make safety and functional home modifications, and limited repairs to meet the needs of low-income elderly homeowners. The goal of the home modification program is to enable low-income elderly persons to remain in their homes through low-cost, low barrier, high impact home modifications to reduce older adults’ risk of falling, improve general safety, increase accessibility, and to improve their functional abilities in their home. This will enable older adults to remain in their homes, that is, to “age in place,” rather than move to nursing homes or other assisted care facilities.</w:t>
      </w:r>
      <w:r w:rsidRPr="00B82B04">
        <w:rPr>
          <w:rStyle w:val="FootnoteReference"/>
          <w:rFonts w:ascii="Times New Roman" w:hAnsi="Times New Roman"/>
          <w:b w:val="0"/>
          <w:bCs w:val="0"/>
        </w:rPr>
        <w:footnoteReference w:id="25"/>
      </w:r>
      <w:r w:rsidRPr="00B82B04">
        <w:rPr>
          <w:rFonts w:ascii="Times New Roman" w:hAnsi="Times New Roman"/>
          <w:b w:val="0"/>
          <w:bCs w:val="0"/>
          <w:sz w:val="24"/>
          <w:szCs w:val="24"/>
        </w:rPr>
        <w:t xml:space="preserve"> </w:t>
      </w:r>
    </w:p>
    <w:p w:rsidRPr="00B82B04" w:rsidR="00F5259C" w:rsidP="00F5259C" w:rsidRDefault="00F5259C" w14:paraId="586E586C" w14:textId="77777777">
      <w:pPr>
        <w:pStyle w:val="BodyText22"/>
        <w:tabs>
          <w:tab w:val="clear" w:pos="0"/>
          <w:tab w:val="clear" w:pos="720"/>
          <w:tab w:val="clear" w:pos="939"/>
          <w:tab w:val="clear" w:pos="1449"/>
          <w:tab w:val="clear" w:pos="1959"/>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rPr>
          <w:rFonts w:ascii="Times New Roman" w:hAnsi="Times New Roman"/>
          <w:b w:val="0"/>
          <w:bCs w:val="0"/>
          <w:sz w:val="24"/>
          <w:szCs w:val="24"/>
        </w:rPr>
      </w:pPr>
      <w:r w:rsidRPr="004D10B1">
        <w:rPr>
          <w:rFonts w:ascii="Times New Roman" w:hAnsi="Times New Roman"/>
          <w:b w:val="0"/>
          <w:bCs w:val="0"/>
          <w:sz w:val="24"/>
          <w:szCs w:val="24"/>
        </w:rPr>
        <w:t>Under the terms of the OLHCHH OAHMP NOFO, grantees are required to collaborate with PD&amp;R “on that Office’s evaluation of the impact of the OAHMP, and any other HUD research on the program.”</w:t>
      </w:r>
      <w:r>
        <w:rPr>
          <w:rFonts w:ascii="Times New Roman" w:hAnsi="Times New Roman"/>
          <w:b w:val="0"/>
          <w:bCs w:val="0"/>
          <w:sz w:val="24"/>
          <w:szCs w:val="24"/>
        </w:rPr>
        <w:t xml:space="preserve"> </w:t>
      </w:r>
      <w:r w:rsidRPr="00B82B04">
        <w:rPr>
          <w:rFonts w:ascii="Times New Roman" w:hAnsi="Times New Roman"/>
          <w:b w:val="0"/>
          <w:bCs w:val="0"/>
          <w:sz w:val="24"/>
          <w:szCs w:val="24"/>
        </w:rPr>
        <w:t xml:space="preserve">The NOFO specifies: </w:t>
      </w:r>
    </w:p>
    <w:p w:rsidRPr="00D54804" w:rsidR="00F5259C" w:rsidP="00F5259C" w:rsidRDefault="00F5259C" w14:paraId="1C430F2A" w14:textId="77777777">
      <w:pPr>
        <w:pStyle w:val="BodyText22"/>
        <w:tabs>
          <w:tab w:val="clear" w:pos="1449"/>
          <w:tab w:val="left" w:pos="1440"/>
        </w:tabs>
        <w:ind w:left="720" w:right="720"/>
        <w:rPr>
          <w:rFonts w:ascii="Times New Roman" w:hAnsi="Times New Roman"/>
          <w:b w:val="0"/>
          <w:bCs w:val="0"/>
          <w:sz w:val="24"/>
          <w:szCs w:val="24"/>
        </w:rPr>
      </w:pPr>
      <w:r w:rsidRPr="005A1C52">
        <w:rPr>
          <w:rFonts w:ascii="Times New Roman" w:hAnsi="Times New Roman"/>
          <w:b w:val="0"/>
          <w:sz w:val="24"/>
        </w:rPr>
        <w:t xml:space="preserve">Grantees must cooperate fully with any research or evaluation sponsored by </w:t>
      </w:r>
      <w:proofErr w:type="gramStart"/>
      <w:r w:rsidRPr="005A1C52">
        <w:rPr>
          <w:rFonts w:ascii="Times New Roman" w:hAnsi="Times New Roman"/>
          <w:b w:val="0"/>
          <w:sz w:val="24"/>
        </w:rPr>
        <w:t>HUD</w:t>
      </w:r>
      <w:proofErr w:type="gramEnd"/>
      <w:r w:rsidRPr="005A1C52">
        <w:rPr>
          <w:rFonts w:ascii="Times New Roman" w:hAnsi="Times New Roman"/>
          <w:b w:val="0"/>
          <w:sz w:val="24"/>
        </w:rPr>
        <w:t xml:space="preserve"> or another government agency associated with this grant program, including preservation of project data and records and compiling requested information in formats provided by the researchers, evaluators or HUD. This may include the compiling of certain relevant local demographic, dwelling unit, and participant data not contemplated in the original proposal. Participant data must be subject to the Privacy Rule of the Health Insurance Portability and Accountability Act of </w:t>
      </w:r>
      <w:r w:rsidRPr="005A1C52">
        <w:rPr>
          <w:rFonts w:ascii="Times New Roman" w:hAnsi="Times New Roman"/>
          <w:b w:val="0"/>
          <w:sz w:val="24"/>
        </w:rPr>
        <w:lastRenderedPageBreak/>
        <w:t>1996 (HIPAA)…. [For the program] ... HUD does not expect research to be conducted that could affect human subjects…. [Grantees] must collect, maintain, and provide to HUD the data necessary to document and evaluate grant program outputs and outcomes. HUD will contract with an organization to coordinate evaluation activities, including the capturing of outcome data.</w:t>
      </w:r>
      <w:r w:rsidRPr="005A1C52">
        <w:rPr>
          <w:rStyle w:val="FootnoteReference"/>
          <w:rFonts w:ascii="Times New Roman" w:hAnsi="Times New Roman"/>
          <w:b w:val="0"/>
        </w:rPr>
        <w:footnoteReference w:id="26"/>
      </w:r>
    </w:p>
    <w:p w:rsidR="00F5259C" w:rsidP="00F5259C" w:rsidRDefault="00F5259C" w14:paraId="53A96F43" w14:textId="77777777">
      <w:pPr>
        <w:pStyle w:val="BodyText22"/>
        <w:ind w:left="720" w:right="720"/>
      </w:pPr>
    </w:p>
    <w:p w:rsidRPr="00B82B04" w:rsidR="00F5259C" w:rsidP="00F5259C" w:rsidRDefault="00F5259C" w14:paraId="261E2F3D" w14:textId="77777777">
      <w:pPr>
        <w:spacing w:after="240"/>
      </w:pPr>
      <w:r w:rsidRPr="00B82B04">
        <w:t>OLHCHH developed an OAHM “Program Services Model” for this grant program that “incorporates two core concepts: first, as people age, their needs change, and they may need adaptations to their physical environment to live safely at home; second, for any intervention to have the highest impact, the individual’s personal goals and needs must be a driver in determining the actual intervention.”</w:t>
      </w:r>
      <w:r>
        <w:rPr>
          <w:rStyle w:val="FootnoteReference"/>
        </w:rPr>
        <w:footnoteReference w:id="27"/>
      </w:r>
      <w:r w:rsidRPr="00B82B04">
        <w:t xml:space="preserve"> The Program Services Model components for grantees are summarized </w:t>
      </w:r>
      <w:r>
        <w:t>as follows:</w:t>
      </w:r>
    </w:p>
    <w:p w:rsidRPr="00B82B04" w:rsidR="00F5259C" w:rsidP="00F5259C" w:rsidRDefault="00F5259C" w14:paraId="6F06FF17" w14:textId="77777777">
      <w:pPr>
        <w:pStyle w:val="ListParagraph"/>
        <w:numPr>
          <w:ilvl w:val="0"/>
          <w:numId w:val="15"/>
        </w:numPr>
        <w:ind w:left="540"/>
      </w:pPr>
      <w:r w:rsidRPr="00B82B04">
        <w:t xml:space="preserve">An initial interview and in-home assessment </w:t>
      </w:r>
      <w:proofErr w:type="gramStart"/>
      <w:r w:rsidRPr="00B82B04">
        <w:t>is</w:t>
      </w:r>
      <w:proofErr w:type="gramEnd"/>
      <w:r w:rsidRPr="00B82B04">
        <w:t xml:space="preserve"> conducted by a licensed Occupational Therapist (OT), licensed OT Assistant (OTA), or Certified Aging-in-Place Specialist (CAPS), with the latter two working under the supervision of a licensed OT. The OT, OTA, or CAPS will conduct the initial interview with the client and care takers (if available) in their home and assess the home for safety hazards, including the client’s fall risk, and/or the client’s functional abilities with ADLs</w:t>
      </w:r>
      <w:r>
        <w:t xml:space="preserve"> </w:t>
      </w:r>
      <w:r w:rsidRPr="00B82B04">
        <w:t>and IADLs</w:t>
      </w:r>
      <w:r>
        <w:t>.</w:t>
      </w:r>
    </w:p>
    <w:p w:rsidRPr="00B82B04" w:rsidR="00F5259C" w:rsidP="00F5259C" w:rsidRDefault="00F5259C" w14:paraId="7A74FD94" w14:textId="77777777">
      <w:pPr>
        <w:pStyle w:val="ListParagraph"/>
        <w:numPr>
          <w:ilvl w:val="0"/>
          <w:numId w:val="15"/>
        </w:numPr>
        <w:ind w:left="540"/>
        <w:contextualSpacing/>
      </w:pPr>
      <w:r w:rsidRPr="00B82B04">
        <w:t>A work order is created by the OT or by a licensed OTA or CAPS whose work under the grant is supervised by a licensed OT. With the client’s consent, the OT, OTA, or CAPS will prioritize necessary home modifications and complete a work order and any additional specifications.</w:t>
      </w:r>
    </w:p>
    <w:p w:rsidRPr="00B82B04" w:rsidR="00F5259C" w:rsidP="00F5259C" w:rsidRDefault="00F5259C" w14:paraId="75310A14" w14:textId="77777777">
      <w:pPr>
        <w:pStyle w:val="ListParagraph"/>
        <w:numPr>
          <w:ilvl w:val="0"/>
          <w:numId w:val="15"/>
        </w:numPr>
        <w:spacing w:after="120"/>
        <w:ind w:left="540"/>
        <w:contextualSpacing/>
      </w:pPr>
      <w:r w:rsidRPr="00B82B04">
        <w:t>Home modification work is conducted by a licensed</w:t>
      </w:r>
      <w:r>
        <w:t xml:space="preserve"> </w:t>
      </w:r>
      <w:r w:rsidRPr="00B82B04">
        <w:t>contractor qualified to perform the required work</w:t>
      </w:r>
      <w:r>
        <w:t xml:space="preserve">, </w:t>
      </w:r>
      <w:r w:rsidRPr="00B82B04">
        <w:t>in accordance with local and state regulations.</w:t>
      </w:r>
    </w:p>
    <w:p w:rsidRPr="00B82B04" w:rsidR="00F5259C" w:rsidP="00F5259C" w:rsidRDefault="00F5259C" w14:paraId="755C9015" w14:textId="77777777">
      <w:pPr>
        <w:pStyle w:val="ListParagraph"/>
        <w:numPr>
          <w:ilvl w:val="0"/>
          <w:numId w:val="15"/>
        </w:numPr>
        <w:spacing w:after="240"/>
        <w:ind w:left="540"/>
      </w:pPr>
      <w:r w:rsidRPr="00B82B04">
        <w:t xml:space="preserve">An in-home follow-up assessment and inspection is conducted by the licensed OT, who will also train the client in the safe and proper use of adaptive equipment and home modifications. During this visit, the OT will also inspect the home modification work to ensure it meets the work order requirements and complete a new work order for any needed adjustments.  </w:t>
      </w:r>
    </w:p>
    <w:p w:rsidRPr="00B82B04" w:rsidR="00F5259C" w:rsidP="00F5259C" w:rsidRDefault="00F5259C" w14:paraId="7B106857" w14:textId="77777777">
      <w:pPr>
        <w:spacing w:after="240"/>
      </w:pPr>
      <w:r w:rsidRPr="00B82B04">
        <w:t xml:space="preserve">Grantees who receive competitive awards from OLHCHH will manage recruitment of clients and services delivered by the OAHMP. They will be selected according to their administrative structures, urban and rural status of the area they will serve, capacity, and other criteria stated in the NOFO. </w:t>
      </w:r>
    </w:p>
    <w:p w:rsidRPr="00B82B04" w:rsidR="00F5259C" w:rsidP="00F5259C" w:rsidRDefault="00F5259C" w14:paraId="3F7FD568" w14:textId="77777777">
      <w:pPr>
        <w:spacing w:after="240"/>
      </w:pPr>
      <w:r w:rsidRPr="00B82B04">
        <w:t xml:space="preserve">Grantees will specify their recruitment and service delivery methods in their individual grantee Management and Work Plans, which will be submitted to OLHCHH for review and approval prior to the start of their OAHMP work. Grantees will report progress toward meeting their objectives to OLHCHH through mechanisms approved under </w:t>
      </w:r>
      <w:hyperlink w:history="1" r:id="rId14">
        <w:r w:rsidRPr="00B82B04">
          <w:rPr>
            <w:rStyle w:val="Hyperlink"/>
          </w:rPr>
          <w:t>OMB Control Number 2539-0008</w:t>
        </w:r>
      </w:hyperlink>
      <w:r w:rsidRPr="00B82B04">
        <w:t xml:space="preserve">.  </w:t>
      </w:r>
    </w:p>
    <w:p w:rsidR="00F5259C" w:rsidP="00F5259C" w:rsidRDefault="00F5259C" w14:paraId="262ABDBE" w14:textId="77777777">
      <w:pPr>
        <w:spacing w:after="240"/>
      </w:pPr>
      <w:r w:rsidRPr="00B82B04">
        <w:t xml:space="preserve">PD&amp;R will have no role in these programmatic decisions. OLHCHH will share with PD&amp;R the grantee locations, individual grant program names, contacts, approved work plans, and quarterly reports. Approved work plans and quarterly reports submitted to OLHCHH will be vetted by </w:t>
      </w:r>
      <w:r w:rsidRPr="00B82B04">
        <w:lastRenderedPageBreak/>
        <w:t>PD&amp;R prior to sharing with the Contractor. PD&amp;R will provide this information, as appropriate, to the Contractor as context for grantees’ implementation decisions and progress solely for the purposes of this Evaluation. These data are needed for evaluation purposes. Grantees will provide all other Evaluation data to the Contractor using the forms described in more detail later in this section.</w:t>
      </w:r>
    </w:p>
    <w:p w:rsidRPr="00B82B04" w:rsidR="00F5259C" w:rsidP="00F5259C" w:rsidRDefault="00F5259C" w14:paraId="50BDD606" w14:textId="77777777">
      <w:pPr>
        <w:pStyle w:val="Heading2"/>
      </w:pPr>
      <w:r>
        <w:t>Study Objectives</w:t>
      </w:r>
    </w:p>
    <w:p w:rsidRPr="00B82B04" w:rsidR="00F5259C" w:rsidP="00F5259C" w:rsidRDefault="00F5259C" w14:paraId="1DC88045" w14:textId="77777777">
      <w:pPr>
        <w:spacing w:after="240"/>
      </w:pPr>
      <w:r w:rsidRPr="00B82B04">
        <w:t>The Evaluation’s main objectives are to assess how the grants were implemented by the OAHMP grantees (Process Evaluation) and to track health and physical function outcomes of seniors whose homes have been modified (Impact Evaluation). The Process Evaluation will assess (1) how grantees implement their program, describing challenges, barriers, and successes they encounter; and (2) clients’ opinions of the grantee’s process and the home modifications they received. The Impact Evaluation will determine how the modifications affected the older adult clients whose homes were modified by measuring changes—between baseline and six- to nine-month post-home modification—in clients’ (1) difficulties with ADLs and IADLs; (2) frequency of at-home falls; (3) quality of life; (4) unplanned emergency department (ED) and hospital visits; (5) tenure in their homes; (6) falls efficacy (i.e., the confidence an older adult has that they can do various activities without falling); (7) mobility inside and outside the home; (8) depression; and (9) pain interference with daily activities.</w:t>
      </w:r>
      <w:r w:rsidRPr="00B82B04">
        <w:rPr>
          <w:rStyle w:val="FootnoteReference"/>
        </w:rPr>
        <w:footnoteReference w:id="28"/>
      </w:r>
      <w:r w:rsidRPr="00B82B04">
        <w:t xml:space="preserve"> </w:t>
      </w:r>
    </w:p>
    <w:p w:rsidRPr="00B82B04" w:rsidR="00F5259C" w:rsidP="00F5259C" w:rsidRDefault="00F5259C" w14:paraId="2FED939C" w14:textId="77777777">
      <w:pPr>
        <w:spacing w:after="240"/>
      </w:pPr>
      <w:r w:rsidRPr="005C63E3">
        <w:fldChar w:fldCharType="begin"/>
      </w:r>
      <w:r w:rsidRPr="00772EE6">
        <w:instrText xml:space="preserve"> REF _Ref77086073 \h  \* MERGEFORMAT </w:instrText>
      </w:r>
      <w:r w:rsidRPr="005C63E3">
        <w:fldChar w:fldCharType="separate"/>
      </w:r>
      <w:r w:rsidRPr="00AE4DF2">
        <w:t xml:space="preserve">Table </w:t>
      </w:r>
      <w:r w:rsidRPr="00AE4DF2">
        <w:rPr>
          <w:noProof/>
        </w:rPr>
        <w:t>1</w:t>
      </w:r>
      <w:r w:rsidRPr="005C63E3">
        <w:fldChar w:fldCharType="end"/>
      </w:r>
      <w:r w:rsidRPr="00772EE6">
        <w:t xml:space="preserve"> and </w:t>
      </w:r>
      <w:r w:rsidRPr="005C63E3">
        <w:fldChar w:fldCharType="begin"/>
      </w:r>
      <w:r w:rsidRPr="00772EE6">
        <w:instrText xml:space="preserve"> REF _Ref77086076  \* MERGEFORMAT </w:instrText>
      </w:r>
      <w:r w:rsidRPr="005C63E3">
        <w:fldChar w:fldCharType="separate"/>
      </w:r>
      <w:r w:rsidRPr="00AE4DF2">
        <w:rPr>
          <w:noProof/>
        </w:rPr>
        <w:t>Table</w:t>
      </w:r>
      <w:r w:rsidRPr="00AE4DF2">
        <w:t xml:space="preserve"> </w:t>
      </w:r>
      <w:r w:rsidRPr="00AE4DF2">
        <w:rPr>
          <w:noProof/>
        </w:rPr>
        <w:t>2</w:t>
      </w:r>
      <w:r w:rsidRPr="005C63E3">
        <w:fldChar w:fldCharType="end"/>
      </w:r>
      <w:r w:rsidRPr="00B82B04">
        <w:t xml:space="preserve"> identify PD&amp;R’s key evaluation objectives for the Process and Impact Evaluations.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40"/>
      </w:tblGrid>
      <w:tr w:rsidRPr="00B82B04" w:rsidR="00F5259C" w:rsidTr="00902F66" w14:paraId="0A9BFFC9" w14:textId="77777777">
        <w:trPr>
          <w:tblHeader/>
        </w:trPr>
        <w:tc>
          <w:tcPr>
            <w:tcW w:w="5000" w:type="pct"/>
            <w:shd w:val="clear" w:color="auto" w:fill="D0CECE" w:themeFill="background2" w:themeFillShade="E6"/>
          </w:tcPr>
          <w:p w:rsidRPr="00B82B04" w:rsidR="00F5259C" w:rsidP="00902F66" w:rsidRDefault="00F5259C" w14:paraId="48449885" w14:textId="77777777">
            <w:pPr>
              <w:pStyle w:val="Caption"/>
              <w:keepNext/>
              <w:spacing w:before="60"/>
              <w:jc w:val="center"/>
              <w:rPr>
                <w:rFonts w:ascii="Arial" w:hAnsi="Arial" w:cs="Arial"/>
                <w:sz w:val="20"/>
                <w:szCs w:val="20"/>
              </w:rPr>
            </w:pPr>
            <w:bookmarkStart w:name="_Ref77086073" w:id="6"/>
            <w:bookmarkStart w:name="_Toc75878788" w:id="7"/>
            <w:bookmarkEnd w:id="5"/>
            <w:r w:rsidRPr="00B82B04">
              <w:rPr>
                <w:rFonts w:ascii="Arial" w:hAnsi="Arial" w:cs="Arial"/>
                <w:sz w:val="20"/>
                <w:szCs w:val="20"/>
              </w:rPr>
              <w:t xml:space="preserve">Table </w:t>
            </w:r>
            <w:r w:rsidRPr="00B82B04">
              <w:rPr>
                <w:rFonts w:ascii="Arial" w:hAnsi="Arial" w:cs="Arial"/>
                <w:sz w:val="20"/>
                <w:szCs w:val="20"/>
              </w:rPr>
              <w:fldChar w:fldCharType="begin"/>
            </w:r>
            <w:r w:rsidRPr="00B82B04">
              <w:rPr>
                <w:rFonts w:ascii="Arial" w:hAnsi="Arial" w:cs="Arial"/>
                <w:sz w:val="20"/>
                <w:szCs w:val="20"/>
              </w:rPr>
              <w:instrText xml:space="preserve"> SEQ Table \* ARABIC </w:instrText>
            </w:r>
            <w:r w:rsidRPr="00B82B04">
              <w:rPr>
                <w:rFonts w:ascii="Arial" w:hAnsi="Arial" w:cs="Arial"/>
                <w:sz w:val="20"/>
                <w:szCs w:val="20"/>
              </w:rPr>
              <w:fldChar w:fldCharType="separate"/>
            </w:r>
            <w:r>
              <w:rPr>
                <w:rFonts w:ascii="Arial" w:hAnsi="Arial" w:cs="Arial"/>
                <w:noProof/>
                <w:sz w:val="20"/>
                <w:szCs w:val="20"/>
              </w:rPr>
              <w:t>1</w:t>
            </w:r>
            <w:r w:rsidRPr="00B82B04">
              <w:rPr>
                <w:rFonts w:ascii="Arial" w:hAnsi="Arial" w:cs="Arial"/>
                <w:sz w:val="20"/>
                <w:szCs w:val="20"/>
              </w:rPr>
              <w:fldChar w:fldCharType="end"/>
            </w:r>
            <w:bookmarkEnd w:id="6"/>
            <w:r w:rsidRPr="00B82B04">
              <w:rPr>
                <w:rFonts w:ascii="Arial" w:hAnsi="Arial" w:cs="Arial"/>
                <w:sz w:val="20"/>
                <w:szCs w:val="20"/>
              </w:rPr>
              <w:t>. Process Evaluation Objectives</w:t>
            </w:r>
            <w:bookmarkEnd w:id="7"/>
          </w:p>
        </w:tc>
      </w:tr>
      <w:tr w:rsidRPr="00B82B04" w:rsidR="00F5259C" w:rsidTr="00902F66" w14:paraId="14E622D4" w14:textId="77777777">
        <w:tc>
          <w:tcPr>
            <w:tcW w:w="5000" w:type="pct"/>
            <w:shd w:val="clear" w:color="auto" w:fill="auto"/>
          </w:tcPr>
          <w:p w:rsidRPr="00220A5B" w:rsidR="00F5259C" w:rsidP="00902F66" w:rsidRDefault="00F5259C" w14:paraId="1DB070DA" w14:textId="77777777">
            <w:pPr>
              <w:pStyle w:val="ListParagraph"/>
              <w:numPr>
                <w:ilvl w:val="0"/>
                <w:numId w:val="17"/>
              </w:numPr>
              <w:ind w:left="337" w:hanging="337"/>
              <w:rPr>
                <w:rFonts w:ascii="Arial" w:hAnsi="Arial" w:cs="Arial"/>
                <w:sz w:val="20"/>
                <w:szCs w:val="20"/>
              </w:rPr>
            </w:pPr>
            <w:r w:rsidRPr="00220A5B">
              <w:rPr>
                <w:rFonts w:ascii="Arial" w:hAnsi="Arial" w:cs="Arial"/>
                <w:sz w:val="20"/>
                <w:szCs w:val="20"/>
              </w:rPr>
              <w:t>Determine if grantees implement their programs according to OLHCHH’s grant requirements.</w:t>
            </w:r>
          </w:p>
        </w:tc>
      </w:tr>
      <w:tr w:rsidRPr="00B82B04" w:rsidR="00F5259C" w:rsidTr="00902F66" w14:paraId="459C5282" w14:textId="77777777">
        <w:tc>
          <w:tcPr>
            <w:tcW w:w="5000" w:type="pct"/>
            <w:shd w:val="clear" w:color="auto" w:fill="auto"/>
          </w:tcPr>
          <w:p w:rsidRPr="00220A5B" w:rsidR="00F5259C" w:rsidP="00902F66" w:rsidRDefault="00F5259C" w14:paraId="5BD2EB5E" w14:textId="77777777">
            <w:pPr>
              <w:pStyle w:val="ListParagraph"/>
              <w:numPr>
                <w:ilvl w:val="0"/>
                <w:numId w:val="17"/>
              </w:numPr>
              <w:spacing w:after="60"/>
              <w:ind w:left="337" w:hanging="337"/>
              <w:rPr>
                <w:rFonts w:ascii="Arial" w:hAnsi="Arial" w:cs="Arial"/>
                <w:sz w:val="20"/>
                <w:szCs w:val="20"/>
              </w:rPr>
            </w:pPr>
            <w:r w:rsidRPr="00220A5B">
              <w:rPr>
                <w:rFonts w:ascii="Arial" w:hAnsi="Arial" w:cs="Arial"/>
                <w:sz w:val="20"/>
                <w:szCs w:val="20"/>
              </w:rPr>
              <w:t>Determine how OAHMP implementation varied by geography, building characteristics, housing type, demographics, grantee management capacity, or other characteristics of the sites, grantees, or clients.</w:t>
            </w:r>
          </w:p>
        </w:tc>
      </w:tr>
      <w:tr w:rsidRPr="00B82B04" w:rsidR="00F5259C" w:rsidTr="00902F66" w14:paraId="028FCB62" w14:textId="77777777">
        <w:tc>
          <w:tcPr>
            <w:tcW w:w="5000" w:type="pct"/>
            <w:shd w:val="clear" w:color="auto" w:fill="auto"/>
          </w:tcPr>
          <w:p w:rsidRPr="00B82B04" w:rsidR="00F5259C" w:rsidP="00902F66" w:rsidRDefault="00F5259C" w14:paraId="19162B82"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Determine how OAHMP implementation evolved over the three-year grant period, examining grantees’ annual statistics such as number of people enrolled, number of homes modified, changes in recruitment strategies (including incentives, if any), changes in the types of home modifications performed, changes in methods grantees used to provide home modification services, and average home modification cost per home.</w:t>
            </w:r>
          </w:p>
        </w:tc>
      </w:tr>
      <w:tr w:rsidRPr="00B82B04" w:rsidR="00F5259C" w:rsidTr="00902F66" w14:paraId="26602098" w14:textId="77777777">
        <w:tc>
          <w:tcPr>
            <w:tcW w:w="5000" w:type="pct"/>
            <w:shd w:val="clear" w:color="auto" w:fill="auto"/>
          </w:tcPr>
          <w:p w:rsidRPr="00B82B04" w:rsidR="00F5259C" w:rsidP="00902F66" w:rsidRDefault="00F5259C" w14:paraId="617A2812"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Summarize major lessons learned by grantees as they initiated, implemented, and fine-tuned their programs, including the operational challenges, barriers, and successes they encountered and how they overcame the challenges and barriers.</w:t>
            </w:r>
          </w:p>
        </w:tc>
      </w:tr>
      <w:tr w:rsidRPr="00B82B04" w:rsidR="00F5259C" w:rsidTr="00902F66" w14:paraId="39F70E82" w14:textId="77777777">
        <w:tc>
          <w:tcPr>
            <w:tcW w:w="5000" w:type="pct"/>
            <w:shd w:val="clear" w:color="auto" w:fill="auto"/>
          </w:tcPr>
          <w:p w:rsidRPr="00B82B04" w:rsidR="00F5259C" w:rsidP="00902F66" w:rsidRDefault="00F5259C" w14:paraId="50CF40D5"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Summarize grantee plans to sustain or scale up the OAHMP after the grant period ends.</w:t>
            </w:r>
          </w:p>
        </w:tc>
      </w:tr>
      <w:tr w:rsidRPr="00B82B04" w:rsidR="00F5259C" w:rsidTr="00902F66" w14:paraId="1E85484A" w14:textId="77777777">
        <w:tc>
          <w:tcPr>
            <w:tcW w:w="5000" w:type="pct"/>
            <w:shd w:val="clear" w:color="auto" w:fill="auto"/>
          </w:tcPr>
          <w:p w:rsidRPr="00B82B04" w:rsidR="00F5259C" w:rsidP="00902F66" w:rsidRDefault="00F5259C" w14:paraId="55F476FA"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Identify similarities and differences in how grantees chose to staff and manage the programs at their locations, including housing modification contractor support.</w:t>
            </w:r>
          </w:p>
        </w:tc>
      </w:tr>
      <w:tr w:rsidRPr="00B82B04" w:rsidR="00F5259C" w:rsidTr="00902F66" w14:paraId="0F016B2D" w14:textId="77777777">
        <w:tc>
          <w:tcPr>
            <w:tcW w:w="5000" w:type="pct"/>
            <w:shd w:val="clear" w:color="auto" w:fill="auto"/>
          </w:tcPr>
          <w:p w:rsidRPr="00B82B04" w:rsidR="00F5259C" w:rsidP="00902F66" w:rsidRDefault="00F5259C" w14:paraId="7A32EED5"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lastRenderedPageBreak/>
              <w:t>Compare and contrast the scopes of home modification services offered by the grantees.</w:t>
            </w:r>
          </w:p>
        </w:tc>
      </w:tr>
      <w:tr w:rsidRPr="00B82B04" w:rsidR="00F5259C" w:rsidTr="00902F66" w14:paraId="7D57FDBC" w14:textId="77777777">
        <w:tc>
          <w:tcPr>
            <w:tcW w:w="5000" w:type="pct"/>
            <w:shd w:val="clear" w:color="auto" w:fill="auto"/>
          </w:tcPr>
          <w:p w:rsidRPr="00B82B04" w:rsidR="00F5259C" w:rsidP="00902F66" w:rsidRDefault="00F5259C" w14:paraId="44795252"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Compare and contrast grantees’ reasons for applying to the program.</w:t>
            </w:r>
          </w:p>
        </w:tc>
      </w:tr>
      <w:tr w:rsidRPr="00B82B04" w:rsidR="00F5259C" w:rsidTr="00902F66" w14:paraId="378FEBDA" w14:textId="77777777">
        <w:tc>
          <w:tcPr>
            <w:tcW w:w="5000" w:type="pct"/>
            <w:shd w:val="clear" w:color="auto" w:fill="auto"/>
          </w:tcPr>
          <w:p w:rsidRPr="00B82B04" w:rsidR="00F5259C" w:rsidP="00902F66" w:rsidRDefault="00F5259C" w14:paraId="33AE0F5B" w14:textId="77777777">
            <w:pPr>
              <w:numPr>
                <w:ilvl w:val="0"/>
                <w:numId w:val="17"/>
              </w:numPr>
              <w:spacing w:after="60"/>
              <w:ind w:left="337" w:hanging="337"/>
              <w:rPr>
                <w:rFonts w:ascii="Arial" w:hAnsi="Arial" w:cs="Arial"/>
                <w:sz w:val="20"/>
                <w:szCs w:val="20"/>
              </w:rPr>
            </w:pPr>
            <w:r w:rsidRPr="00B82B04">
              <w:rPr>
                <w:rFonts w:ascii="Arial" w:hAnsi="Arial" w:cs="Arial"/>
                <w:sz w:val="20"/>
                <w:szCs w:val="20"/>
              </w:rPr>
              <w:t>Summarize clients’ perception of the health and housing benefits or disadvantages offered by the OAHMP.</w:t>
            </w:r>
          </w:p>
        </w:tc>
      </w:tr>
    </w:tbl>
    <w:p w:rsidRPr="00B82B04" w:rsidR="00F5259C" w:rsidP="00F5259C" w:rsidRDefault="00F5259C" w14:paraId="2757E336" w14:textId="77777777">
      <w:pPr>
        <w:pStyle w:val="Caption"/>
        <w:keepNext/>
        <w:spacing w:before="60"/>
        <w:rPr>
          <w:rFonts w:ascii="Arial" w:hAnsi="Arial" w:cs="Arial"/>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40"/>
      </w:tblGrid>
      <w:tr w:rsidRPr="00B82B04" w:rsidR="00F5259C" w:rsidDel="00014F9A" w:rsidTr="00902F66" w14:paraId="2FE1B025" w14:textId="77777777">
        <w:trPr>
          <w:trHeight w:val="288"/>
        </w:trPr>
        <w:tc>
          <w:tcPr>
            <w:tcW w:w="5000" w:type="pct"/>
            <w:shd w:val="clear" w:color="auto" w:fill="D9D9D9" w:themeFill="background1" w:themeFillShade="D9"/>
            <w:vAlign w:val="center"/>
          </w:tcPr>
          <w:p w:rsidRPr="00B82B04" w:rsidR="00F5259C" w:rsidDel="00014F9A" w:rsidP="00902F66" w:rsidRDefault="00F5259C" w14:paraId="71B4605C" w14:textId="77777777">
            <w:pPr>
              <w:pStyle w:val="Caption"/>
              <w:keepNext/>
              <w:spacing w:before="60"/>
              <w:jc w:val="center"/>
              <w:rPr>
                <w:rFonts w:ascii="Arial" w:hAnsi="Arial" w:cs="Arial"/>
                <w:sz w:val="20"/>
                <w:szCs w:val="20"/>
              </w:rPr>
            </w:pPr>
            <w:bookmarkStart w:name="_Ref77086076" w:id="8"/>
            <w:bookmarkStart w:name="_Toc75878789" w:id="9"/>
            <w:r w:rsidRPr="00B82B04">
              <w:rPr>
                <w:rFonts w:ascii="Arial" w:hAnsi="Arial" w:cs="Arial"/>
                <w:sz w:val="20"/>
                <w:szCs w:val="20"/>
              </w:rPr>
              <w:t xml:space="preserve">Table </w:t>
            </w:r>
            <w:r w:rsidRPr="00B82B04">
              <w:rPr>
                <w:rFonts w:ascii="Arial" w:hAnsi="Arial" w:cs="Arial"/>
                <w:sz w:val="20"/>
                <w:szCs w:val="20"/>
              </w:rPr>
              <w:fldChar w:fldCharType="begin"/>
            </w:r>
            <w:r w:rsidRPr="00B82B04">
              <w:rPr>
                <w:rFonts w:ascii="Arial" w:hAnsi="Arial" w:cs="Arial"/>
                <w:sz w:val="20"/>
                <w:szCs w:val="20"/>
              </w:rPr>
              <w:instrText xml:space="preserve"> SEQ Table \* ARABIC </w:instrText>
            </w:r>
            <w:r w:rsidRPr="00B82B04">
              <w:rPr>
                <w:rFonts w:ascii="Arial" w:hAnsi="Arial" w:cs="Arial"/>
                <w:sz w:val="20"/>
                <w:szCs w:val="20"/>
              </w:rPr>
              <w:fldChar w:fldCharType="separate"/>
            </w:r>
            <w:r>
              <w:rPr>
                <w:rFonts w:ascii="Arial" w:hAnsi="Arial" w:cs="Arial"/>
                <w:noProof/>
                <w:sz w:val="20"/>
                <w:szCs w:val="20"/>
              </w:rPr>
              <w:t>2</w:t>
            </w:r>
            <w:r w:rsidRPr="00B82B04">
              <w:rPr>
                <w:rFonts w:ascii="Arial" w:hAnsi="Arial" w:cs="Arial"/>
                <w:sz w:val="20"/>
                <w:szCs w:val="20"/>
              </w:rPr>
              <w:fldChar w:fldCharType="end"/>
            </w:r>
            <w:bookmarkEnd w:id="8"/>
            <w:r w:rsidRPr="00B82B04">
              <w:rPr>
                <w:rFonts w:ascii="Arial" w:hAnsi="Arial" w:cs="Arial"/>
                <w:sz w:val="20"/>
                <w:szCs w:val="20"/>
              </w:rPr>
              <w:t>. Impact Evaluation Objectives</w:t>
            </w:r>
            <w:bookmarkEnd w:id="9"/>
          </w:p>
        </w:tc>
      </w:tr>
      <w:tr w:rsidRPr="00B82B04" w:rsidR="00F5259C" w:rsidTr="00902F66" w14:paraId="309197BB" w14:textId="77777777">
        <w:trPr>
          <w:trHeight w:val="288"/>
        </w:trPr>
        <w:tc>
          <w:tcPr>
            <w:tcW w:w="5000" w:type="pct"/>
            <w:shd w:val="clear" w:color="auto" w:fill="auto"/>
          </w:tcPr>
          <w:p w:rsidRPr="00B82B04" w:rsidR="00F5259C" w:rsidP="00902F66" w:rsidRDefault="00F5259C" w14:paraId="002F45B3" w14:textId="77777777">
            <w:pPr>
              <w:keepNext/>
              <w:numPr>
                <w:ilvl w:val="0"/>
                <w:numId w:val="10"/>
              </w:numPr>
              <w:ind w:left="229" w:hanging="229"/>
              <w:rPr>
                <w:rFonts w:ascii="Arial" w:hAnsi="Arial" w:cs="Arial"/>
                <w:sz w:val="20"/>
                <w:szCs w:val="20"/>
              </w:rPr>
            </w:pPr>
            <w:r w:rsidRPr="00B82B04">
              <w:rPr>
                <w:rFonts w:ascii="Arial" w:hAnsi="Arial" w:cs="Arial"/>
                <w:sz w:val="20"/>
                <w:szCs w:val="20"/>
              </w:rPr>
              <w:t>Determine whether clients’ mean self-reported ADL difficulties score and mean IADL difficulties score changed between baseline and follow-up.</w:t>
            </w:r>
          </w:p>
        </w:tc>
      </w:tr>
      <w:tr w:rsidRPr="00B82B04" w:rsidR="00F5259C" w:rsidTr="00902F66" w14:paraId="4E110A37" w14:textId="77777777">
        <w:trPr>
          <w:trHeight w:val="432"/>
        </w:trPr>
        <w:tc>
          <w:tcPr>
            <w:tcW w:w="5000" w:type="pct"/>
            <w:shd w:val="clear" w:color="auto" w:fill="auto"/>
          </w:tcPr>
          <w:p w:rsidRPr="00B82B04" w:rsidR="00F5259C" w:rsidP="00902F66" w:rsidRDefault="00F5259C" w14:paraId="5C76A126" w14:textId="77777777">
            <w:pPr>
              <w:keepNext/>
              <w:numPr>
                <w:ilvl w:val="0"/>
                <w:numId w:val="10"/>
              </w:numPr>
              <w:ind w:left="229" w:hanging="229"/>
              <w:rPr>
                <w:rFonts w:ascii="Arial" w:hAnsi="Arial" w:cs="Arial"/>
                <w:sz w:val="20"/>
                <w:szCs w:val="20"/>
              </w:rPr>
            </w:pPr>
            <w:r w:rsidRPr="00B82B04">
              <w:rPr>
                <w:rFonts w:ascii="Arial" w:hAnsi="Arial" w:cs="Arial"/>
                <w:sz w:val="20"/>
                <w:szCs w:val="20"/>
              </w:rPr>
              <w:t xml:space="preserve">Determine whether clients’ self-reported difficulties with certain ADLs and IADLs (i.e., those listed in the Medicare Health Outcomes Survey (Medicare HOS) differ from those reported by a matched Medicare HOS group over approximately the same </w:t>
            </w:r>
            <w:proofErr w:type="gramStart"/>
            <w:r w:rsidRPr="00B82B04">
              <w:rPr>
                <w:rFonts w:ascii="Arial" w:hAnsi="Arial" w:cs="Arial"/>
                <w:sz w:val="20"/>
                <w:szCs w:val="20"/>
              </w:rPr>
              <w:t>time period</w:t>
            </w:r>
            <w:proofErr w:type="gramEnd"/>
            <w:r w:rsidRPr="00B82B04">
              <w:rPr>
                <w:rFonts w:ascii="Arial" w:hAnsi="Arial" w:cs="Arial"/>
                <w:sz w:val="20"/>
                <w:szCs w:val="20"/>
              </w:rPr>
              <w:t>.</w:t>
            </w:r>
            <w:r w:rsidRPr="00B82B04">
              <w:rPr>
                <w:rStyle w:val="FootnoteReference"/>
                <w:rFonts w:ascii="Arial" w:hAnsi="Arial" w:cs="Arial"/>
              </w:rPr>
              <w:footnoteReference w:id="29"/>
            </w:r>
          </w:p>
        </w:tc>
      </w:tr>
      <w:tr w:rsidRPr="00B82B04" w:rsidR="00F5259C" w:rsidTr="00902F66" w14:paraId="6C77D720" w14:textId="77777777">
        <w:trPr>
          <w:trHeight w:val="242"/>
        </w:trPr>
        <w:tc>
          <w:tcPr>
            <w:tcW w:w="5000" w:type="pct"/>
            <w:shd w:val="clear" w:color="auto" w:fill="auto"/>
          </w:tcPr>
          <w:p w:rsidRPr="00B82B04" w:rsidR="00F5259C" w:rsidP="00902F66" w:rsidRDefault="00F5259C" w14:paraId="7EC1D0E5" w14:textId="77777777">
            <w:pPr>
              <w:numPr>
                <w:ilvl w:val="0"/>
                <w:numId w:val="10"/>
              </w:numPr>
              <w:ind w:left="229" w:hanging="229"/>
              <w:rPr>
                <w:rFonts w:ascii="Arial" w:hAnsi="Arial" w:cs="Arial"/>
                <w:sz w:val="20"/>
                <w:szCs w:val="20"/>
              </w:rPr>
            </w:pPr>
            <w:r w:rsidRPr="00B82B04">
              <w:rPr>
                <w:rFonts w:ascii="Arial" w:hAnsi="Arial" w:cs="Arial"/>
                <w:sz w:val="20"/>
                <w:szCs w:val="20"/>
              </w:rPr>
              <w:t>Determine whether clients’ mean number of self-reported falls changed between baseline and follow-up.</w:t>
            </w:r>
          </w:p>
        </w:tc>
      </w:tr>
      <w:tr w:rsidRPr="00B82B04" w:rsidR="00F5259C" w:rsidTr="00902F66" w14:paraId="210E2AF9" w14:textId="77777777">
        <w:trPr>
          <w:trHeight w:val="432"/>
        </w:trPr>
        <w:tc>
          <w:tcPr>
            <w:tcW w:w="5000" w:type="pct"/>
            <w:shd w:val="clear" w:color="auto" w:fill="auto"/>
          </w:tcPr>
          <w:p w:rsidRPr="00B82B04" w:rsidR="00F5259C" w:rsidP="00902F66" w:rsidRDefault="00F5259C" w14:paraId="4C84E33B" w14:textId="77777777">
            <w:pPr>
              <w:numPr>
                <w:ilvl w:val="0"/>
                <w:numId w:val="10"/>
              </w:numPr>
              <w:ind w:left="229" w:hanging="229"/>
              <w:rPr>
                <w:rFonts w:ascii="Arial" w:hAnsi="Arial" w:cs="Arial"/>
                <w:sz w:val="20"/>
                <w:szCs w:val="20"/>
              </w:rPr>
            </w:pPr>
            <w:r w:rsidRPr="00B82B04">
              <w:rPr>
                <w:rFonts w:ascii="Arial" w:hAnsi="Arial" w:cs="Arial"/>
                <w:sz w:val="20"/>
                <w:szCs w:val="20"/>
              </w:rPr>
              <w:t>Determine whether clients’ mean self-reported quality-of-life score, falls efficacy score, depression, pain interference with everyday activities, and life-space mobility score changed between baseline and follow-up.</w:t>
            </w:r>
          </w:p>
        </w:tc>
      </w:tr>
      <w:tr w:rsidRPr="00B82B04" w:rsidR="00F5259C" w:rsidTr="00902F66" w14:paraId="29CEBDE6" w14:textId="77777777">
        <w:trPr>
          <w:trHeight w:val="288"/>
        </w:trPr>
        <w:tc>
          <w:tcPr>
            <w:tcW w:w="5000" w:type="pct"/>
            <w:shd w:val="clear" w:color="auto" w:fill="auto"/>
          </w:tcPr>
          <w:p w:rsidRPr="00B82B04" w:rsidR="00F5259C" w:rsidP="00902F66" w:rsidRDefault="00F5259C" w14:paraId="37935272" w14:textId="77777777">
            <w:pPr>
              <w:numPr>
                <w:ilvl w:val="0"/>
                <w:numId w:val="10"/>
              </w:numPr>
              <w:ind w:left="229" w:hanging="229"/>
              <w:rPr>
                <w:rFonts w:ascii="Arial" w:hAnsi="Arial" w:cs="Arial"/>
                <w:sz w:val="20"/>
                <w:szCs w:val="20"/>
              </w:rPr>
            </w:pPr>
            <w:r w:rsidRPr="00B82B04">
              <w:rPr>
                <w:rFonts w:ascii="Arial" w:hAnsi="Arial" w:cs="Arial"/>
                <w:sz w:val="20"/>
                <w:szCs w:val="20"/>
              </w:rPr>
              <w:t>Determine whether client’s mean number of home hazards changed between baseline and follow-up; frequency distribution of types of home modifications provided.</w:t>
            </w:r>
          </w:p>
        </w:tc>
      </w:tr>
      <w:tr w:rsidRPr="00B82B04" w:rsidR="00F5259C" w:rsidTr="00902F66" w14:paraId="7975A320" w14:textId="77777777">
        <w:trPr>
          <w:trHeight w:val="288"/>
        </w:trPr>
        <w:tc>
          <w:tcPr>
            <w:tcW w:w="5000" w:type="pct"/>
            <w:shd w:val="clear" w:color="auto" w:fill="auto"/>
          </w:tcPr>
          <w:p w:rsidRPr="00B82B04" w:rsidR="00F5259C" w:rsidP="00902F66" w:rsidRDefault="00F5259C" w14:paraId="7B57FC43" w14:textId="77777777">
            <w:pPr>
              <w:numPr>
                <w:ilvl w:val="0"/>
                <w:numId w:val="10"/>
              </w:numPr>
              <w:ind w:left="229" w:hanging="229"/>
              <w:rPr>
                <w:rFonts w:ascii="Arial" w:hAnsi="Arial" w:cs="Arial"/>
                <w:sz w:val="20"/>
                <w:szCs w:val="20"/>
              </w:rPr>
            </w:pPr>
            <w:r w:rsidRPr="00B82B04">
              <w:rPr>
                <w:rFonts w:ascii="Arial" w:hAnsi="Arial" w:cs="Arial"/>
                <w:sz w:val="20"/>
                <w:szCs w:val="20"/>
              </w:rPr>
              <w:t xml:space="preserve">Determine whether clients’ mean number and cost of unplanned </w:t>
            </w:r>
            <w:r>
              <w:rPr>
                <w:rFonts w:ascii="Arial" w:hAnsi="Arial" w:cs="Arial"/>
                <w:sz w:val="20"/>
                <w:szCs w:val="20"/>
              </w:rPr>
              <w:t>emergency department (</w:t>
            </w:r>
            <w:r w:rsidRPr="00B82B04">
              <w:rPr>
                <w:rFonts w:ascii="Arial" w:hAnsi="Arial" w:cs="Arial"/>
                <w:sz w:val="20"/>
                <w:szCs w:val="20"/>
              </w:rPr>
              <w:t>ED</w:t>
            </w:r>
            <w:r>
              <w:rPr>
                <w:rFonts w:ascii="Arial" w:hAnsi="Arial" w:cs="Arial"/>
                <w:sz w:val="20"/>
                <w:szCs w:val="20"/>
              </w:rPr>
              <w:t>)</w:t>
            </w:r>
            <w:r w:rsidRPr="00B82B04">
              <w:rPr>
                <w:rFonts w:ascii="Arial" w:hAnsi="Arial" w:cs="Arial"/>
                <w:sz w:val="20"/>
                <w:szCs w:val="20"/>
              </w:rPr>
              <w:t xml:space="preserve"> visits, overnight hospitalization visits, and rehab/skilled nursing facility stays changed</w:t>
            </w:r>
            <w:r>
              <w:rPr>
                <w:rFonts w:ascii="Arial" w:hAnsi="Arial" w:cs="Arial"/>
                <w:sz w:val="20"/>
                <w:szCs w:val="20"/>
              </w:rPr>
              <w:t xml:space="preserve"> between baseline and follow-</w:t>
            </w:r>
            <w:r w:rsidRPr="00B82B04">
              <w:rPr>
                <w:rFonts w:ascii="Arial" w:hAnsi="Arial" w:cs="Arial"/>
                <w:sz w:val="20"/>
                <w:szCs w:val="20"/>
              </w:rPr>
              <w:t>up.</w:t>
            </w:r>
          </w:p>
        </w:tc>
      </w:tr>
    </w:tbl>
    <w:p w:rsidRPr="00B82B04" w:rsidR="00F5259C" w:rsidP="00F5259C" w:rsidRDefault="00F5259C" w14:paraId="31000E84" w14:textId="77777777">
      <w:pPr>
        <w:pStyle w:val="NormalOMB"/>
        <w:ind w:firstLine="0"/>
      </w:pPr>
    </w:p>
    <w:p w:rsidR="00F5259C" w:rsidP="00F5259C" w:rsidRDefault="00F5259C" w14:paraId="6A39BC96" w14:textId="77777777">
      <w:pPr>
        <w:spacing w:after="240"/>
      </w:pPr>
      <w:r w:rsidRPr="00B82B04">
        <w:t>In addition to the above objectives, the Contractor will collect sociodemographic data</w:t>
      </w:r>
      <w:r>
        <w:t xml:space="preserve">, such as </w:t>
      </w:r>
      <w:r w:rsidRPr="00B82B04">
        <w:t>household inc</w:t>
      </w:r>
      <w:r>
        <w:t>ome, race/ethnicity, age, etc.</w:t>
      </w:r>
      <w:r w:rsidRPr="00B82B04">
        <w:t xml:space="preserve"> Data on the length of time clients have lived in their home at baseline, and where and why some clients move</w:t>
      </w:r>
      <w:r>
        <w:t>d</w:t>
      </w:r>
      <w:r w:rsidRPr="00B82B04">
        <w:t xml:space="preserve"> during the Evaluation period, will be compared with available national and regional data on homeowner relocations from the American Housing Survey (AHS). The Contractor will use AHS National and Metropolitan Public Use Files (PUF) microdata to identify the appropriate AHS populations (e.g., householders above a certain age who own their homes) for comparison with Evaluation clients’ tenure.</w:t>
      </w:r>
      <w:r w:rsidRPr="00B82B04">
        <w:rPr>
          <w:rStyle w:val="FootnoteReference"/>
        </w:rPr>
        <w:footnoteReference w:id="30"/>
      </w:r>
      <w:r w:rsidRPr="00B82B04">
        <w:t xml:space="preserve"> Additionally, as part of the evaluation of client tenure, the Contractor will explore client concerns about aging-in-place (e.g., concerns about returning home after a medical event or needing to move out of their home). The analysis methods for these variables will be addressed in </w:t>
      </w:r>
      <w:r w:rsidRPr="001556D2">
        <w:t>B.2.</w:t>
      </w:r>
    </w:p>
    <w:p w:rsidRPr="00B82B04" w:rsidR="00F5259C" w:rsidP="00F5259C" w:rsidRDefault="00F5259C" w14:paraId="4404B024" w14:textId="77777777">
      <w:pPr>
        <w:pStyle w:val="Heading2"/>
      </w:pPr>
      <w:r>
        <w:t>Overview of Data Collection Instruments</w:t>
      </w:r>
    </w:p>
    <w:p w:rsidR="00F5259C" w:rsidP="00F5259C" w:rsidRDefault="00F5259C" w14:paraId="02E63344" w14:textId="77777777">
      <w:pPr>
        <w:spacing w:after="240"/>
        <w:rPr>
          <w:rFonts w:eastAsiaTheme="minorHAnsi"/>
        </w:rPr>
      </w:pPr>
      <w:r w:rsidRPr="00B82B04">
        <w:t>This evaluation will include up to</w:t>
      </w:r>
      <w:r>
        <w:t xml:space="preserve"> 32 </w:t>
      </w:r>
      <w:r w:rsidRPr="00B82B04">
        <w:t xml:space="preserve">grantees that receive awards. Grantees participating in the Evaluation will be expected to collect data using the forms identified in Table 3. The Evaluation will collect data from clients of participating grantees. </w:t>
      </w:r>
      <w:r w:rsidRPr="00F35F9F">
        <w:rPr>
          <w:rFonts w:eastAsiaTheme="minorHAnsi"/>
        </w:rPr>
        <w:t>The OAHM</w:t>
      </w:r>
      <w:r>
        <w:rPr>
          <w:rFonts w:eastAsiaTheme="minorHAnsi"/>
        </w:rPr>
        <w:t>P</w:t>
      </w:r>
      <w:r w:rsidRPr="00F35F9F">
        <w:rPr>
          <w:rFonts w:eastAsiaTheme="minorHAnsi"/>
        </w:rPr>
        <w:t xml:space="preserve"> Evaluation </w:t>
      </w:r>
      <w:r>
        <w:rPr>
          <w:rFonts w:eastAsiaTheme="minorHAnsi"/>
        </w:rPr>
        <w:t>will focus</w:t>
      </w:r>
      <w:r w:rsidRPr="00F35F9F">
        <w:rPr>
          <w:rFonts w:eastAsiaTheme="minorHAnsi"/>
        </w:rPr>
        <w:t xml:space="preserve"> on the activities of the grantees and the impact of the grant program on clients. Under Section F. Program-Specific Requirements Affecting Eligibility of OLHCHH’s OAHM Program NOFO, grantees must accommodate Limited English Proficiency (LEP) and Section 504 needs of any clients enrolled in the program. In addition to the Threshold Eligibility Requirements listed under </w:t>
      </w:r>
      <w:r w:rsidRPr="00F35F9F">
        <w:rPr>
          <w:rFonts w:eastAsiaTheme="minorHAnsi"/>
        </w:rPr>
        <w:lastRenderedPageBreak/>
        <w:t xml:space="preserve">III. Limited English Proficiency, OAHM Program grantees are required to take reasonable steps to ensure meaningful access to their program and activities for LEP individuals. </w:t>
      </w:r>
    </w:p>
    <w:p w:rsidR="00F5259C" w:rsidP="00F5259C" w:rsidRDefault="00F5259C" w14:paraId="5449778B" w14:textId="77777777">
      <w:pPr>
        <w:spacing w:after="240"/>
        <w:rPr>
          <w:rFonts w:eastAsiaTheme="minorHAnsi"/>
        </w:rPr>
      </w:pPr>
      <w:r>
        <w:rPr>
          <w:rFonts w:eastAsiaTheme="minorHAnsi"/>
        </w:rPr>
        <w:t xml:space="preserve">Grantee staff will collect data related to the Process Evaluation from all applicants (e.g., appendices B and if applicable, G) and all clients (e.g., appendices D, H, and if applicable, G). </w:t>
      </w:r>
      <w:r w:rsidRPr="00F35F9F">
        <w:rPr>
          <w:rFonts w:eastAsiaTheme="minorHAnsi"/>
        </w:rPr>
        <w:t xml:space="preserve">Consequently, </w:t>
      </w:r>
      <w:r>
        <w:rPr>
          <w:rFonts w:eastAsiaTheme="minorHAnsi"/>
        </w:rPr>
        <w:t xml:space="preserve">for the most part, </w:t>
      </w:r>
      <w:r w:rsidRPr="00F35F9F">
        <w:rPr>
          <w:rFonts w:eastAsiaTheme="minorHAnsi"/>
        </w:rPr>
        <w:t>the Evaluation intends to rely on the grantees’ own processes to address and meet clients’ LEP needs and Section 504 services as grantee staff will be required to administer and complete Evaluation forms for OAHM Program clients.</w:t>
      </w:r>
      <w:r>
        <w:rPr>
          <w:rFonts w:eastAsiaTheme="minorHAnsi"/>
        </w:rPr>
        <w:t xml:space="preserve"> </w:t>
      </w:r>
    </w:p>
    <w:p w:rsidR="00F5259C" w:rsidP="00F5259C" w:rsidRDefault="00F5259C" w14:paraId="217BE00C" w14:textId="77777777">
      <w:pPr>
        <w:spacing w:after="240"/>
      </w:pPr>
      <w:r>
        <w:rPr>
          <w:rFonts w:eastAsiaTheme="minorHAnsi"/>
        </w:rPr>
        <w:t xml:space="preserve">The Impact Evaluation requires </w:t>
      </w:r>
      <w:r w:rsidRPr="0034752B">
        <w:t xml:space="preserve">direct responses from the clients (e.g., </w:t>
      </w:r>
      <w:r>
        <w:t>a</w:t>
      </w:r>
      <w:r w:rsidRPr="0034752B">
        <w:t>ppendice</w:t>
      </w:r>
      <w:r>
        <w:t>s</w:t>
      </w:r>
      <w:r w:rsidRPr="0034752B">
        <w:t xml:space="preserve"> C, E, F, K, and L)</w:t>
      </w:r>
      <w:r>
        <w:t xml:space="preserve">. </w:t>
      </w:r>
      <w:proofErr w:type="gramStart"/>
      <w:r>
        <w:t>In order to</w:t>
      </w:r>
      <w:proofErr w:type="gramEnd"/>
      <w:r>
        <w:t xml:space="preserve"> be able to compare these responses to questions in the </w:t>
      </w:r>
      <w:r w:rsidRPr="00B82B04">
        <w:t>Centers for Medicare and Medicaid Services’ Medicare Health Outcomes Survey (HOS)</w:t>
      </w:r>
      <w:r>
        <w:t xml:space="preserve">—a key objective (Table 2)—it is necessary for the wording of these questions to be exact. </w:t>
      </w:r>
      <w:r w:rsidRPr="0034752B">
        <w:t xml:space="preserve">Grantees will be provided translations of these documents </w:t>
      </w:r>
      <w:r>
        <w:t xml:space="preserve">in both English and Spanish, </w:t>
      </w:r>
      <w:r w:rsidRPr="00B82B04">
        <w:t>which are the most prevalent first languages in the U.S.</w:t>
      </w:r>
      <w:r>
        <w:t>,</w:t>
      </w:r>
      <w:r w:rsidRPr="00B82B04">
        <w:rPr>
          <w:rStyle w:val="FootnoteReference"/>
        </w:rPr>
        <w:footnoteReference w:id="31"/>
      </w:r>
      <w:r>
        <w:t xml:space="preserve"> </w:t>
      </w:r>
      <w:r w:rsidRPr="0034752B">
        <w:t>for use with the</w:t>
      </w:r>
      <w:r>
        <w:t>ir</w:t>
      </w:r>
      <w:r w:rsidRPr="0034752B">
        <w:t xml:space="preserve"> clients.</w:t>
      </w:r>
      <w:r>
        <w:t xml:space="preserve"> Therefore, the Impact Evaluation </w:t>
      </w:r>
      <w:r w:rsidRPr="0034752B">
        <w:t>will be confined to English- or Spanish-speaking clients. Given the possibility that grantees will provide services to clients with other language needs, we acknowledge this will be a limitation to the study’s generalizability</w:t>
      </w:r>
      <w:r>
        <w:t>, but it is not cost-effective (given the scope of the Evaluation contract) to produce translations of these documents for all languages that clients may potentially speak</w:t>
      </w:r>
      <w:r w:rsidRPr="0034752B">
        <w:t>.</w:t>
      </w:r>
      <w:r>
        <w:t xml:space="preserve"> </w:t>
      </w:r>
      <w:r w:rsidRPr="00B82B04">
        <w:t>See</w:t>
      </w:r>
      <w:r w:rsidRPr="005B0536">
        <w:t xml:space="preserve"> B.1</w:t>
      </w:r>
      <w:r>
        <w:t xml:space="preserve"> for additional information</w:t>
      </w:r>
      <w:r w:rsidRPr="00B82B04">
        <w:t xml:space="preserve"> regarding </w:t>
      </w:r>
      <w:r>
        <w:t xml:space="preserve">the </w:t>
      </w:r>
      <w:r w:rsidRPr="00B82B04">
        <w:t xml:space="preserve">selection of clients to participate in the </w:t>
      </w:r>
      <w:r>
        <w:t>E</w:t>
      </w:r>
      <w:r w:rsidRPr="00B82B04">
        <w:t>valuation.</w:t>
      </w:r>
      <w:r>
        <w:t xml:space="preserve"> Clients who do not participate in the Evaluation will still receive the full benefits and services of the OAHM Program.</w:t>
      </w:r>
    </w:p>
    <w:p w:rsidR="00F5259C" w:rsidP="00F5259C" w:rsidRDefault="00F5259C" w14:paraId="284F00F5" w14:textId="0C9F34E4">
      <w:pPr>
        <w:spacing w:after="240"/>
        <w:rPr>
          <w:rFonts w:eastAsiaTheme="minorHAnsi"/>
        </w:rPr>
      </w:pPr>
      <w:r>
        <w:rPr>
          <w:rFonts w:eastAsiaTheme="minorHAnsi"/>
        </w:rPr>
        <w:t>The only data the</w:t>
      </w:r>
      <w:r w:rsidRPr="00F35F9F">
        <w:rPr>
          <w:rFonts w:eastAsiaTheme="minorHAnsi"/>
        </w:rPr>
        <w:t xml:space="preserve"> Contractor will</w:t>
      </w:r>
      <w:r>
        <w:rPr>
          <w:rFonts w:eastAsiaTheme="minorHAnsi"/>
        </w:rPr>
        <w:t xml:space="preserve"> collect directly from clients will be during the</w:t>
      </w:r>
      <w:r w:rsidRPr="00F35F9F">
        <w:rPr>
          <w:rFonts w:eastAsiaTheme="minorHAnsi"/>
        </w:rPr>
        <w:t xml:space="preserve"> Client Process Evaluation </w:t>
      </w:r>
      <w:r>
        <w:rPr>
          <w:rFonts w:eastAsiaTheme="minorHAnsi"/>
        </w:rPr>
        <w:t xml:space="preserve">Interview which will be conducted virtually via phone or video. These </w:t>
      </w:r>
      <w:r w:rsidRPr="00F35F9F">
        <w:rPr>
          <w:rFonts w:eastAsiaTheme="minorHAnsi"/>
        </w:rPr>
        <w:t xml:space="preserve">calls </w:t>
      </w:r>
      <w:r>
        <w:rPr>
          <w:rFonts w:eastAsiaTheme="minorHAnsi"/>
        </w:rPr>
        <w:t xml:space="preserve">will be conducted </w:t>
      </w:r>
      <w:r w:rsidRPr="00F35F9F">
        <w:rPr>
          <w:rFonts w:eastAsiaTheme="minorHAnsi"/>
        </w:rPr>
        <w:t>with a small subset (10%) of clients</w:t>
      </w:r>
      <w:r>
        <w:rPr>
          <w:rFonts w:eastAsiaTheme="minorHAnsi"/>
        </w:rPr>
        <w:t xml:space="preserve"> participating in the Impact Evaluation</w:t>
      </w:r>
      <w:r w:rsidRPr="00F35F9F">
        <w:rPr>
          <w:rFonts w:eastAsiaTheme="minorHAnsi"/>
        </w:rPr>
        <w:t>.</w:t>
      </w:r>
      <w:r>
        <w:rPr>
          <w:rFonts w:eastAsiaTheme="minorHAnsi"/>
        </w:rPr>
        <w:t xml:space="preserve"> </w:t>
      </w:r>
      <w:r w:rsidRPr="00B82B04">
        <w:t xml:space="preserve">If needed, </w:t>
      </w:r>
      <w:r>
        <w:t>the Contractor</w:t>
      </w:r>
      <w:r w:rsidRPr="00B82B04">
        <w:t xml:space="preserve"> will </w:t>
      </w:r>
      <w:r>
        <w:t xml:space="preserve">make accommodations for clients with disabilities who are participating in the Impact Evaluation using TTY or other assistive technology. Additionally, as a reasonable accommodation for individuals with disabilities, the Contractor will </w:t>
      </w:r>
      <w:r w:rsidRPr="00B82B04">
        <w:t xml:space="preserve">conduct </w:t>
      </w:r>
      <w:r>
        <w:t xml:space="preserve">up to two interviews during the scheduled grantee site visits with </w:t>
      </w:r>
      <w:r w:rsidRPr="00B82B04">
        <w:t>clients who missed the</w:t>
      </w:r>
      <w:r>
        <w:t>ir</w:t>
      </w:r>
      <w:r w:rsidRPr="00B82B04">
        <w:t xml:space="preserve"> Client Process Evaluation calls to allow data collection in person.</w:t>
      </w:r>
      <w:r>
        <w:t xml:space="preserve"> </w:t>
      </w:r>
      <w:bookmarkStart w:name="_Hlk81299644" w:id="10"/>
      <w:bookmarkStart w:name="_Hlk81300408" w:id="11"/>
    </w:p>
    <w:bookmarkEnd w:id="10"/>
    <w:bookmarkEnd w:id="11"/>
    <w:p w:rsidRPr="00B82B04" w:rsidR="00F5259C" w:rsidP="00F5259C" w:rsidRDefault="00F5259C" w14:paraId="79E46D40" w14:textId="77777777">
      <w:pPr>
        <w:widowControl w:val="0"/>
      </w:pPr>
      <w:r w:rsidRPr="00B82B04">
        <w:t xml:space="preserve">On the following pages, Figure 1 illustrates the workflow and Table 3 demonstrates the general content of all </w:t>
      </w:r>
      <w:r>
        <w:t>DCI</w:t>
      </w:r>
      <w:r w:rsidRPr="00B82B04">
        <w:t xml:space="preserve">s and administrative responsibilities. The flowchart identifies Evaluation forms grantees will complete at each stage of OAHMP implementation. </w:t>
      </w:r>
      <w:r>
        <w:t>For program purposes, g</w:t>
      </w:r>
      <w:r w:rsidRPr="00B82B04">
        <w:t>rantees can choose to use either their own</w:t>
      </w:r>
      <w:r>
        <w:t xml:space="preserve"> forms</w:t>
      </w:r>
      <w:r w:rsidRPr="00B82B04">
        <w:t xml:space="preserve"> or Evaluation forms; however, if they choose to use their own forms, they must separately complete the Evaluation forms. The data collection forms the Contractor has developed for the Evaluation are consistent with the OLHCHH NOFO requirements for standardized assessment of program activities and client outcomes, and do not request information not pertinent to those requirements. Grantee program forms are not replacements for Evaluation forms. Post-modification forms are, for the most part, identical to the baseline forms.</w:t>
      </w:r>
    </w:p>
    <w:p w:rsidRPr="00B82B04" w:rsidR="00F5259C" w:rsidP="00F5259C" w:rsidRDefault="00F5259C" w14:paraId="4B401D92" w14:textId="77777777">
      <w:pPr>
        <w:widowControl w:val="0"/>
        <w:spacing w:after="120"/>
      </w:pPr>
      <w:r>
        <w:object w:dxaOrig="9720" w:dyaOrig="12218" w14:anchorId="5805D43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6.6pt;height:611.4pt" o:ole="" type="#_x0000_t75">
            <v:imagedata o:title="" r:id="rId15"/>
          </v:shape>
          <o:OLEObject Type="Embed" ProgID="PowerPoint.Slide.12" ShapeID="_x0000_i1025" DrawAspect="Content" ObjectID="_1702720477" r:id="rId16"/>
        </w:object>
      </w:r>
    </w:p>
    <w:p w:rsidR="00F5259C" w:rsidP="00F5259C" w:rsidRDefault="00F5259C" w14:paraId="75BB4479" w14:textId="77777777">
      <w:r>
        <w:br w:type="page"/>
      </w:r>
    </w:p>
    <w:p w:rsidRPr="00B82B04" w:rsidR="00F5259C" w:rsidP="00F5259C" w:rsidRDefault="00F5259C" w14:paraId="2C3EDF61" w14:textId="77777777">
      <w:pPr>
        <w:widowControl w:val="0"/>
        <w:spacing w:after="120"/>
      </w:pPr>
    </w:p>
    <w:tbl>
      <w:tblPr>
        <w:tblStyle w:val="TableGrid"/>
        <w:tblW w:w="9355" w:type="dxa"/>
        <w:tblLayout w:type="fixed"/>
        <w:tblCellMar>
          <w:left w:w="43" w:type="dxa"/>
          <w:right w:w="43" w:type="dxa"/>
        </w:tblCellMar>
        <w:tblLook w:val="04A0" w:firstRow="1" w:lastRow="0" w:firstColumn="1" w:lastColumn="0" w:noHBand="0" w:noVBand="1"/>
      </w:tblPr>
      <w:tblGrid>
        <w:gridCol w:w="1975"/>
        <w:gridCol w:w="2970"/>
        <w:gridCol w:w="1260"/>
        <w:gridCol w:w="1440"/>
        <w:gridCol w:w="1710"/>
      </w:tblGrid>
      <w:tr w:rsidRPr="00B82B04" w:rsidR="00F5259C" w:rsidTr="00902F66" w14:paraId="08B8985D" w14:textId="77777777">
        <w:trPr>
          <w:tblHeader/>
        </w:trPr>
        <w:tc>
          <w:tcPr>
            <w:tcW w:w="9355" w:type="dxa"/>
            <w:gridSpan w:val="5"/>
            <w:shd w:val="clear" w:color="auto" w:fill="D9D9D9" w:themeFill="background1" w:themeFillShade="D9"/>
            <w:vAlign w:val="bottom"/>
          </w:tcPr>
          <w:p w:rsidRPr="00B82B04" w:rsidR="00F5259C" w:rsidP="00902F66" w:rsidRDefault="00F5259C" w14:paraId="030C44D0" w14:textId="77777777">
            <w:pPr>
              <w:jc w:val="center"/>
              <w:rPr>
                <w:rFonts w:ascii="Arial" w:hAnsi="Arial" w:eastAsia="Calibri" w:cs="Arial"/>
                <w:b/>
                <w:bCs/>
                <w:color w:val="000000"/>
                <w:sz w:val="20"/>
                <w:szCs w:val="20"/>
              </w:rPr>
            </w:pPr>
            <w:bookmarkStart w:name="_Ref70328088" w:id="12"/>
            <w:bookmarkStart w:name="_Toc75878790" w:id="13"/>
            <w:bookmarkStart w:name="_Hlk58492209" w:id="14"/>
            <w:r w:rsidRPr="00B82B04">
              <w:rPr>
                <w:rFonts w:ascii="Arial" w:hAnsi="Arial" w:cs="Arial"/>
                <w:b/>
                <w:sz w:val="20"/>
                <w:szCs w:val="20"/>
              </w:rPr>
              <w:t xml:space="preserve">Table </w:t>
            </w:r>
            <w:r w:rsidRPr="00B82B04">
              <w:rPr>
                <w:rFonts w:ascii="Arial" w:hAnsi="Arial" w:cs="Arial"/>
                <w:b/>
                <w:sz w:val="20"/>
                <w:szCs w:val="20"/>
              </w:rPr>
              <w:fldChar w:fldCharType="begin"/>
            </w:r>
            <w:r w:rsidRPr="00B82B04">
              <w:rPr>
                <w:rFonts w:ascii="Arial" w:hAnsi="Arial" w:cs="Arial"/>
                <w:b/>
                <w:sz w:val="20"/>
                <w:szCs w:val="20"/>
              </w:rPr>
              <w:instrText xml:space="preserve"> SEQ Table \* ARABIC </w:instrText>
            </w:r>
            <w:r w:rsidRPr="00B82B04">
              <w:rPr>
                <w:rFonts w:ascii="Arial" w:hAnsi="Arial" w:cs="Arial"/>
                <w:b/>
                <w:sz w:val="20"/>
                <w:szCs w:val="20"/>
              </w:rPr>
              <w:fldChar w:fldCharType="separate"/>
            </w:r>
            <w:r>
              <w:rPr>
                <w:rFonts w:ascii="Arial" w:hAnsi="Arial" w:cs="Arial"/>
                <w:b/>
                <w:noProof/>
                <w:sz w:val="20"/>
                <w:szCs w:val="20"/>
              </w:rPr>
              <w:t>3</w:t>
            </w:r>
            <w:r w:rsidRPr="00B82B04">
              <w:rPr>
                <w:rFonts w:ascii="Arial" w:hAnsi="Arial" w:cs="Arial"/>
                <w:b/>
                <w:sz w:val="20"/>
                <w:szCs w:val="20"/>
              </w:rPr>
              <w:fldChar w:fldCharType="end"/>
            </w:r>
            <w:bookmarkEnd w:id="12"/>
            <w:r w:rsidRPr="00B82B04">
              <w:rPr>
                <w:rFonts w:ascii="Arial" w:hAnsi="Arial" w:cs="Arial"/>
                <w:b/>
                <w:sz w:val="20"/>
                <w:szCs w:val="20"/>
              </w:rPr>
              <w:t>. Data Collection Instruments</w:t>
            </w:r>
            <w:bookmarkEnd w:id="13"/>
            <w:r>
              <w:rPr>
                <w:rFonts w:ascii="Arial" w:hAnsi="Arial" w:cs="Arial"/>
                <w:b/>
                <w:sz w:val="20"/>
                <w:szCs w:val="20"/>
              </w:rPr>
              <w:t xml:space="preserve"> (DCIs)</w:t>
            </w:r>
          </w:p>
        </w:tc>
      </w:tr>
      <w:tr w:rsidRPr="00B82B04" w:rsidR="00F5259C" w:rsidTr="00902F66" w14:paraId="0426236A" w14:textId="77777777">
        <w:trPr>
          <w:tblHeader/>
        </w:trPr>
        <w:tc>
          <w:tcPr>
            <w:tcW w:w="1975" w:type="dxa"/>
            <w:shd w:val="clear" w:color="auto" w:fill="D9D9D9" w:themeFill="background1" w:themeFillShade="D9"/>
            <w:vAlign w:val="bottom"/>
          </w:tcPr>
          <w:p w:rsidRPr="00B82B04" w:rsidR="00F5259C" w:rsidP="00902F66" w:rsidRDefault="00F5259C" w14:paraId="2CB9CF20" w14:textId="77777777">
            <w:pPr>
              <w:rPr>
                <w:rFonts w:ascii="Arial" w:hAnsi="Arial" w:cs="Arial"/>
                <w:sz w:val="20"/>
                <w:szCs w:val="20"/>
              </w:rPr>
            </w:pPr>
            <w:r w:rsidRPr="00B82B04">
              <w:rPr>
                <w:rFonts w:ascii="Arial" w:hAnsi="Arial" w:eastAsia="Calibri" w:cs="Arial"/>
                <w:b/>
                <w:bCs/>
                <w:color w:val="000000"/>
                <w:sz w:val="20"/>
                <w:szCs w:val="20"/>
              </w:rPr>
              <w:t>Form</w:t>
            </w:r>
          </w:p>
        </w:tc>
        <w:tc>
          <w:tcPr>
            <w:tcW w:w="2970" w:type="dxa"/>
            <w:shd w:val="clear" w:color="auto" w:fill="D9D9D9" w:themeFill="background1" w:themeFillShade="D9"/>
            <w:vAlign w:val="bottom"/>
          </w:tcPr>
          <w:p w:rsidRPr="00B82B04" w:rsidR="00F5259C" w:rsidP="00902F66" w:rsidRDefault="00F5259C" w14:paraId="6F4BD6F4" w14:textId="77777777">
            <w:pPr>
              <w:rPr>
                <w:rFonts w:ascii="Arial" w:hAnsi="Arial" w:cs="Arial"/>
                <w:sz w:val="20"/>
                <w:szCs w:val="20"/>
              </w:rPr>
            </w:pPr>
            <w:r w:rsidRPr="00B82B04">
              <w:rPr>
                <w:rFonts w:ascii="Arial" w:hAnsi="Arial" w:eastAsia="Calibri" w:cs="Arial"/>
                <w:b/>
                <w:bCs/>
                <w:color w:val="000000"/>
                <w:sz w:val="20"/>
                <w:szCs w:val="20"/>
              </w:rPr>
              <w:t>Purpose</w:t>
            </w:r>
          </w:p>
        </w:tc>
        <w:tc>
          <w:tcPr>
            <w:tcW w:w="1260" w:type="dxa"/>
            <w:shd w:val="clear" w:color="auto" w:fill="D9D9D9" w:themeFill="background1" w:themeFillShade="D9"/>
            <w:vAlign w:val="bottom"/>
          </w:tcPr>
          <w:p w:rsidRPr="00B82B04" w:rsidR="00F5259C" w:rsidP="00902F66" w:rsidRDefault="00F5259C" w14:paraId="4B824584" w14:textId="77777777">
            <w:pPr>
              <w:rPr>
                <w:rFonts w:ascii="Arial" w:hAnsi="Arial" w:cs="Arial"/>
                <w:sz w:val="20"/>
                <w:szCs w:val="20"/>
              </w:rPr>
            </w:pPr>
            <w:r w:rsidRPr="00B82B04">
              <w:rPr>
                <w:rFonts w:ascii="Arial" w:hAnsi="Arial" w:eastAsia="Calibri" w:cs="Arial"/>
                <w:b/>
                <w:bCs/>
                <w:color w:val="000000"/>
                <w:sz w:val="20"/>
                <w:szCs w:val="20"/>
              </w:rPr>
              <w:t>Process or Impact Objective(s) Addressed</w:t>
            </w:r>
          </w:p>
        </w:tc>
        <w:tc>
          <w:tcPr>
            <w:tcW w:w="1440" w:type="dxa"/>
            <w:shd w:val="clear" w:color="auto" w:fill="D9D9D9" w:themeFill="background1" w:themeFillShade="D9"/>
            <w:vAlign w:val="bottom"/>
          </w:tcPr>
          <w:p w:rsidRPr="00B82B04" w:rsidR="00F5259C" w:rsidP="00902F66" w:rsidRDefault="00F5259C" w14:paraId="5FB1A65A" w14:textId="77777777">
            <w:pPr>
              <w:rPr>
                <w:rFonts w:ascii="Arial" w:hAnsi="Arial" w:cs="Arial"/>
                <w:sz w:val="20"/>
                <w:szCs w:val="20"/>
              </w:rPr>
            </w:pPr>
            <w:r w:rsidRPr="00B82B04">
              <w:rPr>
                <w:rFonts w:ascii="Arial" w:hAnsi="Arial" w:eastAsia="Calibri" w:cs="Arial"/>
                <w:b/>
                <w:bCs/>
                <w:color w:val="000000"/>
                <w:sz w:val="20"/>
                <w:szCs w:val="20"/>
              </w:rPr>
              <w:t>Timing</w:t>
            </w:r>
          </w:p>
        </w:tc>
        <w:tc>
          <w:tcPr>
            <w:tcW w:w="1710" w:type="dxa"/>
            <w:shd w:val="clear" w:color="auto" w:fill="D9D9D9" w:themeFill="background1" w:themeFillShade="D9"/>
            <w:vAlign w:val="bottom"/>
          </w:tcPr>
          <w:p w:rsidRPr="00B82B04" w:rsidR="00F5259C" w:rsidP="00902F66" w:rsidRDefault="00F5259C" w14:paraId="3D47BCE3" w14:textId="77777777">
            <w:pPr>
              <w:rPr>
                <w:rFonts w:ascii="Arial" w:hAnsi="Arial" w:cs="Arial"/>
                <w:sz w:val="20"/>
                <w:szCs w:val="20"/>
              </w:rPr>
            </w:pPr>
            <w:r w:rsidRPr="00B82B04">
              <w:rPr>
                <w:rFonts w:ascii="Arial" w:hAnsi="Arial" w:eastAsia="Calibri" w:cs="Arial"/>
                <w:b/>
                <w:bCs/>
                <w:color w:val="000000"/>
                <w:sz w:val="20"/>
                <w:szCs w:val="20"/>
              </w:rPr>
              <w:t xml:space="preserve">Who Administers </w:t>
            </w:r>
            <w:r>
              <w:rPr>
                <w:rFonts w:ascii="Arial" w:hAnsi="Arial" w:eastAsia="Calibri" w:cs="Arial"/>
                <w:b/>
                <w:bCs/>
                <w:color w:val="000000"/>
                <w:sz w:val="20"/>
                <w:szCs w:val="20"/>
              </w:rPr>
              <w:t>the DCIs</w:t>
            </w:r>
          </w:p>
        </w:tc>
      </w:tr>
      <w:tr w:rsidRPr="00B82B04" w:rsidR="00F5259C" w:rsidTr="00902F66" w14:paraId="23789A15" w14:textId="77777777">
        <w:tc>
          <w:tcPr>
            <w:tcW w:w="1975" w:type="dxa"/>
          </w:tcPr>
          <w:p w:rsidRPr="00B82B04" w:rsidR="00F5259C" w:rsidP="00902F66" w:rsidRDefault="00F5259C" w14:paraId="46294FE8" w14:textId="77777777">
            <w:pPr>
              <w:autoSpaceDE w:val="0"/>
              <w:autoSpaceDN w:val="0"/>
              <w:adjustRightInd w:val="0"/>
              <w:rPr>
                <w:rFonts w:ascii="Arial" w:hAnsi="Arial" w:cs="Arial"/>
                <w:b/>
                <w:bCs/>
                <w:sz w:val="20"/>
                <w:szCs w:val="20"/>
              </w:rPr>
            </w:pPr>
            <w:r w:rsidRPr="00B82B04">
              <w:rPr>
                <w:rFonts w:ascii="Arial" w:hAnsi="Arial" w:cs="Arial"/>
                <w:b/>
                <w:bCs/>
                <w:sz w:val="20"/>
                <w:szCs w:val="20"/>
              </w:rPr>
              <w:t xml:space="preserve">Client Eligibility Documentation Form </w:t>
            </w:r>
          </w:p>
          <w:p w:rsidRPr="00B82B04" w:rsidR="00F5259C" w:rsidP="00902F66" w:rsidRDefault="00F5259C" w14:paraId="39EB4C2D" w14:textId="77777777">
            <w:pPr>
              <w:rPr>
                <w:rFonts w:ascii="Arial" w:hAnsi="Arial" w:cs="Arial"/>
                <w:sz w:val="20"/>
                <w:szCs w:val="20"/>
              </w:rPr>
            </w:pPr>
            <w:r w:rsidRPr="00B82B04">
              <w:rPr>
                <w:rFonts w:ascii="Arial" w:hAnsi="Arial" w:cs="Arial"/>
                <w:sz w:val="20"/>
                <w:szCs w:val="20"/>
              </w:rPr>
              <w:t>(</w:t>
            </w:r>
            <w:proofErr w:type="gramStart"/>
            <w:r w:rsidRPr="00B82B04">
              <w:rPr>
                <w:rFonts w:ascii="Arial" w:hAnsi="Arial" w:cs="Arial"/>
                <w:sz w:val="20"/>
                <w:szCs w:val="20"/>
              </w:rPr>
              <w:t>appendix</w:t>
            </w:r>
            <w:proofErr w:type="gramEnd"/>
            <w:r w:rsidRPr="00B82B04">
              <w:rPr>
                <w:rFonts w:ascii="Arial" w:hAnsi="Arial" w:cs="Arial"/>
                <w:sz w:val="20"/>
                <w:szCs w:val="20"/>
              </w:rPr>
              <w:t xml:space="preserve"> B)</w:t>
            </w:r>
          </w:p>
        </w:tc>
        <w:tc>
          <w:tcPr>
            <w:tcW w:w="2970" w:type="dxa"/>
          </w:tcPr>
          <w:p w:rsidRPr="00B82B04" w:rsidR="00F5259C" w:rsidP="00902F66" w:rsidRDefault="00F5259C" w14:paraId="12D62C79" w14:textId="77777777">
            <w:pPr>
              <w:rPr>
                <w:rFonts w:ascii="Arial" w:hAnsi="Arial" w:cs="Arial"/>
                <w:sz w:val="20"/>
                <w:szCs w:val="20"/>
              </w:rPr>
            </w:pPr>
            <w:r w:rsidRPr="00B82B04">
              <w:rPr>
                <w:rFonts w:ascii="Arial" w:hAnsi="Arial" w:cs="Arial"/>
                <w:sz w:val="20"/>
                <w:szCs w:val="20"/>
              </w:rPr>
              <w:t>Documents client eligibility by home ownership, condition of the home, income, and age. Also documents language spoken in the home.</w:t>
            </w:r>
          </w:p>
        </w:tc>
        <w:tc>
          <w:tcPr>
            <w:tcW w:w="1260" w:type="dxa"/>
          </w:tcPr>
          <w:p w:rsidRPr="00B82B04" w:rsidR="00F5259C" w:rsidP="00902F66" w:rsidRDefault="00F5259C" w14:paraId="3D74D46E" w14:textId="77777777">
            <w:pPr>
              <w:autoSpaceDE w:val="0"/>
              <w:autoSpaceDN w:val="0"/>
              <w:adjustRightInd w:val="0"/>
              <w:rPr>
                <w:rFonts w:ascii="Arial" w:hAnsi="Arial" w:cs="Arial"/>
                <w:sz w:val="20"/>
                <w:szCs w:val="20"/>
              </w:rPr>
            </w:pPr>
            <w:r w:rsidRPr="00B82B04">
              <w:rPr>
                <w:rFonts w:ascii="Arial" w:hAnsi="Arial" w:cs="Arial"/>
                <w:sz w:val="20"/>
                <w:szCs w:val="20"/>
              </w:rPr>
              <w:t xml:space="preserve">Process #1, 2 </w:t>
            </w:r>
          </w:p>
          <w:p w:rsidRPr="00B82B04" w:rsidR="00F5259C" w:rsidP="00902F66" w:rsidRDefault="00F5259C" w14:paraId="46065BD3" w14:textId="77777777">
            <w:pPr>
              <w:rPr>
                <w:rFonts w:ascii="Arial" w:hAnsi="Arial" w:cs="Arial"/>
                <w:sz w:val="20"/>
                <w:szCs w:val="20"/>
              </w:rPr>
            </w:pPr>
          </w:p>
        </w:tc>
        <w:tc>
          <w:tcPr>
            <w:tcW w:w="1440" w:type="dxa"/>
          </w:tcPr>
          <w:p w:rsidRPr="00B82B04" w:rsidR="00F5259C" w:rsidP="00902F66" w:rsidRDefault="00F5259C" w14:paraId="7CFD7BA6" w14:textId="77777777">
            <w:pPr>
              <w:rPr>
                <w:rFonts w:ascii="Arial" w:hAnsi="Arial" w:cs="Arial"/>
                <w:sz w:val="20"/>
                <w:szCs w:val="20"/>
              </w:rPr>
            </w:pPr>
            <w:r w:rsidRPr="00B82B04">
              <w:rPr>
                <w:rFonts w:ascii="Arial" w:hAnsi="Arial" w:cs="Arial"/>
                <w:sz w:val="20"/>
                <w:szCs w:val="20"/>
              </w:rPr>
              <w:t>Before the baseline visit</w:t>
            </w:r>
          </w:p>
        </w:tc>
        <w:tc>
          <w:tcPr>
            <w:tcW w:w="1710" w:type="dxa"/>
          </w:tcPr>
          <w:p w:rsidRPr="00B82B04" w:rsidR="00F5259C" w:rsidP="00902F66" w:rsidRDefault="00F5259C" w14:paraId="237D92E1" w14:textId="77777777">
            <w:pPr>
              <w:rPr>
                <w:rFonts w:ascii="Arial" w:hAnsi="Arial" w:cs="Arial"/>
                <w:sz w:val="20"/>
                <w:szCs w:val="20"/>
              </w:rPr>
            </w:pPr>
            <w:r w:rsidRPr="00B82B04">
              <w:rPr>
                <w:rFonts w:ascii="Arial" w:hAnsi="Arial" w:cs="Arial"/>
                <w:sz w:val="20"/>
                <w:szCs w:val="20"/>
              </w:rPr>
              <w:t>Grantees for all potential clients and clients.</w:t>
            </w:r>
          </w:p>
        </w:tc>
      </w:tr>
      <w:tr w:rsidRPr="00B82B04" w:rsidR="00F5259C" w:rsidTr="00902F66" w14:paraId="1B9E1A29" w14:textId="77777777">
        <w:tc>
          <w:tcPr>
            <w:tcW w:w="1975" w:type="dxa"/>
          </w:tcPr>
          <w:p w:rsidRPr="00B82B04" w:rsidR="00F5259C" w:rsidP="00902F66" w:rsidRDefault="00F5259C" w14:paraId="64BBD106" w14:textId="77777777">
            <w:pPr>
              <w:autoSpaceDE w:val="0"/>
              <w:autoSpaceDN w:val="0"/>
              <w:adjustRightInd w:val="0"/>
              <w:spacing w:after="60"/>
              <w:rPr>
                <w:rFonts w:ascii="Arial" w:hAnsi="Arial" w:cs="Arial"/>
                <w:b/>
                <w:bCs/>
                <w:sz w:val="20"/>
                <w:szCs w:val="20"/>
              </w:rPr>
            </w:pPr>
            <w:r w:rsidRPr="00B82B04">
              <w:rPr>
                <w:rFonts w:ascii="Arial" w:hAnsi="Arial" w:cs="Arial"/>
                <w:b/>
                <w:bCs/>
                <w:sz w:val="20"/>
                <w:szCs w:val="20"/>
              </w:rPr>
              <w:t>OAHM Client Program Questionnaire, Baseline</w:t>
            </w:r>
          </w:p>
          <w:p w:rsidRPr="00B82B04" w:rsidR="00F5259C" w:rsidP="00902F66" w:rsidRDefault="00F5259C" w14:paraId="144EB244" w14:textId="77777777">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r w:rsidRPr="00B82B04">
              <w:rPr>
                <w:rFonts w:ascii="Arial" w:hAnsi="Arial" w:cs="Arial"/>
                <w:sz w:val="20"/>
                <w:szCs w:val="20"/>
              </w:rPr>
              <w:t>ppendix</w:t>
            </w:r>
            <w:proofErr w:type="gramEnd"/>
            <w:r w:rsidRPr="00B82B04">
              <w:rPr>
                <w:rFonts w:ascii="Arial" w:hAnsi="Arial" w:cs="Arial"/>
                <w:sz w:val="20"/>
                <w:szCs w:val="20"/>
              </w:rPr>
              <w:t xml:space="preserve"> C,</w:t>
            </w:r>
            <w:r w:rsidRPr="00B82B04">
              <w:rPr>
                <w:rFonts w:ascii="Arial" w:hAnsi="Arial" w:cs="Arial"/>
                <w:b/>
                <w:bCs/>
                <w:sz w:val="20"/>
                <w:szCs w:val="20"/>
              </w:rPr>
              <w:t xml:space="preserve"> </w:t>
            </w:r>
            <w:r w:rsidRPr="00B82B04">
              <w:rPr>
                <w:rFonts w:ascii="Arial" w:hAnsi="Arial" w:cs="Arial"/>
                <w:sz w:val="20"/>
                <w:szCs w:val="20"/>
              </w:rPr>
              <w:t>includes Baseline</w:t>
            </w:r>
            <w:r w:rsidRPr="00B82B04">
              <w:rPr>
                <w:rFonts w:ascii="Arial" w:hAnsi="Arial" w:cs="Arial"/>
                <w:b/>
                <w:bCs/>
                <w:sz w:val="20"/>
                <w:szCs w:val="20"/>
              </w:rPr>
              <w:t xml:space="preserve"> </w:t>
            </w:r>
            <w:r w:rsidRPr="00B82B04">
              <w:rPr>
                <w:rFonts w:ascii="Arial" w:hAnsi="Arial" w:cs="Arial"/>
                <w:sz w:val="20"/>
                <w:szCs w:val="20"/>
              </w:rPr>
              <w:t>and Post-modification surveys, English and Spanish versions</w:t>
            </w:r>
            <w:r w:rsidRPr="00A56158">
              <w:rPr>
                <w:rFonts w:ascii="Arial" w:hAnsi="Arial" w:cs="Arial"/>
                <w:bCs/>
                <w:sz w:val="20"/>
                <w:szCs w:val="20"/>
              </w:rPr>
              <w:t>)</w:t>
            </w:r>
          </w:p>
        </w:tc>
        <w:tc>
          <w:tcPr>
            <w:tcW w:w="2970" w:type="dxa"/>
          </w:tcPr>
          <w:p w:rsidRPr="00B82B04" w:rsidR="00F5259C" w:rsidP="00902F66" w:rsidRDefault="00F5259C" w14:paraId="2A19A170" w14:textId="77777777">
            <w:pPr>
              <w:rPr>
                <w:rFonts w:ascii="Arial" w:hAnsi="Arial" w:cs="Arial"/>
                <w:sz w:val="20"/>
                <w:szCs w:val="20"/>
              </w:rPr>
            </w:pPr>
            <w:r w:rsidRPr="00B82B04">
              <w:rPr>
                <w:rFonts w:ascii="Arial" w:hAnsi="Arial" w:cs="Arial"/>
                <w:sz w:val="20"/>
                <w:szCs w:val="20"/>
              </w:rPr>
              <w:t xml:space="preserve">Collects data on ADLs, IADLs, and falls. Questions are needed to assess client health and physical function status before home modification. (A discussion of the validated questionnaires included in this instrument appears in </w:t>
            </w:r>
            <w:r>
              <w:rPr>
                <w:rFonts w:ascii="Arial" w:hAnsi="Arial" w:cs="Arial"/>
                <w:sz w:val="20"/>
                <w:szCs w:val="20"/>
              </w:rPr>
              <w:t>A.7</w:t>
            </w:r>
            <w:r w:rsidRPr="00B82B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_Ref77086182 </w:instrText>
            </w:r>
            <w:r>
              <w:rPr>
                <w:rFonts w:ascii="Arial" w:hAnsi="Arial" w:cs="Arial"/>
                <w:sz w:val="20"/>
                <w:szCs w:val="20"/>
              </w:rPr>
              <w:fldChar w:fldCharType="separate"/>
            </w:r>
            <w:r w:rsidRPr="00B82B04">
              <w:rPr>
                <w:rFonts w:ascii="Arial" w:hAnsi="Arial" w:cs="Arial"/>
                <w:sz w:val="20"/>
                <w:szCs w:val="20"/>
              </w:rPr>
              <w:t xml:space="preserve">Table </w:t>
            </w:r>
            <w:r>
              <w:rPr>
                <w:rFonts w:ascii="Arial" w:hAnsi="Arial" w:cs="Arial"/>
                <w:noProof/>
                <w:sz w:val="20"/>
                <w:szCs w:val="20"/>
              </w:rPr>
              <w:t>5</w:t>
            </w:r>
            <w:r>
              <w:rPr>
                <w:rFonts w:ascii="Arial" w:hAnsi="Arial" w:cs="Arial"/>
                <w:sz w:val="20"/>
                <w:szCs w:val="20"/>
              </w:rPr>
              <w:fldChar w:fldCharType="end"/>
            </w:r>
            <w:r w:rsidRPr="00B82B04">
              <w:rPr>
                <w:rFonts w:ascii="Arial" w:hAnsi="Arial" w:cs="Arial"/>
                <w:sz w:val="20"/>
                <w:szCs w:val="20"/>
              </w:rPr>
              <w:t>.)</w:t>
            </w:r>
          </w:p>
        </w:tc>
        <w:tc>
          <w:tcPr>
            <w:tcW w:w="1260" w:type="dxa"/>
          </w:tcPr>
          <w:p w:rsidRPr="00B82B04" w:rsidR="00F5259C" w:rsidP="00902F66" w:rsidRDefault="00F5259C" w14:paraId="34530B26" w14:textId="77777777">
            <w:pPr>
              <w:rPr>
                <w:rFonts w:ascii="Arial" w:hAnsi="Arial" w:cs="Arial"/>
                <w:sz w:val="20"/>
                <w:szCs w:val="20"/>
              </w:rPr>
            </w:pPr>
            <w:r w:rsidRPr="00B82B04">
              <w:rPr>
                <w:rFonts w:ascii="Arial" w:hAnsi="Arial" w:cs="Arial"/>
                <w:sz w:val="20"/>
                <w:szCs w:val="20"/>
              </w:rPr>
              <w:t>Impact #1, 3</w:t>
            </w:r>
          </w:p>
        </w:tc>
        <w:tc>
          <w:tcPr>
            <w:tcW w:w="1440" w:type="dxa"/>
          </w:tcPr>
          <w:p w:rsidRPr="00B82B04" w:rsidR="00F5259C" w:rsidP="00902F66" w:rsidRDefault="00F5259C" w14:paraId="70DF72E4" w14:textId="77777777">
            <w:pPr>
              <w:rPr>
                <w:rFonts w:ascii="Arial" w:hAnsi="Arial" w:cs="Arial"/>
                <w:sz w:val="20"/>
                <w:szCs w:val="20"/>
              </w:rPr>
            </w:pPr>
            <w:r w:rsidRPr="00B82B04">
              <w:rPr>
                <w:rFonts w:ascii="Arial" w:hAnsi="Arial" w:cs="Arial"/>
                <w:sz w:val="20"/>
                <w:szCs w:val="20"/>
              </w:rPr>
              <w:t>Baseline</w:t>
            </w:r>
          </w:p>
        </w:tc>
        <w:tc>
          <w:tcPr>
            <w:tcW w:w="1710" w:type="dxa"/>
          </w:tcPr>
          <w:p w:rsidRPr="00B82B04" w:rsidR="00F5259C" w:rsidP="00902F66" w:rsidRDefault="00F5259C" w14:paraId="4747769C" w14:textId="77777777">
            <w:pPr>
              <w:rPr>
                <w:rFonts w:ascii="Arial" w:hAnsi="Arial" w:cs="Arial"/>
                <w:sz w:val="20"/>
                <w:szCs w:val="20"/>
              </w:rPr>
            </w:pPr>
            <w:r w:rsidRPr="00B82B04">
              <w:rPr>
                <w:rFonts w:ascii="Arial" w:hAnsi="Arial" w:cs="Arial"/>
                <w:sz w:val="20"/>
                <w:szCs w:val="20"/>
              </w:rPr>
              <w:t xml:space="preserve">Grantees to all clients. </w:t>
            </w:r>
          </w:p>
        </w:tc>
      </w:tr>
      <w:tr w:rsidRPr="00B82B04" w:rsidR="00F5259C" w:rsidTr="00902F66" w14:paraId="2BAD765D" w14:textId="77777777">
        <w:tc>
          <w:tcPr>
            <w:tcW w:w="1975" w:type="dxa"/>
          </w:tcPr>
          <w:p w:rsidRPr="00B82B04" w:rsidR="00F5259C" w:rsidP="00902F66" w:rsidRDefault="00F5259C" w14:paraId="1B5E686B" w14:textId="77777777">
            <w:pPr>
              <w:autoSpaceDE w:val="0"/>
              <w:autoSpaceDN w:val="0"/>
              <w:adjustRightInd w:val="0"/>
              <w:spacing w:after="60"/>
              <w:rPr>
                <w:rFonts w:ascii="Arial" w:hAnsi="Arial" w:cs="Arial"/>
                <w:b/>
                <w:bCs/>
                <w:sz w:val="20"/>
                <w:szCs w:val="20"/>
              </w:rPr>
            </w:pPr>
            <w:r w:rsidRPr="00B82B04">
              <w:rPr>
                <w:rFonts w:ascii="Arial" w:hAnsi="Arial" w:cs="Arial"/>
                <w:b/>
                <w:bCs/>
                <w:sz w:val="20"/>
                <w:szCs w:val="20"/>
              </w:rPr>
              <w:t>Home Hazard Checklist, Baseline</w:t>
            </w:r>
          </w:p>
          <w:p w:rsidRPr="00B82B04" w:rsidR="00F5259C" w:rsidP="00902F66" w:rsidRDefault="00F5259C" w14:paraId="0FD89C54" w14:textId="77777777">
            <w:pPr>
              <w:rPr>
                <w:rFonts w:ascii="Arial" w:hAnsi="Arial" w:cs="Arial"/>
                <w:sz w:val="20"/>
                <w:szCs w:val="20"/>
              </w:rPr>
            </w:pPr>
            <w:r w:rsidRPr="00B82B04">
              <w:rPr>
                <w:rFonts w:ascii="Arial" w:hAnsi="Arial" w:cs="Arial"/>
                <w:sz w:val="20"/>
                <w:szCs w:val="20"/>
              </w:rPr>
              <w:t>(</w:t>
            </w:r>
            <w:proofErr w:type="gramStart"/>
            <w:r w:rsidRPr="00B82B04">
              <w:rPr>
                <w:rFonts w:ascii="Arial" w:hAnsi="Arial" w:cs="Arial"/>
                <w:sz w:val="20"/>
                <w:szCs w:val="20"/>
              </w:rPr>
              <w:t>appendix</w:t>
            </w:r>
            <w:proofErr w:type="gramEnd"/>
            <w:r w:rsidRPr="00B82B04">
              <w:rPr>
                <w:rFonts w:ascii="Arial" w:hAnsi="Arial" w:cs="Arial"/>
                <w:sz w:val="20"/>
                <w:szCs w:val="20"/>
              </w:rPr>
              <w:t xml:space="preserve"> D, includes Baseline and Post-modification checklists)</w:t>
            </w:r>
          </w:p>
        </w:tc>
        <w:tc>
          <w:tcPr>
            <w:tcW w:w="2970" w:type="dxa"/>
          </w:tcPr>
          <w:p w:rsidRPr="00B82B04" w:rsidR="00F5259C" w:rsidP="00902F66" w:rsidRDefault="00F5259C" w14:paraId="03F1F2A0" w14:textId="77777777">
            <w:pPr>
              <w:rPr>
                <w:rFonts w:ascii="Arial" w:hAnsi="Arial" w:cs="Arial"/>
                <w:sz w:val="20"/>
                <w:szCs w:val="20"/>
              </w:rPr>
            </w:pPr>
            <w:r w:rsidRPr="00B82B04">
              <w:rPr>
                <w:rFonts w:ascii="Arial" w:hAnsi="Arial" w:cs="Arial"/>
                <w:sz w:val="20"/>
                <w:szCs w:val="20"/>
              </w:rPr>
              <w:t xml:space="preserve">Collects data on housing characteristics and conditions to help grantee identify needed home modifications. Home hazard data will also be used to compare the number of home hazards before and after home modifications. </w:t>
            </w:r>
          </w:p>
        </w:tc>
        <w:tc>
          <w:tcPr>
            <w:tcW w:w="1260" w:type="dxa"/>
          </w:tcPr>
          <w:p w:rsidRPr="00B82B04" w:rsidR="00F5259C" w:rsidP="00902F66" w:rsidRDefault="00F5259C" w14:paraId="73F588C3" w14:textId="77777777">
            <w:pPr>
              <w:autoSpaceDE w:val="0"/>
              <w:autoSpaceDN w:val="0"/>
              <w:adjustRightInd w:val="0"/>
              <w:spacing w:after="60"/>
              <w:rPr>
                <w:rFonts w:ascii="Arial" w:hAnsi="Arial" w:cs="Arial"/>
                <w:sz w:val="20"/>
                <w:szCs w:val="20"/>
              </w:rPr>
            </w:pPr>
            <w:r w:rsidRPr="00B82B04">
              <w:rPr>
                <w:rFonts w:ascii="Arial" w:hAnsi="Arial" w:cs="Arial"/>
                <w:sz w:val="20"/>
                <w:szCs w:val="20"/>
              </w:rPr>
              <w:t>Process #2</w:t>
            </w:r>
          </w:p>
          <w:p w:rsidRPr="00B82B04" w:rsidR="00F5259C" w:rsidP="00902F66" w:rsidRDefault="00F5259C" w14:paraId="2D8C9A3A" w14:textId="77777777">
            <w:pPr>
              <w:rPr>
                <w:rFonts w:ascii="Arial" w:hAnsi="Arial" w:cs="Arial"/>
                <w:sz w:val="20"/>
                <w:szCs w:val="20"/>
              </w:rPr>
            </w:pPr>
            <w:r w:rsidRPr="00B82B04">
              <w:rPr>
                <w:rFonts w:ascii="Arial" w:hAnsi="Arial" w:cs="Arial"/>
                <w:sz w:val="20"/>
                <w:szCs w:val="20"/>
              </w:rPr>
              <w:t>Impact #5</w:t>
            </w:r>
          </w:p>
        </w:tc>
        <w:tc>
          <w:tcPr>
            <w:tcW w:w="1440" w:type="dxa"/>
          </w:tcPr>
          <w:p w:rsidRPr="00B82B04" w:rsidR="00F5259C" w:rsidP="00902F66" w:rsidRDefault="00F5259C" w14:paraId="06056071" w14:textId="77777777">
            <w:pPr>
              <w:rPr>
                <w:rFonts w:ascii="Arial" w:hAnsi="Arial" w:cs="Arial"/>
                <w:sz w:val="20"/>
                <w:szCs w:val="20"/>
              </w:rPr>
            </w:pPr>
            <w:r w:rsidRPr="00B82B04">
              <w:rPr>
                <w:rFonts w:ascii="Arial" w:hAnsi="Arial" w:cs="Arial"/>
                <w:sz w:val="20"/>
                <w:szCs w:val="20"/>
              </w:rPr>
              <w:t xml:space="preserve">Baseline </w:t>
            </w:r>
          </w:p>
        </w:tc>
        <w:tc>
          <w:tcPr>
            <w:tcW w:w="1710" w:type="dxa"/>
          </w:tcPr>
          <w:p w:rsidRPr="00B82B04" w:rsidR="00F5259C" w:rsidP="00902F66" w:rsidRDefault="00F5259C" w14:paraId="17517977" w14:textId="77777777">
            <w:pPr>
              <w:rPr>
                <w:rFonts w:ascii="Arial" w:hAnsi="Arial" w:cs="Arial"/>
                <w:sz w:val="20"/>
                <w:szCs w:val="20"/>
              </w:rPr>
            </w:pPr>
            <w:r w:rsidRPr="00B82B04">
              <w:rPr>
                <w:rFonts w:ascii="Arial" w:hAnsi="Arial" w:cs="Arial"/>
                <w:sz w:val="20"/>
                <w:szCs w:val="20"/>
              </w:rPr>
              <w:t>Grantees for all clients.</w:t>
            </w:r>
          </w:p>
        </w:tc>
      </w:tr>
      <w:tr w:rsidRPr="00B82B04" w:rsidR="00F5259C" w:rsidTr="00902F66" w14:paraId="147625CB" w14:textId="77777777">
        <w:tc>
          <w:tcPr>
            <w:tcW w:w="1975" w:type="dxa"/>
          </w:tcPr>
          <w:p w:rsidRPr="00B82B04" w:rsidR="00F5259C" w:rsidP="00902F66" w:rsidRDefault="00F5259C" w14:paraId="38A2A71A" w14:textId="77777777">
            <w:pPr>
              <w:autoSpaceDE w:val="0"/>
              <w:autoSpaceDN w:val="0"/>
              <w:adjustRightInd w:val="0"/>
              <w:spacing w:after="60"/>
              <w:rPr>
                <w:rFonts w:ascii="Arial" w:hAnsi="Arial" w:cs="Arial"/>
                <w:b/>
                <w:bCs/>
                <w:sz w:val="20"/>
                <w:szCs w:val="20"/>
              </w:rPr>
            </w:pPr>
            <w:bookmarkStart w:name="_Hlk79416573" w:id="15"/>
            <w:r w:rsidRPr="00B82B04">
              <w:rPr>
                <w:rFonts w:ascii="Arial" w:hAnsi="Arial" w:cs="Arial"/>
                <w:b/>
                <w:bCs/>
                <w:sz w:val="20"/>
                <w:szCs w:val="20"/>
              </w:rPr>
              <w:t xml:space="preserve">OAHM Program Evaluation Informed Consent </w:t>
            </w:r>
          </w:p>
          <w:p w:rsidRPr="00B82B04" w:rsidR="00F5259C" w:rsidP="00902F66" w:rsidRDefault="00F5259C" w14:paraId="52F157B4" w14:textId="77777777">
            <w:pPr>
              <w:rPr>
                <w:rFonts w:ascii="Arial" w:hAnsi="Arial" w:cs="Arial"/>
                <w:sz w:val="20"/>
                <w:szCs w:val="20"/>
              </w:rPr>
            </w:pPr>
            <w:r w:rsidRPr="00B82B04">
              <w:rPr>
                <w:rFonts w:ascii="Arial" w:hAnsi="Arial" w:cs="Arial"/>
                <w:sz w:val="20"/>
                <w:szCs w:val="20"/>
              </w:rPr>
              <w:t>(</w:t>
            </w:r>
            <w:proofErr w:type="gramStart"/>
            <w:r w:rsidRPr="00B82B04">
              <w:rPr>
                <w:rFonts w:ascii="Arial" w:hAnsi="Arial" w:cs="Arial"/>
                <w:sz w:val="20"/>
                <w:szCs w:val="20"/>
              </w:rPr>
              <w:t>appendix</w:t>
            </w:r>
            <w:proofErr w:type="gramEnd"/>
            <w:r w:rsidRPr="00B82B04">
              <w:rPr>
                <w:rFonts w:ascii="Arial" w:hAnsi="Arial" w:cs="Arial"/>
                <w:sz w:val="20"/>
                <w:szCs w:val="20"/>
              </w:rPr>
              <w:t xml:space="preserve"> E</w:t>
            </w:r>
            <w:bookmarkEnd w:id="15"/>
            <w:r w:rsidRPr="00B82B04">
              <w:rPr>
                <w:rFonts w:ascii="Arial" w:hAnsi="Arial" w:cs="Arial"/>
                <w:sz w:val="20"/>
                <w:szCs w:val="20"/>
              </w:rPr>
              <w:t>, English and Spanish versions)</w:t>
            </w:r>
          </w:p>
        </w:tc>
        <w:tc>
          <w:tcPr>
            <w:tcW w:w="2970" w:type="dxa"/>
          </w:tcPr>
          <w:p w:rsidRPr="00B82B04" w:rsidR="00F5259C" w:rsidP="00902F66" w:rsidRDefault="00F5259C" w14:paraId="0FBE6444" w14:textId="77777777">
            <w:pPr>
              <w:rPr>
                <w:rFonts w:ascii="Arial" w:hAnsi="Arial" w:cs="Arial"/>
                <w:sz w:val="20"/>
                <w:szCs w:val="20"/>
              </w:rPr>
            </w:pPr>
            <w:r w:rsidRPr="00B82B04">
              <w:rPr>
                <w:rFonts w:ascii="Arial" w:hAnsi="Arial" w:cs="Arial"/>
                <w:sz w:val="20"/>
                <w:szCs w:val="20"/>
              </w:rPr>
              <w:t xml:space="preserve">Embedded in the OAHM Impact Evaluation Interview to have grantees obtain consent to ask for Evaluation data (i.e., demographic information, health and physical function, unplanned healthcare utilization, and other conditions). </w:t>
            </w:r>
          </w:p>
        </w:tc>
        <w:tc>
          <w:tcPr>
            <w:tcW w:w="1260" w:type="dxa"/>
          </w:tcPr>
          <w:p w:rsidRPr="00B82B04" w:rsidR="00F5259C" w:rsidP="00902F66" w:rsidRDefault="00F5259C" w14:paraId="1619504F" w14:textId="77777777">
            <w:pPr>
              <w:rPr>
                <w:rFonts w:ascii="Arial" w:hAnsi="Arial" w:cs="Arial"/>
                <w:sz w:val="20"/>
                <w:szCs w:val="20"/>
              </w:rPr>
            </w:pPr>
            <w:r w:rsidRPr="00B82B04">
              <w:rPr>
                <w:rFonts w:ascii="Arial" w:hAnsi="Arial" w:cs="Arial"/>
                <w:sz w:val="20"/>
                <w:szCs w:val="20"/>
              </w:rPr>
              <w:t>Not applicable</w:t>
            </w:r>
          </w:p>
        </w:tc>
        <w:tc>
          <w:tcPr>
            <w:tcW w:w="1440" w:type="dxa"/>
          </w:tcPr>
          <w:p w:rsidRPr="00B82B04" w:rsidR="00F5259C" w:rsidP="00902F66" w:rsidRDefault="00F5259C" w14:paraId="642AA4BD" w14:textId="77777777">
            <w:pPr>
              <w:rPr>
                <w:rFonts w:ascii="Arial" w:hAnsi="Arial" w:cs="Arial"/>
                <w:sz w:val="20"/>
                <w:szCs w:val="20"/>
              </w:rPr>
            </w:pPr>
            <w:r w:rsidRPr="00B82B04">
              <w:rPr>
                <w:rFonts w:ascii="Arial" w:hAnsi="Arial" w:cs="Arial"/>
                <w:sz w:val="20"/>
                <w:szCs w:val="20"/>
              </w:rPr>
              <w:t xml:space="preserve">Baseline </w:t>
            </w:r>
          </w:p>
        </w:tc>
        <w:tc>
          <w:tcPr>
            <w:tcW w:w="1710" w:type="dxa"/>
          </w:tcPr>
          <w:p w:rsidRPr="00B82B04" w:rsidR="00F5259C" w:rsidP="00902F66" w:rsidRDefault="00F5259C" w14:paraId="52FECFC9" w14:textId="77777777">
            <w:pPr>
              <w:rPr>
                <w:rFonts w:ascii="Arial" w:hAnsi="Arial" w:cs="Arial"/>
                <w:sz w:val="20"/>
                <w:szCs w:val="20"/>
              </w:rPr>
            </w:pPr>
            <w:r w:rsidRPr="00B82B04">
              <w:rPr>
                <w:rFonts w:ascii="Arial" w:hAnsi="Arial" w:cs="Arial"/>
                <w:sz w:val="20"/>
                <w:szCs w:val="20"/>
              </w:rPr>
              <w:t>Grantees to all clients. Informed consent form is signed by the client and witnessed and signed by grantee representative.</w:t>
            </w:r>
          </w:p>
        </w:tc>
      </w:tr>
      <w:tr w:rsidRPr="00B82B04" w:rsidR="00F5259C" w:rsidTr="00902F66" w14:paraId="45C1C776" w14:textId="77777777">
        <w:tc>
          <w:tcPr>
            <w:tcW w:w="1975" w:type="dxa"/>
          </w:tcPr>
          <w:p w:rsidRPr="00B82B04" w:rsidR="00F5259C" w:rsidP="00902F66" w:rsidRDefault="00F5259C" w14:paraId="13949312" w14:textId="77777777">
            <w:pPr>
              <w:autoSpaceDE w:val="0"/>
              <w:autoSpaceDN w:val="0"/>
              <w:adjustRightInd w:val="0"/>
              <w:spacing w:after="60"/>
              <w:rPr>
                <w:rFonts w:ascii="Arial" w:hAnsi="Arial" w:cs="Arial"/>
                <w:b/>
                <w:bCs/>
                <w:sz w:val="20"/>
                <w:szCs w:val="20"/>
              </w:rPr>
            </w:pPr>
            <w:r w:rsidRPr="00B82B04">
              <w:rPr>
                <w:rFonts w:ascii="Arial" w:hAnsi="Arial" w:cs="Arial"/>
                <w:b/>
                <w:bCs/>
                <w:sz w:val="20"/>
                <w:szCs w:val="20"/>
              </w:rPr>
              <w:t>OAHM Client Impact Evaluation Interview, Baseline</w:t>
            </w:r>
          </w:p>
          <w:p w:rsidRPr="00B82B04" w:rsidR="00F5259C" w:rsidP="00902F66" w:rsidRDefault="00F5259C" w14:paraId="45DAE777" w14:textId="77777777">
            <w:pPr>
              <w:autoSpaceDE w:val="0"/>
              <w:autoSpaceDN w:val="0"/>
              <w:adjustRightInd w:val="0"/>
              <w:spacing w:after="60"/>
              <w:rPr>
                <w:rFonts w:ascii="Arial" w:hAnsi="Arial" w:cs="Arial"/>
                <w:b/>
                <w:bCs/>
                <w:sz w:val="20"/>
                <w:szCs w:val="20"/>
              </w:rPr>
            </w:pPr>
            <w:r w:rsidRPr="00B82B04">
              <w:rPr>
                <w:rFonts w:ascii="Arial" w:hAnsi="Arial" w:cs="Arial"/>
                <w:sz w:val="20"/>
                <w:szCs w:val="20"/>
              </w:rPr>
              <w:t>(</w:t>
            </w:r>
            <w:proofErr w:type="gramStart"/>
            <w:r w:rsidRPr="00B82B04">
              <w:rPr>
                <w:rFonts w:ascii="Arial" w:hAnsi="Arial" w:cs="Arial"/>
                <w:sz w:val="20"/>
                <w:szCs w:val="20"/>
              </w:rPr>
              <w:t>appendix</w:t>
            </w:r>
            <w:proofErr w:type="gramEnd"/>
            <w:r w:rsidRPr="00B82B04">
              <w:rPr>
                <w:rFonts w:ascii="Arial" w:hAnsi="Arial" w:cs="Arial"/>
                <w:sz w:val="20"/>
                <w:szCs w:val="20"/>
              </w:rPr>
              <w:t xml:space="preserve"> F, includes Baseline and Post-modification survey, English and Spanish versions)</w:t>
            </w:r>
          </w:p>
        </w:tc>
        <w:tc>
          <w:tcPr>
            <w:tcW w:w="2970" w:type="dxa"/>
          </w:tcPr>
          <w:p w:rsidRPr="00B82B04" w:rsidR="00F5259C" w:rsidP="00902F66" w:rsidRDefault="00F5259C" w14:paraId="79EE9678" w14:textId="77777777">
            <w:pPr>
              <w:rPr>
                <w:rFonts w:ascii="Arial" w:hAnsi="Arial" w:cs="Arial"/>
                <w:sz w:val="20"/>
                <w:szCs w:val="20"/>
              </w:rPr>
            </w:pPr>
            <w:r w:rsidRPr="00B82B04">
              <w:rPr>
                <w:rFonts w:ascii="Arial" w:hAnsi="Arial" w:cs="Arial"/>
                <w:sz w:val="20"/>
                <w:szCs w:val="20"/>
              </w:rPr>
              <w:t>Collects demographic data, health conditions, and unplanned healthcare usage, including responses to standardized scales on quality of life (</w:t>
            </w:r>
            <w:proofErr w:type="spellStart"/>
            <w:r w:rsidRPr="00B82B04">
              <w:rPr>
                <w:rFonts w:ascii="Arial" w:hAnsi="Arial" w:cs="Arial"/>
                <w:sz w:val="20"/>
                <w:szCs w:val="20"/>
              </w:rPr>
              <w:t>EuroQOL</w:t>
            </w:r>
            <w:proofErr w:type="spellEnd"/>
            <w:r w:rsidRPr="00B82B04">
              <w:rPr>
                <w:rFonts w:ascii="Arial" w:hAnsi="Arial" w:cs="Arial"/>
                <w:sz w:val="20"/>
                <w:szCs w:val="20"/>
              </w:rPr>
              <w:t>), falls efficacy (</w:t>
            </w:r>
            <w:proofErr w:type="spellStart"/>
            <w:r w:rsidRPr="00B82B04">
              <w:rPr>
                <w:rFonts w:ascii="Arial" w:hAnsi="Arial" w:cs="Arial"/>
                <w:sz w:val="20"/>
                <w:szCs w:val="20"/>
              </w:rPr>
              <w:t>Tinettis</w:t>
            </w:r>
            <w:proofErr w:type="spellEnd"/>
            <w:r w:rsidRPr="00B82B04">
              <w:rPr>
                <w:rFonts w:ascii="Arial" w:hAnsi="Arial" w:cs="Arial"/>
                <w:sz w:val="20"/>
                <w:szCs w:val="20"/>
              </w:rPr>
              <w:t xml:space="preserve"> Falls Scale), movement within and outside the house within the past four weeks (University of Alabama at Birmingham Aging Life Space Assessment), depression (The Patient Health Questionnaire PHQ-9), and Medicare Health Outcomes Survey (HOS) questions on ADLs and IADLs. Inclusion of Medicare HOS ADL and IADL questions will enable </w:t>
            </w:r>
            <w:r w:rsidRPr="00B82B04">
              <w:rPr>
                <w:rFonts w:ascii="Arial" w:hAnsi="Arial" w:cs="Arial"/>
                <w:sz w:val="20"/>
                <w:szCs w:val="20"/>
              </w:rPr>
              <w:lastRenderedPageBreak/>
              <w:t>the Evaluation to compare client data to regional and national trend data. For unplanned healthcare usage data, Agency for Healthcare Research and Quality (AHRQ) MEPS data</w:t>
            </w:r>
            <w:r w:rsidRPr="00B82B04">
              <w:rPr>
                <w:rFonts w:ascii="Arial" w:hAnsi="Arial" w:cs="Arial"/>
                <w:sz w:val="20"/>
                <w:szCs w:val="20"/>
                <w:vertAlign w:val="superscript"/>
              </w:rPr>
              <w:footnoteReference w:id="32"/>
            </w:r>
            <w:r w:rsidRPr="00B82B04">
              <w:rPr>
                <w:rFonts w:ascii="Arial" w:hAnsi="Arial" w:cs="Arial"/>
                <w:sz w:val="20"/>
                <w:szCs w:val="20"/>
              </w:rPr>
              <w:t xml:space="preserve"> will be used to assign regional costs to clients’ emergency response calls, ED visits, and unplanned hospitalizations. (Citations and discussion of the validated questionnaires included in this instrument appear in </w:t>
            </w:r>
            <w:r>
              <w:rPr>
                <w:rFonts w:ascii="Arial" w:hAnsi="Arial" w:cs="Arial"/>
                <w:sz w:val="20"/>
                <w:szCs w:val="20"/>
              </w:rPr>
              <w:t>A.7</w:t>
            </w:r>
            <w:r w:rsidRPr="00B82B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_Ref77086182 </w:instrText>
            </w:r>
            <w:r>
              <w:rPr>
                <w:rFonts w:ascii="Arial" w:hAnsi="Arial" w:cs="Arial"/>
                <w:sz w:val="20"/>
                <w:szCs w:val="20"/>
              </w:rPr>
              <w:fldChar w:fldCharType="separate"/>
            </w:r>
            <w:r w:rsidRPr="00B82B04">
              <w:rPr>
                <w:rFonts w:ascii="Arial" w:hAnsi="Arial" w:cs="Arial"/>
                <w:sz w:val="20"/>
                <w:szCs w:val="20"/>
              </w:rPr>
              <w:t xml:space="preserve">Table </w:t>
            </w:r>
            <w:r>
              <w:rPr>
                <w:rFonts w:ascii="Arial" w:hAnsi="Arial" w:cs="Arial"/>
                <w:noProof/>
                <w:sz w:val="20"/>
                <w:szCs w:val="20"/>
              </w:rPr>
              <w:t>5</w:t>
            </w:r>
            <w:r>
              <w:rPr>
                <w:rFonts w:ascii="Arial" w:hAnsi="Arial" w:cs="Arial"/>
                <w:sz w:val="20"/>
                <w:szCs w:val="20"/>
              </w:rPr>
              <w:fldChar w:fldCharType="end"/>
            </w:r>
            <w:r w:rsidRPr="00B82B04">
              <w:rPr>
                <w:rFonts w:ascii="Arial" w:hAnsi="Arial" w:cs="Arial"/>
                <w:sz w:val="20"/>
                <w:szCs w:val="20"/>
              </w:rPr>
              <w:t>.)</w:t>
            </w:r>
          </w:p>
        </w:tc>
        <w:tc>
          <w:tcPr>
            <w:tcW w:w="1260" w:type="dxa"/>
          </w:tcPr>
          <w:p w:rsidRPr="00B82B04" w:rsidR="00F5259C" w:rsidP="00902F66" w:rsidRDefault="00F5259C" w14:paraId="510F7C6B" w14:textId="77777777">
            <w:pPr>
              <w:autoSpaceDE w:val="0"/>
              <w:autoSpaceDN w:val="0"/>
              <w:adjustRightInd w:val="0"/>
              <w:spacing w:after="60"/>
              <w:rPr>
                <w:rFonts w:ascii="Arial" w:hAnsi="Arial" w:cs="Arial"/>
                <w:sz w:val="20"/>
                <w:szCs w:val="20"/>
              </w:rPr>
            </w:pPr>
            <w:r w:rsidRPr="00B82B04">
              <w:rPr>
                <w:rFonts w:ascii="Arial" w:hAnsi="Arial" w:cs="Arial"/>
                <w:sz w:val="20"/>
                <w:szCs w:val="20"/>
              </w:rPr>
              <w:lastRenderedPageBreak/>
              <w:t>Impact #1-4, 6</w:t>
            </w:r>
          </w:p>
        </w:tc>
        <w:tc>
          <w:tcPr>
            <w:tcW w:w="1440" w:type="dxa"/>
          </w:tcPr>
          <w:p w:rsidRPr="00B82B04" w:rsidR="00F5259C" w:rsidP="00902F66" w:rsidRDefault="00F5259C" w14:paraId="5A24F467" w14:textId="77777777">
            <w:pPr>
              <w:rPr>
                <w:rFonts w:ascii="Arial" w:hAnsi="Arial" w:cs="Arial"/>
                <w:sz w:val="20"/>
                <w:szCs w:val="20"/>
              </w:rPr>
            </w:pPr>
            <w:r w:rsidRPr="00B82B04">
              <w:rPr>
                <w:rFonts w:ascii="Arial" w:hAnsi="Arial" w:cs="Arial"/>
                <w:sz w:val="20"/>
                <w:szCs w:val="20"/>
              </w:rPr>
              <w:t>Baseline</w:t>
            </w:r>
          </w:p>
        </w:tc>
        <w:tc>
          <w:tcPr>
            <w:tcW w:w="1710" w:type="dxa"/>
          </w:tcPr>
          <w:p w:rsidRPr="00B82B04" w:rsidR="00F5259C" w:rsidP="00902F66" w:rsidRDefault="00F5259C" w14:paraId="56C103F6" w14:textId="77777777">
            <w:pPr>
              <w:rPr>
                <w:rFonts w:ascii="Arial" w:hAnsi="Arial" w:cs="Arial"/>
                <w:sz w:val="20"/>
                <w:szCs w:val="20"/>
              </w:rPr>
            </w:pPr>
            <w:r w:rsidRPr="00B82B04">
              <w:rPr>
                <w:rFonts w:ascii="Arial" w:hAnsi="Arial" w:cs="Arial"/>
                <w:sz w:val="20"/>
                <w:szCs w:val="20"/>
              </w:rPr>
              <w:t>Grantees to all clients who signed the Informed Consent</w:t>
            </w:r>
          </w:p>
        </w:tc>
      </w:tr>
      <w:tr w:rsidRPr="00B82B04" w:rsidR="00F5259C" w:rsidTr="00902F66" w14:paraId="5DB141D2" w14:textId="77777777">
        <w:tc>
          <w:tcPr>
            <w:tcW w:w="1975" w:type="dxa"/>
          </w:tcPr>
          <w:p w:rsidRPr="00B82B04" w:rsidR="00F5259C" w:rsidP="00902F66" w:rsidRDefault="00F5259C" w14:paraId="360DE491" w14:textId="77777777">
            <w:pPr>
              <w:autoSpaceDE w:val="0"/>
              <w:autoSpaceDN w:val="0"/>
              <w:adjustRightInd w:val="0"/>
              <w:spacing w:after="60"/>
              <w:rPr>
                <w:rFonts w:ascii="Arial" w:hAnsi="Arial" w:cs="Arial"/>
                <w:b/>
                <w:sz w:val="20"/>
                <w:szCs w:val="20"/>
              </w:rPr>
            </w:pPr>
            <w:r w:rsidRPr="00B82B04">
              <w:rPr>
                <w:rFonts w:ascii="Arial" w:hAnsi="Arial" w:cs="Arial"/>
                <w:b/>
                <w:sz w:val="20"/>
                <w:szCs w:val="20"/>
              </w:rPr>
              <w:t>Lost-to-Project Form</w:t>
            </w:r>
          </w:p>
          <w:p w:rsidRPr="00B82B04" w:rsidR="00F5259C" w:rsidP="00902F66" w:rsidRDefault="00F5259C" w14:paraId="4E065B54" w14:textId="77777777">
            <w:pPr>
              <w:autoSpaceDE w:val="0"/>
              <w:autoSpaceDN w:val="0"/>
              <w:adjustRightInd w:val="0"/>
              <w:spacing w:after="60"/>
              <w:rPr>
                <w:rFonts w:ascii="Arial" w:hAnsi="Arial" w:cs="Arial"/>
                <w:bCs/>
                <w:sz w:val="20"/>
                <w:szCs w:val="20"/>
              </w:rPr>
            </w:pPr>
            <w:r w:rsidRPr="00B82B04">
              <w:rPr>
                <w:rFonts w:ascii="Arial" w:hAnsi="Arial" w:cs="Arial"/>
                <w:bCs/>
                <w:sz w:val="20"/>
                <w:szCs w:val="20"/>
              </w:rPr>
              <w:t>(</w:t>
            </w:r>
            <w:proofErr w:type="gramStart"/>
            <w:r w:rsidRPr="00B82B04">
              <w:rPr>
                <w:rFonts w:ascii="Arial" w:hAnsi="Arial" w:cs="Arial"/>
                <w:bCs/>
                <w:sz w:val="20"/>
                <w:szCs w:val="20"/>
              </w:rPr>
              <w:t>appendix</w:t>
            </w:r>
            <w:proofErr w:type="gramEnd"/>
            <w:r w:rsidRPr="00B82B04">
              <w:rPr>
                <w:rFonts w:ascii="Arial" w:hAnsi="Arial" w:cs="Arial"/>
                <w:bCs/>
                <w:sz w:val="20"/>
                <w:szCs w:val="20"/>
              </w:rPr>
              <w:t xml:space="preserve"> G) </w:t>
            </w:r>
          </w:p>
        </w:tc>
        <w:tc>
          <w:tcPr>
            <w:tcW w:w="2970" w:type="dxa"/>
          </w:tcPr>
          <w:p w:rsidRPr="00B82B04" w:rsidR="00F5259C" w:rsidP="00902F66" w:rsidRDefault="00F5259C" w14:paraId="64EA7862" w14:textId="77777777">
            <w:pPr>
              <w:rPr>
                <w:rFonts w:ascii="Arial" w:hAnsi="Arial" w:cs="Arial"/>
                <w:sz w:val="20"/>
                <w:szCs w:val="20"/>
              </w:rPr>
            </w:pPr>
            <w:r w:rsidRPr="00B82B04">
              <w:rPr>
                <w:rFonts w:ascii="Arial" w:hAnsi="Arial" w:cs="Arial"/>
                <w:sz w:val="20"/>
                <w:szCs w:val="20"/>
              </w:rPr>
              <w:t>Tracks program decisions not to enroll a client in the program and documents the reasons for a client being de-enrolled from the program after enrollment</w:t>
            </w:r>
          </w:p>
        </w:tc>
        <w:tc>
          <w:tcPr>
            <w:tcW w:w="1260" w:type="dxa"/>
          </w:tcPr>
          <w:p w:rsidRPr="00B82B04" w:rsidR="00F5259C" w:rsidP="00902F66" w:rsidRDefault="00F5259C" w14:paraId="121943C3" w14:textId="77777777">
            <w:pPr>
              <w:autoSpaceDE w:val="0"/>
              <w:autoSpaceDN w:val="0"/>
              <w:adjustRightInd w:val="0"/>
              <w:spacing w:after="60"/>
              <w:rPr>
                <w:rFonts w:ascii="Arial" w:hAnsi="Arial" w:cs="Arial"/>
                <w:sz w:val="20"/>
                <w:szCs w:val="20"/>
              </w:rPr>
            </w:pPr>
            <w:r w:rsidRPr="00B82B04">
              <w:rPr>
                <w:rFonts w:ascii="Arial" w:hAnsi="Arial" w:cs="Arial"/>
                <w:sz w:val="20"/>
                <w:szCs w:val="20"/>
              </w:rPr>
              <w:t xml:space="preserve">Process #2 </w:t>
            </w:r>
          </w:p>
        </w:tc>
        <w:tc>
          <w:tcPr>
            <w:tcW w:w="1440" w:type="dxa"/>
          </w:tcPr>
          <w:p w:rsidRPr="00B82B04" w:rsidR="00F5259C" w:rsidP="00902F66" w:rsidRDefault="00F5259C" w14:paraId="6E49427D" w14:textId="77777777">
            <w:pPr>
              <w:rPr>
                <w:rFonts w:ascii="Arial" w:hAnsi="Arial" w:cs="Arial"/>
                <w:sz w:val="20"/>
                <w:szCs w:val="20"/>
              </w:rPr>
            </w:pPr>
            <w:r w:rsidRPr="00B82B04">
              <w:rPr>
                <w:rFonts w:ascii="Arial" w:hAnsi="Arial" w:cs="Arial"/>
                <w:sz w:val="20"/>
                <w:szCs w:val="20"/>
              </w:rPr>
              <w:t>Once for each ineligible potential client or each enrolled client lost to follow-up.</w:t>
            </w:r>
          </w:p>
        </w:tc>
        <w:tc>
          <w:tcPr>
            <w:tcW w:w="1710" w:type="dxa"/>
          </w:tcPr>
          <w:p w:rsidRPr="00B82B04" w:rsidR="00F5259C" w:rsidP="00902F66" w:rsidRDefault="00F5259C" w14:paraId="0B88AD86" w14:textId="77777777">
            <w:pPr>
              <w:rPr>
                <w:rFonts w:ascii="Arial" w:hAnsi="Arial" w:cs="Arial"/>
                <w:sz w:val="20"/>
                <w:szCs w:val="20"/>
              </w:rPr>
            </w:pPr>
            <w:r w:rsidRPr="00B82B04">
              <w:rPr>
                <w:rFonts w:ascii="Arial" w:hAnsi="Arial" w:cs="Arial"/>
                <w:sz w:val="20"/>
                <w:szCs w:val="20"/>
              </w:rPr>
              <w:t>Grantees for  each ineligible potential client and each enrolled client lost to follow-up.</w:t>
            </w:r>
          </w:p>
          <w:p w:rsidRPr="00B82B04" w:rsidR="00F5259C" w:rsidP="00902F66" w:rsidRDefault="00F5259C" w14:paraId="1575A7C1" w14:textId="77777777">
            <w:pPr>
              <w:rPr>
                <w:rFonts w:ascii="Arial" w:hAnsi="Arial" w:cs="Arial"/>
                <w:sz w:val="20"/>
                <w:szCs w:val="20"/>
              </w:rPr>
            </w:pPr>
          </w:p>
        </w:tc>
      </w:tr>
      <w:tr w:rsidRPr="00B82B04" w:rsidR="00F5259C" w:rsidTr="00902F66" w14:paraId="0D24E66A" w14:textId="77777777">
        <w:tc>
          <w:tcPr>
            <w:tcW w:w="1975" w:type="dxa"/>
          </w:tcPr>
          <w:p w:rsidRPr="00B82B04" w:rsidR="00F5259C" w:rsidP="00902F66" w:rsidRDefault="00F5259C" w14:paraId="743703A8" w14:textId="77777777">
            <w:pPr>
              <w:autoSpaceDE w:val="0"/>
              <w:autoSpaceDN w:val="0"/>
              <w:adjustRightInd w:val="0"/>
              <w:spacing w:after="60"/>
              <w:rPr>
                <w:rFonts w:ascii="Arial" w:hAnsi="Arial" w:cs="Arial"/>
                <w:b/>
                <w:sz w:val="20"/>
                <w:szCs w:val="20"/>
              </w:rPr>
            </w:pPr>
            <w:r w:rsidRPr="00B82B04">
              <w:rPr>
                <w:rFonts w:ascii="Arial" w:hAnsi="Arial" w:cs="Arial"/>
                <w:b/>
                <w:sz w:val="20"/>
                <w:szCs w:val="20"/>
              </w:rPr>
              <w:t xml:space="preserve">OAHM Program Documentation of Work Completed </w:t>
            </w:r>
            <w:r w:rsidRPr="00B82B04">
              <w:rPr>
                <w:rFonts w:ascii="Arial" w:hAnsi="Arial" w:cs="Arial"/>
                <w:b/>
                <w:bCs/>
                <w:sz w:val="20"/>
                <w:szCs w:val="20"/>
              </w:rPr>
              <w:t>Form</w:t>
            </w:r>
          </w:p>
          <w:p w:rsidRPr="00B82B04" w:rsidR="00F5259C" w:rsidP="00902F66" w:rsidRDefault="00F5259C" w14:paraId="7D943339" w14:textId="77777777">
            <w:pPr>
              <w:autoSpaceDE w:val="0"/>
              <w:autoSpaceDN w:val="0"/>
              <w:adjustRightInd w:val="0"/>
              <w:spacing w:after="60"/>
              <w:rPr>
                <w:rFonts w:ascii="Arial" w:hAnsi="Arial" w:cs="Arial"/>
                <w:bCs/>
                <w:sz w:val="20"/>
                <w:szCs w:val="20"/>
              </w:rPr>
            </w:pPr>
            <w:r w:rsidRPr="00B82B04">
              <w:rPr>
                <w:rFonts w:ascii="Arial" w:hAnsi="Arial" w:cs="Arial"/>
                <w:bCs/>
                <w:sz w:val="20"/>
                <w:szCs w:val="20"/>
              </w:rPr>
              <w:t>(</w:t>
            </w:r>
            <w:proofErr w:type="gramStart"/>
            <w:r w:rsidRPr="00B82B04">
              <w:rPr>
                <w:rFonts w:ascii="Arial" w:hAnsi="Arial" w:cs="Arial"/>
                <w:bCs/>
                <w:sz w:val="20"/>
                <w:szCs w:val="20"/>
              </w:rPr>
              <w:t>appendix</w:t>
            </w:r>
            <w:proofErr w:type="gramEnd"/>
            <w:r w:rsidRPr="00B82B04">
              <w:rPr>
                <w:rFonts w:ascii="Arial" w:hAnsi="Arial" w:cs="Arial"/>
                <w:bCs/>
                <w:sz w:val="20"/>
                <w:szCs w:val="20"/>
              </w:rPr>
              <w:t xml:space="preserve"> H) </w:t>
            </w:r>
          </w:p>
        </w:tc>
        <w:tc>
          <w:tcPr>
            <w:tcW w:w="2970" w:type="dxa"/>
          </w:tcPr>
          <w:p w:rsidRPr="00B82B04" w:rsidR="00F5259C" w:rsidP="00902F66" w:rsidRDefault="00F5259C" w14:paraId="397E00D4" w14:textId="77777777">
            <w:pPr>
              <w:rPr>
                <w:rFonts w:ascii="Arial" w:hAnsi="Arial" w:cs="Arial"/>
                <w:sz w:val="20"/>
                <w:szCs w:val="20"/>
              </w:rPr>
            </w:pPr>
            <w:r w:rsidRPr="00B82B04">
              <w:rPr>
                <w:rFonts w:ascii="Arial" w:hAnsi="Arial" w:cs="Arial"/>
                <w:sz w:val="20"/>
                <w:szCs w:val="20"/>
              </w:rPr>
              <w:t>Identifies type and room location of completed work, whether additional funds from other programs were used to cover modification costs, and costs for grantee in-house labor, subcontractor labor, and materials.</w:t>
            </w:r>
          </w:p>
        </w:tc>
        <w:tc>
          <w:tcPr>
            <w:tcW w:w="1260" w:type="dxa"/>
          </w:tcPr>
          <w:p w:rsidRPr="00B82B04" w:rsidR="00F5259C" w:rsidP="00902F66" w:rsidRDefault="00F5259C" w14:paraId="31F286E1" w14:textId="77777777">
            <w:pPr>
              <w:autoSpaceDE w:val="0"/>
              <w:autoSpaceDN w:val="0"/>
              <w:adjustRightInd w:val="0"/>
              <w:spacing w:after="60"/>
              <w:rPr>
                <w:rFonts w:ascii="Arial" w:hAnsi="Arial" w:cs="Arial"/>
                <w:sz w:val="20"/>
                <w:szCs w:val="20"/>
              </w:rPr>
            </w:pPr>
            <w:r w:rsidRPr="00B82B04">
              <w:rPr>
                <w:rFonts w:ascii="Arial" w:hAnsi="Arial" w:cs="Arial"/>
                <w:sz w:val="20"/>
                <w:szCs w:val="20"/>
              </w:rPr>
              <w:t>Process #2, 3, 7</w:t>
            </w:r>
          </w:p>
          <w:p w:rsidRPr="00B82B04" w:rsidR="00F5259C" w:rsidP="00902F66" w:rsidRDefault="00F5259C" w14:paraId="402D329D" w14:textId="77777777">
            <w:pPr>
              <w:autoSpaceDE w:val="0"/>
              <w:autoSpaceDN w:val="0"/>
              <w:adjustRightInd w:val="0"/>
              <w:spacing w:after="60"/>
              <w:rPr>
                <w:rFonts w:ascii="Arial" w:hAnsi="Arial" w:cs="Arial"/>
                <w:sz w:val="20"/>
                <w:szCs w:val="20"/>
              </w:rPr>
            </w:pPr>
            <w:r w:rsidRPr="00B82B04">
              <w:rPr>
                <w:rFonts w:ascii="Arial" w:hAnsi="Arial" w:cs="Arial"/>
                <w:sz w:val="20"/>
                <w:szCs w:val="20"/>
              </w:rPr>
              <w:t>Impact #5</w:t>
            </w:r>
          </w:p>
        </w:tc>
        <w:tc>
          <w:tcPr>
            <w:tcW w:w="1440" w:type="dxa"/>
          </w:tcPr>
          <w:p w:rsidRPr="00B82B04" w:rsidR="00F5259C" w:rsidP="00902F66" w:rsidRDefault="00F5259C" w14:paraId="20FB98D0" w14:textId="77777777">
            <w:pPr>
              <w:rPr>
                <w:rFonts w:ascii="Arial" w:hAnsi="Arial" w:cs="Arial"/>
                <w:sz w:val="20"/>
                <w:szCs w:val="20"/>
              </w:rPr>
            </w:pPr>
            <w:r w:rsidRPr="00B82B04">
              <w:rPr>
                <w:rFonts w:ascii="Arial" w:hAnsi="Arial" w:cs="Arial"/>
                <w:sz w:val="20"/>
                <w:szCs w:val="20"/>
              </w:rPr>
              <w:t>Once, within approximately one month of completing home modifications.</w:t>
            </w:r>
          </w:p>
        </w:tc>
        <w:tc>
          <w:tcPr>
            <w:tcW w:w="1710" w:type="dxa"/>
          </w:tcPr>
          <w:p w:rsidRPr="00B82B04" w:rsidR="00F5259C" w:rsidP="00902F66" w:rsidRDefault="00F5259C" w14:paraId="6F222CFD" w14:textId="77777777">
            <w:pPr>
              <w:rPr>
                <w:rFonts w:ascii="Arial" w:hAnsi="Arial" w:cs="Arial"/>
                <w:sz w:val="20"/>
                <w:szCs w:val="20"/>
              </w:rPr>
            </w:pPr>
            <w:r w:rsidRPr="00B82B04">
              <w:rPr>
                <w:rFonts w:ascii="Arial" w:hAnsi="Arial" w:cs="Arial"/>
                <w:sz w:val="20"/>
                <w:szCs w:val="20"/>
              </w:rPr>
              <w:t>Grantees for all clients who received home modifications.</w:t>
            </w:r>
          </w:p>
        </w:tc>
      </w:tr>
      <w:tr w:rsidRPr="00B82B04" w:rsidR="00F5259C" w:rsidTr="00902F66" w14:paraId="4D2F549A" w14:textId="77777777">
        <w:tc>
          <w:tcPr>
            <w:tcW w:w="1975" w:type="dxa"/>
          </w:tcPr>
          <w:p w:rsidRPr="00B82B04" w:rsidR="00F5259C" w:rsidP="00902F66" w:rsidRDefault="00F5259C" w14:paraId="5BA837C3" w14:textId="77777777">
            <w:pPr>
              <w:autoSpaceDE w:val="0"/>
              <w:autoSpaceDN w:val="0"/>
              <w:adjustRightInd w:val="0"/>
              <w:spacing w:after="60"/>
              <w:rPr>
                <w:rFonts w:ascii="Arial" w:hAnsi="Arial" w:cs="Arial"/>
                <w:b/>
                <w:bCs/>
                <w:sz w:val="20"/>
                <w:szCs w:val="20"/>
              </w:rPr>
            </w:pPr>
            <w:r w:rsidRPr="00B82B04">
              <w:rPr>
                <w:rFonts w:ascii="Arial" w:hAnsi="Arial" w:cs="Arial"/>
                <w:b/>
                <w:sz w:val="20"/>
                <w:szCs w:val="20"/>
              </w:rPr>
              <w:t xml:space="preserve">OAHM </w:t>
            </w:r>
            <w:r w:rsidRPr="00B82B04">
              <w:rPr>
                <w:rFonts w:ascii="Arial" w:hAnsi="Arial" w:cs="Arial"/>
                <w:b/>
                <w:bCs/>
                <w:sz w:val="20"/>
                <w:szCs w:val="20"/>
              </w:rPr>
              <w:t xml:space="preserve">Client </w:t>
            </w:r>
            <w:r w:rsidRPr="00B82B04">
              <w:rPr>
                <w:rFonts w:ascii="Arial" w:hAnsi="Arial" w:cs="Arial"/>
                <w:b/>
                <w:sz w:val="20"/>
                <w:szCs w:val="20"/>
              </w:rPr>
              <w:t>Program Questionnaire</w:t>
            </w:r>
            <w:r w:rsidRPr="00B82B04">
              <w:rPr>
                <w:rFonts w:ascii="Arial" w:hAnsi="Arial" w:cs="Arial"/>
                <w:b/>
                <w:bCs/>
                <w:sz w:val="20"/>
                <w:szCs w:val="20"/>
              </w:rPr>
              <w:t>,</w:t>
            </w:r>
            <w:r w:rsidRPr="00B82B04">
              <w:rPr>
                <w:rFonts w:ascii="Arial" w:hAnsi="Arial" w:cs="Arial"/>
                <w:b/>
                <w:sz w:val="20"/>
                <w:szCs w:val="20"/>
              </w:rPr>
              <w:t xml:space="preserve"> Post-</w:t>
            </w:r>
            <w:r w:rsidRPr="00B82B04">
              <w:rPr>
                <w:rFonts w:ascii="Arial" w:hAnsi="Arial" w:cs="Arial"/>
                <w:b/>
                <w:bCs/>
                <w:sz w:val="20"/>
                <w:szCs w:val="20"/>
              </w:rPr>
              <w:t>m</w:t>
            </w:r>
            <w:r w:rsidRPr="00B82B04">
              <w:rPr>
                <w:rFonts w:ascii="Arial" w:hAnsi="Arial" w:cs="Arial"/>
                <w:b/>
                <w:sz w:val="20"/>
                <w:szCs w:val="20"/>
              </w:rPr>
              <w:t xml:space="preserve">odification </w:t>
            </w:r>
          </w:p>
        </w:tc>
        <w:tc>
          <w:tcPr>
            <w:tcW w:w="2970" w:type="dxa"/>
          </w:tcPr>
          <w:p w:rsidRPr="00B82B04" w:rsidR="00F5259C" w:rsidP="00902F66" w:rsidRDefault="00F5259C" w14:paraId="5F702A13" w14:textId="77777777">
            <w:pPr>
              <w:rPr>
                <w:rFonts w:ascii="Arial" w:hAnsi="Arial" w:cs="Arial"/>
                <w:sz w:val="20"/>
                <w:szCs w:val="20"/>
              </w:rPr>
            </w:pPr>
            <w:r w:rsidRPr="00B82B04">
              <w:rPr>
                <w:rFonts w:ascii="Arial" w:hAnsi="Arial" w:cs="Arial"/>
                <w:sz w:val="20"/>
                <w:szCs w:val="20"/>
              </w:rPr>
              <w:t>Collects data on ADL, IADL, and falls to identify changes in health outcomes between baseline and post-home modification using the same questions as in the OAHM Client Program Questionnaire Baseline Form.</w:t>
            </w:r>
          </w:p>
        </w:tc>
        <w:tc>
          <w:tcPr>
            <w:tcW w:w="1260" w:type="dxa"/>
          </w:tcPr>
          <w:p w:rsidRPr="00B82B04" w:rsidR="00F5259C" w:rsidP="00902F66" w:rsidRDefault="00F5259C" w14:paraId="6D0B0CDE" w14:textId="77777777">
            <w:pPr>
              <w:autoSpaceDE w:val="0"/>
              <w:autoSpaceDN w:val="0"/>
              <w:adjustRightInd w:val="0"/>
              <w:spacing w:after="60"/>
              <w:rPr>
                <w:rFonts w:ascii="Arial" w:hAnsi="Arial" w:cs="Arial"/>
                <w:sz w:val="20"/>
                <w:szCs w:val="20"/>
              </w:rPr>
            </w:pPr>
            <w:r w:rsidRPr="00B82B04">
              <w:rPr>
                <w:rFonts w:ascii="Arial" w:hAnsi="Arial" w:cs="Arial"/>
                <w:sz w:val="20"/>
                <w:szCs w:val="20"/>
              </w:rPr>
              <w:t>Impact #1, 3</w:t>
            </w:r>
          </w:p>
        </w:tc>
        <w:tc>
          <w:tcPr>
            <w:tcW w:w="1440" w:type="dxa"/>
          </w:tcPr>
          <w:p w:rsidRPr="00B82B04" w:rsidR="00F5259C" w:rsidP="00902F66" w:rsidRDefault="00F5259C" w14:paraId="5BF9850D" w14:textId="77777777">
            <w:pPr>
              <w:rPr>
                <w:rFonts w:ascii="Arial" w:hAnsi="Arial" w:cs="Arial"/>
                <w:sz w:val="20"/>
                <w:szCs w:val="20"/>
              </w:rPr>
            </w:pPr>
            <w:r w:rsidRPr="00B82B04">
              <w:rPr>
                <w:rFonts w:ascii="Arial" w:hAnsi="Arial" w:cs="Arial"/>
                <w:sz w:val="20"/>
                <w:szCs w:val="20"/>
              </w:rPr>
              <w:t>6 to 9 months post-home modifications.</w:t>
            </w:r>
          </w:p>
        </w:tc>
        <w:tc>
          <w:tcPr>
            <w:tcW w:w="1710" w:type="dxa"/>
          </w:tcPr>
          <w:p w:rsidRPr="00B82B04" w:rsidR="00F5259C" w:rsidP="00902F66" w:rsidRDefault="00F5259C" w14:paraId="0E722CDA" w14:textId="77777777">
            <w:pPr>
              <w:rPr>
                <w:rFonts w:ascii="Arial" w:hAnsi="Arial" w:cs="Arial"/>
                <w:sz w:val="20"/>
                <w:szCs w:val="20"/>
              </w:rPr>
            </w:pPr>
            <w:r w:rsidRPr="00B82B04">
              <w:rPr>
                <w:rFonts w:ascii="Arial" w:hAnsi="Arial" w:cs="Arial"/>
                <w:sz w:val="20"/>
                <w:szCs w:val="20"/>
              </w:rPr>
              <w:t xml:space="preserve">Grantees to clients who received home modifications and signed informed consents. </w:t>
            </w:r>
          </w:p>
        </w:tc>
      </w:tr>
      <w:tr w:rsidRPr="00B82B04" w:rsidR="00F5259C" w:rsidTr="00902F66" w14:paraId="6DD7FABE" w14:textId="77777777">
        <w:tc>
          <w:tcPr>
            <w:tcW w:w="1975" w:type="dxa"/>
          </w:tcPr>
          <w:p w:rsidRPr="00B82B04" w:rsidR="00F5259C" w:rsidP="00902F66" w:rsidRDefault="00F5259C" w14:paraId="2BCD74A2" w14:textId="77777777">
            <w:pPr>
              <w:autoSpaceDE w:val="0"/>
              <w:autoSpaceDN w:val="0"/>
              <w:adjustRightInd w:val="0"/>
              <w:spacing w:after="60"/>
              <w:rPr>
                <w:rFonts w:ascii="Arial" w:hAnsi="Arial" w:cs="Arial"/>
                <w:b/>
                <w:sz w:val="20"/>
                <w:szCs w:val="20"/>
              </w:rPr>
            </w:pPr>
            <w:r w:rsidRPr="00B82B04">
              <w:rPr>
                <w:rFonts w:ascii="Arial" w:hAnsi="Arial" w:cs="Arial"/>
                <w:b/>
                <w:sz w:val="20"/>
                <w:szCs w:val="20"/>
              </w:rPr>
              <w:t xml:space="preserve">OAHM Client Impact Evaluation </w:t>
            </w:r>
            <w:r w:rsidRPr="00B82B04">
              <w:rPr>
                <w:rFonts w:ascii="Arial" w:hAnsi="Arial" w:cs="Arial"/>
                <w:b/>
                <w:sz w:val="20"/>
                <w:szCs w:val="20"/>
              </w:rPr>
              <w:lastRenderedPageBreak/>
              <w:t>Interview</w:t>
            </w:r>
            <w:r w:rsidRPr="00B82B04">
              <w:rPr>
                <w:rFonts w:ascii="Arial" w:hAnsi="Arial" w:cs="Arial"/>
                <w:b/>
                <w:bCs/>
                <w:sz w:val="20"/>
                <w:szCs w:val="20"/>
              </w:rPr>
              <w:t>,</w:t>
            </w:r>
            <w:r w:rsidRPr="00B82B04">
              <w:rPr>
                <w:rFonts w:ascii="Arial" w:hAnsi="Arial" w:cs="Arial"/>
                <w:b/>
                <w:sz w:val="20"/>
                <w:szCs w:val="20"/>
              </w:rPr>
              <w:t xml:space="preserve"> Post-</w:t>
            </w:r>
            <w:r w:rsidRPr="00B82B04">
              <w:rPr>
                <w:rFonts w:ascii="Arial" w:hAnsi="Arial" w:cs="Arial"/>
                <w:b/>
                <w:bCs/>
                <w:sz w:val="20"/>
                <w:szCs w:val="20"/>
              </w:rPr>
              <w:t>m</w:t>
            </w:r>
            <w:r w:rsidRPr="00B82B04">
              <w:rPr>
                <w:rFonts w:ascii="Arial" w:hAnsi="Arial" w:cs="Arial"/>
                <w:b/>
                <w:sz w:val="20"/>
                <w:szCs w:val="20"/>
              </w:rPr>
              <w:t>odification</w:t>
            </w:r>
          </w:p>
          <w:p w:rsidRPr="00B82B04" w:rsidR="00F5259C" w:rsidP="00902F66" w:rsidRDefault="00F5259C" w14:paraId="040038C8" w14:textId="77777777">
            <w:pPr>
              <w:autoSpaceDE w:val="0"/>
              <w:autoSpaceDN w:val="0"/>
              <w:adjustRightInd w:val="0"/>
              <w:spacing w:after="60"/>
              <w:rPr>
                <w:rFonts w:ascii="Arial" w:hAnsi="Arial" w:cs="Arial"/>
                <w:b/>
                <w:bCs/>
                <w:sz w:val="20"/>
                <w:szCs w:val="20"/>
              </w:rPr>
            </w:pPr>
          </w:p>
        </w:tc>
        <w:tc>
          <w:tcPr>
            <w:tcW w:w="2970" w:type="dxa"/>
          </w:tcPr>
          <w:p w:rsidRPr="00B82B04" w:rsidR="00F5259C" w:rsidP="00902F66" w:rsidRDefault="00F5259C" w14:paraId="178F008A" w14:textId="77777777">
            <w:pPr>
              <w:rPr>
                <w:rFonts w:ascii="Arial" w:hAnsi="Arial" w:cs="Arial"/>
                <w:sz w:val="20"/>
                <w:szCs w:val="20"/>
              </w:rPr>
            </w:pPr>
            <w:r w:rsidRPr="00B82B04">
              <w:rPr>
                <w:rFonts w:ascii="Arial" w:hAnsi="Arial" w:cs="Arial"/>
                <w:sz w:val="20"/>
                <w:szCs w:val="20"/>
              </w:rPr>
              <w:lastRenderedPageBreak/>
              <w:t xml:space="preserve">Collects post-home modification data using the same questions as in the OAHM Client Impact </w:t>
            </w:r>
            <w:r w:rsidRPr="00B82B04">
              <w:rPr>
                <w:rFonts w:ascii="Arial" w:hAnsi="Arial" w:cs="Arial"/>
                <w:sz w:val="20"/>
                <w:szCs w:val="20"/>
              </w:rPr>
              <w:lastRenderedPageBreak/>
              <w:t xml:space="preserve">Evaluation Interview Baseline form. </w:t>
            </w:r>
          </w:p>
        </w:tc>
        <w:tc>
          <w:tcPr>
            <w:tcW w:w="1260" w:type="dxa"/>
          </w:tcPr>
          <w:p w:rsidRPr="00B82B04" w:rsidR="00F5259C" w:rsidP="00902F66" w:rsidRDefault="00F5259C" w14:paraId="6414643B" w14:textId="77777777">
            <w:pPr>
              <w:autoSpaceDE w:val="0"/>
              <w:autoSpaceDN w:val="0"/>
              <w:adjustRightInd w:val="0"/>
              <w:spacing w:after="60"/>
              <w:rPr>
                <w:rFonts w:ascii="Arial" w:hAnsi="Arial" w:cs="Arial"/>
                <w:sz w:val="20"/>
                <w:szCs w:val="20"/>
              </w:rPr>
            </w:pPr>
            <w:r w:rsidRPr="00B82B04">
              <w:rPr>
                <w:rFonts w:ascii="Arial" w:hAnsi="Arial" w:cs="Arial"/>
                <w:sz w:val="20"/>
                <w:szCs w:val="20"/>
              </w:rPr>
              <w:lastRenderedPageBreak/>
              <w:t>Impact #1-4, 6</w:t>
            </w:r>
          </w:p>
        </w:tc>
        <w:tc>
          <w:tcPr>
            <w:tcW w:w="1440" w:type="dxa"/>
          </w:tcPr>
          <w:p w:rsidRPr="00B82B04" w:rsidR="00F5259C" w:rsidP="00902F66" w:rsidRDefault="00F5259C" w14:paraId="7D560AD0" w14:textId="77777777">
            <w:pPr>
              <w:rPr>
                <w:rFonts w:ascii="Arial" w:hAnsi="Arial" w:cs="Arial"/>
                <w:sz w:val="20"/>
                <w:szCs w:val="20"/>
              </w:rPr>
            </w:pPr>
            <w:r w:rsidRPr="00B82B04">
              <w:rPr>
                <w:rFonts w:ascii="Arial" w:hAnsi="Arial" w:cs="Arial"/>
                <w:sz w:val="20"/>
                <w:szCs w:val="20"/>
              </w:rPr>
              <w:t>6 to 9 months post-home modifications.</w:t>
            </w:r>
          </w:p>
        </w:tc>
        <w:tc>
          <w:tcPr>
            <w:tcW w:w="1710" w:type="dxa"/>
          </w:tcPr>
          <w:p w:rsidRPr="00B82B04" w:rsidR="00F5259C" w:rsidP="00902F66" w:rsidRDefault="00F5259C" w14:paraId="68E9D687" w14:textId="77777777">
            <w:pPr>
              <w:rPr>
                <w:rFonts w:ascii="Arial" w:hAnsi="Arial" w:cs="Arial"/>
                <w:sz w:val="20"/>
                <w:szCs w:val="20"/>
              </w:rPr>
            </w:pPr>
            <w:r w:rsidRPr="00B82B04">
              <w:rPr>
                <w:rFonts w:ascii="Arial" w:hAnsi="Arial" w:cs="Arial"/>
                <w:sz w:val="20"/>
                <w:szCs w:val="20"/>
              </w:rPr>
              <w:t xml:space="preserve">Grantees to clients who received home modifications and </w:t>
            </w:r>
            <w:r w:rsidRPr="00B82B04">
              <w:rPr>
                <w:rFonts w:ascii="Arial" w:hAnsi="Arial" w:cs="Arial"/>
                <w:sz w:val="20"/>
                <w:szCs w:val="20"/>
              </w:rPr>
              <w:lastRenderedPageBreak/>
              <w:t xml:space="preserve">signed informed consents. </w:t>
            </w:r>
          </w:p>
        </w:tc>
      </w:tr>
      <w:tr w:rsidRPr="00B82B04" w:rsidR="00F5259C" w:rsidTr="00902F66" w14:paraId="271818DA" w14:textId="77777777">
        <w:tc>
          <w:tcPr>
            <w:tcW w:w="1975" w:type="dxa"/>
          </w:tcPr>
          <w:p w:rsidRPr="00B82B04" w:rsidR="00F5259C" w:rsidP="00902F66" w:rsidRDefault="00F5259C" w14:paraId="11BB34FA" w14:textId="77777777">
            <w:pPr>
              <w:autoSpaceDE w:val="0"/>
              <w:autoSpaceDN w:val="0"/>
              <w:adjustRightInd w:val="0"/>
              <w:spacing w:after="60"/>
              <w:rPr>
                <w:rFonts w:ascii="Arial" w:hAnsi="Arial" w:cs="Arial"/>
                <w:b/>
                <w:bCs/>
                <w:sz w:val="20"/>
                <w:szCs w:val="20"/>
              </w:rPr>
            </w:pPr>
            <w:r w:rsidRPr="00B82B04">
              <w:rPr>
                <w:rFonts w:ascii="Arial" w:hAnsi="Arial" w:cs="Arial"/>
                <w:b/>
                <w:sz w:val="20"/>
                <w:szCs w:val="20"/>
              </w:rPr>
              <w:lastRenderedPageBreak/>
              <w:t>Home Hazard Checklist</w:t>
            </w:r>
            <w:r w:rsidRPr="00B82B04">
              <w:rPr>
                <w:rFonts w:ascii="Arial" w:hAnsi="Arial" w:cs="Arial"/>
                <w:b/>
                <w:bCs/>
                <w:sz w:val="20"/>
                <w:szCs w:val="20"/>
              </w:rPr>
              <w:t xml:space="preserve">, </w:t>
            </w:r>
            <w:r w:rsidRPr="00B82B04">
              <w:rPr>
                <w:rFonts w:ascii="Arial" w:hAnsi="Arial" w:cs="Arial"/>
                <w:b/>
                <w:sz w:val="20"/>
                <w:szCs w:val="20"/>
              </w:rPr>
              <w:t>Post-</w:t>
            </w:r>
            <w:r w:rsidRPr="00B82B04">
              <w:rPr>
                <w:rFonts w:ascii="Arial" w:hAnsi="Arial" w:cs="Arial"/>
                <w:b/>
                <w:bCs/>
                <w:sz w:val="20"/>
                <w:szCs w:val="20"/>
              </w:rPr>
              <w:t>m</w:t>
            </w:r>
            <w:r w:rsidRPr="00B82B04">
              <w:rPr>
                <w:rFonts w:ascii="Arial" w:hAnsi="Arial" w:cs="Arial"/>
                <w:b/>
                <w:sz w:val="20"/>
                <w:szCs w:val="20"/>
              </w:rPr>
              <w:t xml:space="preserve">odification </w:t>
            </w:r>
          </w:p>
        </w:tc>
        <w:tc>
          <w:tcPr>
            <w:tcW w:w="2970" w:type="dxa"/>
          </w:tcPr>
          <w:p w:rsidRPr="00B82B04" w:rsidR="00F5259C" w:rsidP="00902F66" w:rsidRDefault="00F5259C" w14:paraId="55EC084D" w14:textId="77777777">
            <w:pPr>
              <w:rPr>
                <w:rFonts w:ascii="Arial" w:hAnsi="Arial" w:cs="Arial"/>
                <w:sz w:val="20"/>
                <w:szCs w:val="20"/>
              </w:rPr>
            </w:pPr>
            <w:r w:rsidRPr="00B82B04">
              <w:rPr>
                <w:rFonts w:ascii="Arial" w:hAnsi="Arial" w:cs="Arial"/>
                <w:sz w:val="20"/>
                <w:szCs w:val="20"/>
              </w:rPr>
              <w:t>Collects data to compare the number of home hazards at baseline and after home modifications are completed using the same questions as in the Home Hazard Checklist Baseline Form.</w:t>
            </w:r>
          </w:p>
        </w:tc>
        <w:tc>
          <w:tcPr>
            <w:tcW w:w="1260" w:type="dxa"/>
          </w:tcPr>
          <w:p w:rsidRPr="00B82B04" w:rsidR="00F5259C" w:rsidP="00902F66" w:rsidRDefault="00F5259C" w14:paraId="5B0755A0" w14:textId="77777777">
            <w:pPr>
              <w:autoSpaceDE w:val="0"/>
              <w:autoSpaceDN w:val="0"/>
              <w:adjustRightInd w:val="0"/>
              <w:spacing w:after="60"/>
              <w:rPr>
                <w:rFonts w:ascii="Arial" w:hAnsi="Arial" w:cs="Arial"/>
                <w:sz w:val="20"/>
                <w:szCs w:val="20"/>
              </w:rPr>
            </w:pPr>
            <w:r w:rsidRPr="00B82B04">
              <w:rPr>
                <w:rFonts w:ascii="Arial" w:hAnsi="Arial" w:cs="Arial"/>
                <w:sz w:val="20"/>
                <w:szCs w:val="20"/>
              </w:rPr>
              <w:t>Process #2</w:t>
            </w:r>
          </w:p>
          <w:p w:rsidRPr="00B82B04" w:rsidR="00F5259C" w:rsidP="00902F66" w:rsidRDefault="00F5259C" w14:paraId="436CCB4B" w14:textId="77777777">
            <w:pPr>
              <w:autoSpaceDE w:val="0"/>
              <w:autoSpaceDN w:val="0"/>
              <w:adjustRightInd w:val="0"/>
              <w:spacing w:after="60"/>
              <w:rPr>
                <w:rFonts w:ascii="Arial" w:hAnsi="Arial" w:cs="Arial"/>
                <w:sz w:val="20"/>
                <w:szCs w:val="20"/>
              </w:rPr>
            </w:pPr>
            <w:r w:rsidRPr="00B82B04">
              <w:rPr>
                <w:rFonts w:ascii="Arial" w:hAnsi="Arial" w:cs="Arial"/>
                <w:sz w:val="20"/>
                <w:szCs w:val="20"/>
              </w:rPr>
              <w:t>Impact #5</w:t>
            </w:r>
          </w:p>
        </w:tc>
        <w:tc>
          <w:tcPr>
            <w:tcW w:w="1440" w:type="dxa"/>
          </w:tcPr>
          <w:p w:rsidRPr="00B82B04" w:rsidR="00F5259C" w:rsidP="00902F66" w:rsidRDefault="00F5259C" w14:paraId="3FBFD2DD" w14:textId="77777777">
            <w:pPr>
              <w:rPr>
                <w:rFonts w:ascii="Arial" w:hAnsi="Arial" w:cs="Arial"/>
                <w:sz w:val="20"/>
                <w:szCs w:val="20"/>
              </w:rPr>
            </w:pPr>
            <w:r w:rsidRPr="00B82B04">
              <w:rPr>
                <w:rFonts w:ascii="Arial" w:hAnsi="Arial" w:cs="Arial"/>
                <w:sz w:val="20"/>
                <w:szCs w:val="20"/>
              </w:rPr>
              <w:t>6 to 9 months post-home modification.</w:t>
            </w:r>
          </w:p>
        </w:tc>
        <w:tc>
          <w:tcPr>
            <w:tcW w:w="1710" w:type="dxa"/>
          </w:tcPr>
          <w:p w:rsidRPr="00B82B04" w:rsidR="00F5259C" w:rsidP="00902F66" w:rsidRDefault="00F5259C" w14:paraId="3D09413A" w14:textId="77777777">
            <w:pPr>
              <w:rPr>
                <w:rFonts w:ascii="Arial" w:hAnsi="Arial" w:cs="Arial"/>
                <w:sz w:val="20"/>
                <w:szCs w:val="20"/>
              </w:rPr>
            </w:pPr>
            <w:r w:rsidRPr="00B82B04">
              <w:rPr>
                <w:rFonts w:ascii="Arial" w:hAnsi="Arial" w:cs="Arial"/>
                <w:sz w:val="20"/>
                <w:szCs w:val="20"/>
              </w:rPr>
              <w:t>Grantees to clients who received home modifications and signed informed consents.</w:t>
            </w:r>
          </w:p>
        </w:tc>
      </w:tr>
      <w:tr w:rsidRPr="00B82B04" w:rsidR="00F5259C" w:rsidTr="00902F66" w14:paraId="596D94F9" w14:textId="77777777">
        <w:tc>
          <w:tcPr>
            <w:tcW w:w="1975" w:type="dxa"/>
          </w:tcPr>
          <w:p w:rsidRPr="00B82B04" w:rsidR="00F5259C" w:rsidP="00902F66" w:rsidRDefault="00F5259C" w14:paraId="627E214F" w14:textId="77777777">
            <w:pPr>
              <w:autoSpaceDE w:val="0"/>
              <w:autoSpaceDN w:val="0"/>
              <w:adjustRightInd w:val="0"/>
              <w:spacing w:after="60"/>
              <w:rPr>
                <w:rFonts w:ascii="Arial" w:hAnsi="Arial" w:eastAsia="Calibri" w:cs="Arial"/>
                <w:b/>
                <w:color w:val="000000"/>
                <w:sz w:val="20"/>
                <w:szCs w:val="20"/>
              </w:rPr>
            </w:pPr>
            <w:r w:rsidRPr="00B82B04">
              <w:rPr>
                <w:rFonts w:ascii="Arial" w:hAnsi="Arial" w:eastAsia="Calibri" w:cs="Arial"/>
                <w:b/>
                <w:color w:val="000000"/>
                <w:sz w:val="20"/>
                <w:szCs w:val="20"/>
              </w:rPr>
              <w:t>Grantee Process Evaluation Online Survey Year 1</w:t>
            </w:r>
          </w:p>
          <w:p w:rsidRPr="00B82B04" w:rsidR="00F5259C" w:rsidP="00902F66" w:rsidRDefault="00F5259C" w14:paraId="1BD0C3CB" w14:textId="77777777">
            <w:pPr>
              <w:autoSpaceDE w:val="0"/>
              <w:autoSpaceDN w:val="0"/>
              <w:adjustRightInd w:val="0"/>
              <w:spacing w:after="60"/>
              <w:rPr>
                <w:rFonts w:ascii="Arial" w:hAnsi="Arial" w:cs="Arial"/>
                <w:b/>
                <w:bCs/>
                <w:sz w:val="20"/>
                <w:szCs w:val="20"/>
              </w:rPr>
            </w:pPr>
            <w:r w:rsidRPr="00B82B04">
              <w:rPr>
                <w:rFonts w:ascii="Arial" w:hAnsi="Arial" w:eastAsia="Calibri" w:cs="Arial"/>
                <w:color w:val="000000"/>
                <w:sz w:val="20"/>
                <w:szCs w:val="20"/>
              </w:rPr>
              <w:t>(</w:t>
            </w:r>
            <w:proofErr w:type="gramStart"/>
            <w:r w:rsidRPr="00B82B04">
              <w:rPr>
                <w:rFonts w:ascii="Arial" w:hAnsi="Arial" w:eastAsia="Calibri" w:cs="Arial"/>
                <w:color w:val="000000"/>
                <w:sz w:val="20"/>
                <w:szCs w:val="20"/>
              </w:rPr>
              <w:t>appendix</w:t>
            </w:r>
            <w:proofErr w:type="gramEnd"/>
            <w:r w:rsidRPr="00B82B04">
              <w:rPr>
                <w:rFonts w:ascii="Arial" w:hAnsi="Arial" w:eastAsia="Calibri" w:cs="Arial"/>
                <w:color w:val="000000"/>
                <w:sz w:val="20"/>
                <w:szCs w:val="20"/>
              </w:rPr>
              <w:t xml:space="preserve"> I   includes survey for Years 1, 2, and 3)</w:t>
            </w:r>
          </w:p>
        </w:tc>
        <w:tc>
          <w:tcPr>
            <w:tcW w:w="2970" w:type="dxa"/>
          </w:tcPr>
          <w:p w:rsidRPr="00B82B04" w:rsidR="00F5259C" w:rsidP="00902F66" w:rsidRDefault="00F5259C" w14:paraId="32F41265" w14:textId="77777777">
            <w:pPr>
              <w:rPr>
                <w:rFonts w:ascii="Arial" w:hAnsi="Arial" w:cs="Arial"/>
                <w:sz w:val="20"/>
                <w:szCs w:val="20"/>
              </w:rPr>
            </w:pPr>
            <w:r w:rsidRPr="00B82B04">
              <w:rPr>
                <w:rFonts w:ascii="Arial" w:hAnsi="Arial" w:eastAsia="Calibri" w:cs="Arial"/>
                <w:color w:val="000000"/>
                <w:sz w:val="20"/>
                <w:szCs w:val="20"/>
              </w:rPr>
              <w:t>Reviews grantee’s</w:t>
            </w:r>
            <w:r w:rsidRPr="00B82B04">
              <w:rPr>
                <w:rFonts w:ascii="Arial" w:hAnsi="Arial" w:eastAsia="Calibri" w:cs="Arial"/>
                <w:bCs/>
                <w:color w:val="000000"/>
                <w:sz w:val="20"/>
                <w:szCs w:val="20"/>
              </w:rPr>
              <w:t xml:space="preserve"> reasons for applying for OAHMP grant, </w:t>
            </w:r>
            <w:r w:rsidRPr="00B82B04">
              <w:rPr>
                <w:rFonts w:ascii="Arial" w:hAnsi="Arial" w:eastAsia="Calibri" w:cs="Arial"/>
                <w:color w:val="000000"/>
                <w:sz w:val="20"/>
                <w:szCs w:val="20"/>
              </w:rPr>
              <w:t xml:space="preserve">experience with recruitment, enrollment, </w:t>
            </w:r>
            <w:r w:rsidRPr="00B82B04">
              <w:rPr>
                <w:rFonts w:ascii="Arial" w:hAnsi="Arial" w:eastAsia="Calibri" w:cs="Arial"/>
                <w:bCs/>
                <w:color w:val="000000"/>
                <w:sz w:val="20"/>
                <w:szCs w:val="20"/>
              </w:rPr>
              <w:t>factors considered in developing the</w:t>
            </w:r>
            <w:r w:rsidRPr="00B82B04">
              <w:rPr>
                <w:rFonts w:ascii="Arial" w:hAnsi="Arial" w:eastAsia="Calibri" w:cs="Arial"/>
                <w:color w:val="000000"/>
                <w:sz w:val="20"/>
                <w:szCs w:val="20"/>
              </w:rPr>
              <w:t xml:space="preserve"> scope of work</w:t>
            </w:r>
            <w:r w:rsidRPr="00B82B04">
              <w:rPr>
                <w:rFonts w:ascii="Arial" w:hAnsi="Arial" w:eastAsia="Calibri" w:cs="Arial"/>
                <w:bCs/>
                <w:color w:val="000000"/>
                <w:sz w:val="20"/>
                <w:szCs w:val="20"/>
              </w:rPr>
              <w:t xml:space="preserve"> for home modifications</w:t>
            </w:r>
            <w:r w:rsidRPr="00B82B04">
              <w:rPr>
                <w:rFonts w:ascii="Arial" w:hAnsi="Arial" w:eastAsia="Calibri" w:cs="Arial"/>
                <w:color w:val="000000"/>
                <w:sz w:val="20"/>
                <w:szCs w:val="20"/>
              </w:rPr>
              <w:t xml:space="preserve">. </w:t>
            </w:r>
            <w:r w:rsidRPr="00B82B04">
              <w:rPr>
                <w:rFonts w:ascii="Arial" w:hAnsi="Arial" w:eastAsia="Calibri" w:cs="Arial"/>
                <w:bCs/>
                <w:color w:val="000000"/>
                <w:sz w:val="20"/>
                <w:szCs w:val="20"/>
              </w:rPr>
              <w:t xml:space="preserve">Summarizes approaches to targeting locations for program services, progress in enrollment and home modifications completed for the year. </w:t>
            </w:r>
            <w:r w:rsidRPr="00B82B04">
              <w:rPr>
                <w:rFonts w:ascii="Arial" w:hAnsi="Arial" w:eastAsia="Calibri" w:cs="Arial"/>
                <w:color w:val="000000"/>
                <w:sz w:val="20"/>
                <w:szCs w:val="20"/>
              </w:rPr>
              <w:t>Provides data on strategies, successes, and challenges in meeting grantee and OAHMP goals over the first year of program implementation.</w:t>
            </w:r>
          </w:p>
        </w:tc>
        <w:tc>
          <w:tcPr>
            <w:tcW w:w="1260" w:type="dxa"/>
          </w:tcPr>
          <w:p w:rsidRPr="00B82B04" w:rsidR="00F5259C" w:rsidP="00902F66" w:rsidRDefault="00F5259C" w14:paraId="587289C0" w14:textId="77777777">
            <w:pPr>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t>Process #3-5, 6, 8</w:t>
            </w:r>
          </w:p>
        </w:tc>
        <w:tc>
          <w:tcPr>
            <w:tcW w:w="1440" w:type="dxa"/>
          </w:tcPr>
          <w:p w:rsidRPr="00B82B04" w:rsidR="00F5259C" w:rsidP="00902F66" w:rsidRDefault="00F5259C" w14:paraId="3D1B7B85" w14:textId="77777777">
            <w:pPr>
              <w:rPr>
                <w:rFonts w:ascii="Arial" w:hAnsi="Arial" w:cs="Arial"/>
                <w:sz w:val="20"/>
                <w:szCs w:val="20"/>
              </w:rPr>
            </w:pPr>
            <w:r w:rsidRPr="00B82B04">
              <w:rPr>
                <w:rFonts w:ascii="Arial" w:hAnsi="Arial" w:eastAsia="Calibri" w:cs="Arial"/>
                <w:bCs/>
                <w:color w:val="000000"/>
                <w:sz w:val="20"/>
                <w:szCs w:val="20"/>
              </w:rPr>
              <w:t xml:space="preserve">Once for each grantee, near the end of Year 1 of the OAHMP. </w:t>
            </w:r>
          </w:p>
        </w:tc>
        <w:tc>
          <w:tcPr>
            <w:tcW w:w="1710" w:type="dxa"/>
          </w:tcPr>
          <w:p w:rsidRPr="00B82B04" w:rsidR="00F5259C" w:rsidP="00902F66" w:rsidRDefault="00F5259C" w14:paraId="625E5EF4" w14:textId="77777777">
            <w:pPr>
              <w:rPr>
                <w:rFonts w:ascii="Arial" w:hAnsi="Arial" w:cs="Arial"/>
                <w:sz w:val="20"/>
                <w:szCs w:val="20"/>
              </w:rPr>
            </w:pPr>
            <w:r w:rsidRPr="00B82B04">
              <w:rPr>
                <w:rFonts w:ascii="Arial" w:hAnsi="Arial" w:eastAsia="Calibri" w:cs="Arial"/>
                <w:color w:val="000000"/>
                <w:sz w:val="20"/>
                <w:szCs w:val="20"/>
              </w:rPr>
              <w:t>Program Manager from each of up to</w:t>
            </w:r>
            <w:r>
              <w:rPr>
                <w:rFonts w:ascii="Arial" w:hAnsi="Arial" w:eastAsia="Calibri" w:cs="Arial"/>
                <w:color w:val="000000"/>
                <w:sz w:val="20"/>
                <w:szCs w:val="20"/>
              </w:rPr>
              <w:t xml:space="preserve"> 32 </w:t>
            </w:r>
            <w:r w:rsidRPr="00B82B04">
              <w:rPr>
                <w:rFonts w:ascii="Arial" w:hAnsi="Arial" w:eastAsia="Calibri" w:cs="Arial"/>
                <w:color w:val="000000"/>
                <w:sz w:val="20"/>
                <w:szCs w:val="20"/>
              </w:rPr>
              <w:t xml:space="preserve">grantees completes survey. Contractor Site Coordinators (SCs) monitor online survey completion. </w:t>
            </w:r>
          </w:p>
        </w:tc>
      </w:tr>
      <w:tr w:rsidRPr="00B82B04" w:rsidR="00F5259C" w:rsidTr="00902F66" w14:paraId="59AE1D86" w14:textId="77777777">
        <w:tc>
          <w:tcPr>
            <w:tcW w:w="1975" w:type="dxa"/>
          </w:tcPr>
          <w:p w:rsidRPr="00B82B04" w:rsidR="00F5259C" w:rsidP="00902F66" w:rsidRDefault="00F5259C" w14:paraId="5BF90898" w14:textId="77777777">
            <w:pPr>
              <w:autoSpaceDE w:val="0"/>
              <w:autoSpaceDN w:val="0"/>
              <w:adjustRightInd w:val="0"/>
              <w:spacing w:after="60"/>
              <w:rPr>
                <w:rFonts w:ascii="Arial" w:hAnsi="Arial" w:cs="Arial"/>
                <w:b/>
                <w:bCs/>
                <w:sz w:val="20"/>
                <w:szCs w:val="20"/>
              </w:rPr>
            </w:pPr>
            <w:r w:rsidRPr="00B82B04">
              <w:rPr>
                <w:rFonts w:ascii="Arial" w:hAnsi="Arial" w:eastAsia="Calibri" w:cs="Arial"/>
                <w:b/>
                <w:color w:val="000000"/>
                <w:sz w:val="20"/>
                <w:szCs w:val="20"/>
              </w:rPr>
              <w:t>Grantee Process Evaluation Online Survey Year 2</w:t>
            </w:r>
          </w:p>
        </w:tc>
        <w:tc>
          <w:tcPr>
            <w:tcW w:w="2970" w:type="dxa"/>
          </w:tcPr>
          <w:p w:rsidRPr="00B82B04" w:rsidR="00F5259C" w:rsidP="00902F66" w:rsidRDefault="00F5259C" w14:paraId="7BCB9DE2" w14:textId="77777777">
            <w:pPr>
              <w:rPr>
                <w:rFonts w:ascii="Arial" w:hAnsi="Arial" w:cs="Arial"/>
                <w:sz w:val="20"/>
                <w:szCs w:val="20"/>
              </w:rPr>
            </w:pPr>
            <w:r w:rsidRPr="00B82B04">
              <w:rPr>
                <w:rFonts w:ascii="Arial" w:hAnsi="Arial" w:eastAsia="Calibri" w:cs="Arial"/>
                <w:bCs/>
                <w:color w:val="000000"/>
                <w:sz w:val="20"/>
                <w:szCs w:val="20"/>
              </w:rPr>
              <w:t xml:space="preserve">Summarizes any changes from the grantees’ initial service model or target locations from those reported in Year 1. Summarizes progress in enrollment and home modifications completed for the year. </w:t>
            </w:r>
            <w:r w:rsidRPr="00B82B04">
              <w:rPr>
                <w:rFonts w:ascii="Arial" w:hAnsi="Arial" w:eastAsia="Calibri" w:cs="Arial"/>
                <w:color w:val="000000"/>
                <w:sz w:val="20"/>
                <w:szCs w:val="20"/>
              </w:rPr>
              <w:t>Provides data on strategies, successes, and challenges in meeting grantee and OAHMP goals over the second year of program implementation.</w:t>
            </w:r>
          </w:p>
        </w:tc>
        <w:tc>
          <w:tcPr>
            <w:tcW w:w="1260" w:type="dxa"/>
          </w:tcPr>
          <w:p w:rsidRPr="00B82B04" w:rsidR="00F5259C" w:rsidP="00902F66" w:rsidRDefault="00F5259C" w14:paraId="4D74F22B" w14:textId="77777777">
            <w:pPr>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t>Process #3-5, 6, 8</w:t>
            </w:r>
          </w:p>
        </w:tc>
        <w:tc>
          <w:tcPr>
            <w:tcW w:w="1440" w:type="dxa"/>
          </w:tcPr>
          <w:p w:rsidRPr="00B82B04" w:rsidR="00F5259C" w:rsidP="00902F66" w:rsidRDefault="00F5259C" w14:paraId="1A7B3A42" w14:textId="77777777">
            <w:pPr>
              <w:rPr>
                <w:rFonts w:ascii="Arial" w:hAnsi="Arial" w:cs="Arial"/>
                <w:sz w:val="20"/>
                <w:szCs w:val="20"/>
              </w:rPr>
            </w:pPr>
            <w:r w:rsidRPr="00B82B04">
              <w:rPr>
                <w:rFonts w:ascii="Arial" w:hAnsi="Arial" w:eastAsia="Calibri" w:cs="Arial"/>
                <w:bCs/>
                <w:color w:val="000000"/>
                <w:sz w:val="20"/>
                <w:szCs w:val="20"/>
              </w:rPr>
              <w:t>Once for each grantee, near the end of Year 2 of the OAHMP.</w:t>
            </w:r>
          </w:p>
        </w:tc>
        <w:tc>
          <w:tcPr>
            <w:tcW w:w="1710" w:type="dxa"/>
          </w:tcPr>
          <w:p w:rsidRPr="00B82B04" w:rsidR="00F5259C" w:rsidP="00902F66" w:rsidRDefault="00F5259C" w14:paraId="0476B944" w14:textId="77777777">
            <w:pPr>
              <w:rPr>
                <w:rFonts w:ascii="Arial" w:hAnsi="Arial" w:cs="Arial"/>
                <w:sz w:val="20"/>
                <w:szCs w:val="20"/>
              </w:rPr>
            </w:pPr>
            <w:r w:rsidRPr="00B82B04">
              <w:rPr>
                <w:rFonts w:ascii="Arial" w:hAnsi="Arial" w:eastAsia="Calibri" w:cs="Arial"/>
                <w:color w:val="000000"/>
                <w:sz w:val="20"/>
                <w:szCs w:val="20"/>
              </w:rPr>
              <w:t>Program Manager from each of up to</w:t>
            </w:r>
            <w:r>
              <w:rPr>
                <w:rFonts w:ascii="Arial" w:hAnsi="Arial" w:eastAsia="Calibri" w:cs="Arial"/>
                <w:color w:val="000000"/>
                <w:sz w:val="20"/>
                <w:szCs w:val="20"/>
              </w:rPr>
              <w:t xml:space="preserve"> 32 </w:t>
            </w:r>
            <w:r w:rsidRPr="00B82B04">
              <w:rPr>
                <w:rFonts w:ascii="Arial" w:hAnsi="Arial" w:eastAsia="Calibri" w:cs="Arial"/>
                <w:color w:val="000000"/>
                <w:sz w:val="20"/>
                <w:szCs w:val="20"/>
              </w:rPr>
              <w:t>grantees completes the online survey. Contractor SCs monitor online survey completion.</w:t>
            </w:r>
          </w:p>
        </w:tc>
      </w:tr>
      <w:tr w:rsidRPr="00B82B04" w:rsidR="00F5259C" w:rsidTr="00902F66" w14:paraId="5E6F3AA0" w14:textId="77777777">
        <w:tc>
          <w:tcPr>
            <w:tcW w:w="1975" w:type="dxa"/>
          </w:tcPr>
          <w:p w:rsidRPr="00B82B04" w:rsidR="00F5259C" w:rsidP="00902F66" w:rsidRDefault="00F5259C" w14:paraId="07AF83E3" w14:textId="77777777">
            <w:pPr>
              <w:autoSpaceDE w:val="0"/>
              <w:autoSpaceDN w:val="0"/>
              <w:adjustRightInd w:val="0"/>
              <w:spacing w:after="60"/>
              <w:rPr>
                <w:rFonts w:ascii="Arial" w:hAnsi="Arial" w:cs="Arial"/>
                <w:b/>
                <w:bCs/>
                <w:sz w:val="20"/>
                <w:szCs w:val="20"/>
              </w:rPr>
            </w:pPr>
            <w:r w:rsidRPr="00B82B04">
              <w:rPr>
                <w:rFonts w:ascii="Arial" w:hAnsi="Arial" w:eastAsia="Calibri" w:cs="Arial"/>
                <w:b/>
                <w:color w:val="000000"/>
                <w:sz w:val="20"/>
                <w:szCs w:val="20"/>
              </w:rPr>
              <w:t>Grantee Process Evaluation Online Survey Year 3</w:t>
            </w:r>
          </w:p>
        </w:tc>
        <w:tc>
          <w:tcPr>
            <w:tcW w:w="2970" w:type="dxa"/>
          </w:tcPr>
          <w:p w:rsidRPr="00B82B04" w:rsidR="00F5259C" w:rsidP="00902F66" w:rsidRDefault="00F5259C" w14:paraId="736345A6" w14:textId="77777777">
            <w:pPr>
              <w:rPr>
                <w:rFonts w:ascii="Arial" w:hAnsi="Arial" w:cs="Arial"/>
                <w:sz w:val="20"/>
                <w:szCs w:val="20"/>
              </w:rPr>
            </w:pPr>
            <w:r w:rsidRPr="00B82B04">
              <w:rPr>
                <w:rFonts w:ascii="Arial" w:hAnsi="Arial" w:eastAsia="Calibri" w:cs="Arial"/>
                <w:bCs/>
                <w:color w:val="000000"/>
                <w:sz w:val="20"/>
                <w:szCs w:val="20"/>
              </w:rPr>
              <w:t xml:space="preserve">Summarizes any changes from the grantees’ initial service model or target locations from those reported in Year 2. Summarizes progress in enrollment and home modifications completed for the year. </w:t>
            </w:r>
            <w:r w:rsidRPr="00B82B04">
              <w:rPr>
                <w:rFonts w:ascii="Arial" w:hAnsi="Arial" w:eastAsia="Calibri" w:cs="Arial"/>
                <w:color w:val="000000"/>
                <w:sz w:val="20"/>
                <w:szCs w:val="20"/>
              </w:rPr>
              <w:t xml:space="preserve">Provides data on strategies, successes, and challenges in meeting grantee </w:t>
            </w:r>
            <w:r w:rsidRPr="00B82B04">
              <w:rPr>
                <w:rFonts w:ascii="Arial" w:hAnsi="Arial" w:eastAsia="Calibri" w:cs="Arial"/>
                <w:color w:val="000000"/>
                <w:sz w:val="20"/>
                <w:szCs w:val="20"/>
              </w:rPr>
              <w:lastRenderedPageBreak/>
              <w:t>and OAHMP goals over the third year of program implementation.</w:t>
            </w:r>
          </w:p>
        </w:tc>
        <w:tc>
          <w:tcPr>
            <w:tcW w:w="1260" w:type="dxa"/>
          </w:tcPr>
          <w:p w:rsidRPr="00B82B04" w:rsidR="00F5259C" w:rsidP="00902F66" w:rsidRDefault="00F5259C" w14:paraId="4273D542" w14:textId="77777777">
            <w:pPr>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lastRenderedPageBreak/>
              <w:t>Process #3-5, 6, 8</w:t>
            </w:r>
          </w:p>
        </w:tc>
        <w:tc>
          <w:tcPr>
            <w:tcW w:w="1440" w:type="dxa"/>
          </w:tcPr>
          <w:p w:rsidRPr="00B82B04" w:rsidR="00F5259C" w:rsidP="00902F66" w:rsidRDefault="00F5259C" w14:paraId="70C92ACD" w14:textId="77777777">
            <w:pPr>
              <w:rPr>
                <w:rFonts w:ascii="Arial" w:hAnsi="Arial" w:cs="Arial"/>
                <w:sz w:val="20"/>
                <w:szCs w:val="20"/>
              </w:rPr>
            </w:pPr>
            <w:r w:rsidRPr="00B82B04">
              <w:rPr>
                <w:rFonts w:ascii="Arial" w:hAnsi="Arial" w:eastAsia="Calibri" w:cs="Arial"/>
                <w:bCs/>
                <w:color w:val="000000"/>
                <w:sz w:val="20"/>
                <w:szCs w:val="20"/>
              </w:rPr>
              <w:t>Once for each grantee, near the end of Year 3 of the OAHMP.</w:t>
            </w:r>
          </w:p>
        </w:tc>
        <w:tc>
          <w:tcPr>
            <w:tcW w:w="1710" w:type="dxa"/>
          </w:tcPr>
          <w:p w:rsidRPr="00B82B04" w:rsidR="00F5259C" w:rsidP="00902F66" w:rsidRDefault="00F5259C" w14:paraId="707BF4E7" w14:textId="77777777">
            <w:pPr>
              <w:rPr>
                <w:rFonts w:ascii="Arial" w:hAnsi="Arial" w:cs="Arial"/>
                <w:sz w:val="20"/>
                <w:szCs w:val="20"/>
              </w:rPr>
            </w:pPr>
            <w:r w:rsidRPr="00B82B04">
              <w:rPr>
                <w:rFonts w:ascii="Arial" w:hAnsi="Arial" w:eastAsia="Calibri" w:cs="Arial"/>
                <w:color w:val="000000"/>
                <w:sz w:val="20"/>
                <w:szCs w:val="20"/>
              </w:rPr>
              <w:t>Program Manager from each of up to</w:t>
            </w:r>
            <w:r>
              <w:rPr>
                <w:rFonts w:ascii="Arial" w:hAnsi="Arial" w:eastAsia="Calibri" w:cs="Arial"/>
                <w:color w:val="000000"/>
                <w:sz w:val="20"/>
                <w:szCs w:val="20"/>
              </w:rPr>
              <w:t xml:space="preserve"> 32 </w:t>
            </w:r>
            <w:r w:rsidRPr="00B82B04">
              <w:rPr>
                <w:rFonts w:ascii="Arial" w:hAnsi="Arial" w:eastAsia="Calibri" w:cs="Arial"/>
                <w:color w:val="000000"/>
                <w:sz w:val="20"/>
                <w:szCs w:val="20"/>
              </w:rPr>
              <w:t>grantees completes the online survey. Contractor SCs monitor online survey completion.</w:t>
            </w:r>
          </w:p>
        </w:tc>
      </w:tr>
      <w:tr w:rsidRPr="00B82B04" w:rsidR="00F5259C" w:rsidTr="00902F66" w14:paraId="2E7B5DBC" w14:textId="77777777">
        <w:tc>
          <w:tcPr>
            <w:tcW w:w="1975" w:type="dxa"/>
          </w:tcPr>
          <w:p w:rsidRPr="00B82B04" w:rsidR="00F5259C" w:rsidP="00902F66" w:rsidRDefault="00F5259C" w14:paraId="6C28FDF0" w14:textId="77777777">
            <w:pPr>
              <w:keepNext/>
              <w:autoSpaceDE w:val="0"/>
              <w:autoSpaceDN w:val="0"/>
              <w:adjustRightInd w:val="0"/>
              <w:spacing w:after="60"/>
              <w:rPr>
                <w:rFonts w:ascii="Arial" w:hAnsi="Arial" w:eastAsia="Calibri" w:cs="Arial"/>
                <w:b/>
                <w:bCs/>
                <w:color w:val="000000"/>
                <w:sz w:val="20"/>
                <w:szCs w:val="20"/>
              </w:rPr>
            </w:pPr>
            <w:r w:rsidRPr="00B82B04">
              <w:rPr>
                <w:rFonts w:ascii="Arial" w:hAnsi="Arial" w:eastAsia="Calibri" w:cs="Arial"/>
                <w:b/>
                <w:bCs/>
                <w:color w:val="000000" w:themeColor="text1"/>
                <w:sz w:val="20"/>
                <w:szCs w:val="20"/>
              </w:rPr>
              <w:t>Grantee Site Visit Interview Guide</w:t>
            </w:r>
          </w:p>
          <w:p w:rsidRPr="00B82B04" w:rsidR="00F5259C" w:rsidP="00902F66" w:rsidRDefault="00F5259C" w14:paraId="7BA2DD04" w14:textId="77777777">
            <w:pPr>
              <w:keepNext/>
              <w:autoSpaceDE w:val="0"/>
              <w:autoSpaceDN w:val="0"/>
              <w:adjustRightInd w:val="0"/>
              <w:spacing w:after="60"/>
              <w:rPr>
                <w:rFonts w:ascii="Arial" w:hAnsi="Arial" w:cs="Arial"/>
                <w:sz w:val="20"/>
                <w:szCs w:val="20"/>
              </w:rPr>
            </w:pPr>
            <w:r w:rsidRPr="00B82B04">
              <w:rPr>
                <w:rFonts w:ascii="Arial" w:hAnsi="Arial" w:eastAsia="Calibri" w:cs="Arial"/>
                <w:color w:val="000000" w:themeColor="text1"/>
                <w:sz w:val="20"/>
                <w:szCs w:val="20"/>
              </w:rPr>
              <w:t>(</w:t>
            </w:r>
            <w:proofErr w:type="gramStart"/>
            <w:r w:rsidRPr="00B82B04">
              <w:rPr>
                <w:rFonts w:ascii="Arial" w:hAnsi="Arial" w:eastAsia="Calibri" w:cs="Arial"/>
                <w:color w:val="000000" w:themeColor="text1"/>
                <w:sz w:val="20"/>
                <w:szCs w:val="20"/>
              </w:rPr>
              <w:t>appendix</w:t>
            </w:r>
            <w:proofErr w:type="gramEnd"/>
            <w:r w:rsidRPr="00B82B04">
              <w:rPr>
                <w:rFonts w:ascii="Arial" w:hAnsi="Arial" w:eastAsia="Calibri" w:cs="Arial"/>
                <w:color w:val="000000" w:themeColor="text1"/>
                <w:sz w:val="20"/>
                <w:szCs w:val="20"/>
              </w:rPr>
              <w:t xml:space="preserve"> J)</w:t>
            </w:r>
          </w:p>
        </w:tc>
        <w:tc>
          <w:tcPr>
            <w:tcW w:w="2970" w:type="dxa"/>
          </w:tcPr>
          <w:p w:rsidRPr="00B82B04" w:rsidR="00F5259C" w:rsidP="00902F66" w:rsidRDefault="00F5259C" w14:paraId="3205D3F8" w14:textId="77777777">
            <w:pPr>
              <w:keepNext/>
              <w:rPr>
                <w:rFonts w:ascii="Arial" w:hAnsi="Arial" w:cs="Arial"/>
                <w:sz w:val="20"/>
                <w:szCs w:val="20"/>
              </w:rPr>
            </w:pPr>
            <w:r w:rsidRPr="00B82B04">
              <w:rPr>
                <w:rFonts w:ascii="Arial" w:hAnsi="Arial" w:eastAsia="Calibri" w:cs="Arial"/>
                <w:bCs/>
                <w:color w:val="000000"/>
                <w:sz w:val="20"/>
                <w:szCs w:val="20"/>
              </w:rPr>
              <w:t>Provides guide for</w:t>
            </w:r>
            <w:r w:rsidRPr="00B82B04">
              <w:rPr>
                <w:rFonts w:ascii="Arial" w:hAnsi="Arial" w:eastAsia="Calibri" w:cs="Arial"/>
                <w:color w:val="000000"/>
                <w:sz w:val="20"/>
                <w:szCs w:val="20"/>
              </w:rPr>
              <w:t xml:space="preserve"> discussion of grantee experiences</w:t>
            </w:r>
            <w:r w:rsidRPr="00B82B04">
              <w:rPr>
                <w:rFonts w:ascii="Arial" w:hAnsi="Arial" w:eastAsia="Calibri" w:cs="Arial"/>
                <w:bCs/>
                <w:color w:val="000000"/>
                <w:sz w:val="20"/>
                <w:szCs w:val="20"/>
              </w:rPr>
              <w:t>.</w:t>
            </w:r>
          </w:p>
        </w:tc>
        <w:tc>
          <w:tcPr>
            <w:tcW w:w="1260" w:type="dxa"/>
          </w:tcPr>
          <w:p w:rsidRPr="00B82B04" w:rsidR="00F5259C" w:rsidP="00902F66" w:rsidRDefault="00F5259C" w14:paraId="24A1B221" w14:textId="77777777">
            <w:pPr>
              <w:keepNext/>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t>Process #3-5, 6, 8</w:t>
            </w:r>
          </w:p>
        </w:tc>
        <w:tc>
          <w:tcPr>
            <w:tcW w:w="1440" w:type="dxa"/>
          </w:tcPr>
          <w:p w:rsidRPr="00B82B04" w:rsidR="00F5259C" w:rsidP="00902F66" w:rsidRDefault="00F5259C" w14:paraId="6A3B5814" w14:textId="77777777">
            <w:pPr>
              <w:keepNext/>
              <w:rPr>
                <w:rFonts w:ascii="Arial" w:hAnsi="Arial" w:cs="Arial"/>
                <w:sz w:val="20"/>
                <w:szCs w:val="20"/>
              </w:rPr>
            </w:pPr>
            <w:r w:rsidRPr="00B82B04">
              <w:rPr>
                <w:rFonts w:ascii="Arial" w:hAnsi="Arial" w:eastAsia="Calibri" w:cs="Arial"/>
                <w:color w:val="000000"/>
                <w:sz w:val="20"/>
                <w:szCs w:val="20"/>
              </w:rPr>
              <w:t>Once, during</w:t>
            </w:r>
            <w:r>
              <w:rPr>
                <w:rFonts w:ascii="Arial" w:hAnsi="Arial" w:eastAsia="Calibri" w:cs="Arial"/>
                <w:color w:val="000000"/>
                <w:sz w:val="20"/>
                <w:szCs w:val="20"/>
              </w:rPr>
              <w:t xml:space="preserve"> site visits to each of up to 16</w:t>
            </w:r>
            <w:r w:rsidRPr="00B82B04">
              <w:rPr>
                <w:rFonts w:ascii="Arial" w:hAnsi="Arial" w:eastAsia="Calibri" w:cs="Arial"/>
                <w:color w:val="000000"/>
                <w:sz w:val="20"/>
                <w:szCs w:val="20"/>
              </w:rPr>
              <w:t xml:space="preserve"> grantee offices Site visits will occur over a three-year period.</w:t>
            </w:r>
          </w:p>
        </w:tc>
        <w:tc>
          <w:tcPr>
            <w:tcW w:w="1710" w:type="dxa"/>
          </w:tcPr>
          <w:p w:rsidRPr="00B82B04" w:rsidR="00F5259C" w:rsidP="00902F66" w:rsidRDefault="00F5259C" w14:paraId="01AEEB09" w14:textId="77777777">
            <w:pPr>
              <w:rPr>
                <w:rFonts w:ascii="Arial" w:hAnsi="Arial" w:cs="Arial"/>
                <w:sz w:val="20"/>
                <w:szCs w:val="20"/>
              </w:rPr>
            </w:pPr>
            <w:r w:rsidRPr="00B82B04">
              <w:rPr>
                <w:rFonts w:ascii="Arial" w:hAnsi="Arial" w:eastAsia="Calibri" w:cs="Arial"/>
                <w:color w:val="000000"/>
                <w:sz w:val="20"/>
                <w:szCs w:val="20"/>
              </w:rPr>
              <w:t xml:space="preserve">Contractor Project Manager </w:t>
            </w:r>
            <w:r w:rsidRPr="00B82B04">
              <w:rPr>
                <w:rFonts w:ascii="Arial" w:hAnsi="Arial" w:eastAsia="Calibri" w:cs="Arial"/>
                <w:bCs/>
                <w:color w:val="000000"/>
                <w:sz w:val="20"/>
                <w:szCs w:val="20"/>
              </w:rPr>
              <w:t>interviews</w:t>
            </w:r>
            <w:r w:rsidRPr="00B82B04">
              <w:rPr>
                <w:rFonts w:ascii="Arial" w:hAnsi="Arial" w:eastAsia="Calibri" w:cs="Arial"/>
                <w:color w:val="000000"/>
                <w:sz w:val="20"/>
                <w:szCs w:val="20"/>
              </w:rPr>
              <w:t xml:space="preserve"> up to two grantee repre</w:t>
            </w:r>
            <w:r>
              <w:rPr>
                <w:rFonts w:ascii="Arial" w:hAnsi="Arial" w:eastAsia="Calibri" w:cs="Arial"/>
                <w:color w:val="000000"/>
                <w:sz w:val="20"/>
                <w:szCs w:val="20"/>
              </w:rPr>
              <w:t>sentatives from each of up to 16</w:t>
            </w:r>
            <w:r w:rsidRPr="00B82B04">
              <w:rPr>
                <w:rFonts w:ascii="Arial" w:hAnsi="Arial" w:eastAsia="Calibri" w:cs="Arial"/>
                <w:color w:val="000000"/>
                <w:sz w:val="20"/>
                <w:szCs w:val="20"/>
              </w:rPr>
              <w:t xml:space="preserve"> </w:t>
            </w:r>
            <w:r w:rsidRPr="00B82B04">
              <w:rPr>
                <w:rFonts w:ascii="Arial" w:hAnsi="Arial" w:eastAsia="Calibri" w:cs="Arial"/>
                <w:bCs/>
                <w:color w:val="000000"/>
                <w:sz w:val="20"/>
                <w:szCs w:val="20"/>
              </w:rPr>
              <w:t>grantees</w:t>
            </w:r>
            <w:r w:rsidRPr="00B82B04">
              <w:rPr>
                <w:rFonts w:ascii="Arial" w:hAnsi="Arial" w:eastAsia="Calibri" w:cs="Arial"/>
                <w:color w:val="000000"/>
                <w:sz w:val="20"/>
                <w:szCs w:val="20"/>
              </w:rPr>
              <w:t>.</w:t>
            </w:r>
          </w:p>
        </w:tc>
      </w:tr>
      <w:tr w:rsidRPr="00B82B04" w:rsidR="00F5259C" w:rsidTr="00902F66" w14:paraId="34FEE0BB" w14:textId="77777777">
        <w:tc>
          <w:tcPr>
            <w:tcW w:w="1975" w:type="dxa"/>
          </w:tcPr>
          <w:p w:rsidRPr="00B82B04" w:rsidR="00F5259C" w:rsidP="00902F66" w:rsidRDefault="00F5259C" w14:paraId="4DC7C83F" w14:textId="77777777">
            <w:pPr>
              <w:autoSpaceDE w:val="0"/>
              <w:autoSpaceDN w:val="0"/>
              <w:adjustRightInd w:val="0"/>
              <w:spacing w:after="60"/>
              <w:rPr>
                <w:rFonts w:ascii="Arial" w:hAnsi="Arial" w:eastAsia="Calibri" w:cs="Arial"/>
                <w:b/>
                <w:color w:val="000000"/>
                <w:sz w:val="20"/>
                <w:szCs w:val="20"/>
              </w:rPr>
            </w:pPr>
            <w:r w:rsidRPr="00B82B04">
              <w:rPr>
                <w:rFonts w:ascii="Arial" w:hAnsi="Arial" w:eastAsia="Calibri" w:cs="Arial"/>
                <w:b/>
                <w:color w:val="000000"/>
                <w:sz w:val="20"/>
                <w:szCs w:val="20"/>
              </w:rPr>
              <w:t>Script to Schedule Client Process Evaluation Interview</w:t>
            </w:r>
          </w:p>
          <w:p w:rsidRPr="00B82B04" w:rsidR="00F5259C" w:rsidP="00902F66" w:rsidRDefault="00F5259C" w14:paraId="0459E64B" w14:textId="77777777">
            <w:pPr>
              <w:autoSpaceDE w:val="0"/>
              <w:autoSpaceDN w:val="0"/>
              <w:adjustRightInd w:val="0"/>
              <w:spacing w:after="60"/>
              <w:rPr>
                <w:rFonts w:ascii="Arial" w:hAnsi="Arial" w:cs="Arial"/>
                <w:b/>
                <w:bCs/>
                <w:sz w:val="20"/>
                <w:szCs w:val="20"/>
              </w:rPr>
            </w:pPr>
            <w:r w:rsidRPr="00B82B04">
              <w:rPr>
                <w:rFonts w:ascii="Arial" w:hAnsi="Arial" w:eastAsia="Calibri" w:cs="Arial"/>
                <w:color w:val="000000"/>
                <w:sz w:val="20"/>
                <w:szCs w:val="20"/>
              </w:rPr>
              <w:t>(</w:t>
            </w:r>
            <w:proofErr w:type="gramStart"/>
            <w:r w:rsidRPr="00B82B04">
              <w:rPr>
                <w:rFonts w:ascii="Arial" w:hAnsi="Arial" w:eastAsia="Calibri" w:cs="Arial"/>
                <w:color w:val="000000"/>
                <w:sz w:val="20"/>
                <w:szCs w:val="20"/>
              </w:rPr>
              <w:t>appendix</w:t>
            </w:r>
            <w:proofErr w:type="gramEnd"/>
            <w:r w:rsidRPr="00B82B04">
              <w:rPr>
                <w:rFonts w:ascii="Arial" w:hAnsi="Arial" w:eastAsia="Calibri" w:cs="Arial"/>
                <w:color w:val="000000"/>
                <w:sz w:val="20"/>
                <w:szCs w:val="20"/>
              </w:rPr>
              <w:t xml:space="preserve"> K, English and Spanish</w:t>
            </w:r>
            <w:r w:rsidRPr="00B82B04">
              <w:rPr>
                <w:rFonts w:ascii="Arial" w:hAnsi="Arial" w:eastAsia="Calibri" w:cs="Arial"/>
                <w:bCs/>
                <w:color w:val="000000"/>
                <w:sz w:val="20"/>
                <w:szCs w:val="20"/>
              </w:rPr>
              <w:t xml:space="preserve"> versions</w:t>
            </w:r>
            <w:r w:rsidRPr="00B82B04">
              <w:rPr>
                <w:rFonts w:ascii="Arial" w:hAnsi="Arial" w:eastAsia="Calibri" w:cs="Arial"/>
                <w:color w:val="000000"/>
                <w:sz w:val="20"/>
                <w:szCs w:val="20"/>
              </w:rPr>
              <w:t>)</w:t>
            </w:r>
          </w:p>
        </w:tc>
        <w:tc>
          <w:tcPr>
            <w:tcW w:w="2970" w:type="dxa"/>
          </w:tcPr>
          <w:p w:rsidRPr="00B82B04" w:rsidR="00F5259C" w:rsidP="00902F66" w:rsidRDefault="00F5259C" w14:paraId="07E470B7" w14:textId="77777777">
            <w:pPr>
              <w:rPr>
                <w:rFonts w:ascii="Arial" w:hAnsi="Arial" w:cs="Arial"/>
                <w:sz w:val="20"/>
                <w:szCs w:val="20"/>
              </w:rPr>
            </w:pPr>
            <w:r w:rsidRPr="00B82B04">
              <w:rPr>
                <w:rFonts w:ascii="Arial" w:hAnsi="Arial" w:eastAsia="Calibri" w:cs="Arial"/>
                <w:bCs/>
                <w:color w:val="000000"/>
                <w:sz w:val="20"/>
                <w:szCs w:val="20"/>
              </w:rPr>
              <w:t>Helps SC work with clients to set the</w:t>
            </w:r>
            <w:r w:rsidRPr="00B82B04">
              <w:rPr>
                <w:rFonts w:ascii="Arial" w:hAnsi="Arial" w:eastAsia="Calibri" w:cs="Arial"/>
                <w:color w:val="000000"/>
                <w:sz w:val="20"/>
                <w:szCs w:val="20"/>
              </w:rPr>
              <w:t xml:space="preserve"> date, time, and preferred method of administering the Interview</w:t>
            </w:r>
          </w:p>
        </w:tc>
        <w:tc>
          <w:tcPr>
            <w:tcW w:w="1260" w:type="dxa"/>
          </w:tcPr>
          <w:p w:rsidRPr="00B82B04" w:rsidR="00F5259C" w:rsidP="00902F66" w:rsidRDefault="00F5259C" w14:paraId="61C4C910" w14:textId="77777777">
            <w:pPr>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t>Process #9</w:t>
            </w:r>
          </w:p>
        </w:tc>
        <w:tc>
          <w:tcPr>
            <w:tcW w:w="1440" w:type="dxa"/>
          </w:tcPr>
          <w:p w:rsidRPr="00B82B04" w:rsidR="00F5259C" w:rsidP="00902F66" w:rsidRDefault="00F5259C" w14:paraId="55624793" w14:textId="77777777">
            <w:pPr>
              <w:rPr>
                <w:rFonts w:ascii="Arial" w:hAnsi="Arial" w:cs="Arial"/>
                <w:sz w:val="20"/>
                <w:szCs w:val="20"/>
              </w:rPr>
            </w:pPr>
            <w:r w:rsidRPr="00B82B04">
              <w:rPr>
                <w:rFonts w:ascii="Arial" w:hAnsi="Arial" w:eastAsia="Calibri" w:cs="Arial"/>
                <w:color w:val="000000"/>
                <w:sz w:val="20"/>
                <w:szCs w:val="20"/>
              </w:rPr>
              <w:t>Once, within 6-9 months post-modification</w:t>
            </w:r>
            <w:r w:rsidRPr="00B82B04">
              <w:rPr>
                <w:rFonts w:ascii="Arial" w:hAnsi="Arial" w:eastAsia="Calibri" w:cs="Arial"/>
                <w:bCs/>
                <w:color w:val="000000"/>
                <w:sz w:val="20"/>
                <w:szCs w:val="20"/>
              </w:rPr>
              <w:t>.</w:t>
            </w:r>
          </w:p>
        </w:tc>
        <w:tc>
          <w:tcPr>
            <w:tcW w:w="1710" w:type="dxa"/>
          </w:tcPr>
          <w:p w:rsidRPr="00B82B04" w:rsidR="00F5259C" w:rsidP="00902F66" w:rsidRDefault="00F5259C" w14:paraId="3660A74C" w14:textId="77777777">
            <w:pPr>
              <w:rPr>
                <w:rFonts w:ascii="Arial" w:hAnsi="Arial" w:cs="Arial"/>
                <w:sz w:val="20"/>
                <w:szCs w:val="20"/>
              </w:rPr>
            </w:pPr>
            <w:r w:rsidRPr="00B82B04">
              <w:rPr>
                <w:rFonts w:ascii="Arial" w:hAnsi="Arial" w:eastAsia="Calibri" w:cs="Arial"/>
                <w:color w:val="000000"/>
                <w:sz w:val="20"/>
                <w:szCs w:val="20"/>
              </w:rPr>
              <w:t>Contractor SCs schedule interviews for</w:t>
            </w:r>
            <w:r w:rsidRPr="00B82B04">
              <w:rPr>
                <w:rFonts w:ascii="Arial" w:hAnsi="Arial" w:eastAsia="Calibri" w:cs="Arial"/>
                <w:bCs/>
                <w:color w:val="000000"/>
                <w:sz w:val="20"/>
                <w:szCs w:val="20"/>
              </w:rPr>
              <w:t xml:space="preserve"> up to</w:t>
            </w:r>
            <w:r w:rsidRPr="00B82B04">
              <w:rPr>
                <w:rFonts w:ascii="Arial" w:hAnsi="Arial" w:eastAsia="Calibri" w:cs="Arial"/>
                <w:color w:val="000000"/>
                <w:sz w:val="20"/>
                <w:szCs w:val="20"/>
              </w:rPr>
              <w:t xml:space="preserve"> 10% of clients who received </w:t>
            </w:r>
            <w:r w:rsidRPr="00B82B04">
              <w:rPr>
                <w:rFonts w:ascii="Arial" w:hAnsi="Arial" w:eastAsia="Calibri" w:cs="Arial"/>
                <w:bCs/>
                <w:color w:val="000000"/>
                <w:sz w:val="20"/>
                <w:szCs w:val="20"/>
              </w:rPr>
              <w:t>services via the OAHMP.</w:t>
            </w:r>
          </w:p>
        </w:tc>
      </w:tr>
      <w:tr w:rsidRPr="00B82B04" w:rsidR="00F5259C" w:rsidTr="00902F66" w14:paraId="46414575" w14:textId="77777777">
        <w:tc>
          <w:tcPr>
            <w:tcW w:w="1975" w:type="dxa"/>
          </w:tcPr>
          <w:p w:rsidRPr="00B82B04" w:rsidR="00F5259C" w:rsidP="00902F66" w:rsidRDefault="00F5259C" w14:paraId="310042C5" w14:textId="77777777">
            <w:pPr>
              <w:autoSpaceDE w:val="0"/>
              <w:autoSpaceDN w:val="0"/>
              <w:adjustRightInd w:val="0"/>
              <w:spacing w:after="60"/>
              <w:rPr>
                <w:rFonts w:ascii="Arial" w:hAnsi="Arial" w:cs="Arial"/>
                <w:b/>
                <w:bCs/>
                <w:sz w:val="20"/>
                <w:szCs w:val="20"/>
              </w:rPr>
            </w:pPr>
            <w:r w:rsidRPr="00B82B04">
              <w:rPr>
                <w:rFonts w:ascii="Arial" w:hAnsi="Arial" w:eastAsia="Calibri" w:cs="Arial"/>
                <w:b/>
                <w:color w:val="000000"/>
                <w:sz w:val="20"/>
                <w:szCs w:val="20"/>
              </w:rPr>
              <w:t xml:space="preserve">Client Process Evaluation Interview </w:t>
            </w:r>
            <w:r w:rsidRPr="00B82B04">
              <w:rPr>
                <w:rFonts w:ascii="Arial" w:hAnsi="Arial" w:eastAsia="Calibri" w:cs="Arial"/>
                <w:color w:val="000000"/>
                <w:sz w:val="20"/>
                <w:szCs w:val="20"/>
              </w:rPr>
              <w:t>(appendix L</w:t>
            </w:r>
            <w:r w:rsidRPr="00B82B04">
              <w:rPr>
                <w:rFonts w:ascii="Arial" w:hAnsi="Arial" w:eastAsia="Calibri" w:cs="Arial"/>
                <w:b/>
                <w:bCs/>
                <w:color w:val="000000"/>
                <w:sz w:val="20"/>
                <w:szCs w:val="20"/>
              </w:rPr>
              <w:t>,</w:t>
            </w:r>
            <w:r w:rsidRPr="00B82B04">
              <w:rPr>
                <w:rFonts w:ascii="Arial" w:hAnsi="Arial" w:eastAsia="Calibri" w:cs="Arial"/>
                <w:color w:val="000000"/>
                <w:sz w:val="20"/>
                <w:szCs w:val="20"/>
              </w:rPr>
              <w:t xml:space="preserve"> English and Spanish</w:t>
            </w:r>
            <w:r w:rsidRPr="00B82B04">
              <w:rPr>
                <w:rFonts w:ascii="Arial" w:hAnsi="Arial" w:eastAsia="Calibri" w:cs="Arial"/>
                <w:bCs/>
                <w:color w:val="000000"/>
                <w:sz w:val="20"/>
                <w:szCs w:val="20"/>
              </w:rPr>
              <w:t xml:space="preserve"> versions</w:t>
            </w:r>
            <w:r w:rsidRPr="00B82B04">
              <w:rPr>
                <w:rFonts w:ascii="Arial" w:hAnsi="Arial" w:eastAsia="Calibri" w:cs="Arial"/>
                <w:color w:val="000000"/>
                <w:sz w:val="20"/>
                <w:szCs w:val="20"/>
              </w:rPr>
              <w:t>)</w:t>
            </w:r>
          </w:p>
        </w:tc>
        <w:tc>
          <w:tcPr>
            <w:tcW w:w="2970" w:type="dxa"/>
          </w:tcPr>
          <w:p w:rsidRPr="00B82B04" w:rsidR="00F5259C" w:rsidP="00902F66" w:rsidRDefault="00F5259C" w14:paraId="720E5B6D" w14:textId="77777777">
            <w:pPr>
              <w:rPr>
                <w:rFonts w:ascii="Arial" w:hAnsi="Arial" w:cs="Arial"/>
                <w:sz w:val="20"/>
                <w:szCs w:val="20"/>
              </w:rPr>
            </w:pPr>
            <w:r w:rsidRPr="00B82B04">
              <w:rPr>
                <w:rFonts w:ascii="Arial" w:hAnsi="Arial" w:eastAsia="Calibri" w:cs="Arial"/>
                <w:color w:val="000000"/>
                <w:sz w:val="20"/>
                <w:szCs w:val="20"/>
              </w:rPr>
              <w:t xml:space="preserve">Allows clients to discuss their </w:t>
            </w:r>
            <w:r w:rsidRPr="00B82B04">
              <w:rPr>
                <w:rFonts w:ascii="Arial" w:hAnsi="Arial" w:eastAsia="Calibri" w:cs="Arial"/>
                <w:bCs/>
                <w:color w:val="000000"/>
                <w:sz w:val="20"/>
                <w:szCs w:val="20"/>
              </w:rPr>
              <w:t>experiences</w:t>
            </w:r>
            <w:r w:rsidRPr="00B82B04">
              <w:rPr>
                <w:rFonts w:ascii="Arial" w:hAnsi="Arial" w:eastAsia="Calibri" w:cs="Arial"/>
                <w:color w:val="000000"/>
                <w:sz w:val="20"/>
                <w:szCs w:val="20"/>
              </w:rPr>
              <w:t xml:space="preserve"> with program recruitment, decision to apply for the program, interactions with </w:t>
            </w:r>
            <w:r w:rsidRPr="00B82B04">
              <w:rPr>
                <w:rFonts w:ascii="Arial" w:hAnsi="Arial" w:eastAsia="Calibri" w:cs="Arial"/>
                <w:bCs/>
                <w:color w:val="000000"/>
                <w:sz w:val="20"/>
                <w:szCs w:val="20"/>
              </w:rPr>
              <w:t>OAHMP grantee</w:t>
            </w:r>
            <w:r w:rsidRPr="00B82B04">
              <w:rPr>
                <w:rFonts w:ascii="Arial" w:hAnsi="Arial" w:eastAsia="Calibri" w:cs="Arial"/>
                <w:color w:val="000000"/>
                <w:sz w:val="20"/>
                <w:szCs w:val="20"/>
              </w:rPr>
              <w:t xml:space="preserve"> staff, satisfaction with the work completed, and perceived benefits of the modifications.</w:t>
            </w:r>
          </w:p>
        </w:tc>
        <w:tc>
          <w:tcPr>
            <w:tcW w:w="1260" w:type="dxa"/>
          </w:tcPr>
          <w:p w:rsidRPr="00B82B04" w:rsidR="00F5259C" w:rsidP="00902F66" w:rsidRDefault="00F5259C" w14:paraId="2BD658F6" w14:textId="77777777">
            <w:pPr>
              <w:autoSpaceDE w:val="0"/>
              <w:autoSpaceDN w:val="0"/>
              <w:adjustRightInd w:val="0"/>
              <w:spacing w:after="60"/>
              <w:rPr>
                <w:rFonts w:ascii="Arial" w:hAnsi="Arial" w:cs="Arial"/>
                <w:sz w:val="20"/>
                <w:szCs w:val="20"/>
              </w:rPr>
            </w:pPr>
            <w:r w:rsidRPr="00B82B04">
              <w:rPr>
                <w:rFonts w:ascii="Arial" w:hAnsi="Arial" w:eastAsia="Calibri" w:cs="Arial"/>
                <w:color w:val="000000"/>
                <w:sz w:val="20"/>
                <w:szCs w:val="20"/>
              </w:rPr>
              <w:t>Process #9</w:t>
            </w:r>
          </w:p>
        </w:tc>
        <w:tc>
          <w:tcPr>
            <w:tcW w:w="1440" w:type="dxa"/>
          </w:tcPr>
          <w:p w:rsidRPr="00B82B04" w:rsidR="00F5259C" w:rsidP="00902F66" w:rsidRDefault="00F5259C" w14:paraId="591FB2A7" w14:textId="77777777">
            <w:pPr>
              <w:rPr>
                <w:rFonts w:ascii="Arial" w:hAnsi="Arial" w:cs="Arial"/>
                <w:sz w:val="20"/>
                <w:szCs w:val="20"/>
              </w:rPr>
            </w:pPr>
            <w:r w:rsidRPr="00B82B04">
              <w:rPr>
                <w:rFonts w:ascii="Arial" w:hAnsi="Arial" w:eastAsia="Calibri" w:cs="Arial"/>
                <w:color w:val="000000"/>
                <w:sz w:val="20"/>
                <w:szCs w:val="20"/>
              </w:rPr>
              <w:t>Once, within 6-9 months post-modification</w:t>
            </w:r>
            <w:r w:rsidRPr="00B82B04">
              <w:rPr>
                <w:rFonts w:ascii="Arial" w:hAnsi="Arial" w:eastAsia="Calibri" w:cs="Arial"/>
                <w:bCs/>
                <w:color w:val="000000"/>
                <w:sz w:val="20"/>
                <w:szCs w:val="20"/>
              </w:rPr>
              <w:t>.</w:t>
            </w:r>
          </w:p>
        </w:tc>
        <w:tc>
          <w:tcPr>
            <w:tcW w:w="1710" w:type="dxa"/>
          </w:tcPr>
          <w:p w:rsidRPr="00B82B04" w:rsidR="00F5259C" w:rsidP="00902F66" w:rsidRDefault="00F5259C" w14:paraId="30158FFA" w14:textId="77777777">
            <w:pPr>
              <w:rPr>
                <w:rFonts w:ascii="Arial" w:hAnsi="Arial" w:cs="Arial"/>
                <w:sz w:val="20"/>
                <w:szCs w:val="20"/>
              </w:rPr>
            </w:pPr>
            <w:r w:rsidRPr="00B82B04">
              <w:rPr>
                <w:rFonts w:ascii="Arial" w:hAnsi="Arial" w:eastAsia="Calibri" w:cs="Arial"/>
                <w:color w:val="000000"/>
                <w:sz w:val="20"/>
                <w:szCs w:val="20"/>
              </w:rPr>
              <w:t xml:space="preserve">Contractor SCs conduct interviews and enter data for 10% of </w:t>
            </w:r>
            <w:r w:rsidRPr="00B82B04">
              <w:rPr>
                <w:rFonts w:ascii="Arial" w:hAnsi="Arial" w:eastAsia="Calibri" w:cs="Arial"/>
                <w:bCs/>
                <w:color w:val="000000"/>
                <w:sz w:val="20"/>
                <w:szCs w:val="20"/>
              </w:rPr>
              <w:t>client</w:t>
            </w:r>
            <w:r w:rsidRPr="00B82B04">
              <w:rPr>
                <w:rFonts w:ascii="Arial" w:hAnsi="Arial" w:eastAsia="Calibri" w:cs="Arial"/>
                <w:color w:val="000000"/>
                <w:sz w:val="20"/>
                <w:szCs w:val="20"/>
              </w:rPr>
              <w:t>s who received services by the grantees, up to approximately 500 respondents.</w:t>
            </w:r>
          </w:p>
        </w:tc>
      </w:tr>
    </w:tbl>
    <w:bookmarkEnd w:id="14"/>
    <w:p w:rsidRPr="00B82B04" w:rsidR="00F5259C" w:rsidP="00F5259C" w:rsidRDefault="00F5259C" w14:paraId="511278F6" w14:textId="77777777">
      <w:pPr>
        <w:pStyle w:val="N2-2ndBullet"/>
        <w:numPr>
          <w:ilvl w:val="0"/>
          <w:numId w:val="0"/>
        </w:numPr>
        <w:spacing w:before="240"/>
        <w:jc w:val="left"/>
      </w:pPr>
      <w:r w:rsidRPr="00B82B04">
        <w:t xml:space="preserve">Where appropriate, the Contractor will compare certain Evaluation data on ADLs and IADLs with available national and regional data from the </w:t>
      </w:r>
      <w:r>
        <w:t>Medicare HOS</w:t>
      </w:r>
      <w:r w:rsidRPr="00B82B04">
        <w:t xml:space="preserve">. To facilitate these comparisons, questions in the OAHM Client Impact Evaluation Interview (baseline and post-modification) use language from these sources. For unplanned healthcare usage data, the Contractor will use regional Agency for Healthcare Research and Quality (AHRQ) </w:t>
      </w:r>
      <w:r w:rsidRPr="00B82B04">
        <w:rPr>
          <w:bCs/>
        </w:rPr>
        <w:t>Medical Expenditure Panel Survey</w:t>
      </w:r>
      <w:r w:rsidRPr="00B82B04">
        <w:t xml:space="preserve"> (MEPS) data</w:t>
      </w:r>
      <w:r w:rsidRPr="00B82B04">
        <w:rPr>
          <w:vertAlign w:val="superscript"/>
        </w:rPr>
        <w:footnoteReference w:id="33"/>
      </w:r>
      <w:r w:rsidRPr="00B82B04">
        <w:t xml:space="preserve"> to assign costs to clients’ emergency response calls, ED visits, and unplanned overnight hospitalizations. Specific questions or variables from these sources are covered in more depth in </w:t>
      </w:r>
      <w:r>
        <w:t>A.</w:t>
      </w:r>
      <w:r w:rsidRPr="00AE4DF2">
        <w:t xml:space="preserve">7, </w:t>
      </w:r>
      <w:r w:rsidR="007A0540">
        <w:fldChar w:fldCharType="begin"/>
      </w:r>
      <w:r w:rsidR="007A0540">
        <w:instrText>REF _Ref77086182  \* MERGEFORMAT</w:instrText>
      </w:r>
      <w:r w:rsidR="007A0540">
        <w:fldChar w:fldCharType="separate"/>
      </w:r>
      <w:r w:rsidRPr="00AE4DF2">
        <w:t xml:space="preserve">Table </w:t>
      </w:r>
      <w:r w:rsidRPr="00AE4DF2">
        <w:rPr>
          <w:noProof/>
        </w:rPr>
        <w:t>5</w:t>
      </w:r>
      <w:r w:rsidR="007A0540">
        <w:rPr>
          <w:noProof/>
        </w:rPr>
        <w:fldChar w:fldCharType="end"/>
      </w:r>
      <w:r w:rsidRPr="00B82B04">
        <w:t xml:space="preserve">. </w:t>
      </w:r>
      <w:r>
        <w:t xml:space="preserve">Additional </w:t>
      </w:r>
      <w:r w:rsidRPr="00B82B04">
        <w:t>details on statistical approaches and procedures for analyzing these data</w:t>
      </w:r>
      <w:r>
        <w:t xml:space="preserve"> are provided in</w:t>
      </w:r>
      <w:r w:rsidRPr="00674919">
        <w:t xml:space="preserve"> B.2</w:t>
      </w:r>
      <w:r>
        <w:t>.</w:t>
      </w:r>
    </w:p>
    <w:p w:rsidRPr="00B82B04" w:rsidR="00F5259C" w:rsidP="00F5259C" w:rsidRDefault="00F5259C" w14:paraId="4CB75EF1" w14:textId="77777777">
      <w:pPr>
        <w:pStyle w:val="Heading2"/>
      </w:pPr>
      <w:bookmarkStart w:name="_Toc69888471" w:id="16"/>
      <w:bookmarkStart w:name="_Toc75878155" w:id="17"/>
      <w:r w:rsidRPr="00B82B04">
        <w:t>Staff Qualifications and Training</w:t>
      </w:r>
      <w:bookmarkEnd w:id="16"/>
      <w:bookmarkEnd w:id="17"/>
    </w:p>
    <w:p w:rsidRPr="005C63E3" w:rsidR="00F5259C" w:rsidP="00F5259C" w:rsidRDefault="00F5259C" w14:paraId="31C21AC5" w14:textId="77777777">
      <w:pPr>
        <w:pStyle w:val="Heading3"/>
      </w:pPr>
      <w:r w:rsidRPr="00AA2382">
        <w:t>OAHM Grantees</w:t>
      </w:r>
    </w:p>
    <w:p w:rsidRPr="00B82B04" w:rsidR="00F5259C" w:rsidP="00F5259C" w:rsidRDefault="00F5259C" w14:paraId="7E89BB86" w14:textId="77777777">
      <w:pPr>
        <w:pStyle w:val="NormalOMB"/>
        <w:spacing w:after="240"/>
        <w:ind w:firstLine="0"/>
      </w:pPr>
      <w:r w:rsidRPr="00B82B04">
        <w:t xml:space="preserve">Grantees participating in the Evaluation will have multiple staff assigned to their program’s operations; these may include project managers, clerical staff, construction managers, licensed OTs, licensed OTAs, CAPS, registered nurses, social workers, in-house repair staff, and </w:t>
      </w:r>
      <w:r w:rsidRPr="00B82B04">
        <w:lastRenderedPageBreak/>
        <w:t>construction subcontractors. Grantees determine the qualifications for their staff. Grantee staff will be responsible for recruitment and enrollment of older adult’s homes into the OAHMP, verification of client eligibility, primary contact with the resident/client, design and management of home modifications, oversight to ensure OAHMP work is completed appropriately, and administration of all the Evaluation forms identified as grantee responsibilities in Table 3 according to the specified timeframes.</w:t>
      </w:r>
      <w:r>
        <w:t xml:space="preserve"> </w:t>
      </w:r>
      <w:r w:rsidRPr="0034752B">
        <w:t xml:space="preserve">Grantees are responsible for determining and documenting the methods they will use to address LEP and Section 504 requirements for clients (see </w:t>
      </w:r>
      <w:r>
        <w:t>appendix</w:t>
      </w:r>
      <w:r w:rsidRPr="0034752B">
        <w:t xml:space="preserve"> B).  Grantees will be expected for the purposes of this Evaluation to use those same procedures for administering Evaluation forms.</w:t>
      </w:r>
    </w:p>
    <w:p w:rsidRPr="00B82B04" w:rsidR="00F5259C" w:rsidP="00F5259C" w:rsidRDefault="00F5259C" w14:paraId="04EBFA38" w14:textId="77777777">
      <w:pPr>
        <w:spacing w:after="60"/>
      </w:pPr>
      <w:r w:rsidRPr="00B82B04">
        <w:t>The Contractor will utilize Vanderbilt University’s Research Electronic Data Capture (</w:t>
      </w:r>
      <w:proofErr w:type="spellStart"/>
      <w:r w:rsidRPr="00B82B04">
        <w:t>REDCap</w:t>
      </w:r>
      <w:proofErr w:type="spellEnd"/>
      <w:r w:rsidRPr="00B82B04">
        <w:t>)</w:t>
      </w:r>
      <w:r w:rsidRPr="00B82B04">
        <w:rPr>
          <w:rStyle w:val="FootnoteReference"/>
        </w:rPr>
        <w:footnoteReference w:id="34"/>
      </w:r>
      <w:r w:rsidRPr="00B82B04">
        <w:rPr>
          <w:vertAlign w:val="superscript"/>
        </w:rPr>
        <w:t>,</w:t>
      </w:r>
      <w:r w:rsidRPr="00B82B04">
        <w:rPr>
          <w:rStyle w:val="FootnoteReference"/>
        </w:rPr>
        <w:footnoteReference w:id="35"/>
      </w:r>
      <w:r w:rsidRPr="00CE6418">
        <w:rPr>
          <w:vertAlign w:val="superscript"/>
        </w:rPr>
        <w:t>,</w:t>
      </w:r>
      <w:r w:rsidRPr="00B82B04">
        <w:rPr>
          <w:rStyle w:val="FootnoteReference"/>
        </w:rPr>
        <w:footnoteReference w:id="36"/>
      </w:r>
      <w:r w:rsidRPr="00B82B04">
        <w:t xml:space="preserve"> system for Evaluation data collection and storage and provide grantees access to the </w:t>
      </w:r>
      <w:proofErr w:type="spellStart"/>
      <w:r w:rsidRPr="00B82B04">
        <w:t>REDCap</w:t>
      </w:r>
      <w:proofErr w:type="spellEnd"/>
      <w:r w:rsidRPr="00B82B04">
        <w:t xml:space="preserve"> platform to complete Evaluation DCIs)for which they are responsible. </w:t>
      </w:r>
      <w:proofErr w:type="spellStart"/>
      <w:r w:rsidRPr="00B82B04">
        <w:rPr>
          <w:bCs/>
          <w:iCs/>
        </w:rPr>
        <w:t>REDCap</w:t>
      </w:r>
      <w:proofErr w:type="spellEnd"/>
      <w:r w:rsidRPr="00B82B04">
        <w:rPr>
          <w:bCs/>
          <w:iCs/>
        </w:rPr>
        <w:t xml:space="preserve"> is a secure, web-based, HIPAA-compliant environment for building and managing web-based, non-commercial projects</w:t>
      </w:r>
      <w:r w:rsidRPr="00B82B04">
        <w:t xml:space="preserve">. </w:t>
      </w:r>
      <w:r>
        <w:t>Table 4 identifies w</w:t>
      </w:r>
      <w:r w:rsidRPr="00B82B04">
        <w:t xml:space="preserve">ho will administer specific DCIs (i.e., grantees or the Contractor’s Site Coordinators) and input the data into </w:t>
      </w:r>
      <w:proofErr w:type="spellStart"/>
      <w:r w:rsidRPr="00B82B04">
        <w:t>REDCap</w:t>
      </w:r>
      <w:proofErr w:type="spellEnd"/>
      <w:r w:rsidRPr="00B82B04">
        <w:t xml:space="preserve">. As grantees will be required to collect and enter Evaluation data into </w:t>
      </w:r>
      <w:proofErr w:type="spellStart"/>
      <w:r w:rsidRPr="00B82B04">
        <w:t>REDCap</w:t>
      </w:r>
      <w:proofErr w:type="spellEnd"/>
      <w:r w:rsidRPr="00B82B04">
        <w:t xml:space="preserve">, the Contractor will provide training on use of </w:t>
      </w:r>
      <w:proofErr w:type="spellStart"/>
      <w:r w:rsidRPr="00B82B04">
        <w:t>REDCap</w:t>
      </w:r>
      <w:proofErr w:type="spellEnd"/>
      <w:r w:rsidRPr="00B82B04">
        <w:t xml:space="preserve"> and administration of the DCIs. Specifically, the Contractor’s Senior Research Associate (SRA) or designee will train grantee-designated management and data entry staff on: </w:t>
      </w:r>
    </w:p>
    <w:p w:rsidRPr="00B82B04" w:rsidR="00F5259C" w:rsidP="00F5259C" w:rsidRDefault="00F5259C" w14:paraId="6BEAF79B" w14:textId="77777777">
      <w:pPr>
        <w:pStyle w:val="ListParagraph"/>
        <w:numPr>
          <w:ilvl w:val="0"/>
          <w:numId w:val="20"/>
        </w:numPr>
      </w:pPr>
      <w:r w:rsidRPr="00B82B04">
        <w:t xml:space="preserve">Evaluation schedule and how it aligns with the OAHMP grant’s deliverables </w:t>
      </w:r>
      <w:proofErr w:type="gramStart"/>
      <w:r w:rsidRPr="00B82B04">
        <w:t>schedule;</w:t>
      </w:r>
      <w:proofErr w:type="gramEnd"/>
    </w:p>
    <w:p w:rsidRPr="00B82B04" w:rsidR="00F5259C" w:rsidP="00F5259C" w:rsidRDefault="00F5259C" w14:paraId="3029D72B" w14:textId="77777777">
      <w:pPr>
        <w:pStyle w:val="ListParagraph"/>
        <w:numPr>
          <w:ilvl w:val="0"/>
          <w:numId w:val="20"/>
        </w:numPr>
      </w:pPr>
      <w:r w:rsidRPr="00B82B04">
        <w:t>Protocols requesting potential clients’ participation in the Evaluation (Informed Consent</w:t>
      </w:r>
      <w:proofErr w:type="gramStart"/>
      <w:r w:rsidRPr="00B82B04">
        <w:t>);</w:t>
      </w:r>
      <w:proofErr w:type="gramEnd"/>
      <w:r w:rsidRPr="00B82B04">
        <w:t xml:space="preserve"> </w:t>
      </w:r>
    </w:p>
    <w:p w:rsidRPr="00B82B04" w:rsidR="00F5259C" w:rsidP="00F5259C" w:rsidRDefault="00F5259C" w14:paraId="503048CA" w14:textId="77777777">
      <w:pPr>
        <w:pStyle w:val="ListParagraph"/>
        <w:numPr>
          <w:ilvl w:val="0"/>
          <w:numId w:val="20"/>
        </w:numPr>
      </w:pPr>
      <w:r w:rsidRPr="00B82B04">
        <w:t>Evaluation data collection protocols and instruments; and</w:t>
      </w:r>
    </w:p>
    <w:p w:rsidRPr="00B82B04" w:rsidR="00F5259C" w:rsidP="00F5259C" w:rsidRDefault="00F5259C" w14:paraId="676541C0" w14:textId="77777777">
      <w:pPr>
        <w:pStyle w:val="ListParagraph"/>
        <w:numPr>
          <w:ilvl w:val="0"/>
          <w:numId w:val="20"/>
        </w:numPr>
      </w:pPr>
      <w:proofErr w:type="spellStart"/>
      <w:r w:rsidRPr="00B82B04">
        <w:t>REDCap</w:t>
      </w:r>
      <w:proofErr w:type="spellEnd"/>
      <w:r w:rsidRPr="00B82B04">
        <w:t xml:space="preserve"> data entry procedures and tools.</w:t>
      </w:r>
    </w:p>
    <w:p w:rsidRPr="00B82B04" w:rsidR="00F5259C" w:rsidP="00F5259C" w:rsidRDefault="00F5259C" w14:paraId="329850D2" w14:textId="77777777">
      <w:pPr>
        <w:pStyle w:val="ListParagraph"/>
        <w:spacing w:before="240" w:after="240"/>
        <w:ind w:left="0"/>
      </w:pPr>
      <w:r w:rsidRPr="00B82B04">
        <w:t xml:space="preserve">Training sessions will occur via four half-day (i.e., four-hour) webinars with up to eight grantees each. The Contractor will record at least one of the training webinars and make the recording available to grantees for new staff and self-guided refresher training purposes, as needed. </w:t>
      </w:r>
    </w:p>
    <w:p w:rsidRPr="00B82B04" w:rsidR="00F5259C" w:rsidP="00F5259C" w:rsidRDefault="00F5259C" w14:paraId="18615B9D" w14:textId="77777777">
      <w:pPr>
        <w:pStyle w:val="Heading3"/>
      </w:pPr>
      <w:r w:rsidRPr="00B82B04">
        <w:t>Contractor Site Coordinators</w:t>
      </w:r>
    </w:p>
    <w:p w:rsidRPr="00B82B04" w:rsidR="00F5259C" w:rsidP="00F5259C" w:rsidRDefault="00F5259C" w14:paraId="6A0448E9" w14:textId="77777777">
      <w:pPr>
        <w:pStyle w:val="NormalOMB"/>
        <w:keepNext/>
        <w:spacing w:after="120"/>
        <w:ind w:firstLine="0"/>
      </w:pPr>
      <w:r w:rsidRPr="00B82B04">
        <w:t xml:space="preserve">To facilitate interactions with grantees and to monitor progress in completing the DCIs described in Table 3, the Contractor will employ </w:t>
      </w:r>
      <w:r>
        <w:t>S</w:t>
      </w:r>
      <w:r w:rsidRPr="00B82B04">
        <w:t xml:space="preserve">ite </w:t>
      </w:r>
      <w:r>
        <w:t>C</w:t>
      </w:r>
      <w:r w:rsidRPr="00B82B04">
        <w:t>oordinators (SCs)</w:t>
      </w:r>
      <w:r>
        <w:t xml:space="preserve"> who </w:t>
      </w:r>
      <w:r w:rsidRPr="00B82B04">
        <w:t>will be respons</w:t>
      </w:r>
      <w:r>
        <w:t xml:space="preserve">ible for </w:t>
      </w:r>
      <w:r>
        <w:lastRenderedPageBreak/>
        <w:t>working with a specified</w:t>
      </w:r>
      <w:r w:rsidRPr="00B82B04">
        <w:t xml:space="preserve"> number of OAHMP grantees, assigned based on the regional distribution of the grantees. SC responsibilities will include:</w:t>
      </w:r>
    </w:p>
    <w:p w:rsidRPr="00B82B04" w:rsidR="00F5259C" w:rsidP="00F5259C" w:rsidRDefault="00F5259C" w14:paraId="416DF94C" w14:textId="77777777">
      <w:pPr>
        <w:pStyle w:val="NormalOMB"/>
        <w:keepNext/>
        <w:numPr>
          <w:ilvl w:val="0"/>
          <w:numId w:val="8"/>
        </w:numPr>
        <w:spacing w:after="120"/>
        <w:ind w:left="540"/>
      </w:pPr>
      <w:r w:rsidRPr="00B82B04">
        <w:t>Monitoring monthly, at a minimum, grantees’ completion of DCIs and engaging in quality control reviews of the data entered by the grantees.</w:t>
      </w:r>
    </w:p>
    <w:p w:rsidRPr="00B82B04" w:rsidR="00F5259C" w:rsidP="00F5259C" w:rsidRDefault="00F5259C" w14:paraId="3301AC9B" w14:textId="77777777">
      <w:pPr>
        <w:pStyle w:val="ListParagraph"/>
        <w:numPr>
          <w:ilvl w:val="0"/>
          <w:numId w:val="8"/>
        </w:numPr>
        <w:spacing w:after="120"/>
        <w:ind w:left="547"/>
      </w:pPr>
      <w:r w:rsidRPr="00B82B04">
        <w:t>Monitoring completion of the annual Grantee Process Evaluation Survey</w:t>
      </w:r>
      <w:r w:rsidRPr="00B82B04">
        <w:rPr>
          <w:b/>
          <w:bCs/>
        </w:rPr>
        <w:t xml:space="preserve"> </w:t>
      </w:r>
      <w:r w:rsidRPr="00B82B04">
        <w:t xml:space="preserve">in </w:t>
      </w:r>
      <w:proofErr w:type="spellStart"/>
      <w:r w:rsidRPr="00B82B04">
        <w:t>REDCap</w:t>
      </w:r>
      <w:proofErr w:type="spellEnd"/>
      <w:r w:rsidRPr="00B82B04">
        <w:t>, including a review of information and contacting grantee representatives by phone or email to assure data entry is complete.</w:t>
      </w:r>
    </w:p>
    <w:p w:rsidRPr="00B82B04" w:rsidR="00F5259C" w:rsidP="00F5259C" w:rsidRDefault="00F5259C" w14:paraId="62478189" w14:textId="77777777">
      <w:pPr>
        <w:pStyle w:val="ListParagraph"/>
        <w:numPr>
          <w:ilvl w:val="0"/>
          <w:numId w:val="8"/>
        </w:numPr>
        <w:spacing w:after="120"/>
        <w:ind w:left="540"/>
        <w:contextualSpacing/>
      </w:pPr>
      <w:r w:rsidRPr="00B82B04">
        <w:t xml:space="preserve">Monitoring optional grantee group conversations in </w:t>
      </w:r>
      <w:proofErr w:type="spellStart"/>
      <w:r w:rsidRPr="00B82B04">
        <w:t>REDCap</w:t>
      </w:r>
      <w:proofErr w:type="spellEnd"/>
      <w:r w:rsidRPr="00B82B04">
        <w:t xml:space="preserve"> “Messenger,” a </w:t>
      </w:r>
      <w:proofErr w:type="spellStart"/>
      <w:r w:rsidRPr="00B82B04">
        <w:rPr>
          <w:bCs/>
        </w:rPr>
        <w:t>REDCap</w:t>
      </w:r>
      <w:proofErr w:type="spellEnd"/>
      <w:r w:rsidRPr="00B82B04">
        <w:rPr>
          <w:bCs/>
        </w:rPr>
        <w:t xml:space="preserve"> function which will serve as a central location for grantee and Contractor staff to communicate securely. SCs will </w:t>
      </w:r>
      <w:r w:rsidRPr="00B82B04">
        <w:t>alert the SRA if there is a need to correct or provide guidance as questions arise concerning Evaluation protocols.</w:t>
      </w:r>
    </w:p>
    <w:p w:rsidRPr="00B82B04" w:rsidR="00F5259C" w:rsidP="00F5259C" w:rsidRDefault="00F5259C" w14:paraId="6C414CB1" w14:textId="77777777">
      <w:pPr>
        <w:pStyle w:val="NormalOMB"/>
        <w:numPr>
          <w:ilvl w:val="0"/>
          <w:numId w:val="8"/>
        </w:numPr>
        <w:spacing w:after="120"/>
        <w:ind w:left="540"/>
      </w:pPr>
      <w:bookmarkStart w:name="_Hlk58936599" w:id="18"/>
      <w:r w:rsidRPr="00B82B04">
        <w:t xml:space="preserve">Hosting, with other Contractor team members, up to eight optional peer-to-peer webinars during the OAHMP grant’s period of performance. </w:t>
      </w:r>
      <w:bookmarkStart w:name="_Hlk59097257" w:id="19"/>
      <w:r w:rsidRPr="00B82B04">
        <w:t xml:space="preserve">These webinars will provide grantees a forum to learn from each other and share lessons learned, barriers, successes, and other information. </w:t>
      </w:r>
      <w:bookmarkEnd w:id="19"/>
      <w:r w:rsidRPr="00B82B04">
        <w:t>(Grantees may, of course, learn and share among themselves outside of the webinars.)  Grantees will be notified in advance that sessions will be recorded. SCs will use these recordings (and notes taken during the sessions) to summarize results of the webinars (without identifying specific grantee organizations or grantee survey respondents) for review when the Contractor writes the Evaluation’s annual and final reports.</w:t>
      </w:r>
      <w:r w:rsidRPr="00B82B04">
        <w:rPr>
          <w:rFonts w:eastAsiaTheme="minorHAnsi"/>
          <w:bCs/>
          <w:iCs/>
          <w:sz w:val="22"/>
          <w:szCs w:val="22"/>
        </w:rPr>
        <w:t xml:space="preserve"> </w:t>
      </w:r>
      <w:r w:rsidRPr="00B82B04">
        <w:rPr>
          <w:bCs/>
          <w:iCs/>
        </w:rPr>
        <w:t xml:space="preserve">Recordings will be stored on the Contractor’s Cloud Server (currently Microsoft 365 SharePoint), which is password-protected. Recordings will be deleted once HUD has approved the final Evaluation reports. </w:t>
      </w:r>
    </w:p>
    <w:bookmarkEnd w:id="18"/>
    <w:p w:rsidRPr="00B82B04" w:rsidR="00F5259C" w:rsidP="00F5259C" w:rsidRDefault="00F5259C" w14:paraId="20282008" w14:textId="77777777">
      <w:pPr>
        <w:pStyle w:val="NormalOMB"/>
        <w:numPr>
          <w:ilvl w:val="0"/>
          <w:numId w:val="8"/>
        </w:numPr>
        <w:spacing w:after="120"/>
        <w:ind w:left="540"/>
      </w:pPr>
      <w:r w:rsidRPr="00B82B04">
        <w:t xml:space="preserve">Administering the </w:t>
      </w:r>
      <w:r w:rsidRPr="00B82B04">
        <w:rPr>
          <w:rFonts w:eastAsia="Calibri" w:cs="Calibri"/>
          <w:color w:val="000000"/>
        </w:rPr>
        <w:t>Client Process Evaluation Interview</w:t>
      </w:r>
      <w:r w:rsidRPr="00B82B04">
        <w:rPr>
          <w:rFonts w:eastAsia="Calibri" w:cs="Calibri"/>
          <w:bCs/>
          <w:color w:val="000000"/>
        </w:rPr>
        <w:t xml:space="preserve"> to a sample of up to 10% of the grantees’ clients (i.e., approximately 500 clients) six- to nine-months after home modifications have been completed.</w:t>
      </w:r>
    </w:p>
    <w:p w:rsidRPr="007C2562" w:rsidR="00F5259C" w:rsidP="00F5259C" w:rsidRDefault="00F5259C" w14:paraId="3E61A4F4" w14:textId="77777777">
      <w:pPr>
        <w:pStyle w:val="ListParagraph"/>
        <w:spacing w:after="160" w:line="259" w:lineRule="auto"/>
        <w:ind w:left="0"/>
        <w:contextualSpacing/>
        <w:rPr>
          <w:rFonts w:eastAsia="Calibri"/>
        </w:rPr>
      </w:pPr>
      <w:r w:rsidRPr="007C2562">
        <w:rPr>
          <w:rFonts w:eastAsia="Calibri" w:cs="Calibri"/>
          <w:bCs/>
          <w:color w:val="000000"/>
        </w:rPr>
        <w:t xml:space="preserve">Participating in site visits at up to 16 OAHMP grantee sites over the OAHMP grant period of performance. Each SC will accompany the Contractor’s </w:t>
      </w:r>
      <w:r w:rsidRPr="00B82B04">
        <w:t xml:space="preserve">Project Manager (PM) to </w:t>
      </w:r>
      <w:r w:rsidRPr="007C2562">
        <w:rPr>
          <w:rFonts w:eastAsia="Calibri" w:cs="Calibri"/>
          <w:bCs/>
          <w:color w:val="000000"/>
        </w:rPr>
        <w:t xml:space="preserve">site visits to the SC’s assigned grantees. </w:t>
      </w:r>
      <w:r>
        <w:rPr>
          <w:rFonts w:eastAsia="Calibri" w:cs="Calibri"/>
          <w:bCs/>
          <w:color w:val="000000"/>
        </w:rPr>
        <w:t xml:space="preserve">During these scheduled grantee site visits, </w:t>
      </w:r>
      <w:r w:rsidRPr="007C2562">
        <w:rPr>
          <w:rFonts w:eastAsia="Calibri" w:cs="Calibri"/>
          <w:bCs/>
          <w:color w:val="000000"/>
        </w:rPr>
        <w:t xml:space="preserve">SCs will accompany grantee staff on one or two client </w:t>
      </w:r>
      <w:r>
        <w:rPr>
          <w:rFonts w:eastAsia="Calibri" w:cs="Calibri"/>
          <w:bCs/>
          <w:color w:val="000000"/>
        </w:rPr>
        <w:t xml:space="preserve">home </w:t>
      </w:r>
      <w:r w:rsidRPr="007C2562">
        <w:rPr>
          <w:rFonts w:eastAsia="Calibri" w:cs="Calibri"/>
          <w:bCs/>
          <w:color w:val="000000"/>
        </w:rPr>
        <w:t>visits per to evaluate grantee protocols when working with OAHMP clients.</w:t>
      </w:r>
      <w:r w:rsidRPr="006D3D08">
        <w:t xml:space="preserve"> </w:t>
      </w:r>
      <w:r w:rsidRPr="00B82B04">
        <w:t xml:space="preserve">If </w:t>
      </w:r>
      <w:r>
        <w:t>feasible</w:t>
      </w:r>
      <w:r w:rsidRPr="00B82B04">
        <w:t xml:space="preserve">, SCs will </w:t>
      </w:r>
      <w:r>
        <w:t xml:space="preserve">ask the grantee to </w:t>
      </w:r>
      <w:r w:rsidRPr="00B82B04">
        <w:t xml:space="preserve">conduct home visits with clients who missed the SC’s Client Process Evaluation </w:t>
      </w:r>
      <w:r>
        <w:t xml:space="preserve">Interview </w:t>
      </w:r>
      <w:r w:rsidRPr="00B82B04">
        <w:t>call</w:t>
      </w:r>
      <w:r>
        <w:t xml:space="preserve"> or who have disabilities</w:t>
      </w:r>
      <w:r w:rsidRPr="00B82B04">
        <w:t xml:space="preserve"> to allow data collection in person.</w:t>
      </w:r>
      <w:r>
        <w:t xml:space="preserve"> </w:t>
      </w:r>
      <w:r w:rsidRPr="00B82B04">
        <w:t>SCs will be fluent in English and Spanish, which are the most prevalent first languages in the U.S.,</w:t>
      </w:r>
      <w:r w:rsidRPr="00B82B04">
        <w:rPr>
          <w:rStyle w:val="FootnoteReference"/>
        </w:rPr>
        <w:footnoteReference w:id="37"/>
      </w:r>
      <w:r w:rsidRPr="00B82B04">
        <w:t xml:space="preserve"> to enable them to conduct the Client Process Evaluation Interviews in one of those two languages as needed. They will have strong communication skills and previous interviewing or public contact experience (phone and in-person). Before hiring, the Contractor will obtain references and verify work history for all potential SCs. The Contractor will perform background checks to ensure prospective SCs have no criminal records. SCs will be managed on a day-to-day basis by the Contractor’s PM.</w:t>
      </w:r>
      <w:r>
        <w:t xml:space="preserve"> </w:t>
      </w:r>
    </w:p>
    <w:p w:rsidRPr="00B82B04" w:rsidR="00F5259C" w:rsidP="00F5259C" w:rsidRDefault="00F5259C" w14:paraId="4301FA82" w14:textId="77777777">
      <w:pPr>
        <w:pStyle w:val="ListParagraph"/>
        <w:spacing w:after="120"/>
        <w:ind w:left="0"/>
      </w:pPr>
      <w:r w:rsidRPr="00B82B04">
        <w:lastRenderedPageBreak/>
        <w:t xml:space="preserve">The Contractor’s SRA and PM, or their designees, will train SCs and other Contractor team members via webinar on:  </w:t>
      </w:r>
    </w:p>
    <w:p w:rsidRPr="00B82B04" w:rsidR="00F5259C" w:rsidP="00F5259C" w:rsidRDefault="00F5259C" w14:paraId="3DF42D36" w14:textId="77777777">
      <w:pPr>
        <w:pStyle w:val="ListParagraph"/>
        <w:numPr>
          <w:ilvl w:val="0"/>
          <w:numId w:val="7"/>
        </w:numPr>
        <w:spacing w:after="120"/>
      </w:pPr>
      <w:r w:rsidRPr="00B82B04">
        <w:t xml:space="preserve">The Evaluation </w:t>
      </w:r>
      <w:proofErr w:type="gramStart"/>
      <w:r w:rsidRPr="00B82B04">
        <w:t>schedule;</w:t>
      </w:r>
      <w:proofErr w:type="gramEnd"/>
      <w:r w:rsidRPr="00B82B04">
        <w:t xml:space="preserve"> </w:t>
      </w:r>
    </w:p>
    <w:p w:rsidRPr="00B82B04" w:rsidR="00F5259C" w:rsidP="00F5259C" w:rsidRDefault="00F5259C" w14:paraId="5B773E3E" w14:textId="77777777">
      <w:pPr>
        <w:pStyle w:val="ListParagraph"/>
        <w:numPr>
          <w:ilvl w:val="0"/>
          <w:numId w:val="7"/>
        </w:numPr>
        <w:spacing w:after="120"/>
      </w:pPr>
      <w:r w:rsidRPr="00B82B04">
        <w:t xml:space="preserve">Evaluation data collection protocols and </w:t>
      </w:r>
      <w:proofErr w:type="gramStart"/>
      <w:r w:rsidRPr="00B82B04">
        <w:t>instruments;</w:t>
      </w:r>
      <w:proofErr w:type="gramEnd"/>
    </w:p>
    <w:p w:rsidRPr="00B82B04" w:rsidR="00F5259C" w:rsidP="00F5259C" w:rsidRDefault="00F5259C" w14:paraId="089BB142" w14:textId="77777777">
      <w:pPr>
        <w:pStyle w:val="ListParagraph"/>
        <w:numPr>
          <w:ilvl w:val="0"/>
          <w:numId w:val="7"/>
        </w:numPr>
        <w:spacing w:after="120"/>
      </w:pPr>
      <w:proofErr w:type="spellStart"/>
      <w:r w:rsidRPr="00B82B04">
        <w:t>REDCap</w:t>
      </w:r>
      <w:proofErr w:type="spellEnd"/>
      <w:r w:rsidRPr="00B82B04">
        <w:t xml:space="preserve"> Process Evaluation data entry </w:t>
      </w:r>
      <w:proofErr w:type="gramStart"/>
      <w:r w:rsidRPr="00B82B04">
        <w:t>procedures;</w:t>
      </w:r>
      <w:proofErr w:type="gramEnd"/>
      <w:r w:rsidRPr="00B82B04">
        <w:t xml:space="preserve"> </w:t>
      </w:r>
    </w:p>
    <w:p w:rsidRPr="00B82B04" w:rsidR="00F5259C" w:rsidP="00F5259C" w:rsidRDefault="00F5259C" w14:paraId="57EBF78F" w14:textId="77777777">
      <w:pPr>
        <w:pStyle w:val="ListParagraph"/>
        <w:numPr>
          <w:ilvl w:val="0"/>
          <w:numId w:val="7"/>
        </w:numPr>
        <w:spacing w:after="120"/>
      </w:pPr>
      <w:r w:rsidRPr="00B82B04">
        <w:t>How to present the Client Process Evaluation Interview (</w:t>
      </w:r>
      <w:r>
        <w:t>appendix</w:t>
      </w:r>
      <w:r w:rsidRPr="00B82B04">
        <w:t xml:space="preserve"> L) to clients in a gently convincing, supportive manner. This training will include refusal conversion strategies the SCs may use to gain client participation after a client’s initial refusal (these procedures are discussed in more detail in </w:t>
      </w:r>
      <w:r>
        <w:t>B.</w:t>
      </w:r>
      <w:r w:rsidRPr="00B82B04">
        <w:t xml:space="preserve">3); and </w:t>
      </w:r>
    </w:p>
    <w:p w:rsidRPr="00B82B04" w:rsidR="00F5259C" w:rsidP="00F5259C" w:rsidRDefault="00F5259C" w14:paraId="128506D6" w14:textId="77777777">
      <w:pPr>
        <w:pStyle w:val="ListParagraph"/>
        <w:numPr>
          <w:ilvl w:val="0"/>
          <w:numId w:val="7"/>
        </w:numPr>
        <w:spacing w:after="120"/>
      </w:pPr>
      <w:r w:rsidRPr="00B82B04">
        <w:t xml:space="preserve">How to run </w:t>
      </w:r>
      <w:proofErr w:type="spellStart"/>
      <w:r w:rsidRPr="00B82B04">
        <w:t>REDCap</w:t>
      </w:r>
      <w:proofErr w:type="spellEnd"/>
      <w:r w:rsidRPr="00B82B04">
        <w:t xml:space="preserve"> reports developed by the Contractor’s Biostatistician to monitor accuracy and timing of grantees’ data collection according to the Evaluation schedule, including monthly quality control checks on grantees’ progress on:</w:t>
      </w:r>
    </w:p>
    <w:p w:rsidRPr="00B82B04" w:rsidR="00F5259C" w:rsidP="00F5259C" w:rsidRDefault="00F5259C" w14:paraId="14640A13" w14:textId="77777777">
      <w:pPr>
        <w:pStyle w:val="ListParagraph"/>
        <w:numPr>
          <w:ilvl w:val="1"/>
          <w:numId w:val="7"/>
        </w:numPr>
        <w:spacing w:after="120"/>
      </w:pPr>
      <w:r w:rsidRPr="00B82B04">
        <w:t xml:space="preserve">Clients for whom the Client Eligibility Documentation form has been completed, listing clients found eligible and those found ineligible for the </w:t>
      </w:r>
      <w:proofErr w:type="gramStart"/>
      <w:r w:rsidRPr="00B82B04">
        <w:t>OAHMP;</w:t>
      </w:r>
      <w:proofErr w:type="gramEnd"/>
    </w:p>
    <w:p w:rsidRPr="00B82B04" w:rsidR="00F5259C" w:rsidP="00F5259C" w:rsidRDefault="00F5259C" w14:paraId="5CE33592" w14:textId="77777777">
      <w:pPr>
        <w:pStyle w:val="ListParagraph"/>
        <w:numPr>
          <w:ilvl w:val="1"/>
          <w:numId w:val="7"/>
        </w:numPr>
        <w:spacing w:after="120"/>
      </w:pPr>
      <w:r w:rsidRPr="00B82B04">
        <w:t xml:space="preserve">Clients for whom the first Evaluation in-home visits have been completed (i.e., the baseline OAHM Client Program Questionnaire, Home Hazard Checklist, and OAHM Client Impact Evaluation Interview). This report will include a list of clients who signed the informed consent and those who declined to sign the informed consent, based on their responses to Question A.1 in the OAHM Client Impact Evaluation Interview </w:t>
      </w:r>
      <w:proofErr w:type="gramStart"/>
      <w:r w:rsidRPr="00B82B04">
        <w:t>forms;</w:t>
      </w:r>
      <w:proofErr w:type="gramEnd"/>
    </w:p>
    <w:p w:rsidRPr="00B82B04" w:rsidR="00F5259C" w:rsidP="00F5259C" w:rsidRDefault="00F5259C" w14:paraId="138B047F" w14:textId="77777777">
      <w:pPr>
        <w:pStyle w:val="ListParagraph"/>
        <w:numPr>
          <w:ilvl w:val="1"/>
          <w:numId w:val="7"/>
        </w:numPr>
        <w:spacing w:after="120"/>
      </w:pPr>
      <w:r w:rsidRPr="00B82B04">
        <w:t>Homes with documented home modifications (i.e., those with Documentation of Work Completed forms</w:t>
      </w:r>
      <w:proofErr w:type="gramStart"/>
      <w:r w:rsidRPr="00B82B04">
        <w:t>);</w:t>
      </w:r>
      <w:proofErr w:type="gramEnd"/>
      <w:r w:rsidRPr="00B82B04">
        <w:t xml:space="preserve"> </w:t>
      </w:r>
    </w:p>
    <w:p w:rsidRPr="00B82B04" w:rsidR="00F5259C" w:rsidP="00F5259C" w:rsidRDefault="00F5259C" w14:paraId="57384989" w14:textId="77777777">
      <w:pPr>
        <w:pStyle w:val="ListParagraph"/>
        <w:numPr>
          <w:ilvl w:val="1"/>
          <w:numId w:val="7"/>
        </w:numPr>
        <w:spacing w:after="120"/>
      </w:pPr>
      <w:r w:rsidRPr="00B82B04">
        <w:t>Clients for whom the follow</w:t>
      </w:r>
      <w:r>
        <w:t>-</w:t>
      </w:r>
      <w:r w:rsidRPr="00B82B04">
        <w:t>up Evaluation in</w:t>
      </w:r>
      <w:r>
        <w:t>-</w:t>
      </w:r>
      <w:r w:rsidRPr="00B82B04">
        <w:t xml:space="preserve">home visits have been completed (i.e., the follow-up OAHM Client Program Questionnaire, Home Hazard Checklist, and OAHM Client Impact Evaluation Interview); and </w:t>
      </w:r>
    </w:p>
    <w:p w:rsidRPr="00B82B04" w:rsidR="00F5259C" w:rsidP="00F5259C" w:rsidRDefault="00F5259C" w14:paraId="2569FEF6" w14:textId="77777777">
      <w:pPr>
        <w:pStyle w:val="ListParagraph"/>
        <w:numPr>
          <w:ilvl w:val="1"/>
          <w:numId w:val="7"/>
        </w:numPr>
        <w:spacing w:after="240"/>
      </w:pPr>
      <w:r w:rsidRPr="00B82B04">
        <w:t>Clients and homes lost to follow</w:t>
      </w:r>
      <w:r>
        <w:t>-</w:t>
      </w:r>
      <w:r w:rsidRPr="00B82B04">
        <w:t>up (with completed Lost-to-Project forms).</w:t>
      </w:r>
    </w:p>
    <w:p w:rsidRPr="00B82B04" w:rsidR="00F5259C" w:rsidP="00F5259C" w:rsidRDefault="00F5259C" w14:paraId="6E66F64F" w14:textId="77777777">
      <w:pPr>
        <w:spacing w:before="240" w:after="240"/>
      </w:pPr>
      <w:r w:rsidRPr="00B82B04">
        <w:t>The training webinar will be recorded and made available to SCs and other members of the Contractor’s team for self-guided refresher training purposes, as needed.</w:t>
      </w:r>
    </w:p>
    <w:p w:rsidR="00F5259C" w:rsidP="00F5259C" w:rsidRDefault="00F5259C" w14:paraId="7F0437D2" w14:textId="77777777">
      <w:pPr>
        <w:pStyle w:val="Heading1"/>
      </w:pPr>
      <w:bookmarkStart w:name="_Toc69888474" w:id="20"/>
      <w:bookmarkStart w:name="_Toc75878158" w:id="21"/>
      <w:r>
        <w:t>3. Use o</w:t>
      </w:r>
      <w:r w:rsidRPr="008054B3">
        <w:t>f Information</w:t>
      </w:r>
      <w:r>
        <w:t xml:space="preserve"> Technology to Reduce Burden</w:t>
      </w:r>
    </w:p>
    <w:bookmarkEnd w:id="20"/>
    <w:bookmarkEnd w:id="21"/>
    <w:p w:rsidRPr="001550D9" w:rsidR="00F5259C" w:rsidP="00F5259C" w:rsidRDefault="00F5259C" w14:paraId="5FDE6EB2" w14:textId="77777777">
      <w:pPr>
        <w:pStyle w:val="NormalOMB"/>
        <w:spacing w:after="240"/>
        <w:ind w:firstLine="0"/>
        <w:rPr>
          <w:bCs/>
        </w:rPr>
      </w:pPr>
      <w:r w:rsidRPr="001550D9">
        <w:rPr>
          <w:bCs/>
          <w:i/>
        </w:rPr>
        <w:t xml:space="preserve">Describe whether, and to what extent, the collection of information involves the use of automated, electronic, mechanical, or other technological collection techniques or other forms of information technology, e.g., </w:t>
      </w:r>
      <w:r w:rsidRPr="007E78CC">
        <w:rPr>
          <w:bCs/>
          <w:i/>
        </w:rPr>
        <w:t>permitting electronic submission of responses, and the basis for the decision for adopting this means of collection. Also describe any consideration of using</w:t>
      </w:r>
      <w:r w:rsidRPr="00A56158">
        <w:rPr>
          <w:bCs/>
          <w:i/>
        </w:rPr>
        <w:t xml:space="preserve"> </w:t>
      </w:r>
      <w:r w:rsidRPr="001550D9">
        <w:rPr>
          <w:bCs/>
          <w:i/>
        </w:rPr>
        <w:t>information technology to reduce burden.</w:t>
      </w:r>
    </w:p>
    <w:p w:rsidRPr="00B82B04" w:rsidR="00F5259C" w:rsidP="00F5259C" w:rsidRDefault="00F5259C" w14:paraId="734982CB" w14:textId="77777777">
      <w:pPr>
        <w:autoSpaceDE w:val="0"/>
        <w:autoSpaceDN w:val="0"/>
        <w:adjustRightInd w:val="0"/>
        <w:spacing w:after="240"/>
      </w:pPr>
      <w:r w:rsidRPr="00B82B04">
        <w:t xml:space="preserve">HUD has determined alternative means of data collection, such as by telephone or Internet, are feasible for many of the DCIs submitted under this ICR. The Contractor will use </w:t>
      </w:r>
      <w:proofErr w:type="spellStart"/>
      <w:r w:rsidRPr="00B82B04">
        <w:t>REDCap</w:t>
      </w:r>
      <w:proofErr w:type="spellEnd"/>
      <w:r w:rsidRPr="00B82B04">
        <w:t xml:space="preserve">, a secure HIPAA-compliant computer-assisted data collection system, to collect data for computer-assisted personal interviewing (CAPI) or computer-assisted telephone interviewing (CATI) purposes as specified in Table 3. Computer-assisted data collection reduces grantees’ burden by </w:t>
      </w:r>
      <w:r w:rsidRPr="00B82B04">
        <w:lastRenderedPageBreak/>
        <w:t xml:space="preserve">minimizing the time and costs associated with reproducing, administering, and storing paper-based DCIs, or with later data entry of data from paper-based forms into other platforms, which grantees would then have to post to other secure sites. </w:t>
      </w:r>
      <w:r>
        <w:t>The Contractor will remove Personally Identifying Information (PII) from the collected data before submitting it to HUD.</w:t>
      </w:r>
      <w:r w:rsidRPr="00A56158">
        <w:t xml:space="preserve"> </w:t>
      </w:r>
      <w:r>
        <w:t xml:space="preserve">Additionally, as the Contractor will not use a HUD system to collect this data, it was determined no Privacy Impact Assessment is required. </w:t>
      </w:r>
    </w:p>
    <w:p w:rsidRPr="00B82B04" w:rsidR="00F5259C" w:rsidP="00F5259C" w:rsidRDefault="00F5259C" w14:paraId="662BA7AB" w14:textId="77777777">
      <w:pPr>
        <w:autoSpaceDE w:val="0"/>
        <w:autoSpaceDN w:val="0"/>
        <w:adjustRightInd w:val="0"/>
        <w:spacing w:after="240"/>
      </w:pPr>
      <w:r w:rsidRPr="00B82B04">
        <w:t xml:space="preserve">Grantees will have access to </w:t>
      </w:r>
      <w:proofErr w:type="spellStart"/>
      <w:r w:rsidRPr="00B82B04">
        <w:t>REDCap</w:t>
      </w:r>
      <w:proofErr w:type="spellEnd"/>
      <w:r w:rsidRPr="00B82B04">
        <w:t xml:space="preserve"> at no expense to them.</w:t>
      </w:r>
      <w:r w:rsidRPr="00B82B04" w:rsidDel="00AA2B62">
        <w:t xml:space="preserve"> </w:t>
      </w:r>
      <w:r w:rsidRPr="00B82B04">
        <w:t xml:space="preserve">The </w:t>
      </w:r>
      <w:proofErr w:type="spellStart"/>
      <w:r w:rsidRPr="00B82B04">
        <w:t>REDCap</w:t>
      </w:r>
      <w:proofErr w:type="spellEnd"/>
      <w:r w:rsidRPr="00B82B04">
        <w:t xml:space="preserve"> Technical Overview provides more detail on the security of the overall </w:t>
      </w:r>
      <w:proofErr w:type="spellStart"/>
      <w:r w:rsidRPr="00B82B04">
        <w:t>REDCap</w:t>
      </w:r>
      <w:proofErr w:type="spellEnd"/>
      <w:r w:rsidRPr="00B82B04">
        <w:t xml:space="preserve"> system.</w:t>
      </w:r>
      <w:r w:rsidRPr="00B82B04">
        <w:rPr>
          <w:rStyle w:val="FootnoteReference"/>
        </w:rPr>
        <w:footnoteReference w:id="38"/>
      </w:r>
    </w:p>
    <w:p w:rsidRPr="00B82B04" w:rsidR="00F5259C" w:rsidP="00F5259C" w:rsidRDefault="00F5259C" w14:paraId="33CC4A20" w14:textId="77777777">
      <w:pPr>
        <w:autoSpaceDE w:val="0"/>
        <w:autoSpaceDN w:val="0"/>
        <w:adjustRightInd w:val="0"/>
        <w:spacing w:after="240"/>
      </w:pPr>
      <w:r w:rsidRPr="00B82B04">
        <w:t xml:space="preserve">The Contractor’s programming of the </w:t>
      </w:r>
      <w:proofErr w:type="spellStart"/>
      <w:r w:rsidRPr="00B82B04">
        <w:t>REDCap</w:t>
      </w:r>
      <w:proofErr w:type="spellEnd"/>
      <w:r w:rsidRPr="00B82B04">
        <w:t xml:space="preserve"> OAHMP Evaluation project platform includes features allowing (1) upload of hard-copy scans; (2) identification and correction of data entry issues in real time through logic and completion rules; and (3) timely review and correction of missing, inconsistent, out of range, or improbable data. The Contractor’s Biostatistician will use a password-protected, secure network to access Evaluation data.</w:t>
      </w:r>
    </w:p>
    <w:p w:rsidRPr="00B82B04" w:rsidR="00F5259C" w:rsidP="00F5259C" w:rsidRDefault="00F5259C" w14:paraId="3F4482E5" w14:textId="77777777">
      <w:pPr>
        <w:spacing w:after="240"/>
      </w:pPr>
      <w:r w:rsidRPr="00B82B04">
        <w:t xml:space="preserve">The Contractor’s Biostatistician and SRA will set up a </w:t>
      </w:r>
      <w:proofErr w:type="spellStart"/>
      <w:r w:rsidRPr="00B82B04">
        <w:t>REDCap</w:t>
      </w:r>
      <w:proofErr w:type="spellEnd"/>
      <w:r w:rsidRPr="00B82B04">
        <w:t xml:space="preserve"> permission framework to help maintain data confidentiality by ensuring people can access only those forms and data they need as part of their work. For example, grantees will have access to data from their grantee site but will not have access to other grantees’ data. Another example, to protect clients’ privacy, grantees will not be granted access to data from the Client Process Evaluation Interview.</w:t>
      </w:r>
    </w:p>
    <w:p w:rsidRPr="00B82B04" w:rsidR="00F5259C" w:rsidP="00F5259C" w:rsidRDefault="00F5259C" w14:paraId="425E59CB" w14:textId="77777777">
      <w:pPr>
        <w:autoSpaceDE w:val="0"/>
        <w:autoSpaceDN w:val="0"/>
        <w:adjustRightInd w:val="0"/>
      </w:pPr>
      <w:r w:rsidRPr="00B82B04">
        <w:t xml:space="preserve">Table </w:t>
      </w:r>
      <w:r>
        <w:t>4</w:t>
      </w:r>
      <w:r w:rsidRPr="00B82B04">
        <w:t xml:space="preserve"> identifies the data collection method and data entry method for each </w:t>
      </w:r>
      <w:r>
        <w:t xml:space="preserve"> DCI</w:t>
      </w:r>
      <w:r w:rsidRPr="00B82B04">
        <w:t xml:space="preserve"> in the Evaluation.</w:t>
      </w:r>
    </w:p>
    <w:p w:rsidRPr="00B82B04" w:rsidR="00F5259C" w:rsidP="00F5259C" w:rsidRDefault="00F5259C" w14:paraId="38A788FA" w14:textId="77777777">
      <w:pPr>
        <w:autoSpaceDE w:val="0"/>
        <w:autoSpaceDN w:val="0"/>
        <w:adjustRightInd w:val="0"/>
        <w:ind w:firstLine="634"/>
      </w:pPr>
    </w:p>
    <w:tbl>
      <w:tblPr>
        <w:tblW w:w="5000" w:type="pct"/>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left w:w="58" w:type="dxa"/>
          <w:right w:w="58" w:type="dxa"/>
        </w:tblCellMar>
        <w:tblLook w:val="0400" w:firstRow="0" w:lastRow="0" w:firstColumn="0" w:lastColumn="0" w:noHBand="0" w:noVBand="1"/>
      </w:tblPr>
      <w:tblGrid>
        <w:gridCol w:w="3629"/>
        <w:gridCol w:w="2911"/>
        <w:gridCol w:w="2900"/>
      </w:tblGrid>
      <w:tr w:rsidRPr="00B82B04" w:rsidR="00F5259C" w:rsidTr="00902F66" w14:paraId="17D47658" w14:textId="77777777">
        <w:trPr>
          <w:trHeight w:val="288"/>
          <w:tblHead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rsidRPr="00B82B04" w:rsidR="00F5259C" w:rsidP="00902F66" w:rsidRDefault="00F5259C" w14:paraId="0E3EBC8F" w14:textId="77777777">
            <w:pPr>
              <w:pStyle w:val="Caption"/>
              <w:keepNext/>
              <w:spacing w:after="0"/>
              <w:jc w:val="center"/>
              <w:rPr>
                <w:rFonts w:ascii="Arial" w:hAnsi="Arial" w:eastAsia="Calibri" w:cs="Arial"/>
                <w:sz w:val="20"/>
                <w:szCs w:val="20"/>
              </w:rPr>
            </w:pPr>
            <w:bookmarkStart w:name="_Ref77086364" w:id="22"/>
            <w:bookmarkStart w:name="_Toc75878792" w:id="23"/>
            <w:r w:rsidRPr="00B82B04">
              <w:rPr>
                <w:rFonts w:ascii="Arial" w:hAnsi="Arial" w:eastAsia="Calibri" w:cs="Arial"/>
                <w:sz w:val="20"/>
                <w:szCs w:val="20"/>
              </w:rPr>
              <w:t xml:space="preserve">Table </w:t>
            </w:r>
            <w:r w:rsidRPr="00B82B04">
              <w:rPr>
                <w:rFonts w:ascii="Arial" w:hAnsi="Arial" w:cs="Arial"/>
                <w:sz w:val="20"/>
                <w:szCs w:val="20"/>
              </w:rPr>
              <w:fldChar w:fldCharType="begin"/>
            </w:r>
            <w:r w:rsidRPr="00B82B04">
              <w:rPr>
                <w:rFonts w:ascii="Arial" w:hAnsi="Arial" w:cs="Arial"/>
                <w:sz w:val="20"/>
                <w:szCs w:val="20"/>
              </w:rPr>
              <w:instrText xml:space="preserve"> SEQ Table \* ARABIC </w:instrText>
            </w:r>
            <w:r w:rsidRPr="00B82B04">
              <w:rPr>
                <w:rFonts w:ascii="Arial" w:hAnsi="Arial" w:cs="Arial"/>
                <w:sz w:val="20"/>
                <w:szCs w:val="20"/>
              </w:rPr>
              <w:fldChar w:fldCharType="separate"/>
            </w:r>
            <w:r>
              <w:rPr>
                <w:rFonts w:ascii="Arial" w:hAnsi="Arial" w:cs="Arial"/>
                <w:noProof/>
                <w:sz w:val="20"/>
                <w:szCs w:val="20"/>
              </w:rPr>
              <w:t>4</w:t>
            </w:r>
            <w:r w:rsidRPr="00B82B04">
              <w:rPr>
                <w:rFonts w:ascii="Arial" w:hAnsi="Arial" w:cs="Arial"/>
                <w:sz w:val="20"/>
                <w:szCs w:val="20"/>
              </w:rPr>
              <w:fldChar w:fldCharType="end"/>
            </w:r>
            <w:bookmarkEnd w:id="22"/>
            <w:r w:rsidRPr="00B82B04">
              <w:rPr>
                <w:rFonts w:ascii="Arial" w:hAnsi="Arial" w:cs="Arial"/>
                <w:sz w:val="20"/>
                <w:szCs w:val="20"/>
              </w:rPr>
              <w:t>.</w:t>
            </w:r>
            <w:r w:rsidRPr="00B82B04">
              <w:rPr>
                <w:rFonts w:ascii="Arial" w:hAnsi="Arial" w:eastAsia="Calibri" w:cs="Arial"/>
                <w:sz w:val="20"/>
                <w:szCs w:val="20"/>
              </w:rPr>
              <w:t xml:space="preserve"> Data Collection Method and Data Entry Method</w:t>
            </w:r>
            <w:bookmarkEnd w:id="23"/>
          </w:p>
        </w:tc>
      </w:tr>
      <w:tr w:rsidRPr="00B82B04" w:rsidR="00F5259C" w:rsidTr="00902F66" w14:paraId="220068C9" w14:textId="77777777">
        <w:trPr>
          <w:trHeight w:val="219"/>
          <w:tblHeader/>
        </w:trPr>
        <w:tc>
          <w:tcPr>
            <w:tcW w:w="1922" w:type="pct"/>
            <w:tcBorders>
              <w:top w:val="single" w:color="000000" w:sz="4" w:space="0"/>
              <w:left w:val="single" w:color="000000" w:sz="4" w:space="0"/>
              <w:bottom w:val="single" w:color="000000" w:sz="4" w:space="0"/>
              <w:right w:val="single" w:color="000000" w:sz="4" w:space="0"/>
            </w:tcBorders>
            <w:shd w:val="clear" w:color="auto" w:fill="E7E6E6" w:themeFill="background2"/>
            <w:vAlign w:val="bottom"/>
          </w:tcPr>
          <w:p w:rsidRPr="00B82B04" w:rsidR="00F5259C" w:rsidP="00902F66" w:rsidRDefault="00F5259C" w14:paraId="4CCCD0E1" w14:textId="77777777">
            <w:pPr>
              <w:autoSpaceDE w:val="0"/>
              <w:autoSpaceDN w:val="0"/>
              <w:adjustRightInd w:val="0"/>
              <w:rPr>
                <w:rFonts w:ascii="Arial" w:hAnsi="Arial" w:eastAsia="Calibri" w:cs="Arial"/>
                <w:b/>
                <w:color w:val="000000"/>
                <w:sz w:val="20"/>
                <w:szCs w:val="20"/>
                <w:vertAlign w:val="superscript"/>
              </w:rPr>
            </w:pPr>
            <w:r w:rsidRPr="00B82B04">
              <w:rPr>
                <w:rFonts w:ascii="Arial" w:hAnsi="Arial" w:eastAsia="Calibri" w:cs="Arial"/>
                <w:b/>
                <w:color w:val="000000"/>
                <w:sz w:val="20"/>
                <w:szCs w:val="20"/>
              </w:rPr>
              <w:t>Form</w:t>
            </w:r>
          </w:p>
        </w:tc>
        <w:tc>
          <w:tcPr>
            <w:tcW w:w="1542" w:type="pct"/>
            <w:tcBorders>
              <w:top w:val="single" w:color="000000" w:sz="4" w:space="0"/>
              <w:left w:val="single" w:color="000000" w:sz="4" w:space="0"/>
              <w:bottom w:val="single" w:color="000000" w:sz="4" w:space="0"/>
              <w:right w:val="single" w:color="000000" w:sz="4" w:space="0"/>
            </w:tcBorders>
            <w:shd w:val="clear" w:color="auto" w:fill="E7E6E6" w:themeFill="background2"/>
            <w:vAlign w:val="bottom"/>
          </w:tcPr>
          <w:p w:rsidRPr="00B82B04" w:rsidR="00F5259C" w:rsidP="00902F66" w:rsidRDefault="00F5259C" w14:paraId="68762971" w14:textId="77777777">
            <w:pPr>
              <w:autoSpaceDE w:val="0"/>
              <w:autoSpaceDN w:val="0"/>
              <w:adjustRightInd w:val="0"/>
              <w:rPr>
                <w:rFonts w:ascii="Arial" w:hAnsi="Arial" w:eastAsia="Calibri" w:cs="Arial"/>
                <w:b/>
                <w:color w:val="000000"/>
                <w:sz w:val="20"/>
                <w:szCs w:val="20"/>
              </w:rPr>
            </w:pPr>
            <w:r w:rsidRPr="00B82B04">
              <w:rPr>
                <w:rFonts w:ascii="Arial" w:hAnsi="Arial" w:eastAsia="Calibri" w:cs="Arial"/>
                <w:b/>
                <w:color w:val="000000"/>
                <w:sz w:val="20"/>
                <w:szCs w:val="20"/>
              </w:rPr>
              <w:t>Administered via</w:t>
            </w:r>
          </w:p>
        </w:tc>
        <w:tc>
          <w:tcPr>
            <w:tcW w:w="1536" w:type="pct"/>
            <w:tcBorders>
              <w:top w:val="single" w:color="000000" w:sz="4" w:space="0"/>
              <w:left w:val="single" w:color="000000" w:sz="4" w:space="0"/>
              <w:bottom w:val="single" w:color="000000" w:sz="4" w:space="0"/>
              <w:right w:val="single" w:color="000000" w:sz="4" w:space="0"/>
            </w:tcBorders>
            <w:shd w:val="clear" w:color="auto" w:fill="E7E6E6" w:themeFill="background2"/>
            <w:vAlign w:val="bottom"/>
          </w:tcPr>
          <w:p w:rsidR="00F5259C" w:rsidP="00902F66" w:rsidRDefault="00F5259C" w14:paraId="1820CEDC" w14:textId="77777777">
            <w:pPr>
              <w:autoSpaceDE w:val="0"/>
              <w:autoSpaceDN w:val="0"/>
              <w:adjustRightInd w:val="0"/>
              <w:rPr>
                <w:rFonts w:ascii="Arial" w:hAnsi="Arial" w:eastAsia="Calibri" w:cs="Arial"/>
                <w:b/>
                <w:color w:val="000000"/>
                <w:sz w:val="20"/>
                <w:szCs w:val="20"/>
              </w:rPr>
            </w:pPr>
            <w:r w:rsidRPr="00B82B04">
              <w:rPr>
                <w:rFonts w:ascii="Arial" w:hAnsi="Arial" w:eastAsia="Calibri" w:cs="Arial"/>
                <w:b/>
                <w:color w:val="000000"/>
                <w:sz w:val="20"/>
                <w:szCs w:val="20"/>
              </w:rPr>
              <w:t xml:space="preserve">Data entry and </w:t>
            </w:r>
          </w:p>
          <w:p w:rsidRPr="00B82B04" w:rsidR="00F5259C" w:rsidP="00902F66" w:rsidRDefault="00F5259C" w14:paraId="3DAC9C99" w14:textId="77777777">
            <w:pPr>
              <w:autoSpaceDE w:val="0"/>
              <w:autoSpaceDN w:val="0"/>
              <w:adjustRightInd w:val="0"/>
              <w:rPr>
                <w:rFonts w:ascii="Arial" w:hAnsi="Arial" w:eastAsia="Calibri" w:cs="Arial"/>
                <w:b/>
                <w:color w:val="000000"/>
                <w:sz w:val="20"/>
                <w:szCs w:val="20"/>
              </w:rPr>
            </w:pPr>
            <w:r w:rsidRPr="00B82B04">
              <w:rPr>
                <w:rFonts w:ascii="Arial" w:hAnsi="Arial" w:eastAsia="Calibri" w:cs="Arial"/>
                <w:b/>
                <w:color w:val="000000"/>
                <w:sz w:val="20"/>
                <w:szCs w:val="20"/>
              </w:rPr>
              <w:t>storage method</w:t>
            </w:r>
          </w:p>
        </w:tc>
      </w:tr>
      <w:tr w:rsidRPr="00B82B04" w:rsidR="00F5259C" w:rsidTr="00902F66" w14:paraId="276B87A0" w14:textId="77777777">
        <w:trPr>
          <w:trHeight w:val="219"/>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04C09A46" w14:textId="77777777">
            <w:pPr>
              <w:autoSpaceDE w:val="0"/>
              <w:autoSpaceDN w:val="0"/>
              <w:adjustRightInd w:val="0"/>
              <w:rPr>
                <w:rFonts w:ascii="Arial" w:hAnsi="Arial" w:cs="Arial"/>
                <w:sz w:val="20"/>
                <w:szCs w:val="20"/>
              </w:rPr>
            </w:pPr>
            <w:r w:rsidRPr="00B82B04">
              <w:rPr>
                <w:rFonts w:ascii="Arial" w:hAnsi="Arial" w:cs="Arial"/>
                <w:sz w:val="20"/>
                <w:szCs w:val="20"/>
              </w:rPr>
              <w:t xml:space="preserve">Client Eligibility Documentation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6BEB2C32" w14:textId="77777777">
            <w:pPr>
              <w:autoSpaceDE w:val="0"/>
              <w:autoSpaceDN w:val="0"/>
              <w:adjustRightInd w:val="0"/>
              <w:rPr>
                <w:rFonts w:ascii="Arial" w:hAnsi="Arial" w:cs="Arial"/>
                <w:sz w:val="20"/>
                <w:szCs w:val="20"/>
              </w:rPr>
            </w:pPr>
            <w:r w:rsidRPr="00B82B04">
              <w:rPr>
                <w:rFonts w:ascii="Arial" w:hAnsi="Arial" w:cs="Arial"/>
                <w:sz w:val="20"/>
                <w:szCs w:val="20"/>
              </w:rPr>
              <w:t>Documentation by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380B5FEB" w14:textId="77777777">
            <w:pPr>
              <w:autoSpaceDE w:val="0"/>
              <w:autoSpaceDN w:val="0"/>
              <w:adjustRightInd w:val="0"/>
              <w:rPr>
                <w:rFonts w:ascii="Arial" w:hAnsi="Arial" w:cs="Arial"/>
                <w:sz w:val="20"/>
                <w:szCs w:val="20"/>
              </w:rPr>
            </w:pPr>
            <w:r w:rsidRPr="00B82B04">
              <w:rPr>
                <w:rFonts w:ascii="Arial" w:hAnsi="Arial" w:cs="Arial"/>
                <w:sz w:val="20"/>
                <w:szCs w:val="20"/>
              </w:rPr>
              <w:t xml:space="preserve">Programmed in </w:t>
            </w:r>
            <w:proofErr w:type="spellStart"/>
            <w:r w:rsidRPr="00B82B04">
              <w:rPr>
                <w:rFonts w:ascii="Arial" w:hAnsi="Arial" w:cs="Arial"/>
                <w:sz w:val="20"/>
                <w:szCs w:val="20"/>
              </w:rPr>
              <w:t>REDCap</w:t>
            </w:r>
            <w:proofErr w:type="spellEnd"/>
          </w:p>
        </w:tc>
      </w:tr>
      <w:tr w:rsidRPr="00B82B04" w:rsidR="00F5259C" w:rsidTr="00902F66" w14:paraId="6FFCB2CA"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633EC304" w14:textId="77777777">
            <w:pPr>
              <w:autoSpaceDE w:val="0"/>
              <w:autoSpaceDN w:val="0"/>
              <w:adjustRightInd w:val="0"/>
              <w:rPr>
                <w:rFonts w:ascii="Arial" w:hAnsi="Arial" w:cs="Arial"/>
                <w:sz w:val="20"/>
                <w:szCs w:val="20"/>
              </w:rPr>
            </w:pPr>
            <w:r w:rsidRPr="00B82B04">
              <w:rPr>
                <w:rFonts w:ascii="Arial" w:hAnsi="Arial" w:cs="Arial"/>
                <w:sz w:val="20"/>
                <w:szCs w:val="20"/>
              </w:rPr>
              <w:t xml:space="preserve">Lost-to-Project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79CC4BA3" w14:textId="77777777">
            <w:pPr>
              <w:autoSpaceDE w:val="0"/>
              <w:autoSpaceDN w:val="0"/>
              <w:adjustRightInd w:val="0"/>
              <w:rPr>
                <w:rFonts w:ascii="Arial" w:hAnsi="Arial" w:cs="Arial"/>
                <w:sz w:val="20"/>
                <w:szCs w:val="20"/>
              </w:rPr>
            </w:pPr>
            <w:r w:rsidRPr="00B82B04">
              <w:rPr>
                <w:rFonts w:ascii="Arial" w:hAnsi="Arial" w:cs="Arial"/>
                <w:sz w:val="20"/>
                <w:szCs w:val="20"/>
              </w:rPr>
              <w:t>Completed online by grantee after determination of client’s ineligibility and if enrolled client is lost to follow up</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2D7EAE97" w14:textId="77777777">
            <w:pPr>
              <w:autoSpaceDE w:val="0"/>
              <w:autoSpaceDN w:val="0"/>
              <w:adjustRightInd w:val="0"/>
              <w:rPr>
                <w:rFonts w:ascii="Arial" w:hAnsi="Arial" w:cs="Arial"/>
                <w:sz w:val="20"/>
                <w:szCs w:val="20"/>
              </w:rPr>
            </w:pPr>
            <w:r w:rsidRPr="00B82B04">
              <w:rPr>
                <w:rFonts w:ascii="Arial" w:hAnsi="Arial" w:eastAsia="Calibri" w:cs="Arial"/>
                <w:color w:val="000000"/>
                <w:sz w:val="20"/>
                <w:szCs w:val="20"/>
              </w:rPr>
              <w:t xml:space="preserve">Programmed in </w:t>
            </w:r>
            <w:proofErr w:type="spellStart"/>
            <w:r w:rsidRPr="00B82B04">
              <w:rPr>
                <w:rFonts w:ascii="Arial" w:hAnsi="Arial" w:eastAsia="Calibri" w:cs="Arial"/>
                <w:color w:val="000000"/>
                <w:sz w:val="20"/>
                <w:szCs w:val="20"/>
              </w:rPr>
              <w:t>REDCap</w:t>
            </w:r>
            <w:proofErr w:type="spellEnd"/>
          </w:p>
        </w:tc>
      </w:tr>
      <w:tr w:rsidRPr="00B82B04" w:rsidR="00F5259C" w:rsidTr="00902F66" w14:paraId="6E1C9021"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4C63EAB7" w14:textId="77777777">
            <w:pPr>
              <w:autoSpaceDE w:val="0"/>
              <w:autoSpaceDN w:val="0"/>
              <w:adjustRightInd w:val="0"/>
              <w:rPr>
                <w:rFonts w:ascii="Arial" w:hAnsi="Arial" w:cs="Arial"/>
                <w:sz w:val="20"/>
                <w:szCs w:val="20"/>
              </w:rPr>
            </w:pPr>
            <w:r w:rsidRPr="00B82B04">
              <w:rPr>
                <w:rFonts w:ascii="Arial" w:hAnsi="Arial" w:cs="Arial"/>
                <w:sz w:val="20"/>
                <w:szCs w:val="20"/>
              </w:rPr>
              <w:t xml:space="preserve">OAHM Program Evaluation Informed Consent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303047B9" w14:textId="77777777">
            <w:pPr>
              <w:autoSpaceDE w:val="0"/>
              <w:autoSpaceDN w:val="0"/>
              <w:adjustRightInd w:val="0"/>
              <w:rPr>
                <w:rFonts w:ascii="Arial" w:hAnsi="Arial" w:cs="Arial"/>
                <w:sz w:val="20"/>
                <w:szCs w:val="20"/>
              </w:rPr>
            </w:pPr>
            <w:r w:rsidRPr="00B82B04">
              <w:rPr>
                <w:rFonts w:ascii="Arial" w:hAnsi="Arial" w:cs="Arial"/>
                <w:sz w:val="20"/>
                <w:szCs w:val="20"/>
              </w:rPr>
              <w:t>In-home interview by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473C447F" w14:textId="77777777">
            <w:pPr>
              <w:autoSpaceDE w:val="0"/>
              <w:autoSpaceDN w:val="0"/>
              <w:adjustRightInd w:val="0"/>
              <w:rPr>
                <w:rFonts w:ascii="Arial" w:hAnsi="Arial" w:cs="Arial"/>
                <w:sz w:val="20"/>
                <w:szCs w:val="20"/>
              </w:rPr>
            </w:pPr>
            <w:r w:rsidRPr="00B82B04">
              <w:rPr>
                <w:rFonts w:ascii="Arial" w:hAnsi="Arial" w:cs="Arial"/>
                <w:sz w:val="20"/>
                <w:szCs w:val="20"/>
              </w:rPr>
              <w:t xml:space="preserve">Scanned copy of signed form uploaded to </w:t>
            </w:r>
            <w:proofErr w:type="spellStart"/>
            <w:r w:rsidRPr="00B82B04">
              <w:rPr>
                <w:rFonts w:ascii="Arial" w:hAnsi="Arial" w:cs="Arial"/>
                <w:sz w:val="20"/>
                <w:szCs w:val="20"/>
              </w:rPr>
              <w:t>REDCap</w:t>
            </w:r>
            <w:proofErr w:type="spellEnd"/>
            <w:r w:rsidRPr="00B82B04">
              <w:rPr>
                <w:rFonts w:ascii="Arial" w:hAnsi="Arial" w:cs="Arial"/>
                <w:sz w:val="20"/>
                <w:szCs w:val="20"/>
              </w:rPr>
              <w:t xml:space="preserve"> </w:t>
            </w:r>
          </w:p>
        </w:tc>
      </w:tr>
      <w:tr w:rsidRPr="00B82B04" w:rsidR="00F5259C" w:rsidTr="00902F66" w14:paraId="2D40B705" w14:textId="77777777">
        <w:trPr>
          <w:trHeight w:val="452"/>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58D23394" w14:textId="77777777">
            <w:pPr>
              <w:autoSpaceDE w:val="0"/>
              <w:autoSpaceDN w:val="0"/>
              <w:adjustRightInd w:val="0"/>
              <w:rPr>
                <w:rFonts w:ascii="Arial" w:hAnsi="Arial" w:eastAsia="Calibri" w:cs="Arial"/>
                <w:color w:val="000000"/>
                <w:sz w:val="20"/>
                <w:szCs w:val="20"/>
              </w:rPr>
            </w:pPr>
            <w:r w:rsidRPr="00B82B04">
              <w:rPr>
                <w:rFonts w:ascii="Arial" w:hAnsi="Arial" w:cs="Arial"/>
                <w:sz w:val="20"/>
                <w:szCs w:val="20"/>
              </w:rPr>
              <w:t>OAHM Client Program Questionnaire (Baseline and Post Modification)</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3119CB2" w14:textId="77777777">
            <w:pPr>
              <w:autoSpaceDE w:val="0"/>
              <w:autoSpaceDN w:val="0"/>
              <w:adjustRightInd w:val="0"/>
              <w:rPr>
                <w:rFonts w:ascii="Arial" w:hAnsi="Arial" w:cs="Arial"/>
                <w:sz w:val="20"/>
                <w:szCs w:val="20"/>
              </w:rPr>
            </w:pPr>
            <w:r w:rsidRPr="00B82B04">
              <w:rPr>
                <w:rFonts w:ascii="Arial" w:hAnsi="Arial" w:cs="Arial"/>
                <w:sz w:val="20"/>
                <w:szCs w:val="20"/>
              </w:rPr>
              <w:t>In-home interview by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25B509AB" w14:textId="77777777">
            <w:pPr>
              <w:autoSpaceDE w:val="0"/>
              <w:autoSpaceDN w:val="0"/>
              <w:adjustRightInd w:val="0"/>
              <w:rPr>
                <w:rFonts w:ascii="Arial" w:hAnsi="Arial" w:cs="Arial"/>
                <w:sz w:val="20"/>
                <w:szCs w:val="20"/>
              </w:rPr>
            </w:pPr>
            <w:r w:rsidRPr="00B82B04">
              <w:rPr>
                <w:rFonts w:ascii="Arial" w:hAnsi="Arial" w:cs="Arial"/>
                <w:sz w:val="20"/>
                <w:szCs w:val="20"/>
              </w:rPr>
              <w:t xml:space="preserve">Programmed in </w:t>
            </w:r>
            <w:proofErr w:type="spellStart"/>
            <w:r w:rsidRPr="00B82B04">
              <w:rPr>
                <w:rFonts w:ascii="Arial" w:hAnsi="Arial" w:cs="Arial"/>
                <w:sz w:val="20"/>
                <w:szCs w:val="20"/>
              </w:rPr>
              <w:t>REDCap</w:t>
            </w:r>
            <w:proofErr w:type="spellEnd"/>
          </w:p>
        </w:tc>
      </w:tr>
      <w:tr w:rsidRPr="00B82B04" w:rsidR="00F5259C" w:rsidTr="00902F66" w14:paraId="4A2C026B"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26BA02C0" w14:textId="77777777">
            <w:pPr>
              <w:autoSpaceDE w:val="0"/>
              <w:autoSpaceDN w:val="0"/>
              <w:adjustRightInd w:val="0"/>
              <w:rPr>
                <w:rFonts w:ascii="Arial" w:hAnsi="Arial" w:cs="Arial"/>
                <w:sz w:val="20"/>
                <w:szCs w:val="20"/>
              </w:rPr>
            </w:pPr>
            <w:r w:rsidRPr="00B82B04">
              <w:rPr>
                <w:rFonts w:ascii="Arial" w:hAnsi="Arial" w:cs="Arial"/>
                <w:sz w:val="20"/>
                <w:szCs w:val="20"/>
              </w:rPr>
              <w:t>OAHM Client Impact Evaluation Interview (Baseline and Post-modification)</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4908419D" w14:textId="77777777">
            <w:pPr>
              <w:autoSpaceDE w:val="0"/>
              <w:autoSpaceDN w:val="0"/>
              <w:adjustRightInd w:val="0"/>
              <w:rPr>
                <w:rFonts w:ascii="Arial" w:hAnsi="Arial" w:cs="Arial"/>
                <w:sz w:val="20"/>
                <w:szCs w:val="20"/>
              </w:rPr>
            </w:pPr>
            <w:r w:rsidRPr="00B82B04">
              <w:rPr>
                <w:rFonts w:ascii="Arial" w:hAnsi="Arial" w:cs="Arial"/>
                <w:sz w:val="20"/>
                <w:szCs w:val="20"/>
              </w:rPr>
              <w:t>In-home interview by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5CC9F0E9" w14:textId="77777777">
            <w:pPr>
              <w:autoSpaceDE w:val="0"/>
              <w:autoSpaceDN w:val="0"/>
              <w:adjustRightInd w:val="0"/>
              <w:rPr>
                <w:rFonts w:ascii="Arial" w:hAnsi="Arial" w:cs="Arial"/>
                <w:sz w:val="20"/>
                <w:szCs w:val="20"/>
              </w:rPr>
            </w:pPr>
            <w:r w:rsidRPr="00B82B04">
              <w:rPr>
                <w:rFonts w:ascii="Arial" w:hAnsi="Arial" w:cs="Arial"/>
                <w:sz w:val="20"/>
                <w:szCs w:val="20"/>
              </w:rPr>
              <w:t xml:space="preserve">Programmed in </w:t>
            </w:r>
            <w:proofErr w:type="spellStart"/>
            <w:r w:rsidRPr="00B82B04">
              <w:rPr>
                <w:rFonts w:ascii="Arial" w:hAnsi="Arial" w:cs="Arial"/>
                <w:sz w:val="20"/>
                <w:szCs w:val="20"/>
              </w:rPr>
              <w:t>REDCap</w:t>
            </w:r>
            <w:proofErr w:type="spellEnd"/>
          </w:p>
        </w:tc>
      </w:tr>
      <w:tr w:rsidRPr="00B82B04" w:rsidR="00F5259C" w:rsidTr="00902F66" w14:paraId="1BF146B8"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565B2AB" w14:textId="77777777">
            <w:pPr>
              <w:autoSpaceDE w:val="0"/>
              <w:autoSpaceDN w:val="0"/>
              <w:adjustRightInd w:val="0"/>
              <w:rPr>
                <w:rFonts w:ascii="Arial" w:hAnsi="Arial" w:eastAsia="Calibri" w:cs="Arial"/>
                <w:color w:val="000000"/>
                <w:sz w:val="20"/>
                <w:szCs w:val="20"/>
              </w:rPr>
            </w:pPr>
            <w:r w:rsidRPr="00B82B04">
              <w:rPr>
                <w:rFonts w:ascii="Arial" w:hAnsi="Arial" w:cs="Arial"/>
                <w:sz w:val="20"/>
                <w:szCs w:val="20"/>
              </w:rPr>
              <w:t>Home Hazard Checklist (Baseline and Post-Modification)</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7983FDE5" w14:textId="77777777">
            <w:pPr>
              <w:autoSpaceDE w:val="0"/>
              <w:autoSpaceDN w:val="0"/>
              <w:adjustRightInd w:val="0"/>
              <w:rPr>
                <w:rFonts w:ascii="Arial" w:hAnsi="Arial" w:cs="Arial"/>
                <w:sz w:val="20"/>
                <w:szCs w:val="20"/>
              </w:rPr>
            </w:pPr>
            <w:r w:rsidRPr="00B82B04">
              <w:rPr>
                <w:rFonts w:ascii="Arial" w:hAnsi="Arial" w:cs="Arial"/>
                <w:sz w:val="20"/>
                <w:szCs w:val="20"/>
              </w:rPr>
              <w:t>In-home observation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57B027BC" w14:textId="77777777">
            <w:pPr>
              <w:autoSpaceDE w:val="0"/>
              <w:autoSpaceDN w:val="0"/>
              <w:adjustRightInd w:val="0"/>
              <w:rPr>
                <w:rFonts w:ascii="Arial" w:hAnsi="Arial" w:cs="Arial"/>
                <w:sz w:val="20"/>
                <w:szCs w:val="20"/>
              </w:rPr>
            </w:pPr>
            <w:r w:rsidRPr="00B82B04">
              <w:rPr>
                <w:rFonts w:ascii="Arial" w:hAnsi="Arial" w:cs="Arial"/>
                <w:sz w:val="20"/>
                <w:szCs w:val="20"/>
              </w:rPr>
              <w:t xml:space="preserve">Programmed in </w:t>
            </w:r>
            <w:proofErr w:type="spellStart"/>
            <w:r w:rsidRPr="00B82B04">
              <w:rPr>
                <w:rFonts w:ascii="Arial" w:hAnsi="Arial" w:cs="Arial"/>
                <w:sz w:val="20"/>
                <w:szCs w:val="20"/>
              </w:rPr>
              <w:t>REDCap</w:t>
            </w:r>
            <w:proofErr w:type="spellEnd"/>
          </w:p>
        </w:tc>
      </w:tr>
      <w:tr w:rsidRPr="00B82B04" w:rsidR="00F5259C" w:rsidTr="00902F66" w14:paraId="6DD4CB8A" w14:textId="77777777">
        <w:trPr>
          <w:trHeight w:val="452"/>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232B825" w14:textId="77777777">
            <w:pPr>
              <w:autoSpaceDE w:val="0"/>
              <w:autoSpaceDN w:val="0"/>
              <w:adjustRightInd w:val="0"/>
              <w:rPr>
                <w:rFonts w:ascii="Arial" w:hAnsi="Arial" w:cs="Arial"/>
                <w:sz w:val="20"/>
                <w:szCs w:val="20"/>
              </w:rPr>
            </w:pPr>
            <w:r w:rsidRPr="00B82B04">
              <w:rPr>
                <w:rFonts w:ascii="Arial" w:hAnsi="Arial" w:cs="Arial"/>
                <w:sz w:val="20"/>
                <w:szCs w:val="20"/>
              </w:rPr>
              <w:t xml:space="preserve">OAHM Program Documentation of Work Completed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3ECF18DE" w14:textId="77777777">
            <w:pPr>
              <w:autoSpaceDE w:val="0"/>
              <w:autoSpaceDN w:val="0"/>
              <w:adjustRightInd w:val="0"/>
              <w:rPr>
                <w:rFonts w:ascii="Arial" w:hAnsi="Arial" w:cs="Arial"/>
                <w:sz w:val="20"/>
                <w:szCs w:val="20"/>
              </w:rPr>
            </w:pPr>
            <w:r w:rsidRPr="00B82B04">
              <w:rPr>
                <w:rFonts w:ascii="Arial" w:hAnsi="Arial" w:cs="Arial"/>
                <w:sz w:val="20"/>
                <w:szCs w:val="20"/>
              </w:rPr>
              <w:t>Completed in Excel by grantee after in-person visit</w:t>
            </w:r>
          </w:p>
        </w:tc>
        <w:tc>
          <w:tcPr>
            <w:tcW w:w="1536" w:type="pct"/>
            <w:tcBorders>
              <w:left w:val="single" w:color="000000" w:sz="4" w:space="0"/>
              <w:right w:val="single" w:color="000000" w:sz="4" w:space="0"/>
            </w:tcBorders>
          </w:tcPr>
          <w:p w:rsidRPr="00B82B04" w:rsidR="00F5259C" w:rsidP="00902F66" w:rsidRDefault="00F5259C" w14:paraId="29F9C3AF" w14:textId="77777777">
            <w:pPr>
              <w:autoSpaceDE w:val="0"/>
              <w:autoSpaceDN w:val="0"/>
              <w:adjustRightInd w:val="0"/>
              <w:rPr>
                <w:rFonts w:ascii="Arial" w:hAnsi="Arial" w:cs="Arial"/>
                <w:sz w:val="20"/>
                <w:szCs w:val="20"/>
              </w:rPr>
            </w:pPr>
            <w:r w:rsidRPr="00B82B04">
              <w:rPr>
                <w:rFonts w:ascii="Arial" w:hAnsi="Arial" w:eastAsia="Calibri" w:cs="Arial"/>
                <w:color w:val="000000"/>
                <w:sz w:val="20"/>
                <w:szCs w:val="20"/>
              </w:rPr>
              <w:t xml:space="preserve">Programmed in Excel, completed Excel spreadsheet uploaded to </w:t>
            </w:r>
            <w:proofErr w:type="spellStart"/>
            <w:r w:rsidRPr="00B82B04">
              <w:rPr>
                <w:rFonts w:ascii="Arial" w:hAnsi="Arial" w:eastAsia="Calibri" w:cs="Arial"/>
                <w:color w:val="000000"/>
                <w:sz w:val="20"/>
                <w:szCs w:val="20"/>
              </w:rPr>
              <w:t>REDCap</w:t>
            </w:r>
            <w:proofErr w:type="spellEnd"/>
          </w:p>
        </w:tc>
      </w:tr>
      <w:tr w:rsidRPr="00B82B04" w:rsidR="00F5259C" w:rsidTr="00902F66" w14:paraId="196A8CFF"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7916B77" w14:textId="77777777">
            <w:pPr>
              <w:autoSpaceDE w:val="0"/>
              <w:autoSpaceDN w:val="0"/>
              <w:adjustRightInd w:val="0"/>
              <w:rPr>
                <w:rFonts w:ascii="Arial" w:hAnsi="Arial" w:cs="Arial"/>
                <w:sz w:val="20"/>
                <w:szCs w:val="20"/>
              </w:rPr>
            </w:pPr>
            <w:r w:rsidRPr="00B82B04">
              <w:rPr>
                <w:rFonts w:ascii="Arial" w:hAnsi="Arial" w:eastAsia="Calibri" w:cs="Arial"/>
                <w:color w:val="000000"/>
                <w:sz w:val="20"/>
                <w:szCs w:val="20"/>
              </w:rPr>
              <w:t>Grantee Process Evaluation Online Survey Years 1, 2, and 3</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40D4714C"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Completed online by grantee</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310B4BE0"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 xml:space="preserve">Programmed in </w:t>
            </w:r>
            <w:proofErr w:type="spellStart"/>
            <w:r w:rsidRPr="00B82B04">
              <w:rPr>
                <w:rFonts w:ascii="Arial" w:hAnsi="Arial" w:eastAsia="Calibri" w:cs="Arial"/>
                <w:color w:val="000000"/>
                <w:sz w:val="20"/>
                <w:szCs w:val="20"/>
              </w:rPr>
              <w:t>REDCap</w:t>
            </w:r>
            <w:proofErr w:type="spellEnd"/>
          </w:p>
        </w:tc>
      </w:tr>
      <w:tr w:rsidRPr="00B82B04" w:rsidR="00F5259C" w:rsidTr="00902F66" w14:paraId="3C3D4CB1" w14:textId="77777777">
        <w:trPr>
          <w:trHeight w:val="452"/>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27AFC417"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lastRenderedPageBreak/>
              <w:t>Grantee Site Visit Interview Guide</w:t>
            </w:r>
            <w:r w:rsidRPr="00B82B04">
              <w:rPr>
                <w:rFonts w:ascii="Arial" w:hAnsi="Arial" w:eastAsia="Calibri" w:cs="Arial"/>
                <w:bCs/>
                <w:color w:val="000000"/>
                <w:sz w:val="20"/>
                <w:szCs w:val="20"/>
              </w:rPr>
              <w:t xml:space="preserve">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D027BB4"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In-person by the Contractor’s PM and/or SC</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03505799"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 xml:space="preserve">Scanned copy of notes uploaded to </w:t>
            </w:r>
            <w:proofErr w:type="spellStart"/>
            <w:r w:rsidRPr="00B82B04">
              <w:rPr>
                <w:rFonts w:ascii="Arial" w:hAnsi="Arial" w:eastAsia="Calibri" w:cs="Arial"/>
                <w:color w:val="000000"/>
                <w:sz w:val="20"/>
                <w:szCs w:val="20"/>
              </w:rPr>
              <w:t>REDCap</w:t>
            </w:r>
            <w:proofErr w:type="spellEnd"/>
          </w:p>
        </w:tc>
      </w:tr>
      <w:tr w:rsidRPr="00B82B04" w:rsidR="00F5259C" w:rsidTr="00902F66" w14:paraId="60C8204B" w14:textId="77777777">
        <w:trPr>
          <w:trHeight w:val="452"/>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6B4006A"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Script to Schedule Client Process Evaluation Interview</w:t>
            </w:r>
            <w:r w:rsidRPr="00B82B04">
              <w:rPr>
                <w:rFonts w:ascii="Arial" w:hAnsi="Arial" w:eastAsia="Calibri" w:cs="Arial"/>
                <w:bCs/>
                <w:color w:val="000000"/>
                <w:sz w:val="20"/>
                <w:szCs w:val="20"/>
              </w:rPr>
              <w:t xml:space="preserve">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1280B262"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By phone or video by the Contractor’s SCs</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6E482534" w14:textId="77777777">
            <w:pPr>
              <w:autoSpaceDE w:val="0"/>
              <w:autoSpaceDN w:val="0"/>
              <w:adjustRightInd w:val="0"/>
              <w:rPr>
                <w:rFonts w:ascii="Arial" w:hAnsi="Arial" w:eastAsia="Calibri" w:cs="Arial"/>
                <w:color w:val="000000"/>
                <w:sz w:val="20"/>
                <w:szCs w:val="20"/>
              </w:rPr>
            </w:pPr>
            <w:r w:rsidRPr="00B82B04">
              <w:rPr>
                <w:rFonts w:ascii="Arial" w:hAnsi="Arial" w:eastAsia="Calibri" w:cs="Arial"/>
                <w:color w:val="000000"/>
                <w:sz w:val="20"/>
                <w:szCs w:val="20"/>
              </w:rPr>
              <w:t xml:space="preserve">Programmed in </w:t>
            </w:r>
            <w:proofErr w:type="spellStart"/>
            <w:r w:rsidRPr="00B82B04">
              <w:rPr>
                <w:rFonts w:ascii="Arial" w:hAnsi="Arial" w:eastAsia="Calibri" w:cs="Arial"/>
                <w:color w:val="000000"/>
                <w:sz w:val="20"/>
                <w:szCs w:val="20"/>
              </w:rPr>
              <w:t>REDCap</w:t>
            </w:r>
            <w:proofErr w:type="spellEnd"/>
          </w:p>
        </w:tc>
      </w:tr>
      <w:tr w:rsidRPr="00B82B04" w:rsidR="00F5259C" w:rsidTr="00902F66" w14:paraId="67E8A822" w14:textId="77777777">
        <w:trPr>
          <w:trHeight w:val="438"/>
        </w:trPr>
        <w:tc>
          <w:tcPr>
            <w:tcW w:w="192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788BC65E" w14:textId="77777777">
            <w:pPr>
              <w:autoSpaceDE w:val="0"/>
              <w:autoSpaceDN w:val="0"/>
              <w:adjustRightInd w:val="0"/>
              <w:rPr>
                <w:rFonts w:ascii="Arial" w:hAnsi="Arial" w:cs="Arial"/>
                <w:sz w:val="20"/>
                <w:szCs w:val="20"/>
              </w:rPr>
            </w:pPr>
            <w:r w:rsidRPr="00B82B04">
              <w:rPr>
                <w:rFonts w:ascii="Arial" w:hAnsi="Arial" w:eastAsia="Calibri" w:cs="Arial"/>
                <w:color w:val="000000"/>
                <w:sz w:val="20"/>
                <w:szCs w:val="20"/>
              </w:rPr>
              <w:t>Client Process Evaluation Interview</w:t>
            </w:r>
            <w:r w:rsidRPr="00B82B04">
              <w:rPr>
                <w:rFonts w:ascii="Arial" w:hAnsi="Arial" w:eastAsia="Calibri" w:cs="Arial"/>
                <w:bCs/>
                <w:color w:val="000000"/>
                <w:sz w:val="20"/>
                <w:szCs w:val="20"/>
              </w:rPr>
              <w:t xml:space="preserve"> </w:t>
            </w:r>
          </w:p>
        </w:tc>
        <w:tc>
          <w:tcPr>
            <w:tcW w:w="1542"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2545FE49" w14:textId="77777777">
            <w:pPr>
              <w:autoSpaceDE w:val="0"/>
              <w:autoSpaceDN w:val="0"/>
              <w:adjustRightInd w:val="0"/>
              <w:rPr>
                <w:rFonts w:ascii="Arial" w:hAnsi="Arial" w:eastAsia="Calibri" w:cs="Arial"/>
                <w:bCs/>
                <w:color w:val="000000"/>
                <w:sz w:val="20"/>
                <w:szCs w:val="20"/>
              </w:rPr>
            </w:pPr>
            <w:r w:rsidRPr="00B82B04">
              <w:rPr>
                <w:rFonts w:ascii="Arial" w:hAnsi="Arial" w:eastAsia="Calibri" w:cs="Arial"/>
                <w:bCs/>
                <w:color w:val="000000"/>
                <w:sz w:val="20"/>
                <w:szCs w:val="20"/>
              </w:rPr>
              <w:t>By phone or video by the Contractor’s SCs</w:t>
            </w:r>
          </w:p>
        </w:tc>
        <w:tc>
          <w:tcPr>
            <w:tcW w:w="1536" w:type="pct"/>
            <w:tcBorders>
              <w:top w:val="single" w:color="000000" w:sz="4" w:space="0"/>
              <w:left w:val="single" w:color="000000" w:sz="4" w:space="0"/>
              <w:bottom w:val="single" w:color="000000" w:sz="4" w:space="0"/>
              <w:right w:val="single" w:color="000000" w:sz="4" w:space="0"/>
            </w:tcBorders>
          </w:tcPr>
          <w:p w:rsidRPr="00B82B04" w:rsidR="00F5259C" w:rsidP="00902F66" w:rsidRDefault="00F5259C" w14:paraId="0938ECFF" w14:textId="77777777">
            <w:pPr>
              <w:autoSpaceDE w:val="0"/>
              <w:autoSpaceDN w:val="0"/>
              <w:adjustRightInd w:val="0"/>
              <w:rPr>
                <w:rFonts w:ascii="Arial" w:hAnsi="Arial" w:eastAsia="Calibri" w:cs="Arial"/>
                <w:bCs/>
                <w:color w:val="000000"/>
                <w:sz w:val="20"/>
                <w:szCs w:val="20"/>
              </w:rPr>
            </w:pPr>
            <w:r w:rsidRPr="00B82B04">
              <w:rPr>
                <w:rFonts w:ascii="Arial" w:hAnsi="Arial" w:eastAsia="Calibri" w:cs="Arial"/>
                <w:bCs/>
                <w:color w:val="000000"/>
                <w:sz w:val="20"/>
                <w:szCs w:val="20"/>
              </w:rPr>
              <w:t xml:space="preserve">Programmed in </w:t>
            </w:r>
            <w:proofErr w:type="spellStart"/>
            <w:r w:rsidRPr="00B82B04">
              <w:rPr>
                <w:rFonts w:ascii="Arial" w:hAnsi="Arial" w:eastAsia="Calibri" w:cs="Arial"/>
                <w:bCs/>
                <w:color w:val="000000"/>
                <w:sz w:val="20"/>
                <w:szCs w:val="20"/>
              </w:rPr>
              <w:t>REDCap</w:t>
            </w:r>
            <w:proofErr w:type="spellEnd"/>
          </w:p>
        </w:tc>
      </w:tr>
    </w:tbl>
    <w:p w:rsidRPr="00B82B04" w:rsidR="00F5259C" w:rsidP="00F5259C" w:rsidRDefault="00F5259C" w14:paraId="638714B7" w14:textId="77777777"/>
    <w:p w:rsidR="00F5259C" w:rsidP="00F5259C" w:rsidRDefault="00F5259C" w14:paraId="50328DB1" w14:textId="77777777">
      <w:pPr>
        <w:pStyle w:val="Heading1"/>
      </w:pPr>
      <w:bookmarkStart w:name="_Toc69888475" w:id="24"/>
      <w:bookmarkStart w:name="_Toc75878159" w:id="25"/>
      <w:r>
        <w:t>4. Efforts to</w:t>
      </w:r>
      <w:r w:rsidRPr="00B82B04" w:rsidDel="00D9799B">
        <w:t xml:space="preserve"> </w:t>
      </w:r>
      <w:r w:rsidRPr="00B82B04">
        <w:t>Identify Duplication</w:t>
      </w:r>
      <w:bookmarkEnd w:id="24"/>
      <w:bookmarkEnd w:id="25"/>
    </w:p>
    <w:p w:rsidRPr="001550D9" w:rsidR="00F5259C" w:rsidP="00F5259C" w:rsidRDefault="00F5259C" w14:paraId="3E7297A4" w14:textId="77777777">
      <w:pPr>
        <w:keepNext/>
        <w:spacing w:after="240"/>
        <w:rPr>
          <w:i/>
          <w:iCs/>
        </w:rPr>
      </w:pPr>
      <w:r w:rsidRPr="001550D9">
        <w:rPr>
          <w:i/>
          <w:iCs/>
        </w:rPr>
        <w:t>Describe efforts to identify duplication. Show specifically why any similar information already available cannot be used or modified for use for the purposes described in Item 2 above.</w:t>
      </w:r>
    </w:p>
    <w:p w:rsidRPr="00B82B04" w:rsidR="00F5259C" w:rsidP="00F5259C" w:rsidRDefault="00F5259C" w14:paraId="4D304E56" w14:textId="77777777">
      <w:pPr>
        <w:pStyle w:val="BodyText"/>
        <w:keepNext/>
        <w:spacing w:after="240"/>
        <w:rPr>
          <w:color w:val="080808"/>
          <w:w w:val="105"/>
        </w:rPr>
      </w:pPr>
      <w:r w:rsidRPr="00B82B04">
        <w:rPr>
          <w:color w:val="080808"/>
          <w:w w:val="105"/>
        </w:rPr>
        <w:t>The OAHMP is a new program for which no previous administrative data have been collected. In addition to a general need to better understand what home modifications could result in cost savings to Medicare, Medicaid, or other insurance providers, HUD needs data to evaluate the effectiveness of this new program itself (e.g., Does it achieve its goals? Can its administration be improved?). HUD needs data that can be generalized to support national or regional applications for this type of grant program, including a better understanding of the impact of a diverse set of program administrative structures and capacities, geographies, and clients, and an assessment of the healthcare cost savings associated with home modifications provided under the OAHMP.</w:t>
      </w:r>
    </w:p>
    <w:p w:rsidRPr="00B82B04" w:rsidR="00F5259C" w:rsidP="00F5259C" w:rsidRDefault="00F5259C" w14:paraId="513A1853" w14:textId="77777777">
      <w:pPr>
        <w:pStyle w:val="BodyText"/>
        <w:spacing w:after="240"/>
      </w:pPr>
      <w:r w:rsidRPr="00B82B04">
        <w:rPr>
          <w:color w:val="080808"/>
          <w:w w:val="105"/>
        </w:rPr>
        <w:t xml:space="preserve">To compare OAHMP outcomes to national and regional data, the OAHM Program Questionnaire and OAHM Client Impact Evaluation Interview will incorporate questions from the U.S. Centers for Medicaid and Medicare Services (CMS) Health Outcomes Survey (HOS), the National Health Information Survey, and other validated surveys. These surveys are discussed in </w:t>
      </w:r>
      <w:r>
        <w:rPr>
          <w:color w:val="080808"/>
          <w:w w:val="105"/>
        </w:rPr>
        <w:t>A.7</w:t>
      </w:r>
      <w:r w:rsidRPr="00B82B04">
        <w:rPr>
          <w:color w:val="080808"/>
          <w:w w:val="105"/>
        </w:rPr>
        <w:t>.</w:t>
      </w:r>
    </w:p>
    <w:p w:rsidRPr="00B82B04" w:rsidR="00F5259C" w:rsidP="00F5259C" w:rsidRDefault="00F5259C" w14:paraId="3CC41540" w14:textId="77777777">
      <w:pPr>
        <w:pStyle w:val="BodyText22"/>
        <w:widowControl/>
        <w:tabs>
          <w:tab w:val="clear" w:pos="0"/>
          <w:tab w:val="clear" w:pos="720"/>
          <w:tab w:val="clear" w:pos="939"/>
          <w:tab w:val="clear" w:pos="1449"/>
          <w:tab w:val="clear" w:pos="1959"/>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rPr>
          <w:rFonts w:ascii="Times New Roman" w:hAnsi="Times New Roman" w:cs="Times New Roman"/>
          <w:b w:val="0"/>
          <w:sz w:val="24"/>
          <w:szCs w:val="24"/>
        </w:rPr>
      </w:pPr>
      <w:r w:rsidRPr="00B82B04">
        <w:rPr>
          <w:rFonts w:ascii="Times New Roman" w:hAnsi="Times New Roman" w:cs="Times New Roman"/>
          <w:b w:val="0"/>
          <w:sz w:val="24"/>
          <w:szCs w:val="24"/>
        </w:rPr>
        <w:t>The OAHMP Evaluation design strategy was reviewed by the following individuals to assure lack of duplication with other surveys:</w:t>
      </w:r>
    </w:p>
    <w:p w:rsidRPr="00B82B04" w:rsidR="00F5259C" w:rsidP="00F5259C" w:rsidRDefault="00F5259C" w14:paraId="496FFDB5" w14:textId="77777777">
      <w:pPr>
        <w:tabs>
          <w:tab w:val="left" w:pos="3150"/>
        </w:tabs>
        <w:ind w:left="3240" w:hanging="2970"/>
        <w:rPr>
          <w:b/>
          <w:bCs/>
        </w:rPr>
      </w:pPr>
      <w:r w:rsidRPr="00B82B04">
        <w:rPr>
          <w:b/>
          <w:bCs/>
        </w:rPr>
        <w:t>Name</w:t>
      </w:r>
      <w:r w:rsidRPr="00B82B04">
        <w:tab/>
      </w:r>
      <w:r w:rsidRPr="00B82B04">
        <w:rPr>
          <w:b/>
          <w:bCs/>
        </w:rPr>
        <w:t>Affiliation</w:t>
      </w:r>
    </w:p>
    <w:p w:rsidRPr="00B82B04" w:rsidR="00F5259C" w:rsidP="00F5259C" w:rsidRDefault="00F5259C" w14:paraId="6864F134" w14:textId="77777777">
      <w:pPr>
        <w:tabs>
          <w:tab w:val="left" w:pos="3150"/>
        </w:tabs>
        <w:ind w:left="3240" w:hanging="2970"/>
      </w:pPr>
      <w:r w:rsidRPr="00B82B04">
        <w:t>Jagruti D. Rekhi, MS</w:t>
      </w:r>
      <w:r w:rsidRPr="00B82B04">
        <w:tab/>
        <w:t>HUD/Office of Policy Development and Research</w:t>
      </w:r>
    </w:p>
    <w:p w:rsidRPr="00B82B04" w:rsidR="00F5259C" w:rsidP="00F5259C" w:rsidRDefault="00F5259C" w14:paraId="038639AD" w14:textId="77777777">
      <w:pPr>
        <w:tabs>
          <w:tab w:val="left" w:pos="3150"/>
        </w:tabs>
        <w:ind w:left="3240" w:hanging="2970"/>
      </w:pPr>
      <w:r>
        <w:t>Mark D. Shroder, Ph</w:t>
      </w:r>
      <w:r w:rsidRPr="00B82B04">
        <w:t>D</w:t>
      </w:r>
      <w:r w:rsidRPr="00B82B04">
        <w:tab/>
      </w:r>
      <w:bookmarkStart w:name="_Hlk58854929" w:id="26"/>
      <w:r w:rsidRPr="00B82B04">
        <w:t>HUD/Office of Policy Development and Research</w:t>
      </w:r>
      <w:bookmarkEnd w:id="26"/>
    </w:p>
    <w:p w:rsidRPr="00B82B04" w:rsidR="00F5259C" w:rsidP="00F5259C" w:rsidRDefault="00F5259C" w14:paraId="4F5F56E5" w14:textId="77777777">
      <w:pPr>
        <w:tabs>
          <w:tab w:val="left" w:pos="3150"/>
        </w:tabs>
        <w:ind w:left="3240" w:hanging="2970"/>
      </w:pPr>
      <w:r w:rsidRPr="00B82B04">
        <w:t xml:space="preserve">Regina C. Gray, </w:t>
      </w:r>
      <w:r>
        <w:t>Ph</w:t>
      </w:r>
      <w:r w:rsidRPr="00B82B04">
        <w:t>D</w:t>
      </w:r>
      <w:r w:rsidRPr="00B82B04">
        <w:tab/>
      </w:r>
      <w:bookmarkStart w:name="_Hlk68704692" w:id="27"/>
      <w:r w:rsidRPr="00B82B04">
        <w:t>HUD/Office of Policy Development and Research</w:t>
      </w:r>
      <w:bookmarkEnd w:id="27"/>
    </w:p>
    <w:p w:rsidRPr="00B82B04" w:rsidR="00F5259C" w:rsidP="00F5259C" w:rsidRDefault="00F5259C" w14:paraId="1795801C" w14:textId="77777777">
      <w:pPr>
        <w:tabs>
          <w:tab w:val="left" w:pos="3150"/>
        </w:tabs>
        <w:ind w:left="3240" w:hanging="2970"/>
      </w:pPr>
      <w:r>
        <w:t>Patricia Schwindinger, M</w:t>
      </w:r>
      <w:r w:rsidRPr="00B82B04">
        <w:t>A</w:t>
      </w:r>
      <w:r w:rsidRPr="00B82B04">
        <w:tab/>
        <w:t>HUD/Office of Policy Development and Research</w:t>
      </w:r>
    </w:p>
    <w:p w:rsidRPr="00B82B04" w:rsidR="00F5259C" w:rsidP="00F5259C" w:rsidRDefault="00F5259C" w14:paraId="5D6081BF" w14:textId="77777777">
      <w:pPr>
        <w:tabs>
          <w:tab w:val="left" w:pos="3150"/>
        </w:tabs>
        <w:ind w:left="3240" w:hanging="2970"/>
      </w:pPr>
    </w:p>
    <w:p w:rsidRPr="00B82B04" w:rsidR="00F5259C" w:rsidP="00F5259C" w:rsidRDefault="00F5259C" w14:paraId="5A5E527A" w14:textId="77777777">
      <w:pPr>
        <w:tabs>
          <w:tab w:val="left" w:pos="3150"/>
        </w:tabs>
        <w:ind w:left="3240" w:hanging="2970"/>
      </w:pPr>
      <w:r>
        <w:t>Warren Friedman, PhD</w:t>
      </w:r>
      <w:r w:rsidRPr="00B82B04">
        <w:tab/>
        <w:t>HUD/Office of Lead Hazard Control and Healthy Homes</w:t>
      </w:r>
    </w:p>
    <w:p w:rsidRPr="00B82B04" w:rsidR="00F5259C" w:rsidP="00F5259C" w:rsidRDefault="00F5259C" w14:paraId="6F8F0735" w14:textId="77777777">
      <w:pPr>
        <w:tabs>
          <w:tab w:val="left" w:pos="3150"/>
        </w:tabs>
        <w:ind w:left="3240" w:hanging="2970"/>
      </w:pPr>
      <w:r w:rsidRPr="00B82B04">
        <w:t>Peter Ashley, DrPH</w:t>
      </w:r>
      <w:r w:rsidRPr="00B82B04">
        <w:tab/>
        <w:t>HUD/Office of Lead Hazard Control and Healthy Homes</w:t>
      </w:r>
    </w:p>
    <w:p w:rsidRPr="00B82B04" w:rsidR="00F5259C" w:rsidP="00F5259C" w:rsidRDefault="00F5259C" w14:paraId="5D1463E1" w14:textId="77777777">
      <w:pPr>
        <w:tabs>
          <w:tab w:val="left" w:pos="3150"/>
        </w:tabs>
        <w:ind w:left="3240" w:hanging="2970"/>
      </w:pPr>
      <w:r w:rsidRPr="00B82B04">
        <w:t>Yolanda Brown</w:t>
      </w:r>
      <w:r w:rsidRPr="00B82B04">
        <w:tab/>
        <w:t>HUD/Office of Lead Hazard Control and Healthy Homes</w:t>
      </w:r>
    </w:p>
    <w:p w:rsidRPr="00B82B04" w:rsidR="00F5259C" w:rsidP="00F5259C" w:rsidRDefault="00F5259C" w14:paraId="724890AB" w14:textId="77777777">
      <w:pPr>
        <w:tabs>
          <w:tab w:val="left" w:pos="3150"/>
        </w:tabs>
        <w:ind w:left="3240" w:hanging="2970"/>
      </w:pPr>
      <w:r w:rsidRPr="00B82B04">
        <w:tab/>
      </w:r>
      <w:bookmarkStart w:name="_Hlk59533428" w:id="28"/>
    </w:p>
    <w:p w:rsidRPr="00B82B04" w:rsidR="00F5259C" w:rsidP="00F5259C" w:rsidRDefault="00F5259C" w14:paraId="64E2D978" w14:textId="77777777">
      <w:pPr>
        <w:tabs>
          <w:tab w:val="left" w:pos="3150"/>
        </w:tabs>
        <w:ind w:left="3240" w:hanging="2970"/>
      </w:pPr>
      <w:r>
        <w:t>Amanda Reddy, MS</w:t>
      </w:r>
      <w:r w:rsidRPr="00B82B04">
        <w:t xml:space="preserve"> </w:t>
      </w:r>
      <w:r w:rsidRPr="00B82B04">
        <w:tab/>
      </w:r>
      <w:bookmarkStart w:name="_Hlk59533286" w:id="29"/>
      <w:r w:rsidRPr="00B82B04">
        <w:t xml:space="preserve">Healthy Housing Solutions, Inc. </w:t>
      </w:r>
      <w:bookmarkEnd w:id="29"/>
      <w:r w:rsidRPr="00B82B04">
        <w:t>(HUD’s designated Contractor)</w:t>
      </w:r>
    </w:p>
    <w:p w:rsidRPr="00B82B04" w:rsidR="00F5259C" w:rsidP="00F5259C" w:rsidRDefault="00F5259C" w14:paraId="6DBDB96A" w14:textId="77777777">
      <w:pPr>
        <w:tabs>
          <w:tab w:val="left" w:pos="3150"/>
        </w:tabs>
        <w:ind w:left="3240" w:hanging="2970"/>
      </w:pPr>
      <w:r w:rsidRPr="00B82B04">
        <w:t xml:space="preserve">Noreen Beatley, </w:t>
      </w:r>
      <w:r>
        <w:t>M</w:t>
      </w:r>
      <w:r w:rsidRPr="00B82B04">
        <w:t xml:space="preserve">PA </w:t>
      </w:r>
      <w:r w:rsidRPr="00B82B04">
        <w:tab/>
      </w:r>
      <w:bookmarkStart w:name="_Hlk59533381" w:id="30"/>
      <w:r w:rsidRPr="00B82B04">
        <w:t>Healthy Housing Solutions, Inc.</w:t>
      </w:r>
      <w:bookmarkEnd w:id="30"/>
    </w:p>
    <w:p w:rsidRPr="00B82B04" w:rsidR="00F5259C" w:rsidP="00F5259C" w:rsidRDefault="00F5259C" w14:paraId="227F1C22" w14:textId="77777777">
      <w:pPr>
        <w:tabs>
          <w:tab w:val="left" w:pos="3150"/>
        </w:tabs>
        <w:ind w:left="3240" w:hanging="2970"/>
      </w:pPr>
      <w:r>
        <w:t>Michael Eriksen, Ph</w:t>
      </w:r>
      <w:r w:rsidRPr="00B82B04">
        <w:t xml:space="preserve">D </w:t>
      </w:r>
      <w:r w:rsidRPr="00B82B04">
        <w:tab/>
        <w:t>Healthy Housing Solutions, Inc.</w:t>
      </w:r>
    </w:p>
    <w:p w:rsidRPr="00B82B04" w:rsidR="00F5259C" w:rsidP="00F5259C" w:rsidRDefault="00F5259C" w14:paraId="01670B50" w14:textId="77777777">
      <w:pPr>
        <w:tabs>
          <w:tab w:val="left" w:pos="3150"/>
        </w:tabs>
        <w:ind w:left="3240" w:hanging="2970"/>
      </w:pPr>
      <w:r w:rsidRPr="00B82B04">
        <w:t xml:space="preserve">Carolyn Kawecki, MA </w:t>
      </w:r>
      <w:r w:rsidRPr="00B82B04">
        <w:tab/>
        <w:t xml:space="preserve">Healthy Housing Solutions, Inc. </w:t>
      </w:r>
    </w:p>
    <w:p w:rsidRPr="00B82B04" w:rsidR="00F5259C" w:rsidP="00F5259C" w:rsidRDefault="00F5259C" w14:paraId="6929B010" w14:textId="77777777">
      <w:pPr>
        <w:tabs>
          <w:tab w:val="left" w:pos="3150"/>
        </w:tabs>
        <w:ind w:left="3240" w:hanging="2970"/>
      </w:pPr>
      <w:r w:rsidRPr="00B82B04">
        <w:lastRenderedPageBreak/>
        <w:tab/>
      </w:r>
    </w:p>
    <w:p w:rsidRPr="00B82B04" w:rsidR="00F5259C" w:rsidP="00F5259C" w:rsidRDefault="00F5259C" w14:paraId="7F5431E6" w14:textId="77777777">
      <w:pPr>
        <w:tabs>
          <w:tab w:val="left" w:pos="3150"/>
        </w:tabs>
        <w:ind w:left="3240" w:hanging="2970"/>
      </w:pPr>
      <w:r>
        <w:t>Jonathan Wilson, M</w:t>
      </w:r>
      <w:r w:rsidRPr="00B82B04">
        <w:t>PP</w:t>
      </w:r>
      <w:r w:rsidRPr="00B82B04">
        <w:tab/>
      </w:r>
      <w:bookmarkStart w:name="_Hlk58855192" w:id="31"/>
      <w:r w:rsidRPr="00B82B04">
        <w:t xml:space="preserve">National Center for Healthy Housing </w:t>
      </w:r>
      <w:bookmarkEnd w:id="31"/>
      <w:r w:rsidRPr="00B82B04">
        <w:t>(Solutions’ subcontractor)</w:t>
      </w:r>
    </w:p>
    <w:p w:rsidRPr="00B82B04" w:rsidR="00F5259C" w:rsidP="00F5259C" w:rsidRDefault="00F5259C" w14:paraId="5C0B32EC" w14:textId="77777777">
      <w:pPr>
        <w:tabs>
          <w:tab w:val="left" w:pos="3150"/>
        </w:tabs>
        <w:ind w:left="3240" w:hanging="2970"/>
      </w:pPr>
      <w:r w:rsidRPr="00B82B04">
        <w:t xml:space="preserve">Jill Breysse, MHS, CIH </w:t>
      </w:r>
      <w:r w:rsidRPr="00B82B04">
        <w:tab/>
        <w:t>National Center for Healthy Housing</w:t>
      </w:r>
    </w:p>
    <w:p w:rsidRPr="00B82B04" w:rsidR="00F5259C" w:rsidP="00F5259C" w:rsidRDefault="00F5259C" w14:paraId="34AD7701" w14:textId="77777777">
      <w:pPr>
        <w:tabs>
          <w:tab w:val="left" w:pos="3150"/>
        </w:tabs>
        <w:ind w:left="3240" w:hanging="2970"/>
      </w:pPr>
      <w:r>
        <w:t>Sherry Dixon, PhD</w:t>
      </w:r>
      <w:r w:rsidRPr="00B82B04">
        <w:t xml:space="preserve"> </w:t>
      </w:r>
      <w:r w:rsidRPr="00B82B04">
        <w:tab/>
        <w:t>National Center for Healthy Housing</w:t>
      </w:r>
    </w:p>
    <w:p w:rsidRPr="00B82B04" w:rsidR="00F5259C" w:rsidP="00F5259C" w:rsidRDefault="00F5259C" w14:paraId="7DBB3115" w14:textId="77777777">
      <w:pPr>
        <w:tabs>
          <w:tab w:val="left" w:pos="3240"/>
        </w:tabs>
        <w:ind w:left="3240" w:hanging="2970"/>
      </w:pPr>
    </w:p>
    <w:p w:rsidRPr="00B82B04" w:rsidR="00F5259C" w:rsidP="00F5259C" w:rsidRDefault="00F5259C" w14:paraId="1156FD06" w14:textId="77777777">
      <w:pPr>
        <w:pStyle w:val="Heading1"/>
      </w:pPr>
      <w:bookmarkStart w:name="_Toc69888476" w:id="32"/>
      <w:bookmarkStart w:name="_Toc75878160" w:id="33"/>
      <w:bookmarkEnd w:id="28"/>
      <w:r>
        <w:t xml:space="preserve">5. </w:t>
      </w:r>
      <w:r w:rsidRPr="00B82B04">
        <w:t>Impact on Small Businesses</w:t>
      </w:r>
      <w:bookmarkEnd w:id="32"/>
      <w:bookmarkEnd w:id="33"/>
    </w:p>
    <w:p w:rsidRPr="001C3A6E" w:rsidR="00F5259C" w:rsidP="00F5259C" w:rsidRDefault="00F5259C" w14:paraId="51359589" w14:textId="77777777">
      <w:pPr>
        <w:keepNext/>
        <w:spacing w:after="240"/>
        <w:rPr>
          <w:bCs/>
        </w:rPr>
      </w:pPr>
      <w:r w:rsidRPr="001C3A6E">
        <w:rPr>
          <w:bCs/>
          <w:i/>
        </w:rPr>
        <w:t>If the collection of information impacts small business or other small entities (Item 5 of OMB Form 83-I), describe any methods used to minimize burden.</w:t>
      </w:r>
    </w:p>
    <w:p w:rsidR="00F5259C" w:rsidP="00F5259C" w:rsidRDefault="00F5259C" w14:paraId="0FB6981E" w14:textId="77777777">
      <w:pPr>
        <w:spacing w:after="240"/>
      </w:pPr>
      <w:r>
        <w:t xml:space="preserve">Information collection will not be burdensome for small businesses. </w:t>
      </w:r>
    </w:p>
    <w:p w:rsidRPr="00B82B04" w:rsidR="00F5259C" w:rsidP="00F5259C" w:rsidRDefault="00F5259C" w14:paraId="6AF6673A" w14:textId="77777777">
      <w:pPr>
        <w:pStyle w:val="Heading1"/>
      </w:pPr>
      <w:bookmarkStart w:name="_Toc69888477" w:id="34"/>
      <w:bookmarkStart w:name="_Toc75878161" w:id="35"/>
      <w:r w:rsidRPr="00B82B04">
        <w:t>6</w:t>
      </w:r>
      <w:r>
        <w:t xml:space="preserve">. </w:t>
      </w:r>
      <w:r w:rsidRPr="00B82B04">
        <w:t>Policy Implications if Information is Not Collected</w:t>
      </w:r>
      <w:bookmarkEnd w:id="34"/>
      <w:bookmarkEnd w:id="35"/>
    </w:p>
    <w:p w:rsidRPr="001C3A6E" w:rsidR="00F5259C" w:rsidP="00F5259C" w:rsidRDefault="00F5259C" w14:paraId="09E2FBFB" w14:textId="77777777">
      <w:pPr>
        <w:spacing w:after="240"/>
        <w:rPr>
          <w:bCs/>
          <w:i/>
        </w:rPr>
      </w:pPr>
      <w:r w:rsidRPr="001C3A6E">
        <w:rPr>
          <w:bCs/>
          <w:i/>
        </w:rPr>
        <w:t>Describe the consequence to Federal program or policy activities if the collection is not conducted or is conducted less frequently, as well as any technical or legal obstacles to reducing burden.</w:t>
      </w:r>
    </w:p>
    <w:p w:rsidRPr="00B82B04" w:rsidR="00F5259C" w:rsidP="00F5259C" w:rsidRDefault="00F5259C" w14:paraId="63E992D7" w14:textId="77777777">
      <w:pPr>
        <w:pStyle w:val="BodyText"/>
        <w:spacing w:after="240" w:line="247" w:lineRule="auto"/>
        <w:ind w:right="512"/>
      </w:pPr>
      <w:r w:rsidRPr="00B82B04">
        <w:rPr>
          <w:color w:val="080808"/>
          <w:w w:val="105"/>
        </w:rPr>
        <w:t>The purpose of this Evaluation is to expand the evidence base for HUD funding for future grant programs to improve housing for low-income older adults. If this information is not collected, progress</w:t>
      </w:r>
      <w:r w:rsidRPr="00B82B04">
        <w:rPr>
          <w:color w:val="080808"/>
          <w:spacing w:val="-6"/>
          <w:w w:val="105"/>
        </w:rPr>
        <w:t xml:space="preserve"> </w:t>
      </w:r>
      <w:r w:rsidRPr="00B82B04">
        <w:rPr>
          <w:color w:val="080808"/>
          <w:w w:val="105"/>
        </w:rPr>
        <w:t>making</w:t>
      </w:r>
      <w:r w:rsidRPr="00B82B04">
        <w:rPr>
          <w:color w:val="080808"/>
          <w:spacing w:val="-6"/>
          <w:w w:val="105"/>
        </w:rPr>
        <w:t xml:space="preserve"> </w:t>
      </w:r>
      <w:r w:rsidRPr="00B82B04">
        <w:rPr>
          <w:color w:val="080808"/>
          <w:w w:val="105"/>
        </w:rPr>
        <w:t>U.S.</w:t>
      </w:r>
      <w:r w:rsidRPr="00B82B04">
        <w:rPr>
          <w:color w:val="080808"/>
          <w:spacing w:val="-9"/>
          <w:w w:val="105"/>
        </w:rPr>
        <w:t xml:space="preserve"> </w:t>
      </w:r>
      <w:r w:rsidRPr="00B82B04">
        <w:rPr>
          <w:color w:val="080808"/>
          <w:w w:val="105"/>
        </w:rPr>
        <w:t>housing</w:t>
      </w:r>
      <w:r w:rsidRPr="00B82B04">
        <w:rPr>
          <w:color w:val="080808"/>
          <w:spacing w:val="-8"/>
          <w:w w:val="105"/>
        </w:rPr>
        <w:t xml:space="preserve"> </w:t>
      </w:r>
      <w:r w:rsidRPr="00B82B04">
        <w:rPr>
          <w:color w:val="080808"/>
          <w:w w:val="105"/>
        </w:rPr>
        <w:t>stock healthy and safe</w:t>
      </w:r>
      <w:r w:rsidRPr="00B82B04">
        <w:t xml:space="preserve"> </w:t>
      </w:r>
      <w:r w:rsidRPr="00B82B04">
        <w:rPr>
          <w:color w:val="080808"/>
          <w:w w:val="105"/>
        </w:rPr>
        <w:t>for owner-occupant older adults will not be based on the current information on</w:t>
      </w:r>
      <w:r w:rsidRPr="00B82B04">
        <w:rPr>
          <w:color w:val="0A0A0A"/>
          <w:w w:val="105"/>
        </w:rPr>
        <w:t xml:space="preserve"> units with significant</w:t>
      </w:r>
      <w:r w:rsidRPr="00B82B04">
        <w:rPr>
          <w:color w:val="0A0A0A"/>
          <w:spacing w:val="-7"/>
          <w:w w:val="105"/>
        </w:rPr>
        <w:t xml:space="preserve"> </w:t>
      </w:r>
      <w:r w:rsidRPr="00B82B04">
        <w:rPr>
          <w:color w:val="0A0A0A"/>
          <w:w w:val="105"/>
        </w:rPr>
        <w:t>housing-related</w:t>
      </w:r>
      <w:r w:rsidRPr="00B82B04">
        <w:rPr>
          <w:color w:val="0A0A0A"/>
          <w:spacing w:val="-25"/>
          <w:w w:val="105"/>
        </w:rPr>
        <w:t xml:space="preserve"> </w:t>
      </w:r>
      <w:r w:rsidRPr="00B82B04">
        <w:rPr>
          <w:color w:val="0A0A0A"/>
          <w:w w:val="105"/>
        </w:rPr>
        <w:t>safety</w:t>
      </w:r>
      <w:r w:rsidRPr="00B82B04">
        <w:rPr>
          <w:color w:val="0A0A0A"/>
          <w:spacing w:val="-17"/>
          <w:w w:val="105"/>
        </w:rPr>
        <w:t xml:space="preserve"> </w:t>
      </w:r>
      <w:r w:rsidRPr="00B82B04">
        <w:rPr>
          <w:color w:val="0A0A0A"/>
          <w:w w:val="105"/>
        </w:rPr>
        <w:t>and</w:t>
      </w:r>
      <w:r w:rsidRPr="00B82B04">
        <w:rPr>
          <w:color w:val="0A0A0A"/>
          <w:spacing w:val="-17"/>
          <w:w w:val="105"/>
        </w:rPr>
        <w:t xml:space="preserve"> </w:t>
      </w:r>
      <w:r w:rsidRPr="00B82B04">
        <w:rPr>
          <w:color w:val="0A0A0A"/>
          <w:w w:val="105"/>
        </w:rPr>
        <w:t>health hazards for this population.</w:t>
      </w:r>
    </w:p>
    <w:p w:rsidRPr="00AE4DF2" w:rsidR="00F5259C" w:rsidP="00F5259C" w:rsidRDefault="00F5259C" w14:paraId="12B326F6" w14:textId="77777777">
      <w:pPr>
        <w:pStyle w:val="Heading1"/>
      </w:pPr>
      <w:r>
        <w:t xml:space="preserve">7. </w:t>
      </w:r>
      <w:bookmarkStart w:name="_Toc69888478" w:id="36"/>
      <w:bookmarkStart w:name="_Toc75878162" w:id="37"/>
      <w:r w:rsidRPr="00AE4DF2">
        <w:t>Special Circumstances</w:t>
      </w:r>
      <w:bookmarkEnd w:id="36"/>
      <w:bookmarkEnd w:id="37"/>
    </w:p>
    <w:p w:rsidRPr="001C3A6E" w:rsidR="00F5259C" w:rsidP="00F5259C" w:rsidRDefault="00F5259C" w14:paraId="7DEA7192" w14:textId="77777777">
      <w:pPr>
        <w:keepNext/>
        <w:keepLines/>
        <w:rPr>
          <w:bCs/>
          <w:i/>
        </w:rPr>
      </w:pPr>
      <w:r w:rsidRPr="001C3A6E">
        <w:rPr>
          <w:bCs/>
          <w:i/>
        </w:rPr>
        <w:t>Explain any special circumstances that would cause an information collection to be conducted in a manner:</w:t>
      </w:r>
    </w:p>
    <w:p w:rsidRPr="001C3A6E" w:rsidR="00F5259C" w:rsidP="00F5259C" w:rsidRDefault="00F5259C" w14:paraId="2613F5D0" w14:textId="77777777">
      <w:pPr>
        <w:pStyle w:val="N2-2ndBullet"/>
        <w:tabs>
          <w:tab w:val="left" w:pos="540"/>
        </w:tabs>
        <w:spacing w:after="120"/>
        <w:ind w:left="0" w:firstLine="0"/>
        <w:jc w:val="left"/>
        <w:rPr>
          <w:bCs/>
          <w:i/>
        </w:rPr>
      </w:pPr>
      <w:r w:rsidRPr="001C3A6E">
        <w:rPr>
          <w:bCs/>
          <w:i/>
        </w:rPr>
        <w:t xml:space="preserve">Requiring respondents to report information to the agency more often than </w:t>
      </w:r>
      <w:proofErr w:type="gramStart"/>
      <w:r w:rsidRPr="001C3A6E">
        <w:rPr>
          <w:bCs/>
          <w:i/>
        </w:rPr>
        <w:t>quarterly;</w:t>
      </w:r>
      <w:proofErr w:type="gramEnd"/>
    </w:p>
    <w:p w:rsidRPr="00B82B04" w:rsidR="00F5259C" w:rsidP="00F5259C" w:rsidRDefault="00F5259C" w14:paraId="66C9E522" w14:textId="77777777">
      <w:pPr>
        <w:pStyle w:val="N2-2ndBullet"/>
        <w:numPr>
          <w:ilvl w:val="0"/>
          <w:numId w:val="0"/>
        </w:numPr>
        <w:tabs>
          <w:tab w:val="left" w:pos="540"/>
        </w:tabs>
        <w:ind w:left="540" w:hanging="270"/>
        <w:jc w:val="left"/>
      </w:pPr>
      <w:r w:rsidRPr="00B82B04">
        <w:tab/>
        <w:t>Not applicable</w:t>
      </w:r>
    </w:p>
    <w:p w:rsidRPr="001C3A6E" w:rsidR="00F5259C" w:rsidP="00F5259C" w:rsidRDefault="00F5259C" w14:paraId="6A682882" w14:textId="77777777">
      <w:pPr>
        <w:pStyle w:val="N2-2ndBullet"/>
        <w:tabs>
          <w:tab w:val="clear" w:pos="0"/>
          <w:tab w:val="left" w:pos="540"/>
        </w:tabs>
        <w:spacing w:after="120"/>
        <w:ind w:left="548" w:hanging="274"/>
        <w:jc w:val="left"/>
        <w:rPr>
          <w:bCs/>
        </w:rPr>
      </w:pPr>
      <w:r w:rsidRPr="001C3A6E">
        <w:rPr>
          <w:bCs/>
          <w:i/>
        </w:rPr>
        <w:t>Requiring respondents to prepare a written response to a collection of information in fewer than</w:t>
      </w:r>
      <w:r>
        <w:rPr>
          <w:bCs/>
          <w:i/>
        </w:rPr>
        <w:t xml:space="preserve"> 32 </w:t>
      </w:r>
      <w:r w:rsidRPr="001C3A6E">
        <w:rPr>
          <w:bCs/>
          <w:i/>
        </w:rPr>
        <w:t xml:space="preserve">days after receipt of </w:t>
      </w:r>
      <w:proofErr w:type="gramStart"/>
      <w:r w:rsidRPr="001C3A6E">
        <w:rPr>
          <w:bCs/>
          <w:i/>
        </w:rPr>
        <w:t>it;</w:t>
      </w:r>
      <w:proofErr w:type="gramEnd"/>
    </w:p>
    <w:p w:rsidR="00F5259C" w:rsidP="00F5259C" w:rsidRDefault="00F5259C" w14:paraId="38E6F74B" w14:textId="77777777">
      <w:pPr>
        <w:pStyle w:val="N2-2ndBullet"/>
        <w:numPr>
          <w:ilvl w:val="0"/>
          <w:numId w:val="0"/>
        </w:numPr>
        <w:tabs>
          <w:tab w:val="left" w:pos="540"/>
        </w:tabs>
        <w:ind w:left="539"/>
        <w:jc w:val="left"/>
      </w:pPr>
      <w:r w:rsidRPr="007B0541">
        <w:t>OLHCHH will specify grantees have</w:t>
      </w:r>
      <w:r>
        <w:t xml:space="preserve"> 32 </w:t>
      </w:r>
      <w:r w:rsidRPr="007B0541">
        <w:t>days (or the next federal business day following) to respond to HU</w:t>
      </w:r>
      <w:r>
        <w:t xml:space="preserve">D.  </w:t>
      </w:r>
    </w:p>
    <w:p w:rsidRPr="002D6D4C" w:rsidR="00F5259C" w:rsidP="00F5259C" w:rsidRDefault="00F5259C" w14:paraId="0FA9B996" w14:textId="77777777">
      <w:pPr>
        <w:pStyle w:val="N2-2ndBullet"/>
        <w:tabs>
          <w:tab w:val="left" w:pos="540"/>
        </w:tabs>
        <w:spacing w:after="120"/>
        <w:ind w:left="548" w:hanging="274"/>
        <w:jc w:val="left"/>
        <w:rPr>
          <w:bCs/>
        </w:rPr>
      </w:pPr>
      <w:r w:rsidRPr="002D6D4C">
        <w:rPr>
          <w:bCs/>
          <w:i/>
        </w:rPr>
        <w:t xml:space="preserve">Requiring respondents to submit more than an original and two copies of any </w:t>
      </w:r>
      <w:proofErr w:type="gramStart"/>
      <w:r w:rsidRPr="002D6D4C">
        <w:rPr>
          <w:bCs/>
          <w:i/>
        </w:rPr>
        <w:t>document;</w:t>
      </w:r>
      <w:proofErr w:type="gramEnd"/>
    </w:p>
    <w:p w:rsidRPr="00B82B04" w:rsidR="00F5259C" w:rsidP="00F5259C" w:rsidRDefault="00F5259C" w14:paraId="7D4171F3" w14:textId="77777777">
      <w:pPr>
        <w:pStyle w:val="N2-2ndBullet"/>
        <w:numPr>
          <w:ilvl w:val="0"/>
          <w:numId w:val="0"/>
        </w:numPr>
        <w:tabs>
          <w:tab w:val="left" w:pos="540"/>
        </w:tabs>
        <w:ind w:left="540" w:hanging="270"/>
        <w:jc w:val="left"/>
      </w:pPr>
      <w:r w:rsidRPr="00B82B04">
        <w:tab/>
        <w:t>Not applicable</w:t>
      </w:r>
    </w:p>
    <w:p w:rsidRPr="0085608E" w:rsidR="00F5259C" w:rsidP="00F5259C" w:rsidRDefault="00F5259C" w14:paraId="52BD7BE6" w14:textId="77777777">
      <w:pPr>
        <w:pStyle w:val="N2-2ndBullet"/>
        <w:tabs>
          <w:tab w:val="left" w:pos="540"/>
        </w:tabs>
        <w:spacing w:after="120"/>
        <w:ind w:left="548" w:hanging="274"/>
        <w:jc w:val="left"/>
        <w:rPr>
          <w:bCs/>
        </w:rPr>
      </w:pPr>
      <w:r w:rsidRPr="0085608E">
        <w:rPr>
          <w:bCs/>
          <w:i/>
        </w:rPr>
        <w:t xml:space="preserve">Requiring respondents to retain records, other than health, medical, government contract, grant-in-aid, or tax records, for more than three </w:t>
      </w:r>
      <w:proofErr w:type="gramStart"/>
      <w:r w:rsidRPr="0085608E">
        <w:rPr>
          <w:bCs/>
          <w:i/>
        </w:rPr>
        <w:t>years;</w:t>
      </w:r>
      <w:proofErr w:type="gramEnd"/>
    </w:p>
    <w:p w:rsidRPr="00B82B04" w:rsidR="00F5259C" w:rsidP="00F5259C" w:rsidRDefault="00F5259C" w14:paraId="4A4713E0" w14:textId="77777777">
      <w:pPr>
        <w:pStyle w:val="N2-2ndBullet"/>
        <w:numPr>
          <w:ilvl w:val="0"/>
          <w:numId w:val="0"/>
        </w:numPr>
        <w:tabs>
          <w:tab w:val="left" w:pos="540"/>
        </w:tabs>
        <w:ind w:left="540" w:hanging="270"/>
        <w:jc w:val="left"/>
      </w:pPr>
      <w:r w:rsidRPr="00B82B04">
        <w:tab/>
        <w:t>Not applicable</w:t>
      </w:r>
    </w:p>
    <w:p w:rsidRPr="0085608E" w:rsidR="00F5259C" w:rsidP="00F5259C" w:rsidRDefault="00F5259C" w14:paraId="23D252BE" w14:textId="77777777">
      <w:pPr>
        <w:pStyle w:val="N2-2ndBullet"/>
        <w:tabs>
          <w:tab w:val="left" w:pos="540"/>
        </w:tabs>
        <w:spacing w:after="120"/>
        <w:ind w:left="548" w:hanging="274"/>
        <w:jc w:val="left"/>
      </w:pPr>
      <w:r w:rsidRPr="0085608E">
        <w:rPr>
          <w:i/>
          <w:iCs/>
        </w:rPr>
        <w:t>In connection with</w:t>
      </w:r>
      <w:r w:rsidRPr="0085608E">
        <w:rPr>
          <w:i/>
        </w:rPr>
        <w:t xml:space="preserve"> a statistical survey, that is not designed to produce valid and reliable results than can be generalized to the universe of </w:t>
      </w:r>
      <w:proofErr w:type="gramStart"/>
      <w:r w:rsidRPr="0085608E">
        <w:rPr>
          <w:i/>
        </w:rPr>
        <w:t>study;</w:t>
      </w:r>
      <w:proofErr w:type="gramEnd"/>
    </w:p>
    <w:p w:rsidRPr="00B82B04" w:rsidR="00F5259C" w:rsidP="00F5259C" w:rsidRDefault="00F5259C" w14:paraId="56BCF8BF" w14:textId="77777777">
      <w:pPr>
        <w:pStyle w:val="NormalOMB"/>
        <w:tabs>
          <w:tab w:val="left" w:pos="540"/>
        </w:tabs>
        <w:ind w:left="540" w:hanging="270"/>
      </w:pPr>
      <w:r w:rsidRPr="00B82B04">
        <w:lastRenderedPageBreak/>
        <w:tab/>
        <w:t xml:space="preserve">Not applicable. This project </w:t>
      </w:r>
      <w:r>
        <w:t>will evaluate</w:t>
      </w:r>
      <w:r w:rsidRPr="00B82B04">
        <w:t xml:space="preserve"> program processes and outcomes</w:t>
      </w:r>
      <w:r>
        <w:t xml:space="preserve"> </w:t>
      </w:r>
      <w:r w:rsidRPr="00B82B04">
        <w:t>and is not a statistical survey. As appropriate for the Evaluation’s purposes, the DCIs incorporate survey questions and scales that have demonstrated valid and reliable results.</w:t>
      </w:r>
    </w:p>
    <w:p w:rsidRPr="00B82B04" w:rsidR="00F5259C" w:rsidP="00F5259C" w:rsidRDefault="00F5259C" w14:paraId="2A9F9A4B" w14:textId="77777777">
      <w:pPr>
        <w:pStyle w:val="Caption"/>
        <w:spacing w:after="0"/>
      </w:pPr>
    </w:p>
    <w:tbl>
      <w:tblPr>
        <w:tblW w:w="93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Layout w:type="fixed"/>
        <w:tblCellMar>
          <w:left w:w="14" w:type="dxa"/>
          <w:right w:w="0" w:type="dxa"/>
        </w:tblCellMar>
        <w:tblLook w:val="04A0" w:firstRow="1" w:lastRow="0" w:firstColumn="1" w:lastColumn="0" w:noHBand="0" w:noVBand="1"/>
      </w:tblPr>
      <w:tblGrid>
        <w:gridCol w:w="1525"/>
        <w:gridCol w:w="3330"/>
        <w:gridCol w:w="2430"/>
        <w:gridCol w:w="2075"/>
        <w:gridCol w:w="13"/>
      </w:tblGrid>
      <w:tr w:rsidRPr="00B82B04" w:rsidR="00F5259C" w:rsidTr="00902F66" w14:paraId="36E3722F" w14:textId="77777777">
        <w:trPr>
          <w:gridAfter w:val="1"/>
          <w:wAfter w:w="13" w:type="dxa"/>
          <w:trHeight w:val="420"/>
          <w:tblHeader/>
        </w:trPr>
        <w:tc>
          <w:tcPr>
            <w:tcW w:w="9360" w:type="dxa"/>
            <w:gridSpan w:val="4"/>
            <w:shd w:val="clear" w:color="auto" w:fill="E7E6E6" w:themeFill="background2"/>
            <w:vAlign w:val="center"/>
          </w:tcPr>
          <w:p w:rsidRPr="00B82B04" w:rsidR="00F5259C" w:rsidP="00902F66" w:rsidRDefault="00F5259C" w14:paraId="47EF0018" w14:textId="77777777">
            <w:pPr>
              <w:pStyle w:val="Caption"/>
              <w:keepNext/>
              <w:spacing w:after="0"/>
              <w:jc w:val="center"/>
              <w:rPr>
                <w:rStyle w:val="normaltextrun"/>
                <w:rFonts w:ascii="Arial" w:hAnsi="Arial" w:cs="Arial"/>
                <w:b w:val="0"/>
                <w:bCs/>
                <w:sz w:val="20"/>
                <w:szCs w:val="20"/>
              </w:rPr>
            </w:pPr>
            <w:bookmarkStart w:name="_Ref77086182" w:id="38"/>
            <w:bookmarkStart w:name="_Toc75878793" w:id="39"/>
            <w:r w:rsidRPr="00B82B04">
              <w:rPr>
                <w:rFonts w:ascii="Arial" w:hAnsi="Arial" w:cs="Arial"/>
                <w:sz w:val="20"/>
                <w:szCs w:val="20"/>
              </w:rPr>
              <w:t xml:space="preserve">Table </w:t>
            </w:r>
            <w:r w:rsidRPr="00B82B04">
              <w:rPr>
                <w:rFonts w:ascii="Arial" w:hAnsi="Arial" w:cs="Arial"/>
                <w:sz w:val="20"/>
                <w:szCs w:val="20"/>
              </w:rPr>
              <w:fldChar w:fldCharType="begin"/>
            </w:r>
            <w:r w:rsidRPr="00B82B04">
              <w:rPr>
                <w:rFonts w:ascii="Arial" w:hAnsi="Arial" w:cs="Arial"/>
                <w:sz w:val="20"/>
                <w:szCs w:val="20"/>
              </w:rPr>
              <w:instrText>SEQ Table \* ARABIC</w:instrText>
            </w:r>
            <w:r w:rsidRPr="00B82B04">
              <w:rPr>
                <w:rFonts w:ascii="Arial" w:hAnsi="Arial" w:cs="Arial"/>
                <w:sz w:val="20"/>
                <w:szCs w:val="20"/>
              </w:rPr>
              <w:fldChar w:fldCharType="separate"/>
            </w:r>
            <w:r>
              <w:rPr>
                <w:rFonts w:ascii="Arial" w:hAnsi="Arial" w:cs="Arial"/>
                <w:noProof/>
                <w:sz w:val="20"/>
                <w:szCs w:val="20"/>
              </w:rPr>
              <w:t>5</w:t>
            </w:r>
            <w:r w:rsidRPr="00B82B04">
              <w:rPr>
                <w:rFonts w:ascii="Arial" w:hAnsi="Arial" w:cs="Arial"/>
                <w:sz w:val="20"/>
                <w:szCs w:val="20"/>
              </w:rPr>
              <w:fldChar w:fldCharType="end"/>
            </w:r>
            <w:bookmarkEnd w:id="38"/>
            <w:r w:rsidRPr="00B82B04">
              <w:rPr>
                <w:rFonts w:ascii="Arial" w:hAnsi="Arial" w:cs="Arial"/>
                <w:sz w:val="20"/>
                <w:szCs w:val="20"/>
              </w:rPr>
              <w:t>. Standardized Data Collection Instruments (DCIs)</w:t>
            </w:r>
            <w:bookmarkEnd w:id="39"/>
          </w:p>
        </w:tc>
      </w:tr>
      <w:tr w:rsidRPr="00B82B04" w:rsidR="00F5259C" w:rsidTr="00902F66" w14:paraId="54471154" w14:textId="77777777">
        <w:trPr>
          <w:trHeight w:val="420"/>
          <w:tblHeader/>
        </w:trPr>
        <w:tc>
          <w:tcPr>
            <w:tcW w:w="1525" w:type="dxa"/>
            <w:shd w:val="clear" w:color="auto" w:fill="E7E6E6" w:themeFill="background2"/>
            <w:vAlign w:val="bottom"/>
            <w:hideMark/>
          </w:tcPr>
          <w:p w:rsidRPr="00B82B04" w:rsidR="00F5259C" w:rsidP="00902F66" w:rsidRDefault="00F5259C" w14:paraId="4EA04A44" w14:textId="77777777">
            <w:pPr>
              <w:pStyle w:val="paragraph"/>
              <w:spacing w:before="0" w:beforeAutospacing="0" w:after="0" w:afterAutospacing="0"/>
              <w:ind w:left="144"/>
              <w:jc w:val="center"/>
              <w:textAlignment w:val="baseline"/>
              <w:rPr>
                <w:rFonts w:ascii="Arial" w:hAnsi="Arial" w:cs="Arial"/>
                <w:b/>
                <w:sz w:val="20"/>
                <w:szCs w:val="20"/>
              </w:rPr>
            </w:pPr>
            <w:r w:rsidRPr="00B82B04">
              <w:rPr>
                <w:rStyle w:val="eop"/>
                <w:rFonts w:ascii="Arial" w:hAnsi="Arial" w:cs="Arial"/>
                <w:b/>
                <w:sz w:val="20"/>
                <w:szCs w:val="20"/>
              </w:rPr>
              <w:t>Topic</w:t>
            </w:r>
          </w:p>
        </w:tc>
        <w:tc>
          <w:tcPr>
            <w:tcW w:w="3330" w:type="dxa"/>
            <w:shd w:val="clear" w:color="auto" w:fill="E7E6E6" w:themeFill="background2"/>
            <w:vAlign w:val="bottom"/>
            <w:hideMark/>
          </w:tcPr>
          <w:p w:rsidRPr="00B82B04" w:rsidR="00F5259C" w:rsidP="00902F66" w:rsidRDefault="00F5259C" w14:paraId="764E00B2" w14:textId="77777777">
            <w:pPr>
              <w:pStyle w:val="paragraph"/>
              <w:spacing w:before="0" w:beforeAutospacing="0" w:after="0" w:afterAutospacing="0"/>
              <w:ind w:left="74" w:right="106"/>
              <w:jc w:val="center"/>
              <w:textAlignment w:val="baseline"/>
              <w:rPr>
                <w:rStyle w:val="normaltextrun"/>
                <w:rFonts w:ascii="Arial" w:hAnsi="Arial" w:cs="Arial"/>
                <w:b/>
                <w:bCs/>
                <w:sz w:val="20"/>
                <w:szCs w:val="20"/>
              </w:rPr>
            </w:pPr>
            <w:r w:rsidRPr="00B82B04">
              <w:rPr>
                <w:rStyle w:val="eop"/>
                <w:rFonts w:ascii="Arial" w:hAnsi="Arial" w:cs="Arial"/>
                <w:b/>
                <w:bCs/>
                <w:sz w:val="20"/>
                <w:szCs w:val="20"/>
              </w:rPr>
              <w:t>Description of Measure</w:t>
            </w:r>
          </w:p>
          <w:p w:rsidRPr="00B82B04" w:rsidR="00F5259C" w:rsidP="00902F66" w:rsidRDefault="00F5259C" w14:paraId="297D9F62" w14:textId="77777777">
            <w:pPr>
              <w:pStyle w:val="paragraph"/>
              <w:spacing w:before="0" w:beforeAutospacing="0" w:after="0" w:afterAutospacing="0"/>
              <w:ind w:left="74" w:right="106"/>
              <w:jc w:val="center"/>
              <w:textAlignment w:val="baseline"/>
              <w:rPr>
                <w:rFonts w:ascii="Arial" w:hAnsi="Arial" w:cs="Arial"/>
                <w:b/>
                <w:bCs/>
                <w:sz w:val="20"/>
                <w:szCs w:val="20"/>
              </w:rPr>
            </w:pPr>
            <w:r w:rsidRPr="00B82B04">
              <w:rPr>
                <w:rStyle w:val="normaltextrun"/>
                <w:rFonts w:ascii="Arial" w:hAnsi="Arial" w:cs="Arial"/>
                <w:b/>
                <w:bCs/>
                <w:sz w:val="20"/>
                <w:szCs w:val="20"/>
              </w:rPr>
              <w:t>and Its Purpose</w:t>
            </w:r>
          </w:p>
        </w:tc>
        <w:tc>
          <w:tcPr>
            <w:tcW w:w="2430" w:type="dxa"/>
            <w:shd w:val="clear" w:color="auto" w:fill="E7E6E6" w:themeFill="background2"/>
            <w:vAlign w:val="bottom"/>
          </w:tcPr>
          <w:p w:rsidRPr="00B82B04" w:rsidR="00F5259C" w:rsidP="00902F66" w:rsidRDefault="00F5259C" w14:paraId="535829AC" w14:textId="77777777">
            <w:pPr>
              <w:pStyle w:val="paragraph"/>
              <w:spacing w:before="0" w:beforeAutospacing="0" w:after="0" w:afterAutospacing="0"/>
              <w:ind w:left="74" w:right="106"/>
              <w:jc w:val="center"/>
              <w:textAlignment w:val="baseline"/>
              <w:rPr>
                <w:rStyle w:val="normaltextrun"/>
                <w:rFonts w:ascii="Arial" w:hAnsi="Arial" w:cs="Arial"/>
                <w:b/>
                <w:bCs/>
                <w:sz w:val="20"/>
                <w:szCs w:val="20"/>
              </w:rPr>
            </w:pPr>
            <w:r w:rsidRPr="00B82B04">
              <w:rPr>
                <w:rStyle w:val="normaltextrun"/>
                <w:rFonts w:ascii="Arial" w:hAnsi="Arial" w:cs="Arial"/>
                <w:b/>
                <w:bCs/>
                <w:sz w:val="20"/>
                <w:szCs w:val="20"/>
              </w:rPr>
              <w:t>Question Format</w:t>
            </w:r>
          </w:p>
        </w:tc>
        <w:tc>
          <w:tcPr>
            <w:tcW w:w="2088" w:type="dxa"/>
            <w:gridSpan w:val="2"/>
            <w:shd w:val="clear" w:color="auto" w:fill="E7E6E6" w:themeFill="background2"/>
            <w:vAlign w:val="bottom"/>
          </w:tcPr>
          <w:p w:rsidRPr="00B82B04" w:rsidR="00F5259C" w:rsidP="00902F66" w:rsidRDefault="00F5259C" w14:paraId="784398BA" w14:textId="77777777">
            <w:pPr>
              <w:pStyle w:val="paragraph"/>
              <w:spacing w:before="0" w:beforeAutospacing="0" w:after="0" w:afterAutospacing="0"/>
              <w:ind w:left="74" w:right="42"/>
              <w:jc w:val="center"/>
              <w:textAlignment w:val="baseline"/>
              <w:rPr>
                <w:rStyle w:val="normaltextrun"/>
                <w:rFonts w:ascii="Arial" w:hAnsi="Arial" w:cs="Arial"/>
                <w:b/>
                <w:bCs/>
                <w:sz w:val="20"/>
                <w:szCs w:val="20"/>
              </w:rPr>
            </w:pPr>
            <w:r w:rsidRPr="00B82B04">
              <w:rPr>
                <w:rStyle w:val="normaltextrun"/>
                <w:rFonts w:ascii="Arial" w:hAnsi="Arial" w:cs="Arial"/>
                <w:b/>
                <w:bCs/>
                <w:sz w:val="20"/>
                <w:szCs w:val="20"/>
              </w:rPr>
              <w:t>Questions as they appear in DCIs</w:t>
            </w:r>
          </w:p>
        </w:tc>
      </w:tr>
      <w:tr w:rsidRPr="00B82B04" w:rsidR="00F5259C" w:rsidTr="00902F66" w14:paraId="3B60F035" w14:textId="77777777">
        <w:tc>
          <w:tcPr>
            <w:tcW w:w="1525" w:type="dxa"/>
            <w:shd w:val="clear" w:color="auto" w:fill="auto"/>
          </w:tcPr>
          <w:p w:rsidRPr="00B82B04" w:rsidR="00F5259C" w:rsidP="00902F66" w:rsidRDefault="00F5259C" w14:paraId="4570A3CC" w14:textId="77777777">
            <w:pPr>
              <w:pStyle w:val="paragraph"/>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Demographic information and expected tenure in the home</w:t>
            </w:r>
          </w:p>
        </w:tc>
        <w:tc>
          <w:tcPr>
            <w:tcW w:w="3330" w:type="dxa"/>
            <w:shd w:val="clear" w:color="auto" w:fill="auto"/>
          </w:tcPr>
          <w:p w:rsidRPr="00B82B04" w:rsidR="00F5259C" w:rsidP="00902F66" w:rsidRDefault="00F5259C" w14:paraId="0D48B29D"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Identifies gender, ethnic and racial identify, educational status, plans for movement to another community, importance of remaining in the home for as long as possible, self-assessment of whether the home is accessible for special needs or disabilities.</w:t>
            </w:r>
          </w:p>
        </w:tc>
        <w:tc>
          <w:tcPr>
            <w:tcW w:w="2430" w:type="dxa"/>
          </w:tcPr>
          <w:p w:rsidRPr="00B82B04" w:rsidR="00F5259C" w:rsidP="00902F66" w:rsidRDefault="00F5259C" w14:paraId="38F8DAEC" w14:textId="77777777">
            <w:pPr>
              <w:pStyle w:val="ListParagraph"/>
              <w:spacing w:after="120"/>
              <w:ind w:left="72" w:right="101"/>
              <w:rPr>
                <w:rFonts w:ascii="Arial" w:hAnsi="Arial" w:cs="Arial"/>
                <w:color w:val="0000FF"/>
                <w:sz w:val="20"/>
                <w:szCs w:val="20"/>
              </w:rPr>
            </w:pPr>
            <w:r w:rsidRPr="00B82B04">
              <w:rPr>
                <w:rFonts w:ascii="Arial" w:hAnsi="Arial" w:cs="Arial"/>
                <w:sz w:val="20"/>
                <w:szCs w:val="20"/>
              </w:rPr>
              <w:t xml:space="preserve">Some demographic questions come from the CMS </w:t>
            </w:r>
            <w:hyperlink w:history="1" r:id="rId17">
              <w:r w:rsidRPr="00B82B04">
                <w:rPr>
                  <w:rStyle w:val="Hyperlink"/>
                  <w:rFonts w:ascii="Arial" w:hAnsi="Arial" w:cs="Arial"/>
                  <w:sz w:val="20"/>
                  <w:szCs w:val="20"/>
                </w:rPr>
                <w:t>Medicare HOS questionnaire (HOS 3.0 2020).</w:t>
              </w:r>
            </w:hyperlink>
            <w:r w:rsidRPr="00B82B04">
              <w:rPr>
                <w:rFonts w:ascii="Arial" w:hAnsi="Arial" w:cs="Arial"/>
                <w:color w:val="0000FF"/>
                <w:sz w:val="20"/>
                <w:szCs w:val="20"/>
              </w:rPr>
              <w:t xml:space="preserve"> </w:t>
            </w:r>
          </w:p>
          <w:p w:rsidRPr="00B82B04" w:rsidR="00F5259C" w:rsidP="00902F66" w:rsidRDefault="00F5259C" w14:paraId="3DF357D1" w14:textId="77777777">
            <w:pPr>
              <w:pStyle w:val="ListParagraph"/>
              <w:ind w:left="72" w:right="106"/>
              <w:contextualSpacing/>
              <w:rPr>
                <w:rFonts w:ascii="Arial" w:hAnsi="Arial" w:cs="Arial"/>
                <w:sz w:val="20"/>
                <w:szCs w:val="20"/>
              </w:rPr>
            </w:pPr>
            <w:r w:rsidRPr="00B82B04">
              <w:rPr>
                <w:rFonts w:ascii="Arial" w:hAnsi="Arial" w:cs="Arial"/>
                <w:sz w:val="20"/>
                <w:szCs w:val="20"/>
              </w:rPr>
              <w:t xml:space="preserve">Tenure questions from </w:t>
            </w:r>
            <w:hyperlink w:history="1" r:id="rId18">
              <w:r w:rsidRPr="00B82B04">
                <w:rPr>
                  <w:rStyle w:val="Hyperlink"/>
                  <w:rFonts w:ascii="Arial" w:hAnsi="Arial" w:cs="Arial"/>
                  <w:sz w:val="20"/>
                  <w:szCs w:val="20"/>
                </w:rPr>
                <w:t>2020 AARP Age-Friendly Community Survey.</w:t>
              </w:r>
            </w:hyperlink>
            <w:r w:rsidRPr="00B82B04">
              <w:rPr>
                <w:rFonts w:ascii="Arial" w:hAnsi="Arial" w:cs="Arial"/>
                <w:color w:val="0000FF"/>
                <w:sz w:val="20"/>
                <w:szCs w:val="20"/>
              </w:rPr>
              <w:t xml:space="preserve"> </w:t>
            </w:r>
          </w:p>
        </w:tc>
        <w:tc>
          <w:tcPr>
            <w:tcW w:w="2088" w:type="dxa"/>
            <w:gridSpan w:val="2"/>
          </w:tcPr>
          <w:p w:rsidRPr="00B82B04" w:rsidR="00F5259C" w:rsidP="00902F66" w:rsidRDefault="00F5259C" w14:paraId="3B7CBCBA"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 Client Impact Evaluation Interview Form</w:t>
            </w:r>
            <w:r>
              <w:rPr>
                <w:rStyle w:val="normaltextrun"/>
                <w:rFonts w:ascii="Arial" w:hAnsi="Arial" w:cs="Arial"/>
                <w:sz w:val="20"/>
                <w:szCs w:val="20"/>
              </w:rPr>
              <w:t xml:space="preserve">, </w:t>
            </w:r>
            <w:r w:rsidRPr="00B82B04">
              <w:rPr>
                <w:rStyle w:val="normaltextrun"/>
                <w:rFonts w:ascii="Arial" w:hAnsi="Arial" w:cs="Arial"/>
                <w:sz w:val="20"/>
                <w:szCs w:val="20"/>
              </w:rPr>
              <w:t xml:space="preserve">Section B </w:t>
            </w:r>
          </w:p>
        </w:tc>
      </w:tr>
      <w:tr w:rsidRPr="00B82B04" w:rsidR="00F5259C" w:rsidTr="00902F66" w14:paraId="3F25C92A" w14:textId="77777777">
        <w:tc>
          <w:tcPr>
            <w:tcW w:w="1525" w:type="dxa"/>
            <w:shd w:val="clear" w:color="auto" w:fill="auto"/>
            <w:hideMark/>
          </w:tcPr>
          <w:p w:rsidRPr="00B82B04" w:rsidR="00F5259C" w:rsidP="00902F66" w:rsidRDefault="00F5259C" w14:paraId="10EBE36B" w14:textId="77777777">
            <w:pPr>
              <w:pStyle w:val="paragraph"/>
              <w:spacing w:before="0" w:beforeAutospacing="0" w:after="0" w:afterAutospacing="0"/>
              <w:ind w:left="71"/>
              <w:textAlignment w:val="baseline"/>
              <w:rPr>
                <w:rFonts w:ascii="Arial" w:hAnsi="Arial" w:cs="Arial"/>
                <w:sz w:val="20"/>
                <w:szCs w:val="20"/>
              </w:rPr>
            </w:pPr>
            <w:r w:rsidRPr="00B82B04">
              <w:rPr>
                <w:rStyle w:val="normaltextrun"/>
                <w:rFonts w:ascii="Arial" w:hAnsi="Arial" w:cs="Arial"/>
                <w:sz w:val="20"/>
                <w:szCs w:val="20"/>
              </w:rPr>
              <w:t>ADL and IADL difficulty scores </w:t>
            </w:r>
            <w:r w:rsidRPr="00B82B04">
              <w:rPr>
                <w:rStyle w:val="eop"/>
                <w:rFonts w:ascii="Arial" w:hAnsi="Arial" w:cs="Arial"/>
                <w:sz w:val="20"/>
                <w:szCs w:val="20"/>
              </w:rPr>
              <w:t> </w:t>
            </w:r>
          </w:p>
        </w:tc>
        <w:tc>
          <w:tcPr>
            <w:tcW w:w="3330" w:type="dxa"/>
            <w:shd w:val="clear" w:color="auto" w:fill="auto"/>
            <w:hideMark/>
          </w:tcPr>
          <w:p w:rsidRPr="00B82B04" w:rsidR="00F5259C" w:rsidP="00902F66" w:rsidRDefault="00F5259C" w14:paraId="44804242" w14:textId="77777777">
            <w:pPr>
              <w:pStyle w:val="paragraph"/>
              <w:spacing w:before="0" w:beforeAutospacing="0" w:after="120" w:afterAutospacing="0"/>
              <w:ind w:left="72" w:right="101"/>
              <w:textAlignment w:val="baseline"/>
              <w:rPr>
                <w:rStyle w:val="normaltextrun"/>
                <w:rFonts w:ascii="Arial" w:hAnsi="Arial" w:cs="Arial"/>
                <w:sz w:val="20"/>
                <w:szCs w:val="20"/>
              </w:rPr>
            </w:pPr>
            <w:r w:rsidRPr="00B82B04">
              <w:rPr>
                <w:rStyle w:val="normaltextrun"/>
                <w:rFonts w:ascii="Arial" w:hAnsi="Arial" w:cs="Arial"/>
                <w:sz w:val="20"/>
                <w:szCs w:val="20"/>
              </w:rPr>
              <w:t>Measures residents’ difficulty, if any, in performing one or more of eight ADLs and eight IADLs with high test–retest reliability and sensitivity.</w:t>
            </w:r>
            <w:r w:rsidRPr="00DF1B38">
              <w:rPr>
                <w:rStyle w:val="FootnoteReference"/>
                <w:rFonts w:ascii="Arial" w:hAnsi="Arial" w:cs="Arial"/>
              </w:rPr>
              <w:footnoteReference w:id="39"/>
            </w:r>
            <w:r>
              <w:rPr>
                <w:rStyle w:val="normaltextrun"/>
                <w:rFonts w:ascii="Arial" w:hAnsi="Arial" w:cs="Arial"/>
                <w:sz w:val="20"/>
                <w:szCs w:val="20"/>
                <w:vertAlign w:val="superscript"/>
              </w:rPr>
              <w:t>,</w:t>
            </w:r>
            <w:r w:rsidRPr="00DF1B38">
              <w:rPr>
                <w:rFonts w:ascii="Arial" w:hAnsi="Arial" w:cs="Arial"/>
                <w:vertAlign w:val="superscript"/>
              </w:rPr>
              <w:t xml:space="preserve"> </w:t>
            </w:r>
            <w:r w:rsidRPr="00DF1B38">
              <w:rPr>
                <w:rStyle w:val="FootnoteReference"/>
                <w:rFonts w:ascii="Arial" w:hAnsi="Arial" w:cs="Arial"/>
              </w:rPr>
              <w:footnoteReference w:id="40"/>
            </w:r>
            <w:r w:rsidRPr="00DF1B38">
              <w:rPr>
                <w:rStyle w:val="normaltextrun"/>
                <w:rFonts w:ascii="Arial" w:hAnsi="Arial" w:cs="Arial"/>
                <w:sz w:val="20"/>
                <w:szCs w:val="20"/>
                <w:vertAlign w:val="superscript"/>
              </w:rPr>
              <w:t xml:space="preserve">, </w:t>
            </w:r>
            <w:r w:rsidRPr="00DF1B38">
              <w:rPr>
                <w:rStyle w:val="FootnoteReference"/>
                <w:rFonts w:ascii="Arial" w:hAnsi="Arial" w:cs="Arial"/>
              </w:rPr>
              <w:footnoteReference w:id="41"/>
            </w:r>
            <w:r w:rsidRPr="00B82B04">
              <w:rPr>
                <w:rStyle w:val="normaltextrun"/>
                <w:rFonts w:ascii="Arial" w:hAnsi="Arial" w:cs="Arial"/>
                <w:sz w:val="20"/>
                <w:szCs w:val="20"/>
              </w:rPr>
              <w:t xml:space="preserve"> Provides consistency in assessment of ADLs and IADLs across grantees.</w:t>
            </w:r>
          </w:p>
          <w:p w:rsidRPr="00B82B04" w:rsidR="00F5259C" w:rsidP="00902F66" w:rsidRDefault="00F5259C" w14:paraId="077AB546" w14:textId="77777777">
            <w:pPr>
              <w:pStyle w:val="paragraph"/>
              <w:spacing w:before="0" w:beforeAutospacing="0" w:after="0" w:afterAutospacing="0"/>
              <w:ind w:left="74" w:right="106"/>
              <w:textAlignment w:val="baseline"/>
              <w:rPr>
                <w:rFonts w:ascii="Arial" w:hAnsi="Arial" w:cs="Arial"/>
                <w:sz w:val="20"/>
                <w:szCs w:val="20"/>
              </w:rPr>
            </w:pPr>
            <w:r w:rsidRPr="00B82B04">
              <w:rPr>
                <w:rStyle w:val="normaltextrun"/>
                <w:rFonts w:ascii="Arial" w:hAnsi="Arial" w:cs="Arial"/>
                <w:sz w:val="20"/>
                <w:szCs w:val="20"/>
              </w:rPr>
              <w:t xml:space="preserve">Compares client ADL and IADL data with CMS Medicare HOS cohort data filtered by </w:t>
            </w:r>
            <w:r>
              <w:rPr>
                <w:rStyle w:val="normaltextrun"/>
                <w:rFonts w:ascii="Arial" w:hAnsi="Arial" w:cs="Arial"/>
                <w:sz w:val="20"/>
                <w:szCs w:val="20"/>
              </w:rPr>
              <w:t xml:space="preserve">U.S. </w:t>
            </w:r>
            <w:r w:rsidRPr="00B82B04">
              <w:rPr>
                <w:rStyle w:val="normaltextrun"/>
                <w:rFonts w:ascii="Arial" w:hAnsi="Arial" w:cs="Arial"/>
                <w:sz w:val="20"/>
                <w:szCs w:val="20"/>
              </w:rPr>
              <w:t xml:space="preserve">region and income to match Evaluation populations. </w:t>
            </w:r>
          </w:p>
        </w:tc>
        <w:tc>
          <w:tcPr>
            <w:tcW w:w="2430" w:type="dxa"/>
          </w:tcPr>
          <w:p w:rsidR="00F5259C" w:rsidP="00902F66" w:rsidRDefault="00F5259C" w14:paraId="0988E300" w14:textId="77777777">
            <w:pPr>
              <w:pStyle w:val="ListParagraph"/>
              <w:spacing w:after="120"/>
              <w:ind w:left="72" w:right="101"/>
              <w:rPr>
                <w:rFonts w:ascii="Arial" w:hAnsi="Arial" w:cs="Arial"/>
                <w:sz w:val="20"/>
                <w:szCs w:val="20"/>
              </w:rPr>
            </w:pPr>
            <w:r w:rsidRPr="00B82B04">
              <w:rPr>
                <w:rFonts w:ascii="Arial" w:hAnsi="Arial" w:cs="Arial"/>
                <w:sz w:val="20"/>
                <w:szCs w:val="20"/>
              </w:rPr>
              <w:t>No Changes to Katz et al. and Gill et al. for ADL questions.</w:t>
            </w:r>
          </w:p>
          <w:p w:rsidRPr="00B82B04" w:rsidR="00F5259C" w:rsidP="00902F66" w:rsidRDefault="00F5259C" w14:paraId="63791CB0" w14:textId="77777777">
            <w:pPr>
              <w:pStyle w:val="ListParagraph"/>
              <w:spacing w:after="120"/>
              <w:ind w:left="72" w:right="101"/>
              <w:rPr>
                <w:rFonts w:ascii="Arial" w:hAnsi="Arial" w:cs="Arial"/>
                <w:sz w:val="20"/>
                <w:szCs w:val="20"/>
              </w:rPr>
            </w:pPr>
            <w:r w:rsidRPr="00B82B04">
              <w:rPr>
                <w:rFonts w:ascii="Arial" w:hAnsi="Arial" w:cs="Arial"/>
                <w:sz w:val="20"/>
                <w:szCs w:val="20"/>
              </w:rPr>
              <w:t>No Changes to Lawton and Brody for IADL questions.</w:t>
            </w:r>
          </w:p>
          <w:p w:rsidRPr="00B82B04" w:rsidR="00F5259C" w:rsidP="00902F66" w:rsidRDefault="00F5259C" w14:paraId="384E73CA" w14:textId="77777777">
            <w:pPr>
              <w:pStyle w:val="ListParagraph"/>
              <w:spacing w:after="120"/>
              <w:ind w:left="72" w:right="101"/>
              <w:contextualSpacing/>
              <w:rPr>
                <w:rStyle w:val="normaltextrun"/>
                <w:rFonts w:ascii="Arial" w:hAnsi="Arial" w:cs="Arial"/>
                <w:sz w:val="20"/>
                <w:szCs w:val="20"/>
              </w:rPr>
            </w:pPr>
            <w:r w:rsidRPr="00B82B04">
              <w:rPr>
                <w:rFonts w:ascii="Arial" w:hAnsi="Arial" w:cs="Arial"/>
                <w:sz w:val="20"/>
                <w:szCs w:val="20"/>
              </w:rPr>
              <w:t xml:space="preserve">No Changes to Medicaid 2020 </w:t>
            </w:r>
            <w:hyperlink w:history="1" r:id="rId19">
              <w:r w:rsidRPr="00B82B04">
                <w:rPr>
                  <w:rStyle w:val="Hyperlink"/>
                  <w:rFonts w:ascii="Arial" w:hAnsi="Arial" w:cs="Arial"/>
                  <w:sz w:val="20"/>
                  <w:szCs w:val="20"/>
                </w:rPr>
                <w:t>HOS ADL and IADL</w:t>
              </w:r>
            </w:hyperlink>
            <w:r w:rsidRPr="00B82B04">
              <w:rPr>
                <w:rFonts w:ascii="Arial" w:hAnsi="Arial" w:cs="Arial"/>
                <w:sz w:val="20"/>
                <w:szCs w:val="20"/>
              </w:rPr>
              <w:t xml:space="preserve"> questions.</w:t>
            </w:r>
          </w:p>
        </w:tc>
        <w:tc>
          <w:tcPr>
            <w:tcW w:w="2088" w:type="dxa"/>
            <w:gridSpan w:val="2"/>
          </w:tcPr>
          <w:p w:rsidRPr="00B82B04" w:rsidR="00F5259C" w:rsidP="00902F66" w:rsidRDefault="00F5259C" w14:paraId="34BCDCC8"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 xml:space="preserve">OAHM Client Program Questionnaire Form Sections A, B </w:t>
            </w:r>
          </w:p>
          <w:p w:rsidRPr="00B82B04" w:rsidR="00F5259C" w:rsidP="00902F66" w:rsidRDefault="00F5259C" w14:paraId="4C6EBAAC" w14:textId="77777777">
            <w:pPr>
              <w:pStyle w:val="paragraph"/>
              <w:spacing w:before="0" w:beforeAutospacing="0" w:after="0" w:afterAutospacing="0"/>
              <w:ind w:right="42"/>
              <w:textAlignment w:val="baseline"/>
              <w:rPr>
                <w:rStyle w:val="normaltextrun"/>
                <w:rFonts w:ascii="Arial" w:hAnsi="Arial" w:cs="Arial"/>
                <w:sz w:val="20"/>
                <w:szCs w:val="20"/>
              </w:rPr>
            </w:pPr>
          </w:p>
          <w:p w:rsidRPr="00B82B04" w:rsidR="00F5259C" w:rsidP="00902F66" w:rsidRDefault="00F5259C" w14:paraId="4EFC4667" w14:textId="77777777">
            <w:pPr>
              <w:pStyle w:val="paragraph"/>
              <w:spacing w:before="0" w:beforeAutospacing="0" w:after="0" w:afterAutospacing="0"/>
              <w:ind w:right="42"/>
              <w:textAlignment w:val="baseline"/>
              <w:rPr>
                <w:rStyle w:val="normaltextrun"/>
                <w:rFonts w:ascii="Arial" w:hAnsi="Arial" w:cs="Arial"/>
                <w:sz w:val="20"/>
                <w:szCs w:val="20"/>
              </w:rPr>
            </w:pPr>
            <w:r w:rsidRPr="00B82B04">
              <w:rPr>
                <w:rStyle w:val="normaltextrun"/>
                <w:rFonts w:ascii="Arial" w:hAnsi="Arial" w:cs="Arial"/>
                <w:sz w:val="20"/>
                <w:szCs w:val="20"/>
              </w:rPr>
              <w:t>OAHM Client Impact Evaluation Interview Form</w:t>
            </w:r>
            <w:r>
              <w:rPr>
                <w:rStyle w:val="normaltextrun"/>
                <w:rFonts w:ascii="Arial" w:hAnsi="Arial" w:cs="Arial"/>
                <w:sz w:val="20"/>
                <w:szCs w:val="20"/>
              </w:rPr>
              <w:t>,</w:t>
            </w:r>
            <w:r w:rsidRPr="00B82B04">
              <w:rPr>
                <w:rStyle w:val="normaltextrun"/>
                <w:rFonts w:ascii="Arial" w:hAnsi="Arial" w:cs="Arial"/>
                <w:sz w:val="20"/>
                <w:szCs w:val="20"/>
              </w:rPr>
              <w:t xml:space="preserve"> Sections G, H</w:t>
            </w:r>
          </w:p>
        </w:tc>
      </w:tr>
      <w:tr w:rsidRPr="00B82B04" w:rsidR="00F5259C" w:rsidTr="00902F66" w14:paraId="6E2F8BBE" w14:textId="77777777">
        <w:tc>
          <w:tcPr>
            <w:tcW w:w="1525" w:type="dxa"/>
            <w:shd w:val="clear" w:color="auto" w:fill="auto"/>
            <w:hideMark/>
          </w:tcPr>
          <w:p w:rsidRPr="00B82B04" w:rsidR="00F5259C" w:rsidP="00902F66" w:rsidRDefault="00F5259C" w14:paraId="27A331BE" w14:textId="77777777">
            <w:pPr>
              <w:pStyle w:val="paragraph"/>
              <w:spacing w:before="0" w:beforeAutospacing="0" w:after="0" w:afterAutospacing="0"/>
              <w:ind w:left="71" w:right="90"/>
              <w:textAlignment w:val="baseline"/>
              <w:rPr>
                <w:rFonts w:ascii="Arial" w:hAnsi="Arial" w:cs="Arial"/>
                <w:sz w:val="20"/>
                <w:szCs w:val="20"/>
              </w:rPr>
            </w:pPr>
            <w:bookmarkStart w:name="_Hlk58941689" w:id="40"/>
            <w:r w:rsidRPr="00B82B04">
              <w:rPr>
                <w:rStyle w:val="normaltextrun"/>
                <w:rFonts w:ascii="Arial" w:hAnsi="Arial" w:cs="Arial"/>
                <w:sz w:val="20"/>
                <w:szCs w:val="20"/>
              </w:rPr>
              <w:t>Quality of life </w:t>
            </w:r>
            <w:r w:rsidRPr="00B82B04">
              <w:rPr>
                <w:rStyle w:val="eop"/>
                <w:rFonts w:ascii="Arial" w:hAnsi="Arial" w:cs="Arial"/>
                <w:sz w:val="20"/>
                <w:szCs w:val="20"/>
              </w:rPr>
              <w:t> </w:t>
            </w:r>
          </w:p>
        </w:tc>
        <w:tc>
          <w:tcPr>
            <w:tcW w:w="3330" w:type="dxa"/>
            <w:shd w:val="clear" w:color="auto" w:fill="auto"/>
            <w:hideMark/>
          </w:tcPr>
          <w:p w:rsidRPr="00B82B04" w:rsidR="00F5259C" w:rsidP="00902F66" w:rsidRDefault="00F5259C" w14:paraId="3AB80590" w14:textId="77777777">
            <w:pPr>
              <w:pStyle w:val="paragraph"/>
              <w:spacing w:before="0" w:beforeAutospacing="0" w:after="0" w:afterAutospacing="0"/>
              <w:ind w:left="74" w:right="106"/>
              <w:textAlignment w:val="baseline"/>
              <w:rPr>
                <w:rFonts w:ascii="Arial" w:hAnsi="Arial" w:cs="Arial"/>
                <w:sz w:val="20"/>
                <w:szCs w:val="20"/>
              </w:rPr>
            </w:pPr>
            <w:r w:rsidRPr="00B82B04">
              <w:rPr>
                <w:rStyle w:val="normaltextrun"/>
                <w:rFonts w:ascii="Arial" w:hAnsi="Arial" w:cs="Arial"/>
                <w:sz w:val="20"/>
                <w:szCs w:val="20"/>
              </w:rPr>
              <w:t>Measures health-related quality of life using a </w:t>
            </w:r>
            <w:proofErr w:type="spellStart"/>
            <w:r w:rsidRPr="00B82B04">
              <w:rPr>
                <w:rStyle w:val="normaltextrun"/>
                <w:rFonts w:ascii="Arial" w:hAnsi="Arial" w:cs="Arial"/>
                <w:sz w:val="20"/>
                <w:szCs w:val="20"/>
              </w:rPr>
              <w:t>EuroQol</w:t>
            </w:r>
            <w:proofErr w:type="spellEnd"/>
            <w:r w:rsidRPr="00B82B04">
              <w:rPr>
                <w:rStyle w:val="normaltextrun"/>
                <w:rFonts w:ascii="Arial" w:hAnsi="Arial" w:cs="Arial"/>
                <w:sz w:val="20"/>
                <w:szCs w:val="20"/>
              </w:rPr>
              <w:t> questionnaire (EQ-5D)</w:t>
            </w:r>
            <w:r w:rsidRPr="00B82B04">
              <w:rPr>
                <w:rStyle w:val="FootnoteReference"/>
                <w:rFonts w:ascii="Arial" w:hAnsi="Arial" w:cs="Arial"/>
              </w:rPr>
              <w:footnoteReference w:id="42"/>
            </w:r>
            <w:r w:rsidRPr="00B82B04">
              <w:rPr>
                <w:rStyle w:val="normaltextrun"/>
                <w:rFonts w:ascii="Arial" w:hAnsi="Arial" w:cs="Arial"/>
                <w:sz w:val="20"/>
                <w:szCs w:val="20"/>
              </w:rPr>
              <w:t> asking clients to report on problems with</w:t>
            </w:r>
            <w:r>
              <w:rPr>
                <w:rStyle w:val="normaltextrun"/>
                <w:rFonts w:ascii="Arial" w:hAnsi="Arial" w:cs="Arial"/>
                <w:sz w:val="20"/>
                <w:szCs w:val="20"/>
              </w:rPr>
              <w:t xml:space="preserve"> </w:t>
            </w:r>
            <w:r w:rsidRPr="00B82B04">
              <w:rPr>
                <w:rStyle w:val="normaltextrun"/>
                <w:rFonts w:ascii="Arial" w:hAnsi="Arial" w:cs="Arial"/>
                <w:sz w:val="20"/>
                <w:szCs w:val="20"/>
              </w:rPr>
              <w:t>five</w:t>
            </w:r>
            <w:r>
              <w:rPr>
                <w:rStyle w:val="normaltextrun"/>
                <w:rFonts w:ascii="Arial" w:hAnsi="Arial" w:cs="Arial"/>
                <w:sz w:val="20"/>
                <w:szCs w:val="20"/>
              </w:rPr>
              <w:t xml:space="preserve"> </w:t>
            </w:r>
            <w:r w:rsidRPr="00B82B04">
              <w:rPr>
                <w:rStyle w:val="normaltextrun"/>
                <w:rFonts w:ascii="Arial" w:hAnsi="Arial" w:cs="Arial"/>
                <w:sz w:val="20"/>
                <w:szCs w:val="20"/>
              </w:rPr>
              <w:t>“dimensions”: walking, self-care, usual activities, pain, or anxiety/</w:t>
            </w:r>
            <w:r>
              <w:rPr>
                <w:rStyle w:val="normaltextrun"/>
                <w:rFonts w:ascii="Arial" w:hAnsi="Arial" w:cs="Arial"/>
                <w:sz w:val="20"/>
                <w:szCs w:val="20"/>
              </w:rPr>
              <w:t xml:space="preserve"> </w:t>
            </w:r>
            <w:r w:rsidRPr="00B82B04">
              <w:rPr>
                <w:rStyle w:val="normaltextrun"/>
                <w:rFonts w:ascii="Arial" w:hAnsi="Arial" w:cs="Arial"/>
                <w:sz w:val="20"/>
                <w:szCs w:val="20"/>
              </w:rPr>
              <w:t>depression and general health self-ratings on</w:t>
            </w:r>
            <w:r>
              <w:rPr>
                <w:rStyle w:val="normaltextrun"/>
                <w:rFonts w:ascii="Arial" w:hAnsi="Arial" w:cs="Arial"/>
                <w:sz w:val="20"/>
                <w:szCs w:val="20"/>
              </w:rPr>
              <w:t xml:space="preserve"> </w:t>
            </w:r>
            <w:r w:rsidRPr="00B82B04">
              <w:rPr>
                <w:rStyle w:val="normaltextrun"/>
                <w:rFonts w:ascii="Arial" w:hAnsi="Arial" w:cs="Arial"/>
                <w:sz w:val="20"/>
                <w:szCs w:val="20"/>
              </w:rPr>
              <w:t>a</w:t>
            </w:r>
            <w:r>
              <w:rPr>
                <w:rStyle w:val="normaltextrun"/>
                <w:rFonts w:ascii="Arial" w:hAnsi="Arial" w:cs="Arial"/>
                <w:sz w:val="20"/>
                <w:szCs w:val="20"/>
              </w:rPr>
              <w:t xml:space="preserve"> </w:t>
            </w:r>
            <w:r w:rsidRPr="00B82B04">
              <w:rPr>
                <w:rStyle w:val="normaltextrun"/>
                <w:rFonts w:ascii="Arial" w:hAnsi="Arial" w:cs="Arial"/>
                <w:sz w:val="20"/>
                <w:szCs w:val="20"/>
              </w:rPr>
              <w:t>visual</w:t>
            </w:r>
            <w:r>
              <w:rPr>
                <w:rStyle w:val="normaltextrun"/>
                <w:rFonts w:ascii="Arial" w:hAnsi="Arial" w:cs="Arial"/>
                <w:sz w:val="20"/>
                <w:szCs w:val="20"/>
              </w:rPr>
              <w:t xml:space="preserve"> </w:t>
            </w:r>
            <w:r w:rsidRPr="00B82B04">
              <w:rPr>
                <w:rStyle w:val="normaltextrun"/>
                <w:rFonts w:ascii="Arial" w:hAnsi="Arial" w:cs="Arial"/>
                <w:sz w:val="20"/>
                <w:szCs w:val="20"/>
              </w:rPr>
              <w:t>analog</w:t>
            </w:r>
            <w:r>
              <w:rPr>
                <w:rStyle w:val="normaltextrun"/>
                <w:rFonts w:ascii="Arial" w:hAnsi="Arial" w:cs="Arial"/>
                <w:sz w:val="20"/>
                <w:szCs w:val="20"/>
              </w:rPr>
              <w:t xml:space="preserve"> </w:t>
            </w:r>
            <w:r w:rsidRPr="00B82B04">
              <w:rPr>
                <w:rStyle w:val="normaltextrun"/>
                <w:rFonts w:ascii="Arial" w:hAnsi="Arial" w:cs="Arial"/>
                <w:sz w:val="20"/>
                <w:szCs w:val="20"/>
              </w:rPr>
              <w:t>scale</w:t>
            </w:r>
            <w:r>
              <w:rPr>
                <w:rStyle w:val="normaltextrun"/>
                <w:rFonts w:ascii="Arial" w:hAnsi="Arial" w:cs="Arial"/>
                <w:sz w:val="20"/>
                <w:szCs w:val="20"/>
              </w:rPr>
              <w:t xml:space="preserve"> </w:t>
            </w:r>
            <w:r w:rsidRPr="00B82B04">
              <w:rPr>
                <w:rStyle w:val="normaltextrun"/>
                <w:rFonts w:ascii="Arial" w:hAnsi="Arial" w:cs="Arial"/>
                <w:sz w:val="20"/>
                <w:szCs w:val="20"/>
              </w:rPr>
              <w:t>(VAS).</w:t>
            </w:r>
            <w:r>
              <w:rPr>
                <w:rStyle w:val="normaltextrun"/>
                <w:rFonts w:ascii="Arial" w:hAnsi="Arial" w:cs="Arial"/>
                <w:sz w:val="20"/>
                <w:szCs w:val="20"/>
              </w:rPr>
              <w:t xml:space="preserve"> </w:t>
            </w:r>
          </w:p>
        </w:tc>
        <w:tc>
          <w:tcPr>
            <w:tcW w:w="2430" w:type="dxa"/>
          </w:tcPr>
          <w:p w:rsidRPr="00B82B04" w:rsidR="00F5259C" w:rsidP="00902F66" w:rsidRDefault="00F5259C" w14:paraId="40BA405A" w14:textId="77777777">
            <w:pPr>
              <w:pStyle w:val="paragraph"/>
              <w:spacing w:before="0" w:beforeAutospacing="0" w:after="0" w:afterAutospacing="0"/>
              <w:ind w:left="76" w:right="106" w:hanging="4"/>
              <w:textAlignment w:val="baseline"/>
              <w:rPr>
                <w:rStyle w:val="normaltextrun"/>
                <w:rFonts w:ascii="Arial" w:hAnsi="Arial" w:cs="Arial"/>
                <w:sz w:val="20"/>
                <w:szCs w:val="20"/>
              </w:rPr>
            </w:pPr>
            <w:r w:rsidRPr="00B82B04">
              <w:rPr>
                <w:rStyle w:val="normaltextrun"/>
                <w:rFonts w:ascii="Arial" w:hAnsi="Arial" w:cs="Arial"/>
                <w:sz w:val="20"/>
                <w:szCs w:val="20"/>
              </w:rPr>
              <w:t>No</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0">
              <w:proofErr w:type="spellStart"/>
              <w:r w:rsidRPr="00B82B04">
                <w:rPr>
                  <w:rStyle w:val="Hyperlink"/>
                  <w:rFonts w:ascii="Arial" w:hAnsi="Arial" w:cs="Arial"/>
                  <w:sz w:val="20"/>
                  <w:szCs w:val="20"/>
                </w:rPr>
                <w:t>EuroQol</w:t>
              </w:r>
              <w:proofErr w:type="spellEnd"/>
              <w:r>
                <w:rPr>
                  <w:rStyle w:val="Hyperlink"/>
                  <w:rFonts w:ascii="Arial" w:hAnsi="Arial" w:cs="Arial"/>
                  <w:sz w:val="20"/>
                  <w:szCs w:val="20"/>
                </w:rPr>
                <w:t xml:space="preserve"> </w:t>
              </w:r>
              <w:r w:rsidRPr="00B82B04">
                <w:rPr>
                  <w:rStyle w:val="Hyperlink"/>
                  <w:rFonts w:ascii="Arial" w:hAnsi="Arial" w:cs="Arial"/>
                  <w:sz w:val="20"/>
                  <w:szCs w:val="20"/>
                </w:rPr>
                <w:t>questionnaire</w:t>
              </w:r>
              <w:r>
                <w:rPr>
                  <w:rStyle w:val="Hyperlink"/>
                  <w:rFonts w:ascii="Arial" w:hAnsi="Arial" w:cs="Arial"/>
                  <w:sz w:val="20"/>
                  <w:szCs w:val="20"/>
                </w:rPr>
                <w:t xml:space="preserve"> </w:t>
              </w:r>
              <w:r w:rsidRPr="00B82B04">
                <w:rPr>
                  <w:rStyle w:val="Hyperlink"/>
                  <w:rFonts w:ascii="Arial" w:hAnsi="Arial" w:cs="Arial"/>
                  <w:sz w:val="20"/>
                  <w:szCs w:val="20"/>
                </w:rPr>
                <w:t>(EQ-5D)</w:t>
              </w:r>
            </w:hyperlink>
            <w:r w:rsidRPr="00B82B04">
              <w:rPr>
                <w:rStyle w:val="Hyperlink"/>
                <w:rFonts w:ascii="Arial" w:hAnsi="Arial" w:cs="Arial"/>
                <w:sz w:val="20"/>
                <w:szCs w:val="20"/>
              </w:rPr>
              <w:t>.</w:t>
            </w:r>
          </w:p>
        </w:tc>
        <w:tc>
          <w:tcPr>
            <w:tcW w:w="2088" w:type="dxa"/>
            <w:gridSpan w:val="2"/>
          </w:tcPr>
          <w:p w:rsidRPr="00B82B04" w:rsidR="00F5259C" w:rsidP="00902F66" w:rsidRDefault="00F5259C" w14:paraId="44438AC5"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Impact</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Form</w:t>
            </w:r>
            <w:r>
              <w:rPr>
                <w:rStyle w:val="normaltextrun"/>
                <w:rFonts w:ascii="Arial" w:hAnsi="Arial" w:cs="Arial"/>
                <w:sz w:val="20"/>
                <w:szCs w:val="20"/>
              </w:rPr>
              <w:t xml:space="preserve">    </w:t>
            </w: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D</w:t>
            </w:r>
          </w:p>
        </w:tc>
      </w:tr>
      <w:tr w:rsidRPr="00B82B04" w:rsidR="00F5259C" w:rsidTr="00902F66" w14:paraId="585F947F" w14:textId="77777777">
        <w:tc>
          <w:tcPr>
            <w:tcW w:w="1525" w:type="dxa"/>
            <w:shd w:val="clear" w:color="auto" w:fill="auto"/>
          </w:tcPr>
          <w:p w:rsidRPr="00DF1B38" w:rsidR="00F5259C" w:rsidP="00902F66" w:rsidRDefault="00F5259C" w14:paraId="3110F29B" w14:textId="77777777">
            <w:pPr>
              <w:pStyle w:val="paragraph"/>
              <w:spacing w:before="0" w:beforeAutospacing="0" w:after="0" w:afterAutospacing="0"/>
              <w:ind w:left="71" w:right="90"/>
              <w:textAlignment w:val="baseline"/>
              <w:rPr>
                <w:rStyle w:val="normaltextrun"/>
                <w:rFonts w:ascii="Arial" w:hAnsi="Arial" w:cs="Arial"/>
                <w:sz w:val="20"/>
                <w:szCs w:val="20"/>
              </w:rPr>
            </w:pPr>
            <w:r w:rsidRPr="00DF1B38">
              <w:rPr>
                <w:rStyle w:val="normaltextrun"/>
                <w:rFonts w:ascii="Arial" w:hAnsi="Arial" w:cs="Arial"/>
                <w:sz w:val="20"/>
                <w:szCs w:val="20"/>
              </w:rPr>
              <w:t>Falls</w:t>
            </w:r>
            <w:r>
              <w:rPr>
                <w:rStyle w:val="normaltextrun"/>
                <w:rFonts w:ascii="Arial" w:hAnsi="Arial" w:cs="Arial"/>
                <w:sz w:val="20"/>
                <w:szCs w:val="20"/>
              </w:rPr>
              <w:t xml:space="preserve"> </w:t>
            </w:r>
            <w:r w:rsidRPr="00DF1B38">
              <w:rPr>
                <w:rStyle w:val="normaltextrun"/>
                <w:rFonts w:ascii="Arial" w:hAnsi="Arial" w:cs="Arial"/>
                <w:sz w:val="20"/>
                <w:szCs w:val="20"/>
              </w:rPr>
              <w:t>efficacy</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72380470"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Measures</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in</w:t>
            </w:r>
            <w:r>
              <w:rPr>
                <w:rStyle w:val="normaltextrun"/>
                <w:rFonts w:ascii="Arial" w:hAnsi="Arial" w:cs="Arial"/>
                <w:sz w:val="20"/>
                <w:szCs w:val="20"/>
              </w:rPr>
              <w:t xml:space="preserve"> </w:t>
            </w:r>
            <w:r w:rsidRPr="00B82B04">
              <w:rPr>
                <w:rStyle w:val="normaltextrun"/>
                <w:rFonts w:ascii="Arial" w:hAnsi="Arial" w:cs="Arial"/>
                <w:sz w:val="20"/>
                <w:szCs w:val="20"/>
              </w:rPr>
              <w:t>client’s</w:t>
            </w:r>
            <w:r>
              <w:rPr>
                <w:rStyle w:val="normaltextrun"/>
                <w:rFonts w:ascii="Arial" w:hAnsi="Arial" w:cs="Arial"/>
                <w:sz w:val="20"/>
                <w:szCs w:val="20"/>
              </w:rPr>
              <w:t xml:space="preserve"> </w:t>
            </w:r>
            <w:r w:rsidRPr="00B82B04">
              <w:rPr>
                <w:rStyle w:val="normaltextrun"/>
                <w:rFonts w:ascii="Arial" w:hAnsi="Arial" w:cs="Arial"/>
                <w:sz w:val="20"/>
                <w:szCs w:val="20"/>
              </w:rPr>
              <w:t>anxieties</w:t>
            </w:r>
            <w:r>
              <w:rPr>
                <w:rStyle w:val="normaltextrun"/>
                <w:rFonts w:ascii="Arial" w:hAnsi="Arial" w:cs="Arial"/>
                <w:sz w:val="20"/>
                <w:szCs w:val="20"/>
              </w:rPr>
              <w:t xml:space="preserve"> </w:t>
            </w:r>
            <w:r w:rsidRPr="00B82B04">
              <w:rPr>
                <w:rStyle w:val="normaltextrun"/>
                <w:rFonts w:ascii="Arial" w:hAnsi="Arial" w:cs="Arial"/>
                <w:sz w:val="20"/>
                <w:szCs w:val="20"/>
              </w:rPr>
              <w:t>about</w:t>
            </w:r>
            <w:r>
              <w:rPr>
                <w:rStyle w:val="normaltextrun"/>
                <w:rFonts w:ascii="Arial" w:hAnsi="Arial" w:cs="Arial"/>
                <w:sz w:val="20"/>
                <w:szCs w:val="20"/>
              </w:rPr>
              <w:t xml:space="preserve"> </w:t>
            </w:r>
            <w:r w:rsidRPr="00B82B04">
              <w:rPr>
                <w:rStyle w:val="normaltextrun"/>
                <w:rFonts w:ascii="Arial" w:hAnsi="Arial" w:cs="Arial"/>
                <w:sz w:val="20"/>
                <w:szCs w:val="20"/>
              </w:rPr>
              <w:t>falling</w:t>
            </w:r>
            <w:r>
              <w:rPr>
                <w:rStyle w:val="normaltextrun"/>
                <w:rFonts w:ascii="Arial" w:hAnsi="Arial" w:cs="Arial"/>
                <w:sz w:val="20"/>
                <w:szCs w:val="20"/>
              </w:rPr>
              <w:t xml:space="preserve"> </w:t>
            </w:r>
            <w:r w:rsidRPr="00B82B04">
              <w:rPr>
                <w:rStyle w:val="normaltextrun"/>
                <w:rFonts w:ascii="Arial" w:hAnsi="Arial" w:cs="Arial"/>
                <w:sz w:val="20"/>
                <w:szCs w:val="20"/>
              </w:rPr>
              <w:t>during</w:t>
            </w:r>
            <w:r>
              <w:rPr>
                <w:rStyle w:val="normaltextrun"/>
                <w:rFonts w:ascii="Arial" w:hAnsi="Arial" w:cs="Arial"/>
                <w:sz w:val="20"/>
                <w:szCs w:val="20"/>
              </w:rPr>
              <w:t xml:space="preserve"> </w:t>
            </w:r>
            <w:r w:rsidRPr="00B82B04">
              <w:rPr>
                <w:rStyle w:val="normaltextrun"/>
                <w:rFonts w:ascii="Arial" w:hAnsi="Arial" w:cs="Arial"/>
                <w:sz w:val="20"/>
                <w:szCs w:val="20"/>
              </w:rPr>
              <w:t>specific</w:t>
            </w:r>
            <w:r>
              <w:rPr>
                <w:rStyle w:val="normaltextrun"/>
                <w:rFonts w:ascii="Arial" w:hAnsi="Arial" w:cs="Arial"/>
                <w:sz w:val="20"/>
                <w:szCs w:val="20"/>
              </w:rPr>
              <w:t xml:space="preserve"> </w:t>
            </w:r>
            <w:r w:rsidRPr="00B82B04">
              <w:rPr>
                <w:rStyle w:val="normaltextrun"/>
                <w:rFonts w:ascii="Arial" w:hAnsi="Arial" w:cs="Arial"/>
                <w:sz w:val="20"/>
                <w:szCs w:val="20"/>
              </w:rPr>
              <w:t>home</w:t>
            </w:r>
            <w:r>
              <w:rPr>
                <w:rStyle w:val="normaltextrun"/>
                <w:rFonts w:ascii="Arial" w:hAnsi="Arial" w:cs="Arial"/>
                <w:sz w:val="20"/>
                <w:szCs w:val="20"/>
              </w:rPr>
              <w:t xml:space="preserve"> </w:t>
            </w:r>
            <w:r w:rsidRPr="00B82B04">
              <w:rPr>
                <w:rStyle w:val="normaltextrun"/>
                <w:rFonts w:ascii="Arial" w:hAnsi="Arial" w:cs="Arial"/>
                <w:sz w:val="20"/>
                <w:szCs w:val="20"/>
              </w:rPr>
              <w:t>activities</w:t>
            </w:r>
            <w:r>
              <w:rPr>
                <w:rStyle w:val="normaltextrun"/>
                <w:rFonts w:ascii="Arial" w:hAnsi="Arial" w:cs="Arial"/>
                <w:sz w:val="20"/>
                <w:szCs w:val="20"/>
              </w:rPr>
              <w:t xml:space="preserve"> </w:t>
            </w:r>
            <w:r w:rsidRPr="00B82B04">
              <w:rPr>
                <w:rStyle w:val="normaltextrun"/>
                <w:rFonts w:ascii="Arial" w:hAnsi="Arial" w:cs="Arial"/>
                <w:sz w:val="20"/>
                <w:szCs w:val="20"/>
              </w:rPr>
              <w:t>using</w:t>
            </w:r>
            <w:r>
              <w:rPr>
                <w:rStyle w:val="normaltextrun"/>
                <w:rFonts w:ascii="Arial" w:hAnsi="Arial" w:cs="Arial"/>
                <w:sz w:val="20"/>
                <w:szCs w:val="20"/>
              </w:rPr>
              <w:t xml:space="preserve"> </w:t>
            </w:r>
            <w:r w:rsidRPr="00B82B04">
              <w:rPr>
                <w:rStyle w:val="normaltextrun"/>
                <w:rFonts w:ascii="Arial" w:hAnsi="Arial" w:cs="Arial"/>
                <w:sz w:val="20"/>
                <w:szCs w:val="20"/>
              </w:rPr>
              <w:t>the</w:t>
            </w:r>
            <w:r>
              <w:rPr>
                <w:rStyle w:val="normaltextrun"/>
                <w:rFonts w:ascii="Arial" w:hAnsi="Arial" w:cs="Arial"/>
                <w:sz w:val="20"/>
                <w:szCs w:val="20"/>
              </w:rPr>
              <w:t xml:space="preserve"> </w:t>
            </w:r>
            <w:r w:rsidRPr="00B82B04">
              <w:rPr>
                <w:rStyle w:val="normaltextrun"/>
                <w:rFonts w:ascii="Arial" w:hAnsi="Arial" w:cs="Arial"/>
                <w:sz w:val="20"/>
                <w:szCs w:val="20"/>
              </w:rPr>
              <w:t>Tinetti</w:t>
            </w:r>
            <w:r>
              <w:rPr>
                <w:rStyle w:val="normaltextrun"/>
                <w:rFonts w:ascii="Arial" w:hAnsi="Arial" w:cs="Arial"/>
                <w:sz w:val="20"/>
                <w:szCs w:val="20"/>
              </w:rPr>
              <w:t xml:space="preserve"> </w:t>
            </w:r>
            <w:r w:rsidRPr="00B82B04">
              <w:rPr>
                <w:rStyle w:val="normaltextrun"/>
                <w:rFonts w:ascii="Arial" w:hAnsi="Arial" w:cs="Arial"/>
                <w:sz w:val="20"/>
                <w:szCs w:val="20"/>
              </w:rPr>
              <w:t>Falls</w:t>
            </w:r>
            <w:r>
              <w:rPr>
                <w:rStyle w:val="normaltextrun"/>
                <w:rFonts w:ascii="Arial" w:hAnsi="Arial" w:cs="Arial"/>
                <w:sz w:val="20"/>
                <w:szCs w:val="20"/>
              </w:rPr>
              <w:t xml:space="preserve"> </w:t>
            </w:r>
            <w:r w:rsidRPr="00B82B04">
              <w:rPr>
                <w:rStyle w:val="normaltextrun"/>
                <w:rFonts w:ascii="Arial" w:hAnsi="Arial" w:cs="Arial"/>
                <w:sz w:val="20"/>
                <w:szCs w:val="20"/>
              </w:rPr>
              <w:t>Efficacy</w:t>
            </w:r>
            <w:r>
              <w:rPr>
                <w:rStyle w:val="normaltextrun"/>
                <w:rFonts w:ascii="Arial" w:hAnsi="Arial" w:cs="Arial"/>
                <w:sz w:val="20"/>
                <w:szCs w:val="20"/>
              </w:rPr>
              <w:t xml:space="preserve"> </w:t>
            </w:r>
            <w:r w:rsidRPr="00B82B04">
              <w:rPr>
                <w:rStyle w:val="normaltextrun"/>
                <w:rFonts w:ascii="Arial" w:hAnsi="Arial" w:cs="Arial"/>
                <w:sz w:val="20"/>
                <w:szCs w:val="20"/>
              </w:rPr>
              <w:t>Scale,</w:t>
            </w:r>
            <w:r w:rsidRPr="00B82B04">
              <w:rPr>
                <w:rStyle w:val="FootnoteReference"/>
                <w:rFonts w:ascii="Arial" w:hAnsi="Arial" w:cs="Arial"/>
              </w:rPr>
              <w:footnoteReference w:id="43"/>
            </w:r>
            <w:r>
              <w:rPr>
                <w:rStyle w:val="normaltextrun"/>
                <w:rFonts w:ascii="Arial" w:hAnsi="Arial" w:cs="Arial"/>
                <w:sz w:val="20"/>
                <w:szCs w:val="20"/>
              </w:rPr>
              <w:t xml:space="preserve"> </w:t>
            </w:r>
            <w:r w:rsidRPr="00B82B04">
              <w:rPr>
                <w:rStyle w:val="normaltextrun"/>
                <w:rFonts w:ascii="Arial" w:hAnsi="Arial" w:cs="Arial"/>
                <w:sz w:val="20"/>
                <w:szCs w:val="20"/>
              </w:rPr>
              <w:t>which</w:t>
            </w:r>
            <w:r>
              <w:rPr>
                <w:rStyle w:val="normaltextrun"/>
                <w:rFonts w:ascii="Arial" w:hAnsi="Arial" w:cs="Arial"/>
                <w:sz w:val="20"/>
                <w:szCs w:val="20"/>
              </w:rPr>
              <w:t xml:space="preserve"> </w:t>
            </w:r>
            <w:r w:rsidRPr="00B82B04">
              <w:rPr>
                <w:rStyle w:val="normaltextrun"/>
                <w:rFonts w:ascii="Arial" w:hAnsi="Arial" w:cs="Arial"/>
                <w:sz w:val="20"/>
                <w:szCs w:val="20"/>
              </w:rPr>
              <w:lastRenderedPageBreak/>
              <w:t>has</w:t>
            </w:r>
            <w:r>
              <w:rPr>
                <w:rStyle w:val="normaltextrun"/>
                <w:rFonts w:ascii="Arial" w:hAnsi="Arial" w:cs="Arial"/>
                <w:sz w:val="20"/>
                <w:szCs w:val="20"/>
              </w:rPr>
              <w:t xml:space="preserve"> </w:t>
            </w:r>
            <w:r w:rsidRPr="00B82B04">
              <w:rPr>
                <w:rStyle w:val="normaltextrun"/>
                <w:rFonts w:ascii="Arial" w:hAnsi="Arial" w:cs="Arial"/>
                <w:sz w:val="20"/>
                <w:szCs w:val="20"/>
              </w:rPr>
              <w:t>strong</w:t>
            </w:r>
            <w:r>
              <w:rPr>
                <w:rStyle w:val="normaltextrun"/>
                <w:rFonts w:ascii="Arial" w:hAnsi="Arial" w:cs="Arial"/>
                <w:sz w:val="20"/>
                <w:szCs w:val="20"/>
              </w:rPr>
              <w:t xml:space="preserve"> </w:t>
            </w:r>
            <w:r w:rsidRPr="00B82B04">
              <w:rPr>
                <w:rStyle w:val="normaltextrun"/>
                <w:rFonts w:ascii="Arial" w:hAnsi="Arial" w:cs="Arial"/>
                <w:sz w:val="20"/>
                <w:szCs w:val="20"/>
              </w:rPr>
              <w:t>relationship</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function,</w:t>
            </w:r>
            <w:r>
              <w:rPr>
                <w:rStyle w:val="normaltextrun"/>
                <w:rFonts w:ascii="Arial" w:hAnsi="Arial" w:cs="Arial"/>
                <w:sz w:val="20"/>
                <w:szCs w:val="20"/>
              </w:rPr>
              <w:t xml:space="preserve"> </w:t>
            </w:r>
            <w:r w:rsidRPr="00B82B04">
              <w:rPr>
                <w:rStyle w:val="normaltextrun"/>
                <w:rFonts w:ascii="Arial" w:hAnsi="Arial" w:cs="Arial"/>
                <w:sz w:val="20"/>
                <w:szCs w:val="20"/>
              </w:rPr>
              <w:t>mediates</w:t>
            </w:r>
            <w:r>
              <w:rPr>
                <w:rStyle w:val="normaltextrun"/>
                <w:rFonts w:ascii="Arial" w:hAnsi="Arial" w:cs="Arial"/>
                <w:sz w:val="20"/>
                <w:szCs w:val="20"/>
              </w:rPr>
              <w:t xml:space="preserve"> </w:t>
            </w:r>
            <w:r w:rsidRPr="00B82B04">
              <w:rPr>
                <w:rStyle w:val="normaltextrun"/>
                <w:rFonts w:ascii="Arial" w:hAnsi="Arial" w:cs="Arial"/>
                <w:sz w:val="20"/>
                <w:szCs w:val="20"/>
              </w:rPr>
              <w:t>fall</w:t>
            </w:r>
            <w:r>
              <w:rPr>
                <w:rStyle w:val="normaltextrun"/>
                <w:rFonts w:ascii="Arial" w:hAnsi="Arial" w:cs="Arial"/>
                <w:sz w:val="20"/>
                <w:szCs w:val="20"/>
              </w:rPr>
              <w:t xml:space="preserve"> </w:t>
            </w:r>
            <w:r w:rsidRPr="00B82B04">
              <w:rPr>
                <w:rStyle w:val="normaltextrun"/>
                <w:rFonts w:ascii="Arial" w:hAnsi="Arial" w:cs="Arial"/>
                <w:sz w:val="20"/>
                <w:szCs w:val="20"/>
              </w:rPr>
              <w:t>prevention</w:t>
            </w:r>
            <w:r>
              <w:rPr>
                <w:rStyle w:val="normaltextrun"/>
                <w:rFonts w:ascii="Arial" w:hAnsi="Arial" w:cs="Arial"/>
                <w:sz w:val="20"/>
                <w:szCs w:val="20"/>
              </w:rPr>
              <w:t xml:space="preserve"> </w:t>
            </w:r>
            <w:r w:rsidRPr="00B82B04">
              <w:rPr>
                <w:rStyle w:val="normaltextrun"/>
                <w:rFonts w:ascii="Arial" w:hAnsi="Arial" w:cs="Arial"/>
                <w:sz w:val="20"/>
                <w:szCs w:val="20"/>
              </w:rPr>
              <w:t>improvement,</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has</w:t>
            </w:r>
            <w:r>
              <w:rPr>
                <w:rStyle w:val="normaltextrun"/>
                <w:rFonts w:ascii="Arial" w:hAnsi="Arial" w:cs="Arial"/>
                <w:sz w:val="20"/>
                <w:szCs w:val="20"/>
              </w:rPr>
              <w:t xml:space="preserve"> </w:t>
            </w:r>
            <w:r w:rsidRPr="00B82B04">
              <w:rPr>
                <w:rStyle w:val="normaltextrun"/>
                <w:rFonts w:ascii="Arial" w:hAnsi="Arial" w:cs="Arial"/>
                <w:sz w:val="20"/>
                <w:szCs w:val="20"/>
              </w:rPr>
              <w:t>strong</w:t>
            </w:r>
            <w:r>
              <w:rPr>
                <w:rStyle w:val="normaltextrun"/>
                <w:rFonts w:ascii="Arial" w:hAnsi="Arial" w:cs="Arial"/>
                <w:sz w:val="20"/>
                <w:szCs w:val="20"/>
              </w:rPr>
              <w:t xml:space="preserve"> </w:t>
            </w:r>
            <w:r w:rsidRPr="00B82B04">
              <w:rPr>
                <w:rStyle w:val="normaltextrun"/>
                <w:rFonts w:ascii="Arial" w:hAnsi="Arial" w:cs="Arial"/>
                <w:sz w:val="20"/>
                <w:szCs w:val="20"/>
              </w:rPr>
              <w:t>reliability</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validity.</w:t>
            </w:r>
            <w:r>
              <w:rPr>
                <w:rStyle w:val="eop"/>
                <w:rFonts w:ascii="Arial" w:hAnsi="Arial" w:cs="Arial"/>
                <w:sz w:val="20"/>
                <w:szCs w:val="20"/>
              </w:rPr>
              <w:t xml:space="preserve"> </w:t>
            </w:r>
          </w:p>
        </w:tc>
        <w:tc>
          <w:tcPr>
            <w:tcW w:w="2430" w:type="dxa"/>
          </w:tcPr>
          <w:p w:rsidRPr="00B82B04" w:rsidR="00F5259C" w:rsidP="00902F66" w:rsidRDefault="00F5259C" w14:paraId="6A0F3E9C"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lastRenderedPageBreak/>
              <w:t>No</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1">
              <w:r w:rsidRPr="00B82B04">
                <w:rPr>
                  <w:rStyle w:val="Hyperlink"/>
                  <w:rFonts w:ascii="Arial" w:hAnsi="Arial" w:cs="Arial"/>
                  <w:sz w:val="20"/>
                  <w:szCs w:val="20"/>
                </w:rPr>
                <w:t>Tinetti</w:t>
              </w:r>
              <w:r>
                <w:rPr>
                  <w:rStyle w:val="Hyperlink"/>
                  <w:rFonts w:ascii="Arial" w:hAnsi="Arial" w:cs="Arial"/>
                  <w:sz w:val="20"/>
                  <w:szCs w:val="20"/>
                </w:rPr>
                <w:t xml:space="preserve"> </w:t>
              </w:r>
              <w:r w:rsidRPr="00B82B04">
                <w:rPr>
                  <w:rStyle w:val="Hyperlink"/>
                  <w:rFonts w:ascii="Arial" w:hAnsi="Arial" w:cs="Arial"/>
                  <w:sz w:val="20"/>
                  <w:szCs w:val="20"/>
                </w:rPr>
                <w:t>Falls</w:t>
              </w:r>
              <w:r>
                <w:rPr>
                  <w:rStyle w:val="Hyperlink"/>
                  <w:rFonts w:ascii="Arial" w:hAnsi="Arial" w:cs="Arial"/>
                  <w:sz w:val="20"/>
                  <w:szCs w:val="20"/>
                </w:rPr>
                <w:t xml:space="preserve"> </w:t>
              </w:r>
              <w:r w:rsidRPr="00B82B04">
                <w:rPr>
                  <w:rStyle w:val="Hyperlink"/>
                  <w:rFonts w:ascii="Arial" w:hAnsi="Arial" w:cs="Arial"/>
                  <w:sz w:val="20"/>
                  <w:szCs w:val="20"/>
                </w:rPr>
                <w:t>Efficacy</w:t>
              </w:r>
              <w:r>
                <w:rPr>
                  <w:rStyle w:val="Hyperlink"/>
                  <w:rFonts w:ascii="Arial" w:hAnsi="Arial" w:cs="Arial"/>
                  <w:sz w:val="20"/>
                  <w:szCs w:val="20"/>
                </w:rPr>
                <w:t xml:space="preserve"> </w:t>
              </w:r>
              <w:r w:rsidRPr="00B82B04">
                <w:rPr>
                  <w:rStyle w:val="Hyperlink"/>
                  <w:rFonts w:ascii="Arial" w:hAnsi="Arial" w:cs="Arial"/>
                  <w:sz w:val="20"/>
                  <w:szCs w:val="20"/>
                </w:rPr>
                <w:t>Scale</w:t>
              </w:r>
            </w:hyperlink>
            <w:r w:rsidRPr="00B82B04">
              <w:rPr>
                <w:rStyle w:val="Hyperlink"/>
                <w:rFonts w:ascii="Arial" w:hAnsi="Arial" w:cs="Arial"/>
                <w:sz w:val="20"/>
                <w:szCs w:val="20"/>
              </w:rPr>
              <w:t>.</w:t>
            </w:r>
          </w:p>
        </w:tc>
        <w:tc>
          <w:tcPr>
            <w:tcW w:w="2088" w:type="dxa"/>
            <w:gridSpan w:val="2"/>
          </w:tcPr>
          <w:p w:rsidRPr="00B82B04" w:rsidR="00F5259C" w:rsidP="00902F66" w:rsidRDefault="00F5259C" w14:paraId="65E1E5AC"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Program</w:t>
            </w:r>
            <w:r>
              <w:rPr>
                <w:rStyle w:val="normaltextrun"/>
                <w:rFonts w:ascii="Arial" w:hAnsi="Arial" w:cs="Arial"/>
                <w:sz w:val="20"/>
                <w:szCs w:val="20"/>
              </w:rPr>
              <w:t xml:space="preserve"> </w:t>
            </w:r>
            <w:r w:rsidRPr="00B82B04">
              <w:rPr>
                <w:rStyle w:val="normaltextrun"/>
                <w:rFonts w:ascii="Arial" w:hAnsi="Arial" w:cs="Arial"/>
                <w:sz w:val="20"/>
                <w:szCs w:val="20"/>
              </w:rPr>
              <w:t>Questionnaire</w:t>
            </w:r>
            <w:r>
              <w:rPr>
                <w:rStyle w:val="normaltextrun"/>
                <w:rFonts w:ascii="Arial" w:hAnsi="Arial" w:cs="Arial"/>
                <w:sz w:val="20"/>
                <w:szCs w:val="20"/>
              </w:rPr>
              <w:t xml:space="preserve"> </w:t>
            </w:r>
            <w:r w:rsidRPr="00B82B04">
              <w:rPr>
                <w:rStyle w:val="normaltextrun"/>
                <w:rFonts w:ascii="Arial" w:hAnsi="Arial" w:cs="Arial"/>
                <w:sz w:val="20"/>
                <w:szCs w:val="20"/>
              </w:rPr>
              <w:t>Form</w:t>
            </w:r>
          </w:p>
          <w:p w:rsidRPr="00B82B04" w:rsidR="00F5259C" w:rsidP="00902F66" w:rsidRDefault="00F5259C" w14:paraId="2634F31E"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C</w:t>
            </w:r>
          </w:p>
        </w:tc>
      </w:tr>
      <w:tr w:rsidRPr="00B82B04" w:rsidR="00F5259C" w:rsidTr="00902F66" w14:paraId="79FB9A88" w14:textId="77777777">
        <w:tc>
          <w:tcPr>
            <w:tcW w:w="1525" w:type="dxa"/>
            <w:shd w:val="clear" w:color="auto" w:fill="auto"/>
          </w:tcPr>
          <w:p w:rsidRPr="00DF1B38" w:rsidR="00F5259C" w:rsidP="00902F66" w:rsidRDefault="00F5259C" w14:paraId="65D0BABB" w14:textId="77777777">
            <w:pPr>
              <w:pStyle w:val="paragraph"/>
              <w:spacing w:before="0" w:beforeAutospacing="0" w:after="0" w:afterAutospacing="0"/>
              <w:ind w:left="71"/>
              <w:textAlignment w:val="baseline"/>
              <w:rPr>
                <w:rStyle w:val="normaltextrun"/>
                <w:rFonts w:ascii="Arial" w:hAnsi="Arial" w:cs="Arial"/>
                <w:sz w:val="20"/>
                <w:szCs w:val="20"/>
              </w:rPr>
            </w:pPr>
            <w:r w:rsidRPr="00DF1B38">
              <w:rPr>
                <w:rStyle w:val="normaltextrun"/>
                <w:rFonts w:ascii="Arial" w:hAnsi="Arial" w:cs="Arial"/>
                <w:sz w:val="20"/>
                <w:szCs w:val="20"/>
              </w:rPr>
              <w:t>Mobility</w:t>
            </w:r>
            <w:r>
              <w:rPr>
                <w:rStyle w:val="normaltextrun"/>
                <w:rFonts w:ascii="Arial" w:hAnsi="Arial" w:cs="Arial"/>
                <w:sz w:val="20"/>
                <w:szCs w:val="20"/>
              </w:rPr>
              <w:t xml:space="preserve"> </w:t>
            </w:r>
            <w:r w:rsidRPr="00DF1B38">
              <w:rPr>
                <w:rStyle w:val="normaltextrun"/>
                <w:rFonts w:ascii="Arial" w:hAnsi="Arial" w:cs="Arial"/>
                <w:sz w:val="20"/>
                <w:szCs w:val="20"/>
              </w:rPr>
              <w:t>in</w:t>
            </w:r>
            <w:r>
              <w:rPr>
                <w:rStyle w:val="normaltextrun"/>
                <w:rFonts w:ascii="Arial" w:hAnsi="Arial" w:cs="Arial"/>
                <w:sz w:val="20"/>
                <w:szCs w:val="20"/>
              </w:rPr>
              <w:t xml:space="preserve"> </w:t>
            </w:r>
            <w:r w:rsidRPr="00DF1B38">
              <w:rPr>
                <w:rStyle w:val="normaltextrun"/>
                <w:rFonts w:ascii="Arial" w:hAnsi="Arial" w:cs="Arial"/>
                <w:sz w:val="20"/>
                <w:szCs w:val="20"/>
              </w:rPr>
              <w:t>and</w:t>
            </w:r>
            <w:r>
              <w:rPr>
                <w:rStyle w:val="normaltextrun"/>
                <w:rFonts w:ascii="Arial" w:hAnsi="Arial" w:cs="Arial"/>
                <w:sz w:val="20"/>
                <w:szCs w:val="20"/>
              </w:rPr>
              <w:t xml:space="preserve"> </w:t>
            </w:r>
            <w:r w:rsidRPr="00DF1B38">
              <w:rPr>
                <w:rStyle w:val="normaltextrun"/>
                <w:rFonts w:ascii="Arial" w:hAnsi="Arial" w:cs="Arial"/>
                <w:sz w:val="20"/>
                <w:szCs w:val="20"/>
              </w:rPr>
              <w:t>outside</w:t>
            </w:r>
            <w:r>
              <w:rPr>
                <w:rStyle w:val="normaltextrun"/>
                <w:rFonts w:ascii="Arial" w:hAnsi="Arial" w:cs="Arial"/>
                <w:sz w:val="20"/>
                <w:szCs w:val="20"/>
              </w:rPr>
              <w:t xml:space="preserve"> </w:t>
            </w:r>
            <w:r w:rsidRPr="00DF1B38">
              <w:rPr>
                <w:rStyle w:val="normaltextrun"/>
                <w:rFonts w:ascii="Arial" w:hAnsi="Arial" w:cs="Arial"/>
                <w:sz w:val="20"/>
                <w:szCs w:val="20"/>
              </w:rPr>
              <w:t>homes</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139875AC"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University</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Alabama</w:t>
            </w:r>
            <w:r>
              <w:rPr>
                <w:rStyle w:val="normaltextrun"/>
                <w:rFonts w:ascii="Arial" w:hAnsi="Arial" w:cs="Arial"/>
                <w:sz w:val="20"/>
                <w:szCs w:val="20"/>
              </w:rPr>
              <w:t xml:space="preserve"> </w:t>
            </w:r>
            <w:r w:rsidRPr="00B82B04">
              <w:rPr>
                <w:rStyle w:val="normaltextrun"/>
                <w:rFonts w:ascii="Arial" w:hAnsi="Arial" w:cs="Arial"/>
                <w:sz w:val="20"/>
                <w:szCs w:val="20"/>
              </w:rPr>
              <w:t>at</w:t>
            </w:r>
            <w:r>
              <w:rPr>
                <w:rStyle w:val="normaltextrun"/>
                <w:rFonts w:ascii="Arial" w:hAnsi="Arial" w:cs="Arial"/>
                <w:sz w:val="20"/>
                <w:szCs w:val="20"/>
              </w:rPr>
              <w:t xml:space="preserve"> </w:t>
            </w:r>
            <w:r w:rsidRPr="00B82B04">
              <w:rPr>
                <w:rStyle w:val="normaltextrun"/>
                <w:rFonts w:ascii="Arial" w:hAnsi="Arial" w:cs="Arial"/>
                <w:sz w:val="20"/>
                <w:szCs w:val="20"/>
              </w:rPr>
              <w:t>Birmingham’s</w:t>
            </w:r>
            <w:r>
              <w:rPr>
                <w:rStyle w:val="normaltextrun"/>
                <w:rFonts w:ascii="Arial" w:hAnsi="Arial" w:cs="Arial"/>
                <w:sz w:val="20"/>
                <w:szCs w:val="20"/>
              </w:rPr>
              <w:t xml:space="preserve"> </w:t>
            </w:r>
            <w:r w:rsidRPr="00B82B04">
              <w:rPr>
                <w:rStyle w:val="normaltextrun"/>
                <w:rFonts w:ascii="Arial" w:hAnsi="Arial" w:cs="Arial"/>
                <w:sz w:val="20"/>
                <w:szCs w:val="20"/>
              </w:rPr>
              <w:t>Life-Space</w:t>
            </w:r>
            <w:r>
              <w:rPr>
                <w:rStyle w:val="normaltextrun"/>
                <w:rFonts w:ascii="Arial" w:hAnsi="Arial" w:cs="Arial"/>
                <w:sz w:val="20"/>
                <w:szCs w:val="20"/>
              </w:rPr>
              <w:t xml:space="preserve"> </w:t>
            </w:r>
            <w:r w:rsidRPr="00B82B04">
              <w:rPr>
                <w:rStyle w:val="normaltextrun"/>
                <w:rFonts w:ascii="Arial" w:hAnsi="Arial" w:cs="Arial"/>
                <w:sz w:val="20"/>
                <w:szCs w:val="20"/>
              </w:rPr>
              <w:t>Assessment</w:t>
            </w:r>
            <w:r>
              <w:rPr>
                <w:rStyle w:val="normaltextrun"/>
                <w:rFonts w:ascii="Arial" w:hAnsi="Arial" w:cs="Arial"/>
                <w:sz w:val="20"/>
                <w:szCs w:val="20"/>
              </w:rPr>
              <w:t xml:space="preserve"> </w:t>
            </w:r>
            <w:r w:rsidRPr="00B82B04">
              <w:rPr>
                <w:rStyle w:val="normaltextrun"/>
                <w:rFonts w:ascii="Arial" w:hAnsi="Arial" w:cs="Arial"/>
                <w:sz w:val="20"/>
                <w:szCs w:val="20"/>
              </w:rPr>
              <w:t>is</w:t>
            </w:r>
            <w:r>
              <w:rPr>
                <w:rStyle w:val="normaltextrun"/>
                <w:rFonts w:ascii="Arial" w:hAnsi="Arial" w:cs="Arial"/>
                <w:sz w:val="20"/>
                <w:szCs w:val="20"/>
              </w:rPr>
              <w:t xml:space="preserve"> </w:t>
            </w:r>
            <w:r w:rsidRPr="00B82B04">
              <w:rPr>
                <w:rStyle w:val="normaltextrun"/>
                <w:rFonts w:ascii="Arial" w:hAnsi="Arial" w:cs="Arial"/>
                <w:sz w:val="20"/>
                <w:szCs w:val="20"/>
              </w:rPr>
              <w:t>a</w:t>
            </w:r>
            <w:r>
              <w:rPr>
                <w:rStyle w:val="normaltextrun"/>
                <w:rFonts w:ascii="Arial" w:hAnsi="Arial" w:cs="Arial"/>
                <w:sz w:val="20"/>
                <w:szCs w:val="20"/>
              </w:rPr>
              <w:t xml:space="preserve"> </w:t>
            </w:r>
            <w:r w:rsidRPr="00B82B04">
              <w:rPr>
                <w:rStyle w:val="normaltextrun"/>
                <w:rFonts w:ascii="Arial" w:hAnsi="Arial" w:cs="Arial"/>
                <w:sz w:val="20"/>
                <w:szCs w:val="20"/>
              </w:rPr>
              <w:t>validated</w:t>
            </w:r>
            <w:r>
              <w:rPr>
                <w:rStyle w:val="normaltextrun"/>
                <w:rFonts w:ascii="Arial" w:hAnsi="Arial" w:cs="Arial"/>
                <w:sz w:val="20"/>
                <w:szCs w:val="20"/>
              </w:rPr>
              <w:t xml:space="preserve"> </w:t>
            </w:r>
            <w:r w:rsidRPr="00B82B04">
              <w:rPr>
                <w:rStyle w:val="normaltextrun"/>
                <w:rFonts w:ascii="Arial" w:hAnsi="Arial" w:cs="Arial"/>
                <w:sz w:val="20"/>
                <w:szCs w:val="20"/>
              </w:rPr>
              <w:t>tool</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measure</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in</w:t>
            </w:r>
            <w:r>
              <w:rPr>
                <w:rStyle w:val="normaltextrun"/>
                <w:rFonts w:ascii="Arial" w:hAnsi="Arial" w:cs="Arial"/>
                <w:sz w:val="20"/>
                <w:szCs w:val="20"/>
              </w:rPr>
              <w:t xml:space="preserve"> </w:t>
            </w:r>
            <w:r w:rsidRPr="00B82B04">
              <w:rPr>
                <w:rStyle w:val="normaltextrun"/>
                <w:rFonts w:ascii="Arial" w:hAnsi="Arial" w:cs="Arial"/>
                <w:sz w:val="20"/>
                <w:szCs w:val="20"/>
              </w:rPr>
              <w:t>person’s</w:t>
            </w:r>
            <w:r>
              <w:rPr>
                <w:rStyle w:val="normaltextrun"/>
                <w:rFonts w:ascii="Arial" w:hAnsi="Arial" w:cs="Arial"/>
                <w:sz w:val="20"/>
                <w:szCs w:val="20"/>
              </w:rPr>
              <w:t xml:space="preserve"> </w:t>
            </w:r>
            <w:r w:rsidRPr="00B82B04">
              <w:rPr>
                <w:rStyle w:val="normaltextrun"/>
                <w:rFonts w:ascii="Arial" w:hAnsi="Arial" w:cs="Arial"/>
                <w:sz w:val="20"/>
                <w:szCs w:val="20"/>
              </w:rPr>
              <w:t>independence</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spatial</w:t>
            </w:r>
            <w:r>
              <w:rPr>
                <w:rStyle w:val="normaltextrun"/>
                <w:rFonts w:ascii="Arial" w:hAnsi="Arial" w:cs="Arial"/>
                <w:sz w:val="20"/>
                <w:szCs w:val="20"/>
              </w:rPr>
              <w:t xml:space="preserve"> </w:t>
            </w:r>
            <w:r w:rsidRPr="00B82B04">
              <w:rPr>
                <w:rStyle w:val="normaltextrun"/>
                <w:rFonts w:ascii="Arial" w:hAnsi="Arial" w:cs="Arial"/>
                <w:sz w:val="20"/>
                <w:szCs w:val="20"/>
              </w:rPr>
              <w:t>mobility</w:t>
            </w:r>
            <w:r>
              <w:rPr>
                <w:rStyle w:val="normaltextrun"/>
                <w:rFonts w:ascii="Arial" w:hAnsi="Arial" w:cs="Arial"/>
                <w:sz w:val="20"/>
                <w:szCs w:val="20"/>
              </w:rPr>
              <w:t xml:space="preserve"> </w:t>
            </w:r>
            <w:r w:rsidRPr="00B82B04">
              <w:rPr>
                <w:rStyle w:val="normaltextrun"/>
                <w:rFonts w:ascii="Arial" w:hAnsi="Arial" w:cs="Arial"/>
                <w:sz w:val="20"/>
                <w:szCs w:val="20"/>
              </w:rPr>
              <w:t>(can</w:t>
            </w:r>
            <w:r>
              <w:rPr>
                <w:rStyle w:val="normaltextrun"/>
                <w:rFonts w:ascii="Arial" w:hAnsi="Arial" w:cs="Arial"/>
                <w:sz w:val="20"/>
                <w:szCs w:val="20"/>
              </w:rPr>
              <w:t xml:space="preserve"> </w:t>
            </w:r>
            <w:r w:rsidRPr="00B82B04">
              <w:rPr>
                <w:rStyle w:val="normaltextrun"/>
                <w:rFonts w:ascii="Arial" w:hAnsi="Arial" w:cs="Arial"/>
                <w:sz w:val="20"/>
                <w:szCs w:val="20"/>
              </w:rPr>
              <w:t>range</w:t>
            </w:r>
            <w:r>
              <w:rPr>
                <w:rStyle w:val="normaltextrun"/>
                <w:rFonts w:ascii="Arial" w:hAnsi="Arial" w:cs="Arial"/>
                <w:sz w:val="20"/>
                <w:szCs w:val="20"/>
              </w:rPr>
              <w:t xml:space="preserve"> </w:t>
            </w:r>
            <w:r w:rsidRPr="00B82B04">
              <w:rPr>
                <w:rStyle w:val="normaltextrun"/>
                <w:rFonts w:ascii="Arial" w:hAnsi="Arial" w:cs="Arial"/>
                <w:sz w:val="20"/>
                <w:szCs w:val="20"/>
              </w:rPr>
              <w:t>from</w:t>
            </w:r>
            <w:r>
              <w:rPr>
                <w:rStyle w:val="normaltextrun"/>
                <w:rFonts w:ascii="Arial" w:hAnsi="Arial" w:cs="Arial"/>
                <w:sz w:val="20"/>
                <w:szCs w:val="20"/>
              </w:rPr>
              <w:t xml:space="preserve"> </w:t>
            </w:r>
            <w:r w:rsidRPr="00B82B04">
              <w:rPr>
                <w:rStyle w:val="normaltextrun"/>
                <w:rFonts w:ascii="Arial" w:hAnsi="Arial" w:cs="Arial"/>
                <w:sz w:val="20"/>
                <w:szCs w:val="20"/>
              </w:rPr>
              <w:t>limited</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sleeping</w:t>
            </w:r>
            <w:r>
              <w:rPr>
                <w:rStyle w:val="normaltextrun"/>
                <w:rFonts w:ascii="Arial" w:hAnsi="Arial" w:cs="Arial"/>
                <w:sz w:val="20"/>
                <w:szCs w:val="20"/>
              </w:rPr>
              <w:t xml:space="preserve"> </w:t>
            </w:r>
            <w:r w:rsidRPr="00B82B04">
              <w:rPr>
                <w:rStyle w:val="normaltextrun"/>
                <w:rFonts w:ascii="Arial" w:hAnsi="Arial" w:cs="Arial"/>
                <w:sz w:val="20"/>
                <w:szCs w:val="20"/>
              </w:rPr>
              <w:t>area</w:t>
            </w:r>
            <w:r>
              <w:rPr>
                <w:rStyle w:val="normaltextrun"/>
                <w:rFonts w:ascii="Arial" w:hAnsi="Arial" w:cs="Arial"/>
                <w:sz w:val="20"/>
                <w:szCs w:val="20"/>
              </w:rPr>
              <w:t xml:space="preserve"> </w:t>
            </w:r>
            <w:r w:rsidRPr="00B82B04">
              <w:rPr>
                <w:rStyle w:val="normaltextrun"/>
                <w:rFonts w:ascii="Arial" w:hAnsi="Arial" w:cs="Arial"/>
                <w:sz w:val="20"/>
                <w:szCs w:val="20"/>
              </w:rPr>
              <w:t>[e.g.,</w:t>
            </w:r>
            <w:r>
              <w:rPr>
                <w:rStyle w:val="normaltextrun"/>
                <w:rFonts w:ascii="Arial" w:hAnsi="Arial" w:cs="Arial"/>
                <w:sz w:val="20"/>
                <w:szCs w:val="20"/>
              </w:rPr>
              <w:t xml:space="preserve"> </w:t>
            </w:r>
            <w:r w:rsidRPr="00B82B04">
              <w:rPr>
                <w:rStyle w:val="normaltextrun"/>
                <w:rFonts w:ascii="Arial" w:hAnsi="Arial" w:cs="Arial"/>
                <w:sz w:val="20"/>
                <w:szCs w:val="20"/>
              </w:rPr>
              <w:t>bedroom]</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independent</w:t>
            </w:r>
            <w:r>
              <w:rPr>
                <w:rStyle w:val="normaltextrun"/>
                <w:rFonts w:ascii="Arial" w:hAnsi="Arial" w:cs="Arial"/>
                <w:sz w:val="20"/>
                <w:szCs w:val="20"/>
              </w:rPr>
              <w:t xml:space="preserve"> </w:t>
            </w:r>
            <w:r w:rsidRPr="00B82B04">
              <w:rPr>
                <w:rStyle w:val="normaltextrun"/>
                <w:rFonts w:ascii="Arial" w:hAnsi="Arial" w:cs="Arial"/>
                <w:sz w:val="20"/>
                <w:szCs w:val="20"/>
              </w:rPr>
              <w:t>travel</w:t>
            </w:r>
            <w:r>
              <w:rPr>
                <w:rStyle w:val="normaltextrun"/>
                <w:rFonts w:ascii="Arial" w:hAnsi="Arial" w:cs="Arial"/>
                <w:sz w:val="20"/>
                <w:szCs w:val="20"/>
              </w:rPr>
              <w:t xml:space="preserve"> </w:t>
            </w:r>
            <w:r w:rsidRPr="00B82B04">
              <w:rPr>
                <w:rStyle w:val="normaltextrun"/>
                <w:rFonts w:ascii="Arial" w:hAnsi="Arial" w:cs="Arial"/>
                <w:sz w:val="20"/>
                <w:szCs w:val="20"/>
              </w:rPr>
              <w:t>out</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town).</w:t>
            </w:r>
            <w:r w:rsidRPr="00B82B04">
              <w:rPr>
                <w:rStyle w:val="FootnoteReference"/>
                <w:rFonts w:ascii="Arial" w:hAnsi="Arial" w:cs="Arial"/>
              </w:rPr>
              <w:footnoteReference w:id="44"/>
            </w:r>
          </w:p>
        </w:tc>
        <w:tc>
          <w:tcPr>
            <w:tcW w:w="2430" w:type="dxa"/>
          </w:tcPr>
          <w:p w:rsidRPr="00B82B04" w:rsidR="00F5259C" w:rsidP="00902F66" w:rsidRDefault="00F5259C" w14:paraId="5AE703E0"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No</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2">
              <w:r w:rsidRPr="00B82B04">
                <w:rPr>
                  <w:rStyle w:val="Hyperlink"/>
                  <w:rFonts w:ascii="Arial" w:hAnsi="Arial" w:cs="Arial"/>
                  <w:sz w:val="20"/>
                  <w:szCs w:val="20"/>
                </w:rPr>
                <w:t>Birmingham’s</w:t>
              </w:r>
              <w:r>
                <w:rPr>
                  <w:rStyle w:val="Hyperlink"/>
                  <w:rFonts w:ascii="Arial" w:hAnsi="Arial" w:cs="Arial"/>
                  <w:sz w:val="20"/>
                  <w:szCs w:val="20"/>
                </w:rPr>
                <w:t xml:space="preserve"> </w:t>
              </w:r>
              <w:r w:rsidRPr="00B82B04">
                <w:rPr>
                  <w:rStyle w:val="Hyperlink"/>
                  <w:rFonts w:ascii="Arial" w:hAnsi="Arial" w:cs="Arial"/>
                  <w:sz w:val="20"/>
                  <w:szCs w:val="20"/>
                </w:rPr>
                <w:t>Life-Space</w:t>
              </w:r>
              <w:r>
                <w:rPr>
                  <w:rStyle w:val="Hyperlink"/>
                  <w:rFonts w:ascii="Arial" w:hAnsi="Arial" w:cs="Arial"/>
                  <w:sz w:val="20"/>
                  <w:szCs w:val="20"/>
                </w:rPr>
                <w:t xml:space="preserve"> </w:t>
              </w:r>
              <w:r w:rsidRPr="00B82B04">
                <w:rPr>
                  <w:rStyle w:val="Hyperlink"/>
                  <w:rFonts w:ascii="Arial" w:hAnsi="Arial" w:cs="Arial"/>
                  <w:sz w:val="20"/>
                  <w:szCs w:val="20"/>
                </w:rPr>
                <w:t>Assessment</w:t>
              </w:r>
            </w:hyperlink>
            <w:r w:rsidRPr="00B82B04">
              <w:rPr>
                <w:rStyle w:val="Hyperlink"/>
                <w:rFonts w:ascii="Arial" w:hAnsi="Arial" w:cs="Arial"/>
                <w:sz w:val="20"/>
                <w:szCs w:val="20"/>
              </w:rPr>
              <w:t>.</w:t>
            </w:r>
          </w:p>
        </w:tc>
        <w:tc>
          <w:tcPr>
            <w:tcW w:w="2088" w:type="dxa"/>
            <w:gridSpan w:val="2"/>
          </w:tcPr>
          <w:p w:rsidRPr="00B82B04" w:rsidR="00F5259C" w:rsidP="00902F66" w:rsidRDefault="00F5259C" w14:paraId="6B8C91A6"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Impact</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Form</w:t>
            </w:r>
          </w:p>
          <w:p w:rsidRPr="00B82B04" w:rsidR="00F5259C" w:rsidP="00902F66" w:rsidRDefault="00F5259C" w14:paraId="0ABC6F04"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E</w:t>
            </w:r>
          </w:p>
        </w:tc>
      </w:tr>
      <w:tr w:rsidRPr="00B82B04" w:rsidR="00F5259C" w:rsidTr="00902F66" w14:paraId="74F89380" w14:textId="77777777">
        <w:tc>
          <w:tcPr>
            <w:tcW w:w="1525" w:type="dxa"/>
            <w:shd w:val="clear" w:color="auto" w:fill="auto"/>
          </w:tcPr>
          <w:p w:rsidR="00F5259C" w:rsidP="00902F66" w:rsidRDefault="00F5259C" w14:paraId="44644872" w14:textId="77777777">
            <w:pPr>
              <w:pStyle w:val="paragraph"/>
              <w:spacing w:before="0" w:beforeAutospacing="0" w:after="0" w:afterAutospacing="0"/>
              <w:ind w:left="85"/>
              <w:textAlignment w:val="baseline"/>
              <w:rPr>
                <w:rStyle w:val="normaltextrun"/>
                <w:rFonts w:ascii="Arial" w:hAnsi="Arial" w:cs="Arial"/>
                <w:sz w:val="20"/>
                <w:szCs w:val="20"/>
              </w:rPr>
            </w:pPr>
            <w:r w:rsidRPr="00B82B04">
              <w:rPr>
                <w:rStyle w:val="normaltextrun"/>
                <w:rFonts w:ascii="Arial" w:hAnsi="Arial" w:cs="Arial"/>
                <w:sz w:val="20"/>
                <w:szCs w:val="20"/>
              </w:rPr>
              <w:t>Number</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p>
          <w:p w:rsidRPr="00B82B04" w:rsidR="00F5259C" w:rsidP="00902F66" w:rsidRDefault="00F5259C" w14:paraId="563C0CC3" w14:textId="77777777">
            <w:pPr>
              <w:pStyle w:val="paragraph"/>
              <w:spacing w:before="0" w:beforeAutospacing="0" w:after="0" w:afterAutospacing="0"/>
              <w:ind w:left="85"/>
              <w:textAlignment w:val="baseline"/>
              <w:rPr>
                <w:rStyle w:val="normaltextrun"/>
                <w:rFonts w:ascii="Arial" w:hAnsi="Arial" w:cs="Arial"/>
                <w:sz w:val="20"/>
                <w:szCs w:val="20"/>
              </w:rPr>
            </w:pPr>
            <w:r w:rsidRPr="00B82B04">
              <w:rPr>
                <w:rStyle w:val="normaltextrun"/>
                <w:rFonts w:ascii="Arial" w:hAnsi="Arial" w:cs="Arial"/>
                <w:sz w:val="20"/>
                <w:szCs w:val="20"/>
              </w:rPr>
              <w:t>causes</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in-home</w:t>
            </w:r>
            <w:r>
              <w:rPr>
                <w:rStyle w:val="normaltextrun"/>
                <w:rFonts w:ascii="Arial" w:hAnsi="Arial" w:cs="Arial"/>
                <w:sz w:val="20"/>
                <w:szCs w:val="20"/>
              </w:rPr>
              <w:t xml:space="preserve"> </w:t>
            </w:r>
            <w:r w:rsidRPr="00B82B04">
              <w:rPr>
                <w:rStyle w:val="normaltextrun"/>
                <w:rFonts w:ascii="Arial" w:hAnsi="Arial" w:cs="Arial"/>
                <w:sz w:val="20"/>
                <w:szCs w:val="20"/>
              </w:rPr>
              <w:t>falls</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58C27C64"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Questions</w:t>
            </w:r>
            <w:r>
              <w:rPr>
                <w:rStyle w:val="normaltextrun"/>
                <w:rFonts w:ascii="Arial" w:hAnsi="Arial" w:cs="Arial"/>
                <w:sz w:val="20"/>
                <w:szCs w:val="20"/>
              </w:rPr>
              <w:t xml:space="preserve"> </w:t>
            </w:r>
            <w:r w:rsidRPr="00B82B04">
              <w:rPr>
                <w:rStyle w:val="normaltextrun"/>
                <w:rFonts w:ascii="Arial" w:hAnsi="Arial" w:cs="Arial"/>
                <w:sz w:val="20"/>
                <w:szCs w:val="20"/>
              </w:rPr>
              <w:t>from</w:t>
            </w:r>
            <w:r>
              <w:rPr>
                <w:rStyle w:val="normaltextrun"/>
                <w:rFonts w:ascii="Arial" w:hAnsi="Arial" w:cs="Arial"/>
                <w:sz w:val="20"/>
                <w:szCs w:val="20"/>
              </w:rPr>
              <w:t xml:space="preserve"> </w:t>
            </w:r>
            <w:r w:rsidRPr="00B82B04">
              <w:rPr>
                <w:rStyle w:val="normaltextrun"/>
                <w:rFonts w:ascii="Arial" w:hAnsi="Arial" w:cs="Arial"/>
                <w:sz w:val="20"/>
                <w:szCs w:val="20"/>
              </w:rPr>
              <w:t>validated</w:t>
            </w:r>
            <w:r>
              <w:rPr>
                <w:rStyle w:val="normaltextrun"/>
                <w:rFonts w:ascii="Arial" w:hAnsi="Arial" w:cs="Arial"/>
                <w:sz w:val="20"/>
                <w:szCs w:val="20"/>
              </w:rPr>
              <w:t xml:space="preserve"> </w:t>
            </w:r>
            <w:r w:rsidRPr="00B82B04">
              <w:rPr>
                <w:rStyle w:val="normaltextrun"/>
                <w:rFonts w:ascii="Arial" w:hAnsi="Arial" w:cs="Arial"/>
                <w:sz w:val="20"/>
                <w:szCs w:val="20"/>
              </w:rPr>
              <w:t>CDC</w:t>
            </w:r>
            <w:r>
              <w:rPr>
                <w:rStyle w:val="normaltextrun"/>
                <w:rFonts w:ascii="Arial" w:hAnsi="Arial" w:cs="Arial"/>
                <w:sz w:val="20"/>
                <w:szCs w:val="20"/>
              </w:rPr>
              <w:t xml:space="preserve"> </w:t>
            </w:r>
            <w:r w:rsidRPr="00B82B04">
              <w:rPr>
                <w:rStyle w:val="normaltextrun"/>
                <w:rFonts w:ascii="Arial" w:hAnsi="Arial" w:cs="Arial"/>
                <w:sz w:val="20"/>
                <w:szCs w:val="20"/>
              </w:rPr>
              <w:t>National</w:t>
            </w:r>
            <w:r>
              <w:rPr>
                <w:rStyle w:val="normaltextrun"/>
                <w:rFonts w:ascii="Arial" w:hAnsi="Arial" w:cs="Arial"/>
                <w:sz w:val="20"/>
                <w:szCs w:val="20"/>
              </w:rPr>
              <w:t xml:space="preserve"> </w:t>
            </w:r>
            <w:r w:rsidRPr="00B82B04">
              <w:rPr>
                <w:rStyle w:val="normaltextrun"/>
                <w:rFonts w:ascii="Arial" w:hAnsi="Arial" w:cs="Arial"/>
                <w:sz w:val="20"/>
                <w:szCs w:val="20"/>
              </w:rPr>
              <w:t>Health</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Survey</w:t>
            </w:r>
            <w:r>
              <w:rPr>
                <w:rStyle w:val="normaltextrun"/>
                <w:rFonts w:ascii="Arial" w:hAnsi="Arial" w:cs="Arial"/>
                <w:sz w:val="20"/>
                <w:szCs w:val="20"/>
              </w:rPr>
              <w:t xml:space="preserve"> </w:t>
            </w:r>
            <w:r w:rsidRPr="00B82B04">
              <w:rPr>
                <w:rStyle w:val="normaltextrun"/>
                <w:rFonts w:ascii="Arial" w:hAnsi="Arial" w:cs="Arial"/>
                <w:sz w:val="20"/>
                <w:szCs w:val="20"/>
              </w:rPr>
              <w:t>(NHIS)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compare</w:t>
            </w:r>
            <w:r>
              <w:rPr>
                <w:rStyle w:val="normaltextrun"/>
                <w:rFonts w:ascii="Arial" w:hAnsi="Arial" w:cs="Arial"/>
                <w:sz w:val="20"/>
                <w:szCs w:val="20"/>
              </w:rPr>
              <w:t xml:space="preserve"> </w:t>
            </w:r>
            <w:r w:rsidRPr="00B82B04">
              <w:rPr>
                <w:rStyle w:val="normaltextrun"/>
                <w:rFonts w:ascii="Arial" w:hAnsi="Arial" w:cs="Arial"/>
                <w:sz w:val="20"/>
                <w:szCs w:val="20"/>
              </w:rPr>
              <w:t>rates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regional</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national</w:t>
            </w:r>
            <w:r>
              <w:rPr>
                <w:rStyle w:val="normaltextrun"/>
                <w:rFonts w:ascii="Arial" w:hAnsi="Arial" w:cs="Arial"/>
                <w:sz w:val="20"/>
                <w:szCs w:val="20"/>
              </w:rPr>
              <w:t xml:space="preserve"> </w:t>
            </w:r>
            <w:r w:rsidRPr="00B82B04">
              <w:rPr>
                <w:rStyle w:val="normaltextrun"/>
                <w:rFonts w:ascii="Arial" w:hAnsi="Arial" w:cs="Arial"/>
                <w:sz w:val="20"/>
                <w:szCs w:val="20"/>
              </w:rPr>
              <w:t>data.</w:t>
            </w:r>
            <w:r>
              <w:rPr>
                <w:rStyle w:val="normaltextrun"/>
                <w:rFonts w:ascii="Arial" w:hAnsi="Arial" w:cs="Arial"/>
                <w:sz w:val="20"/>
                <w:szCs w:val="20"/>
              </w:rPr>
              <w:t xml:space="preserve"> </w:t>
            </w:r>
          </w:p>
        </w:tc>
        <w:tc>
          <w:tcPr>
            <w:tcW w:w="2430" w:type="dxa"/>
          </w:tcPr>
          <w:p w:rsidRPr="00B82B04" w:rsidR="00F5259C" w:rsidP="00902F66" w:rsidRDefault="00F5259C" w14:paraId="382AE338" w14:textId="77777777">
            <w:pPr>
              <w:pStyle w:val="paragraph"/>
              <w:spacing w:before="0" w:beforeAutospacing="0" w:after="120" w:afterAutospacing="0"/>
              <w:ind w:left="72" w:right="101"/>
              <w:textAlignment w:val="baseline"/>
              <w:rPr>
                <w:rStyle w:val="normaltextrun"/>
                <w:rFonts w:ascii="Arial" w:hAnsi="Arial" w:cs="Arial"/>
                <w:sz w:val="20"/>
                <w:szCs w:val="20"/>
              </w:rPr>
            </w:pPr>
            <w:r w:rsidRPr="00B82B04">
              <w:rPr>
                <w:rStyle w:val="normaltextrun"/>
                <w:rFonts w:ascii="Arial" w:hAnsi="Arial" w:cs="Arial"/>
                <w:sz w:val="20"/>
                <w:szCs w:val="20"/>
              </w:rPr>
              <w:t>Modification</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2008</w:t>
            </w:r>
            <w:r>
              <w:rPr>
                <w:rStyle w:val="normaltextrun"/>
                <w:rFonts w:ascii="Arial" w:hAnsi="Arial" w:cs="Arial"/>
                <w:sz w:val="20"/>
                <w:szCs w:val="20"/>
              </w:rPr>
              <w:t xml:space="preserve"> </w:t>
            </w:r>
            <w:r w:rsidRPr="00B82B04">
              <w:rPr>
                <w:rFonts w:ascii="Arial" w:hAnsi="Arial" w:cs="Arial"/>
                <w:sz w:val="20"/>
                <w:szCs w:val="20"/>
              </w:rPr>
              <w:t>National</w:t>
            </w:r>
            <w:r>
              <w:rPr>
                <w:rFonts w:ascii="Arial" w:hAnsi="Arial" w:cs="Arial"/>
                <w:sz w:val="20"/>
                <w:szCs w:val="20"/>
              </w:rPr>
              <w:t xml:space="preserve"> </w:t>
            </w:r>
            <w:r w:rsidRPr="00B82B04">
              <w:rPr>
                <w:rFonts w:ascii="Arial" w:hAnsi="Arial" w:cs="Arial"/>
                <w:sz w:val="20"/>
                <w:szCs w:val="20"/>
              </w:rPr>
              <w:t>Health</w:t>
            </w:r>
            <w:r>
              <w:rPr>
                <w:rFonts w:ascii="Arial" w:hAnsi="Arial" w:cs="Arial"/>
                <w:sz w:val="20"/>
                <w:szCs w:val="20"/>
              </w:rPr>
              <w:t xml:space="preserve"> </w:t>
            </w:r>
            <w:r w:rsidRPr="00B82B04">
              <w:rPr>
                <w:rFonts w:ascii="Arial" w:hAnsi="Arial" w:cs="Arial"/>
                <w:sz w:val="20"/>
                <w:szCs w:val="20"/>
              </w:rPr>
              <w:t>Information</w:t>
            </w:r>
            <w:r>
              <w:rPr>
                <w:rFonts w:ascii="Arial" w:hAnsi="Arial" w:cs="Arial"/>
                <w:sz w:val="20"/>
                <w:szCs w:val="20"/>
              </w:rPr>
              <w:t xml:space="preserve"> </w:t>
            </w:r>
            <w:r w:rsidRPr="00B82B04">
              <w:rPr>
                <w:rFonts w:ascii="Arial" w:hAnsi="Arial" w:cs="Arial"/>
                <w:sz w:val="20"/>
                <w:szCs w:val="20"/>
              </w:rPr>
              <w:t>Survey</w:t>
            </w:r>
            <w:r>
              <w:rPr>
                <w:rFonts w:ascii="Arial" w:hAnsi="Arial" w:cs="Arial"/>
                <w:sz w:val="20"/>
                <w:szCs w:val="20"/>
              </w:rPr>
              <w:t xml:space="preserve"> </w:t>
            </w:r>
            <w:hyperlink w:history="1" r:id="rId23">
              <w:r w:rsidRPr="00B82B04">
                <w:rPr>
                  <w:rStyle w:val="Hyperlink"/>
                  <w:rFonts w:ascii="Arial" w:hAnsi="Arial" w:cs="Arial"/>
                  <w:sz w:val="20"/>
                  <w:szCs w:val="20"/>
                </w:rPr>
                <w:t>Adult</w:t>
              </w:r>
              <w:r>
                <w:rPr>
                  <w:rStyle w:val="Hyperlink"/>
                  <w:rFonts w:ascii="Arial" w:hAnsi="Arial" w:cs="Arial"/>
                  <w:sz w:val="20"/>
                  <w:szCs w:val="20"/>
                </w:rPr>
                <w:t xml:space="preserve"> </w:t>
              </w:r>
              <w:r w:rsidRPr="00B82B04">
                <w:rPr>
                  <w:rStyle w:val="Hyperlink"/>
                  <w:rFonts w:ascii="Arial" w:hAnsi="Arial" w:cs="Arial"/>
                  <w:sz w:val="20"/>
                  <w:szCs w:val="20"/>
                </w:rPr>
                <w:t>Balance</w:t>
              </w:r>
              <w:r>
                <w:rPr>
                  <w:rStyle w:val="Hyperlink"/>
                  <w:rFonts w:ascii="Arial" w:hAnsi="Arial" w:cs="Arial"/>
                  <w:sz w:val="20"/>
                  <w:szCs w:val="20"/>
                </w:rPr>
                <w:t xml:space="preserve"> </w:t>
              </w:r>
              <w:r w:rsidRPr="00B82B04">
                <w:rPr>
                  <w:rStyle w:val="Hyperlink"/>
                  <w:rFonts w:ascii="Arial" w:hAnsi="Arial" w:cs="Arial"/>
                  <w:sz w:val="20"/>
                  <w:szCs w:val="20"/>
                </w:rPr>
                <w:t>and</w:t>
              </w:r>
              <w:r>
                <w:rPr>
                  <w:rStyle w:val="Hyperlink"/>
                  <w:rFonts w:ascii="Arial" w:hAnsi="Arial" w:cs="Arial"/>
                  <w:sz w:val="20"/>
                  <w:szCs w:val="20"/>
                </w:rPr>
                <w:t xml:space="preserve"> </w:t>
              </w:r>
              <w:r w:rsidRPr="00B82B04">
                <w:rPr>
                  <w:rStyle w:val="Hyperlink"/>
                  <w:rFonts w:ascii="Arial" w:hAnsi="Arial" w:cs="Arial"/>
                  <w:sz w:val="20"/>
                  <w:szCs w:val="20"/>
                </w:rPr>
                <w:t>Dizziness</w:t>
              </w:r>
            </w:hyperlink>
            <w:r w:rsidRPr="00B82B04">
              <w:rPr>
                <w:rFonts w:ascii="Arial" w:hAnsi="Arial" w:cs="Arial"/>
                <w:color w:val="0000FF"/>
                <w:sz w:val="20"/>
                <w:szCs w:val="20"/>
              </w:rPr>
              <w:t>.</w:t>
            </w:r>
          </w:p>
          <w:p w:rsidRPr="00B82B04" w:rsidR="00F5259C" w:rsidP="00902F66" w:rsidRDefault="00F5259C" w14:paraId="605B9B7B" w14:textId="77777777">
            <w:pPr>
              <w:pStyle w:val="paragraph"/>
              <w:spacing w:before="0" w:beforeAutospacing="0" w:after="120" w:afterAutospacing="0"/>
              <w:ind w:left="72" w:right="101"/>
              <w:textAlignment w:val="baseline"/>
              <w:rPr>
                <w:rStyle w:val="normaltextrun"/>
                <w:rFonts w:ascii="Arial" w:hAnsi="Arial" w:cs="Arial"/>
                <w:sz w:val="20"/>
                <w:szCs w:val="20"/>
              </w:rPr>
            </w:pPr>
            <w:r w:rsidRPr="00B82B04">
              <w:rPr>
                <w:rStyle w:val="normaltextrun"/>
                <w:rFonts w:ascii="Arial" w:hAnsi="Arial" w:cs="Arial"/>
                <w:sz w:val="20"/>
                <w:szCs w:val="20"/>
              </w:rPr>
              <w:t>The</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also</w:t>
            </w:r>
            <w:r>
              <w:rPr>
                <w:rStyle w:val="normaltextrun"/>
                <w:rFonts w:ascii="Arial" w:hAnsi="Arial" w:cs="Arial"/>
                <w:sz w:val="20"/>
                <w:szCs w:val="20"/>
              </w:rPr>
              <w:t xml:space="preserve"> </w:t>
            </w:r>
            <w:r w:rsidRPr="00B82B04">
              <w:rPr>
                <w:rStyle w:val="normaltextrun"/>
                <w:rFonts w:ascii="Arial" w:hAnsi="Arial" w:cs="Arial"/>
                <w:sz w:val="20"/>
                <w:szCs w:val="20"/>
              </w:rPr>
              <w:t>created</w:t>
            </w:r>
            <w:r>
              <w:rPr>
                <w:rStyle w:val="normaltextrun"/>
                <w:rFonts w:ascii="Arial" w:hAnsi="Arial" w:cs="Arial"/>
                <w:sz w:val="20"/>
                <w:szCs w:val="20"/>
              </w:rPr>
              <w:t xml:space="preserve"> </w:t>
            </w:r>
            <w:r w:rsidRPr="00B82B04">
              <w:rPr>
                <w:rStyle w:val="normaltextrun"/>
                <w:rFonts w:ascii="Arial" w:hAnsi="Arial" w:cs="Arial"/>
                <w:sz w:val="20"/>
                <w:szCs w:val="20"/>
              </w:rPr>
              <w:t>its</w:t>
            </w:r>
            <w:r>
              <w:rPr>
                <w:rStyle w:val="normaltextrun"/>
                <w:rFonts w:ascii="Arial" w:hAnsi="Arial" w:cs="Arial"/>
                <w:sz w:val="20"/>
                <w:szCs w:val="20"/>
              </w:rPr>
              <w:t xml:space="preserve"> </w:t>
            </w:r>
            <w:r w:rsidRPr="00B82B04">
              <w:rPr>
                <w:rStyle w:val="normaltextrun"/>
                <w:rFonts w:ascii="Arial" w:hAnsi="Arial" w:cs="Arial"/>
                <w:sz w:val="20"/>
                <w:szCs w:val="20"/>
              </w:rPr>
              <w:t>own</w:t>
            </w:r>
            <w:r>
              <w:rPr>
                <w:rStyle w:val="normaltextrun"/>
                <w:rFonts w:ascii="Arial" w:hAnsi="Arial" w:cs="Arial"/>
                <w:sz w:val="20"/>
                <w:szCs w:val="20"/>
              </w:rPr>
              <w:t xml:space="preserve"> </w:t>
            </w:r>
            <w:r w:rsidRPr="00B82B04">
              <w:rPr>
                <w:rStyle w:val="normaltextrun"/>
                <w:rFonts w:ascii="Arial" w:hAnsi="Arial" w:cs="Arial"/>
                <w:sz w:val="20"/>
                <w:szCs w:val="20"/>
              </w:rPr>
              <w:t>questions</w:t>
            </w:r>
            <w:r>
              <w:rPr>
                <w:rStyle w:val="normaltextrun"/>
                <w:rFonts w:ascii="Arial" w:hAnsi="Arial" w:cs="Arial"/>
                <w:sz w:val="20"/>
                <w:szCs w:val="20"/>
              </w:rPr>
              <w:t xml:space="preserve"> </w:t>
            </w:r>
            <w:r w:rsidRPr="00B82B04">
              <w:rPr>
                <w:rStyle w:val="normaltextrun"/>
                <w:rFonts w:ascii="Arial" w:hAnsi="Arial" w:cs="Arial"/>
                <w:sz w:val="20"/>
                <w:szCs w:val="20"/>
              </w:rPr>
              <w:t>related</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falls.</w:t>
            </w:r>
            <w:r>
              <w:rPr>
                <w:rStyle w:val="normaltextrun"/>
                <w:rFonts w:ascii="Arial" w:hAnsi="Arial" w:cs="Arial"/>
                <w:sz w:val="20"/>
                <w:szCs w:val="20"/>
              </w:rPr>
              <w:t xml:space="preserve"> </w:t>
            </w:r>
          </w:p>
          <w:p w:rsidRPr="00B82B04" w:rsidR="00F5259C" w:rsidP="00902F66" w:rsidRDefault="00F5259C" w14:paraId="3568AA1B"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Number</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times</w:t>
            </w:r>
            <w:r>
              <w:rPr>
                <w:rStyle w:val="normaltextrun"/>
                <w:rFonts w:ascii="Arial" w:hAnsi="Arial" w:cs="Arial"/>
                <w:sz w:val="20"/>
                <w:szCs w:val="20"/>
              </w:rPr>
              <w:t xml:space="preserve"> </w:t>
            </w:r>
            <w:r w:rsidRPr="00B82B04">
              <w:rPr>
                <w:rStyle w:val="normaltextrun"/>
                <w:rFonts w:ascii="Arial" w:hAnsi="Arial" w:cs="Arial"/>
                <w:sz w:val="20"/>
                <w:szCs w:val="20"/>
              </w:rPr>
              <w:t>fell:</w:t>
            </w:r>
            <w:r>
              <w:rPr>
                <w:rStyle w:val="normaltextrun"/>
                <w:rFonts w:ascii="Arial" w:hAnsi="Arial" w:cs="Arial"/>
                <w:sz w:val="20"/>
                <w:szCs w:val="20"/>
              </w:rPr>
              <w:t xml:space="preserve"> </w:t>
            </w:r>
            <w:hyperlink w:history="1" r:id="rId24">
              <w:r w:rsidRPr="00B82B04">
                <w:rPr>
                  <w:rStyle w:val="Hyperlink"/>
                  <w:rFonts w:ascii="Arial" w:hAnsi="Arial" w:cs="Arial"/>
                  <w:sz w:val="20"/>
                  <w:szCs w:val="20"/>
                </w:rPr>
                <w:t>Behavioral</w:t>
              </w:r>
              <w:r>
                <w:rPr>
                  <w:rStyle w:val="Hyperlink"/>
                  <w:rFonts w:ascii="Arial" w:hAnsi="Arial" w:cs="Arial"/>
                  <w:sz w:val="20"/>
                  <w:szCs w:val="20"/>
                </w:rPr>
                <w:t xml:space="preserve"> </w:t>
              </w:r>
              <w:r w:rsidRPr="00B82B04">
                <w:rPr>
                  <w:rStyle w:val="Hyperlink"/>
                  <w:rFonts w:ascii="Arial" w:hAnsi="Arial" w:cs="Arial"/>
                  <w:sz w:val="20"/>
                  <w:szCs w:val="20"/>
                </w:rPr>
                <w:t>Risk</w:t>
              </w:r>
              <w:r>
                <w:rPr>
                  <w:rStyle w:val="Hyperlink"/>
                  <w:rFonts w:ascii="Arial" w:hAnsi="Arial" w:cs="Arial"/>
                  <w:sz w:val="20"/>
                  <w:szCs w:val="20"/>
                </w:rPr>
                <w:t xml:space="preserve"> </w:t>
              </w:r>
              <w:r w:rsidRPr="00B82B04">
                <w:rPr>
                  <w:rStyle w:val="Hyperlink"/>
                  <w:rFonts w:ascii="Arial" w:hAnsi="Arial" w:cs="Arial"/>
                  <w:sz w:val="20"/>
                  <w:szCs w:val="20"/>
                </w:rPr>
                <w:t>Factor</w:t>
              </w:r>
              <w:r>
                <w:rPr>
                  <w:rStyle w:val="Hyperlink"/>
                  <w:rFonts w:ascii="Arial" w:hAnsi="Arial" w:cs="Arial"/>
                  <w:sz w:val="20"/>
                  <w:szCs w:val="20"/>
                </w:rPr>
                <w:t xml:space="preserve"> </w:t>
              </w:r>
              <w:r w:rsidRPr="00B82B04">
                <w:rPr>
                  <w:rStyle w:val="Hyperlink"/>
                  <w:rFonts w:ascii="Arial" w:hAnsi="Arial" w:cs="Arial"/>
                  <w:sz w:val="20"/>
                  <w:szCs w:val="20"/>
                </w:rPr>
                <w:t>Survey</w:t>
              </w:r>
              <w:r>
                <w:rPr>
                  <w:rStyle w:val="Hyperlink"/>
                  <w:rFonts w:ascii="Arial" w:hAnsi="Arial" w:cs="Arial"/>
                  <w:sz w:val="20"/>
                  <w:szCs w:val="20"/>
                </w:rPr>
                <w:t xml:space="preserve"> </w:t>
              </w:r>
              <w:r w:rsidRPr="00B82B04">
                <w:rPr>
                  <w:rStyle w:val="Hyperlink"/>
                  <w:rFonts w:ascii="Arial" w:hAnsi="Arial" w:cs="Arial"/>
                  <w:sz w:val="20"/>
                  <w:szCs w:val="20"/>
                </w:rPr>
                <w:t>2014</w:t>
              </w:r>
            </w:hyperlink>
            <w:r w:rsidRPr="00B82B04">
              <w:rPr>
                <w:rStyle w:val="Hyperlink"/>
                <w:rFonts w:ascii="Arial" w:hAnsi="Arial" w:cs="Arial"/>
                <w:sz w:val="20"/>
                <w:szCs w:val="20"/>
              </w:rPr>
              <w:t>.</w:t>
            </w:r>
          </w:p>
        </w:tc>
        <w:tc>
          <w:tcPr>
            <w:tcW w:w="2088" w:type="dxa"/>
            <w:gridSpan w:val="2"/>
          </w:tcPr>
          <w:p w:rsidRPr="00B82B04" w:rsidR="00F5259C" w:rsidP="00902F66" w:rsidRDefault="00F5259C" w14:paraId="0B52A148"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Program</w:t>
            </w:r>
            <w:r>
              <w:rPr>
                <w:rStyle w:val="normaltextrun"/>
                <w:rFonts w:ascii="Arial" w:hAnsi="Arial" w:cs="Arial"/>
                <w:sz w:val="20"/>
                <w:szCs w:val="20"/>
              </w:rPr>
              <w:t xml:space="preserve"> </w:t>
            </w:r>
            <w:r w:rsidRPr="00B82B04">
              <w:rPr>
                <w:rStyle w:val="normaltextrun"/>
                <w:rFonts w:ascii="Arial" w:hAnsi="Arial" w:cs="Arial"/>
                <w:sz w:val="20"/>
                <w:szCs w:val="20"/>
              </w:rPr>
              <w:t>Questionnaire</w:t>
            </w:r>
            <w:r>
              <w:rPr>
                <w:rStyle w:val="normaltextrun"/>
                <w:rFonts w:ascii="Arial" w:hAnsi="Arial" w:cs="Arial"/>
                <w:sz w:val="20"/>
                <w:szCs w:val="20"/>
              </w:rPr>
              <w:t xml:space="preserve"> </w:t>
            </w:r>
            <w:r w:rsidRPr="00B82B04">
              <w:rPr>
                <w:rStyle w:val="normaltextrun"/>
                <w:rFonts w:ascii="Arial" w:hAnsi="Arial" w:cs="Arial"/>
                <w:sz w:val="20"/>
                <w:szCs w:val="20"/>
              </w:rPr>
              <w:t>Form</w:t>
            </w:r>
          </w:p>
          <w:p w:rsidRPr="00B82B04" w:rsidR="00F5259C" w:rsidP="00902F66" w:rsidRDefault="00F5259C" w14:paraId="7C0207F7"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D</w:t>
            </w:r>
          </w:p>
        </w:tc>
      </w:tr>
      <w:tr w:rsidRPr="00B82B04" w:rsidR="00F5259C" w:rsidTr="00902F66" w14:paraId="40632D74" w14:textId="77777777">
        <w:tc>
          <w:tcPr>
            <w:tcW w:w="1525" w:type="dxa"/>
            <w:shd w:val="clear" w:color="auto" w:fill="auto"/>
          </w:tcPr>
          <w:p w:rsidRPr="00B82B04" w:rsidR="00F5259C" w:rsidP="00902F66" w:rsidRDefault="00F5259C" w14:paraId="7F3F909B" w14:textId="77777777">
            <w:pPr>
              <w:pStyle w:val="paragraph"/>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Unplanned,</w:t>
            </w:r>
            <w:r>
              <w:rPr>
                <w:rStyle w:val="normaltextrun"/>
                <w:rFonts w:ascii="Arial" w:hAnsi="Arial" w:cs="Arial"/>
                <w:sz w:val="20"/>
                <w:szCs w:val="20"/>
              </w:rPr>
              <w:t xml:space="preserve"> </w:t>
            </w:r>
            <w:r>
              <w:rPr>
                <w:rStyle w:val="scxw243922414"/>
                <w:rFonts w:ascii="Arial" w:hAnsi="Arial" w:cs="Arial"/>
                <w:sz w:val="20"/>
                <w:szCs w:val="20"/>
              </w:rPr>
              <w:t xml:space="preserve"> </w:t>
            </w:r>
            <w:r w:rsidRPr="00B82B04">
              <w:rPr>
                <w:rFonts w:ascii="Arial" w:hAnsi="Arial" w:cs="Arial"/>
                <w:sz w:val="20"/>
                <w:szCs w:val="20"/>
              </w:rPr>
              <w:br/>
            </w:r>
            <w:r w:rsidRPr="00B82B04">
              <w:rPr>
                <w:rStyle w:val="normaltextrun"/>
                <w:rFonts w:ascii="Arial" w:hAnsi="Arial" w:cs="Arial"/>
                <w:sz w:val="20"/>
                <w:szCs w:val="20"/>
              </w:rPr>
              <w:t>home-related</w:t>
            </w:r>
            <w:r>
              <w:rPr>
                <w:rStyle w:val="normaltextrun"/>
                <w:rFonts w:ascii="Arial" w:hAnsi="Arial" w:cs="Arial"/>
                <w:sz w:val="20"/>
                <w:szCs w:val="20"/>
              </w:rPr>
              <w:t xml:space="preserve"> </w:t>
            </w:r>
            <w:r w:rsidRPr="00B82B04">
              <w:rPr>
                <w:rStyle w:val="normaltextrun"/>
                <w:rFonts w:ascii="Arial" w:hAnsi="Arial" w:cs="Arial"/>
                <w:sz w:val="20"/>
                <w:szCs w:val="20"/>
              </w:rPr>
              <w:t>healthcare</w:t>
            </w:r>
            <w:r>
              <w:rPr>
                <w:rStyle w:val="normaltextrun"/>
                <w:rFonts w:ascii="Arial" w:hAnsi="Arial" w:cs="Arial"/>
                <w:sz w:val="20"/>
                <w:szCs w:val="20"/>
              </w:rPr>
              <w:t xml:space="preserve"> </w:t>
            </w:r>
            <w:r w:rsidRPr="00B82B04">
              <w:rPr>
                <w:rStyle w:val="normaltextrun"/>
                <w:rFonts w:ascii="Arial" w:hAnsi="Arial" w:cs="Arial"/>
                <w:sz w:val="20"/>
                <w:szCs w:val="20"/>
              </w:rPr>
              <w:t>visit</w:t>
            </w:r>
            <w:r>
              <w:rPr>
                <w:rStyle w:val="normaltextrun"/>
                <w:rFonts w:ascii="Arial" w:hAnsi="Arial" w:cs="Arial"/>
                <w:sz w:val="20"/>
                <w:szCs w:val="20"/>
              </w:rPr>
              <w:t xml:space="preserve"> </w:t>
            </w:r>
            <w:r w:rsidRPr="00B82B04">
              <w:rPr>
                <w:rStyle w:val="normaltextrun"/>
                <w:rFonts w:ascii="Arial" w:hAnsi="Arial" w:cs="Arial"/>
                <w:sz w:val="20"/>
                <w:szCs w:val="20"/>
              </w:rPr>
              <w:t>data</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449B74EE" w14:textId="77777777">
            <w:pPr>
              <w:pStyle w:val="paragraph"/>
              <w:keepNext/>
              <w:keepLines/>
              <w:spacing w:before="0" w:beforeAutospacing="0" w:after="0" w:afterAutospacing="0"/>
              <w:ind w:left="72" w:right="101"/>
              <w:textAlignment w:val="baseline"/>
              <w:rPr>
                <w:rStyle w:val="normaltextrun"/>
                <w:rFonts w:ascii="Arial" w:hAnsi="Arial" w:cs="Arial"/>
                <w:sz w:val="20"/>
                <w:szCs w:val="20"/>
              </w:rPr>
            </w:pPr>
            <w:r w:rsidRPr="00B82B04">
              <w:rPr>
                <w:rStyle w:val="normaltextrun"/>
                <w:rFonts w:ascii="Arial" w:hAnsi="Arial" w:cs="Arial"/>
                <w:sz w:val="20"/>
                <w:szCs w:val="20"/>
              </w:rPr>
              <w:t>Uses</w:t>
            </w:r>
            <w:r>
              <w:rPr>
                <w:rStyle w:val="normaltextrun"/>
                <w:rFonts w:ascii="Arial" w:hAnsi="Arial" w:cs="Arial"/>
                <w:sz w:val="20"/>
                <w:szCs w:val="20"/>
              </w:rPr>
              <w:t xml:space="preserve"> </w:t>
            </w:r>
            <w:r w:rsidRPr="00B82B04">
              <w:rPr>
                <w:rStyle w:val="normaltextrun"/>
                <w:rFonts w:ascii="Arial" w:hAnsi="Arial" w:cs="Arial"/>
                <w:sz w:val="20"/>
                <w:szCs w:val="20"/>
              </w:rPr>
              <w:t>Agency</w:t>
            </w:r>
            <w:r>
              <w:rPr>
                <w:rStyle w:val="normaltextrun"/>
                <w:rFonts w:ascii="Arial" w:hAnsi="Arial" w:cs="Arial"/>
                <w:sz w:val="20"/>
                <w:szCs w:val="20"/>
              </w:rPr>
              <w:t xml:space="preserve"> </w:t>
            </w:r>
            <w:r w:rsidRPr="00B82B04">
              <w:rPr>
                <w:rStyle w:val="normaltextrun"/>
                <w:rFonts w:ascii="Arial" w:hAnsi="Arial" w:cs="Arial"/>
                <w:sz w:val="20"/>
                <w:szCs w:val="20"/>
              </w:rPr>
              <w:t>for</w:t>
            </w:r>
            <w:r>
              <w:rPr>
                <w:rStyle w:val="normaltextrun"/>
                <w:rFonts w:ascii="Arial" w:hAnsi="Arial" w:cs="Arial"/>
                <w:sz w:val="20"/>
                <w:szCs w:val="20"/>
              </w:rPr>
              <w:t xml:space="preserve"> </w:t>
            </w:r>
            <w:r w:rsidRPr="00B82B04">
              <w:rPr>
                <w:rStyle w:val="normaltextrun"/>
                <w:rFonts w:ascii="Arial" w:hAnsi="Arial" w:cs="Arial"/>
                <w:sz w:val="20"/>
                <w:szCs w:val="20"/>
              </w:rPr>
              <w:t>Healthcare</w:t>
            </w:r>
            <w:r>
              <w:rPr>
                <w:rStyle w:val="normaltextrun"/>
                <w:rFonts w:ascii="Arial" w:hAnsi="Arial" w:cs="Arial"/>
                <w:sz w:val="20"/>
                <w:szCs w:val="20"/>
              </w:rPr>
              <w:t xml:space="preserve"> </w:t>
            </w:r>
            <w:r w:rsidRPr="00B82B04">
              <w:rPr>
                <w:rStyle w:val="normaltextrun"/>
                <w:rFonts w:ascii="Arial" w:hAnsi="Arial" w:cs="Arial"/>
                <w:sz w:val="20"/>
                <w:szCs w:val="20"/>
              </w:rPr>
              <w:t>Research</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Quality</w:t>
            </w:r>
            <w:r>
              <w:rPr>
                <w:rStyle w:val="normaltextrun"/>
                <w:rFonts w:ascii="Arial" w:hAnsi="Arial" w:cs="Arial"/>
                <w:sz w:val="20"/>
                <w:szCs w:val="20"/>
              </w:rPr>
              <w:t xml:space="preserve"> </w:t>
            </w:r>
            <w:r w:rsidRPr="00B82B04">
              <w:rPr>
                <w:rStyle w:val="normaltextrun"/>
                <w:rFonts w:ascii="Arial" w:hAnsi="Arial" w:cs="Arial"/>
                <w:sz w:val="20"/>
                <w:szCs w:val="20"/>
              </w:rPr>
              <w:t>(AHRQ)</w:t>
            </w:r>
            <w:r>
              <w:rPr>
                <w:rStyle w:val="normaltextrun"/>
                <w:rFonts w:ascii="Arial" w:hAnsi="Arial" w:cs="Arial"/>
                <w:sz w:val="20"/>
                <w:szCs w:val="20"/>
              </w:rPr>
              <w:t xml:space="preserve"> </w:t>
            </w:r>
            <w:r w:rsidRPr="00B82B04">
              <w:rPr>
                <w:rStyle w:val="normaltextrun"/>
                <w:rFonts w:ascii="Arial" w:hAnsi="Arial" w:cs="Arial"/>
                <w:sz w:val="20"/>
                <w:szCs w:val="20"/>
              </w:rPr>
              <w:t>MEPS</w:t>
            </w:r>
            <w:r>
              <w:rPr>
                <w:rStyle w:val="normaltextrun"/>
                <w:rFonts w:ascii="Arial" w:hAnsi="Arial" w:cs="Arial"/>
                <w:sz w:val="20"/>
                <w:szCs w:val="20"/>
              </w:rPr>
              <w:t xml:space="preserve"> </w:t>
            </w:r>
            <w:r w:rsidRPr="00B82B04">
              <w:rPr>
                <w:rStyle w:val="normaltextrun"/>
                <w:rFonts w:ascii="Arial" w:hAnsi="Arial" w:cs="Arial"/>
                <w:sz w:val="20"/>
                <w:szCs w:val="20"/>
              </w:rPr>
              <w:t>data</w:t>
            </w:r>
            <w:r w:rsidRPr="00B82B04">
              <w:rPr>
                <w:rStyle w:val="FootnoteReference"/>
                <w:rFonts w:ascii="Arial" w:hAnsi="Arial" w:cs="Arial"/>
              </w:rPr>
              <w:footnoteReference w:id="45"/>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assign</w:t>
            </w:r>
            <w:r>
              <w:rPr>
                <w:rStyle w:val="normaltextrun"/>
                <w:rFonts w:ascii="Arial" w:hAnsi="Arial" w:cs="Arial"/>
                <w:sz w:val="20"/>
                <w:szCs w:val="20"/>
              </w:rPr>
              <w:t xml:space="preserve"> </w:t>
            </w:r>
            <w:r w:rsidRPr="00B82B04">
              <w:rPr>
                <w:rStyle w:val="normaltextrun"/>
                <w:rFonts w:ascii="Arial" w:hAnsi="Arial" w:cs="Arial"/>
                <w:sz w:val="20"/>
                <w:szCs w:val="20"/>
              </w:rPr>
              <w:t>regional</w:t>
            </w:r>
            <w:r>
              <w:rPr>
                <w:rStyle w:val="normaltextrun"/>
                <w:rFonts w:ascii="Arial" w:hAnsi="Arial" w:cs="Arial"/>
                <w:sz w:val="20"/>
                <w:szCs w:val="20"/>
              </w:rPr>
              <w:t xml:space="preserve"> </w:t>
            </w:r>
            <w:r w:rsidRPr="00B82B04">
              <w:rPr>
                <w:rStyle w:val="normaltextrun"/>
                <w:rFonts w:ascii="Arial" w:hAnsi="Arial" w:cs="Arial"/>
                <w:sz w:val="20"/>
                <w:szCs w:val="20"/>
              </w:rPr>
              <w:t>costs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clients’</w:t>
            </w:r>
            <w:r>
              <w:rPr>
                <w:rStyle w:val="normaltextrun"/>
                <w:rFonts w:ascii="Arial" w:hAnsi="Arial" w:cs="Arial"/>
                <w:sz w:val="20"/>
                <w:szCs w:val="20"/>
              </w:rPr>
              <w:t xml:space="preserve"> </w:t>
            </w:r>
            <w:r w:rsidRPr="00B82B04">
              <w:rPr>
                <w:rStyle w:val="normaltextrun"/>
                <w:rFonts w:ascii="Arial" w:hAnsi="Arial" w:cs="Arial"/>
                <w:sz w:val="20"/>
                <w:szCs w:val="20"/>
              </w:rPr>
              <w:t>ED</w:t>
            </w:r>
            <w:r>
              <w:rPr>
                <w:rStyle w:val="normaltextrun"/>
                <w:rFonts w:ascii="Arial" w:hAnsi="Arial" w:cs="Arial"/>
                <w:sz w:val="20"/>
                <w:szCs w:val="20"/>
              </w:rPr>
              <w:t xml:space="preserve"> </w:t>
            </w:r>
            <w:r w:rsidRPr="00B82B04">
              <w:rPr>
                <w:rStyle w:val="normaltextrun"/>
                <w:rFonts w:ascii="Arial" w:hAnsi="Arial" w:cs="Arial"/>
                <w:sz w:val="20"/>
                <w:szCs w:val="20"/>
              </w:rPr>
              <w:t>calls</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visits</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unplanned</w:t>
            </w:r>
            <w:r>
              <w:rPr>
                <w:rStyle w:val="normaltextrun"/>
                <w:rFonts w:ascii="Arial" w:hAnsi="Arial" w:cs="Arial"/>
                <w:sz w:val="20"/>
                <w:szCs w:val="20"/>
              </w:rPr>
              <w:t xml:space="preserve"> </w:t>
            </w:r>
            <w:r w:rsidRPr="00B82B04">
              <w:rPr>
                <w:rStyle w:val="normaltextrun"/>
                <w:rFonts w:ascii="Arial" w:hAnsi="Arial" w:cs="Arial"/>
                <w:sz w:val="20"/>
                <w:szCs w:val="20"/>
              </w:rPr>
              <w:t>hospitalizations</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compare</w:t>
            </w:r>
            <w:r>
              <w:rPr>
                <w:rStyle w:val="normaltextrun"/>
                <w:rFonts w:ascii="Arial" w:hAnsi="Arial" w:cs="Arial"/>
                <w:sz w:val="20"/>
                <w:szCs w:val="20"/>
              </w:rPr>
              <w:t xml:space="preserve"> </w:t>
            </w:r>
            <w:r w:rsidRPr="00B82B04">
              <w:rPr>
                <w:rStyle w:val="normaltextrun"/>
                <w:rFonts w:ascii="Arial" w:hAnsi="Arial" w:cs="Arial"/>
                <w:sz w:val="20"/>
                <w:szCs w:val="20"/>
              </w:rPr>
              <w:t>baseline</w:t>
            </w:r>
            <w:r>
              <w:rPr>
                <w:rStyle w:val="normaltextrun"/>
                <w:rFonts w:ascii="Arial" w:hAnsi="Arial" w:cs="Arial"/>
                <w:sz w:val="20"/>
                <w:szCs w:val="20"/>
              </w:rPr>
              <w:t xml:space="preserve"> </w:t>
            </w:r>
            <w:r w:rsidRPr="00B82B04">
              <w:rPr>
                <w:rStyle w:val="normaltextrun"/>
                <w:rFonts w:ascii="Arial" w:hAnsi="Arial" w:cs="Arial"/>
                <w:sz w:val="20"/>
                <w:szCs w:val="20"/>
              </w:rPr>
              <w:t>versus</w:t>
            </w:r>
            <w:r>
              <w:rPr>
                <w:rStyle w:val="normaltextrun"/>
                <w:rFonts w:ascii="Arial" w:hAnsi="Arial" w:cs="Arial"/>
                <w:sz w:val="20"/>
                <w:szCs w:val="20"/>
              </w:rPr>
              <w:t xml:space="preserve"> </w:t>
            </w:r>
            <w:r w:rsidRPr="00B82B04">
              <w:rPr>
                <w:rStyle w:val="normaltextrun"/>
                <w:rFonts w:ascii="Arial" w:hAnsi="Arial" w:cs="Arial"/>
                <w:sz w:val="20"/>
                <w:szCs w:val="20"/>
              </w:rPr>
              <w:t>six-</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nine-month</w:t>
            </w:r>
            <w:r>
              <w:rPr>
                <w:rStyle w:val="normaltextrun"/>
                <w:rFonts w:ascii="Arial" w:hAnsi="Arial" w:cs="Arial"/>
                <w:sz w:val="20"/>
                <w:szCs w:val="20"/>
              </w:rPr>
              <w:t xml:space="preserve"> </w:t>
            </w:r>
            <w:r w:rsidRPr="00B82B04">
              <w:rPr>
                <w:rStyle w:val="normaltextrun"/>
                <w:rFonts w:ascii="Arial" w:hAnsi="Arial" w:cs="Arial"/>
                <w:sz w:val="20"/>
                <w:szCs w:val="20"/>
              </w:rPr>
              <w:t>post-modification</w:t>
            </w:r>
            <w:r>
              <w:rPr>
                <w:rStyle w:val="normaltextrun"/>
                <w:rFonts w:ascii="Arial" w:hAnsi="Arial" w:cs="Arial"/>
                <w:sz w:val="20"/>
                <w:szCs w:val="20"/>
              </w:rPr>
              <w:t xml:space="preserve"> </w:t>
            </w:r>
            <w:r w:rsidRPr="00B82B04">
              <w:rPr>
                <w:rStyle w:val="normaltextrun"/>
                <w:rFonts w:ascii="Arial" w:hAnsi="Arial" w:cs="Arial"/>
                <w:sz w:val="20"/>
                <w:szCs w:val="20"/>
              </w:rPr>
              <w:t>medical</w:t>
            </w:r>
            <w:r>
              <w:rPr>
                <w:rStyle w:val="normaltextrun"/>
                <w:rFonts w:ascii="Arial" w:hAnsi="Arial" w:cs="Arial"/>
                <w:sz w:val="20"/>
                <w:szCs w:val="20"/>
              </w:rPr>
              <w:t xml:space="preserve"> </w:t>
            </w:r>
            <w:r w:rsidRPr="00B82B04">
              <w:rPr>
                <w:rStyle w:val="normaltextrun"/>
                <w:rFonts w:ascii="Arial" w:hAnsi="Arial" w:cs="Arial"/>
                <w:sz w:val="20"/>
                <w:szCs w:val="20"/>
              </w:rPr>
              <w:t>costs.</w:t>
            </w:r>
            <w:r>
              <w:rPr>
                <w:rStyle w:val="normaltextrun"/>
                <w:rFonts w:ascii="Arial" w:hAnsi="Arial" w:cs="Arial"/>
                <w:sz w:val="20"/>
                <w:szCs w:val="20"/>
              </w:rPr>
              <w:t xml:space="preserve"> </w:t>
            </w:r>
          </w:p>
        </w:tc>
        <w:tc>
          <w:tcPr>
            <w:tcW w:w="2430" w:type="dxa"/>
          </w:tcPr>
          <w:p w:rsidRPr="00B82B04" w:rsidR="00F5259C" w:rsidP="00902F66" w:rsidRDefault="00F5259C" w14:paraId="1AE1BA96"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The</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created</w:t>
            </w:r>
            <w:r>
              <w:rPr>
                <w:rStyle w:val="normaltextrun"/>
                <w:rFonts w:ascii="Arial" w:hAnsi="Arial" w:cs="Arial"/>
                <w:sz w:val="20"/>
                <w:szCs w:val="20"/>
              </w:rPr>
              <w:t xml:space="preserve"> </w:t>
            </w:r>
            <w:r w:rsidRPr="00B82B04">
              <w:rPr>
                <w:rStyle w:val="normaltextrun"/>
                <w:rFonts w:ascii="Arial" w:hAnsi="Arial" w:cs="Arial"/>
                <w:sz w:val="20"/>
                <w:szCs w:val="20"/>
              </w:rPr>
              <w:t>its</w:t>
            </w:r>
            <w:r>
              <w:rPr>
                <w:rStyle w:val="normaltextrun"/>
                <w:rFonts w:ascii="Arial" w:hAnsi="Arial" w:cs="Arial"/>
                <w:sz w:val="20"/>
                <w:szCs w:val="20"/>
              </w:rPr>
              <w:t xml:space="preserve"> </w:t>
            </w:r>
            <w:r w:rsidRPr="00B82B04">
              <w:rPr>
                <w:rStyle w:val="normaltextrun"/>
                <w:rFonts w:ascii="Arial" w:hAnsi="Arial" w:cs="Arial"/>
                <w:sz w:val="20"/>
                <w:szCs w:val="20"/>
              </w:rPr>
              <w:t>own</w:t>
            </w:r>
            <w:r>
              <w:rPr>
                <w:rStyle w:val="normaltextrun"/>
                <w:rFonts w:ascii="Arial" w:hAnsi="Arial" w:cs="Arial"/>
                <w:sz w:val="20"/>
                <w:szCs w:val="20"/>
              </w:rPr>
              <w:t xml:space="preserve"> </w:t>
            </w:r>
            <w:r w:rsidRPr="00B82B04">
              <w:rPr>
                <w:rStyle w:val="normaltextrun"/>
                <w:rFonts w:ascii="Arial" w:hAnsi="Arial" w:cs="Arial"/>
                <w:sz w:val="20"/>
                <w:szCs w:val="20"/>
              </w:rPr>
              <w:t>questions.</w:t>
            </w:r>
          </w:p>
          <w:p w:rsidRPr="00B82B04" w:rsidR="00F5259C" w:rsidP="00902F66" w:rsidRDefault="00F5259C" w14:paraId="60BFC416" w14:textId="77777777">
            <w:pPr>
              <w:pStyle w:val="paragraph"/>
              <w:spacing w:before="0" w:beforeAutospacing="0" w:after="0" w:afterAutospacing="0"/>
              <w:ind w:left="74" w:right="106"/>
              <w:textAlignment w:val="baseline"/>
              <w:rPr>
                <w:rStyle w:val="normaltextrun"/>
                <w:rFonts w:ascii="Arial" w:hAnsi="Arial" w:cs="Arial"/>
                <w:sz w:val="20"/>
                <w:szCs w:val="20"/>
              </w:rPr>
            </w:pPr>
          </w:p>
          <w:p w:rsidRPr="00B82B04" w:rsidR="00F5259C" w:rsidP="00902F66" w:rsidRDefault="00F5259C" w14:paraId="37D277A7"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Modifications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5">
              <w:r w:rsidRPr="00B82B04">
                <w:rPr>
                  <w:rStyle w:val="Hyperlink"/>
                  <w:rFonts w:ascii="Arial" w:hAnsi="Arial" w:cs="Arial"/>
                  <w:sz w:val="20"/>
                  <w:szCs w:val="20"/>
                </w:rPr>
                <w:t>MEPS</w:t>
              </w:r>
              <w:r>
                <w:rPr>
                  <w:rStyle w:val="Hyperlink"/>
                  <w:rFonts w:ascii="Arial" w:hAnsi="Arial" w:cs="Arial"/>
                  <w:sz w:val="20"/>
                  <w:szCs w:val="20"/>
                </w:rPr>
                <w:t xml:space="preserve"> </w:t>
              </w:r>
              <w:r w:rsidRPr="00B82B04">
                <w:rPr>
                  <w:rStyle w:val="Hyperlink"/>
                  <w:rFonts w:ascii="Arial" w:hAnsi="Arial" w:cs="Arial"/>
                  <w:sz w:val="20"/>
                  <w:szCs w:val="20"/>
                </w:rPr>
                <w:t>Events</w:t>
              </w:r>
              <w:r>
                <w:rPr>
                  <w:rStyle w:val="Hyperlink"/>
                  <w:rFonts w:ascii="Arial" w:hAnsi="Arial" w:cs="Arial"/>
                  <w:sz w:val="20"/>
                  <w:szCs w:val="20"/>
                </w:rPr>
                <w:t xml:space="preserve"> </w:t>
              </w:r>
              <w:r w:rsidRPr="00B82B04">
                <w:rPr>
                  <w:rStyle w:val="Hyperlink"/>
                  <w:rFonts w:ascii="Arial" w:hAnsi="Arial" w:cs="Arial"/>
                  <w:sz w:val="20"/>
                  <w:szCs w:val="20"/>
                </w:rPr>
                <w:t>Enumeration</w:t>
              </w:r>
              <w:r>
                <w:rPr>
                  <w:rStyle w:val="Hyperlink"/>
                  <w:rFonts w:ascii="Arial" w:hAnsi="Arial" w:cs="Arial"/>
                  <w:sz w:val="20"/>
                  <w:szCs w:val="20"/>
                </w:rPr>
                <w:t xml:space="preserve"> </w:t>
              </w:r>
              <w:r w:rsidRPr="00B82B04">
                <w:rPr>
                  <w:rStyle w:val="Hyperlink"/>
                  <w:rFonts w:ascii="Arial" w:hAnsi="Arial" w:cs="Arial"/>
                  <w:sz w:val="20"/>
                  <w:szCs w:val="20"/>
                </w:rPr>
                <w:t>module</w:t>
              </w:r>
            </w:hyperlink>
            <w:r w:rsidRPr="00B82B04">
              <w:rPr>
                <w:rStyle w:val="Hyperlink"/>
                <w:rFonts w:ascii="Arial" w:hAnsi="Arial" w:cs="Arial"/>
                <w:sz w:val="20"/>
                <w:szCs w:val="20"/>
              </w:rPr>
              <w:t>.</w:t>
            </w:r>
          </w:p>
        </w:tc>
        <w:tc>
          <w:tcPr>
            <w:tcW w:w="2088" w:type="dxa"/>
            <w:gridSpan w:val="2"/>
          </w:tcPr>
          <w:p w:rsidRPr="00B82B04" w:rsidR="00F5259C" w:rsidP="00902F66" w:rsidRDefault="00F5259C" w14:paraId="20451E95"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Impact</w:t>
            </w:r>
            <w:r>
              <w:rPr>
                <w:rStyle w:val="normaltextrun"/>
                <w:rFonts w:ascii="Arial" w:hAnsi="Arial" w:cs="Arial"/>
                <w:sz w:val="20"/>
                <w:szCs w:val="20"/>
              </w:rPr>
              <w:t xml:space="preserve"> </w:t>
            </w:r>
            <w:r w:rsidRPr="00B82B04">
              <w:rPr>
                <w:rStyle w:val="normaltextrun"/>
                <w:rFonts w:ascii="Arial" w:hAnsi="Arial" w:cs="Arial"/>
                <w:sz w:val="20"/>
                <w:szCs w:val="20"/>
              </w:rPr>
              <w:t>Evaluation</w:t>
            </w:r>
          </w:p>
          <w:p w:rsidRPr="00B82B04" w:rsidR="00F5259C" w:rsidP="00902F66" w:rsidRDefault="00F5259C" w14:paraId="16B2F699"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Form</w:t>
            </w:r>
          </w:p>
          <w:p w:rsidRPr="00B82B04" w:rsidR="00F5259C" w:rsidP="00902F66" w:rsidRDefault="00F5259C" w14:paraId="6AAB1576"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C</w:t>
            </w:r>
          </w:p>
        </w:tc>
      </w:tr>
      <w:tr w:rsidRPr="00B82B04" w:rsidR="00F5259C" w:rsidTr="00902F66" w14:paraId="787BB2A4" w14:textId="77777777">
        <w:tc>
          <w:tcPr>
            <w:tcW w:w="1525" w:type="dxa"/>
            <w:shd w:val="clear" w:color="auto" w:fill="auto"/>
          </w:tcPr>
          <w:p w:rsidRPr="00B82B04" w:rsidR="00F5259C" w:rsidP="00902F66" w:rsidRDefault="00F5259C" w14:paraId="37D38FF6" w14:textId="77777777">
            <w:pPr>
              <w:pStyle w:val="paragraph"/>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Depression</w:t>
            </w:r>
          </w:p>
        </w:tc>
        <w:tc>
          <w:tcPr>
            <w:tcW w:w="3330" w:type="dxa"/>
            <w:shd w:val="clear" w:color="auto" w:fill="auto"/>
          </w:tcPr>
          <w:p w:rsidRPr="00B82B04" w:rsidR="00F5259C" w:rsidP="00902F66" w:rsidRDefault="00F5259C" w14:paraId="4A469B85" w14:textId="77777777">
            <w:pPr>
              <w:pStyle w:val="paragraph"/>
              <w:spacing w:before="0" w:beforeAutospacing="0" w:after="0" w:afterAutospacing="0"/>
              <w:ind w:right="144"/>
              <w:textAlignment w:val="baseline"/>
              <w:rPr>
                <w:rStyle w:val="normaltextrun"/>
                <w:rFonts w:ascii="Arial" w:hAnsi="Arial" w:cs="Arial"/>
                <w:sz w:val="20"/>
                <w:szCs w:val="20"/>
              </w:rPr>
            </w:pPr>
            <w:r w:rsidRPr="00B82B04">
              <w:rPr>
                <w:rStyle w:val="normaltextrun"/>
                <w:rFonts w:ascii="Arial" w:hAnsi="Arial" w:cs="Arial"/>
                <w:sz w:val="20"/>
                <w:szCs w:val="20"/>
              </w:rPr>
              <w:t>Records</w:t>
            </w:r>
            <w:r>
              <w:rPr>
                <w:rStyle w:val="normaltextrun"/>
                <w:rFonts w:ascii="Arial" w:hAnsi="Arial" w:cs="Arial"/>
                <w:sz w:val="20"/>
                <w:szCs w:val="20"/>
              </w:rPr>
              <w:t xml:space="preserve"> </w:t>
            </w:r>
            <w:r w:rsidRPr="00B82B04">
              <w:rPr>
                <w:rStyle w:val="normaltextrun"/>
                <w:rFonts w:ascii="Arial" w:hAnsi="Arial" w:cs="Arial"/>
                <w:sz w:val="20"/>
                <w:szCs w:val="20"/>
              </w:rPr>
              <w:t>client’s</w:t>
            </w:r>
            <w:r>
              <w:rPr>
                <w:rStyle w:val="normaltextrun"/>
                <w:rFonts w:ascii="Arial" w:hAnsi="Arial" w:cs="Arial"/>
                <w:sz w:val="20"/>
                <w:szCs w:val="20"/>
              </w:rPr>
              <w:t xml:space="preserve"> </w:t>
            </w:r>
            <w:r w:rsidRPr="00B82B04">
              <w:rPr>
                <w:rStyle w:val="normaltextrun"/>
                <w:rFonts w:ascii="Arial" w:hAnsi="Arial" w:cs="Arial"/>
                <w:sz w:val="20"/>
                <w:szCs w:val="20"/>
              </w:rPr>
              <w:t>level</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depression</w:t>
            </w:r>
            <w:r>
              <w:rPr>
                <w:rStyle w:val="normaltextrun"/>
                <w:rFonts w:ascii="Arial" w:hAnsi="Arial" w:cs="Arial"/>
                <w:sz w:val="20"/>
                <w:szCs w:val="20"/>
              </w:rPr>
              <w:t xml:space="preserve"> </w:t>
            </w:r>
            <w:r w:rsidRPr="00B82B04">
              <w:rPr>
                <w:rStyle w:val="normaltextrun"/>
                <w:rFonts w:ascii="Arial" w:hAnsi="Arial" w:cs="Arial"/>
                <w:sz w:val="20"/>
                <w:szCs w:val="20"/>
              </w:rPr>
              <w:t>as</w:t>
            </w:r>
            <w:r>
              <w:rPr>
                <w:rStyle w:val="normaltextrun"/>
                <w:rFonts w:ascii="Arial" w:hAnsi="Arial" w:cs="Arial"/>
                <w:sz w:val="20"/>
                <w:szCs w:val="20"/>
              </w:rPr>
              <w:t xml:space="preserve"> </w:t>
            </w:r>
            <w:r w:rsidRPr="00B82B04">
              <w:rPr>
                <w:rStyle w:val="normaltextrun"/>
                <w:rFonts w:ascii="Arial" w:hAnsi="Arial" w:cs="Arial"/>
                <w:sz w:val="20"/>
                <w:szCs w:val="20"/>
              </w:rPr>
              <w:t>a</w:t>
            </w:r>
            <w:r>
              <w:rPr>
                <w:rStyle w:val="normaltextrun"/>
                <w:rFonts w:ascii="Arial" w:hAnsi="Arial" w:cs="Arial"/>
                <w:sz w:val="20"/>
                <w:szCs w:val="20"/>
              </w:rPr>
              <w:t xml:space="preserve"> </w:t>
            </w:r>
            <w:r w:rsidRPr="00B82B04">
              <w:rPr>
                <w:rStyle w:val="normaltextrun"/>
                <w:rFonts w:ascii="Arial" w:hAnsi="Arial" w:cs="Arial"/>
                <w:sz w:val="20"/>
                <w:szCs w:val="20"/>
              </w:rPr>
              <w:t>possible</w:t>
            </w:r>
            <w:r>
              <w:rPr>
                <w:rStyle w:val="normaltextrun"/>
                <w:rFonts w:ascii="Arial" w:hAnsi="Arial" w:cs="Arial"/>
                <w:sz w:val="20"/>
                <w:szCs w:val="20"/>
              </w:rPr>
              <w:t xml:space="preserve"> </w:t>
            </w:r>
            <w:r w:rsidRPr="00B82B04">
              <w:rPr>
                <w:rStyle w:val="normaltextrun"/>
                <w:rFonts w:ascii="Arial" w:hAnsi="Arial" w:cs="Arial"/>
                <w:sz w:val="20"/>
                <w:szCs w:val="20"/>
              </w:rPr>
              <w:t>confounding</w:t>
            </w:r>
            <w:r>
              <w:rPr>
                <w:rStyle w:val="normaltextrun"/>
                <w:rFonts w:ascii="Arial" w:hAnsi="Arial" w:cs="Arial"/>
                <w:sz w:val="20"/>
                <w:szCs w:val="20"/>
              </w:rPr>
              <w:t xml:space="preserve"> </w:t>
            </w:r>
            <w:r w:rsidRPr="00B82B04">
              <w:rPr>
                <w:rStyle w:val="normaltextrun"/>
                <w:rFonts w:ascii="Arial" w:hAnsi="Arial" w:cs="Arial"/>
                <w:sz w:val="20"/>
                <w:szCs w:val="20"/>
              </w:rPr>
              <w:t>factor</w:t>
            </w:r>
            <w:r>
              <w:rPr>
                <w:rStyle w:val="normaltextrun"/>
                <w:rFonts w:ascii="Arial" w:hAnsi="Arial" w:cs="Arial"/>
                <w:sz w:val="20"/>
                <w:szCs w:val="20"/>
              </w:rPr>
              <w:t xml:space="preserve"> </w:t>
            </w:r>
            <w:r w:rsidRPr="00B82B04">
              <w:rPr>
                <w:rStyle w:val="normaltextrun"/>
                <w:rFonts w:ascii="Arial" w:hAnsi="Arial" w:cs="Arial"/>
                <w:sz w:val="20"/>
                <w:szCs w:val="20"/>
              </w:rPr>
              <w:t>associated</w:t>
            </w:r>
            <w:r>
              <w:rPr>
                <w:rStyle w:val="normaltextrun"/>
                <w:rFonts w:ascii="Arial" w:hAnsi="Arial" w:cs="Arial"/>
                <w:sz w:val="20"/>
                <w:szCs w:val="20"/>
              </w:rPr>
              <w:t xml:space="preserve"> </w:t>
            </w:r>
            <w:r w:rsidRPr="00B82B04">
              <w:rPr>
                <w:rStyle w:val="normaltextrun"/>
                <w:rFonts w:ascii="Arial" w:hAnsi="Arial" w:cs="Arial"/>
                <w:sz w:val="20"/>
                <w:szCs w:val="20"/>
              </w:rPr>
              <w:t>with</w:t>
            </w:r>
            <w:r>
              <w:rPr>
                <w:rStyle w:val="normaltextrun"/>
                <w:rFonts w:ascii="Arial" w:hAnsi="Arial" w:cs="Arial"/>
                <w:sz w:val="20"/>
                <w:szCs w:val="20"/>
              </w:rPr>
              <w:t xml:space="preserve"> </w:t>
            </w:r>
            <w:r w:rsidRPr="00B82B04">
              <w:rPr>
                <w:rStyle w:val="normaltextrun"/>
                <w:rFonts w:ascii="Arial" w:hAnsi="Arial" w:cs="Arial"/>
                <w:sz w:val="20"/>
                <w:szCs w:val="20"/>
              </w:rPr>
              <w:t>increased</w:t>
            </w:r>
            <w:r>
              <w:rPr>
                <w:rStyle w:val="normaltextrun"/>
                <w:rFonts w:ascii="Arial" w:hAnsi="Arial" w:cs="Arial"/>
                <w:sz w:val="20"/>
                <w:szCs w:val="20"/>
              </w:rPr>
              <w:t xml:space="preserve"> </w:t>
            </w:r>
            <w:r w:rsidRPr="00B82B04">
              <w:rPr>
                <w:rStyle w:val="normaltextrun"/>
                <w:rFonts w:ascii="Arial" w:hAnsi="Arial" w:cs="Arial"/>
                <w:sz w:val="20"/>
                <w:szCs w:val="20"/>
              </w:rPr>
              <w:t>risk</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falls.</w:t>
            </w:r>
            <w:r w:rsidRPr="00B82B04">
              <w:rPr>
                <w:rStyle w:val="FootnoteReference"/>
                <w:rFonts w:ascii="Arial" w:hAnsi="Arial" w:cs="Arial"/>
              </w:rPr>
              <w:footnoteReference w:id="46"/>
            </w:r>
          </w:p>
        </w:tc>
        <w:tc>
          <w:tcPr>
            <w:tcW w:w="2430" w:type="dxa"/>
          </w:tcPr>
          <w:p w:rsidRPr="00B82B04" w:rsidR="00F5259C" w:rsidP="00902F66" w:rsidRDefault="00F5259C" w14:paraId="11C91E47" w14:textId="77777777">
            <w:pPr>
              <w:pStyle w:val="paragraph"/>
              <w:spacing w:before="0" w:beforeAutospacing="0" w:after="0" w:afterAutospacing="0"/>
              <w:ind w:left="74" w:right="106"/>
              <w:textAlignment w:val="baseline"/>
              <w:rPr>
                <w:rStyle w:val="normaltextrun"/>
                <w:rFonts w:ascii="Arial" w:hAnsi="Arial" w:cs="Arial"/>
                <w:sz w:val="20"/>
                <w:szCs w:val="20"/>
              </w:rPr>
            </w:pPr>
            <w:r w:rsidRPr="00B82B04">
              <w:rPr>
                <w:rStyle w:val="normaltextrun"/>
                <w:rFonts w:ascii="Arial" w:hAnsi="Arial" w:cs="Arial"/>
                <w:sz w:val="20"/>
                <w:szCs w:val="20"/>
              </w:rPr>
              <w:t>No</w:t>
            </w:r>
            <w:r>
              <w:rPr>
                <w:rStyle w:val="normaltextrun"/>
                <w:rFonts w:ascii="Arial" w:hAnsi="Arial" w:cs="Arial"/>
                <w:sz w:val="20"/>
                <w:szCs w:val="20"/>
              </w:rPr>
              <w:t xml:space="preserve"> </w:t>
            </w:r>
            <w:r w:rsidRPr="00B82B04">
              <w:rPr>
                <w:rStyle w:val="normaltextrun"/>
                <w:rFonts w:ascii="Arial" w:hAnsi="Arial" w:cs="Arial"/>
                <w:sz w:val="20"/>
                <w:szCs w:val="20"/>
              </w:rPr>
              <w:t>changes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6">
              <w:r w:rsidRPr="00B82B04">
                <w:rPr>
                  <w:rStyle w:val="Hyperlink"/>
                  <w:rFonts w:ascii="Arial" w:hAnsi="Arial" w:cs="Arial"/>
                  <w:sz w:val="20"/>
                  <w:szCs w:val="20"/>
                </w:rPr>
                <w:t>The</w:t>
              </w:r>
              <w:r>
                <w:rPr>
                  <w:rStyle w:val="Hyperlink"/>
                  <w:rFonts w:ascii="Arial" w:hAnsi="Arial" w:cs="Arial"/>
                  <w:sz w:val="20"/>
                  <w:szCs w:val="20"/>
                </w:rPr>
                <w:t xml:space="preserve"> </w:t>
              </w:r>
              <w:r w:rsidRPr="00B82B04">
                <w:rPr>
                  <w:rStyle w:val="Hyperlink"/>
                  <w:rFonts w:ascii="Arial" w:hAnsi="Arial" w:cs="Arial"/>
                  <w:sz w:val="20"/>
                  <w:szCs w:val="20"/>
                </w:rPr>
                <w:t>Patient</w:t>
              </w:r>
              <w:r>
                <w:rPr>
                  <w:rStyle w:val="Hyperlink"/>
                  <w:rFonts w:ascii="Arial" w:hAnsi="Arial" w:cs="Arial"/>
                  <w:sz w:val="20"/>
                  <w:szCs w:val="20"/>
                </w:rPr>
                <w:t xml:space="preserve"> </w:t>
              </w:r>
              <w:r w:rsidRPr="00B82B04">
                <w:rPr>
                  <w:rStyle w:val="Hyperlink"/>
                  <w:rFonts w:ascii="Arial" w:hAnsi="Arial" w:cs="Arial"/>
                  <w:sz w:val="20"/>
                  <w:szCs w:val="20"/>
                </w:rPr>
                <w:t>Health</w:t>
              </w:r>
              <w:r>
                <w:rPr>
                  <w:rStyle w:val="Hyperlink"/>
                  <w:rFonts w:ascii="Arial" w:hAnsi="Arial" w:cs="Arial"/>
                  <w:sz w:val="20"/>
                  <w:szCs w:val="20"/>
                </w:rPr>
                <w:t xml:space="preserve"> </w:t>
              </w:r>
              <w:r w:rsidRPr="00B82B04">
                <w:rPr>
                  <w:rStyle w:val="Hyperlink"/>
                  <w:rFonts w:ascii="Arial" w:hAnsi="Arial" w:cs="Arial"/>
                  <w:sz w:val="20"/>
                  <w:szCs w:val="20"/>
                </w:rPr>
                <w:t>Questionnaire</w:t>
              </w:r>
              <w:r>
                <w:rPr>
                  <w:rStyle w:val="Hyperlink"/>
                  <w:rFonts w:ascii="Arial" w:hAnsi="Arial" w:cs="Arial"/>
                  <w:sz w:val="20"/>
                  <w:szCs w:val="20"/>
                </w:rPr>
                <w:t xml:space="preserve"> </w:t>
              </w:r>
              <w:r w:rsidRPr="00B82B04">
                <w:rPr>
                  <w:rStyle w:val="Hyperlink"/>
                  <w:rFonts w:ascii="Arial" w:hAnsi="Arial" w:cs="Arial"/>
                  <w:sz w:val="20"/>
                  <w:szCs w:val="20"/>
                </w:rPr>
                <w:t>(PHQ-9)</w:t>
              </w:r>
            </w:hyperlink>
            <w:r>
              <w:rPr>
                <w:rStyle w:val="Hyperlink"/>
                <w:rFonts w:ascii="Arial" w:hAnsi="Arial" w:cs="Arial"/>
                <w:color w:val="auto"/>
                <w:sz w:val="20"/>
                <w:szCs w:val="20"/>
              </w:rPr>
              <w:t xml:space="preserve">  </w:t>
            </w:r>
          </w:p>
        </w:tc>
        <w:tc>
          <w:tcPr>
            <w:tcW w:w="2088" w:type="dxa"/>
            <w:gridSpan w:val="2"/>
          </w:tcPr>
          <w:p w:rsidRPr="00B82B04" w:rsidR="00F5259C" w:rsidP="00902F66" w:rsidRDefault="00F5259C" w14:paraId="6B9B3EEA" w14:textId="77777777">
            <w:pPr>
              <w:pStyle w:val="paragraph"/>
              <w:spacing w:before="0" w:beforeAutospacing="0" w:after="0" w:afterAutospacing="0"/>
              <w:ind w:left="72" w:right="43"/>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Impact</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(Baseline</w:t>
            </w:r>
            <w:r>
              <w:rPr>
                <w:rStyle w:val="normaltextrun"/>
                <w:rFonts w:ascii="Arial" w:hAnsi="Arial" w:cs="Arial"/>
                <w:sz w:val="20"/>
                <w:szCs w:val="20"/>
              </w:rPr>
              <w:t xml:space="preserve">/ </w:t>
            </w:r>
            <w:r w:rsidRPr="00B82B04">
              <w:rPr>
                <w:rStyle w:val="normaltextrun"/>
                <w:rFonts w:ascii="Arial" w:hAnsi="Arial" w:cs="Arial"/>
                <w:sz w:val="20"/>
                <w:szCs w:val="20"/>
              </w:rPr>
              <w:t>Post-modification)</w:t>
            </w:r>
            <w:r>
              <w:rPr>
                <w:rStyle w:val="normaltextrun"/>
                <w:rFonts w:ascii="Arial" w:hAnsi="Arial" w:cs="Arial"/>
                <w:sz w:val="20"/>
                <w:szCs w:val="20"/>
              </w:rPr>
              <w:t xml:space="preserve"> </w:t>
            </w:r>
          </w:p>
          <w:p w:rsidRPr="00B82B04" w:rsidR="00F5259C" w:rsidP="00902F66" w:rsidRDefault="00F5259C" w14:paraId="3DC98EE5" w14:textId="77777777">
            <w:pPr>
              <w:pStyle w:val="paragraph"/>
              <w:spacing w:before="0" w:beforeAutospacing="0" w:after="0" w:afterAutospacing="0"/>
              <w:ind w:left="72" w:right="43"/>
              <w:textAlignment w:val="baseline"/>
              <w:rPr>
                <w:rStyle w:val="normaltextrun"/>
                <w:rFonts w:ascii="Arial" w:hAnsi="Arial" w:cs="Arial"/>
                <w:sz w:val="20"/>
                <w:szCs w:val="20"/>
              </w:rPr>
            </w:pP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H</w:t>
            </w:r>
          </w:p>
        </w:tc>
      </w:tr>
      <w:tr w:rsidRPr="00B82B04" w:rsidR="00F5259C" w:rsidTr="00902F66" w14:paraId="5E99F967" w14:textId="77777777">
        <w:tc>
          <w:tcPr>
            <w:tcW w:w="1525" w:type="dxa"/>
            <w:shd w:val="clear" w:color="auto" w:fill="auto"/>
          </w:tcPr>
          <w:p w:rsidR="00F5259C" w:rsidP="00902F66" w:rsidRDefault="00F5259C" w14:paraId="3C813A69" w14:textId="77777777">
            <w:pPr>
              <w:pStyle w:val="paragraph"/>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home</w:t>
            </w:r>
            <w:r>
              <w:rPr>
                <w:rStyle w:val="normaltextrun"/>
                <w:rFonts w:ascii="Arial" w:hAnsi="Arial" w:cs="Arial"/>
                <w:sz w:val="20"/>
                <w:szCs w:val="20"/>
              </w:rPr>
              <w:t xml:space="preserve"> </w:t>
            </w:r>
            <w:r w:rsidRPr="00B82B04">
              <w:rPr>
                <w:rStyle w:val="normaltextrun"/>
                <w:rFonts w:ascii="Arial" w:hAnsi="Arial" w:cs="Arial"/>
                <w:sz w:val="20"/>
                <w:szCs w:val="20"/>
              </w:rPr>
              <w:t>tenure</w:t>
            </w:r>
            <w:r>
              <w:rPr>
                <w:rStyle w:val="normaltextrun"/>
                <w:rFonts w:ascii="Arial" w:hAnsi="Arial" w:cs="Arial"/>
                <w:sz w:val="20"/>
                <w:szCs w:val="20"/>
              </w:rPr>
              <w:t xml:space="preserve"> </w:t>
            </w:r>
          </w:p>
          <w:p w:rsidRPr="00B82B04" w:rsidR="00F5259C" w:rsidP="00902F66" w:rsidRDefault="00F5259C" w14:paraId="44AA994C" w14:textId="77777777">
            <w:pPr>
              <w:pStyle w:val="paragraph"/>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data</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5FC7D991" w14:textId="77777777">
            <w:pPr>
              <w:pStyle w:val="paragraph"/>
              <w:spacing w:before="0" w:beforeAutospacing="0" w:after="0" w:afterAutospacing="0"/>
              <w:ind w:left="74" w:right="101"/>
              <w:textAlignment w:val="baseline"/>
              <w:rPr>
                <w:rStyle w:val="normaltextrun"/>
                <w:rFonts w:ascii="Arial" w:hAnsi="Arial" w:cs="Arial"/>
                <w:sz w:val="20"/>
                <w:szCs w:val="20"/>
              </w:rPr>
            </w:pPr>
            <w:r w:rsidRPr="00B82B04">
              <w:rPr>
                <w:rStyle w:val="normaltextrun"/>
                <w:rFonts w:ascii="Arial" w:hAnsi="Arial" w:cs="Arial"/>
                <w:sz w:val="20"/>
                <w:szCs w:val="20"/>
              </w:rPr>
              <w:t>Collects</w:t>
            </w:r>
            <w:r>
              <w:rPr>
                <w:rStyle w:val="normaltextrun"/>
                <w:rFonts w:ascii="Arial" w:hAnsi="Arial" w:cs="Arial"/>
                <w:sz w:val="20"/>
                <w:szCs w:val="20"/>
              </w:rPr>
              <w:t xml:space="preserve"> </w:t>
            </w:r>
            <w:r w:rsidRPr="00B82B04">
              <w:rPr>
                <w:rStyle w:val="normaltextrun"/>
                <w:rFonts w:ascii="Arial" w:hAnsi="Arial" w:cs="Arial"/>
                <w:sz w:val="20"/>
                <w:szCs w:val="20"/>
              </w:rPr>
              <w:t>data</w:t>
            </w:r>
            <w:r>
              <w:rPr>
                <w:rStyle w:val="normaltextrun"/>
                <w:rFonts w:ascii="Arial" w:hAnsi="Arial" w:cs="Arial"/>
                <w:sz w:val="20"/>
                <w:szCs w:val="20"/>
              </w:rPr>
              <w:t xml:space="preserve"> </w:t>
            </w:r>
            <w:r w:rsidRPr="00B82B04">
              <w:rPr>
                <w:rStyle w:val="normaltextrun"/>
                <w:rFonts w:ascii="Arial" w:hAnsi="Arial" w:cs="Arial"/>
                <w:sz w:val="20"/>
                <w:szCs w:val="20"/>
              </w:rPr>
              <w:t>on</w:t>
            </w:r>
            <w:r>
              <w:rPr>
                <w:rStyle w:val="normaltextrun"/>
                <w:rFonts w:ascii="Arial" w:hAnsi="Arial" w:cs="Arial"/>
                <w:sz w:val="20"/>
                <w:szCs w:val="20"/>
              </w:rPr>
              <w:t xml:space="preserve"> </w:t>
            </w:r>
            <w:r w:rsidRPr="00B82B04">
              <w:rPr>
                <w:rStyle w:val="normaltextrun"/>
                <w:rFonts w:ascii="Arial" w:hAnsi="Arial" w:cs="Arial"/>
                <w:sz w:val="20"/>
                <w:szCs w:val="20"/>
              </w:rPr>
              <w:t>length</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time</w:t>
            </w:r>
            <w:r>
              <w:rPr>
                <w:rStyle w:val="normaltextrun"/>
                <w:rFonts w:ascii="Arial" w:hAnsi="Arial" w:cs="Arial"/>
                <w:sz w:val="20"/>
                <w:szCs w:val="20"/>
              </w:rPr>
              <w:t xml:space="preserve"> </w:t>
            </w:r>
            <w:r w:rsidRPr="00B82B04">
              <w:rPr>
                <w:rStyle w:val="normaltextrun"/>
                <w:rFonts w:ascii="Arial" w:hAnsi="Arial" w:cs="Arial"/>
                <w:sz w:val="20"/>
                <w:szCs w:val="20"/>
              </w:rPr>
              <w:t>recipient</w:t>
            </w:r>
            <w:r>
              <w:rPr>
                <w:rStyle w:val="normaltextrun"/>
                <w:rFonts w:ascii="Arial" w:hAnsi="Arial" w:cs="Arial"/>
                <w:sz w:val="20"/>
                <w:szCs w:val="20"/>
              </w:rPr>
              <w:t xml:space="preserve"> </w:t>
            </w:r>
            <w:r w:rsidRPr="00B82B04">
              <w:rPr>
                <w:rStyle w:val="normaltextrun"/>
                <w:rFonts w:ascii="Arial" w:hAnsi="Arial" w:cs="Arial"/>
                <w:sz w:val="20"/>
                <w:szCs w:val="20"/>
              </w:rPr>
              <w:t>lived</w:t>
            </w:r>
            <w:r>
              <w:rPr>
                <w:rStyle w:val="normaltextrun"/>
                <w:rFonts w:ascii="Arial" w:hAnsi="Arial" w:cs="Arial"/>
                <w:sz w:val="20"/>
                <w:szCs w:val="20"/>
              </w:rPr>
              <w:t xml:space="preserve"> </w:t>
            </w:r>
            <w:r w:rsidRPr="00B82B04">
              <w:rPr>
                <w:rStyle w:val="normaltextrun"/>
                <w:rFonts w:ascii="Arial" w:hAnsi="Arial" w:cs="Arial"/>
                <w:sz w:val="20"/>
                <w:szCs w:val="20"/>
              </w:rPr>
              <w:t>in</w:t>
            </w:r>
            <w:r>
              <w:rPr>
                <w:rStyle w:val="normaltextrun"/>
                <w:rFonts w:ascii="Arial" w:hAnsi="Arial" w:cs="Arial"/>
                <w:sz w:val="20"/>
                <w:szCs w:val="20"/>
              </w:rPr>
              <w:t xml:space="preserve"> </w:t>
            </w:r>
            <w:r w:rsidRPr="00B82B04">
              <w:rPr>
                <w:rStyle w:val="normaltextrun"/>
                <w:rFonts w:ascii="Arial" w:hAnsi="Arial" w:cs="Arial"/>
                <w:sz w:val="20"/>
                <w:szCs w:val="20"/>
              </w:rPr>
              <w:t>home</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reasons</w:t>
            </w:r>
            <w:r>
              <w:rPr>
                <w:rStyle w:val="normaltextrun"/>
                <w:rFonts w:ascii="Arial" w:hAnsi="Arial" w:cs="Arial"/>
                <w:sz w:val="20"/>
                <w:szCs w:val="20"/>
              </w:rPr>
              <w:t xml:space="preserve"> </w:t>
            </w:r>
            <w:r w:rsidRPr="00B82B04">
              <w:rPr>
                <w:rStyle w:val="normaltextrun"/>
                <w:rFonts w:ascii="Arial" w:hAnsi="Arial" w:cs="Arial"/>
                <w:sz w:val="20"/>
                <w:szCs w:val="20"/>
              </w:rPr>
              <w:t>why</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where</w:t>
            </w:r>
            <w:r>
              <w:rPr>
                <w:rStyle w:val="normaltextrun"/>
                <w:rFonts w:ascii="Arial" w:hAnsi="Arial" w:cs="Arial"/>
                <w:sz w:val="20"/>
                <w:szCs w:val="20"/>
              </w:rPr>
              <w:t xml:space="preserve"> </w:t>
            </w:r>
            <w:r w:rsidRPr="00B82B04">
              <w:rPr>
                <w:rStyle w:val="normaltextrun"/>
                <w:rFonts w:ascii="Arial" w:hAnsi="Arial" w:cs="Arial"/>
                <w:sz w:val="20"/>
                <w:szCs w:val="20"/>
              </w:rPr>
              <w:t>some</w:t>
            </w:r>
            <w:r>
              <w:rPr>
                <w:rStyle w:val="normaltextrun"/>
                <w:rFonts w:ascii="Arial" w:hAnsi="Arial" w:cs="Arial"/>
                <w:sz w:val="20"/>
                <w:szCs w:val="20"/>
              </w:rPr>
              <w:t xml:space="preserve"> </w:t>
            </w:r>
            <w:r w:rsidRPr="00B82B04">
              <w:rPr>
                <w:rStyle w:val="normaltextrun"/>
                <w:rFonts w:ascii="Arial" w:hAnsi="Arial" w:cs="Arial"/>
                <w:sz w:val="20"/>
                <w:szCs w:val="20"/>
              </w:rPr>
              <w:t>clients</w:t>
            </w:r>
            <w:r>
              <w:rPr>
                <w:rStyle w:val="normaltextrun"/>
                <w:rFonts w:ascii="Arial" w:hAnsi="Arial" w:cs="Arial"/>
                <w:sz w:val="20"/>
                <w:szCs w:val="20"/>
              </w:rPr>
              <w:t xml:space="preserve"> moved during evaluation period to c</w:t>
            </w:r>
            <w:r w:rsidRPr="00B82B04">
              <w:rPr>
                <w:rFonts w:ascii="Arial" w:hAnsi="Arial" w:cs="Arial"/>
                <w:sz w:val="20"/>
                <w:szCs w:val="20"/>
              </w:rPr>
              <w:t>ompare</w:t>
            </w:r>
            <w:r>
              <w:rPr>
                <w:rFonts w:ascii="Arial" w:hAnsi="Arial" w:cs="Arial"/>
                <w:sz w:val="20"/>
                <w:szCs w:val="20"/>
              </w:rPr>
              <w:t xml:space="preserve"> </w:t>
            </w:r>
            <w:r w:rsidRPr="00B82B04">
              <w:rPr>
                <w:rStyle w:val="normaltextrun"/>
                <w:rFonts w:ascii="Arial" w:hAnsi="Arial" w:cs="Arial"/>
                <w:sz w:val="20"/>
                <w:szCs w:val="20"/>
              </w:rPr>
              <w:t>with</w:t>
            </w:r>
            <w:r>
              <w:rPr>
                <w:rStyle w:val="normaltextrun"/>
                <w:rFonts w:ascii="Arial" w:hAnsi="Arial" w:cs="Arial"/>
                <w:sz w:val="20"/>
                <w:szCs w:val="20"/>
              </w:rPr>
              <w:t xml:space="preserve"> </w:t>
            </w:r>
            <w:r w:rsidRPr="00B82B04">
              <w:rPr>
                <w:rStyle w:val="normaltextrun"/>
                <w:rFonts w:ascii="Arial" w:hAnsi="Arial" w:cs="Arial"/>
                <w:sz w:val="20"/>
                <w:szCs w:val="20"/>
              </w:rPr>
              <w:t>national</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regional</w:t>
            </w:r>
            <w:r>
              <w:rPr>
                <w:rStyle w:val="normaltextrun"/>
                <w:rFonts w:ascii="Arial" w:hAnsi="Arial" w:cs="Arial"/>
                <w:sz w:val="20"/>
                <w:szCs w:val="20"/>
              </w:rPr>
              <w:t xml:space="preserve"> AHS </w:t>
            </w:r>
            <w:r w:rsidRPr="00B82B04">
              <w:rPr>
                <w:rStyle w:val="normaltextrun"/>
                <w:rFonts w:ascii="Arial" w:hAnsi="Arial" w:cs="Arial"/>
                <w:sz w:val="20"/>
                <w:szCs w:val="20"/>
              </w:rPr>
              <w:t>data</w:t>
            </w:r>
            <w:r>
              <w:rPr>
                <w:rStyle w:val="normaltextrun"/>
                <w:rFonts w:ascii="Arial" w:hAnsi="Arial" w:cs="Arial"/>
                <w:sz w:val="20"/>
                <w:szCs w:val="20"/>
              </w:rPr>
              <w:t xml:space="preserve"> </w:t>
            </w:r>
            <w:r w:rsidRPr="00B82B04">
              <w:rPr>
                <w:rStyle w:val="normaltextrun"/>
                <w:rFonts w:ascii="Arial" w:hAnsi="Arial" w:cs="Arial"/>
                <w:sz w:val="20"/>
                <w:szCs w:val="20"/>
              </w:rPr>
              <w:t>on</w:t>
            </w:r>
            <w:r>
              <w:rPr>
                <w:rStyle w:val="normaltextrun"/>
                <w:rFonts w:ascii="Arial" w:hAnsi="Arial" w:cs="Arial"/>
                <w:sz w:val="20"/>
                <w:szCs w:val="20"/>
              </w:rPr>
              <w:t xml:space="preserve"> </w:t>
            </w:r>
            <w:r w:rsidRPr="00B82B04">
              <w:rPr>
                <w:rStyle w:val="normaltextrun"/>
                <w:rFonts w:ascii="Arial" w:hAnsi="Arial" w:cs="Arial"/>
                <w:sz w:val="20"/>
                <w:szCs w:val="20"/>
              </w:rPr>
              <w:t>older</w:t>
            </w:r>
            <w:r>
              <w:rPr>
                <w:rStyle w:val="normaltextrun"/>
                <w:rFonts w:ascii="Arial" w:hAnsi="Arial" w:cs="Arial"/>
                <w:sz w:val="20"/>
                <w:szCs w:val="20"/>
              </w:rPr>
              <w:t xml:space="preserve"> </w:t>
            </w:r>
            <w:r w:rsidRPr="00B82B04">
              <w:rPr>
                <w:rStyle w:val="normaltextrun"/>
                <w:rFonts w:ascii="Arial" w:hAnsi="Arial" w:cs="Arial"/>
                <w:sz w:val="20"/>
                <w:szCs w:val="20"/>
              </w:rPr>
              <w:t>adult</w:t>
            </w:r>
            <w:r>
              <w:rPr>
                <w:rStyle w:val="normaltextrun"/>
                <w:rFonts w:ascii="Arial" w:hAnsi="Arial" w:cs="Arial"/>
                <w:sz w:val="20"/>
                <w:szCs w:val="20"/>
              </w:rPr>
              <w:t xml:space="preserve"> </w:t>
            </w:r>
            <w:r w:rsidRPr="00B82B04">
              <w:rPr>
                <w:rStyle w:val="normaltextrun"/>
                <w:rFonts w:ascii="Arial" w:hAnsi="Arial" w:cs="Arial"/>
                <w:sz w:val="20"/>
                <w:szCs w:val="20"/>
              </w:rPr>
              <w:t>relocations.</w:t>
            </w:r>
            <w:r>
              <w:rPr>
                <w:rStyle w:val="normaltextrun"/>
                <w:rFonts w:ascii="Arial" w:hAnsi="Arial" w:cs="Arial"/>
                <w:sz w:val="20"/>
                <w:szCs w:val="20"/>
              </w:rPr>
              <w:t xml:space="preserve"> </w:t>
            </w:r>
            <w:r w:rsidRPr="00B82B04">
              <w:rPr>
                <w:rStyle w:val="normaltextrun"/>
                <w:rFonts w:ascii="Arial" w:hAnsi="Arial" w:cs="Arial"/>
                <w:sz w:val="20"/>
                <w:szCs w:val="20"/>
              </w:rPr>
              <w:t>Solutions</w:t>
            </w:r>
            <w:r>
              <w:rPr>
                <w:rStyle w:val="normaltextrun"/>
                <w:rFonts w:ascii="Arial" w:hAnsi="Arial" w:cs="Arial"/>
                <w:sz w:val="20"/>
                <w:szCs w:val="20"/>
              </w:rPr>
              <w:t xml:space="preserve"> </w:t>
            </w:r>
            <w:r w:rsidRPr="00B82B04">
              <w:rPr>
                <w:rStyle w:val="normaltextrun"/>
                <w:rFonts w:ascii="Arial" w:hAnsi="Arial" w:cs="Arial"/>
                <w:sz w:val="20"/>
                <w:szCs w:val="20"/>
              </w:rPr>
              <w:t>will</w:t>
            </w:r>
            <w:r>
              <w:rPr>
                <w:rStyle w:val="normaltextrun"/>
                <w:rFonts w:ascii="Arial" w:hAnsi="Arial" w:cs="Arial"/>
                <w:sz w:val="20"/>
                <w:szCs w:val="20"/>
              </w:rPr>
              <w:t xml:space="preserve"> </w:t>
            </w:r>
            <w:r w:rsidRPr="00B82B04">
              <w:rPr>
                <w:rStyle w:val="normaltextrun"/>
                <w:rFonts w:ascii="Arial" w:hAnsi="Arial" w:cs="Arial"/>
                <w:sz w:val="20"/>
                <w:szCs w:val="20"/>
              </w:rPr>
              <w:t>use</w:t>
            </w:r>
            <w:r>
              <w:rPr>
                <w:rStyle w:val="normaltextrun"/>
                <w:rFonts w:ascii="Arial" w:hAnsi="Arial" w:cs="Arial"/>
                <w:sz w:val="20"/>
                <w:szCs w:val="20"/>
              </w:rPr>
              <w:t xml:space="preserve"> </w:t>
            </w:r>
            <w:r w:rsidRPr="00B82B04">
              <w:rPr>
                <w:rStyle w:val="normaltextrun"/>
                <w:rFonts w:ascii="Arial" w:hAnsi="Arial" w:cs="Arial"/>
                <w:sz w:val="20"/>
                <w:szCs w:val="20"/>
              </w:rPr>
              <w:t>AHS</w:t>
            </w:r>
            <w:r>
              <w:rPr>
                <w:rStyle w:val="normaltextrun"/>
                <w:rFonts w:ascii="Arial" w:hAnsi="Arial" w:cs="Arial"/>
                <w:sz w:val="20"/>
                <w:szCs w:val="20"/>
              </w:rPr>
              <w:t xml:space="preserve"> </w:t>
            </w:r>
            <w:r w:rsidRPr="00B82B04">
              <w:rPr>
                <w:rStyle w:val="normaltextrun"/>
                <w:rFonts w:ascii="Arial" w:hAnsi="Arial" w:cs="Arial"/>
                <w:sz w:val="20"/>
                <w:szCs w:val="20"/>
              </w:rPr>
              <w:t>National</w:t>
            </w:r>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Metropolitan</w:t>
            </w:r>
            <w:r>
              <w:rPr>
                <w:rStyle w:val="normaltextrun"/>
                <w:rFonts w:ascii="Arial" w:hAnsi="Arial" w:cs="Arial"/>
                <w:sz w:val="20"/>
                <w:szCs w:val="20"/>
              </w:rPr>
              <w:t xml:space="preserve"> </w:t>
            </w:r>
            <w:r w:rsidRPr="00B82B04">
              <w:rPr>
                <w:rStyle w:val="normaltextrun"/>
                <w:rFonts w:ascii="Arial" w:hAnsi="Arial" w:cs="Arial"/>
                <w:sz w:val="20"/>
                <w:szCs w:val="20"/>
              </w:rPr>
              <w:lastRenderedPageBreak/>
              <w:t>Public</w:t>
            </w:r>
            <w:r>
              <w:rPr>
                <w:rStyle w:val="normaltextrun"/>
                <w:rFonts w:ascii="Arial" w:hAnsi="Arial" w:cs="Arial"/>
                <w:sz w:val="20"/>
                <w:szCs w:val="20"/>
              </w:rPr>
              <w:t xml:space="preserve"> </w:t>
            </w:r>
            <w:r w:rsidRPr="00B82B04">
              <w:rPr>
                <w:rStyle w:val="normaltextrun"/>
                <w:rFonts w:ascii="Arial" w:hAnsi="Arial" w:cs="Arial"/>
                <w:sz w:val="20"/>
                <w:szCs w:val="20"/>
              </w:rPr>
              <w:t>Use</w:t>
            </w:r>
            <w:r>
              <w:rPr>
                <w:rStyle w:val="normaltextrun"/>
                <w:rFonts w:ascii="Arial" w:hAnsi="Arial" w:cs="Arial"/>
                <w:sz w:val="20"/>
                <w:szCs w:val="20"/>
              </w:rPr>
              <w:t xml:space="preserve"> </w:t>
            </w:r>
            <w:r w:rsidRPr="00B82B04">
              <w:rPr>
                <w:rStyle w:val="normaltextrun"/>
                <w:rFonts w:ascii="Arial" w:hAnsi="Arial" w:cs="Arial"/>
                <w:sz w:val="20"/>
                <w:szCs w:val="20"/>
              </w:rPr>
              <w:t>Files</w:t>
            </w:r>
            <w:r>
              <w:rPr>
                <w:rStyle w:val="normaltextrun"/>
                <w:rFonts w:ascii="Arial" w:hAnsi="Arial" w:cs="Arial"/>
                <w:sz w:val="20"/>
                <w:szCs w:val="20"/>
              </w:rPr>
              <w:t xml:space="preserve"> </w:t>
            </w:r>
            <w:r w:rsidRPr="00B82B04">
              <w:rPr>
                <w:rStyle w:val="normaltextrun"/>
                <w:rFonts w:ascii="Arial" w:hAnsi="Arial" w:cs="Arial"/>
                <w:sz w:val="20"/>
                <w:szCs w:val="20"/>
              </w:rPr>
              <w:t>(PUF)</w:t>
            </w:r>
            <w:r>
              <w:rPr>
                <w:rStyle w:val="normaltextrun"/>
                <w:rFonts w:ascii="Arial" w:hAnsi="Arial" w:cs="Arial"/>
                <w:sz w:val="20"/>
                <w:szCs w:val="20"/>
              </w:rPr>
              <w:t xml:space="preserve"> </w:t>
            </w:r>
            <w:r w:rsidRPr="00B82B04">
              <w:rPr>
                <w:rStyle w:val="normaltextrun"/>
                <w:rFonts w:ascii="Arial" w:hAnsi="Arial" w:cs="Arial"/>
                <w:sz w:val="20"/>
                <w:szCs w:val="20"/>
              </w:rPr>
              <w:t>microdata</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identify</w:t>
            </w:r>
            <w:r>
              <w:rPr>
                <w:rStyle w:val="normaltextrun"/>
                <w:rFonts w:ascii="Arial" w:hAnsi="Arial" w:cs="Arial"/>
                <w:sz w:val="20"/>
                <w:szCs w:val="20"/>
              </w:rPr>
              <w:t xml:space="preserve"> </w:t>
            </w:r>
            <w:r w:rsidRPr="00B82B04">
              <w:rPr>
                <w:rStyle w:val="normaltextrun"/>
                <w:rFonts w:ascii="Arial" w:hAnsi="Arial" w:cs="Arial"/>
                <w:sz w:val="20"/>
                <w:szCs w:val="20"/>
              </w:rPr>
              <w:t>appropriate</w:t>
            </w:r>
            <w:r>
              <w:rPr>
                <w:rStyle w:val="normaltextrun"/>
                <w:rFonts w:ascii="Arial" w:hAnsi="Arial" w:cs="Arial"/>
                <w:sz w:val="20"/>
                <w:szCs w:val="20"/>
              </w:rPr>
              <w:t xml:space="preserve"> </w:t>
            </w:r>
            <w:r w:rsidRPr="00B82B04">
              <w:rPr>
                <w:rStyle w:val="normaltextrun"/>
                <w:rFonts w:ascii="Arial" w:hAnsi="Arial" w:cs="Arial"/>
                <w:sz w:val="20"/>
                <w:szCs w:val="20"/>
              </w:rPr>
              <w:t>AHS</w:t>
            </w:r>
            <w:r>
              <w:rPr>
                <w:rStyle w:val="normaltextrun"/>
                <w:rFonts w:ascii="Arial" w:hAnsi="Arial" w:cs="Arial"/>
                <w:sz w:val="20"/>
                <w:szCs w:val="20"/>
              </w:rPr>
              <w:t xml:space="preserve"> </w:t>
            </w:r>
            <w:r w:rsidRPr="00B82B04">
              <w:rPr>
                <w:rStyle w:val="normaltextrun"/>
                <w:rFonts w:ascii="Arial" w:hAnsi="Arial" w:cs="Arial"/>
                <w:sz w:val="20"/>
                <w:szCs w:val="20"/>
              </w:rPr>
              <w:t>populations</w:t>
            </w:r>
            <w:r>
              <w:rPr>
                <w:rStyle w:val="normaltextrun"/>
                <w:rFonts w:ascii="Arial" w:hAnsi="Arial" w:cs="Arial"/>
                <w:sz w:val="20"/>
                <w:szCs w:val="20"/>
              </w:rPr>
              <w:t xml:space="preserve"> </w:t>
            </w:r>
            <w:r w:rsidRPr="00B82B04">
              <w:rPr>
                <w:rStyle w:val="normaltextrun"/>
                <w:rFonts w:ascii="Arial" w:hAnsi="Arial" w:cs="Arial"/>
                <w:sz w:val="20"/>
                <w:szCs w:val="20"/>
              </w:rPr>
              <w:t>(e.g.,</w:t>
            </w:r>
            <w:r>
              <w:rPr>
                <w:rStyle w:val="normaltextrun"/>
                <w:rFonts w:ascii="Arial" w:hAnsi="Arial" w:cs="Arial"/>
                <w:sz w:val="20"/>
                <w:szCs w:val="20"/>
              </w:rPr>
              <w:t xml:space="preserve"> homeowners </w:t>
            </w:r>
            <w:r w:rsidRPr="00B82B04">
              <w:rPr>
                <w:rStyle w:val="normaltextrun"/>
                <w:rFonts w:ascii="Arial" w:hAnsi="Arial" w:cs="Arial"/>
                <w:sz w:val="20"/>
                <w:szCs w:val="20"/>
              </w:rPr>
              <w:t>above</w:t>
            </w:r>
            <w:r>
              <w:rPr>
                <w:rStyle w:val="normaltextrun"/>
                <w:rFonts w:ascii="Arial" w:hAnsi="Arial" w:cs="Arial"/>
                <w:sz w:val="20"/>
                <w:szCs w:val="20"/>
              </w:rPr>
              <w:t xml:space="preserve"> </w:t>
            </w:r>
            <w:r w:rsidRPr="00B82B04">
              <w:rPr>
                <w:rStyle w:val="normaltextrun"/>
                <w:rFonts w:ascii="Arial" w:hAnsi="Arial" w:cs="Arial"/>
                <w:sz w:val="20"/>
                <w:szCs w:val="20"/>
              </w:rPr>
              <w:t>a</w:t>
            </w:r>
            <w:r>
              <w:rPr>
                <w:rStyle w:val="normaltextrun"/>
                <w:rFonts w:ascii="Arial" w:hAnsi="Arial" w:cs="Arial"/>
                <w:sz w:val="20"/>
                <w:szCs w:val="20"/>
              </w:rPr>
              <w:t xml:space="preserve"> </w:t>
            </w:r>
            <w:r w:rsidRPr="00B82B04">
              <w:rPr>
                <w:rStyle w:val="normaltextrun"/>
                <w:rFonts w:ascii="Arial" w:hAnsi="Arial" w:cs="Arial"/>
                <w:sz w:val="20"/>
                <w:szCs w:val="20"/>
              </w:rPr>
              <w:t>certain</w:t>
            </w:r>
            <w:r>
              <w:rPr>
                <w:rStyle w:val="normaltextrun"/>
                <w:rFonts w:ascii="Arial" w:hAnsi="Arial" w:cs="Arial"/>
                <w:sz w:val="20"/>
                <w:szCs w:val="20"/>
              </w:rPr>
              <w:t xml:space="preserve"> </w:t>
            </w:r>
            <w:r w:rsidRPr="00B82B04">
              <w:rPr>
                <w:rStyle w:val="normaltextrun"/>
                <w:rFonts w:ascii="Arial" w:hAnsi="Arial" w:cs="Arial"/>
                <w:sz w:val="20"/>
                <w:szCs w:val="20"/>
              </w:rPr>
              <w:t>age)</w:t>
            </w:r>
            <w:r>
              <w:rPr>
                <w:rStyle w:val="normaltextrun"/>
                <w:rFonts w:ascii="Arial" w:hAnsi="Arial" w:cs="Arial"/>
                <w:sz w:val="20"/>
                <w:szCs w:val="20"/>
              </w:rPr>
              <w:t xml:space="preserve"> to </w:t>
            </w:r>
            <w:r w:rsidRPr="00B82B04">
              <w:rPr>
                <w:rStyle w:val="normaltextrun"/>
                <w:rFonts w:ascii="Arial" w:hAnsi="Arial" w:cs="Arial"/>
                <w:sz w:val="20"/>
                <w:szCs w:val="20"/>
              </w:rPr>
              <w:t>compar</w:t>
            </w:r>
            <w:r>
              <w:rPr>
                <w:rStyle w:val="normaltextrun"/>
                <w:rFonts w:ascii="Arial" w:hAnsi="Arial" w:cs="Arial"/>
                <w:sz w:val="20"/>
                <w:szCs w:val="20"/>
              </w:rPr>
              <w:t xml:space="preserve">e </w:t>
            </w:r>
            <w:r w:rsidRPr="00B82B04">
              <w:rPr>
                <w:rStyle w:val="normaltextrun"/>
                <w:rFonts w:ascii="Arial" w:hAnsi="Arial" w:cs="Arial"/>
                <w:sz w:val="20"/>
                <w:szCs w:val="20"/>
              </w:rPr>
              <w:t>with</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clients’</w:t>
            </w:r>
            <w:r>
              <w:rPr>
                <w:rStyle w:val="normaltextrun"/>
                <w:rFonts w:ascii="Arial" w:hAnsi="Arial" w:cs="Arial"/>
                <w:sz w:val="20"/>
                <w:szCs w:val="20"/>
              </w:rPr>
              <w:t xml:space="preserve"> </w:t>
            </w:r>
            <w:r w:rsidRPr="00B82B04">
              <w:rPr>
                <w:rStyle w:val="normaltextrun"/>
                <w:rFonts w:ascii="Arial" w:hAnsi="Arial" w:cs="Arial"/>
                <w:sz w:val="20"/>
                <w:szCs w:val="20"/>
              </w:rPr>
              <w:t>tenure.</w:t>
            </w:r>
            <w:r w:rsidRPr="00B82B04">
              <w:rPr>
                <w:rStyle w:val="FootnoteReference"/>
                <w:rFonts w:ascii="Arial" w:hAnsi="Arial" w:cs="Arial"/>
              </w:rPr>
              <w:footnoteReference w:id="47"/>
            </w:r>
            <w:r>
              <w:rPr>
                <w:rStyle w:val="normaltextrun"/>
                <w:rFonts w:ascii="Arial" w:hAnsi="Arial" w:cs="Arial"/>
                <w:sz w:val="20"/>
                <w:szCs w:val="20"/>
              </w:rPr>
              <w:t xml:space="preserve"> W</w:t>
            </w:r>
            <w:r w:rsidRPr="00B82B04">
              <w:rPr>
                <w:rStyle w:val="normaltextrun"/>
                <w:rFonts w:ascii="Arial" w:hAnsi="Arial" w:cs="Arial"/>
                <w:sz w:val="20"/>
                <w:szCs w:val="20"/>
              </w:rPr>
              <w:t>ill</w:t>
            </w:r>
            <w:r>
              <w:rPr>
                <w:rStyle w:val="normaltextrun"/>
                <w:rFonts w:ascii="Arial" w:hAnsi="Arial" w:cs="Arial"/>
                <w:sz w:val="20"/>
                <w:szCs w:val="20"/>
              </w:rPr>
              <w:t xml:space="preserve"> </w:t>
            </w:r>
            <w:r w:rsidRPr="00B82B04">
              <w:rPr>
                <w:rStyle w:val="normaltextrun"/>
                <w:rFonts w:ascii="Arial" w:hAnsi="Arial" w:cs="Arial"/>
                <w:sz w:val="20"/>
                <w:szCs w:val="20"/>
              </w:rPr>
              <w:t>explore</w:t>
            </w:r>
            <w:r>
              <w:rPr>
                <w:rStyle w:val="normaltextrun"/>
                <w:rFonts w:ascii="Arial" w:hAnsi="Arial" w:cs="Arial"/>
                <w:sz w:val="20"/>
                <w:szCs w:val="20"/>
              </w:rPr>
              <w:t xml:space="preserve"> </w:t>
            </w:r>
            <w:r w:rsidRPr="00B82B04">
              <w:rPr>
                <w:rStyle w:val="normaltextrun"/>
                <w:rFonts w:ascii="Arial" w:hAnsi="Arial" w:cs="Arial"/>
                <w:sz w:val="20"/>
                <w:szCs w:val="20"/>
              </w:rPr>
              <w:t>concerns</w:t>
            </w:r>
            <w:r>
              <w:rPr>
                <w:rStyle w:val="normaltextrun"/>
                <w:rFonts w:ascii="Arial" w:hAnsi="Arial" w:cs="Arial"/>
                <w:sz w:val="20"/>
                <w:szCs w:val="20"/>
              </w:rPr>
              <w:t xml:space="preserve"> </w:t>
            </w:r>
            <w:r w:rsidRPr="00B82B04">
              <w:rPr>
                <w:rStyle w:val="normaltextrun"/>
                <w:rFonts w:ascii="Arial" w:hAnsi="Arial" w:cs="Arial"/>
                <w:sz w:val="20"/>
                <w:szCs w:val="20"/>
              </w:rPr>
              <w:t>about</w:t>
            </w:r>
            <w:r>
              <w:rPr>
                <w:rStyle w:val="normaltextrun"/>
                <w:rFonts w:ascii="Arial" w:hAnsi="Arial" w:cs="Arial"/>
                <w:sz w:val="20"/>
                <w:szCs w:val="20"/>
              </w:rPr>
              <w:t xml:space="preserve"> </w:t>
            </w:r>
            <w:r w:rsidRPr="00B82B04">
              <w:rPr>
                <w:rStyle w:val="normaltextrun"/>
                <w:rFonts w:ascii="Arial" w:hAnsi="Arial" w:cs="Arial"/>
                <w:sz w:val="20"/>
                <w:szCs w:val="20"/>
              </w:rPr>
              <w:t>aging</w:t>
            </w:r>
            <w:r>
              <w:rPr>
                <w:rStyle w:val="normaltextrun"/>
                <w:rFonts w:ascii="Arial" w:hAnsi="Arial" w:cs="Arial"/>
                <w:sz w:val="20"/>
                <w:szCs w:val="20"/>
              </w:rPr>
              <w:t xml:space="preserve"> </w:t>
            </w:r>
            <w:r w:rsidRPr="00B82B04">
              <w:rPr>
                <w:rStyle w:val="normaltextrun"/>
                <w:rFonts w:ascii="Arial" w:hAnsi="Arial" w:cs="Arial"/>
                <w:sz w:val="20"/>
                <w:szCs w:val="20"/>
              </w:rPr>
              <w:t>in</w:t>
            </w:r>
            <w:r>
              <w:rPr>
                <w:rStyle w:val="normaltextrun"/>
                <w:rFonts w:ascii="Arial" w:hAnsi="Arial" w:cs="Arial"/>
                <w:sz w:val="20"/>
                <w:szCs w:val="20"/>
              </w:rPr>
              <w:t xml:space="preserve"> </w:t>
            </w:r>
            <w:r w:rsidRPr="00B82B04">
              <w:rPr>
                <w:rStyle w:val="normaltextrun"/>
                <w:rFonts w:ascii="Arial" w:hAnsi="Arial" w:cs="Arial"/>
                <w:sz w:val="20"/>
                <w:szCs w:val="20"/>
              </w:rPr>
              <w:t>place</w:t>
            </w:r>
            <w:r>
              <w:rPr>
                <w:rStyle w:val="normaltextrun"/>
                <w:rFonts w:ascii="Arial" w:hAnsi="Arial" w:cs="Arial"/>
                <w:sz w:val="20"/>
                <w:szCs w:val="20"/>
              </w:rPr>
              <w:t xml:space="preserve"> </w:t>
            </w:r>
            <w:r w:rsidRPr="00B82B04">
              <w:rPr>
                <w:rStyle w:val="normaltextrun"/>
                <w:rFonts w:ascii="Arial" w:hAnsi="Arial" w:cs="Arial"/>
                <w:sz w:val="20"/>
                <w:szCs w:val="20"/>
              </w:rPr>
              <w:t>(e.g.,</w:t>
            </w:r>
            <w:r>
              <w:rPr>
                <w:rStyle w:val="normaltextrun"/>
                <w:rFonts w:ascii="Arial" w:hAnsi="Arial" w:cs="Arial"/>
                <w:sz w:val="20"/>
                <w:szCs w:val="20"/>
              </w:rPr>
              <w:t xml:space="preserve"> </w:t>
            </w:r>
            <w:r w:rsidRPr="00B82B04">
              <w:rPr>
                <w:rStyle w:val="normaltextrun"/>
                <w:rFonts w:ascii="Arial" w:hAnsi="Arial" w:cs="Arial"/>
                <w:sz w:val="20"/>
                <w:szCs w:val="20"/>
              </w:rPr>
              <w:t>anxieties</w:t>
            </w:r>
            <w:r>
              <w:rPr>
                <w:rStyle w:val="normaltextrun"/>
                <w:rFonts w:ascii="Arial" w:hAnsi="Arial" w:cs="Arial"/>
                <w:sz w:val="20"/>
                <w:szCs w:val="20"/>
              </w:rPr>
              <w:t xml:space="preserve"> </w:t>
            </w:r>
            <w:r w:rsidRPr="00B82B04">
              <w:rPr>
                <w:rStyle w:val="normaltextrun"/>
                <w:rFonts w:ascii="Arial" w:hAnsi="Arial" w:cs="Arial"/>
                <w:sz w:val="20"/>
                <w:szCs w:val="20"/>
              </w:rPr>
              <w:t>about</w:t>
            </w:r>
            <w:r>
              <w:rPr>
                <w:rStyle w:val="normaltextrun"/>
                <w:rFonts w:ascii="Arial" w:hAnsi="Arial" w:cs="Arial"/>
                <w:sz w:val="20"/>
                <w:szCs w:val="20"/>
              </w:rPr>
              <w:t xml:space="preserve"> </w:t>
            </w:r>
            <w:r w:rsidRPr="00B82B04">
              <w:rPr>
                <w:rStyle w:val="normaltextrun"/>
                <w:rFonts w:ascii="Arial" w:hAnsi="Arial" w:cs="Arial"/>
                <w:sz w:val="20"/>
                <w:szCs w:val="20"/>
              </w:rPr>
              <w:t>returning</w:t>
            </w:r>
            <w:r>
              <w:rPr>
                <w:rStyle w:val="normaltextrun"/>
                <w:rFonts w:ascii="Arial" w:hAnsi="Arial" w:cs="Arial"/>
                <w:sz w:val="20"/>
                <w:szCs w:val="20"/>
              </w:rPr>
              <w:t xml:space="preserve"> </w:t>
            </w:r>
            <w:r w:rsidRPr="00B82B04">
              <w:rPr>
                <w:rStyle w:val="normaltextrun"/>
                <w:rFonts w:ascii="Arial" w:hAnsi="Arial" w:cs="Arial"/>
                <w:sz w:val="20"/>
                <w:szCs w:val="20"/>
              </w:rPr>
              <w:t>home</w:t>
            </w:r>
            <w:r>
              <w:rPr>
                <w:rStyle w:val="normaltextrun"/>
                <w:rFonts w:ascii="Arial" w:hAnsi="Arial" w:cs="Arial"/>
                <w:sz w:val="20"/>
                <w:szCs w:val="20"/>
              </w:rPr>
              <w:t xml:space="preserve"> </w:t>
            </w:r>
            <w:r w:rsidRPr="00B82B04">
              <w:rPr>
                <w:rStyle w:val="normaltextrun"/>
                <w:rFonts w:ascii="Arial" w:hAnsi="Arial" w:cs="Arial"/>
                <w:sz w:val="20"/>
                <w:szCs w:val="20"/>
              </w:rPr>
              <w:t>after</w:t>
            </w:r>
            <w:r>
              <w:rPr>
                <w:rStyle w:val="normaltextrun"/>
                <w:rFonts w:ascii="Arial" w:hAnsi="Arial" w:cs="Arial"/>
                <w:sz w:val="20"/>
                <w:szCs w:val="20"/>
              </w:rPr>
              <w:t xml:space="preserve"> </w:t>
            </w:r>
            <w:r w:rsidRPr="00B82B04">
              <w:rPr>
                <w:rStyle w:val="normaltextrun"/>
                <w:rFonts w:ascii="Arial" w:hAnsi="Arial" w:cs="Arial"/>
                <w:sz w:val="20"/>
                <w:szCs w:val="20"/>
              </w:rPr>
              <w:t>medical</w:t>
            </w:r>
            <w:r>
              <w:rPr>
                <w:rStyle w:val="normaltextrun"/>
                <w:rFonts w:ascii="Arial" w:hAnsi="Arial" w:cs="Arial"/>
                <w:sz w:val="20"/>
                <w:szCs w:val="20"/>
              </w:rPr>
              <w:t xml:space="preserve"> </w:t>
            </w:r>
            <w:r w:rsidRPr="00B82B04">
              <w:rPr>
                <w:rStyle w:val="normaltextrun"/>
                <w:rFonts w:ascii="Arial" w:hAnsi="Arial" w:cs="Arial"/>
                <w:sz w:val="20"/>
                <w:szCs w:val="20"/>
              </w:rPr>
              <w:t>event</w:t>
            </w:r>
            <w:r>
              <w:rPr>
                <w:rStyle w:val="normaltextrun"/>
                <w:rFonts w:ascii="Arial" w:hAnsi="Arial" w:cs="Arial"/>
                <w:sz w:val="20"/>
                <w:szCs w:val="20"/>
              </w:rPr>
              <w:t xml:space="preserve"> </w:t>
            </w:r>
            <w:r w:rsidRPr="00B82B04">
              <w:rPr>
                <w:rStyle w:val="normaltextrun"/>
                <w:rFonts w:ascii="Arial" w:hAnsi="Arial" w:cs="Arial"/>
                <w:sz w:val="20"/>
                <w:szCs w:val="20"/>
              </w:rPr>
              <w:t>or</w:t>
            </w:r>
            <w:r>
              <w:rPr>
                <w:rStyle w:val="normaltextrun"/>
                <w:rFonts w:ascii="Arial" w:hAnsi="Arial" w:cs="Arial"/>
                <w:sz w:val="20"/>
                <w:szCs w:val="20"/>
              </w:rPr>
              <w:t xml:space="preserve"> </w:t>
            </w:r>
            <w:r w:rsidRPr="00B82B04">
              <w:rPr>
                <w:rStyle w:val="normaltextrun"/>
                <w:rFonts w:ascii="Arial" w:hAnsi="Arial" w:cs="Arial"/>
                <w:sz w:val="20"/>
                <w:szCs w:val="20"/>
              </w:rPr>
              <w:t>needing</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r w:rsidRPr="00B82B04">
              <w:rPr>
                <w:rStyle w:val="normaltextrun"/>
                <w:rFonts w:ascii="Arial" w:hAnsi="Arial" w:cs="Arial"/>
                <w:sz w:val="20"/>
                <w:szCs w:val="20"/>
              </w:rPr>
              <w:t>move</w:t>
            </w:r>
            <w:r>
              <w:rPr>
                <w:rStyle w:val="normaltextrun"/>
                <w:rFonts w:ascii="Arial" w:hAnsi="Arial" w:cs="Arial"/>
                <w:sz w:val="20"/>
                <w:szCs w:val="20"/>
              </w:rPr>
              <w:t xml:space="preserve"> </w:t>
            </w:r>
            <w:r w:rsidRPr="00B82B04">
              <w:rPr>
                <w:rStyle w:val="normaltextrun"/>
                <w:rFonts w:ascii="Arial" w:hAnsi="Arial" w:cs="Arial"/>
                <w:sz w:val="20"/>
                <w:szCs w:val="20"/>
              </w:rPr>
              <w:t>out</w:t>
            </w:r>
            <w:r>
              <w:rPr>
                <w:rStyle w:val="normaltextrun"/>
                <w:rFonts w:ascii="Arial" w:hAnsi="Arial" w:cs="Arial"/>
                <w:sz w:val="20"/>
                <w:szCs w:val="20"/>
              </w:rPr>
              <w:t xml:space="preserve"> </w:t>
            </w:r>
            <w:r w:rsidRPr="00B82B04">
              <w:rPr>
                <w:rStyle w:val="normaltextrun"/>
                <w:rFonts w:ascii="Arial" w:hAnsi="Arial" w:cs="Arial"/>
                <w:sz w:val="20"/>
                <w:szCs w:val="20"/>
              </w:rPr>
              <w:t>of</w:t>
            </w:r>
            <w:r>
              <w:rPr>
                <w:rStyle w:val="normaltextrun"/>
                <w:rFonts w:ascii="Arial" w:hAnsi="Arial" w:cs="Arial"/>
                <w:sz w:val="20"/>
                <w:szCs w:val="20"/>
              </w:rPr>
              <w:t xml:space="preserve"> </w:t>
            </w:r>
            <w:r w:rsidRPr="00B82B04">
              <w:rPr>
                <w:rStyle w:val="normaltextrun"/>
                <w:rFonts w:ascii="Arial" w:hAnsi="Arial" w:cs="Arial"/>
                <w:sz w:val="20"/>
                <w:szCs w:val="20"/>
              </w:rPr>
              <w:t>home).</w:t>
            </w:r>
            <w:r>
              <w:rPr>
                <w:rStyle w:val="eop"/>
                <w:rFonts w:ascii="Arial" w:hAnsi="Arial" w:cs="Arial"/>
                <w:sz w:val="20"/>
                <w:szCs w:val="20"/>
              </w:rPr>
              <w:t xml:space="preserve"> </w:t>
            </w:r>
          </w:p>
        </w:tc>
        <w:tc>
          <w:tcPr>
            <w:tcW w:w="2430" w:type="dxa"/>
          </w:tcPr>
          <w:p w:rsidRPr="00B82B04" w:rsidR="00F5259C" w:rsidP="00902F66" w:rsidRDefault="00F5259C" w14:paraId="10F26B2B" w14:textId="77777777">
            <w:pPr>
              <w:pStyle w:val="paragraph"/>
              <w:spacing w:before="0" w:beforeAutospacing="0" w:after="0" w:afterAutospacing="0"/>
              <w:ind w:left="74" w:right="106"/>
              <w:textAlignment w:val="baseline"/>
              <w:rPr>
                <w:rStyle w:val="normaltextrun"/>
                <w:rFonts w:ascii="Arial" w:hAnsi="Arial" w:cs="Arial"/>
                <w:sz w:val="20"/>
                <w:szCs w:val="20"/>
              </w:rPr>
            </w:pPr>
          </w:p>
        </w:tc>
        <w:tc>
          <w:tcPr>
            <w:tcW w:w="2088" w:type="dxa"/>
            <w:gridSpan w:val="2"/>
          </w:tcPr>
          <w:p w:rsidRPr="00B82B04" w:rsidR="00F5259C" w:rsidP="00902F66" w:rsidRDefault="00F5259C" w14:paraId="3F05FBC8" w14:textId="77777777">
            <w:pPr>
              <w:pStyle w:val="paragraph"/>
              <w:spacing w:before="0" w:beforeAutospacing="0" w:after="0" w:afterAutospacing="0"/>
              <w:ind w:right="43"/>
              <w:textAlignment w:val="baseline"/>
              <w:rPr>
                <w:rStyle w:val="normaltextrun"/>
                <w:rFonts w:ascii="Arial" w:hAnsi="Arial" w:cs="Arial"/>
                <w:sz w:val="20"/>
                <w:szCs w:val="20"/>
              </w:rPr>
            </w:pPr>
            <w:r>
              <w:rPr>
                <w:rStyle w:val="normaltextrun"/>
                <w:rFonts w:ascii="Arial" w:hAnsi="Arial" w:cs="Arial"/>
                <w:sz w:val="20"/>
                <w:szCs w:val="20"/>
              </w:rPr>
              <w:t xml:space="preserve"> </w:t>
            </w:r>
            <w:r w:rsidRPr="00B82B04">
              <w:rPr>
                <w:rStyle w:val="normaltextrun"/>
                <w:rFonts w:ascii="Arial" w:hAnsi="Arial" w:cs="Arial"/>
                <w:sz w:val="20"/>
                <w:szCs w:val="20"/>
              </w:rPr>
              <w:t>Lost-to-Project</w:t>
            </w:r>
            <w:r>
              <w:rPr>
                <w:rStyle w:val="normaltextrun"/>
                <w:rFonts w:ascii="Arial" w:hAnsi="Arial" w:cs="Arial"/>
                <w:sz w:val="20"/>
                <w:szCs w:val="20"/>
              </w:rPr>
              <w:t xml:space="preserve"> </w:t>
            </w:r>
            <w:r w:rsidRPr="00B82B04">
              <w:rPr>
                <w:rStyle w:val="normaltextrun"/>
                <w:rFonts w:ascii="Arial" w:hAnsi="Arial" w:cs="Arial"/>
                <w:sz w:val="20"/>
                <w:szCs w:val="20"/>
              </w:rPr>
              <w:t>Form</w:t>
            </w:r>
            <w:r>
              <w:rPr>
                <w:rStyle w:val="normaltextrun"/>
                <w:rFonts w:ascii="Arial" w:hAnsi="Arial" w:cs="Arial"/>
                <w:sz w:val="20"/>
                <w:szCs w:val="20"/>
              </w:rPr>
              <w:t xml:space="preserve"> </w:t>
            </w: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B</w:t>
            </w:r>
          </w:p>
          <w:p w:rsidRPr="00B82B04" w:rsidR="00F5259C" w:rsidP="00902F66" w:rsidRDefault="00F5259C" w14:paraId="6398F31B" w14:textId="77777777">
            <w:pPr>
              <w:pStyle w:val="paragraph"/>
              <w:spacing w:before="0" w:beforeAutospacing="0" w:after="0" w:afterAutospacing="0"/>
              <w:ind w:left="74" w:right="42"/>
              <w:textAlignment w:val="baseline"/>
              <w:rPr>
                <w:rStyle w:val="normaltextrun"/>
                <w:rFonts w:ascii="Arial" w:hAnsi="Arial" w:cs="Arial"/>
                <w:sz w:val="20"/>
                <w:szCs w:val="20"/>
              </w:rPr>
            </w:pPr>
          </w:p>
          <w:p w:rsidRPr="00B82B04" w:rsidR="00F5259C" w:rsidP="00902F66" w:rsidRDefault="00F5259C" w14:paraId="7DB34FA3"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OAHM</w:t>
            </w:r>
            <w:r>
              <w:rPr>
                <w:rStyle w:val="normaltextrun"/>
                <w:rFonts w:ascii="Arial" w:hAnsi="Arial" w:cs="Arial"/>
                <w:sz w:val="20"/>
                <w:szCs w:val="20"/>
              </w:rPr>
              <w:t xml:space="preserve"> </w:t>
            </w:r>
            <w:r w:rsidRPr="00B82B04">
              <w:rPr>
                <w:rStyle w:val="normaltextrun"/>
                <w:rFonts w:ascii="Arial" w:hAnsi="Arial" w:cs="Arial"/>
                <w:sz w:val="20"/>
                <w:szCs w:val="20"/>
              </w:rPr>
              <w:t>Client</w:t>
            </w:r>
            <w:r>
              <w:rPr>
                <w:rStyle w:val="normaltextrun"/>
                <w:rFonts w:ascii="Arial" w:hAnsi="Arial" w:cs="Arial"/>
                <w:sz w:val="20"/>
                <w:szCs w:val="20"/>
              </w:rPr>
              <w:t xml:space="preserve"> </w:t>
            </w:r>
            <w:r w:rsidRPr="00B82B04">
              <w:rPr>
                <w:rStyle w:val="normaltextrun"/>
                <w:rFonts w:ascii="Arial" w:hAnsi="Arial" w:cs="Arial"/>
                <w:sz w:val="20"/>
                <w:szCs w:val="20"/>
              </w:rPr>
              <w:t>Impact</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Form</w:t>
            </w:r>
            <w:r>
              <w:rPr>
                <w:rStyle w:val="normaltextrun"/>
                <w:rFonts w:ascii="Arial" w:hAnsi="Arial" w:cs="Arial"/>
                <w:sz w:val="20"/>
                <w:szCs w:val="20"/>
              </w:rPr>
              <w:t xml:space="preserve"> </w:t>
            </w:r>
            <w:r w:rsidRPr="00B82B04">
              <w:rPr>
                <w:rStyle w:val="normaltextrun"/>
                <w:rFonts w:ascii="Arial" w:hAnsi="Arial" w:cs="Arial"/>
                <w:sz w:val="20"/>
                <w:szCs w:val="20"/>
              </w:rPr>
              <w:t>(Baseline),</w:t>
            </w:r>
            <w:r>
              <w:rPr>
                <w:rStyle w:val="normaltextrun"/>
                <w:rFonts w:ascii="Arial" w:hAnsi="Arial" w:cs="Arial"/>
                <w:sz w:val="20"/>
                <w:szCs w:val="20"/>
              </w:rPr>
              <w:t xml:space="preserve"> </w:t>
            </w:r>
            <w:r w:rsidRPr="00B82B04">
              <w:rPr>
                <w:rStyle w:val="normaltextrun"/>
                <w:rFonts w:ascii="Arial" w:hAnsi="Arial" w:cs="Arial"/>
                <w:sz w:val="20"/>
                <w:szCs w:val="20"/>
              </w:rPr>
              <w:t>Section</w:t>
            </w:r>
            <w:r>
              <w:rPr>
                <w:rStyle w:val="normaltextrun"/>
                <w:rFonts w:ascii="Arial" w:hAnsi="Arial" w:cs="Arial"/>
                <w:sz w:val="20"/>
                <w:szCs w:val="20"/>
              </w:rPr>
              <w:t xml:space="preserve"> </w:t>
            </w:r>
            <w:r w:rsidRPr="00B82B04">
              <w:rPr>
                <w:rStyle w:val="normaltextrun"/>
                <w:rFonts w:ascii="Arial" w:hAnsi="Arial" w:cs="Arial"/>
                <w:sz w:val="20"/>
                <w:szCs w:val="20"/>
              </w:rPr>
              <w:t>B</w:t>
            </w:r>
          </w:p>
          <w:p w:rsidRPr="00B82B04" w:rsidR="00F5259C" w:rsidP="00902F66" w:rsidRDefault="00F5259C" w14:paraId="63031194" w14:textId="77777777">
            <w:pPr>
              <w:pStyle w:val="paragraph"/>
              <w:spacing w:before="0" w:beforeAutospacing="0" w:after="0" w:afterAutospacing="0"/>
              <w:ind w:left="74" w:right="42"/>
              <w:textAlignment w:val="baseline"/>
              <w:rPr>
                <w:rStyle w:val="normaltextrun"/>
                <w:rFonts w:ascii="Arial" w:hAnsi="Arial" w:cs="Arial"/>
                <w:sz w:val="20"/>
                <w:szCs w:val="20"/>
              </w:rPr>
            </w:pPr>
          </w:p>
          <w:p w:rsidRPr="00B82B04" w:rsidR="00F5259C" w:rsidP="00902F66" w:rsidRDefault="00F5259C" w14:paraId="07C6543A"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lastRenderedPageBreak/>
              <w:t>Client</w:t>
            </w:r>
            <w:r>
              <w:rPr>
                <w:rStyle w:val="normaltextrun"/>
                <w:rFonts w:ascii="Arial" w:hAnsi="Arial" w:cs="Arial"/>
                <w:sz w:val="20"/>
                <w:szCs w:val="20"/>
              </w:rPr>
              <w:t xml:space="preserve"> </w:t>
            </w:r>
            <w:r w:rsidRPr="00B82B04">
              <w:rPr>
                <w:rStyle w:val="normaltextrun"/>
                <w:rFonts w:ascii="Arial" w:hAnsi="Arial" w:cs="Arial"/>
                <w:sz w:val="20"/>
                <w:szCs w:val="20"/>
              </w:rPr>
              <w:t>Process</w:t>
            </w:r>
            <w:r>
              <w:rPr>
                <w:rStyle w:val="normaltextrun"/>
                <w:rFonts w:ascii="Arial" w:hAnsi="Arial" w:cs="Arial"/>
                <w:sz w:val="20"/>
                <w:szCs w:val="20"/>
              </w:rPr>
              <w:t xml:space="preserve"> </w:t>
            </w:r>
            <w:r w:rsidRPr="00B82B04">
              <w:rPr>
                <w:rStyle w:val="normaltextrun"/>
                <w:rFonts w:ascii="Arial" w:hAnsi="Arial" w:cs="Arial"/>
                <w:sz w:val="20"/>
                <w:szCs w:val="20"/>
              </w:rPr>
              <w:t>Evaluation</w:t>
            </w:r>
            <w:r>
              <w:rPr>
                <w:rStyle w:val="normaltextrun"/>
                <w:rFonts w:ascii="Arial" w:hAnsi="Arial" w:cs="Arial"/>
                <w:sz w:val="20"/>
                <w:szCs w:val="20"/>
              </w:rPr>
              <w:t xml:space="preserve"> </w:t>
            </w:r>
            <w:r w:rsidRPr="00B82B04">
              <w:rPr>
                <w:rStyle w:val="normaltextrun"/>
                <w:rFonts w:ascii="Arial" w:hAnsi="Arial" w:cs="Arial"/>
                <w:sz w:val="20"/>
                <w:szCs w:val="20"/>
              </w:rPr>
              <w:t>Interview</w:t>
            </w:r>
            <w:r>
              <w:rPr>
                <w:rStyle w:val="normaltextrun"/>
                <w:rFonts w:ascii="Arial" w:hAnsi="Arial" w:cs="Arial"/>
                <w:sz w:val="20"/>
                <w:szCs w:val="20"/>
              </w:rPr>
              <w:t xml:space="preserve"> </w:t>
            </w:r>
            <w:r w:rsidRPr="00B82B04">
              <w:rPr>
                <w:rStyle w:val="normaltextrun"/>
                <w:rFonts w:ascii="Arial" w:hAnsi="Arial" w:cs="Arial"/>
                <w:sz w:val="20"/>
                <w:szCs w:val="20"/>
              </w:rPr>
              <w:t>Form,</w:t>
            </w:r>
            <w:r>
              <w:rPr>
                <w:rStyle w:val="normaltextrun"/>
                <w:rFonts w:ascii="Arial" w:hAnsi="Arial" w:cs="Arial"/>
                <w:sz w:val="20"/>
                <w:szCs w:val="20"/>
              </w:rPr>
              <w:t xml:space="preserve"> </w:t>
            </w:r>
            <w:r w:rsidRPr="00B82B04">
              <w:rPr>
                <w:rStyle w:val="normaltextrun"/>
                <w:rFonts w:ascii="Arial" w:hAnsi="Arial" w:cs="Arial"/>
                <w:sz w:val="20"/>
                <w:szCs w:val="20"/>
              </w:rPr>
              <w:t>Questions</w:t>
            </w:r>
            <w:r>
              <w:rPr>
                <w:rStyle w:val="normaltextrun"/>
                <w:rFonts w:ascii="Arial" w:hAnsi="Arial" w:cs="Arial"/>
                <w:sz w:val="20"/>
                <w:szCs w:val="20"/>
              </w:rPr>
              <w:t xml:space="preserve"> </w:t>
            </w:r>
            <w:proofErr w:type="gramStart"/>
            <w:r w:rsidRPr="00B82B04">
              <w:rPr>
                <w:rStyle w:val="normaltextrun"/>
                <w:rFonts w:ascii="Arial" w:hAnsi="Arial" w:cs="Arial"/>
                <w:sz w:val="20"/>
                <w:szCs w:val="20"/>
              </w:rPr>
              <w:t>2</w:t>
            </w:r>
            <w:proofErr w:type="gramEnd"/>
            <w:r>
              <w:rPr>
                <w:rStyle w:val="normaltextrun"/>
                <w:rFonts w:ascii="Arial" w:hAnsi="Arial" w:cs="Arial"/>
                <w:sz w:val="20"/>
                <w:szCs w:val="20"/>
              </w:rPr>
              <w:t xml:space="preserve"> </w:t>
            </w:r>
            <w:r w:rsidRPr="00B82B04">
              <w:rPr>
                <w:rStyle w:val="normaltextrun"/>
                <w:rFonts w:ascii="Arial" w:hAnsi="Arial" w:cs="Arial"/>
                <w:sz w:val="20"/>
                <w:szCs w:val="20"/>
              </w:rPr>
              <w:t>and</w:t>
            </w:r>
            <w:r>
              <w:rPr>
                <w:rStyle w:val="normaltextrun"/>
                <w:rFonts w:ascii="Arial" w:hAnsi="Arial" w:cs="Arial"/>
                <w:sz w:val="20"/>
                <w:szCs w:val="20"/>
              </w:rPr>
              <w:t xml:space="preserve"> </w:t>
            </w:r>
            <w:r w:rsidRPr="00B82B04">
              <w:rPr>
                <w:rStyle w:val="normaltextrun"/>
                <w:rFonts w:ascii="Arial" w:hAnsi="Arial" w:cs="Arial"/>
                <w:sz w:val="20"/>
                <w:szCs w:val="20"/>
              </w:rPr>
              <w:t>3</w:t>
            </w:r>
          </w:p>
        </w:tc>
      </w:tr>
      <w:tr w:rsidRPr="00B82B04" w:rsidR="00F5259C" w:rsidTr="00902F66" w14:paraId="570841FC" w14:textId="77777777">
        <w:tc>
          <w:tcPr>
            <w:tcW w:w="1525" w:type="dxa"/>
            <w:shd w:val="clear" w:color="auto" w:fill="auto"/>
          </w:tcPr>
          <w:p w:rsidR="00F5259C" w:rsidP="00902F66" w:rsidRDefault="00F5259C" w14:paraId="5401D76F" w14:textId="77777777">
            <w:pPr>
              <w:pStyle w:val="paragraph"/>
              <w:keepNext/>
              <w:keepLines/>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lastRenderedPageBreak/>
              <w:t>Home</w:t>
            </w:r>
            <w:r>
              <w:rPr>
                <w:rStyle w:val="normaltextrun"/>
                <w:rFonts w:ascii="Arial" w:hAnsi="Arial" w:cs="Arial"/>
                <w:sz w:val="20"/>
                <w:szCs w:val="20"/>
              </w:rPr>
              <w:t xml:space="preserve"> </w:t>
            </w:r>
            <w:r w:rsidRPr="00B82B04">
              <w:rPr>
                <w:rStyle w:val="normaltextrun"/>
                <w:rFonts w:ascii="Arial" w:hAnsi="Arial" w:cs="Arial"/>
                <w:sz w:val="20"/>
                <w:szCs w:val="20"/>
              </w:rPr>
              <w:t>hazard</w:t>
            </w:r>
            <w:r>
              <w:rPr>
                <w:rStyle w:val="normaltextrun"/>
                <w:rFonts w:ascii="Arial" w:hAnsi="Arial" w:cs="Arial"/>
                <w:sz w:val="20"/>
                <w:szCs w:val="20"/>
              </w:rPr>
              <w:t xml:space="preserve"> </w:t>
            </w:r>
          </w:p>
          <w:p w:rsidRPr="00B82B04" w:rsidR="00F5259C" w:rsidP="00902F66" w:rsidRDefault="00F5259C" w14:paraId="65B29031" w14:textId="77777777">
            <w:pPr>
              <w:pStyle w:val="paragraph"/>
              <w:keepNext/>
              <w:keepLines/>
              <w:spacing w:before="0" w:beforeAutospacing="0" w:after="0" w:afterAutospacing="0"/>
              <w:ind w:left="71"/>
              <w:textAlignment w:val="baseline"/>
              <w:rPr>
                <w:rStyle w:val="normaltextrun"/>
                <w:rFonts w:ascii="Arial" w:hAnsi="Arial" w:cs="Arial"/>
                <w:sz w:val="20"/>
                <w:szCs w:val="20"/>
              </w:rPr>
            </w:pPr>
            <w:r w:rsidRPr="00B82B04">
              <w:rPr>
                <w:rStyle w:val="normaltextrun"/>
                <w:rFonts w:ascii="Arial" w:hAnsi="Arial" w:cs="Arial"/>
                <w:sz w:val="20"/>
                <w:szCs w:val="20"/>
              </w:rPr>
              <w:t>data</w:t>
            </w:r>
            <w:r>
              <w:rPr>
                <w:rStyle w:val="eop"/>
                <w:rFonts w:ascii="Arial" w:hAnsi="Arial" w:cs="Arial"/>
                <w:sz w:val="20"/>
                <w:szCs w:val="20"/>
              </w:rPr>
              <w:t xml:space="preserve"> </w:t>
            </w:r>
          </w:p>
        </w:tc>
        <w:tc>
          <w:tcPr>
            <w:tcW w:w="3330" w:type="dxa"/>
            <w:shd w:val="clear" w:color="auto" w:fill="auto"/>
          </w:tcPr>
          <w:p w:rsidRPr="00B82B04" w:rsidR="00F5259C" w:rsidP="00902F66" w:rsidRDefault="00F5259C" w14:paraId="0E52A3F6" w14:textId="77777777">
            <w:pPr>
              <w:pStyle w:val="paragraph"/>
              <w:keepNext/>
              <w:keepLines/>
              <w:spacing w:before="0" w:beforeAutospacing="0" w:after="0" w:afterAutospacing="0"/>
              <w:ind w:left="72" w:right="101"/>
              <w:textAlignment w:val="baseline"/>
              <w:rPr>
                <w:rStyle w:val="normaltextrun"/>
                <w:rFonts w:ascii="Arial" w:hAnsi="Arial" w:cs="Arial"/>
                <w:sz w:val="20"/>
                <w:szCs w:val="20"/>
              </w:rPr>
            </w:pPr>
            <w:r w:rsidRPr="00B82B04">
              <w:rPr>
                <w:rStyle w:val="normaltextrun"/>
                <w:rFonts w:ascii="Arial" w:hAnsi="Arial" w:cs="Arial"/>
                <w:sz w:val="20"/>
                <w:szCs w:val="20"/>
              </w:rPr>
              <w:t>Assesses</w:t>
            </w:r>
            <w:r>
              <w:rPr>
                <w:rStyle w:val="normaltextrun"/>
                <w:rFonts w:ascii="Arial" w:hAnsi="Arial" w:cs="Arial"/>
                <w:sz w:val="20"/>
                <w:szCs w:val="20"/>
              </w:rPr>
              <w:t xml:space="preserve"> </w:t>
            </w:r>
            <w:r w:rsidRPr="00B82B04">
              <w:rPr>
                <w:rStyle w:val="normaltextrun"/>
                <w:rFonts w:ascii="Arial" w:hAnsi="Arial" w:cs="Arial"/>
                <w:sz w:val="20"/>
                <w:szCs w:val="20"/>
              </w:rPr>
              <w:t>housing</w:t>
            </w:r>
            <w:r>
              <w:rPr>
                <w:rStyle w:val="normaltextrun"/>
                <w:rFonts w:ascii="Arial" w:hAnsi="Arial" w:cs="Arial"/>
                <w:sz w:val="20"/>
                <w:szCs w:val="20"/>
              </w:rPr>
              <w:t xml:space="preserve"> </w:t>
            </w:r>
            <w:r w:rsidRPr="00B82B04">
              <w:rPr>
                <w:rStyle w:val="normaltextrun"/>
                <w:rFonts w:ascii="Arial" w:hAnsi="Arial" w:cs="Arial"/>
                <w:sz w:val="20"/>
                <w:szCs w:val="20"/>
              </w:rPr>
              <w:t>hazards</w:t>
            </w:r>
            <w:r>
              <w:rPr>
                <w:rStyle w:val="normaltextrun"/>
                <w:rFonts w:ascii="Arial" w:hAnsi="Arial" w:cs="Arial"/>
                <w:sz w:val="20"/>
                <w:szCs w:val="20"/>
              </w:rPr>
              <w:t xml:space="preserve"> </w:t>
            </w:r>
            <w:r w:rsidRPr="00B82B04">
              <w:rPr>
                <w:rStyle w:val="normaltextrun"/>
                <w:rFonts w:ascii="Arial" w:hAnsi="Arial" w:cs="Arial"/>
                <w:sz w:val="20"/>
                <w:szCs w:val="20"/>
              </w:rPr>
              <w:t>with</w:t>
            </w:r>
            <w:r>
              <w:rPr>
                <w:rStyle w:val="normaltextrun"/>
                <w:rFonts w:ascii="Arial" w:hAnsi="Arial" w:cs="Arial"/>
                <w:sz w:val="20"/>
                <w:szCs w:val="20"/>
              </w:rPr>
              <w:t xml:space="preserve"> </w:t>
            </w:r>
            <w:r w:rsidRPr="00B82B04">
              <w:rPr>
                <w:rStyle w:val="normaltextrun"/>
                <w:rFonts w:ascii="Arial" w:hAnsi="Arial" w:cs="Arial"/>
                <w:sz w:val="20"/>
                <w:szCs w:val="20"/>
              </w:rPr>
              <w:t>checklist</w:t>
            </w:r>
            <w:r>
              <w:rPr>
                <w:rStyle w:val="normaltextrun"/>
                <w:rFonts w:ascii="Arial" w:hAnsi="Arial" w:cs="Arial"/>
                <w:sz w:val="20"/>
                <w:szCs w:val="20"/>
              </w:rPr>
              <w:t xml:space="preserve"> </w:t>
            </w:r>
            <w:r w:rsidRPr="00B82B04">
              <w:rPr>
                <w:rStyle w:val="normaltextrun"/>
                <w:rFonts w:ascii="Arial" w:hAnsi="Arial" w:cs="Arial"/>
                <w:sz w:val="20"/>
                <w:szCs w:val="20"/>
              </w:rPr>
              <w:t>adapted</w:t>
            </w:r>
            <w:r>
              <w:rPr>
                <w:rStyle w:val="normaltextrun"/>
                <w:rFonts w:ascii="Arial" w:hAnsi="Arial" w:cs="Arial"/>
                <w:sz w:val="20"/>
                <w:szCs w:val="20"/>
              </w:rPr>
              <w:t xml:space="preserve"> </w:t>
            </w:r>
            <w:r w:rsidRPr="00B82B04">
              <w:rPr>
                <w:rStyle w:val="normaltextrun"/>
                <w:rFonts w:ascii="Arial" w:hAnsi="Arial" w:cs="Arial"/>
                <w:sz w:val="20"/>
                <w:szCs w:val="20"/>
              </w:rPr>
              <w:t>from</w:t>
            </w:r>
            <w:r>
              <w:rPr>
                <w:rStyle w:val="normaltextrun"/>
                <w:rFonts w:ascii="Arial" w:hAnsi="Arial" w:cs="Arial"/>
                <w:sz w:val="20"/>
                <w:szCs w:val="20"/>
              </w:rPr>
              <w:t xml:space="preserve"> </w:t>
            </w:r>
          </w:p>
          <w:p w:rsidRPr="00B82B04" w:rsidR="00F5259C" w:rsidP="00902F66" w:rsidRDefault="00F5259C" w14:paraId="1368C706" w14:textId="77777777">
            <w:pPr>
              <w:pStyle w:val="paragraph"/>
              <w:keepNext/>
              <w:keepLines/>
              <w:numPr>
                <w:ilvl w:val="0"/>
                <w:numId w:val="22"/>
              </w:numPr>
              <w:spacing w:before="0" w:beforeAutospacing="0" w:after="0" w:afterAutospacing="0"/>
              <w:ind w:left="166" w:right="101" w:hanging="94"/>
              <w:textAlignment w:val="baseline"/>
              <w:rPr>
                <w:rStyle w:val="eop"/>
                <w:rFonts w:ascii="Arial" w:hAnsi="Arial" w:cs="Arial"/>
                <w:i/>
                <w:sz w:val="20"/>
                <w:szCs w:val="20"/>
              </w:rPr>
            </w:pPr>
            <w:r w:rsidRPr="00B82B04">
              <w:rPr>
                <w:rStyle w:val="normaltextrun"/>
                <w:rFonts w:ascii="Arial" w:hAnsi="Arial" w:cs="Arial"/>
                <w:sz w:val="20"/>
                <w:szCs w:val="20"/>
              </w:rPr>
              <w:t>CDC’s</w:t>
            </w:r>
            <w:r>
              <w:rPr>
                <w:rStyle w:val="normaltextrun"/>
                <w:rFonts w:ascii="Arial" w:hAnsi="Arial" w:cs="Arial"/>
                <w:sz w:val="20"/>
                <w:szCs w:val="20"/>
              </w:rPr>
              <w:t xml:space="preserve"> </w:t>
            </w:r>
            <w:r w:rsidRPr="00B82B04">
              <w:rPr>
                <w:rStyle w:val="normaltextrun"/>
                <w:rFonts w:ascii="Arial" w:hAnsi="Arial" w:cs="Arial"/>
                <w:sz w:val="20"/>
                <w:szCs w:val="20"/>
              </w:rPr>
              <w:t>2015</w:t>
            </w:r>
            <w:r>
              <w:rPr>
                <w:rStyle w:val="normaltextrun"/>
                <w:rFonts w:ascii="Arial" w:hAnsi="Arial" w:cs="Arial"/>
                <w:sz w:val="20"/>
                <w:szCs w:val="20"/>
              </w:rPr>
              <w:t xml:space="preserve"> </w:t>
            </w:r>
            <w:r w:rsidRPr="00B82B04">
              <w:rPr>
                <w:rStyle w:val="normaltextrun"/>
                <w:rFonts w:ascii="Arial" w:hAnsi="Arial" w:cs="Arial"/>
                <w:sz w:val="20"/>
                <w:szCs w:val="20"/>
              </w:rPr>
              <w:t>brochure,</w:t>
            </w:r>
            <w:r>
              <w:rPr>
                <w:rStyle w:val="normaltextrun"/>
                <w:rFonts w:ascii="Arial" w:hAnsi="Arial" w:cs="Arial"/>
                <w:sz w:val="20"/>
                <w:szCs w:val="20"/>
              </w:rPr>
              <w:t xml:space="preserve"> </w:t>
            </w:r>
            <w:r w:rsidRPr="00B82B04">
              <w:rPr>
                <w:rStyle w:val="normaltextrun"/>
                <w:rFonts w:ascii="Arial" w:hAnsi="Arial" w:cs="Arial"/>
                <w:i/>
                <w:iCs/>
                <w:sz w:val="20"/>
                <w:szCs w:val="20"/>
              </w:rPr>
              <w:t>Check</w:t>
            </w:r>
            <w:r>
              <w:rPr>
                <w:rStyle w:val="normaltextrun"/>
                <w:rFonts w:ascii="Arial" w:hAnsi="Arial" w:cs="Arial"/>
                <w:i/>
                <w:iCs/>
                <w:sz w:val="20"/>
                <w:szCs w:val="20"/>
              </w:rPr>
              <w:t xml:space="preserve"> </w:t>
            </w:r>
            <w:r w:rsidRPr="00B82B04">
              <w:rPr>
                <w:rStyle w:val="normaltextrun"/>
                <w:rFonts w:ascii="Arial" w:hAnsi="Arial" w:cs="Arial"/>
                <w:i/>
                <w:iCs/>
                <w:sz w:val="20"/>
                <w:szCs w:val="20"/>
              </w:rPr>
              <w:t>for</w:t>
            </w:r>
            <w:r>
              <w:rPr>
                <w:rStyle w:val="normaltextrun"/>
                <w:rFonts w:ascii="Arial" w:hAnsi="Arial" w:cs="Arial"/>
                <w:i/>
                <w:iCs/>
                <w:sz w:val="20"/>
                <w:szCs w:val="20"/>
              </w:rPr>
              <w:t xml:space="preserve"> </w:t>
            </w:r>
            <w:r w:rsidRPr="00B82B04">
              <w:rPr>
                <w:rStyle w:val="normaltextrun"/>
                <w:rFonts w:ascii="Arial" w:hAnsi="Arial" w:cs="Arial"/>
                <w:i/>
                <w:iCs/>
                <w:sz w:val="20"/>
                <w:szCs w:val="20"/>
              </w:rPr>
              <w:t>Safety:</w:t>
            </w:r>
            <w:r>
              <w:rPr>
                <w:rStyle w:val="normaltextrun"/>
                <w:rFonts w:ascii="Arial" w:hAnsi="Arial" w:cs="Arial"/>
                <w:i/>
                <w:iCs/>
                <w:sz w:val="20"/>
                <w:szCs w:val="20"/>
              </w:rPr>
              <w:t xml:space="preserve"> </w:t>
            </w:r>
            <w:r w:rsidRPr="00B82B04">
              <w:rPr>
                <w:rStyle w:val="normaltextrun"/>
                <w:rFonts w:ascii="Arial" w:hAnsi="Arial" w:cs="Arial"/>
                <w:i/>
                <w:iCs/>
                <w:sz w:val="20"/>
                <w:szCs w:val="20"/>
              </w:rPr>
              <w:t>A</w:t>
            </w:r>
            <w:r>
              <w:rPr>
                <w:rStyle w:val="normaltextrun"/>
                <w:rFonts w:ascii="Arial" w:hAnsi="Arial" w:cs="Arial"/>
                <w:i/>
                <w:iCs/>
                <w:sz w:val="20"/>
                <w:szCs w:val="20"/>
              </w:rPr>
              <w:t xml:space="preserve"> </w:t>
            </w:r>
            <w:r w:rsidRPr="00B82B04">
              <w:rPr>
                <w:rStyle w:val="normaltextrun"/>
                <w:rFonts w:ascii="Arial" w:hAnsi="Arial" w:cs="Arial"/>
                <w:i/>
                <w:iCs/>
                <w:sz w:val="20"/>
                <w:szCs w:val="20"/>
              </w:rPr>
              <w:t>Home</w:t>
            </w:r>
            <w:r>
              <w:rPr>
                <w:rStyle w:val="normaltextrun"/>
                <w:rFonts w:ascii="Arial" w:hAnsi="Arial" w:cs="Arial"/>
                <w:i/>
                <w:iCs/>
                <w:sz w:val="20"/>
                <w:szCs w:val="20"/>
              </w:rPr>
              <w:t xml:space="preserve"> </w:t>
            </w:r>
            <w:r w:rsidRPr="00B82B04">
              <w:rPr>
                <w:rStyle w:val="normaltextrun"/>
                <w:rFonts w:ascii="Arial" w:hAnsi="Arial" w:cs="Arial"/>
                <w:i/>
                <w:iCs/>
                <w:sz w:val="20"/>
                <w:szCs w:val="20"/>
              </w:rPr>
              <w:t>Fall</w:t>
            </w:r>
            <w:r>
              <w:rPr>
                <w:rStyle w:val="normaltextrun"/>
                <w:rFonts w:ascii="Arial" w:hAnsi="Arial" w:cs="Arial"/>
                <w:i/>
                <w:iCs/>
                <w:sz w:val="20"/>
                <w:szCs w:val="20"/>
              </w:rPr>
              <w:t xml:space="preserve"> </w:t>
            </w:r>
            <w:r w:rsidRPr="00B82B04">
              <w:rPr>
                <w:rStyle w:val="normaltextrun"/>
                <w:rFonts w:ascii="Arial" w:hAnsi="Arial" w:cs="Arial"/>
                <w:i/>
                <w:iCs/>
                <w:sz w:val="20"/>
                <w:szCs w:val="20"/>
              </w:rPr>
              <w:t>Prevention</w:t>
            </w:r>
            <w:r>
              <w:rPr>
                <w:rStyle w:val="normaltextrun"/>
                <w:rFonts w:ascii="Arial" w:hAnsi="Arial" w:cs="Arial"/>
                <w:i/>
                <w:iCs/>
                <w:sz w:val="20"/>
                <w:szCs w:val="20"/>
              </w:rPr>
              <w:t xml:space="preserve"> </w:t>
            </w:r>
            <w:r w:rsidRPr="00B82B04">
              <w:rPr>
                <w:rStyle w:val="normaltextrun"/>
                <w:rFonts w:ascii="Arial" w:hAnsi="Arial" w:cs="Arial"/>
                <w:i/>
                <w:iCs/>
                <w:sz w:val="20"/>
                <w:szCs w:val="20"/>
              </w:rPr>
              <w:t>Checklist</w:t>
            </w:r>
            <w:r>
              <w:rPr>
                <w:rStyle w:val="normaltextrun"/>
                <w:rFonts w:ascii="Arial" w:hAnsi="Arial" w:cs="Arial"/>
                <w:i/>
                <w:iCs/>
                <w:sz w:val="20"/>
                <w:szCs w:val="20"/>
              </w:rPr>
              <w:t xml:space="preserve"> </w:t>
            </w:r>
            <w:r w:rsidRPr="00B82B04">
              <w:rPr>
                <w:rStyle w:val="normaltextrun"/>
                <w:rFonts w:ascii="Arial" w:hAnsi="Arial" w:cs="Arial"/>
                <w:i/>
                <w:iCs/>
                <w:sz w:val="20"/>
                <w:szCs w:val="20"/>
              </w:rPr>
              <w:t>for</w:t>
            </w:r>
            <w:r>
              <w:rPr>
                <w:rStyle w:val="normaltextrun"/>
                <w:rFonts w:ascii="Arial" w:hAnsi="Arial" w:cs="Arial"/>
                <w:i/>
                <w:iCs/>
                <w:sz w:val="20"/>
                <w:szCs w:val="20"/>
              </w:rPr>
              <w:t xml:space="preserve"> </w:t>
            </w:r>
            <w:r w:rsidRPr="00B82B04">
              <w:rPr>
                <w:rStyle w:val="normaltextrun"/>
                <w:rFonts w:ascii="Arial" w:hAnsi="Arial" w:cs="Arial"/>
                <w:i/>
                <w:iCs/>
                <w:sz w:val="20"/>
                <w:szCs w:val="20"/>
              </w:rPr>
              <w:t>Older</w:t>
            </w:r>
            <w:r>
              <w:rPr>
                <w:rStyle w:val="normaltextrun"/>
                <w:rFonts w:ascii="Arial" w:hAnsi="Arial" w:cs="Arial"/>
                <w:i/>
                <w:iCs/>
                <w:sz w:val="20"/>
                <w:szCs w:val="20"/>
              </w:rPr>
              <w:t xml:space="preserve"> </w:t>
            </w:r>
            <w:proofErr w:type="gramStart"/>
            <w:r w:rsidRPr="00B82B04">
              <w:rPr>
                <w:rStyle w:val="normaltextrun"/>
                <w:rFonts w:ascii="Arial" w:hAnsi="Arial" w:cs="Arial"/>
                <w:i/>
                <w:iCs/>
                <w:sz w:val="20"/>
                <w:szCs w:val="20"/>
              </w:rPr>
              <w:t>Adults;</w:t>
            </w:r>
            <w:proofErr w:type="gramEnd"/>
            <w:r>
              <w:rPr>
                <w:rStyle w:val="eop"/>
                <w:rFonts w:ascii="Arial" w:hAnsi="Arial" w:cs="Arial"/>
                <w:sz w:val="20"/>
                <w:szCs w:val="20"/>
              </w:rPr>
              <w:t xml:space="preserve"> </w:t>
            </w:r>
          </w:p>
          <w:p w:rsidRPr="00B82B04" w:rsidR="00F5259C" w:rsidP="00902F66" w:rsidRDefault="00F5259C" w14:paraId="35A7DC90" w14:textId="77777777">
            <w:pPr>
              <w:pStyle w:val="paragraph"/>
              <w:keepNext/>
              <w:keepLines/>
              <w:numPr>
                <w:ilvl w:val="0"/>
                <w:numId w:val="22"/>
              </w:numPr>
              <w:spacing w:before="0" w:beforeAutospacing="0" w:after="0" w:afterAutospacing="0"/>
              <w:ind w:left="166" w:right="101" w:hanging="94"/>
              <w:textAlignment w:val="baseline"/>
              <w:rPr>
                <w:rStyle w:val="eop"/>
                <w:rFonts w:ascii="Arial" w:hAnsi="Arial" w:cs="Arial"/>
                <w:i/>
                <w:iCs/>
                <w:sz w:val="20"/>
                <w:szCs w:val="20"/>
              </w:rPr>
            </w:pPr>
            <w:r w:rsidRPr="00B82B04">
              <w:rPr>
                <w:rStyle w:val="eop"/>
                <w:rFonts w:ascii="Arial" w:hAnsi="Arial" w:cs="Arial"/>
                <w:sz w:val="20"/>
                <w:szCs w:val="20"/>
              </w:rPr>
              <w:t>CPSC’s</w:t>
            </w:r>
            <w:r>
              <w:rPr>
                <w:rStyle w:val="eop"/>
                <w:rFonts w:ascii="Arial" w:hAnsi="Arial" w:cs="Arial"/>
                <w:sz w:val="20"/>
                <w:szCs w:val="20"/>
              </w:rPr>
              <w:t xml:space="preserve"> </w:t>
            </w:r>
            <w:r w:rsidRPr="00B82B04">
              <w:rPr>
                <w:rStyle w:val="eop"/>
                <w:rFonts w:ascii="Arial" w:hAnsi="Arial" w:cs="Arial"/>
                <w:i/>
                <w:sz w:val="20"/>
                <w:szCs w:val="20"/>
              </w:rPr>
              <w:t>Safety</w:t>
            </w:r>
            <w:r>
              <w:rPr>
                <w:rStyle w:val="eop"/>
                <w:rFonts w:ascii="Arial" w:hAnsi="Arial" w:cs="Arial"/>
                <w:i/>
                <w:sz w:val="20"/>
                <w:szCs w:val="20"/>
              </w:rPr>
              <w:t xml:space="preserve"> </w:t>
            </w:r>
            <w:r w:rsidRPr="00B82B04">
              <w:rPr>
                <w:rStyle w:val="eop"/>
                <w:rFonts w:ascii="Arial" w:hAnsi="Arial" w:cs="Arial"/>
                <w:i/>
                <w:sz w:val="20"/>
                <w:szCs w:val="20"/>
              </w:rPr>
              <w:t>for</w:t>
            </w:r>
            <w:r>
              <w:rPr>
                <w:rStyle w:val="eop"/>
                <w:rFonts w:ascii="Arial" w:hAnsi="Arial" w:cs="Arial"/>
                <w:i/>
                <w:sz w:val="20"/>
                <w:szCs w:val="20"/>
              </w:rPr>
              <w:t xml:space="preserve"> </w:t>
            </w:r>
            <w:r w:rsidRPr="00B82B04">
              <w:rPr>
                <w:rStyle w:val="eop"/>
                <w:rFonts w:ascii="Arial" w:hAnsi="Arial" w:cs="Arial"/>
                <w:i/>
                <w:sz w:val="20"/>
                <w:szCs w:val="20"/>
              </w:rPr>
              <w:t>Older</w:t>
            </w:r>
            <w:r>
              <w:rPr>
                <w:rStyle w:val="eop"/>
                <w:rFonts w:ascii="Arial" w:hAnsi="Arial" w:cs="Arial"/>
                <w:i/>
                <w:sz w:val="20"/>
                <w:szCs w:val="20"/>
              </w:rPr>
              <w:t xml:space="preserve"> </w:t>
            </w:r>
            <w:r w:rsidRPr="00B82B04">
              <w:rPr>
                <w:rStyle w:val="eop"/>
                <w:rFonts w:ascii="Arial" w:hAnsi="Arial" w:cs="Arial"/>
                <w:i/>
                <w:sz w:val="20"/>
                <w:szCs w:val="20"/>
              </w:rPr>
              <w:t>Consumers</w:t>
            </w:r>
            <w:r>
              <w:rPr>
                <w:rStyle w:val="eop"/>
                <w:rFonts w:ascii="Arial" w:hAnsi="Arial" w:cs="Arial"/>
                <w:i/>
                <w:sz w:val="20"/>
                <w:szCs w:val="20"/>
              </w:rPr>
              <w:t xml:space="preserve"> - </w:t>
            </w:r>
            <w:r w:rsidRPr="00B82B04">
              <w:rPr>
                <w:rStyle w:val="eop"/>
                <w:rFonts w:ascii="Arial" w:hAnsi="Arial" w:cs="Arial"/>
                <w:i/>
                <w:sz w:val="20"/>
                <w:szCs w:val="20"/>
              </w:rPr>
              <w:t>Home</w:t>
            </w:r>
            <w:r>
              <w:rPr>
                <w:rStyle w:val="eop"/>
                <w:rFonts w:ascii="Arial" w:hAnsi="Arial" w:cs="Arial"/>
                <w:i/>
                <w:sz w:val="20"/>
                <w:szCs w:val="20"/>
              </w:rPr>
              <w:t xml:space="preserve"> </w:t>
            </w:r>
            <w:r w:rsidRPr="00B82B04">
              <w:rPr>
                <w:rStyle w:val="eop"/>
                <w:rFonts w:ascii="Arial" w:hAnsi="Arial" w:cs="Arial"/>
                <w:i/>
                <w:sz w:val="20"/>
                <w:szCs w:val="20"/>
              </w:rPr>
              <w:t>Safety</w:t>
            </w:r>
            <w:r>
              <w:rPr>
                <w:rStyle w:val="eop"/>
                <w:rFonts w:ascii="Arial" w:hAnsi="Arial" w:cs="Arial"/>
                <w:i/>
                <w:sz w:val="20"/>
                <w:szCs w:val="20"/>
              </w:rPr>
              <w:t xml:space="preserve"> </w:t>
            </w:r>
            <w:proofErr w:type="gramStart"/>
            <w:r w:rsidRPr="00B82B04">
              <w:rPr>
                <w:rStyle w:val="eop"/>
                <w:rFonts w:ascii="Arial" w:hAnsi="Arial" w:cs="Arial"/>
                <w:i/>
                <w:sz w:val="20"/>
                <w:szCs w:val="20"/>
              </w:rPr>
              <w:t>Checklist</w:t>
            </w:r>
            <w:r w:rsidRPr="00B82B04">
              <w:rPr>
                <w:rStyle w:val="eop"/>
                <w:rFonts w:ascii="Arial" w:hAnsi="Arial" w:cs="Arial"/>
                <w:i/>
                <w:iCs/>
                <w:sz w:val="20"/>
                <w:szCs w:val="20"/>
              </w:rPr>
              <w:t>;</w:t>
            </w:r>
            <w:proofErr w:type="gramEnd"/>
          </w:p>
          <w:p w:rsidRPr="00B82B04" w:rsidR="00F5259C" w:rsidP="00902F66" w:rsidRDefault="00F5259C" w14:paraId="03C560AD" w14:textId="77777777">
            <w:pPr>
              <w:pStyle w:val="paragraph"/>
              <w:keepNext/>
              <w:keepLines/>
              <w:numPr>
                <w:ilvl w:val="0"/>
                <w:numId w:val="22"/>
              </w:numPr>
              <w:ind w:left="166" w:right="101" w:hanging="94"/>
              <w:textAlignment w:val="baseline"/>
              <w:rPr>
                <w:rStyle w:val="eop"/>
                <w:rFonts w:ascii="Arial" w:hAnsi="Arial" w:cs="Arial"/>
                <w:sz w:val="20"/>
                <w:szCs w:val="20"/>
              </w:rPr>
            </w:pPr>
            <w:r w:rsidRPr="00B82B04">
              <w:rPr>
                <w:rStyle w:val="eop"/>
                <w:rFonts w:ascii="Arial" w:hAnsi="Arial" w:cs="Arial"/>
                <w:sz w:val="20"/>
                <w:szCs w:val="20"/>
              </w:rPr>
              <w:t>PD&amp;R’s</w:t>
            </w:r>
            <w:r>
              <w:rPr>
                <w:rStyle w:val="eop"/>
                <w:rFonts w:ascii="Arial" w:hAnsi="Arial" w:cs="Arial"/>
                <w:sz w:val="20"/>
                <w:szCs w:val="20"/>
              </w:rPr>
              <w:t xml:space="preserve"> </w:t>
            </w:r>
            <w:r w:rsidRPr="00B82B04">
              <w:rPr>
                <w:rStyle w:val="eop"/>
                <w:rFonts w:ascii="Arial" w:hAnsi="Arial" w:cs="Arial"/>
                <w:i/>
                <w:sz w:val="20"/>
                <w:szCs w:val="20"/>
              </w:rPr>
              <w:t>Accessibility</w:t>
            </w:r>
            <w:r>
              <w:rPr>
                <w:rStyle w:val="eop"/>
                <w:rFonts w:ascii="Arial" w:hAnsi="Arial" w:cs="Arial"/>
                <w:i/>
                <w:sz w:val="20"/>
                <w:szCs w:val="20"/>
              </w:rPr>
              <w:t xml:space="preserve"> </w:t>
            </w:r>
            <w:r w:rsidRPr="00B82B04">
              <w:rPr>
                <w:rStyle w:val="eop"/>
                <w:rFonts w:ascii="Arial" w:hAnsi="Arial" w:cs="Arial"/>
                <w:i/>
                <w:sz w:val="20"/>
                <w:szCs w:val="20"/>
              </w:rPr>
              <w:t>of</w:t>
            </w:r>
            <w:r>
              <w:rPr>
                <w:rStyle w:val="eop"/>
                <w:rFonts w:ascii="Arial" w:hAnsi="Arial" w:cs="Arial"/>
                <w:i/>
                <w:sz w:val="20"/>
                <w:szCs w:val="20"/>
              </w:rPr>
              <w:t xml:space="preserve"> </w:t>
            </w:r>
            <w:r w:rsidRPr="00B82B04">
              <w:rPr>
                <w:rStyle w:val="eop"/>
                <w:rFonts w:ascii="Arial" w:hAnsi="Arial" w:cs="Arial"/>
                <w:i/>
                <w:sz w:val="20"/>
                <w:szCs w:val="20"/>
              </w:rPr>
              <w:t>America’s</w:t>
            </w:r>
            <w:r>
              <w:rPr>
                <w:rStyle w:val="eop"/>
                <w:rFonts w:ascii="Arial" w:hAnsi="Arial" w:cs="Arial"/>
                <w:i/>
                <w:sz w:val="20"/>
                <w:szCs w:val="20"/>
              </w:rPr>
              <w:t xml:space="preserve"> </w:t>
            </w:r>
            <w:r w:rsidRPr="00B82B04">
              <w:rPr>
                <w:rStyle w:val="eop"/>
                <w:rFonts w:ascii="Arial" w:hAnsi="Arial" w:cs="Arial"/>
                <w:i/>
                <w:sz w:val="20"/>
                <w:szCs w:val="20"/>
              </w:rPr>
              <w:t>Housing</w:t>
            </w:r>
            <w:r>
              <w:rPr>
                <w:rStyle w:val="eop"/>
                <w:rFonts w:ascii="Arial" w:hAnsi="Arial" w:cs="Arial"/>
                <w:i/>
                <w:sz w:val="20"/>
                <w:szCs w:val="20"/>
              </w:rPr>
              <w:t xml:space="preserve"> </w:t>
            </w:r>
            <w:r w:rsidRPr="00B82B04">
              <w:rPr>
                <w:rStyle w:val="eop"/>
                <w:rFonts w:ascii="Arial" w:hAnsi="Arial" w:cs="Arial"/>
                <w:i/>
                <w:sz w:val="20"/>
                <w:szCs w:val="20"/>
              </w:rPr>
              <w:t>Stock:</w:t>
            </w:r>
            <w:r>
              <w:rPr>
                <w:rStyle w:val="eop"/>
                <w:rFonts w:ascii="Arial" w:hAnsi="Arial" w:cs="Arial"/>
                <w:i/>
                <w:sz w:val="20"/>
                <w:szCs w:val="20"/>
              </w:rPr>
              <w:t xml:space="preserve"> </w:t>
            </w:r>
            <w:r w:rsidRPr="00B82B04">
              <w:rPr>
                <w:rStyle w:val="eop"/>
                <w:rFonts w:ascii="Arial" w:hAnsi="Arial" w:cs="Arial"/>
                <w:i/>
                <w:sz w:val="20"/>
                <w:szCs w:val="20"/>
              </w:rPr>
              <w:t>Analysis</w:t>
            </w:r>
            <w:r>
              <w:rPr>
                <w:rStyle w:val="eop"/>
                <w:rFonts w:ascii="Arial" w:hAnsi="Arial" w:cs="Arial"/>
                <w:i/>
                <w:sz w:val="20"/>
                <w:szCs w:val="20"/>
              </w:rPr>
              <w:t xml:space="preserve"> </w:t>
            </w:r>
            <w:r w:rsidRPr="00B82B04">
              <w:rPr>
                <w:rStyle w:val="eop"/>
                <w:rFonts w:ascii="Arial" w:hAnsi="Arial" w:cs="Arial"/>
                <w:i/>
                <w:sz w:val="20"/>
                <w:szCs w:val="20"/>
              </w:rPr>
              <w:t>of</w:t>
            </w:r>
            <w:r>
              <w:rPr>
                <w:rStyle w:val="eop"/>
                <w:rFonts w:ascii="Arial" w:hAnsi="Arial" w:cs="Arial"/>
                <w:i/>
                <w:sz w:val="20"/>
                <w:szCs w:val="20"/>
              </w:rPr>
              <w:t xml:space="preserve"> </w:t>
            </w:r>
            <w:r w:rsidRPr="00B82B04">
              <w:rPr>
                <w:rStyle w:val="eop"/>
                <w:rFonts w:ascii="Arial" w:hAnsi="Arial" w:cs="Arial"/>
                <w:i/>
                <w:sz w:val="20"/>
                <w:szCs w:val="20"/>
              </w:rPr>
              <w:t>the</w:t>
            </w:r>
            <w:r>
              <w:rPr>
                <w:rStyle w:val="eop"/>
                <w:rFonts w:ascii="Arial" w:hAnsi="Arial" w:cs="Arial"/>
                <w:i/>
                <w:sz w:val="20"/>
                <w:szCs w:val="20"/>
              </w:rPr>
              <w:t xml:space="preserve"> </w:t>
            </w:r>
            <w:r w:rsidRPr="00B82B04">
              <w:rPr>
                <w:rStyle w:val="eop"/>
                <w:rFonts w:ascii="Arial" w:hAnsi="Arial" w:cs="Arial"/>
                <w:i/>
                <w:sz w:val="20"/>
                <w:szCs w:val="20"/>
              </w:rPr>
              <w:t>2011</w:t>
            </w:r>
            <w:r>
              <w:rPr>
                <w:rStyle w:val="eop"/>
                <w:rFonts w:ascii="Arial" w:hAnsi="Arial" w:cs="Arial"/>
                <w:i/>
                <w:sz w:val="20"/>
                <w:szCs w:val="20"/>
              </w:rPr>
              <w:t xml:space="preserve"> </w:t>
            </w:r>
            <w:proofErr w:type="gramStart"/>
            <w:r>
              <w:rPr>
                <w:rStyle w:val="eop"/>
                <w:rFonts w:ascii="Arial" w:hAnsi="Arial" w:cs="Arial"/>
                <w:i/>
                <w:sz w:val="20"/>
                <w:szCs w:val="20"/>
              </w:rPr>
              <w:t>AHS</w:t>
            </w:r>
            <w:r w:rsidRPr="00B82B04">
              <w:rPr>
                <w:rStyle w:val="eop"/>
                <w:rFonts w:ascii="Arial" w:hAnsi="Arial" w:cs="Arial"/>
                <w:i/>
                <w:iCs/>
                <w:sz w:val="20"/>
                <w:szCs w:val="20"/>
              </w:rPr>
              <w:t>;</w:t>
            </w:r>
            <w:proofErr w:type="gramEnd"/>
          </w:p>
          <w:p w:rsidRPr="00B82B04" w:rsidR="00F5259C" w:rsidP="00902F66" w:rsidRDefault="00F5259C" w14:paraId="461A7097" w14:textId="77777777">
            <w:pPr>
              <w:pStyle w:val="paragraph"/>
              <w:keepNext/>
              <w:keepLines/>
              <w:numPr>
                <w:ilvl w:val="0"/>
                <w:numId w:val="22"/>
              </w:numPr>
              <w:ind w:left="166" w:right="101" w:hanging="94"/>
              <w:textAlignment w:val="baseline"/>
              <w:rPr>
                <w:rStyle w:val="eop"/>
                <w:rFonts w:ascii="Arial" w:hAnsi="Arial" w:cs="Arial"/>
                <w:sz w:val="20"/>
                <w:szCs w:val="20"/>
              </w:rPr>
            </w:pPr>
            <w:r w:rsidRPr="00B82B04">
              <w:rPr>
                <w:rStyle w:val="eop"/>
                <w:rFonts w:ascii="Arial" w:hAnsi="Arial" w:cs="Arial"/>
                <w:sz w:val="20"/>
                <w:szCs w:val="20"/>
              </w:rPr>
              <w:t>Rebuilding</w:t>
            </w:r>
            <w:r>
              <w:rPr>
                <w:rStyle w:val="eop"/>
                <w:rFonts w:ascii="Arial" w:hAnsi="Arial" w:cs="Arial"/>
                <w:sz w:val="20"/>
                <w:szCs w:val="20"/>
              </w:rPr>
              <w:t xml:space="preserve"> </w:t>
            </w:r>
            <w:proofErr w:type="spellStart"/>
            <w:r w:rsidRPr="00B82B04">
              <w:rPr>
                <w:rStyle w:val="eop"/>
                <w:rFonts w:ascii="Arial" w:hAnsi="Arial" w:cs="Arial"/>
                <w:sz w:val="20"/>
                <w:szCs w:val="20"/>
              </w:rPr>
              <w:t>Together’s</w:t>
            </w:r>
            <w:proofErr w:type="spellEnd"/>
            <w:r>
              <w:rPr>
                <w:rStyle w:val="eop"/>
                <w:rFonts w:ascii="Arial" w:hAnsi="Arial" w:cs="Arial"/>
                <w:i/>
                <w:sz w:val="20"/>
                <w:szCs w:val="20"/>
              </w:rPr>
              <w:t xml:space="preserve"> </w:t>
            </w:r>
            <w:r w:rsidRPr="00B82B04">
              <w:rPr>
                <w:rStyle w:val="eop"/>
                <w:rFonts w:ascii="Arial" w:hAnsi="Arial" w:cs="Arial"/>
                <w:i/>
                <w:sz w:val="20"/>
                <w:szCs w:val="20"/>
              </w:rPr>
              <w:t>Safe</w:t>
            </w:r>
            <w:r>
              <w:rPr>
                <w:rStyle w:val="eop"/>
                <w:rFonts w:ascii="Arial" w:hAnsi="Arial" w:cs="Arial"/>
                <w:i/>
                <w:sz w:val="20"/>
                <w:szCs w:val="20"/>
              </w:rPr>
              <w:t xml:space="preserve"> </w:t>
            </w:r>
            <w:r w:rsidRPr="00B82B04">
              <w:rPr>
                <w:rStyle w:val="eop"/>
                <w:rFonts w:ascii="Arial" w:hAnsi="Arial" w:cs="Arial"/>
                <w:i/>
                <w:sz w:val="20"/>
                <w:szCs w:val="20"/>
              </w:rPr>
              <w:t>at</w:t>
            </w:r>
            <w:r>
              <w:rPr>
                <w:rStyle w:val="eop"/>
                <w:rFonts w:ascii="Arial" w:hAnsi="Arial" w:cs="Arial"/>
                <w:i/>
                <w:sz w:val="20"/>
                <w:szCs w:val="20"/>
              </w:rPr>
              <w:t xml:space="preserve"> </w:t>
            </w:r>
            <w:r w:rsidRPr="00B82B04">
              <w:rPr>
                <w:rStyle w:val="eop"/>
                <w:rFonts w:ascii="Arial" w:hAnsi="Arial" w:cs="Arial"/>
                <w:i/>
                <w:sz w:val="20"/>
                <w:szCs w:val="20"/>
              </w:rPr>
              <w:t>Home</w:t>
            </w:r>
            <w:r>
              <w:rPr>
                <w:rStyle w:val="eop"/>
                <w:rFonts w:ascii="Arial" w:hAnsi="Arial" w:cs="Arial"/>
                <w:i/>
                <w:sz w:val="20"/>
                <w:szCs w:val="20"/>
              </w:rPr>
              <w:t xml:space="preserve"> </w:t>
            </w:r>
            <w:r w:rsidRPr="00B82B04">
              <w:rPr>
                <w:rStyle w:val="eop"/>
                <w:rFonts w:ascii="Arial" w:hAnsi="Arial" w:cs="Arial"/>
                <w:i/>
                <w:sz w:val="20"/>
                <w:szCs w:val="20"/>
              </w:rPr>
              <w:t>Checklist</w:t>
            </w:r>
            <w:r w:rsidRPr="00B82B04">
              <w:rPr>
                <w:rStyle w:val="eop"/>
                <w:rFonts w:ascii="Arial" w:hAnsi="Arial" w:cs="Arial"/>
                <w:i/>
                <w:iCs/>
                <w:sz w:val="20"/>
                <w:szCs w:val="20"/>
              </w:rPr>
              <w:t>;</w:t>
            </w:r>
            <w:r>
              <w:rPr>
                <w:rStyle w:val="eop"/>
                <w:rFonts w:ascii="Arial" w:hAnsi="Arial" w:cs="Arial"/>
                <w:i/>
                <w:iCs/>
                <w:sz w:val="20"/>
                <w:szCs w:val="20"/>
              </w:rPr>
              <w:t xml:space="preserve"> </w:t>
            </w:r>
            <w:r w:rsidRPr="00B82B04">
              <w:rPr>
                <w:rStyle w:val="eop"/>
                <w:rFonts w:ascii="Arial" w:hAnsi="Arial" w:cs="Arial"/>
                <w:sz w:val="20"/>
                <w:szCs w:val="20"/>
              </w:rPr>
              <w:t>and</w:t>
            </w:r>
          </w:p>
          <w:p w:rsidRPr="00B82B04" w:rsidR="00F5259C" w:rsidP="00902F66" w:rsidRDefault="00F5259C" w14:paraId="7F5E1CFB" w14:textId="77777777">
            <w:pPr>
              <w:pStyle w:val="paragraph"/>
              <w:keepNext/>
              <w:keepLines/>
              <w:numPr>
                <w:ilvl w:val="0"/>
                <w:numId w:val="22"/>
              </w:numPr>
              <w:spacing w:before="0" w:beforeAutospacing="0" w:after="0" w:afterAutospacing="0"/>
              <w:ind w:left="166" w:right="101" w:hanging="94"/>
              <w:textAlignment w:val="baseline"/>
              <w:rPr>
                <w:rStyle w:val="normaltextrun"/>
                <w:rFonts w:ascii="Arial" w:hAnsi="Arial" w:cs="Arial"/>
                <w:sz w:val="20"/>
                <w:szCs w:val="20"/>
              </w:rPr>
            </w:pPr>
            <w:r w:rsidRPr="00B82B04">
              <w:rPr>
                <w:rStyle w:val="eop"/>
                <w:rFonts w:ascii="Arial" w:hAnsi="Arial" w:cs="Arial"/>
                <w:sz w:val="20"/>
                <w:szCs w:val="20"/>
              </w:rPr>
              <w:t>HUD</w:t>
            </w:r>
            <w:r>
              <w:rPr>
                <w:rStyle w:val="eop"/>
                <w:rFonts w:ascii="Arial" w:hAnsi="Arial" w:cs="Arial"/>
                <w:sz w:val="20"/>
                <w:szCs w:val="20"/>
              </w:rPr>
              <w:t xml:space="preserve"> </w:t>
            </w:r>
            <w:r w:rsidRPr="00B82B04">
              <w:rPr>
                <w:rStyle w:val="eop"/>
                <w:rFonts w:ascii="Arial" w:hAnsi="Arial" w:cs="Arial"/>
                <w:sz w:val="20"/>
                <w:szCs w:val="20"/>
              </w:rPr>
              <w:t>NOFO</w:t>
            </w:r>
            <w:r>
              <w:rPr>
                <w:rStyle w:val="eop"/>
                <w:rFonts w:ascii="Arial" w:hAnsi="Arial" w:cs="Arial"/>
                <w:sz w:val="20"/>
                <w:szCs w:val="20"/>
              </w:rPr>
              <w:t xml:space="preserve"> appendix </w:t>
            </w:r>
            <w:r w:rsidRPr="00B82B04">
              <w:rPr>
                <w:rStyle w:val="eop"/>
                <w:rFonts w:ascii="Arial" w:hAnsi="Arial" w:cs="Arial"/>
                <w:sz w:val="20"/>
                <w:szCs w:val="20"/>
              </w:rPr>
              <w:t>B,</w:t>
            </w:r>
            <w:r>
              <w:rPr>
                <w:rStyle w:val="eop"/>
                <w:rFonts w:ascii="Arial" w:hAnsi="Arial" w:cs="Arial"/>
                <w:sz w:val="20"/>
                <w:szCs w:val="20"/>
              </w:rPr>
              <w:t xml:space="preserve"> </w:t>
            </w:r>
            <w:r w:rsidRPr="00B82B04">
              <w:rPr>
                <w:rStyle w:val="eop"/>
                <w:rFonts w:ascii="Arial" w:hAnsi="Arial" w:cs="Arial"/>
                <w:i/>
                <w:iCs/>
                <w:sz w:val="20"/>
                <w:szCs w:val="20"/>
              </w:rPr>
              <w:t>“Home</w:t>
            </w:r>
            <w:r>
              <w:rPr>
                <w:rStyle w:val="eop"/>
                <w:rFonts w:ascii="Arial" w:hAnsi="Arial" w:cs="Arial"/>
                <w:i/>
                <w:iCs/>
                <w:sz w:val="20"/>
                <w:szCs w:val="20"/>
              </w:rPr>
              <w:t xml:space="preserve"> </w:t>
            </w:r>
            <w:r w:rsidRPr="00B82B04">
              <w:rPr>
                <w:rStyle w:val="eop"/>
                <w:rFonts w:ascii="Arial" w:hAnsi="Arial" w:cs="Arial"/>
                <w:i/>
                <w:iCs/>
                <w:sz w:val="20"/>
                <w:szCs w:val="20"/>
              </w:rPr>
              <w:t>Modifications/Repairs.”</w:t>
            </w:r>
          </w:p>
        </w:tc>
        <w:tc>
          <w:tcPr>
            <w:tcW w:w="2430" w:type="dxa"/>
          </w:tcPr>
          <w:p w:rsidRPr="00B82B04" w:rsidR="00F5259C" w:rsidP="00902F66" w:rsidRDefault="00F5259C" w14:paraId="588AB800" w14:textId="77777777">
            <w:pPr>
              <w:pStyle w:val="paragraph"/>
              <w:spacing w:before="0" w:beforeAutospacing="0" w:after="120" w:afterAutospacing="0"/>
              <w:ind w:left="72" w:right="101"/>
              <w:textAlignment w:val="baseline"/>
              <w:rPr>
                <w:rStyle w:val="Hyperlink"/>
                <w:rFonts w:ascii="Arial" w:hAnsi="Arial" w:cs="Arial"/>
                <w:sz w:val="20"/>
                <w:szCs w:val="20"/>
              </w:rPr>
            </w:pPr>
            <w:r w:rsidRPr="00B82B04">
              <w:rPr>
                <w:rStyle w:val="normaltextrun"/>
                <w:rFonts w:ascii="Arial" w:hAnsi="Arial" w:cs="Arial"/>
                <w:sz w:val="20"/>
                <w:szCs w:val="20"/>
              </w:rPr>
              <w:t>Modifications</w:t>
            </w:r>
            <w:r>
              <w:rPr>
                <w:rStyle w:val="normaltextrun"/>
                <w:rFonts w:ascii="Arial" w:hAnsi="Arial" w:cs="Arial"/>
                <w:sz w:val="20"/>
                <w:szCs w:val="20"/>
              </w:rPr>
              <w:t xml:space="preserve"> </w:t>
            </w:r>
            <w:r w:rsidRPr="00B82B04">
              <w:rPr>
                <w:rStyle w:val="normaltextrun"/>
                <w:rFonts w:ascii="Arial" w:hAnsi="Arial" w:cs="Arial"/>
                <w:sz w:val="20"/>
                <w:szCs w:val="20"/>
              </w:rPr>
              <w:t>to</w:t>
            </w:r>
            <w:r>
              <w:rPr>
                <w:rStyle w:val="normaltextrun"/>
                <w:rFonts w:ascii="Arial" w:hAnsi="Arial" w:cs="Arial"/>
                <w:sz w:val="20"/>
                <w:szCs w:val="20"/>
              </w:rPr>
              <w:t xml:space="preserve"> </w:t>
            </w:r>
            <w:hyperlink w:history="1" r:id="rId27">
              <w:r w:rsidRPr="00B82B04">
                <w:rPr>
                  <w:rStyle w:val="Hyperlink"/>
                  <w:rFonts w:ascii="Arial" w:hAnsi="Arial" w:cs="Arial"/>
                  <w:sz w:val="20"/>
                  <w:szCs w:val="20"/>
                </w:rPr>
                <w:t>Check</w:t>
              </w:r>
              <w:r>
                <w:rPr>
                  <w:rStyle w:val="Hyperlink"/>
                  <w:rFonts w:ascii="Arial" w:hAnsi="Arial" w:cs="Arial"/>
                  <w:sz w:val="20"/>
                  <w:szCs w:val="20"/>
                </w:rPr>
                <w:t xml:space="preserve"> </w:t>
              </w:r>
              <w:r w:rsidRPr="00B82B04">
                <w:rPr>
                  <w:rStyle w:val="Hyperlink"/>
                  <w:rFonts w:ascii="Arial" w:hAnsi="Arial" w:cs="Arial"/>
                  <w:sz w:val="20"/>
                  <w:szCs w:val="20"/>
                </w:rPr>
                <w:t>for</w:t>
              </w:r>
              <w:r>
                <w:rPr>
                  <w:rStyle w:val="Hyperlink"/>
                  <w:rFonts w:ascii="Arial" w:hAnsi="Arial" w:cs="Arial"/>
                  <w:sz w:val="20"/>
                  <w:szCs w:val="20"/>
                </w:rPr>
                <w:t xml:space="preserve"> </w:t>
              </w:r>
              <w:r w:rsidRPr="00B82B04">
                <w:rPr>
                  <w:rStyle w:val="Hyperlink"/>
                  <w:rFonts w:ascii="Arial" w:hAnsi="Arial" w:cs="Arial"/>
                  <w:sz w:val="20"/>
                  <w:szCs w:val="20"/>
                </w:rPr>
                <w:t>Safety:</w:t>
              </w:r>
              <w:r>
                <w:rPr>
                  <w:rStyle w:val="Hyperlink"/>
                  <w:rFonts w:ascii="Arial" w:hAnsi="Arial" w:cs="Arial"/>
                  <w:sz w:val="20"/>
                  <w:szCs w:val="20"/>
                </w:rPr>
                <w:t xml:space="preserve"> </w:t>
              </w:r>
              <w:r w:rsidRPr="00B82B04">
                <w:rPr>
                  <w:rStyle w:val="Hyperlink"/>
                  <w:rFonts w:ascii="Arial" w:hAnsi="Arial" w:cs="Arial"/>
                  <w:sz w:val="20"/>
                  <w:szCs w:val="20"/>
                </w:rPr>
                <w:t>A</w:t>
              </w:r>
              <w:r>
                <w:rPr>
                  <w:rStyle w:val="Hyperlink"/>
                  <w:rFonts w:ascii="Arial" w:hAnsi="Arial" w:cs="Arial"/>
                  <w:sz w:val="20"/>
                  <w:szCs w:val="20"/>
                </w:rPr>
                <w:t xml:space="preserve"> </w:t>
              </w:r>
              <w:r w:rsidRPr="00B82B04">
                <w:rPr>
                  <w:rStyle w:val="Hyperlink"/>
                  <w:rFonts w:ascii="Arial" w:hAnsi="Arial" w:cs="Arial"/>
                  <w:sz w:val="20"/>
                  <w:szCs w:val="20"/>
                </w:rPr>
                <w:t>Home</w:t>
              </w:r>
              <w:r>
                <w:rPr>
                  <w:rStyle w:val="Hyperlink"/>
                  <w:rFonts w:ascii="Arial" w:hAnsi="Arial" w:cs="Arial"/>
                  <w:sz w:val="20"/>
                  <w:szCs w:val="20"/>
                </w:rPr>
                <w:t xml:space="preserve"> </w:t>
              </w:r>
              <w:r w:rsidRPr="00B82B04">
                <w:rPr>
                  <w:rStyle w:val="Hyperlink"/>
                  <w:rFonts w:ascii="Arial" w:hAnsi="Arial" w:cs="Arial"/>
                  <w:sz w:val="20"/>
                  <w:szCs w:val="20"/>
                </w:rPr>
                <w:t>Fall</w:t>
              </w:r>
              <w:r>
                <w:rPr>
                  <w:rStyle w:val="Hyperlink"/>
                  <w:rFonts w:ascii="Arial" w:hAnsi="Arial" w:cs="Arial"/>
                  <w:sz w:val="20"/>
                  <w:szCs w:val="20"/>
                </w:rPr>
                <w:t xml:space="preserve"> </w:t>
              </w:r>
              <w:r w:rsidRPr="00B82B04">
                <w:rPr>
                  <w:rStyle w:val="Hyperlink"/>
                  <w:rFonts w:ascii="Arial" w:hAnsi="Arial" w:cs="Arial"/>
                  <w:sz w:val="20"/>
                  <w:szCs w:val="20"/>
                </w:rPr>
                <w:t>Prevention</w:t>
              </w:r>
              <w:r>
                <w:rPr>
                  <w:rStyle w:val="Hyperlink"/>
                  <w:rFonts w:ascii="Arial" w:hAnsi="Arial" w:cs="Arial"/>
                  <w:sz w:val="20"/>
                  <w:szCs w:val="20"/>
                </w:rPr>
                <w:t xml:space="preserve"> </w:t>
              </w:r>
              <w:r w:rsidRPr="00B82B04">
                <w:rPr>
                  <w:rStyle w:val="Hyperlink"/>
                  <w:rFonts w:ascii="Arial" w:hAnsi="Arial" w:cs="Arial"/>
                  <w:sz w:val="20"/>
                  <w:szCs w:val="20"/>
                </w:rPr>
                <w:t>Checklist</w:t>
              </w:r>
              <w:r>
                <w:rPr>
                  <w:rStyle w:val="Hyperlink"/>
                  <w:rFonts w:ascii="Arial" w:hAnsi="Arial" w:cs="Arial"/>
                  <w:sz w:val="20"/>
                  <w:szCs w:val="20"/>
                </w:rPr>
                <w:t xml:space="preserve"> </w:t>
              </w:r>
              <w:r w:rsidRPr="00B82B04">
                <w:rPr>
                  <w:rStyle w:val="Hyperlink"/>
                  <w:rFonts w:ascii="Arial" w:hAnsi="Arial" w:cs="Arial"/>
                  <w:sz w:val="20"/>
                  <w:szCs w:val="20"/>
                </w:rPr>
                <w:t>for</w:t>
              </w:r>
              <w:r>
                <w:rPr>
                  <w:rStyle w:val="Hyperlink"/>
                  <w:rFonts w:ascii="Arial" w:hAnsi="Arial" w:cs="Arial"/>
                  <w:sz w:val="20"/>
                  <w:szCs w:val="20"/>
                </w:rPr>
                <w:t xml:space="preserve"> </w:t>
              </w:r>
              <w:r w:rsidRPr="00B82B04">
                <w:rPr>
                  <w:rStyle w:val="Hyperlink"/>
                  <w:rFonts w:ascii="Arial" w:hAnsi="Arial" w:cs="Arial"/>
                  <w:sz w:val="20"/>
                  <w:szCs w:val="20"/>
                </w:rPr>
                <w:t>Older</w:t>
              </w:r>
              <w:r>
                <w:rPr>
                  <w:rStyle w:val="Hyperlink"/>
                  <w:rFonts w:ascii="Arial" w:hAnsi="Arial" w:cs="Arial"/>
                  <w:sz w:val="20"/>
                  <w:szCs w:val="20"/>
                </w:rPr>
                <w:t xml:space="preserve"> </w:t>
              </w:r>
              <w:r w:rsidRPr="00B82B04">
                <w:rPr>
                  <w:rStyle w:val="Hyperlink"/>
                  <w:rFonts w:ascii="Arial" w:hAnsi="Arial" w:cs="Arial"/>
                  <w:sz w:val="20"/>
                  <w:szCs w:val="20"/>
                </w:rPr>
                <w:t>Adults</w:t>
              </w:r>
              <w:r>
                <w:rPr>
                  <w:rStyle w:val="Hyperlink"/>
                  <w:rFonts w:ascii="Arial" w:hAnsi="Arial" w:cs="Arial"/>
                  <w:sz w:val="20"/>
                  <w:szCs w:val="20"/>
                </w:rPr>
                <w:t xml:space="preserve"> </w:t>
              </w:r>
            </w:hyperlink>
          </w:p>
          <w:p w:rsidRPr="00B82B04" w:rsidR="00F5259C" w:rsidP="00902F66" w:rsidRDefault="007A0540" w14:paraId="5CC1CAB7" w14:textId="77777777">
            <w:pPr>
              <w:pStyle w:val="paragraph"/>
              <w:spacing w:before="0" w:beforeAutospacing="0" w:after="120" w:afterAutospacing="0"/>
              <w:ind w:left="72" w:right="101"/>
              <w:textAlignment w:val="baseline"/>
              <w:rPr>
                <w:rStyle w:val="normaltextrun"/>
                <w:rFonts w:ascii="Arial" w:hAnsi="Arial" w:cs="Arial"/>
                <w:color w:val="0000FF"/>
                <w:sz w:val="20"/>
                <w:szCs w:val="20"/>
              </w:rPr>
            </w:pPr>
            <w:hyperlink w:history="1" r:id="rId28">
              <w:r w:rsidRPr="00B82B04" w:rsidR="00F5259C">
                <w:rPr>
                  <w:rStyle w:val="Hyperlink"/>
                  <w:rFonts w:ascii="Arial" w:hAnsi="Arial" w:cs="Arial"/>
                  <w:sz w:val="20"/>
                  <w:szCs w:val="20"/>
                </w:rPr>
                <w:t>CPSC’s</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Safety</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for</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Older</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Consumers</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Home</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Safety</w:t>
              </w:r>
            </w:hyperlink>
            <w:r w:rsidR="00F5259C">
              <w:rPr>
                <w:rStyle w:val="Hyperlink"/>
                <w:rFonts w:ascii="Arial" w:hAnsi="Arial" w:cs="Arial"/>
                <w:sz w:val="20"/>
                <w:szCs w:val="20"/>
              </w:rPr>
              <w:t xml:space="preserve"> </w:t>
            </w:r>
          </w:p>
          <w:p w:rsidRPr="00B82B04" w:rsidR="00F5259C" w:rsidP="00902F66" w:rsidRDefault="00F5259C" w14:paraId="118AABD8" w14:textId="77777777">
            <w:pPr>
              <w:pStyle w:val="paragraph"/>
              <w:spacing w:before="0" w:beforeAutospacing="0" w:after="0" w:afterAutospacing="0"/>
              <w:ind w:left="74" w:right="106"/>
              <w:textAlignment w:val="baseline"/>
              <w:rPr>
                <w:rStyle w:val="Hyperlink"/>
                <w:rFonts w:ascii="Arial" w:hAnsi="Arial" w:cs="Arial"/>
                <w:sz w:val="20"/>
                <w:szCs w:val="20"/>
              </w:rPr>
            </w:pPr>
            <w:r w:rsidRPr="00B82B04">
              <w:rPr>
                <w:rStyle w:val="normaltextrun"/>
                <w:rFonts w:ascii="Arial" w:hAnsi="Arial" w:cs="Arial"/>
                <w:color w:val="0000FF"/>
                <w:sz w:val="20"/>
                <w:szCs w:val="20"/>
              </w:rPr>
              <w:fldChar w:fldCharType="begin"/>
            </w:r>
            <w:r w:rsidRPr="00B82B04">
              <w:rPr>
                <w:rStyle w:val="normaltextrun"/>
                <w:rFonts w:ascii="Arial" w:hAnsi="Arial" w:cs="Arial"/>
                <w:color w:val="0000FF"/>
                <w:sz w:val="20"/>
                <w:szCs w:val="20"/>
              </w:rPr>
              <w:instrText xml:space="preserve"> HYPERLINK "https://www.huduser.gov/portal/sites/default/files/pdf/accessibility-america-housingStock.pdf" </w:instrText>
            </w:r>
            <w:r w:rsidRPr="00B82B04">
              <w:rPr>
                <w:rStyle w:val="normaltextrun"/>
                <w:rFonts w:ascii="Arial" w:hAnsi="Arial" w:cs="Arial"/>
                <w:color w:val="0000FF"/>
                <w:sz w:val="20"/>
                <w:szCs w:val="20"/>
              </w:rPr>
              <w:fldChar w:fldCharType="separate"/>
            </w:r>
            <w:r w:rsidRPr="00B82B04">
              <w:rPr>
                <w:rStyle w:val="Hyperlink"/>
                <w:rFonts w:ascii="Arial" w:hAnsi="Arial" w:cs="Arial"/>
                <w:sz w:val="20"/>
                <w:szCs w:val="20"/>
              </w:rPr>
              <w:t>Accessibility</w:t>
            </w:r>
            <w:r>
              <w:rPr>
                <w:rStyle w:val="Hyperlink"/>
                <w:rFonts w:ascii="Arial" w:hAnsi="Arial" w:cs="Arial"/>
                <w:sz w:val="20"/>
                <w:szCs w:val="20"/>
              </w:rPr>
              <w:t xml:space="preserve"> </w:t>
            </w:r>
            <w:r w:rsidRPr="00B82B04">
              <w:rPr>
                <w:rStyle w:val="Hyperlink"/>
                <w:rFonts w:ascii="Arial" w:hAnsi="Arial" w:cs="Arial"/>
                <w:sz w:val="20"/>
                <w:szCs w:val="20"/>
              </w:rPr>
              <w:t>of</w:t>
            </w:r>
            <w:r>
              <w:rPr>
                <w:rStyle w:val="Hyperlink"/>
                <w:rFonts w:ascii="Arial" w:hAnsi="Arial" w:cs="Arial"/>
                <w:sz w:val="20"/>
                <w:szCs w:val="20"/>
              </w:rPr>
              <w:t xml:space="preserve"> </w:t>
            </w:r>
          </w:p>
          <w:p w:rsidRPr="00B82B04" w:rsidR="00F5259C" w:rsidP="00902F66" w:rsidRDefault="00F5259C" w14:paraId="0FEF3D63" w14:textId="77777777">
            <w:pPr>
              <w:pStyle w:val="paragraph"/>
              <w:spacing w:before="0" w:beforeAutospacing="0" w:after="120" w:afterAutospacing="0"/>
              <w:ind w:left="72" w:right="101"/>
              <w:textAlignment w:val="baseline"/>
              <w:rPr>
                <w:rStyle w:val="normaltextrun"/>
                <w:rFonts w:ascii="Arial" w:hAnsi="Arial" w:cs="Arial"/>
                <w:color w:val="0000FF"/>
                <w:sz w:val="20"/>
                <w:szCs w:val="20"/>
              </w:rPr>
            </w:pPr>
            <w:r w:rsidRPr="00B82B04">
              <w:rPr>
                <w:rStyle w:val="Hyperlink"/>
                <w:rFonts w:ascii="Arial" w:hAnsi="Arial" w:cs="Arial"/>
                <w:sz w:val="20"/>
                <w:szCs w:val="20"/>
              </w:rPr>
              <w:t>America’s</w:t>
            </w:r>
            <w:r>
              <w:rPr>
                <w:rStyle w:val="Hyperlink"/>
                <w:rFonts w:ascii="Arial" w:hAnsi="Arial" w:cs="Arial"/>
                <w:sz w:val="20"/>
                <w:szCs w:val="20"/>
              </w:rPr>
              <w:t xml:space="preserve"> </w:t>
            </w:r>
            <w:r w:rsidRPr="00B82B04">
              <w:rPr>
                <w:rStyle w:val="Hyperlink"/>
                <w:rFonts w:ascii="Arial" w:hAnsi="Arial" w:cs="Arial"/>
                <w:sz w:val="20"/>
                <w:szCs w:val="20"/>
              </w:rPr>
              <w:t>Housing</w:t>
            </w:r>
            <w:r>
              <w:rPr>
                <w:rStyle w:val="Hyperlink"/>
                <w:rFonts w:ascii="Arial" w:hAnsi="Arial" w:cs="Arial"/>
                <w:sz w:val="20"/>
                <w:szCs w:val="20"/>
              </w:rPr>
              <w:t xml:space="preserve"> </w:t>
            </w:r>
            <w:r w:rsidRPr="00B82B04">
              <w:rPr>
                <w:rStyle w:val="Hyperlink"/>
                <w:rFonts w:ascii="Arial" w:hAnsi="Arial" w:cs="Arial"/>
                <w:sz w:val="20"/>
                <w:szCs w:val="20"/>
              </w:rPr>
              <w:t>Stock:</w:t>
            </w:r>
            <w:r>
              <w:rPr>
                <w:rStyle w:val="Hyperlink"/>
                <w:rFonts w:ascii="Arial" w:hAnsi="Arial" w:cs="Arial"/>
                <w:sz w:val="20"/>
                <w:szCs w:val="20"/>
              </w:rPr>
              <w:t xml:space="preserve"> </w:t>
            </w:r>
            <w:r w:rsidRPr="00B82B04">
              <w:rPr>
                <w:rStyle w:val="Hyperlink"/>
                <w:rFonts w:ascii="Arial" w:hAnsi="Arial" w:cs="Arial"/>
                <w:sz w:val="20"/>
                <w:szCs w:val="20"/>
              </w:rPr>
              <w:t>Analysis</w:t>
            </w:r>
            <w:r>
              <w:rPr>
                <w:rStyle w:val="Hyperlink"/>
                <w:rFonts w:ascii="Arial" w:hAnsi="Arial" w:cs="Arial"/>
                <w:sz w:val="20"/>
                <w:szCs w:val="20"/>
              </w:rPr>
              <w:t xml:space="preserve"> </w:t>
            </w:r>
            <w:r w:rsidRPr="00B82B04">
              <w:rPr>
                <w:rStyle w:val="Hyperlink"/>
                <w:rFonts w:ascii="Arial" w:hAnsi="Arial" w:cs="Arial"/>
                <w:sz w:val="20"/>
                <w:szCs w:val="20"/>
              </w:rPr>
              <w:t>of</w:t>
            </w:r>
            <w:r>
              <w:rPr>
                <w:rStyle w:val="Hyperlink"/>
                <w:rFonts w:ascii="Arial" w:hAnsi="Arial" w:cs="Arial"/>
                <w:sz w:val="20"/>
                <w:szCs w:val="20"/>
              </w:rPr>
              <w:t xml:space="preserve"> </w:t>
            </w:r>
            <w:r w:rsidRPr="00B82B04">
              <w:rPr>
                <w:rStyle w:val="Hyperlink"/>
                <w:rFonts w:ascii="Arial" w:hAnsi="Arial" w:cs="Arial"/>
                <w:sz w:val="20"/>
                <w:szCs w:val="20"/>
              </w:rPr>
              <w:t>the</w:t>
            </w:r>
            <w:r>
              <w:rPr>
                <w:rStyle w:val="Hyperlink"/>
                <w:rFonts w:ascii="Arial" w:hAnsi="Arial" w:cs="Arial"/>
                <w:sz w:val="20"/>
                <w:szCs w:val="20"/>
              </w:rPr>
              <w:t xml:space="preserve"> </w:t>
            </w:r>
            <w:r w:rsidRPr="00B82B04">
              <w:rPr>
                <w:rStyle w:val="Hyperlink"/>
                <w:rFonts w:ascii="Arial" w:hAnsi="Arial" w:cs="Arial"/>
                <w:sz w:val="20"/>
                <w:szCs w:val="20"/>
              </w:rPr>
              <w:t>2011</w:t>
            </w:r>
            <w:r>
              <w:rPr>
                <w:rStyle w:val="Hyperlink"/>
                <w:rFonts w:ascii="Arial" w:hAnsi="Arial" w:cs="Arial"/>
                <w:sz w:val="20"/>
                <w:szCs w:val="20"/>
              </w:rPr>
              <w:t xml:space="preserve"> </w:t>
            </w:r>
            <w:r w:rsidRPr="00B82B04">
              <w:rPr>
                <w:rStyle w:val="Hyperlink"/>
                <w:rFonts w:ascii="Arial" w:hAnsi="Arial" w:cs="Arial"/>
                <w:sz w:val="20"/>
                <w:szCs w:val="20"/>
              </w:rPr>
              <w:t>American</w:t>
            </w:r>
            <w:r>
              <w:rPr>
                <w:rStyle w:val="Hyperlink"/>
                <w:rFonts w:ascii="Arial" w:hAnsi="Arial" w:cs="Arial"/>
                <w:sz w:val="20"/>
                <w:szCs w:val="20"/>
              </w:rPr>
              <w:t xml:space="preserve"> </w:t>
            </w:r>
            <w:r w:rsidRPr="00B82B04">
              <w:rPr>
                <w:rStyle w:val="Hyperlink"/>
                <w:rFonts w:ascii="Arial" w:hAnsi="Arial" w:cs="Arial"/>
                <w:sz w:val="20"/>
                <w:szCs w:val="20"/>
              </w:rPr>
              <w:t>Housing</w:t>
            </w:r>
            <w:r>
              <w:rPr>
                <w:rStyle w:val="Hyperlink"/>
                <w:rFonts w:ascii="Arial" w:hAnsi="Arial" w:cs="Arial"/>
                <w:sz w:val="20"/>
                <w:szCs w:val="20"/>
              </w:rPr>
              <w:t xml:space="preserve"> </w:t>
            </w:r>
            <w:r w:rsidRPr="00B82B04">
              <w:rPr>
                <w:rStyle w:val="Hyperlink"/>
                <w:rFonts w:ascii="Arial" w:hAnsi="Arial" w:cs="Arial"/>
                <w:sz w:val="20"/>
                <w:szCs w:val="20"/>
              </w:rPr>
              <w:t>Survey</w:t>
            </w:r>
            <w:r w:rsidRPr="00B82B04">
              <w:rPr>
                <w:rStyle w:val="normaltextrun"/>
                <w:rFonts w:ascii="Arial" w:hAnsi="Arial" w:cs="Arial"/>
                <w:color w:val="0000FF"/>
                <w:sz w:val="20"/>
                <w:szCs w:val="20"/>
              </w:rPr>
              <w:fldChar w:fldCharType="end"/>
            </w:r>
          </w:p>
          <w:p w:rsidRPr="00B82B04" w:rsidR="00F5259C" w:rsidP="00902F66" w:rsidRDefault="007A0540" w14:paraId="6812B01E" w14:textId="77777777">
            <w:pPr>
              <w:pStyle w:val="paragraph"/>
              <w:spacing w:before="0" w:beforeAutospacing="0" w:after="120" w:afterAutospacing="0"/>
              <w:ind w:left="72" w:right="101"/>
              <w:textAlignment w:val="baseline"/>
              <w:rPr>
                <w:rStyle w:val="normaltextrun"/>
                <w:rFonts w:ascii="Arial" w:hAnsi="Arial" w:cs="Arial"/>
                <w:color w:val="0000FF"/>
                <w:sz w:val="20"/>
                <w:szCs w:val="20"/>
              </w:rPr>
            </w:pPr>
            <w:hyperlink w:history="1" r:id="rId29">
              <w:r w:rsidRPr="00B82B04" w:rsidR="00F5259C">
                <w:rPr>
                  <w:rStyle w:val="Hyperlink"/>
                  <w:rFonts w:ascii="Arial" w:hAnsi="Arial" w:cs="Arial"/>
                  <w:sz w:val="20"/>
                  <w:szCs w:val="20"/>
                </w:rPr>
                <w:t>Safe</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at</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Home</w:t>
              </w:r>
              <w:r w:rsidR="00F5259C">
                <w:rPr>
                  <w:rStyle w:val="Hyperlink"/>
                  <w:rFonts w:ascii="Arial" w:hAnsi="Arial" w:cs="Arial"/>
                  <w:sz w:val="20"/>
                  <w:szCs w:val="20"/>
                </w:rPr>
                <w:t xml:space="preserve"> </w:t>
              </w:r>
              <w:r w:rsidRPr="00B82B04" w:rsidR="00F5259C">
                <w:rPr>
                  <w:rStyle w:val="Hyperlink"/>
                  <w:rFonts w:ascii="Arial" w:hAnsi="Arial" w:cs="Arial"/>
                  <w:sz w:val="20"/>
                  <w:szCs w:val="20"/>
                </w:rPr>
                <w:t>Checklist</w:t>
              </w:r>
            </w:hyperlink>
          </w:p>
        </w:tc>
        <w:tc>
          <w:tcPr>
            <w:tcW w:w="2088" w:type="dxa"/>
            <w:gridSpan w:val="2"/>
          </w:tcPr>
          <w:p w:rsidRPr="00B82B04" w:rsidR="00F5259C" w:rsidP="00902F66" w:rsidRDefault="00F5259C" w14:paraId="2FFB4EBC" w14:textId="77777777">
            <w:pPr>
              <w:pStyle w:val="paragraph"/>
              <w:spacing w:before="0" w:beforeAutospacing="0" w:after="0" w:afterAutospacing="0"/>
              <w:ind w:left="74" w:right="42"/>
              <w:textAlignment w:val="baseline"/>
              <w:rPr>
                <w:rStyle w:val="normaltextrun"/>
                <w:rFonts w:ascii="Arial" w:hAnsi="Arial" w:cs="Arial"/>
                <w:sz w:val="20"/>
                <w:szCs w:val="20"/>
              </w:rPr>
            </w:pPr>
            <w:r w:rsidRPr="00B82B04">
              <w:rPr>
                <w:rStyle w:val="normaltextrun"/>
                <w:rFonts w:ascii="Arial" w:hAnsi="Arial" w:cs="Arial"/>
                <w:sz w:val="20"/>
                <w:szCs w:val="20"/>
              </w:rPr>
              <w:t>Home</w:t>
            </w:r>
            <w:r>
              <w:rPr>
                <w:rStyle w:val="normaltextrun"/>
                <w:rFonts w:ascii="Arial" w:hAnsi="Arial" w:cs="Arial"/>
                <w:sz w:val="20"/>
                <w:szCs w:val="20"/>
              </w:rPr>
              <w:t xml:space="preserve"> </w:t>
            </w:r>
            <w:r w:rsidRPr="00B82B04">
              <w:rPr>
                <w:rStyle w:val="normaltextrun"/>
                <w:rFonts w:ascii="Arial" w:hAnsi="Arial" w:cs="Arial"/>
                <w:sz w:val="20"/>
                <w:szCs w:val="20"/>
              </w:rPr>
              <w:t>Hazard</w:t>
            </w:r>
            <w:r>
              <w:rPr>
                <w:rStyle w:val="normaltextrun"/>
                <w:rFonts w:ascii="Arial" w:hAnsi="Arial" w:cs="Arial"/>
                <w:sz w:val="20"/>
                <w:szCs w:val="20"/>
              </w:rPr>
              <w:t xml:space="preserve"> </w:t>
            </w:r>
            <w:r w:rsidRPr="00B82B04">
              <w:rPr>
                <w:rStyle w:val="normaltextrun"/>
                <w:rFonts w:ascii="Arial" w:hAnsi="Arial" w:cs="Arial"/>
                <w:sz w:val="20"/>
                <w:szCs w:val="20"/>
              </w:rPr>
              <w:t>Checklist</w:t>
            </w:r>
            <w:r>
              <w:rPr>
                <w:rStyle w:val="normaltextrun"/>
                <w:rFonts w:ascii="Arial" w:hAnsi="Arial" w:cs="Arial"/>
                <w:sz w:val="20"/>
                <w:szCs w:val="20"/>
              </w:rPr>
              <w:t xml:space="preserve"> </w:t>
            </w:r>
            <w:r w:rsidRPr="00B82B04">
              <w:rPr>
                <w:rStyle w:val="normaltextrun"/>
                <w:rFonts w:ascii="Arial" w:hAnsi="Arial" w:cs="Arial"/>
                <w:sz w:val="20"/>
                <w:szCs w:val="20"/>
              </w:rPr>
              <w:t>Form</w:t>
            </w:r>
          </w:p>
        </w:tc>
      </w:tr>
    </w:tbl>
    <w:p w:rsidRPr="00B82B04" w:rsidR="00F5259C" w:rsidP="00F5259C" w:rsidRDefault="00F5259C" w14:paraId="72D84985" w14:textId="77777777"/>
    <w:bookmarkEnd w:id="40"/>
    <w:p w:rsidRPr="00BA0080" w:rsidR="00F5259C" w:rsidP="00F5259C" w:rsidRDefault="00F5259C" w14:paraId="6E895F83" w14:textId="77777777">
      <w:pPr>
        <w:pStyle w:val="N2-2ndBullet"/>
        <w:keepNext/>
        <w:tabs>
          <w:tab w:val="clear" w:pos="0"/>
          <w:tab w:val="left" w:pos="540"/>
        </w:tabs>
        <w:spacing w:after="120"/>
        <w:ind w:left="548" w:hanging="274"/>
        <w:jc w:val="left"/>
        <w:rPr>
          <w:i/>
        </w:rPr>
      </w:pPr>
      <w:r w:rsidRPr="00BA0080">
        <w:rPr>
          <w:i/>
        </w:rPr>
        <w:t>Requiring</w:t>
      </w:r>
      <w:r>
        <w:rPr>
          <w:i/>
        </w:rPr>
        <w:t xml:space="preserve"> </w:t>
      </w:r>
      <w:r w:rsidRPr="00BA0080">
        <w:rPr>
          <w:i/>
        </w:rPr>
        <w:t>the</w:t>
      </w:r>
      <w:r>
        <w:rPr>
          <w:i/>
        </w:rPr>
        <w:t xml:space="preserve"> </w:t>
      </w:r>
      <w:r w:rsidRPr="00BA0080">
        <w:rPr>
          <w:i/>
        </w:rPr>
        <w:t>use</w:t>
      </w:r>
      <w:r>
        <w:rPr>
          <w:i/>
        </w:rPr>
        <w:t xml:space="preserve"> </w:t>
      </w:r>
      <w:r w:rsidRPr="00BA0080">
        <w:rPr>
          <w:i/>
        </w:rPr>
        <w:t>of</w:t>
      </w:r>
      <w:r>
        <w:rPr>
          <w:i/>
        </w:rPr>
        <w:t xml:space="preserve"> </w:t>
      </w:r>
      <w:r w:rsidRPr="00BA0080">
        <w:rPr>
          <w:i/>
        </w:rPr>
        <w:t>a</w:t>
      </w:r>
      <w:r>
        <w:rPr>
          <w:i/>
        </w:rPr>
        <w:t xml:space="preserve"> </w:t>
      </w:r>
      <w:r w:rsidRPr="00BA0080">
        <w:rPr>
          <w:i/>
        </w:rPr>
        <w:t>statistical</w:t>
      </w:r>
      <w:r>
        <w:rPr>
          <w:i/>
        </w:rPr>
        <w:t xml:space="preserve"> </w:t>
      </w:r>
      <w:r w:rsidRPr="00BA0080">
        <w:rPr>
          <w:i/>
        </w:rPr>
        <w:t>data</w:t>
      </w:r>
      <w:r>
        <w:rPr>
          <w:i/>
        </w:rPr>
        <w:t xml:space="preserve"> </w:t>
      </w:r>
      <w:r w:rsidRPr="00BA0080">
        <w:rPr>
          <w:i/>
        </w:rPr>
        <w:t>classification</w:t>
      </w:r>
      <w:r>
        <w:rPr>
          <w:i/>
        </w:rPr>
        <w:t xml:space="preserve"> </w:t>
      </w:r>
      <w:r w:rsidRPr="00BA0080">
        <w:rPr>
          <w:i/>
        </w:rPr>
        <w:t>that</w:t>
      </w:r>
      <w:r>
        <w:rPr>
          <w:i/>
        </w:rPr>
        <w:t xml:space="preserve"> </w:t>
      </w:r>
      <w:r w:rsidRPr="00BA0080">
        <w:rPr>
          <w:i/>
        </w:rPr>
        <w:t>has</w:t>
      </w:r>
      <w:r>
        <w:rPr>
          <w:i/>
        </w:rPr>
        <w:t xml:space="preserve"> </w:t>
      </w:r>
      <w:r w:rsidRPr="00BA0080">
        <w:rPr>
          <w:i/>
        </w:rPr>
        <w:t>not</w:t>
      </w:r>
      <w:r>
        <w:rPr>
          <w:i/>
        </w:rPr>
        <w:t xml:space="preserve"> </w:t>
      </w:r>
      <w:r w:rsidRPr="00BA0080">
        <w:rPr>
          <w:i/>
        </w:rPr>
        <w:t>been</w:t>
      </w:r>
      <w:r>
        <w:rPr>
          <w:i/>
        </w:rPr>
        <w:t xml:space="preserve"> </w:t>
      </w:r>
      <w:r w:rsidRPr="00BA0080">
        <w:rPr>
          <w:i/>
        </w:rPr>
        <w:t>reviewed</w:t>
      </w:r>
      <w:r>
        <w:rPr>
          <w:i/>
        </w:rPr>
        <w:t xml:space="preserve"> </w:t>
      </w:r>
      <w:r w:rsidRPr="00BA0080">
        <w:rPr>
          <w:i/>
        </w:rPr>
        <w:t>and</w:t>
      </w:r>
      <w:r>
        <w:rPr>
          <w:i/>
        </w:rPr>
        <w:t xml:space="preserve"> </w:t>
      </w:r>
      <w:r w:rsidRPr="00BA0080">
        <w:rPr>
          <w:i/>
        </w:rPr>
        <w:t>approved</w:t>
      </w:r>
      <w:r>
        <w:rPr>
          <w:i/>
        </w:rPr>
        <w:t xml:space="preserve"> </w:t>
      </w:r>
      <w:r w:rsidRPr="00BA0080">
        <w:rPr>
          <w:i/>
        </w:rPr>
        <w:t>by</w:t>
      </w:r>
      <w:r>
        <w:rPr>
          <w:i/>
        </w:rPr>
        <w:t xml:space="preserve"> </w:t>
      </w:r>
      <w:proofErr w:type="gramStart"/>
      <w:r w:rsidRPr="00BA0080">
        <w:rPr>
          <w:i/>
        </w:rPr>
        <w:t>OMB;</w:t>
      </w:r>
      <w:proofErr w:type="gramEnd"/>
    </w:p>
    <w:p w:rsidRPr="00B82B04" w:rsidR="00F5259C" w:rsidP="00F5259C" w:rsidRDefault="00F5259C" w14:paraId="27220985" w14:textId="77777777">
      <w:pPr>
        <w:pStyle w:val="N2-2ndBullet"/>
        <w:keepNext/>
        <w:numPr>
          <w:ilvl w:val="0"/>
          <w:numId w:val="0"/>
        </w:numPr>
        <w:tabs>
          <w:tab w:val="left" w:pos="540"/>
        </w:tabs>
        <w:ind w:left="540" w:hanging="270"/>
      </w:pPr>
      <w:r w:rsidRPr="00B82B04">
        <w:tab/>
        <w:t>Not</w:t>
      </w:r>
      <w:r>
        <w:t xml:space="preserve"> </w:t>
      </w:r>
      <w:r w:rsidRPr="00B82B04">
        <w:t>applicable</w:t>
      </w:r>
    </w:p>
    <w:p w:rsidRPr="00BA0080" w:rsidR="00F5259C" w:rsidP="00F5259C" w:rsidRDefault="00F5259C" w14:paraId="5FD40091" w14:textId="77777777">
      <w:pPr>
        <w:pStyle w:val="N2-2ndBullet"/>
        <w:tabs>
          <w:tab w:val="left" w:pos="540"/>
        </w:tabs>
        <w:spacing w:after="120"/>
        <w:ind w:left="548" w:hanging="274"/>
        <w:jc w:val="left"/>
      </w:pPr>
      <w:r w:rsidRPr="00BA0080">
        <w:rPr>
          <w:i/>
          <w:iCs/>
        </w:rPr>
        <w:t>That</w:t>
      </w:r>
      <w:r>
        <w:rPr>
          <w:i/>
          <w:iCs/>
        </w:rPr>
        <w:t xml:space="preserve"> </w:t>
      </w:r>
      <w:r w:rsidRPr="00BA0080">
        <w:rPr>
          <w:i/>
          <w:iCs/>
        </w:rPr>
        <w:t>includes</w:t>
      </w:r>
      <w:r>
        <w:rPr>
          <w:i/>
          <w:iCs/>
        </w:rPr>
        <w:t xml:space="preserve"> </w:t>
      </w:r>
      <w:r w:rsidRPr="00BA0080">
        <w:rPr>
          <w:i/>
          <w:iCs/>
        </w:rPr>
        <w:t>a</w:t>
      </w:r>
      <w:r>
        <w:rPr>
          <w:i/>
          <w:iCs/>
        </w:rPr>
        <w:t xml:space="preserve"> </w:t>
      </w:r>
      <w:r w:rsidRPr="00BA0080">
        <w:rPr>
          <w:i/>
          <w:iCs/>
        </w:rPr>
        <w:t>pledge</w:t>
      </w:r>
      <w:r>
        <w:rPr>
          <w:i/>
          <w:iCs/>
        </w:rPr>
        <w:t xml:space="preserve"> </w:t>
      </w:r>
      <w:r w:rsidRPr="00BA0080">
        <w:rPr>
          <w:i/>
          <w:iCs/>
        </w:rPr>
        <w:t>of</w:t>
      </w:r>
      <w:r>
        <w:rPr>
          <w:i/>
          <w:iCs/>
        </w:rPr>
        <w:t xml:space="preserve"> </w:t>
      </w:r>
      <w:r w:rsidRPr="00BA0080">
        <w:rPr>
          <w:i/>
          <w:iCs/>
        </w:rPr>
        <w:t>confidentiality</w:t>
      </w:r>
      <w:r>
        <w:rPr>
          <w:i/>
          <w:iCs/>
        </w:rPr>
        <w:t xml:space="preserve"> </w:t>
      </w:r>
      <w:r w:rsidRPr="00BA0080">
        <w:rPr>
          <w:i/>
          <w:iCs/>
        </w:rPr>
        <w:t>that</w:t>
      </w:r>
      <w:r>
        <w:rPr>
          <w:i/>
          <w:iCs/>
        </w:rPr>
        <w:t xml:space="preserve"> </w:t>
      </w:r>
      <w:r w:rsidRPr="00BA0080">
        <w:rPr>
          <w:i/>
          <w:iCs/>
        </w:rPr>
        <w:t>is</w:t>
      </w:r>
      <w:r>
        <w:rPr>
          <w:i/>
          <w:iCs/>
        </w:rPr>
        <w:t xml:space="preserve"> </w:t>
      </w:r>
      <w:r w:rsidRPr="00BA0080">
        <w:rPr>
          <w:i/>
          <w:iCs/>
        </w:rPr>
        <w:t>not</w:t>
      </w:r>
      <w:r>
        <w:rPr>
          <w:i/>
          <w:iCs/>
        </w:rPr>
        <w:t xml:space="preserve"> </w:t>
      </w:r>
      <w:r w:rsidRPr="00BA0080">
        <w:rPr>
          <w:i/>
          <w:iCs/>
        </w:rPr>
        <w:t>supported</w:t>
      </w:r>
      <w:r>
        <w:rPr>
          <w:i/>
          <w:iCs/>
        </w:rPr>
        <w:t xml:space="preserve"> </w:t>
      </w:r>
      <w:r w:rsidRPr="00BA0080">
        <w:rPr>
          <w:i/>
          <w:iCs/>
        </w:rPr>
        <w:t>by</w:t>
      </w:r>
      <w:r>
        <w:rPr>
          <w:i/>
          <w:iCs/>
        </w:rPr>
        <w:t xml:space="preserve"> </w:t>
      </w:r>
      <w:r w:rsidRPr="00BA0080">
        <w:rPr>
          <w:i/>
          <w:iCs/>
        </w:rPr>
        <w:t>authority</w:t>
      </w:r>
      <w:r>
        <w:rPr>
          <w:i/>
          <w:iCs/>
        </w:rPr>
        <w:t xml:space="preserve"> </w:t>
      </w:r>
      <w:r w:rsidRPr="00BA0080">
        <w:rPr>
          <w:i/>
          <w:iCs/>
        </w:rPr>
        <w:t>established</w:t>
      </w:r>
      <w:r>
        <w:rPr>
          <w:i/>
          <w:iCs/>
        </w:rPr>
        <w:t xml:space="preserve"> </w:t>
      </w:r>
      <w:r w:rsidRPr="00BA0080">
        <w:rPr>
          <w:i/>
          <w:iCs/>
        </w:rPr>
        <w:t>in</w:t>
      </w:r>
      <w:r>
        <w:rPr>
          <w:i/>
          <w:iCs/>
        </w:rPr>
        <w:t xml:space="preserve"> </w:t>
      </w:r>
      <w:r w:rsidRPr="00BA0080">
        <w:rPr>
          <w:i/>
          <w:iCs/>
        </w:rPr>
        <w:t>statute</w:t>
      </w:r>
      <w:r>
        <w:rPr>
          <w:i/>
          <w:iCs/>
        </w:rPr>
        <w:t xml:space="preserve"> </w:t>
      </w:r>
      <w:r w:rsidRPr="00BA0080">
        <w:rPr>
          <w:i/>
          <w:iCs/>
        </w:rPr>
        <w:t>or</w:t>
      </w:r>
      <w:r>
        <w:rPr>
          <w:i/>
          <w:iCs/>
        </w:rPr>
        <w:t xml:space="preserve"> </w:t>
      </w:r>
      <w:r w:rsidRPr="00BA0080">
        <w:rPr>
          <w:i/>
          <w:iCs/>
        </w:rPr>
        <w:t>regulation,</w:t>
      </w:r>
      <w:r>
        <w:rPr>
          <w:i/>
          <w:iCs/>
        </w:rPr>
        <w:t xml:space="preserve"> </w:t>
      </w:r>
      <w:r w:rsidRPr="00BA0080">
        <w:rPr>
          <w:i/>
          <w:iCs/>
        </w:rPr>
        <w:t>that</w:t>
      </w:r>
      <w:r>
        <w:rPr>
          <w:i/>
          <w:iCs/>
        </w:rPr>
        <w:t xml:space="preserve"> </w:t>
      </w:r>
      <w:r w:rsidRPr="00BA0080">
        <w:rPr>
          <w:i/>
          <w:iCs/>
        </w:rPr>
        <w:t>is</w:t>
      </w:r>
      <w:r>
        <w:rPr>
          <w:i/>
          <w:iCs/>
        </w:rPr>
        <w:t xml:space="preserve"> </w:t>
      </w:r>
      <w:r w:rsidRPr="00BA0080">
        <w:rPr>
          <w:i/>
          <w:iCs/>
        </w:rPr>
        <w:t>not</w:t>
      </w:r>
      <w:r>
        <w:rPr>
          <w:i/>
          <w:iCs/>
        </w:rPr>
        <w:t xml:space="preserve"> </w:t>
      </w:r>
      <w:r w:rsidRPr="00BA0080">
        <w:rPr>
          <w:i/>
          <w:iCs/>
        </w:rPr>
        <w:t>supported</w:t>
      </w:r>
      <w:r>
        <w:rPr>
          <w:i/>
          <w:iCs/>
        </w:rPr>
        <w:t xml:space="preserve"> </w:t>
      </w:r>
      <w:r w:rsidRPr="00BA0080">
        <w:rPr>
          <w:i/>
          <w:iCs/>
        </w:rPr>
        <w:t>by</w:t>
      </w:r>
      <w:r>
        <w:rPr>
          <w:i/>
          <w:iCs/>
        </w:rPr>
        <w:t xml:space="preserve"> </w:t>
      </w:r>
      <w:r w:rsidRPr="00BA0080">
        <w:rPr>
          <w:i/>
          <w:iCs/>
        </w:rPr>
        <w:t>disclosure</w:t>
      </w:r>
      <w:r>
        <w:rPr>
          <w:i/>
          <w:iCs/>
        </w:rPr>
        <w:t xml:space="preserve"> </w:t>
      </w:r>
      <w:r w:rsidRPr="00BA0080">
        <w:rPr>
          <w:i/>
          <w:iCs/>
        </w:rPr>
        <w:t>and</w:t>
      </w:r>
      <w:r>
        <w:rPr>
          <w:i/>
          <w:iCs/>
        </w:rPr>
        <w:t xml:space="preserve"> </w:t>
      </w:r>
      <w:r w:rsidRPr="00BA0080">
        <w:rPr>
          <w:i/>
          <w:iCs/>
        </w:rPr>
        <w:t>data</w:t>
      </w:r>
      <w:r>
        <w:rPr>
          <w:i/>
          <w:iCs/>
        </w:rPr>
        <w:t xml:space="preserve"> </w:t>
      </w:r>
      <w:r w:rsidRPr="00BA0080">
        <w:rPr>
          <w:i/>
          <w:iCs/>
        </w:rPr>
        <w:t>security</w:t>
      </w:r>
      <w:r>
        <w:rPr>
          <w:i/>
          <w:iCs/>
        </w:rPr>
        <w:t xml:space="preserve"> </w:t>
      </w:r>
      <w:r w:rsidRPr="00BA0080">
        <w:rPr>
          <w:i/>
          <w:iCs/>
        </w:rPr>
        <w:t>policies</w:t>
      </w:r>
      <w:r>
        <w:rPr>
          <w:i/>
          <w:iCs/>
        </w:rPr>
        <w:t xml:space="preserve"> </w:t>
      </w:r>
      <w:r w:rsidRPr="00BA0080">
        <w:rPr>
          <w:i/>
          <w:iCs/>
        </w:rPr>
        <w:t>that</w:t>
      </w:r>
      <w:r>
        <w:rPr>
          <w:i/>
          <w:iCs/>
        </w:rPr>
        <w:t xml:space="preserve"> </w:t>
      </w:r>
      <w:r w:rsidRPr="00BA0080">
        <w:rPr>
          <w:i/>
          <w:iCs/>
        </w:rPr>
        <w:t>are</w:t>
      </w:r>
      <w:r>
        <w:rPr>
          <w:i/>
          <w:iCs/>
        </w:rPr>
        <w:t xml:space="preserve"> </w:t>
      </w:r>
      <w:r w:rsidRPr="00BA0080">
        <w:rPr>
          <w:i/>
          <w:iCs/>
        </w:rPr>
        <w:t>consistent</w:t>
      </w:r>
      <w:r>
        <w:rPr>
          <w:i/>
          <w:iCs/>
        </w:rPr>
        <w:t xml:space="preserve"> </w:t>
      </w:r>
      <w:r w:rsidRPr="00BA0080">
        <w:rPr>
          <w:i/>
          <w:iCs/>
        </w:rPr>
        <w:t>with</w:t>
      </w:r>
      <w:r>
        <w:rPr>
          <w:i/>
          <w:iCs/>
        </w:rPr>
        <w:t xml:space="preserve"> </w:t>
      </w:r>
      <w:r w:rsidRPr="00BA0080">
        <w:rPr>
          <w:i/>
          <w:iCs/>
        </w:rPr>
        <w:t>the</w:t>
      </w:r>
      <w:r>
        <w:rPr>
          <w:i/>
          <w:iCs/>
        </w:rPr>
        <w:t xml:space="preserve"> </w:t>
      </w:r>
      <w:r w:rsidRPr="00BA0080">
        <w:rPr>
          <w:i/>
          <w:iCs/>
        </w:rPr>
        <w:t>pledge,</w:t>
      </w:r>
      <w:r>
        <w:rPr>
          <w:i/>
          <w:iCs/>
        </w:rPr>
        <w:t xml:space="preserve"> </w:t>
      </w:r>
      <w:r w:rsidRPr="00BA0080">
        <w:rPr>
          <w:i/>
          <w:iCs/>
        </w:rPr>
        <w:t>or</w:t>
      </w:r>
      <w:r>
        <w:rPr>
          <w:i/>
          <w:iCs/>
        </w:rPr>
        <w:t xml:space="preserve"> </w:t>
      </w:r>
      <w:r w:rsidRPr="00BA0080">
        <w:rPr>
          <w:i/>
          <w:iCs/>
        </w:rPr>
        <w:t>which</w:t>
      </w:r>
      <w:r>
        <w:rPr>
          <w:i/>
          <w:iCs/>
        </w:rPr>
        <w:t xml:space="preserve"> </w:t>
      </w:r>
      <w:r w:rsidRPr="00BA0080">
        <w:rPr>
          <w:i/>
          <w:iCs/>
        </w:rPr>
        <w:t>unnecessarily</w:t>
      </w:r>
      <w:r>
        <w:rPr>
          <w:i/>
          <w:iCs/>
        </w:rPr>
        <w:t xml:space="preserve"> </w:t>
      </w:r>
      <w:r w:rsidRPr="00BA0080">
        <w:rPr>
          <w:i/>
          <w:iCs/>
        </w:rPr>
        <w:t>impedes</w:t>
      </w:r>
      <w:r>
        <w:rPr>
          <w:i/>
          <w:iCs/>
        </w:rPr>
        <w:t xml:space="preserve"> </w:t>
      </w:r>
      <w:r w:rsidRPr="00BA0080">
        <w:rPr>
          <w:i/>
          <w:iCs/>
        </w:rPr>
        <w:t>sharing</w:t>
      </w:r>
      <w:r>
        <w:rPr>
          <w:i/>
          <w:iCs/>
        </w:rPr>
        <w:t xml:space="preserve"> </w:t>
      </w:r>
      <w:r w:rsidRPr="00BA0080">
        <w:rPr>
          <w:i/>
          <w:iCs/>
        </w:rPr>
        <w:t>of</w:t>
      </w:r>
      <w:r>
        <w:rPr>
          <w:i/>
          <w:iCs/>
        </w:rPr>
        <w:t xml:space="preserve"> </w:t>
      </w:r>
      <w:r w:rsidRPr="00BA0080">
        <w:rPr>
          <w:i/>
          <w:iCs/>
        </w:rPr>
        <w:t>data</w:t>
      </w:r>
      <w:r>
        <w:rPr>
          <w:i/>
          <w:iCs/>
        </w:rPr>
        <w:t xml:space="preserve"> </w:t>
      </w:r>
      <w:r w:rsidRPr="00BA0080">
        <w:rPr>
          <w:i/>
          <w:iCs/>
        </w:rPr>
        <w:t>with</w:t>
      </w:r>
      <w:r>
        <w:rPr>
          <w:i/>
          <w:iCs/>
        </w:rPr>
        <w:t xml:space="preserve"> </w:t>
      </w:r>
      <w:r w:rsidRPr="00BA0080">
        <w:rPr>
          <w:i/>
          <w:iCs/>
        </w:rPr>
        <w:t>other</w:t>
      </w:r>
      <w:r>
        <w:rPr>
          <w:i/>
          <w:iCs/>
        </w:rPr>
        <w:t xml:space="preserve"> </w:t>
      </w:r>
      <w:r w:rsidRPr="00BA0080">
        <w:rPr>
          <w:i/>
          <w:iCs/>
        </w:rPr>
        <w:t>agencies</w:t>
      </w:r>
      <w:r>
        <w:rPr>
          <w:i/>
          <w:iCs/>
        </w:rPr>
        <w:t xml:space="preserve"> </w:t>
      </w:r>
      <w:r w:rsidRPr="00BA0080">
        <w:rPr>
          <w:i/>
          <w:iCs/>
        </w:rPr>
        <w:t>for</w:t>
      </w:r>
      <w:r>
        <w:rPr>
          <w:i/>
          <w:iCs/>
        </w:rPr>
        <w:t xml:space="preserve"> </w:t>
      </w:r>
      <w:r w:rsidRPr="00BA0080">
        <w:rPr>
          <w:i/>
          <w:iCs/>
        </w:rPr>
        <w:t>compatible</w:t>
      </w:r>
      <w:r>
        <w:rPr>
          <w:i/>
          <w:iCs/>
        </w:rPr>
        <w:t xml:space="preserve"> </w:t>
      </w:r>
      <w:r w:rsidRPr="00BA0080">
        <w:rPr>
          <w:i/>
          <w:iCs/>
        </w:rPr>
        <w:t>confidential</w:t>
      </w:r>
      <w:r>
        <w:rPr>
          <w:i/>
          <w:iCs/>
        </w:rPr>
        <w:t xml:space="preserve"> </w:t>
      </w:r>
      <w:proofErr w:type="gramStart"/>
      <w:r w:rsidRPr="00BA0080">
        <w:rPr>
          <w:i/>
          <w:iCs/>
        </w:rPr>
        <w:t>use;</w:t>
      </w:r>
      <w:proofErr w:type="gramEnd"/>
      <w:r>
        <w:rPr>
          <w:i/>
          <w:iCs/>
        </w:rPr>
        <w:t xml:space="preserve"> </w:t>
      </w:r>
    </w:p>
    <w:p w:rsidRPr="00B82B04" w:rsidR="00F5259C" w:rsidP="00F5259C" w:rsidRDefault="00F5259C" w14:paraId="63269EEE" w14:textId="77777777">
      <w:pPr>
        <w:numPr>
          <w:ilvl w:val="12"/>
          <w:numId w:val="0"/>
        </w:numPr>
        <w:tabs>
          <w:tab w:val="left" w:pos="540"/>
        </w:tabs>
        <w:ind w:left="540" w:hanging="270"/>
      </w:pPr>
      <w:r w:rsidRPr="00B82B04">
        <w:tab/>
        <w:t>Not</w:t>
      </w:r>
      <w:r>
        <w:t xml:space="preserve"> </w:t>
      </w:r>
      <w:r w:rsidRPr="00B82B04">
        <w:t>applicable</w:t>
      </w:r>
      <w:r>
        <w:t xml:space="preserve"> </w:t>
      </w:r>
      <w:r w:rsidRPr="00B82B04">
        <w:t>(see</w:t>
      </w:r>
      <w:r>
        <w:t xml:space="preserve"> A. </w:t>
      </w:r>
      <w:r w:rsidRPr="00B82B04">
        <w:t>10).</w:t>
      </w:r>
    </w:p>
    <w:p w:rsidRPr="00B82B04" w:rsidR="00F5259C" w:rsidP="00F5259C" w:rsidRDefault="00F5259C" w14:paraId="5BABEBA6" w14:textId="77777777">
      <w:pPr>
        <w:numPr>
          <w:ilvl w:val="12"/>
          <w:numId w:val="0"/>
        </w:numPr>
        <w:tabs>
          <w:tab w:val="left" w:pos="540"/>
        </w:tabs>
        <w:ind w:left="540" w:hanging="270"/>
      </w:pPr>
    </w:p>
    <w:p w:rsidRPr="00BA0080" w:rsidR="00F5259C" w:rsidP="00F5259C" w:rsidRDefault="00F5259C" w14:paraId="6D7C1B50" w14:textId="77777777">
      <w:pPr>
        <w:pStyle w:val="NormalOMB"/>
        <w:numPr>
          <w:ilvl w:val="0"/>
          <w:numId w:val="5"/>
        </w:numPr>
        <w:tabs>
          <w:tab w:val="left" w:pos="540"/>
        </w:tabs>
        <w:overflowPunct/>
        <w:autoSpaceDE/>
        <w:autoSpaceDN/>
        <w:adjustRightInd/>
        <w:spacing w:after="120"/>
        <w:ind w:left="548" w:hanging="274"/>
        <w:textAlignment w:val="auto"/>
      </w:pPr>
      <w:r w:rsidRPr="00BA0080">
        <w:rPr>
          <w:i/>
          <w:iCs/>
        </w:rPr>
        <w:t>Requiring</w:t>
      </w:r>
      <w:r>
        <w:rPr>
          <w:i/>
          <w:iCs/>
        </w:rPr>
        <w:t xml:space="preserve"> </w:t>
      </w:r>
      <w:r w:rsidRPr="00BA0080">
        <w:rPr>
          <w:i/>
          <w:iCs/>
        </w:rPr>
        <w:t>respondents</w:t>
      </w:r>
      <w:r>
        <w:rPr>
          <w:i/>
          <w:iCs/>
        </w:rPr>
        <w:t xml:space="preserve"> </w:t>
      </w:r>
      <w:r w:rsidRPr="00BA0080">
        <w:rPr>
          <w:i/>
          <w:iCs/>
        </w:rPr>
        <w:t>to</w:t>
      </w:r>
      <w:r>
        <w:rPr>
          <w:i/>
          <w:iCs/>
        </w:rPr>
        <w:t xml:space="preserve"> </w:t>
      </w:r>
      <w:r w:rsidRPr="00BA0080">
        <w:rPr>
          <w:i/>
          <w:iCs/>
        </w:rPr>
        <w:t>submit</w:t>
      </w:r>
      <w:r>
        <w:rPr>
          <w:i/>
          <w:iCs/>
        </w:rPr>
        <w:t xml:space="preserve"> </w:t>
      </w:r>
      <w:r w:rsidRPr="00BA0080">
        <w:rPr>
          <w:i/>
          <w:iCs/>
        </w:rPr>
        <w:t>proprietary</w:t>
      </w:r>
      <w:r>
        <w:rPr>
          <w:i/>
          <w:iCs/>
        </w:rPr>
        <w:t xml:space="preserve"> </w:t>
      </w:r>
      <w:r w:rsidRPr="00BA0080">
        <w:rPr>
          <w:i/>
          <w:iCs/>
        </w:rPr>
        <w:t>trade</w:t>
      </w:r>
      <w:r>
        <w:rPr>
          <w:i/>
          <w:iCs/>
        </w:rPr>
        <w:t xml:space="preserve"> </w:t>
      </w:r>
      <w:r w:rsidRPr="00BA0080">
        <w:rPr>
          <w:i/>
          <w:iCs/>
        </w:rPr>
        <w:t>secrets,</w:t>
      </w:r>
      <w:r>
        <w:rPr>
          <w:i/>
          <w:iCs/>
        </w:rPr>
        <w:t xml:space="preserve"> </w:t>
      </w:r>
      <w:r w:rsidRPr="00BA0080">
        <w:rPr>
          <w:i/>
          <w:iCs/>
        </w:rPr>
        <w:t>or</w:t>
      </w:r>
      <w:r>
        <w:rPr>
          <w:i/>
          <w:iCs/>
        </w:rPr>
        <w:t xml:space="preserve"> </w:t>
      </w:r>
      <w:r w:rsidRPr="00BA0080">
        <w:rPr>
          <w:i/>
          <w:iCs/>
        </w:rPr>
        <w:t>other</w:t>
      </w:r>
      <w:r>
        <w:rPr>
          <w:i/>
          <w:iCs/>
        </w:rPr>
        <w:t xml:space="preserve"> </w:t>
      </w:r>
      <w:r w:rsidRPr="00BA0080">
        <w:rPr>
          <w:i/>
          <w:iCs/>
        </w:rPr>
        <w:t>confidential</w:t>
      </w:r>
      <w:r>
        <w:rPr>
          <w:i/>
          <w:iCs/>
        </w:rPr>
        <w:t xml:space="preserve"> </w:t>
      </w:r>
      <w:r w:rsidRPr="00BA0080">
        <w:rPr>
          <w:i/>
          <w:iCs/>
        </w:rPr>
        <w:t>information</w:t>
      </w:r>
      <w:r>
        <w:rPr>
          <w:i/>
          <w:iCs/>
        </w:rPr>
        <w:t xml:space="preserve"> </w:t>
      </w:r>
      <w:r w:rsidRPr="00BA0080">
        <w:rPr>
          <w:i/>
          <w:iCs/>
        </w:rPr>
        <w:t>unless</w:t>
      </w:r>
      <w:r>
        <w:rPr>
          <w:i/>
          <w:iCs/>
        </w:rPr>
        <w:t xml:space="preserve"> </w:t>
      </w:r>
      <w:r w:rsidRPr="00BA0080">
        <w:rPr>
          <w:i/>
          <w:iCs/>
        </w:rPr>
        <w:t>the</w:t>
      </w:r>
      <w:r>
        <w:rPr>
          <w:i/>
          <w:iCs/>
        </w:rPr>
        <w:t xml:space="preserve"> </w:t>
      </w:r>
      <w:r w:rsidRPr="00BA0080">
        <w:rPr>
          <w:i/>
          <w:iCs/>
        </w:rPr>
        <w:t>agency</w:t>
      </w:r>
      <w:r>
        <w:rPr>
          <w:i/>
          <w:iCs/>
        </w:rPr>
        <w:t xml:space="preserve"> </w:t>
      </w:r>
      <w:r w:rsidRPr="00BA0080">
        <w:rPr>
          <w:i/>
          <w:iCs/>
        </w:rPr>
        <w:t>can</w:t>
      </w:r>
      <w:r>
        <w:rPr>
          <w:i/>
          <w:iCs/>
        </w:rPr>
        <w:t xml:space="preserve"> </w:t>
      </w:r>
      <w:r w:rsidRPr="00BA0080">
        <w:rPr>
          <w:i/>
          <w:iCs/>
        </w:rPr>
        <w:t>demonstrate</w:t>
      </w:r>
      <w:r>
        <w:rPr>
          <w:i/>
          <w:iCs/>
        </w:rPr>
        <w:t xml:space="preserve"> </w:t>
      </w:r>
      <w:r w:rsidRPr="00BA0080">
        <w:rPr>
          <w:i/>
          <w:iCs/>
        </w:rPr>
        <w:t>that</w:t>
      </w:r>
      <w:r>
        <w:rPr>
          <w:i/>
          <w:iCs/>
        </w:rPr>
        <w:t xml:space="preserve"> </w:t>
      </w:r>
      <w:r w:rsidRPr="00BA0080">
        <w:rPr>
          <w:i/>
          <w:iCs/>
        </w:rPr>
        <w:t>it</w:t>
      </w:r>
      <w:r>
        <w:rPr>
          <w:i/>
          <w:iCs/>
        </w:rPr>
        <w:t xml:space="preserve"> </w:t>
      </w:r>
      <w:r w:rsidRPr="00BA0080">
        <w:rPr>
          <w:i/>
          <w:iCs/>
        </w:rPr>
        <w:t>has</w:t>
      </w:r>
      <w:r>
        <w:rPr>
          <w:i/>
          <w:iCs/>
        </w:rPr>
        <w:t xml:space="preserve"> </w:t>
      </w:r>
      <w:r w:rsidRPr="00BA0080">
        <w:rPr>
          <w:i/>
          <w:iCs/>
        </w:rPr>
        <w:t>instituted</w:t>
      </w:r>
      <w:r>
        <w:rPr>
          <w:i/>
          <w:iCs/>
        </w:rPr>
        <w:t xml:space="preserve"> </w:t>
      </w:r>
      <w:r w:rsidRPr="00BA0080">
        <w:rPr>
          <w:i/>
          <w:iCs/>
        </w:rPr>
        <w:t>procedures</w:t>
      </w:r>
      <w:r>
        <w:rPr>
          <w:i/>
          <w:iCs/>
        </w:rPr>
        <w:t xml:space="preserve"> </w:t>
      </w:r>
      <w:r w:rsidRPr="00BA0080">
        <w:rPr>
          <w:i/>
          <w:iCs/>
        </w:rPr>
        <w:t>to</w:t>
      </w:r>
      <w:r>
        <w:rPr>
          <w:i/>
          <w:iCs/>
        </w:rPr>
        <w:t xml:space="preserve"> </w:t>
      </w:r>
      <w:r w:rsidRPr="00BA0080">
        <w:rPr>
          <w:i/>
          <w:iCs/>
        </w:rPr>
        <w:t>protect</w:t>
      </w:r>
      <w:r>
        <w:rPr>
          <w:i/>
          <w:iCs/>
        </w:rPr>
        <w:t xml:space="preserve"> </w:t>
      </w:r>
      <w:r w:rsidRPr="00BA0080">
        <w:rPr>
          <w:i/>
          <w:iCs/>
        </w:rPr>
        <w:t>the</w:t>
      </w:r>
      <w:r>
        <w:rPr>
          <w:i/>
          <w:iCs/>
        </w:rPr>
        <w:t xml:space="preserve"> </w:t>
      </w:r>
      <w:r w:rsidRPr="00BA0080">
        <w:rPr>
          <w:i/>
          <w:iCs/>
        </w:rPr>
        <w:t>information’s</w:t>
      </w:r>
      <w:r>
        <w:rPr>
          <w:i/>
          <w:iCs/>
        </w:rPr>
        <w:t xml:space="preserve"> </w:t>
      </w:r>
      <w:r w:rsidRPr="00BA0080">
        <w:rPr>
          <w:i/>
          <w:iCs/>
        </w:rPr>
        <w:t>confidentiality</w:t>
      </w:r>
      <w:r>
        <w:rPr>
          <w:i/>
          <w:iCs/>
        </w:rPr>
        <w:t xml:space="preserve"> </w:t>
      </w:r>
      <w:r w:rsidRPr="00BA0080">
        <w:rPr>
          <w:i/>
          <w:iCs/>
        </w:rPr>
        <w:t>to</w:t>
      </w:r>
      <w:r>
        <w:rPr>
          <w:i/>
          <w:iCs/>
        </w:rPr>
        <w:t xml:space="preserve"> </w:t>
      </w:r>
      <w:r w:rsidRPr="00BA0080">
        <w:rPr>
          <w:i/>
          <w:iCs/>
        </w:rPr>
        <w:t>the</w:t>
      </w:r>
      <w:r>
        <w:rPr>
          <w:i/>
          <w:iCs/>
        </w:rPr>
        <w:t xml:space="preserve"> </w:t>
      </w:r>
      <w:r w:rsidRPr="00BA0080">
        <w:rPr>
          <w:i/>
          <w:iCs/>
        </w:rPr>
        <w:t>extent</w:t>
      </w:r>
      <w:r>
        <w:rPr>
          <w:i/>
          <w:iCs/>
        </w:rPr>
        <w:t xml:space="preserve"> </w:t>
      </w:r>
      <w:r w:rsidRPr="00BA0080">
        <w:rPr>
          <w:i/>
          <w:iCs/>
        </w:rPr>
        <w:t>permitted</w:t>
      </w:r>
      <w:r>
        <w:rPr>
          <w:i/>
          <w:iCs/>
        </w:rPr>
        <w:t xml:space="preserve"> </w:t>
      </w:r>
      <w:r w:rsidRPr="00BA0080">
        <w:rPr>
          <w:i/>
          <w:iCs/>
        </w:rPr>
        <w:t>by</w:t>
      </w:r>
      <w:r>
        <w:rPr>
          <w:i/>
          <w:iCs/>
        </w:rPr>
        <w:t xml:space="preserve"> </w:t>
      </w:r>
      <w:r w:rsidRPr="00BA0080">
        <w:rPr>
          <w:i/>
          <w:iCs/>
        </w:rPr>
        <w:t>law.</w:t>
      </w:r>
    </w:p>
    <w:p w:rsidRPr="00B82B04" w:rsidR="00F5259C" w:rsidP="00F5259C" w:rsidRDefault="00F5259C" w14:paraId="4D30CE5D" w14:textId="77777777">
      <w:pPr>
        <w:pStyle w:val="NormalOMB"/>
        <w:tabs>
          <w:tab w:val="left" w:pos="540"/>
        </w:tabs>
        <w:spacing w:after="240"/>
        <w:ind w:left="548" w:hanging="274"/>
        <w:rPr>
          <w:rFonts w:ascii="Arial" w:hAnsi="Arial" w:cs="Univers"/>
          <w:b/>
          <w:bCs/>
        </w:rPr>
      </w:pPr>
      <w:r w:rsidRPr="00B82B04">
        <w:tab/>
        <w:t>Not</w:t>
      </w:r>
      <w:r>
        <w:t xml:space="preserve"> </w:t>
      </w:r>
      <w:r w:rsidRPr="00B82B04">
        <w:t>applicable.</w:t>
      </w:r>
      <w:r>
        <w:t xml:space="preserve"> </w:t>
      </w:r>
    </w:p>
    <w:p w:rsidRPr="00B82B04" w:rsidR="00F5259C" w:rsidP="00F5259C" w:rsidRDefault="00F5259C" w14:paraId="64699AD4" w14:textId="77777777">
      <w:pPr>
        <w:pStyle w:val="Heading1"/>
      </w:pPr>
      <w:bookmarkStart w:name="_Toc69888479" w:id="41"/>
      <w:bookmarkStart w:name="_Toc75878163" w:id="42"/>
      <w:r>
        <w:t xml:space="preserve">8. </w:t>
      </w:r>
      <w:r w:rsidRPr="00B82B04">
        <w:t>Summary</w:t>
      </w:r>
      <w:r>
        <w:t xml:space="preserve"> </w:t>
      </w:r>
      <w:r w:rsidRPr="00B82B04">
        <w:t>of</w:t>
      </w:r>
      <w:r>
        <w:t xml:space="preserve"> </w:t>
      </w:r>
      <w:r w:rsidRPr="00B82B04">
        <w:t>Consultations</w:t>
      </w:r>
      <w:r>
        <w:t xml:space="preserve"> </w:t>
      </w:r>
      <w:r w:rsidRPr="00B82B04">
        <w:t>and</w:t>
      </w:r>
      <w:r>
        <w:t xml:space="preserve"> </w:t>
      </w:r>
      <w:r w:rsidRPr="00B82B04">
        <w:t>Comments</w:t>
      </w:r>
      <w:r>
        <w:t xml:space="preserve"> </w:t>
      </w:r>
      <w:r w:rsidRPr="00B82B04">
        <w:t>Received</w:t>
      </w:r>
      <w:bookmarkEnd w:id="41"/>
      <w:bookmarkEnd w:id="42"/>
    </w:p>
    <w:p w:rsidRPr="00A65456" w:rsidR="00F5259C" w:rsidP="00F5259C" w:rsidRDefault="00F5259C" w14:paraId="42659713" w14:textId="77777777">
      <w:pPr>
        <w:keepNext/>
        <w:numPr>
          <w:ilvl w:val="12"/>
          <w:numId w:val="0"/>
        </w:numPr>
        <w:spacing w:after="240"/>
        <w:rPr>
          <w:b/>
        </w:rPr>
      </w:pPr>
      <w:r w:rsidRPr="00914630">
        <w:rPr>
          <w:i/>
          <w:iCs/>
        </w:rPr>
        <w:t>If</w:t>
      </w:r>
      <w:r>
        <w:rPr>
          <w:i/>
          <w:iCs/>
        </w:rPr>
        <w:t xml:space="preserve"> </w:t>
      </w:r>
      <w:r w:rsidRPr="00914630">
        <w:rPr>
          <w:i/>
          <w:iCs/>
        </w:rPr>
        <w:t>applicable,</w:t>
      </w:r>
      <w:r>
        <w:rPr>
          <w:i/>
          <w:iCs/>
        </w:rPr>
        <w:t xml:space="preserve"> </w:t>
      </w:r>
      <w:r w:rsidRPr="00914630">
        <w:rPr>
          <w:i/>
          <w:iCs/>
        </w:rPr>
        <w:t>provide</w:t>
      </w:r>
      <w:r>
        <w:rPr>
          <w:i/>
          <w:iCs/>
        </w:rPr>
        <w:t xml:space="preserve"> </w:t>
      </w:r>
      <w:r w:rsidRPr="00914630">
        <w:rPr>
          <w:i/>
          <w:iCs/>
        </w:rPr>
        <w:t>a</w:t>
      </w:r>
      <w:r>
        <w:rPr>
          <w:i/>
          <w:iCs/>
        </w:rPr>
        <w:t xml:space="preserve"> </w:t>
      </w:r>
      <w:r w:rsidRPr="00914630">
        <w:rPr>
          <w:i/>
          <w:iCs/>
        </w:rPr>
        <w:t>copy</w:t>
      </w:r>
      <w:r>
        <w:rPr>
          <w:i/>
          <w:iCs/>
        </w:rPr>
        <w:t xml:space="preserve"> </w:t>
      </w:r>
      <w:r w:rsidRPr="00914630">
        <w:rPr>
          <w:i/>
          <w:iCs/>
        </w:rPr>
        <w:t>and</w:t>
      </w:r>
      <w:r>
        <w:rPr>
          <w:i/>
          <w:iCs/>
        </w:rPr>
        <w:t xml:space="preserve"> </w:t>
      </w:r>
      <w:r w:rsidRPr="00914630">
        <w:rPr>
          <w:i/>
          <w:iCs/>
        </w:rPr>
        <w:t>identify</w:t>
      </w:r>
      <w:r>
        <w:rPr>
          <w:i/>
          <w:iCs/>
        </w:rPr>
        <w:t xml:space="preserve"> </w:t>
      </w:r>
      <w:r w:rsidRPr="00914630">
        <w:rPr>
          <w:i/>
          <w:iCs/>
        </w:rPr>
        <w:t>the</w:t>
      </w:r>
      <w:r>
        <w:rPr>
          <w:i/>
          <w:iCs/>
        </w:rPr>
        <w:t xml:space="preserve"> </w:t>
      </w:r>
      <w:r w:rsidRPr="00914630">
        <w:rPr>
          <w:i/>
          <w:iCs/>
        </w:rPr>
        <w:t>date</w:t>
      </w:r>
      <w:r>
        <w:rPr>
          <w:i/>
          <w:iCs/>
        </w:rPr>
        <w:t xml:space="preserve"> </w:t>
      </w:r>
      <w:r w:rsidRPr="00914630">
        <w:rPr>
          <w:i/>
          <w:iCs/>
        </w:rPr>
        <w:t>and</w:t>
      </w:r>
      <w:r>
        <w:rPr>
          <w:i/>
          <w:iCs/>
        </w:rPr>
        <w:t xml:space="preserve"> </w:t>
      </w:r>
      <w:r w:rsidRPr="00914630">
        <w:rPr>
          <w:i/>
          <w:iCs/>
        </w:rPr>
        <w:t>page</w:t>
      </w:r>
      <w:r>
        <w:rPr>
          <w:i/>
          <w:iCs/>
        </w:rPr>
        <w:t xml:space="preserve"> </w:t>
      </w:r>
      <w:r w:rsidRPr="00914630">
        <w:rPr>
          <w:i/>
          <w:iCs/>
        </w:rPr>
        <w:t>number</w:t>
      </w:r>
      <w:r>
        <w:rPr>
          <w:i/>
          <w:iCs/>
        </w:rPr>
        <w:t xml:space="preserve"> </w:t>
      </w:r>
      <w:r w:rsidRPr="00914630">
        <w:rPr>
          <w:i/>
          <w:iCs/>
        </w:rPr>
        <w:t>of</w:t>
      </w:r>
      <w:r>
        <w:rPr>
          <w:i/>
          <w:iCs/>
        </w:rPr>
        <w:t xml:space="preserve"> </w:t>
      </w:r>
      <w:proofErr w:type="gramStart"/>
      <w:r w:rsidRPr="00914630">
        <w:rPr>
          <w:i/>
          <w:iCs/>
        </w:rPr>
        <w:t>publication</w:t>
      </w:r>
      <w:proofErr w:type="gramEnd"/>
      <w:r>
        <w:rPr>
          <w:i/>
          <w:iCs/>
        </w:rPr>
        <w:t xml:space="preserve"> </w:t>
      </w:r>
      <w:r w:rsidRPr="00914630">
        <w:rPr>
          <w:i/>
          <w:iCs/>
        </w:rPr>
        <w:t>in</w:t>
      </w:r>
      <w:r>
        <w:rPr>
          <w:i/>
          <w:iCs/>
        </w:rPr>
        <w:t xml:space="preserve"> </w:t>
      </w:r>
      <w:r w:rsidRPr="00914630">
        <w:rPr>
          <w:i/>
          <w:iCs/>
        </w:rPr>
        <w:t>the</w:t>
      </w:r>
      <w:r>
        <w:rPr>
          <w:i/>
          <w:iCs/>
        </w:rPr>
        <w:t xml:space="preserve"> </w:t>
      </w:r>
      <w:r w:rsidRPr="00914630">
        <w:rPr>
          <w:i/>
          <w:iCs/>
        </w:rPr>
        <w:t>Federal</w:t>
      </w:r>
      <w:r>
        <w:rPr>
          <w:i/>
          <w:iCs/>
        </w:rPr>
        <w:t xml:space="preserve"> </w:t>
      </w:r>
      <w:r w:rsidRPr="00914630">
        <w:rPr>
          <w:i/>
          <w:iCs/>
        </w:rPr>
        <w:t>Register</w:t>
      </w:r>
      <w:r>
        <w:rPr>
          <w:i/>
          <w:iCs/>
        </w:rPr>
        <w:t xml:space="preserve"> </w:t>
      </w:r>
      <w:r w:rsidRPr="00914630">
        <w:rPr>
          <w:i/>
          <w:iCs/>
        </w:rPr>
        <w:t>of</w:t>
      </w:r>
      <w:r>
        <w:rPr>
          <w:i/>
          <w:iCs/>
        </w:rPr>
        <w:t xml:space="preserve"> </w:t>
      </w:r>
      <w:r w:rsidRPr="00914630">
        <w:rPr>
          <w:i/>
          <w:iCs/>
        </w:rPr>
        <w:t>the</w:t>
      </w:r>
      <w:r>
        <w:rPr>
          <w:i/>
          <w:iCs/>
        </w:rPr>
        <w:t xml:space="preserve"> </w:t>
      </w:r>
      <w:r w:rsidRPr="00914630">
        <w:rPr>
          <w:i/>
          <w:iCs/>
        </w:rPr>
        <w:t>agency’s</w:t>
      </w:r>
      <w:r>
        <w:rPr>
          <w:i/>
          <w:iCs/>
        </w:rPr>
        <w:t xml:space="preserve"> </w:t>
      </w:r>
      <w:r w:rsidRPr="00914630">
        <w:rPr>
          <w:i/>
          <w:iCs/>
        </w:rPr>
        <w:t>notice,</w:t>
      </w:r>
      <w:r>
        <w:rPr>
          <w:i/>
          <w:iCs/>
        </w:rPr>
        <w:t xml:space="preserve"> </w:t>
      </w:r>
      <w:r w:rsidRPr="00914630">
        <w:rPr>
          <w:i/>
          <w:iCs/>
        </w:rPr>
        <w:t>required</w:t>
      </w:r>
      <w:r>
        <w:rPr>
          <w:i/>
          <w:iCs/>
        </w:rPr>
        <w:t xml:space="preserve"> </w:t>
      </w:r>
      <w:r w:rsidRPr="00914630">
        <w:rPr>
          <w:i/>
          <w:iCs/>
        </w:rPr>
        <w:t>by</w:t>
      </w:r>
      <w:r>
        <w:rPr>
          <w:i/>
          <w:iCs/>
        </w:rPr>
        <w:t xml:space="preserve"> </w:t>
      </w:r>
      <w:r w:rsidRPr="00914630">
        <w:rPr>
          <w:i/>
          <w:iCs/>
        </w:rPr>
        <w:t>5</w:t>
      </w:r>
      <w:r>
        <w:rPr>
          <w:i/>
          <w:iCs/>
        </w:rPr>
        <w:t xml:space="preserve"> </w:t>
      </w:r>
      <w:r w:rsidRPr="00914630">
        <w:rPr>
          <w:i/>
          <w:iCs/>
        </w:rPr>
        <w:t>CFR</w:t>
      </w:r>
      <w:r>
        <w:rPr>
          <w:i/>
          <w:iCs/>
        </w:rPr>
        <w:t xml:space="preserve"> </w:t>
      </w:r>
      <w:r w:rsidRPr="00914630">
        <w:rPr>
          <w:i/>
          <w:iCs/>
        </w:rPr>
        <w:t>1320.8(d),</w:t>
      </w:r>
      <w:r>
        <w:rPr>
          <w:i/>
          <w:iCs/>
        </w:rPr>
        <w:t xml:space="preserve"> </w:t>
      </w:r>
      <w:r w:rsidRPr="00914630">
        <w:rPr>
          <w:i/>
          <w:iCs/>
        </w:rPr>
        <w:t>soliciting</w:t>
      </w:r>
      <w:r>
        <w:rPr>
          <w:i/>
          <w:iCs/>
        </w:rPr>
        <w:t xml:space="preserve"> </w:t>
      </w:r>
      <w:r w:rsidRPr="00914630">
        <w:rPr>
          <w:i/>
          <w:iCs/>
        </w:rPr>
        <w:t>comments</w:t>
      </w:r>
      <w:r>
        <w:rPr>
          <w:i/>
          <w:iCs/>
        </w:rPr>
        <w:t xml:space="preserve"> </w:t>
      </w:r>
      <w:r w:rsidRPr="00914630">
        <w:rPr>
          <w:i/>
          <w:iCs/>
        </w:rPr>
        <w:t>on</w:t>
      </w:r>
      <w:r>
        <w:rPr>
          <w:i/>
          <w:iCs/>
        </w:rPr>
        <w:t xml:space="preserve"> </w:t>
      </w:r>
      <w:r w:rsidRPr="00914630">
        <w:rPr>
          <w:i/>
          <w:iCs/>
        </w:rPr>
        <w:t>the</w:t>
      </w:r>
      <w:r>
        <w:rPr>
          <w:i/>
          <w:iCs/>
        </w:rPr>
        <w:t xml:space="preserve"> </w:t>
      </w:r>
      <w:r w:rsidRPr="00914630">
        <w:rPr>
          <w:i/>
          <w:iCs/>
        </w:rPr>
        <w:lastRenderedPageBreak/>
        <w:t>information</w:t>
      </w:r>
      <w:r>
        <w:rPr>
          <w:i/>
          <w:iCs/>
        </w:rPr>
        <w:t xml:space="preserve"> </w:t>
      </w:r>
      <w:r w:rsidRPr="00914630">
        <w:rPr>
          <w:i/>
          <w:iCs/>
        </w:rPr>
        <w:t>collection</w:t>
      </w:r>
      <w:r>
        <w:rPr>
          <w:i/>
          <w:iCs/>
        </w:rPr>
        <w:t xml:space="preserve"> </w:t>
      </w:r>
      <w:r w:rsidRPr="00914630">
        <w:rPr>
          <w:i/>
          <w:iCs/>
        </w:rPr>
        <w:t>prior</w:t>
      </w:r>
      <w:r>
        <w:rPr>
          <w:i/>
          <w:iCs/>
        </w:rPr>
        <w:t xml:space="preserve"> </w:t>
      </w:r>
      <w:r w:rsidRPr="00914630">
        <w:rPr>
          <w:i/>
          <w:iCs/>
        </w:rPr>
        <w:t>to</w:t>
      </w:r>
      <w:r>
        <w:rPr>
          <w:i/>
          <w:iCs/>
        </w:rPr>
        <w:t xml:space="preserve"> </w:t>
      </w:r>
      <w:r w:rsidRPr="00914630">
        <w:rPr>
          <w:i/>
          <w:iCs/>
        </w:rPr>
        <w:t>submission</w:t>
      </w:r>
      <w:r>
        <w:rPr>
          <w:i/>
          <w:iCs/>
        </w:rPr>
        <w:t xml:space="preserve"> </w:t>
      </w:r>
      <w:r w:rsidRPr="00914630">
        <w:rPr>
          <w:i/>
          <w:iCs/>
        </w:rPr>
        <w:t>to</w:t>
      </w:r>
      <w:r>
        <w:rPr>
          <w:i/>
          <w:iCs/>
        </w:rPr>
        <w:t xml:space="preserve"> </w:t>
      </w:r>
      <w:r w:rsidRPr="00914630">
        <w:rPr>
          <w:i/>
          <w:iCs/>
        </w:rPr>
        <w:t>OMB.</w:t>
      </w:r>
      <w:r>
        <w:rPr>
          <w:i/>
          <w:iCs/>
        </w:rPr>
        <w:t xml:space="preserve"> </w:t>
      </w:r>
      <w:r w:rsidRPr="00914630">
        <w:rPr>
          <w:i/>
          <w:iCs/>
        </w:rPr>
        <w:t>Summarize</w:t>
      </w:r>
      <w:r>
        <w:rPr>
          <w:i/>
          <w:iCs/>
        </w:rPr>
        <w:t xml:space="preserve"> </w:t>
      </w:r>
      <w:r w:rsidRPr="00914630">
        <w:rPr>
          <w:i/>
          <w:iCs/>
        </w:rPr>
        <w:t>public</w:t>
      </w:r>
      <w:r>
        <w:rPr>
          <w:i/>
          <w:iCs/>
        </w:rPr>
        <w:t xml:space="preserve"> </w:t>
      </w:r>
      <w:r w:rsidRPr="00914630">
        <w:rPr>
          <w:i/>
          <w:iCs/>
        </w:rPr>
        <w:t>comments</w:t>
      </w:r>
      <w:r>
        <w:rPr>
          <w:i/>
          <w:iCs/>
        </w:rPr>
        <w:t xml:space="preserve"> </w:t>
      </w:r>
      <w:r w:rsidRPr="00914630">
        <w:rPr>
          <w:i/>
          <w:iCs/>
        </w:rPr>
        <w:t>received</w:t>
      </w:r>
      <w:r>
        <w:rPr>
          <w:i/>
          <w:iCs/>
        </w:rPr>
        <w:t xml:space="preserve"> </w:t>
      </w:r>
      <w:r w:rsidRPr="00914630">
        <w:rPr>
          <w:i/>
          <w:iCs/>
        </w:rPr>
        <w:t>in</w:t>
      </w:r>
      <w:r>
        <w:rPr>
          <w:i/>
          <w:iCs/>
        </w:rPr>
        <w:t xml:space="preserve"> </w:t>
      </w:r>
      <w:r w:rsidRPr="00914630">
        <w:rPr>
          <w:i/>
          <w:iCs/>
        </w:rPr>
        <w:t>response</w:t>
      </w:r>
      <w:r>
        <w:rPr>
          <w:i/>
          <w:iCs/>
        </w:rPr>
        <w:t xml:space="preserve"> </w:t>
      </w:r>
      <w:r w:rsidRPr="00914630">
        <w:rPr>
          <w:i/>
          <w:iCs/>
        </w:rPr>
        <w:t>to</w:t>
      </w:r>
      <w:r>
        <w:rPr>
          <w:i/>
          <w:iCs/>
        </w:rPr>
        <w:t xml:space="preserve"> </w:t>
      </w:r>
      <w:r w:rsidRPr="00914630">
        <w:rPr>
          <w:i/>
          <w:iCs/>
        </w:rPr>
        <w:t>that</w:t>
      </w:r>
      <w:r>
        <w:rPr>
          <w:i/>
          <w:iCs/>
        </w:rPr>
        <w:t xml:space="preserve"> </w:t>
      </w:r>
      <w:r w:rsidRPr="00914630">
        <w:rPr>
          <w:i/>
          <w:iCs/>
        </w:rPr>
        <w:t>notice</w:t>
      </w:r>
      <w:r>
        <w:rPr>
          <w:i/>
          <w:iCs/>
        </w:rPr>
        <w:t xml:space="preserve"> </w:t>
      </w:r>
      <w:r w:rsidRPr="00914630">
        <w:rPr>
          <w:i/>
          <w:iCs/>
        </w:rPr>
        <w:t>and</w:t>
      </w:r>
      <w:r>
        <w:rPr>
          <w:i/>
          <w:iCs/>
        </w:rPr>
        <w:t xml:space="preserve"> </w:t>
      </w:r>
      <w:r w:rsidRPr="00914630">
        <w:rPr>
          <w:i/>
          <w:iCs/>
        </w:rPr>
        <w:t>describe</w:t>
      </w:r>
      <w:r>
        <w:rPr>
          <w:i/>
          <w:iCs/>
        </w:rPr>
        <w:t xml:space="preserve"> </w:t>
      </w:r>
      <w:r w:rsidRPr="00914630">
        <w:rPr>
          <w:i/>
          <w:iCs/>
        </w:rPr>
        <w:t>actions</w:t>
      </w:r>
      <w:r>
        <w:rPr>
          <w:i/>
          <w:iCs/>
        </w:rPr>
        <w:t xml:space="preserve"> </w:t>
      </w:r>
      <w:r w:rsidRPr="00914630">
        <w:rPr>
          <w:i/>
          <w:iCs/>
        </w:rPr>
        <w:t>taken</w:t>
      </w:r>
      <w:r>
        <w:rPr>
          <w:i/>
          <w:iCs/>
        </w:rPr>
        <w:t xml:space="preserve"> </w:t>
      </w:r>
      <w:r w:rsidRPr="00914630">
        <w:rPr>
          <w:i/>
          <w:iCs/>
        </w:rPr>
        <w:t>by</w:t>
      </w:r>
      <w:r>
        <w:rPr>
          <w:i/>
          <w:iCs/>
        </w:rPr>
        <w:t xml:space="preserve"> </w:t>
      </w:r>
      <w:r w:rsidRPr="00914630">
        <w:rPr>
          <w:i/>
          <w:iCs/>
        </w:rPr>
        <w:t>the</w:t>
      </w:r>
      <w:r>
        <w:rPr>
          <w:i/>
          <w:iCs/>
        </w:rPr>
        <w:t xml:space="preserve"> </w:t>
      </w:r>
      <w:r w:rsidRPr="00914630">
        <w:rPr>
          <w:i/>
          <w:iCs/>
        </w:rPr>
        <w:t>agency</w:t>
      </w:r>
      <w:r>
        <w:rPr>
          <w:i/>
          <w:iCs/>
        </w:rPr>
        <w:t xml:space="preserve"> </w:t>
      </w:r>
      <w:r w:rsidRPr="00914630">
        <w:rPr>
          <w:i/>
          <w:iCs/>
        </w:rPr>
        <w:t>in</w:t>
      </w:r>
      <w:r>
        <w:rPr>
          <w:i/>
          <w:iCs/>
        </w:rPr>
        <w:t xml:space="preserve"> </w:t>
      </w:r>
      <w:r w:rsidRPr="00914630">
        <w:rPr>
          <w:i/>
          <w:iCs/>
        </w:rPr>
        <w:t>response</w:t>
      </w:r>
      <w:r>
        <w:rPr>
          <w:i/>
          <w:iCs/>
        </w:rPr>
        <w:t xml:space="preserve"> </w:t>
      </w:r>
      <w:r w:rsidRPr="00914630">
        <w:rPr>
          <w:i/>
          <w:iCs/>
        </w:rPr>
        <w:t>to</w:t>
      </w:r>
      <w:r>
        <w:rPr>
          <w:i/>
          <w:iCs/>
        </w:rPr>
        <w:t xml:space="preserve"> </w:t>
      </w:r>
      <w:r w:rsidRPr="00914630">
        <w:rPr>
          <w:i/>
          <w:iCs/>
        </w:rPr>
        <w:t>these</w:t>
      </w:r>
      <w:r>
        <w:rPr>
          <w:i/>
          <w:iCs/>
        </w:rPr>
        <w:t xml:space="preserve"> </w:t>
      </w:r>
      <w:r w:rsidRPr="00914630">
        <w:rPr>
          <w:i/>
          <w:iCs/>
        </w:rPr>
        <w:t>comments.</w:t>
      </w:r>
      <w:r>
        <w:rPr>
          <w:i/>
          <w:iCs/>
        </w:rPr>
        <w:t xml:space="preserve"> </w:t>
      </w:r>
      <w:r w:rsidRPr="00914630">
        <w:rPr>
          <w:i/>
          <w:iCs/>
        </w:rPr>
        <w:t>Specifically</w:t>
      </w:r>
      <w:r>
        <w:rPr>
          <w:i/>
          <w:iCs/>
        </w:rPr>
        <w:t xml:space="preserve"> </w:t>
      </w:r>
      <w:r w:rsidRPr="00914630">
        <w:rPr>
          <w:i/>
          <w:iCs/>
        </w:rPr>
        <w:t>address</w:t>
      </w:r>
      <w:r>
        <w:rPr>
          <w:i/>
          <w:iCs/>
        </w:rPr>
        <w:t xml:space="preserve"> </w:t>
      </w:r>
      <w:r w:rsidRPr="00914630">
        <w:rPr>
          <w:i/>
          <w:iCs/>
        </w:rPr>
        <w:t>comments</w:t>
      </w:r>
      <w:r>
        <w:rPr>
          <w:i/>
          <w:iCs/>
        </w:rPr>
        <w:t xml:space="preserve"> </w:t>
      </w:r>
      <w:r w:rsidRPr="00914630">
        <w:rPr>
          <w:i/>
          <w:iCs/>
        </w:rPr>
        <w:t>received</w:t>
      </w:r>
      <w:r>
        <w:rPr>
          <w:i/>
          <w:iCs/>
        </w:rPr>
        <w:t xml:space="preserve"> </w:t>
      </w:r>
      <w:r w:rsidRPr="00914630">
        <w:rPr>
          <w:i/>
          <w:iCs/>
        </w:rPr>
        <w:t>on</w:t>
      </w:r>
      <w:r>
        <w:rPr>
          <w:i/>
          <w:iCs/>
        </w:rPr>
        <w:t xml:space="preserve"> </w:t>
      </w:r>
      <w:r w:rsidRPr="00914630">
        <w:rPr>
          <w:i/>
          <w:iCs/>
        </w:rPr>
        <w:t>cost</w:t>
      </w:r>
      <w:r>
        <w:rPr>
          <w:i/>
          <w:iCs/>
        </w:rPr>
        <w:t xml:space="preserve"> </w:t>
      </w:r>
      <w:r w:rsidRPr="00914630">
        <w:rPr>
          <w:i/>
          <w:iCs/>
        </w:rPr>
        <w:t>and</w:t>
      </w:r>
      <w:r>
        <w:rPr>
          <w:i/>
          <w:iCs/>
        </w:rPr>
        <w:t xml:space="preserve"> </w:t>
      </w:r>
      <w:r w:rsidRPr="00914630">
        <w:rPr>
          <w:i/>
          <w:iCs/>
        </w:rPr>
        <w:t>hour</w:t>
      </w:r>
      <w:r>
        <w:rPr>
          <w:i/>
          <w:iCs/>
        </w:rPr>
        <w:t xml:space="preserve"> </w:t>
      </w:r>
      <w:r w:rsidRPr="00914630">
        <w:rPr>
          <w:i/>
          <w:iCs/>
        </w:rPr>
        <w:t>burden</w:t>
      </w:r>
      <w:r w:rsidRPr="00A65456">
        <w:rPr>
          <w:b/>
          <w:i/>
        </w:rPr>
        <w:t>.</w:t>
      </w:r>
    </w:p>
    <w:p w:rsidRPr="00B82B04" w:rsidR="00F5259C" w:rsidP="00F5259C" w:rsidRDefault="00F5259C" w14:paraId="4E61887F" w14:textId="77777777">
      <w:pPr>
        <w:numPr>
          <w:ilvl w:val="12"/>
          <w:numId w:val="0"/>
        </w:numPr>
        <w:spacing w:after="240"/>
      </w:pPr>
      <w:r w:rsidRPr="00B82B04">
        <w:t>The</w:t>
      </w:r>
      <w:r>
        <w:t xml:space="preserve"> </w:t>
      </w:r>
      <w:r w:rsidRPr="00B82B04">
        <w:t>text</w:t>
      </w:r>
      <w:r>
        <w:t xml:space="preserve"> </w:t>
      </w:r>
      <w:r w:rsidRPr="00B82B04">
        <w:t>of</w:t>
      </w:r>
      <w:r>
        <w:t xml:space="preserve"> </w:t>
      </w:r>
      <w:r w:rsidRPr="00B82B04">
        <w:t>the</w:t>
      </w:r>
      <w:r>
        <w:t xml:space="preserve"> </w:t>
      </w:r>
      <w:r w:rsidRPr="00B82B04">
        <w:t>PD&amp;R</w:t>
      </w:r>
      <w:r>
        <w:t xml:space="preserve"> </w:t>
      </w:r>
      <w:r w:rsidRPr="00B82B04">
        <w:t>60-day</w:t>
      </w:r>
      <w:r>
        <w:t xml:space="preserve"> </w:t>
      </w:r>
      <w:r w:rsidRPr="00B82B04">
        <w:t>notice</w:t>
      </w:r>
      <w:r>
        <w:t xml:space="preserve"> </w:t>
      </w:r>
      <w:r w:rsidRPr="00B82B04">
        <w:t>is</w:t>
      </w:r>
      <w:r>
        <w:t xml:space="preserve"> </w:t>
      </w:r>
      <w:r w:rsidRPr="00B82B04">
        <w:t>under</w:t>
      </w:r>
      <w:r>
        <w:t xml:space="preserve"> </w:t>
      </w:r>
      <w:r w:rsidRPr="00B82B04">
        <w:t>final</w:t>
      </w:r>
      <w:r>
        <w:t xml:space="preserve"> </w:t>
      </w:r>
      <w:r w:rsidRPr="00B82B04">
        <w:t>review.</w:t>
      </w:r>
      <w:r>
        <w:t xml:space="preserve"> </w:t>
      </w:r>
      <w:r w:rsidRPr="00B82B04">
        <w:t>A</w:t>
      </w:r>
      <w:r>
        <w:t xml:space="preserve"> </w:t>
      </w:r>
      <w:r w:rsidRPr="00B82B04">
        <w:t>summary</w:t>
      </w:r>
      <w:r>
        <w:t xml:space="preserve"> </w:t>
      </w:r>
      <w:r w:rsidRPr="00B82B04">
        <w:t>of</w:t>
      </w:r>
      <w:r>
        <w:t xml:space="preserve"> </w:t>
      </w:r>
      <w:r w:rsidRPr="00B82B04">
        <w:t>comments</w:t>
      </w:r>
      <w:r>
        <w:t xml:space="preserve"> </w:t>
      </w:r>
      <w:r w:rsidRPr="00B82B04">
        <w:t>will</w:t>
      </w:r>
      <w:r>
        <w:t xml:space="preserve"> </w:t>
      </w:r>
      <w:r w:rsidRPr="00B82B04">
        <w:t>be</w:t>
      </w:r>
      <w:r>
        <w:t xml:space="preserve"> </w:t>
      </w:r>
      <w:r w:rsidRPr="00B82B04">
        <w:t>provided</w:t>
      </w:r>
      <w:r>
        <w:t xml:space="preserve"> </w:t>
      </w:r>
      <w:r w:rsidRPr="00B82B04">
        <w:t>in</w:t>
      </w:r>
      <w:r>
        <w:t xml:space="preserve"> </w:t>
      </w:r>
      <w:r w:rsidRPr="00B82B04">
        <w:t>later</w:t>
      </w:r>
      <w:r>
        <w:t xml:space="preserve"> </w:t>
      </w:r>
      <w:r w:rsidRPr="00B82B04">
        <w:t>drafts</w:t>
      </w:r>
      <w:r>
        <w:t xml:space="preserve"> </w:t>
      </w:r>
      <w:r w:rsidRPr="00B82B04">
        <w:t>of</w:t>
      </w:r>
      <w:r>
        <w:t xml:space="preserve"> </w:t>
      </w:r>
      <w:r w:rsidRPr="00B82B04">
        <w:t>this</w:t>
      </w:r>
      <w:r>
        <w:t xml:space="preserve"> </w:t>
      </w:r>
      <w:r w:rsidRPr="00B82B04">
        <w:t>ICR.</w:t>
      </w:r>
    </w:p>
    <w:p w:rsidRPr="00914630" w:rsidR="00F5259C" w:rsidP="00F5259C" w:rsidRDefault="00F5259C" w14:paraId="0EBE4CC0" w14:textId="77777777">
      <w:pPr>
        <w:numPr>
          <w:ilvl w:val="12"/>
          <w:numId w:val="0"/>
        </w:numPr>
        <w:spacing w:after="240"/>
        <w:rPr>
          <w:i/>
          <w:iCs/>
        </w:rPr>
      </w:pPr>
      <w:r w:rsidRPr="00914630">
        <w:rPr>
          <w:i/>
          <w:iCs/>
        </w:rPr>
        <w:t>Describe</w:t>
      </w:r>
      <w:r>
        <w:rPr>
          <w:i/>
          <w:iCs/>
        </w:rPr>
        <w:t xml:space="preserve"> </w:t>
      </w:r>
      <w:r w:rsidRPr="00914630">
        <w:rPr>
          <w:i/>
          <w:iCs/>
        </w:rPr>
        <w:t>efforts</w:t>
      </w:r>
      <w:r>
        <w:rPr>
          <w:i/>
          <w:iCs/>
        </w:rPr>
        <w:t xml:space="preserve"> </w:t>
      </w:r>
      <w:r w:rsidRPr="00914630">
        <w:rPr>
          <w:i/>
          <w:iCs/>
        </w:rPr>
        <w:t>to</w:t>
      </w:r>
      <w:r>
        <w:rPr>
          <w:i/>
          <w:iCs/>
        </w:rPr>
        <w:t xml:space="preserve"> </w:t>
      </w:r>
      <w:r w:rsidRPr="00914630">
        <w:rPr>
          <w:i/>
          <w:iCs/>
        </w:rPr>
        <w:t>consult</w:t>
      </w:r>
      <w:r>
        <w:rPr>
          <w:i/>
          <w:iCs/>
        </w:rPr>
        <w:t xml:space="preserve"> </w:t>
      </w:r>
      <w:r w:rsidRPr="00914630">
        <w:rPr>
          <w:i/>
          <w:iCs/>
        </w:rPr>
        <w:t>with</w:t>
      </w:r>
      <w:r>
        <w:rPr>
          <w:i/>
          <w:iCs/>
        </w:rPr>
        <w:t xml:space="preserve"> </w:t>
      </w:r>
      <w:r w:rsidRPr="00914630">
        <w:rPr>
          <w:i/>
          <w:iCs/>
        </w:rPr>
        <w:t>persons</w:t>
      </w:r>
      <w:r>
        <w:rPr>
          <w:i/>
          <w:iCs/>
        </w:rPr>
        <w:t xml:space="preserve"> </w:t>
      </w:r>
      <w:r w:rsidRPr="00914630">
        <w:rPr>
          <w:i/>
          <w:iCs/>
        </w:rPr>
        <w:t>outside</w:t>
      </w:r>
      <w:r>
        <w:rPr>
          <w:i/>
          <w:iCs/>
        </w:rPr>
        <w:t xml:space="preserve"> </w:t>
      </w:r>
      <w:r w:rsidRPr="00914630">
        <w:rPr>
          <w:i/>
          <w:iCs/>
        </w:rPr>
        <w:t>the</w:t>
      </w:r>
      <w:r>
        <w:rPr>
          <w:i/>
          <w:iCs/>
        </w:rPr>
        <w:t xml:space="preserve"> </w:t>
      </w:r>
      <w:r w:rsidRPr="00914630">
        <w:rPr>
          <w:i/>
          <w:iCs/>
        </w:rPr>
        <w:t>agency</w:t>
      </w:r>
      <w:r>
        <w:rPr>
          <w:i/>
          <w:iCs/>
        </w:rPr>
        <w:t xml:space="preserve"> </w:t>
      </w:r>
      <w:r w:rsidRPr="00914630">
        <w:rPr>
          <w:i/>
          <w:iCs/>
        </w:rPr>
        <w:t>to</w:t>
      </w:r>
      <w:r>
        <w:rPr>
          <w:i/>
          <w:iCs/>
        </w:rPr>
        <w:t xml:space="preserve"> </w:t>
      </w:r>
      <w:r w:rsidRPr="00914630">
        <w:rPr>
          <w:i/>
          <w:iCs/>
        </w:rPr>
        <w:t>obtain</w:t>
      </w:r>
      <w:r>
        <w:rPr>
          <w:i/>
          <w:iCs/>
        </w:rPr>
        <w:t xml:space="preserve"> </w:t>
      </w:r>
      <w:r w:rsidRPr="00914630">
        <w:rPr>
          <w:i/>
          <w:iCs/>
        </w:rPr>
        <w:t>their</w:t>
      </w:r>
      <w:r>
        <w:rPr>
          <w:i/>
          <w:iCs/>
        </w:rPr>
        <w:t xml:space="preserve"> </w:t>
      </w:r>
      <w:r w:rsidRPr="00914630">
        <w:rPr>
          <w:i/>
          <w:iCs/>
        </w:rPr>
        <w:t>views</w:t>
      </w:r>
      <w:r>
        <w:rPr>
          <w:i/>
          <w:iCs/>
        </w:rPr>
        <w:t xml:space="preserve"> </w:t>
      </w:r>
      <w:r w:rsidRPr="00914630">
        <w:rPr>
          <w:i/>
          <w:iCs/>
        </w:rPr>
        <w:t>on</w:t>
      </w:r>
      <w:r>
        <w:rPr>
          <w:i/>
          <w:iCs/>
        </w:rPr>
        <w:t xml:space="preserve"> </w:t>
      </w:r>
      <w:r w:rsidRPr="00914630">
        <w:rPr>
          <w:i/>
          <w:iCs/>
        </w:rPr>
        <w:t>the</w:t>
      </w:r>
      <w:r>
        <w:rPr>
          <w:i/>
          <w:iCs/>
        </w:rPr>
        <w:t xml:space="preserve"> </w:t>
      </w:r>
      <w:r w:rsidRPr="00914630">
        <w:rPr>
          <w:i/>
          <w:iCs/>
        </w:rPr>
        <w:t>availability</w:t>
      </w:r>
      <w:r>
        <w:rPr>
          <w:i/>
          <w:iCs/>
        </w:rPr>
        <w:t xml:space="preserve"> </w:t>
      </w:r>
      <w:r w:rsidRPr="00914630">
        <w:rPr>
          <w:i/>
          <w:iCs/>
        </w:rPr>
        <w:t>of</w:t>
      </w:r>
      <w:r>
        <w:rPr>
          <w:i/>
          <w:iCs/>
        </w:rPr>
        <w:t xml:space="preserve"> </w:t>
      </w:r>
      <w:r w:rsidRPr="00914630">
        <w:rPr>
          <w:i/>
          <w:iCs/>
        </w:rPr>
        <w:t>data,</w:t>
      </w:r>
      <w:r>
        <w:rPr>
          <w:i/>
          <w:iCs/>
        </w:rPr>
        <w:t xml:space="preserve"> </w:t>
      </w:r>
      <w:r w:rsidRPr="00914630">
        <w:rPr>
          <w:i/>
          <w:iCs/>
        </w:rPr>
        <w:t>frequency</w:t>
      </w:r>
      <w:r>
        <w:rPr>
          <w:i/>
          <w:iCs/>
        </w:rPr>
        <w:t xml:space="preserve"> </w:t>
      </w:r>
      <w:r w:rsidRPr="00914630">
        <w:rPr>
          <w:i/>
          <w:iCs/>
        </w:rPr>
        <w:t>of</w:t>
      </w:r>
      <w:r>
        <w:rPr>
          <w:i/>
          <w:iCs/>
        </w:rPr>
        <w:t xml:space="preserve"> </w:t>
      </w:r>
      <w:r w:rsidRPr="00914630">
        <w:rPr>
          <w:i/>
          <w:iCs/>
        </w:rPr>
        <w:t>collection,</w:t>
      </w:r>
      <w:r>
        <w:rPr>
          <w:i/>
          <w:iCs/>
        </w:rPr>
        <w:t xml:space="preserve"> </w:t>
      </w:r>
      <w:r w:rsidRPr="00914630">
        <w:rPr>
          <w:i/>
          <w:iCs/>
        </w:rPr>
        <w:t>the</w:t>
      </w:r>
      <w:r>
        <w:rPr>
          <w:i/>
          <w:iCs/>
        </w:rPr>
        <w:t xml:space="preserve"> </w:t>
      </w:r>
      <w:r w:rsidRPr="00914630">
        <w:rPr>
          <w:i/>
          <w:iCs/>
        </w:rPr>
        <w:t>clarity</w:t>
      </w:r>
      <w:r>
        <w:rPr>
          <w:i/>
          <w:iCs/>
        </w:rPr>
        <w:t xml:space="preserve"> </w:t>
      </w:r>
      <w:r w:rsidRPr="00914630">
        <w:rPr>
          <w:i/>
          <w:iCs/>
        </w:rPr>
        <w:t>of</w:t>
      </w:r>
      <w:r>
        <w:rPr>
          <w:i/>
          <w:iCs/>
        </w:rPr>
        <w:t xml:space="preserve"> </w:t>
      </w:r>
      <w:r w:rsidRPr="00914630">
        <w:rPr>
          <w:i/>
          <w:iCs/>
        </w:rPr>
        <w:t>instructions</w:t>
      </w:r>
      <w:r>
        <w:rPr>
          <w:i/>
          <w:iCs/>
        </w:rPr>
        <w:t xml:space="preserve"> </w:t>
      </w:r>
      <w:r w:rsidRPr="00914630">
        <w:rPr>
          <w:i/>
          <w:iCs/>
        </w:rPr>
        <w:t>and</w:t>
      </w:r>
      <w:r>
        <w:rPr>
          <w:i/>
          <w:iCs/>
        </w:rPr>
        <w:t xml:space="preserve"> </w:t>
      </w:r>
      <w:r w:rsidRPr="00914630">
        <w:rPr>
          <w:i/>
          <w:iCs/>
        </w:rPr>
        <w:t>record-keeping,</w:t>
      </w:r>
      <w:r>
        <w:rPr>
          <w:i/>
          <w:iCs/>
        </w:rPr>
        <w:t xml:space="preserve"> </w:t>
      </w:r>
      <w:r w:rsidRPr="00914630">
        <w:rPr>
          <w:i/>
          <w:iCs/>
        </w:rPr>
        <w:t>disclosure,</w:t>
      </w:r>
      <w:r>
        <w:rPr>
          <w:i/>
          <w:iCs/>
        </w:rPr>
        <w:t xml:space="preserve"> </w:t>
      </w:r>
      <w:r w:rsidRPr="00914630">
        <w:rPr>
          <w:i/>
          <w:iCs/>
        </w:rPr>
        <w:t>or</w:t>
      </w:r>
      <w:r>
        <w:rPr>
          <w:i/>
          <w:iCs/>
        </w:rPr>
        <w:t xml:space="preserve"> </w:t>
      </w:r>
      <w:r w:rsidRPr="00914630">
        <w:rPr>
          <w:i/>
          <w:iCs/>
        </w:rPr>
        <w:t>reporting</w:t>
      </w:r>
      <w:r>
        <w:rPr>
          <w:i/>
          <w:iCs/>
        </w:rPr>
        <w:t xml:space="preserve"> </w:t>
      </w:r>
      <w:r w:rsidRPr="00914630">
        <w:rPr>
          <w:i/>
          <w:iCs/>
        </w:rPr>
        <w:t>format</w:t>
      </w:r>
      <w:r>
        <w:rPr>
          <w:i/>
          <w:iCs/>
        </w:rPr>
        <w:t xml:space="preserve"> </w:t>
      </w:r>
      <w:r w:rsidRPr="00914630">
        <w:rPr>
          <w:i/>
          <w:iCs/>
        </w:rPr>
        <w:t>(if</w:t>
      </w:r>
      <w:r>
        <w:rPr>
          <w:i/>
          <w:iCs/>
        </w:rPr>
        <w:t xml:space="preserve"> </w:t>
      </w:r>
      <w:r w:rsidRPr="00914630">
        <w:rPr>
          <w:i/>
          <w:iCs/>
        </w:rPr>
        <w:t>any),</w:t>
      </w:r>
      <w:r>
        <w:rPr>
          <w:i/>
          <w:iCs/>
        </w:rPr>
        <w:t xml:space="preserve"> </w:t>
      </w:r>
      <w:r w:rsidRPr="00914630">
        <w:rPr>
          <w:i/>
          <w:iCs/>
        </w:rPr>
        <w:t>and</w:t>
      </w:r>
      <w:r>
        <w:rPr>
          <w:i/>
          <w:iCs/>
        </w:rPr>
        <w:t xml:space="preserve"> </w:t>
      </w:r>
      <w:r w:rsidRPr="00914630">
        <w:rPr>
          <w:i/>
          <w:iCs/>
        </w:rPr>
        <w:t>on</w:t>
      </w:r>
      <w:r>
        <w:rPr>
          <w:i/>
          <w:iCs/>
        </w:rPr>
        <w:t xml:space="preserve"> </w:t>
      </w:r>
      <w:r w:rsidRPr="00914630">
        <w:rPr>
          <w:i/>
          <w:iCs/>
        </w:rPr>
        <w:t>the</w:t>
      </w:r>
      <w:r>
        <w:rPr>
          <w:i/>
          <w:iCs/>
        </w:rPr>
        <w:t xml:space="preserve"> </w:t>
      </w:r>
      <w:r w:rsidRPr="00914630">
        <w:rPr>
          <w:i/>
          <w:iCs/>
        </w:rPr>
        <w:t>data</w:t>
      </w:r>
      <w:r>
        <w:rPr>
          <w:i/>
          <w:iCs/>
        </w:rPr>
        <w:t xml:space="preserve"> </w:t>
      </w:r>
      <w:r w:rsidRPr="00914630">
        <w:rPr>
          <w:i/>
          <w:iCs/>
        </w:rPr>
        <w:t>elements</w:t>
      </w:r>
      <w:r>
        <w:rPr>
          <w:i/>
          <w:iCs/>
        </w:rPr>
        <w:t xml:space="preserve"> </w:t>
      </w:r>
      <w:r w:rsidRPr="00914630">
        <w:rPr>
          <w:i/>
          <w:iCs/>
        </w:rPr>
        <w:t>to</w:t>
      </w:r>
      <w:r>
        <w:rPr>
          <w:i/>
          <w:iCs/>
        </w:rPr>
        <w:t xml:space="preserve"> </w:t>
      </w:r>
      <w:r w:rsidRPr="00914630">
        <w:rPr>
          <w:i/>
          <w:iCs/>
        </w:rPr>
        <w:t>be</w:t>
      </w:r>
      <w:r>
        <w:rPr>
          <w:i/>
          <w:iCs/>
        </w:rPr>
        <w:t xml:space="preserve"> </w:t>
      </w:r>
      <w:r w:rsidRPr="00914630">
        <w:rPr>
          <w:i/>
          <w:iCs/>
        </w:rPr>
        <w:t>recorded,</w:t>
      </w:r>
      <w:r>
        <w:rPr>
          <w:i/>
          <w:iCs/>
        </w:rPr>
        <w:t xml:space="preserve"> </w:t>
      </w:r>
      <w:r w:rsidRPr="00914630">
        <w:rPr>
          <w:i/>
          <w:iCs/>
        </w:rPr>
        <w:t>disclosed,</w:t>
      </w:r>
      <w:r>
        <w:rPr>
          <w:i/>
          <w:iCs/>
        </w:rPr>
        <w:t xml:space="preserve"> </w:t>
      </w:r>
      <w:r w:rsidRPr="00914630">
        <w:rPr>
          <w:i/>
          <w:iCs/>
        </w:rPr>
        <w:t>or</w:t>
      </w:r>
      <w:r>
        <w:rPr>
          <w:i/>
          <w:iCs/>
        </w:rPr>
        <w:t xml:space="preserve"> </w:t>
      </w:r>
      <w:r w:rsidRPr="00914630">
        <w:rPr>
          <w:i/>
          <w:iCs/>
        </w:rPr>
        <w:t>reported.</w:t>
      </w:r>
    </w:p>
    <w:p w:rsidRPr="00B82B04" w:rsidR="00F5259C" w:rsidP="00F5259C" w:rsidRDefault="00F5259C" w14:paraId="359328B5" w14:textId="77777777">
      <w:pPr>
        <w:rPr>
          <w:i/>
          <w:iCs/>
        </w:rPr>
      </w:pPr>
      <w:r w:rsidRPr="00B82B04">
        <w:t>HUD</w:t>
      </w:r>
      <w:r>
        <w:t xml:space="preserve"> </w:t>
      </w:r>
      <w:r w:rsidRPr="00B82B04">
        <w:t>continues</w:t>
      </w:r>
      <w:r>
        <w:t xml:space="preserve"> </w:t>
      </w:r>
      <w:r w:rsidRPr="00B82B04">
        <w:t>to</w:t>
      </w:r>
      <w:r>
        <w:t xml:space="preserve"> </w:t>
      </w:r>
      <w:r w:rsidRPr="00B82B04">
        <w:t>consult</w:t>
      </w:r>
      <w:r>
        <w:t xml:space="preserve"> </w:t>
      </w:r>
      <w:r w:rsidRPr="00B82B04">
        <w:t>with</w:t>
      </w:r>
      <w:r>
        <w:t xml:space="preserve"> </w:t>
      </w:r>
      <w:r w:rsidRPr="00B82B04">
        <w:t>the</w:t>
      </w:r>
      <w:r>
        <w:t xml:space="preserve"> </w:t>
      </w:r>
      <w:r w:rsidRPr="00B82B04">
        <w:t>following</w:t>
      </w:r>
      <w:r>
        <w:t xml:space="preserve"> </w:t>
      </w:r>
      <w:r w:rsidRPr="00B82B04">
        <w:t>private</w:t>
      </w:r>
      <w:r>
        <w:t xml:space="preserve"> </w:t>
      </w:r>
      <w:r w:rsidRPr="00B82B04">
        <w:t>sector</w:t>
      </w:r>
      <w:r>
        <w:t xml:space="preserve"> </w:t>
      </w:r>
      <w:r w:rsidRPr="00B82B04">
        <w:t>experts</w:t>
      </w:r>
      <w:r>
        <w:t xml:space="preserve"> </w:t>
      </w:r>
      <w:r w:rsidRPr="00B82B04">
        <w:t>to</w:t>
      </w:r>
      <w:r>
        <w:t xml:space="preserve"> </w:t>
      </w:r>
      <w:r w:rsidRPr="00B82B04">
        <w:t>assure</w:t>
      </w:r>
      <w:r>
        <w:t xml:space="preserve"> </w:t>
      </w:r>
      <w:r w:rsidRPr="00B82B04">
        <w:t>the</w:t>
      </w:r>
      <w:r>
        <w:t xml:space="preserve"> </w:t>
      </w:r>
      <w:r w:rsidRPr="00B82B04">
        <w:t>project</w:t>
      </w:r>
      <w:r>
        <w:t xml:space="preserve"> </w:t>
      </w:r>
      <w:r w:rsidRPr="00B82B04">
        <w:t>meets</w:t>
      </w:r>
      <w:r>
        <w:t xml:space="preserve"> </w:t>
      </w:r>
      <w:r w:rsidRPr="00B82B04">
        <w:t>federal</w:t>
      </w:r>
      <w:r>
        <w:t xml:space="preserve"> </w:t>
      </w:r>
      <w:r w:rsidRPr="00B82B04">
        <w:t>needs</w:t>
      </w:r>
      <w:r>
        <w:t xml:space="preserve"> </w:t>
      </w:r>
      <w:r w:rsidRPr="00B82B04">
        <w:t>and</w:t>
      </w:r>
      <w:r>
        <w:t xml:space="preserve"> </w:t>
      </w:r>
      <w:r w:rsidRPr="00B82B04">
        <w:t>avoids</w:t>
      </w:r>
      <w:r>
        <w:t xml:space="preserve"> </w:t>
      </w:r>
      <w:r w:rsidRPr="00B82B04">
        <w:t>duplication.</w:t>
      </w:r>
      <w:r>
        <w:t xml:space="preserve"> </w:t>
      </w:r>
    </w:p>
    <w:p w:rsidRPr="00B82B04" w:rsidR="00F5259C" w:rsidP="00F5259C" w:rsidRDefault="00F5259C" w14:paraId="698D821D" w14:textId="77777777">
      <w:pPr>
        <w:tabs>
          <w:tab w:val="left" w:pos="360"/>
          <w:tab w:val="left" w:pos="3600"/>
        </w:tabs>
        <w:ind w:left="360"/>
      </w:pPr>
      <w:r w:rsidRPr="00B82B04">
        <w:tab/>
      </w:r>
    </w:p>
    <w:p w:rsidRPr="00B82B04" w:rsidR="00F5259C" w:rsidP="00F5259C" w:rsidRDefault="00F5259C" w14:paraId="74C594FB" w14:textId="77777777">
      <w:pPr>
        <w:tabs>
          <w:tab w:val="left" w:pos="360"/>
          <w:tab w:val="left" w:pos="3600"/>
        </w:tabs>
        <w:ind w:left="720"/>
      </w:pPr>
      <w:r w:rsidRPr="00B82B04">
        <w:t>Amanda</w:t>
      </w:r>
      <w:r>
        <w:t xml:space="preserve"> </w:t>
      </w:r>
      <w:r w:rsidRPr="00B82B04">
        <w:t>Reddy</w:t>
      </w:r>
      <w:r>
        <w:t xml:space="preserve"> </w:t>
      </w:r>
      <w:r w:rsidRPr="00B82B04">
        <w:tab/>
        <w:t>Healthy</w:t>
      </w:r>
      <w:r>
        <w:t xml:space="preserve"> </w:t>
      </w:r>
      <w:r w:rsidRPr="00B82B04">
        <w:t>Housing</w:t>
      </w:r>
      <w:r>
        <w:t xml:space="preserve"> </w:t>
      </w:r>
      <w:r w:rsidRPr="00B82B04">
        <w:t>Solutions,</w:t>
      </w:r>
      <w:r>
        <w:t xml:space="preserve"> </w:t>
      </w:r>
      <w:r w:rsidRPr="00B82B04">
        <w:t>Inc.</w:t>
      </w:r>
    </w:p>
    <w:p w:rsidRPr="00B82B04" w:rsidR="00F5259C" w:rsidP="00F5259C" w:rsidRDefault="00F5259C" w14:paraId="5AF16A73" w14:textId="77777777">
      <w:pPr>
        <w:tabs>
          <w:tab w:val="left" w:pos="360"/>
          <w:tab w:val="left" w:pos="3600"/>
        </w:tabs>
        <w:ind w:left="720"/>
      </w:pPr>
      <w:r w:rsidRPr="00B82B04">
        <w:t>Carolyn</w:t>
      </w:r>
      <w:r>
        <w:t xml:space="preserve"> </w:t>
      </w:r>
      <w:r w:rsidRPr="00B82B04">
        <w:t>Kawecki</w:t>
      </w:r>
      <w:r>
        <w:t xml:space="preserve"> </w:t>
      </w:r>
      <w:r w:rsidRPr="00B82B04">
        <w:tab/>
      </w:r>
      <w:bookmarkStart w:name="_Hlk58846297" w:id="43"/>
      <w:r w:rsidRPr="00B82B04">
        <w:t>Healthy</w:t>
      </w:r>
      <w:r>
        <w:t xml:space="preserve"> </w:t>
      </w:r>
      <w:r w:rsidRPr="00B82B04">
        <w:t>Housing</w:t>
      </w:r>
      <w:r>
        <w:t xml:space="preserve"> </w:t>
      </w:r>
      <w:r w:rsidRPr="00B82B04">
        <w:t>Solutions,</w:t>
      </w:r>
      <w:r>
        <w:t xml:space="preserve"> </w:t>
      </w:r>
      <w:r w:rsidRPr="00B82B04">
        <w:t>Inc.</w:t>
      </w:r>
      <w:bookmarkEnd w:id="43"/>
    </w:p>
    <w:p w:rsidRPr="00B82B04" w:rsidR="00F5259C" w:rsidP="00F5259C" w:rsidRDefault="00F5259C" w14:paraId="7A8DB4FC" w14:textId="77777777">
      <w:pPr>
        <w:tabs>
          <w:tab w:val="left" w:pos="360"/>
          <w:tab w:val="left" w:pos="3600"/>
        </w:tabs>
        <w:ind w:left="720"/>
      </w:pPr>
      <w:r w:rsidRPr="00B82B04">
        <w:t>Noreen</w:t>
      </w:r>
      <w:r>
        <w:t xml:space="preserve"> </w:t>
      </w:r>
      <w:r w:rsidRPr="00B82B04">
        <w:t>Beatley</w:t>
      </w:r>
      <w:r>
        <w:t xml:space="preserve"> </w:t>
      </w:r>
      <w:r w:rsidRPr="00B82B04">
        <w:tab/>
        <w:t>Healthy</w:t>
      </w:r>
      <w:r>
        <w:t xml:space="preserve"> </w:t>
      </w:r>
      <w:r w:rsidRPr="00B82B04">
        <w:t>Housing</w:t>
      </w:r>
      <w:r>
        <w:t xml:space="preserve"> </w:t>
      </w:r>
      <w:r w:rsidRPr="00B82B04">
        <w:t>Solutions,</w:t>
      </w:r>
      <w:r>
        <w:t xml:space="preserve"> </w:t>
      </w:r>
      <w:r w:rsidRPr="00B82B04">
        <w:t>Inc.</w:t>
      </w:r>
    </w:p>
    <w:p w:rsidRPr="00B82B04" w:rsidR="00F5259C" w:rsidP="00F5259C" w:rsidRDefault="00F5259C" w14:paraId="29652760" w14:textId="77777777">
      <w:pPr>
        <w:tabs>
          <w:tab w:val="left" w:pos="360"/>
          <w:tab w:val="left" w:pos="3600"/>
        </w:tabs>
        <w:ind w:left="720"/>
      </w:pPr>
      <w:r w:rsidRPr="00B82B04">
        <w:t>Michael</w:t>
      </w:r>
      <w:r>
        <w:t xml:space="preserve"> </w:t>
      </w:r>
      <w:r w:rsidRPr="00B82B04">
        <w:t>Eriksen</w:t>
      </w:r>
      <w:r>
        <w:t xml:space="preserve"> </w:t>
      </w:r>
      <w:r w:rsidRPr="00B82B04">
        <w:tab/>
        <w:t>Healthy</w:t>
      </w:r>
      <w:r>
        <w:t xml:space="preserve"> </w:t>
      </w:r>
      <w:r w:rsidRPr="00B82B04">
        <w:t>Housing</w:t>
      </w:r>
      <w:r>
        <w:t xml:space="preserve"> </w:t>
      </w:r>
      <w:r w:rsidRPr="00B82B04">
        <w:t>Solutions,</w:t>
      </w:r>
      <w:r>
        <w:t xml:space="preserve"> </w:t>
      </w:r>
      <w:r w:rsidRPr="00B82B04">
        <w:t>Inc.</w:t>
      </w:r>
    </w:p>
    <w:p w:rsidRPr="00B82B04" w:rsidR="00F5259C" w:rsidP="00F5259C" w:rsidRDefault="00F5259C" w14:paraId="28A46338" w14:textId="77777777">
      <w:pPr>
        <w:tabs>
          <w:tab w:val="left" w:pos="360"/>
          <w:tab w:val="left" w:pos="3600"/>
        </w:tabs>
        <w:ind w:left="720"/>
      </w:pPr>
      <w:r w:rsidRPr="00B82B04">
        <w:t>Jonathan</w:t>
      </w:r>
      <w:r>
        <w:t xml:space="preserve"> </w:t>
      </w:r>
      <w:r w:rsidRPr="00B82B04">
        <w:t>Wilson</w:t>
      </w:r>
      <w:r w:rsidRPr="00B82B04">
        <w:tab/>
        <w:t>National</w:t>
      </w:r>
      <w:r>
        <w:t xml:space="preserve"> </w:t>
      </w:r>
      <w:r w:rsidRPr="00B82B04">
        <w:t>Center</w:t>
      </w:r>
      <w:r>
        <w:t xml:space="preserve"> </w:t>
      </w:r>
      <w:r w:rsidRPr="00B82B04">
        <w:t>for</w:t>
      </w:r>
      <w:r>
        <w:t xml:space="preserve"> </w:t>
      </w:r>
      <w:r w:rsidRPr="00B82B04">
        <w:t>Healthy</w:t>
      </w:r>
      <w:r>
        <w:t xml:space="preserve"> </w:t>
      </w:r>
      <w:r w:rsidRPr="00B82B04">
        <w:t>Housing</w:t>
      </w:r>
    </w:p>
    <w:p w:rsidRPr="00B82B04" w:rsidR="00F5259C" w:rsidP="00F5259C" w:rsidRDefault="00F5259C" w14:paraId="457F30E9" w14:textId="77777777">
      <w:pPr>
        <w:tabs>
          <w:tab w:val="left" w:pos="360"/>
          <w:tab w:val="left" w:pos="3600"/>
        </w:tabs>
        <w:ind w:left="720"/>
      </w:pPr>
      <w:r w:rsidRPr="00B82B04">
        <w:t>Jill</w:t>
      </w:r>
      <w:r>
        <w:t xml:space="preserve"> </w:t>
      </w:r>
      <w:r w:rsidRPr="00B82B04">
        <w:t>Breysse</w:t>
      </w:r>
      <w:r w:rsidRPr="00B82B04">
        <w:tab/>
        <w:t>National</w:t>
      </w:r>
      <w:r>
        <w:t xml:space="preserve"> </w:t>
      </w:r>
      <w:r w:rsidRPr="00B82B04">
        <w:t>Center</w:t>
      </w:r>
      <w:r>
        <w:t xml:space="preserve"> </w:t>
      </w:r>
      <w:r w:rsidRPr="00B82B04">
        <w:t>for</w:t>
      </w:r>
      <w:r>
        <w:t xml:space="preserve"> </w:t>
      </w:r>
      <w:r w:rsidRPr="00B82B04">
        <w:t>Healthy</w:t>
      </w:r>
      <w:r>
        <w:t xml:space="preserve"> </w:t>
      </w:r>
      <w:r w:rsidRPr="00B82B04">
        <w:t>Housing</w:t>
      </w:r>
    </w:p>
    <w:p w:rsidRPr="00B82B04" w:rsidR="00F5259C" w:rsidP="00F5259C" w:rsidRDefault="00F5259C" w14:paraId="3B84451E" w14:textId="77777777">
      <w:pPr>
        <w:numPr>
          <w:ilvl w:val="12"/>
          <w:numId w:val="0"/>
        </w:numPr>
        <w:tabs>
          <w:tab w:val="left" w:pos="3600"/>
          <w:tab w:val="left" w:pos="7200"/>
        </w:tabs>
        <w:ind w:left="720"/>
      </w:pPr>
      <w:r w:rsidRPr="00B82B04">
        <w:t>Sherry</w:t>
      </w:r>
      <w:r>
        <w:t xml:space="preserve"> </w:t>
      </w:r>
      <w:r w:rsidRPr="00B82B04">
        <w:t>Dixon</w:t>
      </w:r>
      <w:r w:rsidRPr="00B82B04">
        <w:tab/>
        <w:t>National</w:t>
      </w:r>
      <w:r>
        <w:t xml:space="preserve"> </w:t>
      </w:r>
      <w:r w:rsidRPr="00B82B04">
        <w:t>Center</w:t>
      </w:r>
      <w:r>
        <w:t xml:space="preserve"> </w:t>
      </w:r>
      <w:r w:rsidRPr="00B82B04">
        <w:t>for</w:t>
      </w:r>
      <w:r>
        <w:t xml:space="preserve"> </w:t>
      </w:r>
      <w:r w:rsidRPr="00B82B04">
        <w:t>Healthy</w:t>
      </w:r>
      <w:r>
        <w:t xml:space="preserve"> </w:t>
      </w:r>
      <w:r w:rsidRPr="00B82B04">
        <w:t>Housing</w:t>
      </w:r>
    </w:p>
    <w:p w:rsidRPr="00B82B04" w:rsidR="00F5259C" w:rsidP="00F5259C" w:rsidRDefault="00F5259C" w14:paraId="5C5C6E02" w14:textId="77777777">
      <w:pPr>
        <w:numPr>
          <w:ilvl w:val="12"/>
          <w:numId w:val="0"/>
        </w:numPr>
        <w:tabs>
          <w:tab w:val="left" w:pos="2880"/>
          <w:tab w:val="left" w:pos="7200"/>
        </w:tabs>
      </w:pPr>
    </w:p>
    <w:p w:rsidRPr="00914630" w:rsidR="00F5259C" w:rsidP="00F5259C" w:rsidRDefault="00F5259C" w14:paraId="60F521F5" w14:textId="77777777">
      <w:pPr>
        <w:numPr>
          <w:ilvl w:val="12"/>
          <w:numId w:val="0"/>
        </w:numPr>
        <w:rPr>
          <w:i/>
          <w:iCs/>
        </w:rPr>
      </w:pPr>
      <w:r w:rsidRPr="00914630">
        <w:rPr>
          <w:i/>
          <w:iCs/>
        </w:rPr>
        <w:t>Consultation</w:t>
      </w:r>
      <w:r>
        <w:rPr>
          <w:i/>
          <w:iCs/>
        </w:rPr>
        <w:t xml:space="preserve"> </w:t>
      </w:r>
      <w:r w:rsidRPr="00914630">
        <w:rPr>
          <w:i/>
          <w:iCs/>
        </w:rPr>
        <w:t>with</w:t>
      </w:r>
      <w:r>
        <w:rPr>
          <w:i/>
          <w:iCs/>
        </w:rPr>
        <w:t xml:space="preserve"> </w:t>
      </w:r>
      <w:r w:rsidRPr="00914630">
        <w:rPr>
          <w:i/>
          <w:iCs/>
        </w:rPr>
        <w:t>representatives</w:t>
      </w:r>
      <w:r>
        <w:rPr>
          <w:i/>
          <w:iCs/>
        </w:rPr>
        <w:t xml:space="preserve"> </w:t>
      </w:r>
      <w:r w:rsidRPr="00914630">
        <w:rPr>
          <w:i/>
          <w:iCs/>
        </w:rPr>
        <w:t>of</w:t>
      </w:r>
      <w:r>
        <w:rPr>
          <w:i/>
          <w:iCs/>
        </w:rPr>
        <w:t xml:space="preserve"> </w:t>
      </w:r>
      <w:r w:rsidRPr="00914630">
        <w:rPr>
          <w:i/>
          <w:iCs/>
        </w:rPr>
        <w:t>those</w:t>
      </w:r>
      <w:r>
        <w:rPr>
          <w:i/>
          <w:iCs/>
        </w:rPr>
        <w:t xml:space="preserve"> </w:t>
      </w:r>
      <w:r w:rsidRPr="00914630">
        <w:rPr>
          <w:i/>
          <w:iCs/>
        </w:rPr>
        <w:t>from</w:t>
      </w:r>
      <w:r>
        <w:rPr>
          <w:i/>
          <w:iCs/>
        </w:rPr>
        <w:t xml:space="preserve"> </w:t>
      </w:r>
      <w:r w:rsidRPr="00914630">
        <w:rPr>
          <w:i/>
          <w:iCs/>
        </w:rPr>
        <w:t>whom</w:t>
      </w:r>
      <w:r>
        <w:rPr>
          <w:i/>
          <w:iCs/>
        </w:rPr>
        <w:t xml:space="preserve"> </w:t>
      </w:r>
      <w:r w:rsidRPr="00914630">
        <w:rPr>
          <w:i/>
          <w:iCs/>
        </w:rPr>
        <w:t>information</w:t>
      </w:r>
      <w:r>
        <w:rPr>
          <w:i/>
          <w:iCs/>
        </w:rPr>
        <w:t xml:space="preserve"> </w:t>
      </w:r>
      <w:r w:rsidRPr="00914630">
        <w:rPr>
          <w:i/>
          <w:iCs/>
        </w:rPr>
        <w:t>is</w:t>
      </w:r>
      <w:r>
        <w:rPr>
          <w:i/>
          <w:iCs/>
        </w:rPr>
        <w:t xml:space="preserve"> </w:t>
      </w:r>
      <w:r w:rsidRPr="00914630">
        <w:rPr>
          <w:i/>
          <w:iCs/>
        </w:rPr>
        <w:t>to</w:t>
      </w:r>
      <w:r>
        <w:rPr>
          <w:i/>
          <w:iCs/>
        </w:rPr>
        <w:t xml:space="preserve"> </w:t>
      </w:r>
      <w:r w:rsidRPr="00914630">
        <w:rPr>
          <w:i/>
          <w:iCs/>
        </w:rPr>
        <w:t>be</w:t>
      </w:r>
      <w:r>
        <w:rPr>
          <w:i/>
          <w:iCs/>
        </w:rPr>
        <w:t xml:space="preserve"> </w:t>
      </w:r>
      <w:r w:rsidRPr="00914630">
        <w:rPr>
          <w:i/>
          <w:iCs/>
        </w:rPr>
        <w:t>obtained</w:t>
      </w:r>
      <w:r>
        <w:rPr>
          <w:i/>
          <w:iCs/>
        </w:rPr>
        <w:t xml:space="preserve"> </w:t>
      </w:r>
      <w:r w:rsidRPr="00914630">
        <w:rPr>
          <w:i/>
          <w:iCs/>
        </w:rPr>
        <w:t>or</w:t>
      </w:r>
      <w:r>
        <w:rPr>
          <w:i/>
          <w:iCs/>
        </w:rPr>
        <w:t xml:space="preserve"> </w:t>
      </w:r>
      <w:r w:rsidRPr="00914630">
        <w:rPr>
          <w:i/>
          <w:iCs/>
        </w:rPr>
        <w:t>those</w:t>
      </w:r>
      <w:r>
        <w:rPr>
          <w:i/>
          <w:iCs/>
        </w:rPr>
        <w:t xml:space="preserve"> </w:t>
      </w:r>
      <w:r w:rsidRPr="00914630">
        <w:rPr>
          <w:i/>
          <w:iCs/>
        </w:rPr>
        <w:t>who</w:t>
      </w:r>
      <w:r>
        <w:rPr>
          <w:i/>
          <w:iCs/>
        </w:rPr>
        <w:t xml:space="preserve"> </w:t>
      </w:r>
      <w:r w:rsidRPr="00914630">
        <w:rPr>
          <w:i/>
          <w:iCs/>
        </w:rPr>
        <w:t>must</w:t>
      </w:r>
      <w:r>
        <w:rPr>
          <w:i/>
          <w:iCs/>
        </w:rPr>
        <w:t xml:space="preserve"> </w:t>
      </w:r>
      <w:r w:rsidRPr="00914630">
        <w:rPr>
          <w:i/>
          <w:iCs/>
        </w:rPr>
        <w:t>compile</w:t>
      </w:r>
      <w:r>
        <w:rPr>
          <w:i/>
          <w:iCs/>
        </w:rPr>
        <w:t xml:space="preserve"> </w:t>
      </w:r>
      <w:r w:rsidRPr="00914630">
        <w:rPr>
          <w:i/>
          <w:iCs/>
        </w:rPr>
        <w:t>records</w:t>
      </w:r>
      <w:r>
        <w:rPr>
          <w:i/>
          <w:iCs/>
        </w:rPr>
        <w:t xml:space="preserve"> </w:t>
      </w:r>
      <w:r w:rsidRPr="00914630">
        <w:rPr>
          <w:i/>
          <w:iCs/>
        </w:rPr>
        <w:t>should</w:t>
      </w:r>
      <w:r>
        <w:rPr>
          <w:i/>
          <w:iCs/>
        </w:rPr>
        <w:t xml:space="preserve"> </w:t>
      </w:r>
      <w:r w:rsidRPr="00914630">
        <w:rPr>
          <w:i/>
          <w:iCs/>
        </w:rPr>
        <w:t>occur</w:t>
      </w:r>
      <w:r>
        <w:rPr>
          <w:i/>
          <w:iCs/>
        </w:rPr>
        <w:t xml:space="preserve"> </w:t>
      </w:r>
      <w:r w:rsidRPr="00914630">
        <w:rPr>
          <w:i/>
          <w:iCs/>
        </w:rPr>
        <w:t>at</w:t>
      </w:r>
      <w:r>
        <w:rPr>
          <w:i/>
          <w:iCs/>
        </w:rPr>
        <w:t xml:space="preserve"> </w:t>
      </w:r>
      <w:r w:rsidRPr="00914630">
        <w:rPr>
          <w:i/>
          <w:iCs/>
        </w:rPr>
        <w:t>least</w:t>
      </w:r>
      <w:r>
        <w:rPr>
          <w:i/>
          <w:iCs/>
        </w:rPr>
        <w:t xml:space="preserve"> </w:t>
      </w:r>
      <w:r w:rsidRPr="00914630">
        <w:rPr>
          <w:i/>
          <w:iCs/>
        </w:rPr>
        <w:t>once</w:t>
      </w:r>
      <w:r>
        <w:rPr>
          <w:i/>
          <w:iCs/>
        </w:rPr>
        <w:t xml:space="preserve"> </w:t>
      </w:r>
      <w:r w:rsidRPr="00914630">
        <w:rPr>
          <w:i/>
          <w:iCs/>
        </w:rPr>
        <w:t>every</w:t>
      </w:r>
      <w:r>
        <w:rPr>
          <w:i/>
          <w:iCs/>
        </w:rPr>
        <w:t xml:space="preserve"> </w:t>
      </w:r>
      <w:r w:rsidRPr="00914630">
        <w:rPr>
          <w:i/>
          <w:iCs/>
        </w:rPr>
        <w:t>3</w:t>
      </w:r>
      <w:r>
        <w:rPr>
          <w:i/>
          <w:iCs/>
        </w:rPr>
        <w:t xml:space="preserve"> </w:t>
      </w:r>
      <w:r w:rsidRPr="00914630">
        <w:rPr>
          <w:i/>
          <w:iCs/>
        </w:rPr>
        <w:t>years</w:t>
      </w:r>
      <w:r>
        <w:rPr>
          <w:i/>
          <w:iCs/>
        </w:rPr>
        <w:t xml:space="preserve"> </w:t>
      </w:r>
      <w:r w:rsidRPr="00914630">
        <w:rPr>
          <w:i/>
          <w:iCs/>
        </w:rPr>
        <w:t>-</w:t>
      </w:r>
      <w:r>
        <w:rPr>
          <w:i/>
          <w:iCs/>
        </w:rPr>
        <w:t xml:space="preserve"> </w:t>
      </w:r>
      <w:r w:rsidRPr="00914630">
        <w:rPr>
          <w:i/>
          <w:iCs/>
        </w:rPr>
        <w:t>even</w:t>
      </w:r>
      <w:r>
        <w:rPr>
          <w:i/>
          <w:iCs/>
        </w:rPr>
        <w:t xml:space="preserve"> </w:t>
      </w:r>
      <w:r w:rsidRPr="00914630">
        <w:rPr>
          <w:i/>
          <w:iCs/>
        </w:rPr>
        <w:t>if</w:t>
      </w:r>
      <w:r>
        <w:rPr>
          <w:i/>
          <w:iCs/>
        </w:rPr>
        <w:t xml:space="preserve"> </w:t>
      </w:r>
      <w:r w:rsidRPr="00914630">
        <w:rPr>
          <w:i/>
          <w:iCs/>
        </w:rPr>
        <w:t>the</w:t>
      </w:r>
      <w:r>
        <w:rPr>
          <w:i/>
          <w:iCs/>
        </w:rPr>
        <w:t xml:space="preserve"> </w:t>
      </w:r>
      <w:r w:rsidRPr="00914630">
        <w:rPr>
          <w:i/>
          <w:iCs/>
        </w:rPr>
        <w:t>collection</w:t>
      </w:r>
      <w:r>
        <w:rPr>
          <w:i/>
          <w:iCs/>
        </w:rPr>
        <w:t xml:space="preserve"> </w:t>
      </w:r>
      <w:r w:rsidRPr="00914630">
        <w:rPr>
          <w:i/>
          <w:iCs/>
        </w:rPr>
        <w:t>of</w:t>
      </w:r>
      <w:r>
        <w:rPr>
          <w:i/>
          <w:iCs/>
        </w:rPr>
        <w:t xml:space="preserve"> </w:t>
      </w:r>
      <w:r w:rsidRPr="00914630">
        <w:rPr>
          <w:i/>
          <w:iCs/>
        </w:rPr>
        <w:t>information</w:t>
      </w:r>
      <w:r>
        <w:rPr>
          <w:i/>
          <w:iCs/>
        </w:rPr>
        <w:t xml:space="preserve"> </w:t>
      </w:r>
      <w:r w:rsidRPr="00914630">
        <w:rPr>
          <w:i/>
          <w:iCs/>
        </w:rPr>
        <w:t>activity</w:t>
      </w:r>
      <w:r>
        <w:rPr>
          <w:i/>
          <w:iCs/>
        </w:rPr>
        <w:t xml:space="preserve"> </w:t>
      </w:r>
      <w:r w:rsidRPr="00914630">
        <w:rPr>
          <w:i/>
          <w:iCs/>
        </w:rPr>
        <w:t>is</w:t>
      </w:r>
      <w:r>
        <w:rPr>
          <w:i/>
          <w:iCs/>
        </w:rPr>
        <w:t xml:space="preserve"> </w:t>
      </w:r>
      <w:r w:rsidRPr="00914630">
        <w:rPr>
          <w:i/>
          <w:iCs/>
        </w:rPr>
        <w:t>the</w:t>
      </w:r>
      <w:r>
        <w:rPr>
          <w:i/>
          <w:iCs/>
        </w:rPr>
        <w:t xml:space="preserve"> </w:t>
      </w:r>
      <w:r w:rsidRPr="00914630">
        <w:rPr>
          <w:i/>
          <w:iCs/>
        </w:rPr>
        <w:t>same</w:t>
      </w:r>
      <w:r>
        <w:rPr>
          <w:i/>
          <w:iCs/>
        </w:rPr>
        <w:t xml:space="preserve"> </w:t>
      </w:r>
      <w:r w:rsidRPr="00914630">
        <w:rPr>
          <w:i/>
          <w:iCs/>
        </w:rPr>
        <w:t>as</w:t>
      </w:r>
      <w:r>
        <w:rPr>
          <w:i/>
          <w:iCs/>
        </w:rPr>
        <w:t xml:space="preserve"> </w:t>
      </w:r>
      <w:r w:rsidRPr="00914630">
        <w:rPr>
          <w:i/>
          <w:iCs/>
        </w:rPr>
        <w:t>in</w:t>
      </w:r>
      <w:r>
        <w:rPr>
          <w:i/>
          <w:iCs/>
        </w:rPr>
        <w:t xml:space="preserve"> </w:t>
      </w:r>
      <w:r w:rsidRPr="00914630">
        <w:rPr>
          <w:i/>
          <w:iCs/>
        </w:rPr>
        <w:t>prior</w:t>
      </w:r>
      <w:r>
        <w:rPr>
          <w:i/>
          <w:iCs/>
        </w:rPr>
        <w:t xml:space="preserve"> </w:t>
      </w:r>
      <w:r w:rsidRPr="00914630">
        <w:rPr>
          <w:i/>
          <w:iCs/>
        </w:rPr>
        <w:t>periods.</w:t>
      </w:r>
      <w:r>
        <w:rPr>
          <w:i/>
          <w:iCs/>
        </w:rPr>
        <w:t xml:space="preserve"> </w:t>
      </w:r>
      <w:r w:rsidRPr="00914630">
        <w:rPr>
          <w:i/>
          <w:iCs/>
        </w:rPr>
        <w:t>There</w:t>
      </w:r>
      <w:r>
        <w:rPr>
          <w:i/>
          <w:iCs/>
        </w:rPr>
        <w:t xml:space="preserve"> </w:t>
      </w:r>
      <w:r w:rsidRPr="00914630">
        <w:rPr>
          <w:i/>
          <w:iCs/>
        </w:rPr>
        <w:t>may</w:t>
      </w:r>
      <w:r>
        <w:rPr>
          <w:i/>
          <w:iCs/>
        </w:rPr>
        <w:t xml:space="preserve"> </w:t>
      </w:r>
      <w:r w:rsidRPr="00914630">
        <w:rPr>
          <w:i/>
          <w:iCs/>
        </w:rPr>
        <w:t>be</w:t>
      </w:r>
      <w:r>
        <w:rPr>
          <w:i/>
          <w:iCs/>
        </w:rPr>
        <w:t xml:space="preserve"> </w:t>
      </w:r>
      <w:r w:rsidRPr="00914630">
        <w:rPr>
          <w:i/>
          <w:iCs/>
        </w:rPr>
        <w:t>circumstances</w:t>
      </w:r>
      <w:r>
        <w:rPr>
          <w:i/>
          <w:iCs/>
        </w:rPr>
        <w:t xml:space="preserve"> </w:t>
      </w:r>
      <w:r w:rsidRPr="00914630">
        <w:rPr>
          <w:i/>
          <w:iCs/>
        </w:rPr>
        <w:t>that</w:t>
      </w:r>
      <w:r>
        <w:rPr>
          <w:i/>
          <w:iCs/>
        </w:rPr>
        <w:t xml:space="preserve"> </w:t>
      </w:r>
      <w:r w:rsidRPr="00914630">
        <w:rPr>
          <w:i/>
          <w:iCs/>
        </w:rPr>
        <w:t>may</w:t>
      </w:r>
      <w:r>
        <w:rPr>
          <w:i/>
          <w:iCs/>
        </w:rPr>
        <w:t xml:space="preserve"> </w:t>
      </w:r>
      <w:r w:rsidRPr="00914630">
        <w:rPr>
          <w:i/>
          <w:iCs/>
        </w:rPr>
        <w:t>preclude</w:t>
      </w:r>
      <w:r>
        <w:rPr>
          <w:i/>
          <w:iCs/>
        </w:rPr>
        <w:t xml:space="preserve"> </w:t>
      </w:r>
      <w:r w:rsidRPr="00914630">
        <w:rPr>
          <w:i/>
          <w:iCs/>
        </w:rPr>
        <w:t>consultation</w:t>
      </w:r>
      <w:r>
        <w:rPr>
          <w:i/>
          <w:iCs/>
        </w:rPr>
        <w:t xml:space="preserve"> </w:t>
      </w:r>
      <w:r w:rsidRPr="00914630">
        <w:rPr>
          <w:i/>
          <w:iCs/>
        </w:rPr>
        <w:t>in</w:t>
      </w:r>
      <w:r>
        <w:rPr>
          <w:i/>
          <w:iCs/>
        </w:rPr>
        <w:t xml:space="preserve"> </w:t>
      </w:r>
      <w:r w:rsidRPr="00914630">
        <w:rPr>
          <w:i/>
          <w:iCs/>
        </w:rPr>
        <w:t>a</w:t>
      </w:r>
      <w:r>
        <w:rPr>
          <w:i/>
          <w:iCs/>
        </w:rPr>
        <w:t xml:space="preserve"> </w:t>
      </w:r>
      <w:r w:rsidRPr="00914630">
        <w:rPr>
          <w:i/>
          <w:iCs/>
        </w:rPr>
        <w:t>specific</w:t>
      </w:r>
      <w:r>
        <w:rPr>
          <w:i/>
          <w:iCs/>
        </w:rPr>
        <w:t xml:space="preserve"> </w:t>
      </w:r>
      <w:r w:rsidRPr="00914630">
        <w:rPr>
          <w:i/>
          <w:iCs/>
        </w:rPr>
        <w:t>situation.</w:t>
      </w:r>
      <w:r>
        <w:rPr>
          <w:i/>
          <w:iCs/>
        </w:rPr>
        <w:t xml:space="preserve"> </w:t>
      </w:r>
      <w:r w:rsidRPr="00914630">
        <w:rPr>
          <w:i/>
          <w:iCs/>
        </w:rPr>
        <w:t>These</w:t>
      </w:r>
      <w:r>
        <w:rPr>
          <w:i/>
          <w:iCs/>
        </w:rPr>
        <w:t xml:space="preserve"> </w:t>
      </w:r>
      <w:r w:rsidRPr="00914630">
        <w:rPr>
          <w:i/>
          <w:iCs/>
        </w:rPr>
        <w:t>circumstances</w:t>
      </w:r>
      <w:r>
        <w:rPr>
          <w:i/>
          <w:iCs/>
        </w:rPr>
        <w:t xml:space="preserve"> </w:t>
      </w:r>
      <w:r w:rsidRPr="00914630">
        <w:rPr>
          <w:i/>
          <w:iCs/>
        </w:rPr>
        <w:t>should</w:t>
      </w:r>
      <w:r>
        <w:rPr>
          <w:i/>
          <w:iCs/>
        </w:rPr>
        <w:t xml:space="preserve"> </w:t>
      </w:r>
      <w:r w:rsidRPr="00914630">
        <w:rPr>
          <w:i/>
          <w:iCs/>
        </w:rPr>
        <w:t>be</w:t>
      </w:r>
      <w:r>
        <w:rPr>
          <w:i/>
          <w:iCs/>
        </w:rPr>
        <w:t xml:space="preserve"> </w:t>
      </w:r>
      <w:r w:rsidRPr="00914630">
        <w:rPr>
          <w:i/>
          <w:iCs/>
        </w:rPr>
        <w:t>explained.</w:t>
      </w:r>
    </w:p>
    <w:p w:rsidRPr="00B82B04" w:rsidR="00F5259C" w:rsidP="00F5259C" w:rsidRDefault="00F5259C" w14:paraId="3724AF09" w14:textId="77777777">
      <w:pPr>
        <w:numPr>
          <w:ilvl w:val="12"/>
          <w:numId w:val="0"/>
        </w:numPr>
        <w:tabs>
          <w:tab w:val="left" w:pos="720"/>
        </w:tabs>
        <w:ind w:left="720" w:hanging="720"/>
        <w:rPr>
          <w:b/>
          <w:bCs/>
        </w:rPr>
      </w:pPr>
    </w:p>
    <w:p w:rsidRPr="00B82B04" w:rsidR="00F5259C" w:rsidP="00F5259C" w:rsidRDefault="00F5259C" w14:paraId="155BCFDA" w14:textId="77777777">
      <w:pPr>
        <w:numPr>
          <w:ilvl w:val="12"/>
          <w:numId w:val="0"/>
        </w:numPr>
      </w:pPr>
      <w:r w:rsidRPr="00B82B04">
        <w:t>Not</w:t>
      </w:r>
      <w:r>
        <w:t xml:space="preserve"> </w:t>
      </w:r>
      <w:r w:rsidRPr="00B82B04">
        <w:t>applicable.</w:t>
      </w:r>
      <w:r>
        <w:t xml:space="preserve"> </w:t>
      </w:r>
      <w:r w:rsidRPr="00B82B04">
        <w:t>The</w:t>
      </w:r>
      <w:r>
        <w:t xml:space="preserve"> </w:t>
      </w:r>
      <w:r w:rsidRPr="00B82B04">
        <w:t>Grantee</w:t>
      </w:r>
      <w:r>
        <w:t xml:space="preserve"> </w:t>
      </w:r>
      <w:r w:rsidRPr="00B82B04">
        <w:t>Process</w:t>
      </w:r>
      <w:r>
        <w:t xml:space="preserve"> </w:t>
      </w:r>
      <w:r w:rsidRPr="00B82B04">
        <w:t>Online</w:t>
      </w:r>
      <w:r>
        <w:t xml:space="preserve"> </w:t>
      </w:r>
      <w:r w:rsidRPr="00B82B04">
        <w:t>Evaluation</w:t>
      </w:r>
      <w:r>
        <w:t xml:space="preserve"> </w:t>
      </w:r>
      <w:r w:rsidRPr="00B82B04">
        <w:t>Survey</w:t>
      </w:r>
      <w:r>
        <w:t xml:space="preserve"> </w:t>
      </w:r>
      <w:r w:rsidRPr="00B82B04">
        <w:t>is</w:t>
      </w:r>
      <w:r>
        <w:t xml:space="preserve"> </w:t>
      </w:r>
      <w:r w:rsidRPr="00B82B04">
        <w:t>administered</w:t>
      </w:r>
      <w:r>
        <w:t xml:space="preserve"> </w:t>
      </w:r>
      <w:r w:rsidRPr="00B82B04">
        <w:t>annually</w:t>
      </w:r>
      <w:r>
        <w:t xml:space="preserve"> </w:t>
      </w:r>
      <w:r w:rsidRPr="00B82B04">
        <w:t>to</w:t>
      </w:r>
      <w:r>
        <w:t xml:space="preserve"> </w:t>
      </w:r>
      <w:r w:rsidRPr="00B82B04">
        <w:t>OAHMP</w:t>
      </w:r>
      <w:r>
        <w:t xml:space="preserve"> </w:t>
      </w:r>
      <w:r w:rsidRPr="00B82B04">
        <w:t>grantees,</w:t>
      </w:r>
      <w:r>
        <w:t xml:space="preserve"> </w:t>
      </w:r>
      <w:r w:rsidRPr="00B82B04">
        <w:t>providing</w:t>
      </w:r>
      <w:r>
        <w:t xml:space="preserve"> </w:t>
      </w:r>
      <w:r w:rsidRPr="00B82B04">
        <w:t>the</w:t>
      </w:r>
      <w:r>
        <w:t xml:space="preserve"> </w:t>
      </w:r>
      <w:r w:rsidRPr="00B82B04">
        <w:t>opportunity</w:t>
      </w:r>
      <w:r>
        <w:t xml:space="preserve"> </w:t>
      </w:r>
      <w:r w:rsidRPr="00B82B04">
        <w:t>to</w:t>
      </w:r>
      <w:r>
        <w:t xml:space="preserve"> </w:t>
      </w:r>
      <w:r w:rsidRPr="00B82B04">
        <w:t>communicate</w:t>
      </w:r>
      <w:r>
        <w:t xml:space="preserve"> </w:t>
      </w:r>
      <w:r w:rsidRPr="00B82B04">
        <w:t>any</w:t>
      </w:r>
      <w:r>
        <w:t xml:space="preserve"> </w:t>
      </w:r>
      <w:r w:rsidRPr="00B82B04">
        <w:t>concerns</w:t>
      </w:r>
      <w:r>
        <w:t xml:space="preserve"> </w:t>
      </w:r>
      <w:r w:rsidRPr="00B82B04">
        <w:t>about</w:t>
      </w:r>
      <w:r>
        <w:t xml:space="preserve"> </w:t>
      </w:r>
      <w:r w:rsidRPr="00B82B04">
        <w:t>the</w:t>
      </w:r>
      <w:r>
        <w:t xml:space="preserve"> </w:t>
      </w:r>
      <w:r w:rsidRPr="00B82B04">
        <w:t>Evaluation</w:t>
      </w:r>
      <w:r>
        <w:t xml:space="preserve"> </w:t>
      </w:r>
      <w:r w:rsidRPr="00B82B04">
        <w:t>data</w:t>
      </w:r>
      <w:r>
        <w:t xml:space="preserve"> </w:t>
      </w:r>
      <w:r w:rsidRPr="00B82B04">
        <w:t>collection.</w:t>
      </w:r>
      <w:r>
        <w:t xml:space="preserve"> </w:t>
      </w:r>
      <w:r w:rsidRPr="00B82B04">
        <w:t>Should</w:t>
      </w:r>
      <w:r>
        <w:t xml:space="preserve"> </w:t>
      </w:r>
      <w:r w:rsidRPr="00B82B04">
        <w:t>grantees</w:t>
      </w:r>
      <w:r>
        <w:t xml:space="preserve"> </w:t>
      </w:r>
      <w:r w:rsidRPr="00B82B04">
        <w:t>have</w:t>
      </w:r>
      <w:r>
        <w:t xml:space="preserve"> </w:t>
      </w:r>
      <w:r w:rsidRPr="00B82B04">
        <w:t>questions</w:t>
      </w:r>
      <w:r>
        <w:t xml:space="preserve"> </w:t>
      </w:r>
      <w:r w:rsidRPr="00B82B04">
        <w:t>about</w:t>
      </w:r>
      <w:r>
        <w:t xml:space="preserve"> </w:t>
      </w:r>
      <w:r w:rsidRPr="00B82B04">
        <w:t>specific</w:t>
      </w:r>
      <w:r>
        <w:t xml:space="preserve"> </w:t>
      </w:r>
      <w:r w:rsidRPr="00B82B04">
        <w:t>items</w:t>
      </w:r>
      <w:r>
        <w:t xml:space="preserve"> </w:t>
      </w:r>
      <w:r w:rsidRPr="00B82B04">
        <w:t>in</w:t>
      </w:r>
      <w:r>
        <w:t xml:space="preserve"> </w:t>
      </w:r>
      <w:r w:rsidRPr="00B82B04">
        <w:t>the</w:t>
      </w:r>
      <w:r>
        <w:t xml:space="preserve"> </w:t>
      </w:r>
      <w:r w:rsidRPr="00B82B04">
        <w:t>survey,</w:t>
      </w:r>
      <w:r>
        <w:t xml:space="preserve"> </w:t>
      </w:r>
      <w:r w:rsidRPr="00B82B04">
        <w:t>they</w:t>
      </w:r>
      <w:r>
        <w:t xml:space="preserve"> </w:t>
      </w:r>
      <w:r w:rsidRPr="00B82B04">
        <w:t>can</w:t>
      </w:r>
      <w:r>
        <w:t xml:space="preserve"> </w:t>
      </w:r>
      <w:r w:rsidRPr="00B82B04">
        <w:t>speak</w:t>
      </w:r>
      <w:r>
        <w:t xml:space="preserve"> </w:t>
      </w:r>
      <w:r w:rsidRPr="00B82B04">
        <w:t>with</w:t>
      </w:r>
      <w:r>
        <w:t xml:space="preserve"> </w:t>
      </w:r>
      <w:r w:rsidRPr="00B82B04">
        <w:t>the</w:t>
      </w:r>
      <w:r>
        <w:t xml:space="preserve"> </w:t>
      </w:r>
      <w:r w:rsidRPr="00B82B04">
        <w:t>Contractor’s</w:t>
      </w:r>
      <w:r>
        <w:t xml:space="preserve"> </w:t>
      </w:r>
      <w:r w:rsidRPr="00B82B04">
        <w:t>PM</w:t>
      </w:r>
      <w:r>
        <w:t xml:space="preserve"> </w:t>
      </w:r>
      <w:r w:rsidRPr="00B82B04">
        <w:t>or</w:t>
      </w:r>
      <w:r>
        <w:t xml:space="preserve"> </w:t>
      </w:r>
      <w:r w:rsidRPr="00B82B04">
        <w:t>SCs.</w:t>
      </w:r>
      <w:r>
        <w:t xml:space="preserve"> </w:t>
      </w:r>
      <w:r w:rsidRPr="00B82B04">
        <w:t>If</w:t>
      </w:r>
      <w:r>
        <w:t xml:space="preserve"> </w:t>
      </w:r>
      <w:r w:rsidRPr="00B82B04">
        <w:t>they</w:t>
      </w:r>
      <w:r>
        <w:t xml:space="preserve"> </w:t>
      </w:r>
      <w:r w:rsidRPr="00B82B04">
        <w:t>have</w:t>
      </w:r>
      <w:r>
        <w:t xml:space="preserve"> </w:t>
      </w:r>
      <w:r w:rsidRPr="00B82B04">
        <w:t>concerns</w:t>
      </w:r>
      <w:r>
        <w:t xml:space="preserve"> </w:t>
      </w:r>
      <w:r w:rsidRPr="00B82B04">
        <w:t>about</w:t>
      </w:r>
      <w:r>
        <w:t xml:space="preserve"> </w:t>
      </w:r>
      <w:r w:rsidRPr="00B82B04">
        <w:t>the</w:t>
      </w:r>
      <w:r>
        <w:t xml:space="preserve"> </w:t>
      </w:r>
      <w:r w:rsidRPr="00B82B04">
        <w:t>Evaluation</w:t>
      </w:r>
      <w:r>
        <w:t xml:space="preserve"> </w:t>
      </w:r>
      <w:r w:rsidRPr="00B82B04">
        <w:t>as</w:t>
      </w:r>
      <w:r>
        <w:t xml:space="preserve"> </w:t>
      </w:r>
      <w:r w:rsidRPr="00B82B04">
        <w:t>a</w:t>
      </w:r>
      <w:r>
        <w:t xml:space="preserve"> </w:t>
      </w:r>
      <w:r w:rsidRPr="00B82B04">
        <w:t>whole</w:t>
      </w:r>
      <w:r>
        <w:t xml:space="preserve"> </w:t>
      </w:r>
      <w:r w:rsidRPr="00B82B04">
        <w:t>or</w:t>
      </w:r>
      <w:r>
        <w:t xml:space="preserve"> </w:t>
      </w:r>
      <w:r w:rsidRPr="00B82B04">
        <w:t>the</w:t>
      </w:r>
      <w:r>
        <w:t xml:space="preserve"> </w:t>
      </w:r>
      <w:r w:rsidRPr="00B82B04">
        <w:t>Contractor,</w:t>
      </w:r>
      <w:r>
        <w:t xml:space="preserve"> </w:t>
      </w:r>
      <w:r w:rsidRPr="00B82B04">
        <w:t>they</w:t>
      </w:r>
      <w:r>
        <w:t xml:space="preserve"> </w:t>
      </w:r>
      <w:r w:rsidRPr="00B82B04">
        <w:t>should</w:t>
      </w:r>
      <w:r>
        <w:t xml:space="preserve"> </w:t>
      </w:r>
      <w:r w:rsidRPr="00B82B04">
        <w:t>contact</w:t>
      </w:r>
      <w:r>
        <w:t xml:space="preserve"> </w:t>
      </w:r>
      <w:r w:rsidRPr="00B82B04">
        <w:t>Ms.</w:t>
      </w:r>
      <w:r>
        <w:t xml:space="preserve"> </w:t>
      </w:r>
      <w:r w:rsidRPr="00B82B04">
        <w:t>Jagruti</w:t>
      </w:r>
      <w:r>
        <w:t xml:space="preserve"> </w:t>
      </w:r>
      <w:proofErr w:type="spellStart"/>
      <w:r w:rsidRPr="00B82B04">
        <w:t>Rehki</w:t>
      </w:r>
      <w:proofErr w:type="spellEnd"/>
      <w:r w:rsidRPr="00B82B04">
        <w:t>,</w:t>
      </w:r>
      <w:r>
        <w:t xml:space="preserve"> </w:t>
      </w:r>
      <w:r w:rsidRPr="00B82B04">
        <w:t>Contract</w:t>
      </w:r>
      <w:r>
        <w:t xml:space="preserve"> </w:t>
      </w:r>
      <w:r w:rsidRPr="00B82B04">
        <w:t>Office</w:t>
      </w:r>
      <w:r>
        <w:t xml:space="preserve"> </w:t>
      </w:r>
      <w:r w:rsidRPr="00B82B04">
        <w:t>Representative,</w:t>
      </w:r>
      <w:r>
        <w:t xml:space="preserve"> </w:t>
      </w:r>
      <w:r w:rsidRPr="00B82B04">
        <w:t>PD&amp;R.</w:t>
      </w:r>
    </w:p>
    <w:p w:rsidRPr="00B82B04" w:rsidR="00F5259C" w:rsidP="00F5259C" w:rsidRDefault="00F5259C" w14:paraId="7E41A107" w14:textId="77777777">
      <w:pPr>
        <w:pStyle w:val="Heading1"/>
      </w:pPr>
      <w:bookmarkStart w:name="_Toc69888480" w:id="44"/>
      <w:bookmarkStart w:name="_Toc75878164" w:id="45"/>
      <w:r>
        <w:t xml:space="preserve">9. </w:t>
      </w:r>
      <w:r w:rsidRPr="00B82B04">
        <w:t>Incentives</w:t>
      </w:r>
      <w:r>
        <w:t xml:space="preserve"> </w:t>
      </w:r>
      <w:r w:rsidRPr="00B82B04">
        <w:t>for</w:t>
      </w:r>
      <w:r>
        <w:t xml:space="preserve"> </w:t>
      </w:r>
      <w:r w:rsidRPr="00B82B04">
        <w:t>Respondents</w:t>
      </w:r>
      <w:bookmarkEnd w:id="44"/>
      <w:bookmarkEnd w:id="45"/>
    </w:p>
    <w:p w:rsidRPr="00914630" w:rsidR="00F5259C" w:rsidP="00F5259C" w:rsidRDefault="00F5259C" w14:paraId="36CB8AA5" w14:textId="77777777">
      <w:pPr>
        <w:keepNext/>
        <w:keepLines/>
        <w:numPr>
          <w:ilvl w:val="12"/>
          <w:numId w:val="0"/>
        </w:numPr>
        <w:spacing w:after="240"/>
        <w:rPr>
          <w:i/>
          <w:iCs/>
        </w:rPr>
      </w:pPr>
      <w:r w:rsidRPr="00914630">
        <w:rPr>
          <w:i/>
          <w:iCs/>
        </w:rPr>
        <w:t>Explain</w:t>
      </w:r>
      <w:r>
        <w:rPr>
          <w:i/>
          <w:iCs/>
        </w:rPr>
        <w:t xml:space="preserve"> </w:t>
      </w:r>
      <w:r w:rsidRPr="00914630">
        <w:rPr>
          <w:i/>
          <w:iCs/>
        </w:rPr>
        <w:t>any</w:t>
      </w:r>
      <w:r>
        <w:rPr>
          <w:i/>
          <w:iCs/>
        </w:rPr>
        <w:t xml:space="preserve"> </w:t>
      </w:r>
      <w:r w:rsidRPr="00914630">
        <w:rPr>
          <w:i/>
          <w:iCs/>
        </w:rPr>
        <w:t>decision</w:t>
      </w:r>
      <w:r>
        <w:rPr>
          <w:i/>
          <w:iCs/>
        </w:rPr>
        <w:t xml:space="preserve"> </w:t>
      </w:r>
      <w:r w:rsidRPr="00914630">
        <w:rPr>
          <w:i/>
          <w:iCs/>
        </w:rPr>
        <w:t>to</w:t>
      </w:r>
      <w:r>
        <w:rPr>
          <w:i/>
          <w:iCs/>
        </w:rPr>
        <w:t xml:space="preserve"> </w:t>
      </w:r>
      <w:r w:rsidRPr="00914630">
        <w:rPr>
          <w:i/>
          <w:iCs/>
        </w:rPr>
        <w:t>provide</w:t>
      </w:r>
      <w:r>
        <w:rPr>
          <w:i/>
          <w:iCs/>
        </w:rPr>
        <w:t xml:space="preserve"> </w:t>
      </w:r>
      <w:r w:rsidRPr="00914630">
        <w:rPr>
          <w:i/>
          <w:iCs/>
        </w:rPr>
        <w:t>any</w:t>
      </w:r>
      <w:r>
        <w:rPr>
          <w:i/>
          <w:iCs/>
        </w:rPr>
        <w:t xml:space="preserve"> </w:t>
      </w:r>
      <w:r w:rsidRPr="00914630">
        <w:rPr>
          <w:i/>
          <w:iCs/>
        </w:rPr>
        <w:t>payment</w:t>
      </w:r>
      <w:r>
        <w:rPr>
          <w:i/>
          <w:iCs/>
        </w:rPr>
        <w:t xml:space="preserve"> </w:t>
      </w:r>
      <w:r w:rsidRPr="00914630">
        <w:rPr>
          <w:i/>
          <w:iCs/>
        </w:rPr>
        <w:t>or</w:t>
      </w:r>
      <w:r>
        <w:rPr>
          <w:i/>
          <w:iCs/>
        </w:rPr>
        <w:t xml:space="preserve"> </w:t>
      </w:r>
      <w:r w:rsidRPr="00914630">
        <w:rPr>
          <w:i/>
          <w:iCs/>
        </w:rPr>
        <w:t>gift</w:t>
      </w:r>
      <w:r>
        <w:rPr>
          <w:i/>
          <w:iCs/>
        </w:rPr>
        <w:t xml:space="preserve"> </w:t>
      </w:r>
      <w:r w:rsidRPr="00914630">
        <w:rPr>
          <w:i/>
          <w:iCs/>
        </w:rPr>
        <w:t>to</w:t>
      </w:r>
      <w:r>
        <w:rPr>
          <w:i/>
          <w:iCs/>
        </w:rPr>
        <w:t xml:space="preserve"> </w:t>
      </w:r>
      <w:r w:rsidRPr="00914630">
        <w:rPr>
          <w:i/>
          <w:iCs/>
        </w:rPr>
        <w:t>respondents,</w:t>
      </w:r>
      <w:r>
        <w:rPr>
          <w:i/>
          <w:iCs/>
        </w:rPr>
        <w:t xml:space="preserve"> </w:t>
      </w:r>
      <w:r w:rsidRPr="00914630">
        <w:rPr>
          <w:i/>
          <w:iCs/>
        </w:rPr>
        <w:t>other</w:t>
      </w:r>
      <w:r>
        <w:rPr>
          <w:i/>
          <w:iCs/>
        </w:rPr>
        <w:t xml:space="preserve"> </w:t>
      </w:r>
      <w:r w:rsidRPr="00914630">
        <w:rPr>
          <w:i/>
          <w:iCs/>
        </w:rPr>
        <w:t>than</w:t>
      </w:r>
      <w:r>
        <w:rPr>
          <w:i/>
          <w:iCs/>
        </w:rPr>
        <w:t xml:space="preserve"> </w:t>
      </w:r>
      <w:r w:rsidRPr="00914630">
        <w:rPr>
          <w:i/>
          <w:iCs/>
        </w:rPr>
        <w:t>remuneration</w:t>
      </w:r>
      <w:r>
        <w:rPr>
          <w:i/>
          <w:iCs/>
        </w:rPr>
        <w:t xml:space="preserve"> </w:t>
      </w:r>
      <w:r w:rsidRPr="00914630">
        <w:rPr>
          <w:i/>
          <w:iCs/>
        </w:rPr>
        <w:t>to</w:t>
      </w:r>
      <w:r>
        <w:rPr>
          <w:i/>
          <w:iCs/>
        </w:rPr>
        <w:t xml:space="preserve"> </w:t>
      </w:r>
      <w:r w:rsidRPr="00914630">
        <w:rPr>
          <w:i/>
          <w:iCs/>
        </w:rPr>
        <w:t>contractors</w:t>
      </w:r>
      <w:r>
        <w:rPr>
          <w:i/>
          <w:iCs/>
        </w:rPr>
        <w:t xml:space="preserve"> </w:t>
      </w:r>
      <w:r w:rsidRPr="00914630">
        <w:rPr>
          <w:i/>
          <w:iCs/>
        </w:rPr>
        <w:t>or</w:t>
      </w:r>
      <w:r>
        <w:rPr>
          <w:i/>
          <w:iCs/>
        </w:rPr>
        <w:t xml:space="preserve"> </w:t>
      </w:r>
      <w:r w:rsidRPr="00914630">
        <w:rPr>
          <w:i/>
          <w:iCs/>
        </w:rPr>
        <w:t>grantees.</w:t>
      </w:r>
    </w:p>
    <w:p w:rsidRPr="00B82B04" w:rsidR="00F5259C" w:rsidP="00F5259C" w:rsidRDefault="00F5259C" w14:paraId="3992B495" w14:textId="77777777">
      <w:pPr>
        <w:numPr>
          <w:ilvl w:val="12"/>
          <w:numId w:val="0"/>
        </w:numPr>
        <w:spacing w:after="240"/>
      </w:pPr>
      <w:r w:rsidRPr="00B82B04">
        <w:t>Grantee</w:t>
      </w:r>
      <w:r>
        <w:t xml:space="preserve"> </w:t>
      </w:r>
      <w:r w:rsidRPr="00B82B04">
        <w:t>respondents</w:t>
      </w:r>
      <w:r>
        <w:t xml:space="preserve"> </w:t>
      </w:r>
      <w:r w:rsidRPr="00B82B04">
        <w:t>receive</w:t>
      </w:r>
      <w:r>
        <w:t xml:space="preserve"> </w:t>
      </w:r>
      <w:r w:rsidRPr="00B82B04">
        <w:t>no</w:t>
      </w:r>
      <w:r>
        <w:t xml:space="preserve"> </w:t>
      </w:r>
      <w:r w:rsidRPr="00B82B04">
        <w:t>remuneration</w:t>
      </w:r>
      <w:r>
        <w:t xml:space="preserve"> </w:t>
      </w:r>
      <w:r w:rsidRPr="00B82B04">
        <w:t>to</w:t>
      </w:r>
      <w:r>
        <w:t xml:space="preserve"> </w:t>
      </w:r>
      <w:r w:rsidRPr="00B82B04">
        <w:t>participate</w:t>
      </w:r>
      <w:r>
        <w:t xml:space="preserve"> </w:t>
      </w:r>
      <w:r w:rsidRPr="00B82B04">
        <w:t>in</w:t>
      </w:r>
      <w:r>
        <w:t xml:space="preserve"> </w:t>
      </w:r>
      <w:r w:rsidRPr="00B82B04">
        <w:t>the</w:t>
      </w:r>
      <w:r>
        <w:t xml:space="preserve"> </w:t>
      </w:r>
      <w:r w:rsidRPr="00B82B04">
        <w:t>Evaluation.</w:t>
      </w:r>
      <w:r>
        <w:t xml:space="preserve"> </w:t>
      </w:r>
      <w:r w:rsidRPr="00B82B04">
        <w:t>Participation</w:t>
      </w:r>
      <w:r>
        <w:t xml:space="preserve"> </w:t>
      </w:r>
      <w:r w:rsidRPr="00B82B04">
        <w:t>is</w:t>
      </w:r>
      <w:r>
        <w:t xml:space="preserve"> </w:t>
      </w:r>
      <w:r w:rsidRPr="00B82B04">
        <w:t>required</w:t>
      </w:r>
      <w:r>
        <w:t xml:space="preserve"> </w:t>
      </w:r>
      <w:r w:rsidRPr="00B82B04">
        <w:t>under</w:t>
      </w:r>
      <w:r>
        <w:t xml:space="preserve"> </w:t>
      </w:r>
      <w:r w:rsidRPr="00B82B04">
        <w:t>the</w:t>
      </w:r>
      <w:r>
        <w:t xml:space="preserve"> </w:t>
      </w:r>
      <w:r w:rsidRPr="00B82B04">
        <w:t>OLHCHH</w:t>
      </w:r>
      <w:r>
        <w:t xml:space="preserve"> </w:t>
      </w:r>
      <w:r w:rsidRPr="00B82B04">
        <w:t>NOFO:</w:t>
      </w:r>
      <w:r>
        <w:t xml:space="preserve"> </w:t>
      </w:r>
      <w:r w:rsidRPr="00B82B04">
        <w:t>“Grantees</w:t>
      </w:r>
      <w:r>
        <w:t xml:space="preserve"> </w:t>
      </w:r>
      <w:r w:rsidRPr="00B82B04">
        <w:t>must</w:t>
      </w:r>
      <w:r>
        <w:t xml:space="preserve"> </w:t>
      </w:r>
      <w:r w:rsidRPr="00B82B04">
        <w:t>cooperate</w:t>
      </w:r>
      <w:r>
        <w:t xml:space="preserve"> </w:t>
      </w:r>
      <w:r w:rsidRPr="00B82B04">
        <w:t>fully</w:t>
      </w:r>
      <w:r>
        <w:t xml:space="preserve"> </w:t>
      </w:r>
      <w:r w:rsidRPr="00B82B04">
        <w:t>with</w:t>
      </w:r>
      <w:r>
        <w:t xml:space="preserve"> </w:t>
      </w:r>
      <w:r w:rsidRPr="00B82B04">
        <w:t>any</w:t>
      </w:r>
      <w:r>
        <w:t xml:space="preserve"> </w:t>
      </w:r>
      <w:r w:rsidRPr="00B82B04">
        <w:t>research</w:t>
      </w:r>
      <w:r>
        <w:t xml:space="preserve"> </w:t>
      </w:r>
      <w:r w:rsidRPr="00B82B04">
        <w:t>or</w:t>
      </w:r>
      <w:r>
        <w:t xml:space="preserve"> </w:t>
      </w:r>
      <w:r w:rsidRPr="00B82B04">
        <w:t>evaluation</w:t>
      </w:r>
      <w:r>
        <w:t xml:space="preserve"> </w:t>
      </w:r>
      <w:r w:rsidRPr="00B82B04">
        <w:t>sponsored</w:t>
      </w:r>
      <w:r>
        <w:t xml:space="preserve"> </w:t>
      </w:r>
      <w:r w:rsidRPr="00B82B04">
        <w:t>by</w:t>
      </w:r>
      <w:r>
        <w:t xml:space="preserve"> </w:t>
      </w:r>
      <w:proofErr w:type="gramStart"/>
      <w:r w:rsidRPr="00B82B04">
        <w:t>HUD</w:t>
      </w:r>
      <w:proofErr w:type="gramEnd"/>
      <w:r>
        <w:t xml:space="preserve"> </w:t>
      </w:r>
      <w:r w:rsidRPr="00B82B04">
        <w:t>or</w:t>
      </w:r>
      <w:r>
        <w:t xml:space="preserve"> </w:t>
      </w:r>
      <w:r w:rsidRPr="00B82B04">
        <w:t>another</w:t>
      </w:r>
      <w:r>
        <w:t xml:space="preserve"> </w:t>
      </w:r>
      <w:r w:rsidRPr="00B82B04">
        <w:t>government</w:t>
      </w:r>
      <w:r>
        <w:t xml:space="preserve"> </w:t>
      </w:r>
      <w:r w:rsidRPr="00B82B04">
        <w:t>agency</w:t>
      </w:r>
      <w:r>
        <w:t xml:space="preserve"> </w:t>
      </w:r>
      <w:r w:rsidRPr="00B82B04">
        <w:t>associated</w:t>
      </w:r>
      <w:r>
        <w:t xml:space="preserve"> </w:t>
      </w:r>
      <w:r w:rsidRPr="00B82B04">
        <w:t>with</w:t>
      </w:r>
      <w:r>
        <w:t xml:space="preserve"> </w:t>
      </w:r>
      <w:r w:rsidRPr="00B82B04">
        <w:t>this</w:t>
      </w:r>
      <w:r>
        <w:t xml:space="preserve"> </w:t>
      </w:r>
      <w:r w:rsidRPr="00B82B04">
        <w:t>grant</w:t>
      </w:r>
      <w:r>
        <w:t xml:space="preserve"> </w:t>
      </w:r>
      <w:r w:rsidRPr="00B82B04">
        <w:t>program,</w:t>
      </w:r>
      <w:r>
        <w:t xml:space="preserve"> </w:t>
      </w:r>
      <w:r w:rsidRPr="00B82B04">
        <w:t>including</w:t>
      </w:r>
      <w:r>
        <w:t xml:space="preserve"> </w:t>
      </w:r>
      <w:r w:rsidRPr="00B82B04">
        <w:t>preservation</w:t>
      </w:r>
      <w:r>
        <w:t xml:space="preserve"> </w:t>
      </w:r>
      <w:r w:rsidRPr="00B82B04">
        <w:t>of</w:t>
      </w:r>
      <w:r>
        <w:t xml:space="preserve"> </w:t>
      </w:r>
      <w:r w:rsidRPr="00B82B04">
        <w:t>project</w:t>
      </w:r>
      <w:r>
        <w:t xml:space="preserve"> </w:t>
      </w:r>
      <w:r w:rsidRPr="00B82B04">
        <w:t>data</w:t>
      </w:r>
      <w:r>
        <w:t xml:space="preserve"> </w:t>
      </w:r>
      <w:r w:rsidRPr="00B82B04">
        <w:t>and</w:t>
      </w:r>
      <w:r>
        <w:t xml:space="preserve"> </w:t>
      </w:r>
      <w:r w:rsidRPr="00B82B04">
        <w:t>records</w:t>
      </w:r>
      <w:r>
        <w:t xml:space="preserve"> </w:t>
      </w:r>
      <w:r w:rsidRPr="00B82B04">
        <w:t>and</w:t>
      </w:r>
      <w:r>
        <w:t xml:space="preserve"> </w:t>
      </w:r>
      <w:r w:rsidRPr="00B82B04">
        <w:t>compiling</w:t>
      </w:r>
      <w:r>
        <w:t xml:space="preserve"> </w:t>
      </w:r>
      <w:r w:rsidRPr="00B82B04">
        <w:t>requested</w:t>
      </w:r>
      <w:r>
        <w:t xml:space="preserve"> </w:t>
      </w:r>
      <w:r w:rsidRPr="00B82B04">
        <w:t>information</w:t>
      </w:r>
      <w:r>
        <w:t xml:space="preserve"> </w:t>
      </w:r>
      <w:r w:rsidRPr="00B82B04">
        <w:t>in</w:t>
      </w:r>
      <w:r>
        <w:t xml:space="preserve"> </w:t>
      </w:r>
      <w:r w:rsidRPr="00B82B04">
        <w:t>formats</w:t>
      </w:r>
      <w:r>
        <w:t xml:space="preserve"> </w:t>
      </w:r>
      <w:r w:rsidRPr="00B82B04">
        <w:t>provided</w:t>
      </w:r>
      <w:r>
        <w:t xml:space="preserve"> </w:t>
      </w:r>
      <w:r w:rsidRPr="00B82B04">
        <w:t>by</w:t>
      </w:r>
      <w:r>
        <w:t xml:space="preserve"> </w:t>
      </w:r>
      <w:r w:rsidRPr="00B82B04">
        <w:t>the</w:t>
      </w:r>
      <w:r>
        <w:t xml:space="preserve"> </w:t>
      </w:r>
      <w:r w:rsidRPr="00B82B04">
        <w:t>researchers,</w:t>
      </w:r>
      <w:r>
        <w:t xml:space="preserve"> </w:t>
      </w:r>
      <w:r w:rsidRPr="00B82B04">
        <w:t>evaluators</w:t>
      </w:r>
      <w:r>
        <w:t xml:space="preserve"> </w:t>
      </w:r>
      <w:r w:rsidRPr="00B82B04">
        <w:t>or</w:t>
      </w:r>
      <w:r>
        <w:t xml:space="preserve"> </w:t>
      </w:r>
      <w:r w:rsidRPr="00B82B04">
        <w:t>HUD.</w:t>
      </w:r>
      <w:r>
        <w:t xml:space="preserve"> </w:t>
      </w:r>
      <w:r w:rsidRPr="00B82B04">
        <w:t>This</w:t>
      </w:r>
      <w:r>
        <w:t xml:space="preserve"> </w:t>
      </w:r>
      <w:r w:rsidRPr="00B82B04">
        <w:t>may</w:t>
      </w:r>
      <w:r>
        <w:t xml:space="preserve"> </w:t>
      </w:r>
      <w:r w:rsidRPr="00B82B04">
        <w:t>include</w:t>
      </w:r>
      <w:r>
        <w:t xml:space="preserve"> </w:t>
      </w:r>
      <w:r w:rsidRPr="00B82B04">
        <w:t>the</w:t>
      </w:r>
      <w:r>
        <w:t xml:space="preserve"> </w:t>
      </w:r>
      <w:r w:rsidRPr="00B82B04">
        <w:t>compiling</w:t>
      </w:r>
      <w:r>
        <w:t xml:space="preserve"> </w:t>
      </w:r>
      <w:r w:rsidRPr="00B82B04">
        <w:t>of</w:t>
      </w:r>
      <w:r>
        <w:t xml:space="preserve"> </w:t>
      </w:r>
      <w:r w:rsidRPr="00B82B04">
        <w:t>certain</w:t>
      </w:r>
      <w:r>
        <w:t xml:space="preserve"> </w:t>
      </w:r>
      <w:r w:rsidRPr="00B82B04">
        <w:lastRenderedPageBreak/>
        <w:t>relevant</w:t>
      </w:r>
      <w:r>
        <w:t xml:space="preserve"> </w:t>
      </w:r>
      <w:r w:rsidRPr="00B82B04">
        <w:t>local</w:t>
      </w:r>
      <w:r>
        <w:t xml:space="preserve"> </w:t>
      </w:r>
      <w:r w:rsidRPr="00B82B04">
        <w:t>demographic,</w:t>
      </w:r>
      <w:r>
        <w:t xml:space="preserve"> </w:t>
      </w:r>
      <w:r w:rsidRPr="00B82B04">
        <w:t>dwelling</w:t>
      </w:r>
      <w:r>
        <w:t xml:space="preserve"> </w:t>
      </w:r>
      <w:r w:rsidRPr="00B82B04">
        <w:t>unit,</w:t>
      </w:r>
      <w:r>
        <w:t xml:space="preserve"> </w:t>
      </w:r>
      <w:r w:rsidRPr="00B82B04">
        <w:t>and</w:t>
      </w:r>
      <w:r>
        <w:t xml:space="preserve"> </w:t>
      </w:r>
      <w:r w:rsidRPr="00B82B04">
        <w:t>participant</w:t>
      </w:r>
      <w:r>
        <w:t xml:space="preserve"> </w:t>
      </w:r>
      <w:r w:rsidRPr="00B82B04">
        <w:t>data</w:t>
      </w:r>
      <w:r>
        <w:t xml:space="preserve"> </w:t>
      </w:r>
      <w:r w:rsidRPr="00B82B04">
        <w:t>not</w:t>
      </w:r>
      <w:r>
        <w:t xml:space="preserve"> </w:t>
      </w:r>
      <w:r w:rsidRPr="00B82B04">
        <w:t>contemplated</w:t>
      </w:r>
      <w:r>
        <w:t xml:space="preserve"> </w:t>
      </w:r>
      <w:r w:rsidRPr="00B82B04">
        <w:t>in</w:t>
      </w:r>
      <w:r>
        <w:t xml:space="preserve"> </w:t>
      </w:r>
      <w:r w:rsidRPr="00B82B04">
        <w:t>the</w:t>
      </w:r>
      <w:r>
        <w:t xml:space="preserve"> </w:t>
      </w:r>
      <w:r w:rsidRPr="00B82B04">
        <w:t>original</w:t>
      </w:r>
      <w:r>
        <w:t xml:space="preserve"> </w:t>
      </w:r>
      <w:r w:rsidRPr="00B82B04">
        <w:t>proposal.”</w:t>
      </w:r>
      <w:r w:rsidRPr="00B82B04">
        <w:rPr>
          <w:rStyle w:val="FootnoteReference"/>
        </w:rPr>
        <w:footnoteReference w:id="48"/>
      </w:r>
      <w:r>
        <w:t xml:space="preserve"> </w:t>
      </w:r>
    </w:p>
    <w:p w:rsidRPr="00B82B04" w:rsidR="00F5259C" w:rsidP="00F5259C" w:rsidRDefault="00F5259C" w14:paraId="4C268D66" w14:textId="77777777">
      <w:pPr>
        <w:numPr>
          <w:ilvl w:val="12"/>
          <w:numId w:val="0"/>
        </w:numPr>
        <w:spacing w:after="240"/>
      </w:pPr>
      <w:r w:rsidRPr="00B82B04">
        <w:t>HUD</w:t>
      </w:r>
      <w:r>
        <w:t xml:space="preserve"> </w:t>
      </w:r>
      <w:r w:rsidRPr="00B82B04">
        <w:t>does</w:t>
      </w:r>
      <w:r>
        <w:t xml:space="preserve"> </w:t>
      </w:r>
      <w:r w:rsidRPr="00B82B04">
        <w:t>not</w:t>
      </w:r>
      <w:r>
        <w:t xml:space="preserve"> </w:t>
      </w:r>
      <w:r w:rsidRPr="00B82B04">
        <w:t>intend</w:t>
      </w:r>
      <w:r>
        <w:t xml:space="preserve"> </w:t>
      </w:r>
      <w:r w:rsidRPr="00B82B04">
        <w:t>to</w:t>
      </w:r>
      <w:r>
        <w:t xml:space="preserve"> </w:t>
      </w:r>
      <w:r w:rsidRPr="00B82B04">
        <w:t>provide</w:t>
      </w:r>
      <w:r>
        <w:t xml:space="preserve"> </w:t>
      </w:r>
      <w:r w:rsidRPr="00B82B04">
        <w:t>any</w:t>
      </w:r>
      <w:r>
        <w:t xml:space="preserve"> </w:t>
      </w:r>
      <w:r w:rsidRPr="00B82B04">
        <w:t>gift</w:t>
      </w:r>
      <w:r>
        <w:t xml:space="preserve"> </w:t>
      </w:r>
      <w:r w:rsidRPr="00B82B04">
        <w:t>or</w:t>
      </w:r>
      <w:r>
        <w:t xml:space="preserve"> </w:t>
      </w:r>
      <w:r w:rsidRPr="00B82B04">
        <w:t>incentive</w:t>
      </w:r>
      <w:r>
        <w:t xml:space="preserve"> </w:t>
      </w:r>
      <w:r w:rsidRPr="00B82B04">
        <w:t>to</w:t>
      </w:r>
      <w:r>
        <w:t xml:space="preserve"> </w:t>
      </w:r>
      <w:r w:rsidRPr="00B82B04">
        <w:t>client</w:t>
      </w:r>
      <w:r>
        <w:t xml:space="preserve"> </w:t>
      </w:r>
      <w:r w:rsidRPr="00B82B04">
        <w:t>respondents</w:t>
      </w:r>
      <w:r>
        <w:t xml:space="preserve"> </w:t>
      </w:r>
      <w:r w:rsidRPr="00B82B04">
        <w:t>to</w:t>
      </w:r>
      <w:r>
        <w:t xml:space="preserve"> </w:t>
      </w:r>
      <w:r w:rsidRPr="00B82B04">
        <w:t>participate</w:t>
      </w:r>
      <w:r>
        <w:t xml:space="preserve"> </w:t>
      </w:r>
      <w:r w:rsidRPr="00B82B04">
        <w:t>in</w:t>
      </w:r>
      <w:r>
        <w:t xml:space="preserve"> </w:t>
      </w:r>
      <w:r w:rsidRPr="00B82B04">
        <w:t>the</w:t>
      </w:r>
      <w:r>
        <w:t xml:space="preserve"> </w:t>
      </w:r>
      <w:r w:rsidRPr="00B82B04">
        <w:t>Evaluation.</w:t>
      </w:r>
      <w:r>
        <w:t xml:space="preserve"> </w:t>
      </w:r>
    </w:p>
    <w:p w:rsidRPr="00B82B04" w:rsidR="00F5259C" w:rsidP="00F5259C" w:rsidRDefault="00F5259C" w14:paraId="7E0B50A7" w14:textId="77777777">
      <w:pPr>
        <w:pStyle w:val="Heading1"/>
      </w:pPr>
      <w:bookmarkStart w:name="_Toc69888481" w:id="46"/>
      <w:bookmarkStart w:name="_Toc75878165" w:id="47"/>
      <w:r>
        <w:t xml:space="preserve">10. </w:t>
      </w:r>
      <w:r w:rsidRPr="00B82B04">
        <w:t>Confidentiality</w:t>
      </w:r>
      <w:r>
        <w:t xml:space="preserve"> </w:t>
      </w:r>
      <w:r w:rsidRPr="00B82B04">
        <w:t>of</w:t>
      </w:r>
      <w:r>
        <w:t xml:space="preserve"> </w:t>
      </w:r>
      <w:r w:rsidRPr="00B82B04">
        <w:t>Information</w:t>
      </w:r>
      <w:bookmarkEnd w:id="46"/>
      <w:bookmarkEnd w:id="47"/>
      <w:r>
        <w:t xml:space="preserve"> </w:t>
      </w:r>
    </w:p>
    <w:p w:rsidRPr="00914630" w:rsidR="00F5259C" w:rsidP="00F5259C" w:rsidRDefault="00F5259C" w14:paraId="13220544" w14:textId="77777777">
      <w:pPr>
        <w:keepNext/>
        <w:keepLines/>
        <w:numPr>
          <w:ilvl w:val="12"/>
          <w:numId w:val="0"/>
        </w:numPr>
        <w:spacing w:after="240"/>
      </w:pPr>
      <w:r w:rsidRPr="00914630">
        <w:rPr>
          <w:i/>
          <w:iCs/>
        </w:rPr>
        <w:t>Describe</w:t>
      </w:r>
      <w:r>
        <w:rPr>
          <w:i/>
          <w:iCs/>
        </w:rPr>
        <w:t xml:space="preserve"> </w:t>
      </w:r>
      <w:r w:rsidRPr="00914630">
        <w:rPr>
          <w:i/>
          <w:iCs/>
        </w:rPr>
        <w:t>any</w:t>
      </w:r>
      <w:r>
        <w:rPr>
          <w:i/>
          <w:iCs/>
        </w:rPr>
        <w:t xml:space="preserve"> </w:t>
      </w:r>
      <w:r w:rsidRPr="00914630">
        <w:rPr>
          <w:i/>
          <w:iCs/>
        </w:rPr>
        <w:t>assurance</w:t>
      </w:r>
      <w:r>
        <w:rPr>
          <w:i/>
          <w:iCs/>
        </w:rPr>
        <w:t xml:space="preserve"> </w:t>
      </w:r>
      <w:r w:rsidRPr="00914630">
        <w:rPr>
          <w:i/>
          <w:iCs/>
        </w:rPr>
        <w:t>of</w:t>
      </w:r>
      <w:r>
        <w:rPr>
          <w:i/>
          <w:iCs/>
        </w:rPr>
        <w:t xml:space="preserve"> </w:t>
      </w:r>
      <w:r w:rsidRPr="00914630">
        <w:rPr>
          <w:i/>
          <w:iCs/>
        </w:rPr>
        <w:t>confidentiality</w:t>
      </w:r>
      <w:r>
        <w:rPr>
          <w:i/>
          <w:iCs/>
        </w:rPr>
        <w:t xml:space="preserve"> </w:t>
      </w:r>
      <w:r w:rsidRPr="00914630">
        <w:rPr>
          <w:i/>
          <w:iCs/>
        </w:rPr>
        <w:t>provided</w:t>
      </w:r>
      <w:r>
        <w:rPr>
          <w:i/>
          <w:iCs/>
        </w:rPr>
        <w:t xml:space="preserve"> </w:t>
      </w:r>
      <w:r w:rsidRPr="00914630">
        <w:rPr>
          <w:i/>
          <w:iCs/>
        </w:rPr>
        <w:t>to</w:t>
      </w:r>
      <w:r>
        <w:rPr>
          <w:i/>
          <w:iCs/>
        </w:rPr>
        <w:t xml:space="preserve"> </w:t>
      </w:r>
      <w:r w:rsidRPr="00914630">
        <w:rPr>
          <w:i/>
          <w:iCs/>
        </w:rPr>
        <w:t>respondents</w:t>
      </w:r>
      <w:r>
        <w:rPr>
          <w:i/>
          <w:iCs/>
        </w:rPr>
        <w:t xml:space="preserve"> </w:t>
      </w:r>
      <w:r w:rsidRPr="00914630">
        <w:rPr>
          <w:i/>
          <w:iCs/>
        </w:rPr>
        <w:t>and</w:t>
      </w:r>
      <w:r>
        <w:rPr>
          <w:i/>
          <w:iCs/>
        </w:rPr>
        <w:t xml:space="preserve"> </w:t>
      </w:r>
      <w:r w:rsidRPr="00914630">
        <w:rPr>
          <w:i/>
          <w:iCs/>
        </w:rPr>
        <w:t>the</w:t>
      </w:r>
      <w:r>
        <w:rPr>
          <w:i/>
          <w:iCs/>
        </w:rPr>
        <w:t xml:space="preserve"> </w:t>
      </w:r>
      <w:r w:rsidRPr="00914630">
        <w:rPr>
          <w:i/>
          <w:iCs/>
        </w:rPr>
        <w:t>basis</w:t>
      </w:r>
      <w:r>
        <w:rPr>
          <w:i/>
          <w:iCs/>
        </w:rPr>
        <w:t xml:space="preserve"> </w:t>
      </w:r>
      <w:r w:rsidRPr="00914630">
        <w:rPr>
          <w:i/>
          <w:iCs/>
        </w:rPr>
        <w:t>for</w:t>
      </w:r>
      <w:r>
        <w:rPr>
          <w:i/>
          <w:iCs/>
        </w:rPr>
        <w:t xml:space="preserve"> </w:t>
      </w:r>
      <w:r w:rsidRPr="00914630">
        <w:rPr>
          <w:i/>
          <w:iCs/>
        </w:rPr>
        <w:t>the</w:t>
      </w:r>
      <w:r>
        <w:rPr>
          <w:i/>
          <w:iCs/>
        </w:rPr>
        <w:t xml:space="preserve"> </w:t>
      </w:r>
      <w:r w:rsidRPr="00914630">
        <w:rPr>
          <w:i/>
          <w:iCs/>
        </w:rPr>
        <w:t>assurance</w:t>
      </w:r>
      <w:r>
        <w:rPr>
          <w:i/>
          <w:iCs/>
        </w:rPr>
        <w:t xml:space="preserve"> </w:t>
      </w:r>
      <w:r w:rsidRPr="00914630">
        <w:rPr>
          <w:i/>
          <w:iCs/>
        </w:rPr>
        <w:t>in</w:t>
      </w:r>
      <w:r>
        <w:rPr>
          <w:i/>
          <w:iCs/>
        </w:rPr>
        <w:t xml:space="preserve"> </w:t>
      </w:r>
      <w:r w:rsidRPr="00914630">
        <w:rPr>
          <w:i/>
          <w:iCs/>
        </w:rPr>
        <w:t>statute,</w:t>
      </w:r>
      <w:r>
        <w:rPr>
          <w:i/>
          <w:iCs/>
        </w:rPr>
        <w:t xml:space="preserve"> </w:t>
      </w:r>
      <w:r w:rsidRPr="00914630">
        <w:rPr>
          <w:i/>
          <w:iCs/>
        </w:rPr>
        <w:t>regulation,</w:t>
      </w:r>
      <w:r>
        <w:rPr>
          <w:i/>
          <w:iCs/>
        </w:rPr>
        <w:t xml:space="preserve"> </w:t>
      </w:r>
      <w:r w:rsidRPr="00914630">
        <w:rPr>
          <w:i/>
          <w:iCs/>
        </w:rPr>
        <w:t>or</w:t>
      </w:r>
      <w:r>
        <w:rPr>
          <w:i/>
          <w:iCs/>
        </w:rPr>
        <w:t xml:space="preserve"> </w:t>
      </w:r>
      <w:r w:rsidRPr="00914630">
        <w:rPr>
          <w:i/>
          <w:iCs/>
        </w:rPr>
        <w:t>agency</w:t>
      </w:r>
      <w:r>
        <w:rPr>
          <w:i/>
          <w:iCs/>
        </w:rPr>
        <w:t xml:space="preserve"> </w:t>
      </w:r>
      <w:r w:rsidRPr="00914630">
        <w:rPr>
          <w:i/>
          <w:iCs/>
        </w:rPr>
        <w:t>policy.</w:t>
      </w:r>
    </w:p>
    <w:p w:rsidR="00F5259C" w:rsidP="00F5259C" w:rsidRDefault="00F5259C" w14:paraId="1B30B914" w14:textId="77777777">
      <w:r>
        <w:t>Each grantee client will be assigned a numeric site identification (Site ID) which will mask their personal information. Additionally, t</w:t>
      </w:r>
      <w:r w:rsidRPr="00B82B04">
        <w:t>he</w:t>
      </w:r>
      <w:r>
        <w:t xml:space="preserve"> </w:t>
      </w:r>
      <w:r w:rsidRPr="00B82B04">
        <w:t>assurance</w:t>
      </w:r>
      <w:r>
        <w:t xml:space="preserve"> </w:t>
      </w:r>
      <w:r w:rsidRPr="00B82B04">
        <w:t>of</w:t>
      </w:r>
      <w:r>
        <w:t xml:space="preserve"> </w:t>
      </w:r>
      <w:r w:rsidRPr="00B82B04">
        <w:t>privacy</w:t>
      </w:r>
      <w:r>
        <w:t xml:space="preserve"> </w:t>
      </w:r>
      <w:r w:rsidRPr="00B82B04">
        <w:t>given</w:t>
      </w:r>
      <w:r>
        <w:t xml:space="preserve"> </w:t>
      </w:r>
      <w:r w:rsidRPr="00B82B04">
        <w:t>to</w:t>
      </w:r>
      <w:r>
        <w:t xml:space="preserve"> </w:t>
      </w:r>
      <w:r w:rsidRPr="00B82B04">
        <w:t>respondents</w:t>
      </w:r>
      <w:r>
        <w:t xml:space="preserve"> </w:t>
      </w:r>
      <w:r w:rsidRPr="00B82B04">
        <w:t>in</w:t>
      </w:r>
      <w:r>
        <w:t xml:space="preserve"> </w:t>
      </w:r>
      <w:r w:rsidRPr="00B82B04">
        <w:t>the</w:t>
      </w:r>
      <w:r>
        <w:t xml:space="preserve"> </w:t>
      </w:r>
      <w:r w:rsidRPr="00B82B04">
        <w:t>OAHM</w:t>
      </w:r>
      <w:r>
        <w:t xml:space="preserve"> </w:t>
      </w:r>
      <w:r w:rsidRPr="00B82B04">
        <w:t>Program</w:t>
      </w:r>
      <w:r>
        <w:t xml:space="preserve"> </w:t>
      </w:r>
      <w:r w:rsidRPr="00B82B04">
        <w:t>Evaluation</w:t>
      </w:r>
      <w:r>
        <w:t xml:space="preserve"> </w:t>
      </w:r>
      <w:r w:rsidRPr="00B82B04">
        <w:t>Informed</w:t>
      </w:r>
      <w:r>
        <w:t xml:space="preserve"> </w:t>
      </w:r>
      <w:r w:rsidRPr="00B82B04">
        <w:t>Consent</w:t>
      </w:r>
      <w:r>
        <w:t xml:space="preserve"> </w:t>
      </w:r>
      <w:r w:rsidRPr="00B82B04">
        <w:t>(see</w:t>
      </w:r>
      <w:r>
        <w:t xml:space="preserve"> </w:t>
      </w:r>
      <w:r w:rsidRPr="00B82B04">
        <w:t>appendix</w:t>
      </w:r>
      <w:r>
        <w:t xml:space="preserve"> </w:t>
      </w:r>
      <w:r w:rsidRPr="00B82B04">
        <w:t>E)</w:t>
      </w:r>
      <w:r>
        <w:t xml:space="preserve"> </w:t>
      </w:r>
      <w:r w:rsidRPr="00B82B04">
        <w:t>is</w:t>
      </w:r>
      <w:r>
        <w:t xml:space="preserve"> </w:t>
      </w:r>
      <w:r w:rsidRPr="00B82B04">
        <w:t>consistent</w:t>
      </w:r>
      <w:r>
        <w:t xml:space="preserve"> </w:t>
      </w:r>
      <w:r w:rsidRPr="00B82B04">
        <w:t>with</w:t>
      </w:r>
      <w:r>
        <w:t xml:space="preserve"> </w:t>
      </w:r>
      <w:r w:rsidRPr="00B82B04">
        <w:t>U.S.</w:t>
      </w:r>
      <w:r>
        <w:t xml:space="preserve"> </w:t>
      </w:r>
      <w:r w:rsidRPr="00B82B04">
        <w:t>Department</w:t>
      </w:r>
      <w:r>
        <w:t xml:space="preserve"> </w:t>
      </w:r>
      <w:r w:rsidRPr="00B82B04">
        <w:t>of</w:t>
      </w:r>
      <w:r>
        <w:t xml:space="preserve"> </w:t>
      </w:r>
      <w:r w:rsidRPr="00B82B04">
        <w:t>Health</w:t>
      </w:r>
      <w:r>
        <w:t xml:space="preserve"> </w:t>
      </w:r>
      <w:r w:rsidRPr="00B82B04">
        <w:t>and</w:t>
      </w:r>
      <w:r>
        <w:t xml:space="preserve"> </w:t>
      </w:r>
      <w:r w:rsidRPr="00B82B04">
        <w:t>Human</w:t>
      </w:r>
      <w:r>
        <w:t xml:space="preserve"> </w:t>
      </w:r>
      <w:r w:rsidRPr="00B82B04">
        <w:t>Services</w:t>
      </w:r>
      <w:r>
        <w:t xml:space="preserve"> </w:t>
      </w:r>
      <w:r w:rsidRPr="00B82B04">
        <w:t>(HHS)</w:t>
      </w:r>
      <w:r>
        <w:t xml:space="preserve"> </w:t>
      </w:r>
      <w:r w:rsidRPr="00B82B04">
        <w:t>policy</w:t>
      </w:r>
      <w:r>
        <w:t xml:space="preserve"> </w:t>
      </w:r>
      <w:r w:rsidRPr="00B82B04">
        <w:t>regarding</w:t>
      </w:r>
      <w:r>
        <w:t xml:space="preserve"> </w:t>
      </w:r>
      <w:r w:rsidRPr="00B82B04">
        <w:t>HIPAA</w:t>
      </w:r>
      <w:r>
        <w:t xml:space="preserve"> </w:t>
      </w:r>
      <w:r w:rsidRPr="00B82B04">
        <w:t>protections</w:t>
      </w:r>
      <w:r>
        <w:t xml:space="preserve"> </w:t>
      </w:r>
      <w:r w:rsidRPr="00B82B04">
        <w:t>for</w:t>
      </w:r>
      <w:r>
        <w:t xml:space="preserve"> </w:t>
      </w:r>
      <w:r w:rsidRPr="00B82B04">
        <w:t>medical</w:t>
      </w:r>
      <w:r>
        <w:t xml:space="preserve"> </w:t>
      </w:r>
      <w:r w:rsidRPr="00B82B04">
        <w:t>data,</w:t>
      </w:r>
      <w:r w:rsidRPr="00B82B04">
        <w:rPr>
          <w:rStyle w:val="FootnoteReference"/>
        </w:rPr>
        <w:footnoteReference w:id="49"/>
      </w:r>
      <w:r>
        <w:t xml:space="preserve"> </w:t>
      </w:r>
      <w:r w:rsidRPr="00B82B04">
        <w:t>12</w:t>
      </w:r>
      <w:r>
        <w:t xml:space="preserve"> </w:t>
      </w:r>
      <w:r w:rsidRPr="00B82B04">
        <w:t>USC</w:t>
      </w:r>
      <w:r>
        <w:t xml:space="preserve"> </w:t>
      </w:r>
      <w:r w:rsidRPr="00B82B04">
        <w:t>§1701z–1</w:t>
      </w:r>
      <w:r w:rsidRPr="00B82B04">
        <w:rPr>
          <w:rStyle w:val="FootnoteReference"/>
        </w:rPr>
        <w:footnoteReference w:id="50"/>
      </w:r>
      <w:r>
        <w:t xml:space="preserve"> </w:t>
      </w:r>
      <w:r w:rsidRPr="00B82B04">
        <w:t>and</w:t>
      </w:r>
      <w:r>
        <w:t xml:space="preserve"> </w:t>
      </w:r>
      <w:r w:rsidRPr="00B82B04">
        <w:t>1701z–2(g)</w:t>
      </w:r>
      <w:r w:rsidRPr="00B82B04">
        <w:rPr>
          <w:rStyle w:val="FootnoteReference"/>
        </w:rPr>
        <w:footnoteReference w:id="51"/>
      </w:r>
      <w:r>
        <w:t xml:space="preserve"> </w:t>
      </w:r>
      <w:r w:rsidRPr="00B82B04">
        <w:t>for</w:t>
      </w:r>
      <w:r>
        <w:t xml:space="preserve"> </w:t>
      </w:r>
      <w:r w:rsidRPr="00B82B04">
        <w:t>HUD’s</w:t>
      </w:r>
      <w:r>
        <w:t xml:space="preserve"> </w:t>
      </w:r>
      <w:r w:rsidRPr="00B82B04">
        <w:t>authority</w:t>
      </w:r>
      <w:r>
        <w:t xml:space="preserve"> </w:t>
      </w:r>
      <w:r w:rsidRPr="00B82B04">
        <w:t>to</w:t>
      </w:r>
      <w:r>
        <w:t xml:space="preserve"> </w:t>
      </w:r>
      <w:r w:rsidRPr="00B82B04">
        <w:t>collect</w:t>
      </w:r>
      <w:r>
        <w:t xml:space="preserve"> </w:t>
      </w:r>
      <w:r w:rsidRPr="00B82B04">
        <w:t>the</w:t>
      </w:r>
      <w:r>
        <w:t xml:space="preserve"> </w:t>
      </w:r>
      <w:r w:rsidRPr="00B82B04">
        <w:t>data</w:t>
      </w:r>
      <w:r>
        <w:t xml:space="preserve"> </w:t>
      </w:r>
      <w:r w:rsidRPr="00B82B04">
        <w:t>and</w:t>
      </w:r>
      <w:r>
        <w:t xml:space="preserve"> </w:t>
      </w:r>
      <w:r w:rsidRPr="00B82B04">
        <w:t>allowed</w:t>
      </w:r>
      <w:r>
        <w:t xml:space="preserve"> </w:t>
      </w:r>
      <w:r w:rsidRPr="00B82B04">
        <w:t>uses</w:t>
      </w:r>
      <w:r>
        <w:t xml:space="preserve"> </w:t>
      </w:r>
      <w:r w:rsidRPr="00B82B04">
        <w:t>for</w:t>
      </w:r>
      <w:r>
        <w:t xml:space="preserve"> </w:t>
      </w:r>
      <w:r w:rsidRPr="00B82B04">
        <w:t>it,</w:t>
      </w:r>
      <w:r>
        <w:t xml:space="preserve"> </w:t>
      </w:r>
      <w:r w:rsidRPr="00B82B04">
        <w:t>and</w:t>
      </w:r>
      <w:r>
        <w:t xml:space="preserve"> </w:t>
      </w:r>
      <w:r w:rsidRPr="00B82B04">
        <w:t>5</w:t>
      </w:r>
      <w:r>
        <w:t xml:space="preserve"> </w:t>
      </w:r>
      <w:r w:rsidRPr="00B82B04">
        <w:t>USC</w:t>
      </w:r>
      <w:r>
        <w:t xml:space="preserve"> </w:t>
      </w:r>
      <w:r w:rsidRPr="00B82B04">
        <w:t>§552a</w:t>
      </w:r>
      <w:r w:rsidRPr="00B82B04">
        <w:rPr>
          <w:rStyle w:val="FootnoteReference"/>
        </w:rPr>
        <w:footnoteReference w:id="52"/>
      </w:r>
      <w:r>
        <w:t xml:space="preserve"> </w:t>
      </w:r>
      <w:r w:rsidRPr="00B82B04">
        <w:t>for</w:t>
      </w:r>
      <w:r>
        <w:t xml:space="preserve"> </w:t>
      </w:r>
      <w:r w:rsidRPr="00B82B04">
        <w:t>the</w:t>
      </w:r>
      <w:r>
        <w:t xml:space="preserve"> </w:t>
      </w:r>
      <w:r w:rsidRPr="00B82B04">
        <w:t>confidentiality</w:t>
      </w:r>
      <w:r>
        <w:t xml:space="preserve"> </w:t>
      </w:r>
      <w:r w:rsidRPr="00B82B04">
        <w:t>and</w:t>
      </w:r>
      <w:r>
        <w:t xml:space="preserve"> </w:t>
      </w:r>
      <w:r w:rsidRPr="00B82B04">
        <w:t>storage</w:t>
      </w:r>
      <w:r>
        <w:t xml:space="preserve"> </w:t>
      </w:r>
      <w:r w:rsidRPr="00B82B04">
        <w:t>of</w:t>
      </w:r>
      <w:r>
        <w:t xml:space="preserve"> </w:t>
      </w:r>
      <w:r w:rsidRPr="00B82B04">
        <w:t>de-identified</w:t>
      </w:r>
      <w:r>
        <w:t xml:space="preserve"> </w:t>
      </w:r>
      <w:r w:rsidRPr="00B82B04">
        <w:t>data.</w:t>
      </w:r>
      <w:r>
        <w:t xml:space="preserve">  R</w:t>
      </w:r>
      <w:r w:rsidRPr="00BB22A2">
        <w:t>egulatory</w:t>
      </w:r>
      <w:r>
        <w:t xml:space="preserve"> </w:t>
      </w:r>
      <w:r w:rsidRPr="00BB22A2">
        <w:t>provisions</w:t>
      </w:r>
      <w:r>
        <w:t xml:space="preserve"> </w:t>
      </w:r>
      <w:r w:rsidRPr="00BB22A2">
        <w:t>guiding</w:t>
      </w:r>
      <w:r>
        <w:t xml:space="preserve"> </w:t>
      </w:r>
      <w:r w:rsidRPr="00BB22A2">
        <w:t>the</w:t>
      </w:r>
      <w:r>
        <w:t xml:space="preserve"> </w:t>
      </w:r>
      <w:r w:rsidRPr="00BB22A2">
        <w:t>nature</w:t>
      </w:r>
      <w:r>
        <w:t xml:space="preserve"> </w:t>
      </w:r>
      <w:r w:rsidRPr="00BB22A2">
        <w:t>and</w:t>
      </w:r>
      <w:r>
        <w:t xml:space="preserve"> </w:t>
      </w:r>
      <w:r w:rsidRPr="00BB22A2">
        <w:t>extent</w:t>
      </w:r>
      <w:r>
        <w:t xml:space="preserve"> </w:t>
      </w:r>
      <w:r w:rsidRPr="00BB22A2">
        <w:t>of</w:t>
      </w:r>
      <w:r>
        <w:t xml:space="preserve"> </w:t>
      </w:r>
      <w:r w:rsidRPr="00BB22A2">
        <w:t xml:space="preserve">confidentiality </w:t>
      </w:r>
      <w:r>
        <w:t xml:space="preserve">are found in </w:t>
      </w:r>
      <w:r w:rsidRPr="00BB22A2">
        <w:t>5</w:t>
      </w:r>
      <w:r>
        <w:t xml:space="preserve"> </w:t>
      </w:r>
      <w:r w:rsidRPr="00BB22A2">
        <w:t>CFR</w:t>
      </w:r>
      <w:r>
        <w:t xml:space="preserve"> </w:t>
      </w:r>
      <w:r w:rsidRPr="00BB22A2">
        <w:t>1320.9</w:t>
      </w:r>
      <w:r>
        <w:t xml:space="preserve"> </w:t>
      </w:r>
      <w:r w:rsidRPr="00BB22A2">
        <w:t>and</w:t>
      </w:r>
      <w:r>
        <w:t xml:space="preserve"> </w:t>
      </w:r>
      <w:r w:rsidRPr="00BB22A2">
        <w:t>related</w:t>
      </w:r>
      <w:r>
        <w:t xml:space="preserve"> </w:t>
      </w:r>
    </w:p>
    <w:p w:rsidR="00F5259C" w:rsidP="00F5259C" w:rsidRDefault="00F5259C" w14:paraId="3738F0A9" w14:textId="77777777">
      <w:r w:rsidRPr="00BB22A2">
        <w:t>provisions</w:t>
      </w:r>
      <w:r>
        <w:t xml:space="preserve"> </w:t>
      </w:r>
      <w:r w:rsidRPr="00BB22A2">
        <w:t>of</w:t>
      </w:r>
      <w:r>
        <w:t xml:space="preserve"> </w:t>
      </w:r>
      <w:r w:rsidRPr="00BB22A2">
        <w:t>5</w:t>
      </w:r>
      <w:r>
        <w:t xml:space="preserve"> </w:t>
      </w:r>
      <w:r w:rsidRPr="00BB22A2">
        <w:t>CFR</w:t>
      </w:r>
      <w:r>
        <w:t xml:space="preserve"> </w:t>
      </w:r>
      <w:r w:rsidRPr="00BB22A2">
        <w:t>1320.8(b)</w:t>
      </w:r>
      <w:r>
        <w:t xml:space="preserve"> </w:t>
      </w:r>
      <w:r w:rsidRPr="00BB22A2">
        <w:t>(3)</w:t>
      </w:r>
      <w:r>
        <w:rPr>
          <w:rStyle w:val="FootnoteReference"/>
        </w:rPr>
        <w:footnoteReference w:id="53"/>
      </w:r>
      <w:r w:rsidRPr="00BB22A2">
        <w:t>.</w:t>
      </w:r>
      <w:r>
        <w:t xml:space="preserve"> </w:t>
      </w:r>
      <w:r w:rsidRPr="00BB22A2">
        <w:t>Respondents</w:t>
      </w:r>
      <w:r>
        <w:t xml:space="preserve"> </w:t>
      </w:r>
      <w:r w:rsidRPr="00BB22A2">
        <w:t>are</w:t>
      </w:r>
      <w:r>
        <w:t xml:space="preserve"> </w:t>
      </w:r>
      <w:r w:rsidRPr="00BB22A2">
        <w:t>assured</w:t>
      </w:r>
      <w:r>
        <w:t xml:space="preserve"> </w:t>
      </w:r>
      <w:r w:rsidRPr="00BB22A2">
        <w:t>data</w:t>
      </w:r>
      <w:r>
        <w:t xml:space="preserve"> </w:t>
      </w:r>
      <w:r w:rsidRPr="00BB22A2">
        <w:t>they</w:t>
      </w:r>
      <w:r>
        <w:t xml:space="preserve"> </w:t>
      </w:r>
      <w:r w:rsidRPr="00BB22A2">
        <w:t>provide</w:t>
      </w:r>
      <w:r>
        <w:t xml:space="preserve"> </w:t>
      </w:r>
      <w:r w:rsidRPr="00BB22A2">
        <w:t>will</w:t>
      </w:r>
      <w:r>
        <w:t xml:space="preserve"> </w:t>
      </w:r>
      <w:r w:rsidRPr="00BB22A2">
        <w:t>be</w:t>
      </w:r>
      <w:r>
        <w:t xml:space="preserve"> </w:t>
      </w:r>
      <w:r w:rsidRPr="00BB22A2">
        <w:t>kept</w:t>
      </w:r>
      <w:r>
        <w:t xml:space="preserve"> </w:t>
      </w:r>
      <w:r w:rsidRPr="00BB22A2">
        <w:t>private</w:t>
      </w:r>
      <w:r>
        <w:t xml:space="preserve"> </w:t>
      </w:r>
      <w:r w:rsidRPr="00BB22A2">
        <w:t>to</w:t>
      </w:r>
      <w:r>
        <w:t xml:space="preserve"> </w:t>
      </w:r>
      <w:r w:rsidRPr="00BB22A2">
        <w:t>the</w:t>
      </w:r>
      <w:r>
        <w:t xml:space="preserve"> </w:t>
      </w:r>
      <w:r w:rsidRPr="00BB22A2">
        <w:t>extent</w:t>
      </w:r>
      <w:r>
        <w:t xml:space="preserve"> </w:t>
      </w:r>
      <w:r w:rsidRPr="00BB22A2">
        <w:t>the</w:t>
      </w:r>
      <w:r>
        <w:t xml:space="preserve"> </w:t>
      </w:r>
      <w:r w:rsidRPr="00BB22A2">
        <w:t>law</w:t>
      </w:r>
      <w:r>
        <w:t xml:space="preserve"> </w:t>
      </w:r>
      <w:r w:rsidRPr="00BB22A2">
        <w:t>allows.</w:t>
      </w:r>
      <w:r>
        <w:t xml:space="preserve"> </w:t>
      </w:r>
      <w:r w:rsidRPr="00914630">
        <w:t>HUD</w:t>
      </w:r>
      <w:r>
        <w:t xml:space="preserve"> </w:t>
      </w:r>
      <w:r w:rsidRPr="00914630">
        <w:t>will</w:t>
      </w:r>
      <w:r>
        <w:t xml:space="preserve"> </w:t>
      </w:r>
      <w:r w:rsidRPr="00914630">
        <w:t>use</w:t>
      </w:r>
      <w:r>
        <w:t xml:space="preserve"> </w:t>
      </w:r>
      <w:r w:rsidRPr="00914630">
        <w:t>this</w:t>
      </w:r>
      <w:r>
        <w:t xml:space="preserve"> </w:t>
      </w:r>
      <w:r w:rsidRPr="00914630">
        <w:t>information</w:t>
      </w:r>
      <w:r>
        <w:t xml:space="preserve"> </w:t>
      </w:r>
      <w:r w:rsidRPr="00914630">
        <w:t>only</w:t>
      </w:r>
      <w:r>
        <w:t xml:space="preserve"> </w:t>
      </w:r>
      <w:r w:rsidRPr="00914630">
        <w:t>for</w:t>
      </w:r>
      <w:r>
        <w:t xml:space="preserve"> </w:t>
      </w:r>
      <w:r w:rsidRPr="00914630">
        <w:t>statistical</w:t>
      </w:r>
      <w:r>
        <w:t xml:space="preserve"> </w:t>
      </w:r>
      <w:r w:rsidRPr="00914630">
        <w:t>research</w:t>
      </w:r>
      <w:r>
        <w:t xml:space="preserve"> </w:t>
      </w:r>
      <w:r w:rsidRPr="00DD4548">
        <w:t xml:space="preserve">and reports. Participants are further informed that their answers will be combined with others, ensuring no one can identify which answers are specifically theirs. In addition, PD&amp;R policy requires protection of the dignity, rights, </w:t>
      </w:r>
      <w:proofErr w:type="gramStart"/>
      <w:r w:rsidRPr="00DD4548">
        <w:t>safety</w:t>
      </w:r>
      <w:proofErr w:type="gramEnd"/>
      <w:r w:rsidRPr="00DD4548">
        <w:t xml:space="preserve"> and privacy of participants in all of its evaluations, particularly those </w:t>
      </w:r>
      <w:r>
        <w:t xml:space="preserve">pertaining to </w:t>
      </w:r>
      <w:r w:rsidRPr="00DD4548">
        <w:t>HUD-assisted households and HUD-insured borrowers through the Rule of Eleven. Although there is no assurance of confidentiality, under the Rule of Eleven, no disclosure of information about the characteristics of any group of individuals or households numbering less than eleven is allowed by PD&amp;R staff, contractors, grantees, or licensees.</w:t>
      </w:r>
      <w:r w:rsidRPr="00DD4548">
        <w:rPr>
          <w:rStyle w:val="FootnoteReference"/>
        </w:rPr>
        <w:footnoteReference w:id="54"/>
      </w:r>
      <w:r w:rsidRPr="00DD4548">
        <w:t xml:space="preserve"> (See A. 11 for further description of the consent process).</w:t>
      </w:r>
      <w:r>
        <w:t xml:space="preserve">  </w:t>
      </w:r>
    </w:p>
    <w:p w:rsidRPr="00DF1B38" w:rsidR="00F5259C" w:rsidP="00F5259C" w:rsidRDefault="00F5259C" w14:paraId="1E75464F" w14:textId="77777777"/>
    <w:p w:rsidRPr="00B82B04" w:rsidR="00F5259C" w:rsidP="00F5259C" w:rsidRDefault="00F5259C" w14:paraId="1417000C" w14:textId="77777777">
      <w:pPr>
        <w:pStyle w:val="Heading1"/>
      </w:pPr>
      <w:bookmarkStart w:name="_Toc69888482" w:id="48"/>
      <w:bookmarkStart w:name="_Toc75878166" w:id="49"/>
      <w:r w:rsidRPr="00B82B04">
        <w:lastRenderedPageBreak/>
        <w:t>11</w:t>
      </w:r>
      <w:r>
        <w:t xml:space="preserve">. </w:t>
      </w:r>
      <w:r w:rsidRPr="00B82B04">
        <w:t>Questions</w:t>
      </w:r>
      <w:r>
        <w:t xml:space="preserve"> </w:t>
      </w:r>
      <w:r w:rsidRPr="00B82B04">
        <w:t>of</w:t>
      </w:r>
      <w:r>
        <w:t xml:space="preserve"> </w:t>
      </w:r>
      <w:r w:rsidRPr="00B82B04">
        <w:t>a</w:t>
      </w:r>
      <w:r>
        <w:t xml:space="preserve"> </w:t>
      </w:r>
      <w:r w:rsidRPr="00B82B04">
        <w:t>Sensitive</w:t>
      </w:r>
      <w:r>
        <w:t xml:space="preserve"> </w:t>
      </w:r>
      <w:r w:rsidRPr="00B82B04">
        <w:t>Nature</w:t>
      </w:r>
      <w:bookmarkEnd w:id="48"/>
      <w:bookmarkEnd w:id="49"/>
      <w:r>
        <w:t xml:space="preserve"> </w:t>
      </w:r>
    </w:p>
    <w:p w:rsidRPr="00B82B04" w:rsidR="00F5259C" w:rsidP="00F5259C" w:rsidRDefault="00F5259C" w14:paraId="51697A71" w14:textId="77777777">
      <w:pPr>
        <w:spacing w:after="240"/>
      </w:pPr>
      <w:r w:rsidRPr="00B82B04">
        <w:rPr>
          <w:i/>
        </w:rPr>
        <w:t>Provide</w:t>
      </w:r>
      <w:r>
        <w:rPr>
          <w:i/>
        </w:rPr>
        <w:t xml:space="preserve"> </w:t>
      </w:r>
      <w:r w:rsidRPr="00B82B04">
        <w:rPr>
          <w:i/>
        </w:rPr>
        <w:t>additional</w:t>
      </w:r>
      <w:r>
        <w:rPr>
          <w:i/>
        </w:rPr>
        <w:t xml:space="preserve"> </w:t>
      </w:r>
      <w:r w:rsidRPr="00B82B04">
        <w:rPr>
          <w:i/>
        </w:rPr>
        <w:t>justification</w:t>
      </w:r>
      <w:r>
        <w:rPr>
          <w:i/>
        </w:rPr>
        <w:t xml:space="preserve"> </w:t>
      </w:r>
      <w:r w:rsidRPr="00B82B04">
        <w:rPr>
          <w:i/>
        </w:rPr>
        <w:t>for</w:t>
      </w:r>
      <w:r>
        <w:rPr>
          <w:i/>
        </w:rPr>
        <w:t xml:space="preserve"> </w:t>
      </w:r>
      <w:r w:rsidRPr="00B82B04">
        <w:rPr>
          <w:i/>
        </w:rPr>
        <w:t>any</w:t>
      </w:r>
      <w:r>
        <w:rPr>
          <w:i/>
        </w:rPr>
        <w:t xml:space="preserve"> </w:t>
      </w:r>
      <w:r w:rsidRPr="00B82B04">
        <w:rPr>
          <w:i/>
        </w:rPr>
        <w:t>questions</w:t>
      </w:r>
      <w:r>
        <w:rPr>
          <w:i/>
        </w:rPr>
        <w:t xml:space="preserve"> </w:t>
      </w:r>
      <w:r w:rsidRPr="00B82B04">
        <w:rPr>
          <w:i/>
        </w:rPr>
        <w:t>of</w:t>
      </w:r>
      <w:r>
        <w:rPr>
          <w:i/>
        </w:rPr>
        <w:t xml:space="preserve"> </w:t>
      </w:r>
      <w:r w:rsidRPr="00B82B04">
        <w:rPr>
          <w:i/>
        </w:rPr>
        <w:t>a</w:t>
      </w:r>
      <w:r>
        <w:rPr>
          <w:i/>
        </w:rPr>
        <w:t xml:space="preserve"> </w:t>
      </w:r>
      <w:r w:rsidRPr="00B82B04">
        <w:rPr>
          <w:i/>
        </w:rPr>
        <w:t>sensitive</w:t>
      </w:r>
      <w:r>
        <w:rPr>
          <w:i/>
        </w:rPr>
        <w:t xml:space="preserve"> </w:t>
      </w:r>
      <w:r w:rsidRPr="00B82B04">
        <w:rPr>
          <w:i/>
        </w:rPr>
        <w:t>nature,</w:t>
      </w:r>
      <w:r>
        <w:rPr>
          <w:i/>
        </w:rPr>
        <w:t xml:space="preserve"> </w:t>
      </w:r>
      <w:r w:rsidRPr="00B82B04">
        <w:rPr>
          <w:i/>
        </w:rPr>
        <w:t>such</w:t>
      </w:r>
      <w:r>
        <w:rPr>
          <w:i/>
        </w:rPr>
        <w:t xml:space="preserve"> </w:t>
      </w:r>
      <w:r w:rsidRPr="00B82B04">
        <w:rPr>
          <w:i/>
        </w:rPr>
        <w:t>as</w:t>
      </w:r>
      <w:r>
        <w:rPr>
          <w:i/>
        </w:rPr>
        <w:t xml:space="preserve"> </w:t>
      </w:r>
      <w:r w:rsidRPr="00B82B04">
        <w:rPr>
          <w:i/>
        </w:rPr>
        <w:t>sexual</w:t>
      </w:r>
      <w:r>
        <w:rPr>
          <w:i/>
        </w:rPr>
        <w:t xml:space="preserve"> </w:t>
      </w:r>
      <w:r w:rsidRPr="00B82B04">
        <w:rPr>
          <w:i/>
        </w:rPr>
        <w:t>behavior</w:t>
      </w:r>
      <w:r>
        <w:rPr>
          <w:i/>
        </w:rPr>
        <w:t xml:space="preserve"> </w:t>
      </w:r>
      <w:r w:rsidRPr="00B82B04">
        <w:rPr>
          <w:i/>
        </w:rPr>
        <w:t>and</w:t>
      </w:r>
      <w:r>
        <w:rPr>
          <w:i/>
        </w:rPr>
        <w:t xml:space="preserve"> </w:t>
      </w:r>
      <w:r w:rsidRPr="00B82B04">
        <w:rPr>
          <w:i/>
        </w:rPr>
        <w:t>attitudes,</w:t>
      </w:r>
      <w:r>
        <w:rPr>
          <w:i/>
        </w:rPr>
        <w:t xml:space="preserve"> </w:t>
      </w:r>
      <w:r w:rsidRPr="00B82B04">
        <w:rPr>
          <w:i/>
        </w:rPr>
        <w:t>religious</w:t>
      </w:r>
      <w:r>
        <w:rPr>
          <w:i/>
        </w:rPr>
        <w:t xml:space="preserve"> </w:t>
      </w:r>
      <w:r w:rsidRPr="00B82B04">
        <w:rPr>
          <w:i/>
        </w:rPr>
        <w:t>beliefs,</w:t>
      </w:r>
      <w:r>
        <w:rPr>
          <w:i/>
        </w:rPr>
        <w:t xml:space="preserve"> </w:t>
      </w:r>
      <w:r w:rsidRPr="00B82B04">
        <w:rPr>
          <w:i/>
        </w:rPr>
        <w:t>and</w:t>
      </w:r>
      <w:r>
        <w:rPr>
          <w:i/>
        </w:rPr>
        <w:t xml:space="preserve"> </w:t>
      </w:r>
      <w:r w:rsidRPr="00B82B04">
        <w:rPr>
          <w:i/>
        </w:rPr>
        <w:t>other</w:t>
      </w:r>
      <w:r>
        <w:rPr>
          <w:i/>
        </w:rPr>
        <w:t xml:space="preserve"> </w:t>
      </w:r>
      <w:r w:rsidRPr="00B82B04">
        <w:rPr>
          <w:i/>
        </w:rPr>
        <w:t>matters</w:t>
      </w:r>
      <w:r>
        <w:rPr>
          <w:i/>
        </w:rPr>
        <w:t xml:space="preserve"> </w:t>
      </w:r>
      <w:r w:rsidRPr="00B82B04">
        <w:rPr>
          <w:i/>
        </w:rPr>
        <w:t>that</w:t>
      </w:r>
      <w:r>
        <w:rPr>
          <w:i/>
        </w:rPr>
        <w:t xml:space="preserve"> </w:t>
      </w:r>
      <w:r w:rsidRPr="00B82B04">
        <w:rPr>
          <w:i/>
        </w:rPr>
        <w:t>are</w:t>
      </w:r>
      <w:r>
        <w:rPr>
          <w:i/>
        </w:rPr>
        <w:t xml:space="preserve"> </w:t>
      </w:r>
      <w:r w:rsidRPr="00B82B04">
        <w:rPr>
          <w:i/>
        </w:rPr>
        <w:t>commonly</w:t>
      </w:r>
      <w:r>
        <w:rPr>
          <w:i/>
        </w:rPr>
        <w:t xml:space="preserve"> </w:t>
      </w:r>
      <w:r w:rsidRPr="00B82B04">
        <w:rPr>
          <w:i/>
        </w:rPr>
        <w:t>considered</w:t>
      </w:r>
      <w:r>
        <w:rPr>
          <w:i/>
        </w:rPr>
        <w:t xml:space="preserve"> </w:t>
      </w:r>
      <w:r w:rsidRPr="00B82B04">
        <w:rPr>
          <w:i/>
        </w:rPr>
        <w:t>private.</w:t>
      </w:r>
      <w:r>
        <w:rPr>
          <w:i/>
        </w:rPr>
        <w:t xml:space="preserve"> </w:t>
      </w:r>
      <w:r w:rsidRPr="00B82B04">
        <w:rPr>
          <w:i/>
        </w:rPr>
        <w:t>This</w:t>
      </w:r>
      <w:r>
        <w:rPr>
          <w:i/>
        </w:rPr>
        <w:t xml:space="preserve"> </w:t>
      </w:r>
      <w:r w:rsidRPr="00B82B04">
        <w:rPr>
          <w:i/>
        </w:rPr>
        <w:t>justification</w:t>
      </w:r>
      <w:r>
        <w:rPr>
          <w:i/>
        </w:rPr>
        <w:t xml:space="preserve"> </w:t>
      </w:r>
      <w:r w:rsidRPr="00B82B04">
        <w:rPr>
          <w:i/>
        </w:rPr>
        <w:t>should</w:t>
      </w:r>
      <w:r>
        <w:rPr>
          <w:i/>
        </w:rPr>
        <w:t xml:space="preserve"> </w:t>
      </w:r>
      <w:r w:rsidRPr="00B82B04">
        <w:rPr>
          <w:i/>
        </w:rPr>
        <w:t>include</w:t>
      </w:r>
      <w:r>
        <w:rPr>
          <w:i/>
        </w:rPr>
        <w:t xml:space="preserve"> </w:t>
      </w:r>
      <w:r w:rsidRPr="00B82B04">
        <w:rPr>
          <w:i/>
        </w:rPr>
        <w:t>the</w:t>
      </w:r>
      <w:r>
        <w:rPr>
          <w:i/>
        </w:rPr>
        <w:t xml:space="preserve"> </w:t>
      </w:r>
      <w:r w:rsidRPr="00B82B04">
        <w:rPr>
          <w:i/>
        </w:rPr>
        <w:t>reasons</w:t>
      </w:r>
      <w:r>
        <w:rPr>
          <w:i/>
        </w:rPr>
        <w:t xml:space="preserve"> </w:t>
      </w:r>
      <w:r w:rsidRPr="00B82B04">
        <w:rPr>
          <w:i/>
        </w:rPr>
        <w:t>why</w:t>
      </w:r>
      <w:r>
        <w:rPr>
          <w:i/>
        </w:rPr>
        <w:t xml:space="preserve"> </w:t>
      </w:r>
      <w:r w:rsidRPr="00B82B04">
        <w:rPr>
          <w:i/>
        </w:rPr>
        <w:t>the</w:t>
      </w:r>
      <w:r>
        <w:rPr>
          <w:i/>
        </w:rPr>
        <w:t xml:space="preserve"> </w:t>
      </w:r>
      <w:r w:rsidRPr="00B82B04">
        <w:rPr>
          <w:i/>
        </w:rPr>
        <w:t>agency</w:t>
      </w:r>
      <w:r>
        <w:rPr>
          <w:i/>
        </w:rPr>
        <w:t xml:space="preserve"> </w:t>
      </w:r>
      <w:r w:rsidRPr="00B82B04">
        <w:rPr>
          <w:i/>
        </w:rPr>
        <w:t>considers</w:t>
      </w:r>
      <w:r>
        <w:rPr>
          <w:i/>
        </w:rPr>
        <w:t xml:space="preserve"> </w:t>
      </w:r>
      <w:r w:rsidRPr="00B82B04">
        <w:rPr>
          <w:i/>
        </w:rPr>
        <w:t>the</w:t>
      </w:r>
      <w:r>
        <w:rPr>
          <w:i/>
        </w:rPr>
        <w:t xml:space="preserve"> </w:t>
      </w:r>
      <w:r w:rsidRPr="00B82B04">
        <w:rPr>
          <w:i/>
        </w:rPr>
        <w:t>questions</w:t>
      </w:r>
      <w:r>
        <w:rPr>
          <w:i/>
        </w:rPr>
        <w:t xml:space="preserve"> </w:t>
      </w:r>
      <w:r w:rsidRPr="00B82B04">
        <w:rPr>
          <w:i/>
        </w:rPr>
        <w:t>necessary,</w:t>
      </w:r>
      <w:r>
        <w:rPr>
          <w:i/>
        </w:rPr>
        <w:t xml:space="preserve"> </w:t>
      </w:r>
      <w:r w:rsidRPr="00B82B04">
        <w:rPr>
          <w:i/>
        </w:rPr>
        <w:t>the</w:t>
      </w:r>
      <w:r>
        <w:rPr>
          <w:i/>
        </w:rPr>
        <w:t xml:space="preserve"> </w:t>
      </w:r>
      <w:r w:rsidRPr="00B82B04">
        <w:rPr>
          <w:i/>
        </w:rPr>
        <w:t>specific</w:t>
      </w:r>
      <w:r>
        <w:rPr>
          <w:i/>
        </w:rPr>
        <w:t xml:space="preserve"> </w:t>
      </w:r>
      <w:r w:rsidRPr="00B82B04">
        <w:rPr>
          <w:i/>
        </w:rPr>
        <w:t>uses</w:t>
      </w:r>
      <w:r>
        <w:rPr>
          <w:i/>
        </w:rPr>
        <w:t xml:space="preserve"> </w:t>
      </w:r>
      <w:r w:rsidRPr="00B82B04">
        <w:rPr>
          <w:i/>
        </w:rPr>
        <w:t>to</w:t>
      </w:r>
      <w:r>
        <w:rPr>
          <w:i/>
        </w:rPr>
        <w:t xml:space="preserve"> </w:t>
      </w:r>
      <w:r w:rsidRPr="00B82B04">
        <w:rPr>
          <w:i/>
        </w:rPr>
        <w:t>be</w:t>
      </w:r>
      <w:r>
        <w:rPr>
          <w:i/>
        </w:rPr>
        <w:t xml:space="preserve"> </w:t>
      </w:r>
      <w:r w:rsidRPr="00B82B04">
        <w:rPr>
          <w:i/>
        </w:rPr>
        <w:t>made</w:t>
      </w:r>
      <w:r>
        <w:rPr>
          <w:i/>
        </w:rPr>
        <w:t xml:space="preserve"> </w:t>
      </w:r>
      <w:r w:rsidRPr="00B82B04">
        <w:rPr>
          <w:i/>
        </w:rPr>
        <w:t>of</w:t>
      </w:r>
      <w:r>
        <w:rPr>
          <w:i/>
        </w:rPr>
        <w:t xml:space="preserve"> </w:t>
      </w:r>
      <w:r w:rsidRPr="00B82B04">
        <w:rPr>
          <w:i/>
        </w:rPr>
        <w:t>the</w:t>
      </w:r>
      <w:r>
        <w:rPr>
          <w:i/>
        </w:rPr>
        <w:t xml:space="preserve"> </w:t>
      </w:r>
      <w:r w:rsidRPr="00B82B04">
        <w:rPr>
          <w:i/>
        </w:rPr>
        <w:t>information,</w:t>
      </w:r>
      <w:r>
        <w:rPr>
          <w:i/>
        </w:rPr>
        <w:t xml:space="preserve"> </w:t>
      </w:r>
      <w:r w:rsidRPr="00B82B04">
        <w:rPr>
          <w:i/>
        </w:rPr>
        <w:t>the</w:t>
      </w:r>
      <w:r>
        <w:rPr>
          <w:i/>
        </w:rPr>
        <w:t xml:space="preserve"> </w:t>
      </w:r>
      <w:r w:rsidRPr="00B82B04">
        <w:rPr>
          <w:i/>
        </w:rPr>
        <w:t>explanation</w:t>
      </w:r>
      <w:r>
        <w:rPr>
          <w:i/>
        </w:rPr>
        <w:t xml:space="preserve"> </w:t>
      </w:r>
      <w:r w:rsidRPr="00B82B04">
        <w:rPr>
          <w:i/>
        </w:rPr>
        <w:t>to</w:t>
      </w:r>
      <w:r>
        <w:rPr>
          <w:i/>
        </w:rPr>
        <w:t xml:space="preserve"> </w:t>
      </w:r>
      <w:r w:rsidRPr="00B82B04">
        <w:rPr>
          <w:i/>
        </w:rPr>
        <w:t>be</w:t>
      </w:r>
      <w:r>
        <w:rPr>
          <w:i/>
        </w:rPr>
        <w:t xml:space="preserve"> </w:t>
      </w:r>
      <w:r w:rsidRPr="00B82B04">
        <w:rPr>
          <w:i/>
        </w:rPr>
        <w:t>given</w:t>
      </w:r>
      <w:r>
        <w:rPr>
          <w:i/>
        </w:rPr>
        <w:t xml:space="preserve"> </w:t>
      </w:r>
      <w:r w:rsidRPr="00B82B04">
        <w:rPr>
          <w:i/>
        </w:rPr>
        <w:t>to</w:t>
      </w:r>
      <w:r>
        <w:rPr>
          <w:i/>
        </w:rPr>
        <w:t xml:space="preserve"> </w:t>
      </w:r>
      <w:r w:rsidRPr="00B82B04">
        <w:rPr>
          <w:i/>
        </w:rPr>
        <w:t>persons</w:t>
      </w:r>
      <w:r>
        <w:rPr>
          <w:i/>
        </w:rPr>
        <w:t xml:space="preserve"> </w:t>
      </w:r>
      <w:r w:rsidRPr="00B82B04">
        <w:rPr>
          <w:i/>
        </w:rPr>
        <w:t>from</w:t>
      </w:r>
      <w:r>
        <w:rPr>
          <w:i/>
        </w:rPr>
        <w:t xml:space="preserve"> </w:t>
      </w:r>
      <w:r w:rsidRPr="00B82B04">
        <w:rPr>
          <w:i/>
        </w:rPr>
        <w:t>whom</w:t>
      </w:r>
      <w:r>
        <w:rPr>
          <w:i/>
        </w:rPr>
        <w:t xml:space="preserve"> </w:t>
      </w:r>
      <w:r w:rsidRPr="00B82B04">
        <w:rPr>
          <w:i/>
        </w:rPr>
        <w:t>the</w:t>
      </w:r>
      <w:r>
        <w:rPr>
          <w:i/>
        </w:rPr>
        <w:t xml:space="preserve"> </w:t>
      </w:r>
      <w:r w:rsidRPr="00B82B04">
        <w:rPr>
          <w:i/>
        </w:rPr>
        <w:t>information</w:t>
      </w:r>
      <w:r>
        <w:rPr>
          <w:i/>
        </w:rPr>
        <w:t xml:space="preserve"> </w:t>
      </w:r>
      <w:r w:rsidRPr="00B82B04">
        <w:rPr>
          <w:i/>
        </w:rPr>
        <w:t>is</w:t>
      </w:r>
      <w:r>
        <w:rPr>
          <w:i/>
        </w:rPr>
        <w:t xml:space="preserve"> </w:t>
      </w:r>
      <w:r w:rsidRPr="00B82B04">
        <w:rPr>
          <w:i/>
        </w:rPr>
        <w:t>requested,</w:t>
      </w:r>
      <w:r>
        <w:rPr>
          <w:i/>
        </w:rPr>
        <w:t xml:space="preserve"> </w:t>
      </w:r>
      <w:r w:rsidRPr="00B82B04">
        <w:rPr>
          <w:i/>
        </w:rPr>
        <w:t>and</w:t>
      </w:r>
      <w:r>
        <w:rPr>
          <w:i/>
        </w:rPr>
        <w:t xml:space="preserve"> </w:t>
      </w:r>
      <w:r w:rsidRPr="00B82B04">
        <w:rPr>
          <w:i/>
        </w:rPr>
        <w:t>any</w:t>
      </w:r>
      <w:r>
        <w:rPr>
          <w:i/>
        </w:rPr>
        <w:t xml:space="preserve"> </w:t>
      </w:r>
      <w:r w:rsidRPr="00B82B04">
        <w:rPr>
          <w:i/>
        </w:rPr>
        <w:t>steps</w:t>
      </w:r>
      <w:r>
        <w:rPr>
          <w:i/>
        </w:rPr>
        <w:t xml:space="preserve"> </w:t>
      </w:r>
      <w:r w:rsidRPr="00B82B04">
        <w:rPr>
          <w:i/>
        </w:rPr>
        <w:t>to</w:t>
      </w:r>
      <w:r>
        <w:rPr>
          <w:i/>
        </w:rPr>
        <w:t xml:space="preserve"> </w:t>
      </w:r>
      <w:r w:rsidRPr="00B82B04">
        <w:rPr>
          <w:i/>
        </w:rPr>
        <w:t>be</w:t>
      </w:r>
      <w:r>
        <w:rPr>
          <w:i/>
        </w:rPr>
        <w:t xml:space="preserve"> </w:t>
      </w:r>
      <w:r w:rsidRPr="00B82B04">
        <w:rPr>
          <w:i/>
        </w:rPr>
        <w:t>taken</w:t>
      </w:r>
      <w:r>
        <w:rPr>
          <w:i/>
        </w:rPr>
        <w:t xml:space="preserve"> </w:t>
      </w:r>
      <w:r w:rsidRPr="00B82B04">
        <w:rPr>
          <w:i/>
        </w:rPr>
        <w:t>to</w:t>
      </w:r>
      <w:r>
        <w:rPr>
          <w:i/>
        </w:rPr>
        <w:t xml:space="preserve"> </w:t>
      </w:r>
      <w:r w:rsidRPr="00B82B04">
        <w:rPr>
          <w:i/>
        </w:rPr>
        <w:t>obtain</w:t>
      </w:r>
      <w:r>
        <w:rPr>
          <w:i/>
        </w:rPr>
        <w:t xml:space="preserve"> </w:t>
      </w:r>
      <w:r w:rsidRPr="00B82B04">
        <w:rPr>
          <w:i/>
        </w:rPr>
        <w:t>their</w:t>
      </w:r>
      <w:r>
        <w:rPr>
          <w:i/>
        </w:rPr>
        <w:t xml:space="preserve"> </w:t>
      </w:r>
      <w:r w:rsidRPr="00B82B04">
        <w:rPr>
          <w:i/>
        </w:rPr>
        <w:t>consent.</w:t>
      </w:r>
    </w:p>
    <w:p w:rsidRPr="00B82B04" w:rsidR="00F5259C" w:rsidP="00F5259C" w:rsidRDefault="00F5259C" w14:paraId="568B0FB9" w14:textId="77777777">
      <w:pPr>
        <w:spacing w:after="240"/>
      </w:pPr>
      <w:r w:rsidRPr="00B82B04">
        <w:t>Some</w:t>
      </w:r>
      <w:r>
        <w:t xml:space="preserve"> </w:t>
      </w:r>
      <w:r w:rsidRPr="00B82B04">
        <w:t>questions</w:t>
      </w:r>
      <w:r>
        <w:t xml:space="preserve"> </w:t>
      </w:r>
      <w:r w:rsidRPr="00B82B04">
        <w:t>in</w:t>
      </w:r>
      <w:r>
        <w:t xml:space="preserve"> </w:t>
      </w:r>
      <w:r w:rsidRPr="00B82B04">
        <w:t>the</w:t>
      </w:r>
      <w:r>
        <w:t xml:space="preserve"> </w:t>
      </w:r>
      <w:r w:rsidRPr="00B82B04">
        <w:t>OAHM</w:t>
      </w:r>
      <w:r>
        <w:t xml:space="preserve"> </w:t>
      </w:r>
      <w:r w:rsidRPr="00B82B04">
        <w:t>Client</w:t>
      </w:r>
      <w:r>
        <w:t xml:space="preserve"> </w:t>
      </w:r>
      <w:r w:rsidRPr="00B82B04">
        <w:t>Program</w:t>
      </w:r>
      <w:r>
        <w:t xml:space="preserve"> </w:t>
      </w:r>
      <w:r w:rsidRPr="00B82B04">
        <w:t>Questionnaire</w:t>
      </w:r>
      <w:r>
        <w:t xml:space="preserve"> </w:t>
      </w:r>
      <w:r w:rsidRPr="00B82B04">
        <w:t>(appendix</w:t>
      </w:r>
      <w:r>
        <w:t xml:space="preserve"> </w:t>
      </w:r>
      <w:r w:rsidRPr="00B82B04">
        <w:t>C)</w:t>
      </w:r>
      <w:r>
        <w:t xml:space="preserve"> </w:t>
      </w:r>
      <w:r w:rsidRPr="00B82B04">
        <w:t>and</w:t>
      </w:r>
      <w:r>
        <w:t xml:space="preserve"> </w:t>
      </w:r>
      <w:r w:rsidRPr="00B82B04">
        <w:t>the</w:t>
      </w:r>
      <w:r>
        <w:t xml:space="preserve"> </w:t>
      </w:r>
      <w:r w:rsidRPr="00B82B04">
        <w:t>OAHM</w:t>
      </w:r>
      <w:r>
        <w:t xml:space="preserve"> </w:t>
      </w:r>
      <w:r w:rsidRPr="00B82B04">
        <w:t>Client</w:t>
      </w:r>
      <w:r>
        <w:t xml:space="preserve"> </w:t>
      </w:r>
      <w:r w:rsidRPr="00B82B04">
        <w:t>Impact</w:t>
      </w:r>
      <w:r>
        <w:t xml:space="preserve"> </w:t>
      </w:r>
      <w:r w:rsidRPr="00B82B04">
        <w:t>Evaluation</w:t>
      </w:r>
      <w:r>
        <w:t xml:space="preserve"> </w:t>
      </w:r>
      <w:r w:rsidRPr="00B82B04">
        <w:t>Interview</w:t>
      </w:r>
      <w:r>
        <w:t xml:space="preserve"> </w:t>
      </w:r>
      <w:r w:rsidRPr="00B82B04">
        <w:t>(appendix</w:t>
      </w:r>
      <w:r>
        <w:t xml:space="preserve"> </w:t>
      </w:r>
      <w:r w:rsidRPr="00B82B04">
        <w:t>F)</w:t>
      </w:r>
      <w:r>
        <w:t xml:space="preserve"> </w:t>
      </w:r>
      <w:r w:rsidRPr="00B82B04">
        <w:t>concerning</w:t>
      </w:r>
      <w:r>
        <w:t xml:space="preserve"> </w:t>
      </w:r>
      <w:r w:rsidRPr="00B82B04">
        <w:t>health</w:t>
      </w:r>
      <w:r>
        <w:t xml:space="preserve"> </w:t>
      </w:r>
      <w:r w:rsidRPr="00B82B04">
        <w:t>and</w:t>
      </w:r>
      <w:r>
        <w:t xml:space="preserve"> </w:t>
      </w:r>
      <w:r w:rsidRPr="00B82B04">
        <w:t>health</w:t>
      </w:r>
      <w:r>
        <w:t xml:space="preserve"> </w:t>
      </w:r>
      <w:r w:rsidRPr="00B82B04">
        <w:t>care</w:t>
      </w:r>
      <w:r>
        <w:t xml:space="preserve"> </w:t>
      </w:r>
      <w:r w:rsidRPr="00B82B04">
        <w:t>utilization</w:t>
      </w:r>
      <w:r>
        <w:t xml:space="preserve"> </w:t>
      </w:r>
      <w:r w:rsidRPr="00B82B04">
        <w:t>could</w:t>
      </w:r>
      <w:r>
        <w:t xml:space="preserve"> </w:t>
      </w:r>
      <w:r w:rsidRPr="00B82B04">
        <w:t>be</w:t>
      </w:r>
      <w:r>
        <w:t xml:space="preserve"> </w:t>
      </w:r>
      <w:r w:rsidRPr="00B82B04">
        <w:t>considered</w:t>
      </w:r>
      <w:r>
        <w:t xml:space="preserve"> </w:t>
      </w:r>
      <w:r w:rsidRPr="00B82B04">
        <w:t>sensitive;</w:t>
      </w:r>
      <w:r>
        <w:t xml:space="preserve"> </w:t>
      </w:r>
      <w:r w:rsidRPr="00B82B04">
        <w:t>however,</w:t>
      </w:r>
      <w:r>
        <w:t xml:space="preserve"> </w:t>
      </w:r>
      <w:r w:rsidRPr="00B82B04">
        <w:t>they</w:t>
      </w:r>
      <w:r>
        <w:t xml:space="preserve"> </w:t>
      </w:r>
      <w:r w:rsidRPr="00B82B04">
        <w:t>are</w:t>
      </w:r>
      <w:r>
        <w:t xml:space="preserve"> </w:t>
      </w:r>
      <w:r w:rsidRPr="00B82B04">
        <w:t>necessary</w:t>
      </w:r>
      <w:r>
        <w:t xml:space="preserve"> </w:t>
      </w:r>
      <w:r w:rsidRPr="00B82B04">
        <w:t>to</w:t>
      </w:r>
      <w:r>
        <w:t xml:space="preserve"> </w:t>
      </w:r>
      <w:r w:rsidRPr="00B82B04">
        <w:t>confirm</w:t>
      </w:r>
      <w:r>
        <w:t xml:space="preserve"> </w:t>
      </w:r>
      <w:r w:rsidRPr="00B82B04">
        <w:t>grantees</w:t>
      </w:r>
      <w:r>
        <w:t xml:space="preserve"> </w:t>
      </w:r>
      <w:r w:rsidRPr="00B82B04">
        <w:t>are</w:t>
      </w:r>
      <w:r>
        <w:t xml:space="preserve"> </w:t>
      </w:r>
      <w:r w:rsidRPr="00B82B04">
        <w:t>taking</w:t>
      </w:r>
      <w:r>
        <w:t xml:space="preserve"> </w:t>
      </w:r>
      <w:r w:rsidRPr="00B82B04">
        <w:t>health</w:t>
      </w:r>
      <w:r>
        <w:t xml:space="preserve"> </w:t>
      </w:r>
      <w:r w:rsidRPr="00B82B04">
        <w:t>conditions,</w:t>
      </w:r>
      <w:r>
        <w:t xml:space="preserve"> </w:t>
      </w:r>
      <w:r w:rsidRPr="00B82B04">
        <w:t>particularly</w:t>
      </w:r>
      <w:r>
        <w:t xml:space="preserve"> limitations in </w:t>
      </w:r>
      <w:r w:rsidRPr="00B82B04">
        <w:t>ADLs</w:t>
      </w:r>
      <w:r>
        <w:t xml:space="preserve"> </w:t>
      </w:r>
      <w:r w:rsidRPr="00B82B04">
        <w:t>and</w:t>
      </w:r>
      <w:r>
        <w:t xml:space="preserve"> </w:t>
      </w:r>
      <w:r w:rsidRPr="00B82B04">
        <w:t>IADLs,</w:t>
      </w:r>
      <w:r>
        <w:t xml:space="preserve"> </w:t>
      </w:r>
      <w:r w:rsidRPr="00B82B04">
        <w:t>into</w:t>
      </w:r>
      <w:r>
        <w:t xml:space="preserve"> </w:t>
      </w:r>
      <w:r w:rsidRPr="00B82B04">
        <w:t>account</w:t>
      </w:r>
      <w:r>
        <w:t xml:space="preserve"> </w:t>
      </w:r>
      <w:r w:rsidRPr="00B82B04">
        <w:t>when</w:t>
      </w:r>
      <w:r>
        <w:t xml:space="preserve"> </w:t>
      </w:r>
      <w:r w:rsidRPr="00B82B04">
        <w:t>identifying</w:t>
      </w:r>
      <w:r>
        <w:t xml:space="preserve"> </w:t>
      </w:r>
      <w:r w:rsidRPr="00B82B04">
        <w:t>home</w:t>
      </w:r>
      <w:r>
        <w:t xml:space="preserve"> </w:t>
      </w:r>
      <w:r w:rsidRPr="00B82B04">
        <w:t>modifications</w:t>
      </w:r>
      <w:r>
        <w:t xml:space="preserve"> </w:t>
      </w:r>
      <w:r w:rsidRPr="00B82B04">
        <w:t>to</w:t>
      </w:r>
      <w:r>
        <w:t xml:space="preserve"> </w:t>
      </w:r>
      <w:r w:rsidRPr="00B82B04">
        <w:t>address</w:t>
      </w:r>
      <w:r>
        <w:t xml:space="preserve"> </w:t>
      </w:r>
      <w:r w:rsidRPr="00B82B04">
        <w:t>the</w:t>
      </w:r>
      <w:r>
        <w:t xml:space="preserve"> </w:t>
      </w:r>
      <w:r w:rsidRPr="00B82B04">
        <w:t>client’s</w:t>
      </w:r>
      <w:r>
        <w:t xml:space="preserve"> </w:t>
      </w:r>
      <w:r w:rsidRPr="00B82B04">
        <w:t>needs.</w:t>
      </w:r>
      <w:r>
        <w:t xml:space="preserve"> </w:t>
      </w:r>
      <w:r w:rsidRPr="00B82B04">
        <w:t>The</w:t>
      </w:r>
      <w:r>
        <w:t xml:space="preserve"> </w:t>
      </w:r>
      <w:r w:rsidRPr="00B82B04">
        <w:t>CAPABLE</w:t>
      </w:r>
      <w:r>
        <w:t xml:space="preserve"> </w:t>
      </w:r>
      <w:r w:rsidRPr="00B82B04">
        <w:t>program</w:t>
      </w:r>
      <w:r>
        <w:t xml:space="preserve"> </w:t>
      </w:r>
      <w:r w:rsidRPr="00B82B04">
        <w:t>model,</w:t>
      </w:r>
      <w:r>
        <w:t xml:space="preserve"> </w:t>
      </w:r>
      <w:r w:rsidRPr="00B82B04">
        <w:t>which</w:t>
      </w:r>
      <w:r>
        <w:t xml:space="preserve"> </w:t>
      </w:r>
      <w:r w:rsidRPr="00B82B04">
        <w:t>is</w:t>
      </w:r>
      <w:r>
        <w:t xml:space="preserve"> </w:t>
      </w:r>
      <w:r w:rsidRPr="00B82B04">
        <w:t>a</w:t>
      </w:r>
      <w:r>
        <w:t xml:space="preserve"> </w:t>
      </w:r>
      <w:r w:rsidRPr="00B82B04">
        <w:t>basis</w:t>
      </w:r>
      <w:r>
        <w:t xml:space="preserve"> </w:t>
      </w:r>
      <w:r w:rsidRPr="00B82B04">
        <w:t>for</w:t>
      </w:r>
      <w:r>
        <w:t xml:space="preserve"> </w:t>
      </w:r>
      <w:r w:rsidRPr="00B82B04">
        <w:t>the</w:t>
      </w:r>
      <w:r>
        <w:t xml:space="preserve"> </w:t>
      </w:r>
      <w:r w:rsidRPr="00B82B04">
        <w:t>OAHMP</w:t>
      </w:r>
      <w:r>
        <w:t xml:space="preserve"> </w:t>
      </w:r>
      <w:r w:rsidRPr="00B82B04">
        <w:t>Service</w:t>
      </w:r>
      <w:r>
        <w:t xml:space="preserve"> </w:t>
      </w:r>
      <w:r w:rsidRPr="00B82B04">
        <w:t>Model</w:t>
      </w:r>
      <w:r>
        <w:t>,</w:t>
      </w:r>
      <w:r w:rsidRPr="00B82B04">
        <w:rPr>
          <w:rStyle w:val="FootnoteReference"/>
        </w:rPr>
        <w:footnoteReference w:id="55"/>
      </w:r>
      <w:r>
        <w:t xml:space="preserve"> </w:t>
      </w:r>
      <w:r w:rsidRPr="00B82B04">
        <w:t>has</w:t>
      </w:r>
      <w:r>
        <w:t xml:space="preserve"> </w:t>
      </w:r>
      <w:r w:rsidRPr="00B82B04">
        <w:t>been</w:t>
      </w:r>
      <w:r>
        <w:t xml:space="preserve"> </w:t>
      </w:r>
      <w:r w:rsidRPr="00B82B04">
        <w:t>demonstrated</w:t>
      </w:r>
      <w:r>
        <w:t xml:space="preserve"> </w:t>
      </w:r>
      <w:r w:rsidRPr="00B82B04">
        <w:t>to</w:t>
      </w:r>
      <w:r>
        <w:t xml:space="preserve"> </w:t>
      </w:r>
      <w:r w:rsidRPr="00B82B04">
        <w:t>improve</w:t>
      </w:r>
      <w:r>
        <w:t xml:space="preserve"> </w:t>
      </w:r>
      <w:r w:rsidRPr="00B82B04">
        <w:t>clients’</w:t>
      </w:r>
      <w:r>
        <w:t xml:space="preserve"> </w:t>
      </w:r>
      <w:r w:rsidRPr="00B82B04">
        <w:t>functionality</w:t>
      </w:r>
      <w:r>
        <w:t xml:space="preserve"> </w:t>
      </w:r>
      <w:r w:rsidRPr="00B82B04">
        <w:t>when</w:t>
      </w:r>
      <w:r>
        <w:t xml:space="preserve"> </w:t>
      </w:r>
      <w:r w:rsidRPr="00B82B04">
        <w:t>an</w:t>
      </w:r>
      <w:r>
        <w:t xml:space="preserve"> </w:t>
      </w:r>
      <w:r w:rsidRPr="00B82B04">
        <w:t>OT</w:t>
      </w:r>
      <w:r>
        <w:t xml:space="preserve"> </w:t>
      </w:r>
      <w:r w:rsidRPr="00B82B04">
        <w:t>evaluated</w:t>
      </w:r>
      <w:r>
        <w:t xml:space="preserve"> </w:t>
      </w:r>
      <w:r w:rsidRPr="00B82B04">
        <w:t>functional</w:t>
      </w:r>
      <w:r>
        <w:t xml:space="preserve"> </w:t>
      </w:r>
      <w:r w:rsidRPr="00B82B04">
        <w:t>disability,</w:t>
      </w:r>
      <w:r>
        <w:t xml:space="preserve"> </w:t>
      </w:r>
      <w:proofErr w:type="gramStart"/>
      <w:r w:rsidRPr="00B82B04">
        <w:t>identified</w:t>
      </w:r>
      <w:proofErr w:type="gramEnd"/>
      <w:r>
        <w:t xml:space="preserve"> </w:t>
      </w:r>
      <w:r w:rsidRPr="00B82B04">
        <w:t>and</w:t>
      </w:r>
      <w:r>
        <w:t xml:space="preserve"> </w:t>
      </w:r>
      <w:r w:rsidRPr="00B82B04">
        <w:t>addressed</w:t>
      </w:r>
      <w:r>
        <w:t xml:space="preserve"> </w:t>
      </w:r>
      <w:r w:rsidRPr="00B82B04">
        <w:t>functional</w:t>
      </w:r>
      <w:r>
        <w:t xml:space="preserve"> </w:t>
      </w:r>
      <w:r w:rsidRPr="00B82B04">
        <w:t>goals,</w:t>
      </w:r>
      <w:r>
        <w:t xml:space="preserve"> </w:t>
      </w:r>
      <w:r w:rsidRPr="00B82B04">
        <w:t>assessed</w:t>
      </w:r>
      <w:r>
        <w:t xml:space="preserve"> </w:t>
      </w:r>
      <w:r w:rsidRPr="00B82B04">
        <w:t>home</w:t>
      </w:r>
      <w:r>
        <w:t xml:space="preserve"> </w:t>
      </w:r>
      <w:r w:rsidRPr="00B82B04">
        <w:t>safety</w:t>
      </w:r>
      <w:r>
        <w:t xml:space="preserve"> </w:t>
      </w:r>
      <w:r w:rsidRPr="00B82B04">
        <w:t>risks,</w:t>
      </w:r>
      <w:r>
        <w:t xml:space="preserve"> </w:t>
      </w:r>
      <w:r w:rsidRPr="00B82B04">
        <w:t>and</w:t>
      </w:r>
      <w:r>
        <w:t xml:space="preserve"> </w:t>
      </w:r>
      <w:r w:rsidRPr="00B82B04">
        <w:t>oversaw</w:t>
      </w:r>
      <w:r>
        <w:t xml:space="preserve"> </w:t>
      </w:r>
      <w:r w:rsidRPr="00B82B04">
        <w:t>communication</w:t>
      </w:r>
      <w:r>
        <w:t xml:space="preserve"> </w:t>
      </w:r>
      <w:r w:rsidRPr="00B82B04">
        <w:t>with</w:t>
      </w:r>
      <w:r>
        <w:t xml:space="preserve"> </w:t>
      </w:r>
      <w:r w:rsidRPr="00B82B04">
        <w:t>the</w:t>
      </w:r>
      <w:r>
        <w:t xml:space="preserve"> </w:t>
      </w:r>
      <w:r w:rsidRPr="00B82B04">
        <w:t>primary</w:t>
      </w:r>
      <w:r>
        <w:t xml:space="preserve"> </w:t>
      </w:r>
      <w:r w:rsidRPr="00B82B04">
        <w:t>practitioner.</w:t>
      </w:r>
      <w:r>
        <w:t xml:space="preserve"> </w:t>
      </w:r>
      <w:r w:rsidRPr="00B82B04">
        <w:t>Assessment</w:t>
      </w:r>
      <w:r>
        <w:t xml:space="preserve"> </w:t>
      </w:r>
      <w:r w:rsidRPr="00B82B04">
        <w:t>of</w:t>
      </w:r>
      <w:r>
        <w:t xml:space="preserve"> </w:t>
      </w:r>
      <w:r w:rsidRPr="00B82B04">
        <w:t>clients’</w:t>
      </w:r>
      <w:r>
        <w:t xml:space="preserve"> </w:t>
      </w:r>
      <w:r w:rsidRPr="00B82B04">
        <w:t>pain,</w:t>
      </w:r>
      <w:r>
        <w:t xml:space="preserve"> </w:t>
      </w:r>
      <w:r w:rsidRPr="00B82B04">
        <w:t>depressive</w:t>
      </w:r>
      <w:r>
        <w:t xml:space="preserve"> </w:t>
      </w:r>
      <w:r w:rsidRPr="00B82B04">
        <w:t>symptoms,</w:t>
      </w:r>
      <w:r>
        <w:t xml:space="preserve"> </w:t>
      </w:r>
      <w:r w:rsidRPr="00B82B04">
        <w:t>medication</w:t>
      </w:r>
      <w:r>
        <w:t xml:space="preserve"> </w:t>
      </w:r>
      <w:r w:rsidRPr="00B82B04">
        <w:t>use,</w:t>
      </w:r>
      <w:r>
        <w:t xml:space="preserve"> </w:t>
      </w:r>
      <w:r w:rsidRPr="00B82B04">
        <w:t>strength,</w:t>
      </w:r>
      <w:r>
        <w:t xml:space="preserve"> </w:t>
      </w:r>
      <w:r w:rsidRPr="00B82B04">
        <w:t>and</w:t>
      </w:r>
      <w:r>
        <w:t xml:space="preserve"> </w:t>
      </w:r>
      <w:r w:rsidRPr="00B82B04">
        <w:t>balance</w:t>
      </w:r>
      <w:r>
        <w:t xml:space="preserve"> </w:t>
      </w:r>
      <w:r w:rsidRPr="00B82B04">
        <w:t>were</w:t>
      </w:r>
      <w:r>
        <w:t xml:space="preserve"> </w:t>
      </w:r>
      <w:r w:rsidRPr="00B82B04">
        <w:t>also</w:t>
      </w:r>
      <w:r>
        <w:t xml:space="preserve"> </w:t>
      </w:r>
      <w:r w:rsidRPr="00B82B04">
        <w:t>important</w:t>
      </w:r>
      <w:r>
        <w:t xml:space="preserve"> </w:t>
      </w:r>
      <w:r w:rsidRPr="00B82B04">
        <w:t>since</w:t>
      </w:r>
      <w:r>
        <w:t xml:space="preserve"> </w:t>
      </w:r>
      <w:r w:rsidRPr="00B82B04">
        <w:t>these</w:t>
      </w:r>
      <w:r>
        <w:t xml:space="preserve"> </w:t>
      </w:r>
      <w:r w:rsidRPr="00B82B04">
        <w:t>factors</w:t>
      </w:r>
      <w:r>
        <w:t xml:space="preserve"> </w:t>
      </w:r>
      <w:r w:rsidRPr="00B82B04">
        <w:t>can</w:t>
      </w:r>
      <w:r>
        <w:t xml:space="preserve"> </w:t>
      </w:r>
      <w:r w:rsidRPr="00B82B04">
        <w:t>impair</w:t>
      </w:r>
      <w:r>
        <w:t xml:space="preserve"> </w:t>
      </w:r>
      <w:r w:rsidRPr="00B82B04">
        <w:t>functionality</w:t>
      </w:r>
      <w:r>
        <w:t xml:space="preserve"> </w:t>
      </w:r>
      <w:r w:rsidRPr="00B82B04">
        <w:t>and</w:t>
      </w:r>
      <w:r>
        <w:t xml:space="preserve"> </w:t>
      </w:r>
      <w:r w:rsidRPr="00B82B04">
        <w:t>therefore</w:t>
      </w:r>
      <w:r>
        <w:t xml:space="preserve"> </w:t>
      </w:r>
      <w:r w:rsidRPr="00B82B04">
        <w:t>mask</w:t>
      </w:r>
      <w:r>
        <w:t xml:space="preserve"> </w:t>
      </w:r>
      <w:r w:rsidRPr="00B82B04">
        <w:t>the</w:t>
      </w:r>
      <w:r>
        <w:t xml:space="preserve"> </w:t>
      </w:r>
      <w:r w:rsidRPr="00B82B04">
        <w:t>impact</w:t>
      </w:r>
      <w:r>
        <w:t xml:space="preserve"> </w:t>
      </w:r>
      <w:r w:rsidRPr="00B82B04">
        <w:t>of</w:t>
      </w:r>
      <w:r>
        <w:t xml:space="preserve"> </w:t>
      </w:r>
      <w:r w:rsidRPr="00B82B04">
        <w:t>the</w:t>
      </w:r>
      <w:r>
        <w:t xml:space="preserve"> </w:t>
      </w:r>
      <w:r w:rsidRPr="00B82B04">
        <w:t>home</w:t>
      </w:r>
      <w:r>
        <w:t xml:space="preserve"> </w:t>
      </w:r>
      <w:r w:rsidRPr="00B82B04">
        <w:t>modifications.</w:t>
      </w:r>
    </w:p>
    <w:p w:rsidRPr="00B82B04" w:rsidR="00F5259C" w:rsidP="00F5259C" w:rsidRDefault="00F5259C" w14:paraId="2FE721C5" w14:textId="77777777">
      <w:pPr>
        <w:spacing w:after="240"/>
      </w:pPr>
      <w:r w:rsidRPr="00B82B04">
        <w:t>Questions</w:t>
      </w:r>
      <w:r>
        <w:t xml:space="preserve"> </w:t>
      </w:r>
      <w:r w:rsidRPr="00B82B04">
        <w:t>in</w:t>
      </w:r>
      <w:r>
        <w:t xml:space="preserve"> </w:t>
      </w:r>
      <w:r w:rsidRPr="00B82B04">
        <w:t>DCIs</w:t>
      </w:r>
      <w:r>
        <w:t xml:space="preserve"> </w:t>
      </w:r>
      <w:r w:rsidRPr="00B82B04">
        <w:t>concerning</w:t>
      </w:r>
      <w:r>
        <w:t xml:space="preserve"> </w:t>
      </w:r>
      <w:r w:rsidRPr="00B82B04">
        <w:t>quality</w:t>
      </w:r>
      <w:r>
        <w:t xml:space="preserve"> </w:t>
      </w:r>
      <w:r w:rsidRPr="00B82B04">
        <w:t>of</w:t>
      </w:r>
      <w:r>
        <w:t xml:space="preserve"> </w:t>
      </w:r>
      <w:r w:rsidRPr="00B82B04">
        <w:t>life;</w:t>
      </w:r>
      <w:r>
        <w:t xml:space="preserve"> </w:t>
      </w:r>
      <w:r w:rsidRPr="00B82B04">
        <w:t>falls</w:t>
      </w:r>
      <w:r>
        <w:t xml:space="preserve"> </w:t>
      </w:r>
      <w:r w:rsidRPr="00B82B04">
        <w:t>efficacy;</w:t>
      </w:r>
      <w:r>
        <w:t xml:space="preserve"> </w:t>
      </w:r>
      <w:r w:rsidRPr="00B82B04">
        <w:t>mobility</w:t>
      </w:r>
      <w:r>
        <w:t xml:space="preserve"> </w:t>
      </w:r>
      <w:r w:rsidRPr="00B82B04">
        <w:t>in</w:t>
      </w:r>
      <w:r>
        <w:t xml:space="preserve"> </w:t>
      </w:r>
      <w:r w:rsidRPr="00B82B04">
        <w:t>and</w:t>
      </w:r>
      <w:r>
        <w:t xml:space="preserve"> </w:t>
      </w:r>
      <w:r w:rsidRPr="00B82B04">
        <w:t>outside</w:t>
      </w:r>
      <w:r>
        <w:t xml:space="preserve"> </w:t>
      </w:r>
      <w:r w:rsidRPr="00B82B04">
        <w:t>the</w:t>
      </w:r>
      <w:r>
        <w:t xml:space="preserve"> </w:t>
      </w:r>
      <w:r w:rsidRPr="00B82B04">
        <w:t>home;</w:t>
      </w:r>
      <w:r>
        <w:t xml:space="preserve"> </w:t>
      </w:r>
      <w:r w:rsidRPr="00B82B04">
        <w:t>number</w:t>
      </w:r>
      <w:r>
        <w:t xml:space="preserve"> </w:t>
      </w:r>
      <w:r w:rsidRPr="00B82B04">
        <w:t>and</w:t>
      </w:r>
      <w:r>
        <w:t xml:space="preserve"> </w:t>
      </w:r>
      <w:r w:rsidRPr="00B82B04">
        <w:t>causes</w:t>
      </w:r>
      <w:r>
        <w:t xml:space="preserve"> </w:t>
      </w:r>
      <w:r w:rsidRPr="00B82B04">
        <w:t>of</w:t>
      </w:r>
      <w:r>
        <w:t xml:space="preserve"> </w:t>
      </w:r>
      <w:r w:rsidRPr="00B82B04">
        <w:t>in-home</w:t>
      </w:r>
      <w:r>
        <w:t xml:space="preserve"> </w:t>
      </w:r>
      <w:r w:rsidRPr="00B82B04">
        <w:t>falls;</w:t>
      </w:r>
      <w:r>
        <w:t xml:space="preserve"> </w:t>
      </w:r>
      <w:r w:rsidRPr="00B82B04">
        <w:t>unplanned,</w:t>
      </w:r>
      <w:r>
        <w:t xml:space="preserve"> </w:t>
      </w:r>
      <w:r w:rsidRPr="00B82B04">
        <w:t>home-related</w:t>
      </w:r>
      <w:r>
        <w:t xml:space="preserve"> </w:t>
      </w:r>
      <w:r w:rsidRPr="00B82B04">
        <w:t>healthcare</w:t>
      </w:r>
      <w:r>
        <w:t xml:space="preserve"> </w:t>
      </w:r>
      <w:r w:rsidRPr="00B82B04">
        <w:t>visit</w:t>
      </w:r>
      <w:r>
        <w:t xml:space="preserve"> </w:t>
      </w:r>
      <w:r w:rsidRPr="00B82B04">
        <w:t>data;</w:t>
      </w:r>
      <w:r>
        <w:t xml:space="preserve"> </w:t>
      </w:r>
      <w:r w:rsidRPr="00B82B04">
        <w:t>and</w:t>
      </w:r>
      <w:r>
        <w:t xml:space="preserve"> </w:t>
      </w:r>
      <w:r w:rsidRPr="00B82B04">
        <w:t>client</w:t>
      </w:r>
      <w:r>
        <w:t xml:space="preserve"> </w:t>
      </w:r>
      <w:r w:rsidRPr="00B82B04">
        <w:t>home</w:t>
      </w:r>
      <w:r>
        <w:t xml:space="preserve"> </w:t>
      </w:r>
      <w:r w:rsidRPr="00B82B04">
        <w:t>tenure</w:t>
      </w:r>
      <w:r>
        <w:t xml:space="preserve"> </w:t>
      </w:r>
      <w:r w:rsidRPr="00B82B04">
        <w:t>data</w:t>
      </w:r>
      <w:r>
        <w:t xml:space="preserve"> </w:t>
      </w:r>
      <w:r w:rsidRPr="00B82B04">
        <w:t>are</w:t>
      </w:r>
      <w:r>
        <w:t xml:space="preserve"> </w:t>
      </w:r>
      <w:r w:rsidRPr="00B82B04">
        <w:t>also</w:t>
      </w:r>
      <w:r>
        <w:t xml:space="preserve"> </w:t>
      </w:r>
      <w:r w:rsidRPr="00B82B04">
        <w:t>necessary</w:t>
      </w:r>
      <w:r>
        <w:t xml:space="preserve"> </w:t>
      </w:r>
      <w:r w:rsidRPr="00B82B04">
        <w:t>to</w:t>
      </w:r>
      <w:r>
        <w:t xml:space="preserve"> </w:t>
      </w:r>
      <w:r w:rsidRPr="00B82B04">
        <w:t>enable</w:t>
      </w:r>
      <w:r>
        <w:t xml:space="preserve"> </w:t>
      </w:r>
      <w:r w:rsidRPr="00B82B04">
        <w:t>HUD</w:t>
      </w:r>
      <w:r>
        <w:t xml:space="preserve"> </w:t>
      </w:r>
      <w:r w:rsidRPr="00B82B04">
        <w:t>to</w:t>
      </w:r>
      <w:r>
        <w:t xml:space="preserve"> </w:t>
      </w:r>
      <w:r w:rsidRPr="00B82B04">
        <w:t>compare</w:t>
      </w:r>
      <w:r>
        <w:t xml:space="preserve"> </w:t>
      </w:r>
      <w:r w:rsidRPr="00B82B04">
        <w:t>clients’</w:t>
      </w:r>
      <w:r>
        <w:t xml:space="preserve"> </w:t>
      </w:r>
      <w:r w:rsidRPr="00B82B04">
        <w:t>health</w:t>
      </w:r>
      <w:r>
        <w:t xml:space="preserve"> </w:t>
      </w:r>
      <w:r w:rsidRPr="00B82B04">
        <w:t>outcomes</w:t>
      </w:r>
      <w:r>
        <w:t xml:space="preserve"> </w:t>
      </w:r>
      <w:r w:rsidRPr="00B82B04">
        <w:t>pre-modification</w:t>
      </w:r>
      <w:r>
        <w:t xml:space="preserve"> </w:t>
      </w:r>
      <w:r w:rsidRPr="00B82B04">
        <w:t>to</w:t>
      </w:r>
      <w:r>
        <w:t xml:space="preserve"> </w:t>
      </w:r>
      <w:r w:rsidRPr="00B82B04">
        <w:t>post-modification</w:t>
      </w:r>
      <w:r>
        <w:t xml:space="preserve"> </w:t>
      </w:r>
      <w:r w:rsidRPr="00B82B04">
        <w:t>and,</w:t>
      </w:r>
      <w:r>
        <w:t xml:space="preserve"> </w:t>
      </w:r>
      <w:r w:rsidRPr="00B82B04">
        <w:t>where</w:t>
      </w:r>
      <w:r>
        <w:t xml:space="preserve"> </w:t>
      </w:r>
      <w:r w:rsidRPr="00B82B04">
        <w:t>appropriate,</w:t>
      </w:r>
      <w:r>
        <w:t xml:space="preserve"> </w:t>
      </w:r>
      <w:r w:rsidRPr="00B82B04">
        <w:t>to</w:t>
      </w:r>
      <w:r>
        <w:t xml:space="preserve"> </w:t>
      </w:r>
      <w:r w:rsidRPr="00B82B04">
        <w:t>national</w:t>
      </w:r>
      <w:r>
        <w:t xml:space="preserve"> </w:t>
      </w:r>
      <w:r w:rsidRPr="00B82B04">
        <w:t>and</w:t>
      </w:r>
      <w:r>
        <w:t xml:space="preserve"> </w:t>
      </w:r>
      <w:r w:rsidRPr="00B82B04">
        <w:t>regional</w:t>
      </w:r>
      <w:r>
        <w:t xml:space="preserve"> </w:t>
      </w:r>
      <w:r w:rsidRPr="00B82B04">
        <w:t>data.</w:t>
      </w:r>
    </w:p>
    <w:p w:rsidRPr="00B82B04" w:rsidR="00F5259C" w:rsidP="00F5259C" w:rsidRDefault="00F5259C" w14:paraId="51075C2E" w14:textId="77777777">
      <w:pPr>
        <w:keepNext/>
        <w:spacing w:after="120"/>
      </w:pPr>
      <w:r w:rsidRPr="00B82B04">
        <w:t>Before</w:t>
      </w:r>
      <w:r>
        <w:t xml:space="preserve"> </w:t>
      </w:r>
      <w:r w:rsidRPr="00B82B04">
        <w:t>administering</w:t>
      </w:r>
      <w:r>
        <w:t xml:space="preserve"> </w:t>
      </w:r>
      <w:r w:rsidRPr="00B82B04">
        <w:t>the</w:t>
      </w:r>
      <w:bookmarkStart w:name="_Hlk58943359" w:id="50"/>
      <w:r>
        <w:t xml:space="preserve"> </w:t>
      </w:r>
      <w:r w:rsidRPr="00B82B04">
        <w:t>OAHM</w:t>
      </w:r>
      <w:r>
        <w:t xml:space="preserve"> </w:t>
      </w:r>
      <w:r w:rsidRPr="00B82B04">
        <w:t>Client</w:t>
      </w:r>
      <w:r>
        <w:t xml:space="preserve"> </w:t>
      </w:r>
      <w:r w:rsidRPr="00B82B04">
        <w:t>Impact</w:t>
      </w:r>
      <w:r>
        <w:t xml:space="preserve"> </w:t>
      </w:r>
      <w:r w:rsidRPr="00B82B04">
        <w:t>Evaluation</w:t>
      </w:r>
      <w:r>
        <w:t xml:space="preserve"> </w:t>
      </w:r>
      <w:r w:rsidRPr="00B82B04">
        <w:t>Interview</w:t>
      </w:r>
      <w:r>
        <w:t xml:space="preserve"> </w:t>
      </w:r>
      <w:r w:rsidRPr="00B82B04">
        <w:t>questions</w:t>
      </w:r>
      <w:bookmarkEnd w:id="50"/>
      <w:r w:rsidRPr="00B82B04">
        <w:t>,</w:t>
      </w:r>
      <w:r>
        <w:t xml:space="preserve"> </w:t>
      </w:r>
      <w:r w:rsidRPr="00B82B04">
        <w:t>clients</w:t>
      </w:r>
      <w:r>
        <w:t xml:space="preserve"> </w:t>
      </w:r>
      <w:r w:rsidRPr="00B82B04">
        <w:t>will</w:t>
      </w:r>
      <w:r>
        <w:t xml:space="preserve"> </w:t>
      </w:r>
      <w:r w:rsidRPr="00B82B04">
        <w:t>be</w:t>
      </w:r>
      <w:r>
        <w:t xml:space="preserve"> </w:t>
      </w:r>
      <w:r w:rsidRPr="00B82B04">
        <w:t>asked</w:t>
      </w:r>
      <w:r>
        <w:t xml:space="preserve"> </w:t>
      </w:r>
      <w:r w:rsidRPr="00B82B04">
        <w:t>to</w:t>
      </w:r>
      <w:r>
        <w:t xml:space="preserve"> </w:t>
      </w:r>
      <w:r w:rsidRPr="00B82B04">
        <w:t>complete</w:t>
      </w:r>
      <w:r>
        <w:t xml:space="preserve"> </w:t>
      </w:r>
      <w:r w:rsidRPr="00B82B04">
        <w:t>an</w:t>
      </w:r>
      <w:r>
        <w:t xml:space="preserve"> </w:t>
      </w:r>
      <w:r w:rsidRPr="00B82B04">
        <w:t>OAHM</w:t>
      </w:r>
      <w:r>
        <w:t xml:space="preserve"> </w:t>
      </w:r>
      <w:r w:rsidRPr="00B82B04">
        <w:t>Program</w:t>
      </w:r>
      <w:r>
        <w:t xml:space="preserve"> </w:t>
      </w:r>
      <w:r w:rsidRPr="00B82B04">
        <w:t>Evaluation</w:t>
      </w:r>
      <w:r>
        <w:t xml:space="preserve"> </w:t>
      </w:r>
      <w:r w:rsidRPr="00B82B04">
        <w:t>Informed</w:t>
      </w:r>
      <w:r>
        <w:t xml:space="preserve"> </w:t>
      </w:r>
      <w:r w:rsidRPr="00B82B04">
        <w:t>Consent</w:t>
      </w:r>
      <w:r>
        <w:t xml:space="preserve"> </w:t>
      </w:r>
      <w:r w:rsidRPr="00B82B04">
        <w:t>that</w:t>
      </w:r>
      <w:r>
        <w:t xml:space="preserve"> </w:t>
      </w:r>
      <w:r w:rsidRPr="00B82B04">
        <w:t>specifies:</w:t>
      </w:r>
      <w:r>
        <w:t xml:space="preserve"> </w:t>
      </w:r>
    </w:p>
    <w:p w:rsidRPr="00B82B04" w:rsidR="00F5259C" w:rsidP="00F5259C" w:rsidRDefault="00F5259C" w14:paraId="226833D8" w14:textId="77777777">
      <w:pPr>
        <w:keepNext/>
        <w:numPr>
          <w:ilvl w:val="0"/>
          <w:numId w:val="9"/>
        </w:numPr>
        <w:spacing w:after="120"/>
        <w:ind w:left="461" w:hanging="274"/>
      </w:pPr>
      <w:r w:rsidRPr="00B82B04">
        <w:t>They</w:t>
      </w:r>
      <w:r>
        <w:t xml:space="preserve"> </w:t>
      </w:r>
      <w:r w:rsidRPr="00B82B04">
        <w:t>do</w:t>
      </w:r>
      <w:r>
        <w:t xml:space="preserve"> </w:t>
      </w:r>
      <w:r w:rsidRPr="00B82B04">
        <w:t>not</w:t>
      </w:r>
      <w:r>
        <w:t xml:space="preserve"> </w:t>
      </w:r>
      <w:r w:rsidRPr="00B82B04">
        <w:t>have</w:t>
      </w:r>
      <w:r>
        <w:t xml:space="preserve"> </w:t>
      </w:r>
      <w:r w:rsidRPr="00B82B04">
        <w:t>to</w:t>
      </w:r>
      <w:r>
        <w:t xml:space="preserve"> </w:t>
      </w:r>
      <w:r w:rsidRPr="00B82B04">
        <w:t>participate</w:t>
      </w:r>
      <w:r>
        <w:t xml:space="preserve"> </w:t>
      </w:r>
      <w:r w:rsidRPr="00B82B04">
        <w:t>in</w:t>
      </w:r>
      <w:r>
        <w:t xml:space="preserve"> </w:t>
      </w:r>
      <w:r w:rsidRPr="00B82B04">
        <w:t>the</w:t>
      </w:r>
      <w:r>
        <w:t xml:space="preserve"> </w:t>
      </w:r>
      <w:proofErr w:type="gramStart"/>
      <w:r w:rsidRPr="00B82B04">
        <w:t>Evaluation;</w:t>
      </w:r>
      <w:proofErr w:type="gramEnd"/>
    </w:p>
    <w:p w:rsidRPr="00B82B04" w:rsidR="00F5259C" w:rsidP="00F5259C" w:rsidRDefault="00F5259C" w14:paraId="1299A4DC" w14:textId="77777777">
      <w:pPr>
        <w:numPr>
          <w:ilvl w:val="0"/>
          <w:numId w:val="9"/>
        </w:numPr>
        <w:spacing w:after="120"/>
        <w:ind w:left="461" w:hanging="274"/>
      </w:pPr>
      <w:r w:rsidRPr="00B82B04">
        <w:t>Their</w:t>
      </w:r>
      <w:r>
        <w:t xml:space="preserve"> </w:t>
      </w:r>
      <w:r w:rsidRPr="00B82B04">
        <w:t>responses</w:t>
      </w:r>
      <w:r>
        <w:t xml:space="preserve"> </w:t>
      </w:r>
      <w:r w:rsidRPr="00B82B04">
        <w:t>to</w:t>
      </w:r>
      <w:r>
        <w:t xml:space="preserve"> </w:t>
      </w:r>
      <w:r w:rsidRPr="00B82B04">
        <w:t>Evaluation</w:t>
      </w:r>
      <w:r>
        <w:t xml:space="preserve"> </w:t>
      </w:r>
      <w:r w:rsidRPr="00B82B04">
        <w:t>questions</w:t>
      </w:r>
      <w:r>
        <w:t xml:space="preserve"> </w:t>
      </w:r>
      <w:r w:rsidRPr="00B82B04">
        <w:t>are</w:t>
      </w:r>
      <w:r>
        <w:t xml:space="preserve"> </w:t>
      </w:r>
      <w:r w:rsidRPr="00B82B04">
        <w:t>voluntary</w:t>
      </w:r>
      <w:r>
        <w:t xml:space="preserve"> </w:t>
      </w:r>
      <w:r w:rsidRPr="00B82B04">
        <w:t>and</w:t>
      </w:r>
      <w:r>
        <w:t xml:space="preserve"> </w:t>
      </w:r>
      <w:r w:rsidRPr="00B82B04">
        <w:t>will</w:t>
      </w:r>
      <w:r>
        <w:t xml:space="preserve"> </w:t>
      </w:r>
      <w:r w:rsidRPr="00B82B04">
        <w:t>not</w:t>
      </w:r>
      <w:r>
        <w:t xml:space="preserve"> </w:t>
      </w:r>
      <w:r w:rsidRPr="00B82B04">
        <w:t>affect</w:t>
      </w:r>
      <w:r>
        <w:t xml:space="preserve"> </w:t>
      </w:r>
      <w:r w:rsidRPr="00B82B04">
        <w:t>their</w:t>
      </w:r>
      <w:r>
        <w:t xml:space="preserve"> </w:t>
      </w:r>
      <w:r w:rsidRPr="00B82B04">
        <w:t>ability</w:t>
      </w:r>
      <w:r>
        <w:t xml:space="preserve"> </w:t>
      </w:r>
      <w:r w:rsidRPr="00B82B04">
        <w:t>to</w:t>
      </w:r>
      <w:r>
        <w:t xml:space="preserve"> </w:t>
      </w:r>
      <w:r w:rsidRPr="00B82B04">
        <w:t>receive</w:t>
      </w:r>
      <w:r>
        <w:t xml:space="preserve"> </w:t>
      </w:r>
      <w:r w:rsidRPr="00B82B04">
        <w:t>home</w:t>
      </w:r>
      <w:r>
        <w:t xml:space="preserve"> </w:t>
      </w:r>
      <w:r w:rsidRPr="00B82B04">
        <w:t>modifications</w:t>
      </w:r>
      <w:r>
        <w:t xml:space="preserve"> </w:t>
      </w:r>
      <w:r w:rsidRPr="00B82B04">
        <w:t>if</w:t>
      </w:r>
      <w:r>
        <w:t xml:space="preserve"> </w:t>
      </w:r>
      <w:r w:rsidRPr="00B82B04">
        <w:t>they</w:t>
      </w:r>
      <w:r>
        <w:t xml:space="preserve"> </w:t>
      </w:r>
      <w:r w:rsidRPr="00B82B04">
        <w:t>are</w:t>
      </w:r>
      <w:r>
        <w:t xml:space="preserve"> </w:t>
      </w:r>
      <w:r w:rsidRPr="00B82B04">
        <w:t>eligible</w:t>
      </w:r>
      <w:r>
        <w:t xml:space="preserve"> </w:t>
      </w:r>
      <w:r w:rsidRPr="00B82B04">
        <w:t>for</w:t>
      </w:r>
      <w:r>
        <w:t xml:space="preserve"> </w:t>
      </w:r>
      <w:r w:rsidRPr="00B82B04">
        <w:t>the</w:t>
      </w:r>
      <w:r>
        <w:t xml:space="preserve"> </w:t>
      </w:r>
      <w:r w:rsidRPr="00B82B04">
        <w:t>program;</w:t>
      </w:r>
      <w:r>
        <w:t xml:space="preserve"> </w:t>
      </w:r>
      <w:r w:rsidRPr="00B82B04">
        <w:t>and</w:t>
      </w:r>
      <w:r>
        <w:t xml:space="preserve"> </w:t>
      </w:r>
      <w:r w:rsidRPr="00B82B04">
        <w:t>they</w:t>
      </w:r>
      <w:r>
        <w:t xml:space="preserve"> </w:t>
      </w:r>
      <w:r w:rsidRPr="00B82B04">
        <w:t>can</w:t>
      </w:r>
      <w:r>
        <w:t xml:space="preserve"> </w:t>
      </w:r>
      <w:r w:rsidRPr="00B82B04">
        <w:t>stop</w:t>
      </w:r>
      <w:r>
        <w:t xml:space="preserve"> </w:t>
      </w:r>
      <w:r w:rsidRPr="00B82B04">
        <w:t>participating</w:t>
      </w:r>
      <w:r>
        <w:t xml:space="preserve"> </w:t>
      </w:r>
      <w:r w:rsidRPr="00B82B04">
        <w:t>in</w:t>
      </w:r>
      <w:r>
        <w:t xml:space="preserve"> </w:t>
      </w:r>
      <w:r w:rsidRPr="00B82B04">
        <w:t>the</w:t>
      </w:r>
      <w:r>
        <w:t xml:space="preserve"> </w:t>
      </w:r>
      <w:r w:rsidRPr="00B82B04">
        <w:t>Evaluation</w:t>
      </w:r>
      <w:r>
        <w:t xml:space="preserve"> </w:t>
      </w:r>
      <w:r w:rsidRPr="00B82B04">
        <w:t>at</w:t>
      </w:r>
      <w:r>
        <w:t xml:space="preserve"> </w:t>
      </w:r>
      <w:r w:rsidRPr="00B82B04">
        <w:t>any</w:t>
      </w:r>
      <w:r>
        <w:t xml:space="preserve"> </w:t>
      </w:r>
      <w:proofErr w:type="gramStart"/>
      <w:r w:rsidRPr="00B82B04">
        <w:t>time;</w:t>
      </w:r>
      <w:proofErr w:type="gramEnd"/>
    </w:p>
    <w:p w:rsidRPr="00B82B04" w:rsidR="00F5259C" w:rsidP="00F5259C" w:rsidRDefault="00F5259C" w14:paraId="2B565906" w14:textId="77777777">
      <w:pPr>
        <w:numPr>
          <w:ilvl w:val="0"/>
          <w:numId w:val="9"/>
        </w:numPr>
        <w:spacing w:after="120"/>
        <w:ind w:left="461" w:hanging="274"/>
      </w:pPr>
      <w:r w:rsidRPr="00B82B04">
        <w:t>They</w:t>
      </w:r>
      <w:r>
        <w:t xml:space="preserve"> </w:t>
      </w:r>
      <w:r w:rsidRPr="00B82B04">
        <w:t>do</w:t>
      </w:r>
      <w:r>
        <w:t xml:space="preserve"> </w:t>
      </w:r>
      <w:r w:rsidRPr="00B82B04">
        <w:t>not</w:t>
      </w:r>
      <w:r>
        <w:t xml:space="preserve"> </w:t>
      </w:r>
      <w:r w:rsidRPr="00B82B04">
        <w:t>need</w:t>
      </w:r>
      <w:r>
        <w:t xml:space="preserve"> </w:t>
      </w:r>
      <w:r w:rsidRPr="00B82B04">
        <w:t>to</w:t>
      </w:r>
      <w:r>
        <w:t xml:space="preserve"> </w:t>
      </w:r>
      <w:r w:rsidRPr="00B82B04">
        <w:t>answer</w:t>
      </w:r>
      <w:r>
        <w:t xml:space="preserve"> </w:t>
      </w:r>
      <w:r w:rsidRPr="00B82B04">
        <w:t>any</w:t>
      </w:r>
      <w:r>
        <w:t xml:space="preserve"> </w:t>
      </w:r>
      <w:r w:rsidRPr="00B82B04">
        <w:t>question</w:t>
      </w:r>
      <w:r>
        <w:t xml:space="preserve"> </w:t>
      </w:r>
      <w:r w:rsidRPr="00B82B04">
        <w:t>they</w:t>
      </w:r>
      <w:r>
        <w:t xml:space="preserve"> </w:t>
      </w:r>
      <w:r w:rsidRPr="00B82B04">
        <w:t>are</w:t>
      </w:r>
      <w:r>
        <w:t xml:space="preserve"> </w:t>
      </w:r>
      <w:r w:rsidRPr="00B82B04">
        <w:t>not</w:t>
      </w:r>
      <w:r>
        <w:t xml:space="preserve"> </w:t>
      </w:r>
      <w:r w:rsidRPr="00B82B04">
        <w:t>comfortable</w:t>
      </w:r>
      <w:r>
        <w:t xml:space="preserve"> </w:t>
      </w:r>
      <w:proofErr w:type="gramStart"/>
      <w:r w:rsidRPr="00B82B04">
        <w:t>answering;</w:t>
      </w:r>
      <w:proofErr w:type="gramEnd"/>
      <w:r>
        <w:t xml:space="preserve"> </w:t>
      </w:r>
    </w:p>
    <w:p w:rsidRPr="00B82B04" w:rsidR="00F5259C" w:rsidP="00F5259C" w:rsidRDefault="00F5259C" w14:paraId="2AA21180" w14:textId="77777777">
      <w:pPr>
        <w:numPr>
          <w:ilvl w:val="0"/>
          <w:numId w:val="9"/>
        </w:numPr>
        <w:spacing w:after="120"/>
        <w:ind w:left="461" w:hanging="274"/>
      </w:pPr>
      <w:r w:rsidRPr="00B82B04">
        <w:t>There</w:t>
      </w:r>
      <w:r>
        <w:t xml:space="preserve"> </w:t>
      </w:r>
      <w:r w:rsidRPr="00B82B04">
        <w:t>is</w:t>
      </w:r>
      <w:r>
        <w:t xml:space="preserve"> </w:t>
      </w:r>
      <w:r w:rsidRPr="00B82B04">
        <w:t>no</w:t>
      </w:r>
      <w:r>
        <w:t xml:space="preserve"> </w:t>
      </w:r>
      <w:r w:rsidRPr="00B82B04">
        <w:t>cost</w:t>
      </w:r>
      <w:r>
        <w:t xml:space="preserve"> </w:t>
      </w:r>
      <w:r w:rsidRPr="00B82B04">
        <w:t>to</w:t>
      </w:r>
      <w:r>
        <w:t xml:space="preserve"> </w:t>
      </w:r>
      <w:r w:rsidRPr="00B82B04">
        <w:t>them</w:t>
      </w:r>
      <w:r>
        <w:t xml:space="preserve"> </w:t>
      </w:r>
      <w:r w:rsidRPr="00B82B04">
        <w:t>to</w:t>
      </w:r>
      <w:r>
        <w:t xml:space="preserve"> </w:t>
      </w:r>
      <w:r w:rsidRPr="00B82B04">
        <w:t>participate</w:t>
      </w:r>
      <w:r>
        <w:t xml:space="preserve"> </w:t>
      </w:r>
      <w:r w:rsidRPr="00B82B04">
        <w:t>in</w:t>
      </w:r>
      <w:r>
        <w:t xml:space="preserve"> </w:t>
      </w:r>
      <w:r w:rsidRPr="00B82B04">
        <w:t>the</w:t>
      </w:r>
      <w:r>
        <w:t xml:space="preserve"> </w:t>
      </w:r>
      <w:proofErr w:type="gramStart"/>
      <w:r w:rsidRPr="00B82B04">
        <w:t>Evaluation;</w:t>
      </w:r>
      <w:proofErr w:type="gramEnd"/>
    </w:p>
    <w:p w:rsidRPr="00B82B04" w:rsidR="00F5259C" w:rsidP="00F5259C" w:rsidRDefault="00F5259C" w14:paraId="26861892" w14:textId="77777777">
      <w:pPr>
        <w:numPr>
          <w:ilvl w:val="0"/>
          <w:numId w:val="9"/>
        </w:numPr>
        <w:spacing w:after="120"/>
        <w:ind w:left="461" w:hanging="274"/>
      </w:pPr>
      <w:r w:rsidRPr="00B82B04">
        <w:t>Evaluation</w:t>
      </w:r>
      <w:r>
        <w:t xml:space="preserve"> </w:t>
      </w:r>
      <w:r w:rsidRPr="00B82B04">
        <w:t>documents</w:t>
      </w:r>
      <w:r>
        <w:t xml:space="preserve"> </w:t>
      </w:r>
      <w:r w:rsidRPr="00B82B04">
        <w:t>with</w:t>
      </w:r>
      <w:r>
        <w:t xml:space="preserve"> </w:t>
      </w:r>
      <w:r w:rsidRPr="00B82B04">
        <w:t>their</w:t>
      </w:r>
      <w:r>
        <w:t xml:space="preserve"> </w:t>
      </w:r>
      <w:r w:rsidRPr="00B82B04">
        <w:t>name,</w:t>
      </w:r>
      <w:r>
        <w:t xml:space="preserve"> </w:t>
      </w:r>
      <w:r w:rsidRPr="00B82B04">
        <w:t>address,</w:t>
      </w:r>
      <w:r>
        <w:t xml:space="preserve"> </w:t>
      </w:r>
      <w:r w:rsidRPr="00B82B04">
        <w:t>or</w:t>
      </w:r>
      <w:r>
        <w:t xml:space="preserve"> </w:t>
      </w:r>
      <w:r w:rsidRPr="00B82B04">
        <w:t>other</w:t>
      </w:r>
      <w:r>
        <w:t xml:space="preserve"> </w:t>
      </w:r>
      <w:r w:rsidRPr="00B82B04">
        <w:t>personal</w:t>
      </w:r>
      <w:r>
        <w:t xml:space="preserve"> </w:t>
      </w:r>
      <w:r w:rsidRPr="00B82B04">
        <w:t>identifying</w:t>
      </w:r>
      <w:r>
        <w:t xml:space="preserve"> </w:t>
      </w:r>
      <w:r w:rsidRPr="00B82B04">
        <w:t>information</w:t>
      </w:r>
      <w:r>
        <w:t xml:space="preserve"> </w:t>
      </w:r>
      <w:r w:rsidRPr="00B82B04">
        <w:t>will</w:t>
      </w:r>
      <w:r>
        <w:t xml:space="preserve"> </w:t>
      </w:r>
      <w:r w:rsidRPr="00B82B04">
        <w:t>be</w:t>
      </w:r>
      <w:r>
        <w:t xml:space="preserve"> </w:t>
      </w:r>
      <w:r w:rsidRPr="00B82B04">
        <w:t>handled</w:t>
      </w:r>
      <w:r>
        <w:t xml:space="preserve"> </w:t>
      </w:r>
      <w:r w:rsidRPr="00B82B04">
        <w:t>with</w:t>
      </w:r>
      <w:r>
        <w:t xml:space="preserve"> </w:t>
      </w:r>
      <w:r w:rsidRPr="00B82B04">
        <w:t>special</w:t>
      </w:r>
      <w:r>
        <w:t xml:space="preserve"> </w:t>
      </w:r>
      <w:r w:rsidRPr="00B82B04">
        <w:t>care</w:t>
      </w:r>
      <w:r>
        <w:t xml:space="preserve"> </w:t>
      </w:r>
      <w:r w:rsidRPr="00B82B04">
        <w:t>to</w:t>
      </w:r>
      <w:r>
        <w:t xml:space="preserve"> </w:t>
      </w:r>
      <w:r w:rsidRPr="00B82B04">
        <w:t>protect</w:t>
      </w:r>
      <w:r>
        <w:t xml:space="preserve"> </w:t>
      </w:r>
      <w:r w:rsidRPr="00B82B04">
        <w:t>privacy</w:t>
      </w:r>
      <w:r>
        <w:t xml:space="preserve"> </w:t>
      </w:r>
      <w:r w:rsidRPr="00B82B04">
        <w:t>and</w:t>
      </w:r>
      <w:r>
        <w:t xml:space="preserve"> </w:t>
      </w:r>
      <w:r w:rsidRPr="00B82B04">
        <w:t>all</w:t>
      </w:r>
      <w:r>
        <w:t xml:space="preserve"> </w:t>
      </w:r>
      <w:r w:rsidRPr="00B82B04">
        <w:t>personal</w:t>
      </w:r>
      <w:r>
        <w:t xml:space="preserve"> </w:t>
      </w:r>
      <w:r w:rsidRPr="00B82B04">
        <w:t>data</w:t>
      </w:r>
      <w:r>
        <w:t xml:space="preserve"> </w:t>
      </w:r>
      <w:r w:rsidRPr="00B82B04">
        <w:t>will</w:t>
      </w:r>
      <w:r>
        <w:t xml:space="preserve"> </w:t>
      </w:r>
      <w:r w:rsidRPr="00B82B04">
        <w:t>be</w:t>
      </w:r>
      <w:r>
        <w:t xml:space="preserve"> </w:t>
      </w:r>
      <w:r w:rsidRPr="00B82B04">
        <w:t>replaced</w:t>
      </w:r>
      <w:r>
        <w:t xml:space="preserve"> </w:t>
      </w:r>
      <w:r w:rsidRPr="00B82B04">
        <w:t>with</w:t>
      </w:r>
      <w:r>
        <w:t xml:space="preserve"> </w:t>
      </w:r>
      <w:r w:rsidRPr="00B82B04">
        <w:t>a</w:t>
      </w:r>
      <w:r>
        <w:t xml:space="preserve"> Site </w:t>
      </w:r>
      <w:r w:rsidRPr="00B82B04">
        <w:t>Identification</w:t>
      </w:r>
      <w:r>
        <w:t xml:space="preserve"> </w:t>
      </w:r>
      <w:r w:rsidRPr="00B82B04">
        <w:t>Code</w:t>
      </w:r>
      <w:r>
        <w:t xml:space="preserve"> (Site ID)</w:t>
      </w:r>
      <w:r w:rsidRPr="00B82B04">
        <w:t>;</w:t>
      </w:r>
      <w:r>
        <w:t xml:space="preserve"> </w:t>
      </w:r>
      <w:r w:rsidRPr="00B82B04">
        <w:t>and</w:t>
      </w:r>
    </w:p>
    <w:p w:rsidRPr="00B82B04" w:rsidR="00F5259C" w:rsidP="00F5259C" w:rsidRDefault="00F5259C" w14:paraId="01694DF1" w14:textId="77777777">
      <w:pPr>
        <w:numPr>
          <w:ilvl w:val="0"/>
          <w:numId w:val="9"/>
        </w:numPr>
        <w:spacing w:after="240"/>
        <w:ind w:left="461" w:hanging="274"/>
      </w:pPr>
      <w:r w:rsidRPr="00B82B04">
        <w:t>An</w:t>
      </w:r>
      <w:r>
        <w:t xml:space="preserve"> </w:t>
      </w:r>
      <w:r w:rsidRPr="00B82B04">
        <w:t>acknowledgement</w:t>
      </w:r>
      <w:r>
        <w:t xml:space="preserve"> that </w:t>
      </w:r>
      <w:r w:rsidRPr="00B82B04">
        <w:t>some</w:t>
      </w:r>
      <w:r>
        <w:t xml:space="preserve"> </w:t>
      </w:r>
      <w:r w:rsidRPr="00B82B04">
        <w:t>documents</w:t>
      </w:r>
      <w:r>
        <w:t xml:space="preserve"> </w:t>
      </w:r>
      <w:r w:rsidRPr="00B82B04">
        <w:t>containing</w:t>
      </w:r>
      <w:r>
        <w:t xml:space="preserve"> </w:t>
      </w:r>
      <w:r w:rsidRPr="00B82B04">
        <w:t>information</w:t>
      </w:r>
      <w:r>
        <w:t xml:space="preserve"> </w:t>
      </w:r>
      <w:r w:rsidRPr="00B82B04">
        <w:t>that</w:t>
      </w:r>
      <w:r>
        <w:t xml:space="preserve"> </w:t>
      </w:r>
      <w:r w:rsidRPr="00B82B04">
        <w:t>may</w:t>
      </w:r>
      <w:r>
        <w:t xml:space="preserve"> </w:t>
      </w:r>
      <w:r w:rsidRPr="00B82B04">
        <w:t>identify</w:t>
      </w:r>
      <w:r>
        <w:t xml:space="preserve"> </w:t>
      </w:r>
      <w:r w:rsidRPr="00B82B04">
        <w:t>them</w:t>
      </w:r>
      <w:r>
        <w:t xml:space="preserve"> </w:t>
      </w:r>
      <w:r w:rsidRPr="00B82B04">
        <w:t>may</w:t>
      </w:r>
      <w:r>
        <w:t xml:space="preserve"> </w:t>
      </w:r>
      <w:r w:rsidRPr="00B82B04">
        <w:t>be</w:t>
      </w:r>
      <w:r>
        <w:t xml:space="preserve"> </w:t>
      </w:r>
      <w:r w:rsidRPr="00B82B04">
        <w:t>shared</w:t>
      </w:r>
      <w:r>
        <w:t xml:space="preserve"> </w:t>
      </w:r>
      <w:r w:rsidRPr="00B82B04">
        <w:t>with</w:t>
      </w:r>
      <w:r>
        <w:t xml:space="preserve"> </w:t>
      </w:r>
      <w:r w:rsidRPr="00B82B04">
        <w:t>authorized</w:t>
      </w:r>
      <w:r>
        <w:t xml:space="preserve"> </w:t>
      </w:r>
      <w:r w:rsidRPr="00B82B04">
        <w:t>users,</w:t>
      </w:r>
      <w:r>
        <w:t xml:space="preserve"> </w:t>
      </w:r>
      <w:r w:rsidRPr="00B82B04">
        <w:t>but</w:t>
      </w:r>
      <w:r>
        <w:t xml:space="preserve"> </w:t>
      </w:r>
      <w:r w:rsidRPr="00B82B04">
        <w:t>access</w:t>
      </w:r>
      <w:r>
        <w:t xml:space="preserve"> </w:t>
      </w:r>
      <w:r w:rsidRPr="00B82B04">
        <w:t>to</w:t>
      </w:r>
      <w:r>
        <w:t xml:space="preserve"> </w:t>
      </w:r>
      <w:r w:rsidRPr="00B82B04">
        <w:t>their</w:t>
      </w:r>
      <w:r>
        <w:t xml:space="preserve"> </w:t>
      </w:r>
      <w:r w:rsidRPr="00B82B04">
        <w:t>individual</w:t>
      </w:r>
      <w:r>
        <w:t xml:space="preserve"> </w:t>
      </w:r>
      <w:r w:rsidRPr="00B82B04">
        <w:t>responses</w:t>
      </w:r>
      <w:r>
        <w:t xml:space="preserve"> </w:t>
      </w:r>
      <w:r w:rsidRPr="00B82B04">
        <w:t>will</w:t>
      </w:r>
      <w:r>
        <w:t xml:space="preserve"> </w:t>
      </w:r>
      <w:r w:rsidRPr="00B82B04">
        <w:t>be</w:t>
      </w:r>
      <w:r>
        <w:t xml:space="preserve"> </w:t>
      </w:r>
      <w:r w:rsidRPr="00B82B04">
        <w:t>limited.</w:t>
      </w:r>
      <w:r>
        <w:t xml:space="preserve"> </w:t>
      </w:r>
      <w:r w:rsidRPr="00B82B04">
        <w:t>Authorized</w:t>
      </w:r>
      <w:r>
        <w:t xml:space="preserve"> </w:t>
      </w:r>
      <w:r w:rsidRPr="00B82B04">
        <w:t>users</w:t>
      </w:r>
      <w:r>
        <w:t xml:space="preserve"> </w:t>
      </w:r>
      <w:r w:rsidRPr="00B82B04">
        <w:t>include</w:t>
      </w:r>
      <w:r>
        <w:t xml:space="preserve"> </w:t>
      </w:r>
      <w:r w:rsidRPr="00B82B04">
        <w:t>representatives</w:t>
      </w:r>
      <w:r>
        <w:t xml:space="preserve"> </w:t>
      </w:r>
      <w:r w:rsidRPr="00B82B04">
        <w:t>of</w:t>
      </w:r>
      <w:r>
        <w:t xml:space="preserve"> </w:t>
      </w:r>
      <w:r w:rsidRPr="00B82B04">
        <w:t>Healthy</w:t>
      </w:r>
      <w:r>
        <w:t xml:space="preserve"> </w:t>
      </w:r>
      <w:r w:rsidRPr="00B82B04">
        <w:t>Housing</w:t>
      </w:r>
      <w:r>
        <w:t xml:space="preserve"> </w:t>
      </w:r>
      <w:r w:rsidRPr="00B82B04">
        <w:t>Solutions</w:t>
      </w:r>
      <w:r>
        <w:t xml:space="preserve"> </w:t>
      </w:r>
      <w:r w:rsidRPr="00B82B04">
        <w:t>and</w:t>
      </w:r>
      <w:r>
        <w:t xml:space="preserve"> their subcontractor</w:t>
      </w:r>
      <w:r w:rsidRPr="00B82B04">
        <w:t>.</w:t>
      </w:r>
      <w:r>
        <w:t xml:space="preserve"> </w:t>
      </w:r>
    </w:p>
    <w:p w:rsidRPr="00B82B04" w:rsidR="00F5259C" w:rsidP="00F5259C" w:rsidRDefault="00F5259C" w14:paraId="3FDFD32B" w14:textId="77777777">
      <w:pPr>
        <w:spacing w:after="240"/>
      </w:pPr>
      <w:r w:rsidRPr="00B82B04">
        <w:lastRenderedPageBreak/>
        <w:t>In</w:t>
      </w:r>
      <w:r>
        <w:t xml:space="preserve"> </w:t>
      </w:r>
      <w:r w:rsidRPr="00B82B04">
        <w:t>addition,</w:t>
      </w:r>
      <w:r>
        <w:t xml:space="preserve"> </w:t>
      </w:r>
      <w:r w:rsidRPr="00B82B04">
        <w:t>grantee</w:t>
      </w:r>
      <w:r>
        <w:t xml:space="preserve"> </w:t>
      </w:r>
      <w:r w:rsidRPr="00B82B04">
        <w:t>and</w:t>
      </w:r>
      <w:r>
        <w:t xml:space="preserve"> </w:t>
      </w:r>
      <w:r w:rsidRPr="00B82B04">
        <w:t>Contractor</w:t>
      </w:r>
      <w:r>
        <w:t xml:space="preserve"> </w:t>
      </w:r>
      <w:r w:rsidRPr="00B82B04">
        <w:t>interviewers</w:t>
      </w:r>
      <w:r>
        <w:t xml:space="preserve"> </w:t>
      </w:r>
      <w:r w:rsidRPr="00B82B04">
        <w:t>will</w:t>
      </w:r>
      <w:r>
        <w:t xml:space="preserve"> </w:t>
      </w:r>
      <w:r w:rsidRPr="00B82B04">
        <w:t>be</w:t>
      </w:r>
      <w:r>
        <w:t xml:space="preserve"> </w:t>
      </w:r>
      <w:r w:rsidRPr="00B82B04">
        <w:t>trained</w:t>
      </w:r>
      <w:r>
        <w:t xml:space="preserve"> </w:t>
      </w:r>
      <w:r w:rsidRPr="00B82B04">
        <w:t>to</w:t>
      </w:r>
      <w:r>
        <w:t xml:space="preserve"> </w:t>
      </w:r>
      <w:r w:rsidRPr="00B82B04">
        <w:t>be</w:t>
      </w:r>
      <w:r>
        <w:t xml:space="preserve"> </w:t>
      </w:r>
      <w:r w:rsidRPr="00B82B04">
        <w:t>sensitive</w:t>
      </w:r>
      <w:r>
        <w:t xml:space="preserve"> </w:t>
      </w:r>
      <w:r w:rsidRPr="00B82B04">
        <w:t>to</w:t>
      </w:r>
      <w:r>
        <w:t xml:space="preserve"> </w:t>
      </w:r>
      <w:r w:rsidRPr="00B82B04">
        <w:t>any</w:t>
      </w:r>
      <w:r>
        <w:t xml:space="preserve"> </w:t>
      </w:r>
      <w:r w:rsidRPr="00B82B04">
        <w:t>discomfort</w:t>
      </w:r>
      <w:r>
        <w:t xml:space="preserve"> </w:t>
      </w:r>
      <w:r w:rsidRPr="00B82B04">
        <w:t>on</w:t>
      </w:r>
      <w:r>
        <w:t xml:space="preserve"> </w:t>
      </w:r>
      <w:r w:rsidRPr="00B82B04">
        <w:t>the</w:t>
      </w:r>
      <w:r>
        <w:t xml:space="preserve"> </w:t>
      </w:r>
      <w:r w:rsidRPr="00B82B04">
        <w:t>part</w:t>
      </w:r>
      <w:r>
        <w:t xml:space="preserve"> </w:t>
      </w:r>
      <w:r w:rsidRPr="00B82B04">
        <w:t>of</w:t>
      </w:r>
      <w:r>
        <w:t xml:space="preserve"> </w:t>
      </w:r>
      <w:r w:rsidRPr="00B82B04">
        <w:t>the</w:t>
      </w:r>
      <w:r>
        <w:t xml:space="preserve"> </w:t>
      </w:r>
      <w:r w:rsidRPr="00B82B04">
        <w:t>respondent</w:t>
      </w:r>
      <w:r>
        <w:t xml:space="preserve"> </w:t>
      </w:r>
      <w:r w:rsidRPr="00B82B04">
        <w:t>and</w:t>
      </w:r>
      <w:r>
        <w:t xml:space="preserve"> </w:t>
      </w:r>
      <w:r w:rsidRPr="00B82B04">
        <w:t>to</w:t>
      </w:r>
      <w:r>
        <w:t xml:space="preserve"> </w:t>
      </w:r>
      <w:r w:rsidRPr="00B82B04">
        <w:t>skip</w:t>
      </w:r>
      <w:r>
        <w:t xml:space="preserve"> </w:t>
      </w:r>
      <w:r w:rsidRPr="00B82B04">
        <w:t>to</w:t>
      </w:r>
      <w:r>
        <w:t xml:space="preserve"> </w:t>
      </w:r>
      <w:r w:rsidRPr="00B82B04">
        <w:t>the</w:t>
      </w:r>
      <w:r>
        <w:t xml:space="preserve"> </w:t>
      </w:r>
      <w:r w:rsidRPr="00B82B04">
        <w:t>next</w:t>
      </w:r>
      <w:r>
        <w:t xml:space="preserve"> </w:t>
      </w:r>
      <w:r w:rsidRPr="00B82B04">
        <w:t>question</w:t>
      </w:r>
      <w:r>
        <w:t xml:space="preserve"> </w:t>
      </w:r>
      <w:r w:rsidRPr="00B82B04">
        <w:t>if</w:t>
      </w:r>
      <w:r>
        <w:t xml:space="preserve"> </w:t>
      </w:r>
      <w:r w:rsidRPr="00B82B04">
        <w:t>they</w:t>
      </w:r>
      <w:r>
        <w:t xml:space="preserve"> </w:t>
      </w:r>
      <w:r w:rsidRPr="00B82B04">
        <w:t>see</w:t>
      </w:r>
      <w:r>
        <w:t xml:space="preserve"> </w:t>
      </w:r>
      <w:r w:rsidRPr="00B82B04">
        <w:t>the</w:t>
      </w:r>
      <w:r>
        <w:t xml:space="preserve"> </w:t>
      </w:r>
      <w:r w:rsidRPr="00B82B04">
        <w:t>respondent</w:t>
      </w:r>
      <w:r>
        <w:t xml:space="preserve"> </w:t>
      </w:r>
      <w:r w:rsidRPr="00B82B04">
        <w:t>is</w:t>
      </w:r>
      <w:r>
        <w:t xml:space="preserve"> </w:t>
      </w:r>
      <w:r w:rsidRPr="00B82B04">
        <w:t>reluctant</w:t>
      </w:r>
      <w:r>
        <w:t xml:space="preserve"> </w:t>
      </w:r>
      <w:r w:rsidRPr="00B82B04">
        <w:t>to</w:t>
      </w:r>
      <w:r>
        <w:t xml:space="preserve"> </w:t>
      </w:r>
      <w:r w:rsidRPr="00B82B04">
        <w:t>answer</w:t>
      </w:r>
      <w:r>
        <w:t xml:space="preserve"> </w:t>
      </w:r>
      <w:r w:rsidRPr="00B82B04">
        <w:t>the</w:t>
      </w:r>
      <w:r>
        <w:t xml:space="preserve"> </w:t>
      </w:r>
      <w:r w:rsidRPr="00B82B04">
        <w:t>question.</w:t>
      </w:r>
      <w:r>
        <w:t xml:space="preserve"> </w:t>
      </w:r>
      <w:r w:rsidRPr="00B82B04">
        <w:t>Training</w:t>
      </w:r>
      <w:r>
        <w:t xml:space="preserve"> </w:t>
      </w:r>
      <w:r w:rsidRPr="00B82B04">
        <w:t>is</w:t>
      </w:r>
      <w:r>
        <w:t xml:space="preserve"> </w:t>
      </w:r>
      <w:r w:rsidRPr="00B82B04">
        <w:t>discussed</w:t>
      </w:r>
      <w:r>
        <w:t xml:space="preserve"> </w:t>
      </w:r>
      <w:r w:rsidRPr="00B82B04">
        <w:t>in</w:t>
      </w:r>
      <w:r>
        <w:t xml:space="preserve"> </w:t>
      </w:r>
      <w:r w:rsidRPr="00B82B04">
        <w:t>more</w:t>
      </w:r>
      <w:r>
        <w:t xml:space="preserve"> </w:t>
      </w:r>
      <w:r w:rsidRPr="00B82B04">
        <w:t>detail</w:t>
      </w:r>
      <w:r>
        <w:t xml:space="preserve"> </w:t>
      </w:r>
      <w:r w:rsidRPr="00B82B04">
        <w:t>in</w:t>
      </w:r>
      <w:r>
        <w:t xml:space="preserve"> B.2 and B.3.</w:t>
      </w:r>
    </w:p>
    <w:p w:rsidRPr="00B82B04" w:rsidR="00F5259C" w:rsidP="00F5259C" w:rsidRDefault="00F5259C" w14:paraId="08B4F071" w14:textId="77777777">
      <w:pPr>
        <w:pStyle w:val="Heading1"/>
      </w:pPr>
      <w:bookmarkStart w:name="_Toc69888483" w:id="51"/>
      <w:bookmarkStart w:name="_Toc75878167" w:id="52"/>
      <w:r w:rsidRPr="00B82B04">
        <w:t>12</w:t>
      </w:r>
      <w:r>
        <w:t xml:space="preserve">. </w:t>
      </w:r>
      <w:r w:rsidRPr="00B82B04">
        <w:t>Estimated</w:t>
      </w:r>
      <w:r>
        <w:t xml:space="preserve"> </w:t>
      </w:r>
      <w:r w:rsidRPr="00B82B04">
        <w:t>Time</w:t>
      </w:r>
      <w:r>
        <w:t xml:space="preserve"> </w:t>
      </w:r>
      <w:r w:rsidRPr="00B82B04">
        <w:t>and</w:t>
      </w:r>
      <w:r>
        <w:t xml:space="preserve"> </w:t>
      </w:r>
      <w:r w:rsidRPr="00B82B04">
        <w:t>Cost</w:t>
      </w:r>
      <w:r>
        <w:t xml:space="preserve"> </w:t>
      </w:r>
      <w:r w:rsidRPr="00B82B04">
        <w:t>to</w:t>
      </w:r>
      <w:r>
        <w:t xml:space="preserve"> </w:t>
      </w:r>
      <w:r w:rsidRPr="00B82B04">
        <w:t>Respondents</w:t>
      </w:r>
      <w:bookmarkEnd w:id="51"/>
      <w:bookmarkEnd w:id="52"/>
    </w:p>
    <w:p w:rsidRPr="00B82B04" w:rsidR="00F5259C" w:rsidP="00F5259C" w:rsidRDefault="00F5259C" w14:paraId="2078D97F" w14:textId="77777777">
      <w:pPr>
        <w:keepNext/>
        <w:keepLines/>
        <w:spacing w:after="120"/>
        <w:rPr>
          <w:i/>
          <w:iCs/>
        </w:rPr>
      </w:pPr>
      <w:r w:rsidRPr="00B82B04">
        <w:rPr>
          <w:i/>
          <w:iCs/>
        </w:rPr>
        <w:t>Provide</w:t>
      </w:r>
      <w:r>
        <w:rPr>
          <w:i/>
          <w:iCs/>
        </w:rPr>
        <w:t xml:space="preserve"> </w:t>
      </w:r>
      <w:r w:rsidRPr="00B82B04">
        <w:rPr>
          <w:i/>
          <w:iCs/>
        </w:rPr>
        <w:t>estimates</w:t>
      </w:r>
      <w:r>
        <w:rPr>
          <w:i/>
          <w:iCs/>
        </w:rPr>
        <w:t xml:space="preserve"> </w:t>
      </w:r>
      <w:r w:rsidRPr="00B82B04">
        <w:rPr>
          <w:i/>
          <w:iCs/>
        </w:rPr>
        <w:t>of</w:t>
      </w:r>
      <w:r>
        <w:rPr>
          <w:i/>
          <w:iCs/>
        </w:rPr>
        <w:t xml:space="preserve"> </w:t>
      </w:r>
      <w:r w:rsidRPr="00B82B04">
        <w:rPr>
          <w:i/>
          <w:iCs/>
        </w:rPr>
        <w:t>the</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of</w:t>
      </w:r>
      <w:r>
        <w:rPr>
          <w:i/>
          <w:iCs/>
        </w:rPr>
        <w:t xml:space="preserve"> </w:t>
      </w:r>
      <w:r w:rsidRPr="00B82B04">
        <w:rPr>
          <w:i/>
          <w:iCs/>
        </w:rPr>
        <w:t>the</w:t>
      </w:r>
      <w:r>
        <w:rPr>
          <w:i/>
          <w:iCs/>
        </w:rPr>
        <w:t xml:space="preserve"> </w:t>
      </w:r>
      <w:r w:rsidRPr="00B82B04">
        <w:rPr>
          <w:i/>
          <w:iCs/>
        </w:rPr>
        <w:t>collection</w:t>
      </w:r>
      <w:r>
        <w:rPr>
          <w:i/>
          <w:iCs/>
        </w:rPr>
        <w:t xml:space="preserve"> </w:t>
      </w:r>
      <w:r w:rsidRPr="00B82B04">
        <w:rPr>
          <w:i/>
          <w:iCs/>
        </w:rPr>
        <w:t>of</w:t>
      </w:r>
      <w:r>
        <w:rPr>
          <w:i/>
          <w:iCs/>
        </w:rPr>
        <w:t xml:space="preserve"> </w:t>
      </w:r>
      <w:r w:rsidRPr="00B82B04">
        <w:rPr>
          <w:i/>
          <w:iCs/>
        </w:rPr>
        <w:t>information.</w:t>
      </w:r>
      <w:r>
        <w:rPr>
          <w:i/>
          <w:iCs/>
        </w:rPr>
        <w:t xml:space="preserve"> </w:t>
      </w:r>
      <w:r w:rsidRPr="00B82B04">
        <w:rPr>
          <w:i/>
          <w:iCs/>
        </w:rPr>
        <w:t>The</w:t>
      </w:r>
      <w:r>
        <w:rPr>
          <w:i/>
          <w:iCs/>
        </w:rPr>
        <w:t xml:space="preserve"> </w:t>
      </w:r>
      <w:r w:rsidRPr="00B82B04">
        <w:rPr>
          <w:i/>
          <w:iCs/>
        </w:rPr>
        <w:t>statement</w:t>
      </w:r>
      <w:r>
        <w:rPr>
          <w:i/>
          <w:iCs/>
        </w:rPr>
        <w:t xml:space="preserve"> </w:t>
      </w:r>
      <w:r w:rsidRPr="00B82B04">
        <w:rPr>
          <w:i/>
          <w:iCs/>
        </w:rPr>
        <w:t>should:</w:t>
      </w:r>
    </w:p>
    <w:p w:rsidRPr="00B82B04" w:rsidR="00F5259C" w:rsidP="00F5259C" w:rsidRDefault="00F5259C" w14:paraId="573CAAB0" w14:textId="77777777">
      <w:pPr>
        <w:numPr>
          <w:ilvl w:val="0"/>
          <w:numId w:val="1"/>
        </w:numPr>
        <w:spacing w:after="120"/>
        <w:ind w:left="450"/>
        <w:rPr>
          <w:i/>
          <w:iCs/>
        </w:rPr>
      </w:pPr>
      <w:r w:rsidRPr="00B82B04">
        <w:rPr>
          <w:i/>
          <w:iCs/>
        </w:rPr>
        <w:t>Indicate</w:t>
      </w:r>
      <w:r>
        <w:rPr>
          <w:i/>
          <w:iCs/>
        </w:rPr>
        <w:t xml:space="preserve"> </w:t>
      </w:r>
      <w:r w:rsidRPr="00B82B04">
        <w:rPr>
          <w:i/>
          <w:iCs/>
        </w:rPr>
        <w:t>the</w:t>
      </w:r>
      <w:r>
        <w:rPr>
          <w:i/>
          <w:iCs/>
        </w:rPr>
        <w:t xml:space="preserve"> </w:t>
      </w:r>
      <w:r w:rsidRPr="00B82B04">
        <w:rPr>
          <w:i/>
          <w:iCs/>
        </w:rPr>
        <w:t>number</w:t>
      </w:r>
      <w:r>
        <w:rPr>
          <w:i/>
          <w:iCs/>
        </w:rPr>
        <w:t xml:space="preserve"> </w:t>
      </w:r>
      <w:r w:rsidRPr="00B82B04">
        <w:rPr>
          <w:i/>
          <w:iCs/>
        </w:rPr>
        <w:t>of</w:t>
      </w:r>
      <w:r>
        <w:rPr>
          <w:i/>
          <w:iCs/>
        </w:rPr>
        <w:t xml:space="preserve"> </w:t>
      </w:r>
      <w:r w:rsidRPr="00B82B04">
        <w:rPr>
          <w:i/>
          <w:iCs/>
        </w:rPr>
        <w:t>respondents,</w:t>
      </w:r>
      <w:r>
        <w:rPr>
          <w:i/>
          <w:iCs/>
        </w:rPr>
        <w:t xml:space="preserve"> </w:t>
      </w:r>
      <w:r w:rsidRPr="00B82B04">
        <w:rPr>
          <w:i/>
          <w:iCs/>
        </w:rPr>
        <w:t>frequency</w:t>
      </w:r>
      <w:r>
        <w:rPr>
          <w:i/>
          <w:iCs/>
        </w:rPr>
        <w:t xml:space="preserve"> </w:t>
      </w:r>
      <w:r w:rsidRPr="00B82B04">
        <w:rPr>
          <w:i/>
          <w:iCs/>
        </w:rPr>
        <w:t>of</w:t>
      </w:r>
      <w:r>
        <w:rPr>
          <w:i/>
          <w:iCs/>
        </w:rPr>
        <w:t xml:space="preserve"> </w:t>
      </w:r>
      <w:r w:rsidRPr="00B82B04">
        <w:rPr>
          <w:i/>
          <w:iCs/>
        </w:rPr>
        <w:t>response,</w:t>
      </w:r>
      <w:r>
        <w:rPr>
          <w:i/>
          <w:iCs/>
        </w:rPr>
        <w:t xml:space="preserve"> </w:t>
      </w:r>
      <w:r w:rsidRPr="00B82B04">
        <w:rPr>
          <w:i/>
          <w:iCs/>
        </w:rPr>
        <w:t>annual</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and</w:t>
      </w:r>
      <w:r>
        <w:rPr>
          <w:i/>
          <w:iCs/>
        </w:rPr>
        <w:t xml:space="preserve"> </w:t>
      </w:r>
      <w:r w:rsidRPr="00B82B04">
        <w:rPr>
          <w:i/>
          <w:iCs/>
        </w:rPr>
        <w:t>an</w:t>
      </w:r>
      <w:r>
        <w:rPr>
          <w:i/>
          <w:iCs/>
        </w:rPr>
        <w:t xml:space="preserve"> </w:t>
      </w:r>
      <w:r w:rsidRPr="00B82B04">
        <w:rPr>
          <w:i/>
          <w:iCs/>
        </w:rPr>
        <w:t>explanation</w:t>
      </w:r>
      <w:r>
        <w:rPr>
          <w:i/>
          <w:iCs/>
        </w:rPr>
        <w:t xml:space="preserve"> </w:t>
      </w:r>
      <w:r w:rsidRPr="00B82B04">
        <w:rPr>
          <w:i/>
          <w:iCs/>
        </w:rPr>
        <w:t>of</w:t>
      </w:r>
      <w:r>
        <w:rPr>
          <w:i/>
          <w:iCs/>
        </w:rPr>
        <w:t xml:space="preserve"> </w:t>
      </w:r>
      <w:r w:rsidRPr="00B82B04">
        <w:rPr>
          <w:i/>
          <w:iCs/>
        </w:rPr>
        <w:t>how</w:t>
      </w:r>
      <w:r>
        <w:rPr>
          <w:i/>
          <w:iCs/>
        </w:rPr>
        <w:t xml:space="preserve"> </w:t>
      </w:r>
      <w:r w:rsidRPr="00B82B04">
        <w:rPr>
          <w:i/>
          <w:iCs/>
        </w:rPr>
        <w:t>the</w:t>
      </w:r>
      <w:r>
        <w:rPr>
          <w:i/>
          <w:iCs/>
        </w:rPr>
        <w:t xml:space="preserve"> </w:t>
      </w:r>
      <w:r w:rsidRPr="00B82B04">
        <w:rPr>
          <w:i/>
          <w:iCs/>
        </w:rPr>
        <w:t>burden</w:t>
      </w:r>
      <w:r>
        <w:rPr>
          <w:i/>
          <w:iCs/>
        </w:rPr>
        <w:t xml:space="preserve"> </w:t>
      </w:r>
      <w:r w:rsidRPr="00B82B04">
        <w:rPr>
          <w:i/>
          <w:iCs/>
        </w:rPr>
        <w:t>was</w:t>
      </w:r>
      <w:r>
        <w:rPr>
          <w:i/>
          <w:iCs/>
        </w:rPr>
        <w:t xml:space="preserve"> </w:t>
      </w:r>
      <w:r w:rsidRPr="00B82B04">
        <w:rPr>
          <w:i/>
          <w:iCs/>
        </w:rPr>
        <w:t>estimated.</w:t>
      </w:r>
      <w:r>
        <w:rPr>
          <w:i/>
          <w:iCs/>
        </w:rPr>
        <w:t xml:space="preserve"> </w:t>
      </w:r>
      <w:r w:rsidRPr="00B82B04">
        <w:rPr>
          <w:i/>
          <w:iCs/>
        </w:rPr>
        <w:t>Unless</w:t>
      </w:r>
      <w:r>
        <w:rPr>
          <w:i/>
          <w:iCs/>
        </w:rPr>
        <w:t xml:space="preserve"> </w:t>
      </w:r>
      <w:r w:rsidRPr="00B82B04">
        <w:rPr>
          <w:i/>
          <w:iCs/>
        </w:rPr>
        <w:t>directed</w:t>
      </w:r>
      <w:r>
        <w:rPr>
          <w:i/>
          <w:iCs/>
        </w:rPr>
        <w:t xml:space="preserve"> </w:t>
      </w:r>
      <w:r w:rsidRPr="00B82B04">
        <w:rPr>
          <w:i/>
          <w:iCs/>
        </w:rPr>
        <w:t>to</w:t>
      </w:r>
      <w:r>
        <w:rPr>
          <w:i/>
          <w:iCs/>
        </w:rPr>
        <w:t xml:space="preserve"> </w:t>
      </w:r>
      <w:r w:rsidRPr="00B82B04">
        <w:rPr>
          <w:i/>
          <w:iCs/>
        </w:rPr>
        <w:t>do</w:t>
      </w:r>
      <w:r>
        <w:rPr>
          <w:i/>
          <w:iCs/>
        </w:rPr>
        <w:t xml:space="preserve"> </w:t>
      </w:r>
      <w:r w:rsidRPr="00B82B04">
        <w:rPr>
          <w:i/>
          <w:iCs/>
        </w:rPr>
        <w:t>so,</w:t>
      </w:r>
      <w:r>
        <w:rPr>
          <w:i/>
          <w:iCs/>
        </w:rPr>
        <w:t xml:space="preserve"> </w:t>
      </w:r>
      <w:r w:rsidRPr="00B82B04">
        <w:rPr>
          <w:i/>
          <w:iCs/>
        </w:rPr>
        <w:t>agencies</w:t>
      </w:r>
      <w:r>
        <w:rPr>
          <w:i/>
          <w:iCs/>
        </w:rPr>
        <w:t xml:space="preserve"> </w:t>
      </w:r>
      <w:r w:rsidRPr="00B82B04">
        <w:rPr>
          <w:i/>
          <w:iCs/>
        </w:rPr>
        <w:t>should</w:t>
      </w:r>
      <w:r>
        <w:rPr>
          <w:i/>
          <w:iCs/>
        </w:rPr>
        <w:t xml:space="preserve"> </w:t>
      </w:r>
      <w:r w:rsidRPr="00B82B04">
        <w:rPr>
          <w:i/>
          <w:iCs/>
        </w:rPr>
        <w:t>not</w:t>
      </w:r>
      <w:r>
        <w:rPr>
          <w:i/>
          <w:iCs/>
        </w:rPr>
        <w:t xml:space="preserve"> </w:t>
      </w:r>
      <w:r w:rsidRPr="00B82B04">
        <w:rPr>
          <w:i/>
          <w:iCs/>
        </w:rPr>
        <w:t>conduct</w:t>
      </w:r>
      <w:r>
        <w:rPr>
          <w:i/>
          <w:iCs/>
        </w:rPr>
        <w:t xml:space="preserve"> </w:t>
      </w:r>
      <w:r w:rsidRPr="00B82B04">
        <w:rPr>
          <w:i/>
          <w:iCs/>
        </w:rPr>
        <w:t>special</w:t>
      </w:r>
      <w:r>
        <w:rPr>
          <w:i/>
          <w:iCs/>
        </w:rPr>
        <w:t xml:space="preserve"> </w:t>
      </w:r>
      <w:r w:rsidRPr="00B82B04">
        <w:rPr>
          <w:i/>
          <w:iCs/>
        </w:rPr>
        <w:t>surveys</w:t>
      </w:r>
      <w:r>
        <w:rPr>
          <w:i/>
          <w:iCs/>
        </w:rPr>
        <w:t xml:space="preserve"> </w:t>
      </w:r>
      <w:r w:rsidRPr="00B82B04">
        <w:rPr>
          <w:i/>
          <w:iCs/>
        </w:rPr>
        <w:t>to</w:t>
      </w:r>
      <w:r>
        <w:rPr>
          <w:i/>
          <w:iCs/>
        </w:rPr>
        <w:t xml:space="preserve"> </w:t>
      </w:r>
      <w:r w:rsidRPr="00B82B04">
        <w:rPr>
          <w:i/>
          <w:iCs/>
        </w:rPr>
        <w:t>obtain</w:t>
      </w:r>
      <w:r>
        <w:rPr>
          <w:i/>
          <w:iCs/>
        </w:rPr>
        <w:t xml:space="preserve"> </w:t>
      </w:r>
      <w:r w:rsidRPr="00B82B04">
        <w:rPr>
          <w:i/>
          <w:iCs/>
        </w:rPr>
        <w:t>information</w:t>
      </w:r>
      <w:r>
        <w:rPr>
          <w:i/>
          <w:iCs/>
        </w:rPr>
        <w:t xml:space="preserve"> </w:t>
      </w:r>
      <w:r w:rsidRPr="00B82B04">
        <w:rPr>
          <w:i/>
          <w:iCs/>
        </w:rPr>
        <w:t>on</w:t>
      </w:r>
      <w:r>
        <w:rPr>
          <w:i/>
          <w:iCs/>
        </w:rPr>
        <w:t xml:space="preserve"> </w:t>
      </w:r>
      <w:r w:rsidRPr="00B82B04">
        <w:rPr>
          <w:i/>
          <w:iCs/>
        </w:rPr>
        <w:t>which</w:t>
      </w:r>
      <w:r>
        <w:rPr>
          <w:i/>
          <w:iCs/>
        </w:rPr>
        <w:t xml:space="preserve"> </w:t>
      </w:r>
      <w:r w:rsidRPr="00B82B04">
        <w:rPr>
          <w:i/>
          <w:iCs/>
        </w:rPr>
        <w:t>to</w:t>
      </w:r>
      <w:r>
        <w:rPr>
          <w:i/>
          <w:iCs/>
        </w:rPr>
        <w:t xml:space="preserve"> </w:t>
      </w:r>
      <w:r w:rsidRPr="00B82B04">
        <w:rPr>
          <w:i/>
          <w:iCs/>
        </w:rPr>
        <w:t>base</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estimates.</w:t>
      </w:r>
      <w:r>
        <w:rPr>
          <w:i/>
          <w:iCs/>
        </w:rPr>
        <w:t xml:space="preserve"> </w:t>
      </w:r>
      <w:r w:rsidRPr="00B82B04">
        <w:rPr>
          <w:i/>
          <w:iCs/>
        </w:rPr>
        <w:t>Consultation</w:t>
      </w:r>
      <w:r>
        <w:rPr>
          <w:i/>
          <w:iCs/>
        </w:rPr>
        <w:t xml:space="preserve"> </w:t>
      </w:r>
      <w:r w:rsidRPr="00B82B04">
        <w:rPr>
          <w:i/>
          <w:iCs/>
        </w:rPr>
        <w:t>with</w:t>
      </w:r>
      <w:r>
        <w:rPr>
          <w:i/>
          <w:iCs/>
        </w:rPr>
        <w:t xml:space="preserve"> </w:t>
      </w:r>
      <w:r w:rsidRPr="00B82B04">
        <w:rPr>
          <w:i/>
          <w:iCs/>
        </w:rPr>
        <w:t>a</w:t>
      </w:r>
      <w:r>
        <w:rPr>
          <w:i/>
          <w:iCs/>
        </w:rPr>
        <w:t xml:space="preserve"> </w:t>
      </w:r>
      <w:r w:rsidRPr="00B82B04">
        <w:rPr>
          <w:i/>
          <w:iCs/>
        </w:rPr>
        <w:t>sample</w:t>
      </w:r>
      <w:r>
        <w:rPr>
          <w:i/>
          <w:iCs/>
        </w:rPr>
        <w:t xml:space="preserve"> </w:t>
      </w:r>
      <w:r w:rsidRPr="00B82B04">
        <w:rPr>
          <w:i/>
          <w:iCs/>
        </w:rPr>
        <w:t>(fewer</w:t>
      </w:r>
      <w:r>
        <w:rPr>
          <w:i/>
          <w:iCs/>
        </w:rPr>
        <w:t xml:space="preserve"> </w:t>
      </w:r>
      <w:r w:rsidRPr="00B82B04">
        <w:rPr>
          <w:i/>
          <w:iCs/>
        </w:rPr>
        <w:t>than</w:t>
      </w:r>
      <w:r>
        <w:rPr>
          <w:i/>
          <w:iCs/>
        </w:rPr>
        <w:t xml:space="preserve"> </w:t>
      </w:r>
      <w:r w:rsidRPr="00B82B04">
        <w:rPr>
          <w:i/>
          <w:iCs/>
        </w:rPr>
        <w:t>10)</w:t>
      </w:r>
      <w:r>
        <w:rPr>
          <w:i/>
          <w:iCs/>
        </w:rPr>
        <w:t xml:space="preserve"> </w:t>
      </w:r>
      <w:r w:rsidRPr="00B82B04">
        <w:rPr>
          <w:i/>
          <w:iCs/>
        </w:rPr>
        <w:t>of</w:t>
      </w:r>
      <w:r>
        <w:rPr>
          <w:i/>
          <w:iCs/>
        </w:rPr>
        <w:t xml:space="preserve"> </w:t>
      </w:r>
      <w:r w:rsidRPr="00B82B04">
        <w:rPr>
          <w:i/>
          <w:iCs/>
        </w:rPr>
        <w:t>potential</w:t>
      </w:r>
      <w:r>
        <w:rPr>
          <w:i/>
          <w:iCs/>
        </w:rPr>
        <w:t xml:space="preserve"> </w:t>
      </w:r>
      <w:r w:rsidRPr="00B82B04">
        <w:rPr>
          <w:i/>
          <w:iCs/>
        </w:rPr>
        <w:t>respondents</w:t>
      </w:r>
      <w:r>
        <w:rPr>
          <w:i/>
          <w:iCs/>
        </w:rPr>
        <w:t xml:space="preserve"> </w:t>
      </w:r>
      <w:r w:rsidRPr="00B82B04">
        <w:rPr>
          <w:i/>
          <w:iCs/>
        </w:rPr>
        <w:t>is</w:t>
      </w:r>
      <w:r>
        <w:rPr>
          <w:i/>
          <w:iCs/>
        </w:rPr>
        <w:t xml:space="preserve"> </w:t>
      </w:r>
      <w:r w:rsidRPr="00B82B04">
        <w:rPr>
          <w:i/>
          <w:iCs/>
        </w:rPr>
        <w:t>desirable.</w:t>
      </w:r>
      <w:r>
        <w:rPr>
          <w:i/>
          <w:iCs/>
        </w:rPr>
        <w:t xml:space="preserve"> </w:t>
      </w:r>
      <w:r w:rsidRPr="00B82B04">
        <w:rPr>
          <w:i/>
          <w:iCs/>
        </w:rPr>
        <w:t>If</w:t>
      </w:r>
      <w:r>
        <w:rPr>
          <w:i/>
          <w:iCs/>
        </w:rPr>
        <w:t xml:space="preserve"> </w:t>
      </w:r>
      <w:r w:rsidRPr="00B82B04">
        <w:rPr>
          <w:i/>
          <w:iCs/>
        </w:rPr>
        <w:t>the</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on</w:t>
      </w:r>
      <w:r>
        <w:rPr>
          <w:i/>
          <w:iCs/>
        </w:rPr>
        <w:t xml:space="preserve"> </w:t>
      </w:r>
      <w:r w:rsidRPr="00B82B04">
        <w:rPr>
          <w:i/>
          <w:iCs/>
        </w:rPr>
        <w:t>respondents</w:t>
      </w:r>
      <w:r>
        <w:rPr>
          <w:i/>
          <w:iCs/>
        </w:rPr>
        <w:t xml:space="preserve"> </w:t>
      </w:r>
      <w:r w:rsidRPr="00B82B04">
        <w:rPr>
          <w:i/>
          <w:iCs/>
        </w:rPr>
        <w:t>is</w:t>
      </w:r>
      <w:r>
        <w:rPr>
          <w:i/>
          <w:iCs/>
        </w:rPr>
        <w:t xml:space="preserve"> </w:t>
      </w:r>
      <w:r w:rsidRPr="00B82B04">
        <w:rPr>
          <w:i/>
          <w:iCs/>
        </w:rPr>
        <w:t>expected</w:t>
      </w:r>
      <w:r>
        <w:rPr>
          <w:i/>
          <w:iCs/>
        </w:rPr>
        <w:t xml:space="preserve"> </w:t>
      </w:r>
      <w:r w:rsidRPr="00B82B04">
        <w:rPr>
          <w:i/>
          <w:iCs/>
        </w:rPr>
        <w:t>to</w:t>
      </w:r>
      <w:r>
        <w:rPr>
          <w:i/>
          <w:iCs/>
        </w:rPr>
        <w:t xml:space="preserve"> </w:t>
      </w:r>
      <w:r w:rsidRPr="00B82B04">
        <w:rPr>
          <w:i/>
          <w:iCs/>
        </w:rPr>
        <w:t>vary</w:t>
      </w:r>
      <w:r>
        <w:rPr>
          <w:i/>
          <w:iCs/>
        </w:rPr>
        <w:t xml:space="preserve"> </w:t>
      </w:r>
      <w:r w:rsidRPr="00B82B04">
        <w:rPr>
          <w:i/>
          <w:iCs/>
        </w:rPr>
        <w:t>widely</w:t>
      </w:r>
      <w:r>
        <w:rPr>
          <w:i/>
          <w:iCs/>
        </w:rPr>
        <w:t xml:space="preserve"> </w:t>
      </w:r>
      <w:r w:rsidRPr="00B82B04">
        <w:rPr>
          <w:i/>
          <w:iCs/>
        </w:rPr>
        <w:t>because</w:t>
      </w:r>
      <w:r>
        <w:rPr>
          <w:i/>
          <w:iCs/>
        </w:rPr>
        <w:t xml:space="preserve"> </w:t>
      </w:r>
      <w:r w:rsidRPr="00B82B04">
        <w:rPr>
          <w:i/>
          <w:iCs/>
        </w:rPr>
        <w:t>of</w:t>
      </w:r>
      <w:r>
        <w:rPr>
          <w:i/>
          <w:iCs/>
        </w:rPr>
        <w:t xml:space="preserve"> </w:t>
      </w:r>
      <w:r w:rsidRPr="00B82B04">
        <w:rPr>
          <w:i/>
          <w:iCs/>
        </w:rPr>
        <w:t>differences</w:t>
      </w:r>
      <w:r>
        <w:rPr>
          <w:i/>
          <w:iCs/>
        </w:rPr>
        <w:t xml:space="preserve"> </w:t>
      </w:r>
      <w:r w:rsidRPr="00B82B04">
        <w:rPr>
          <w:i/>
          <w:iCs/>
        </w:rPr>
        <w:t>in</w:t>
      </w:r>
      <w:r>
        <w:rPr>
          <w:i/>
          <w:iCs/>
        </w:rPr>
        <w:t xml:space="preserve"> </w:t>
      </w:r>
      <w:r w:rsidRPr="00B82B04">
        <w:rPr>
          <w:i/>
          <w:iCs/>
        </w:rPr>
        <w:t>activity,</w:t>
      </w:r>
      <w:r>
        <w:rPr>
          <w:i/>
          <w:iCs/>
        </w:rPr>
        <w:t xml:space="preserve"> </w:t>
      </w:r>
      <w:r w:rsidRPr="00B82B04">
        <w:rPr>
          <w:i/>
          <w:iCs/>
        </w:rPr>
        <w:t>size,</w:t>
      </w:r>
      <w:r>
        <w:rPr>
          <w:i/>
          <w:iCs/>
        </w:rPr>
        <w:t xml:space="preserve"> </w:t>
      </w:r>
      <w:r w:rsidRPr="00B82B04">
        <w:rPr>
          <w:i/>
          <w:iCs/>
        </w:rPr>
        <w:t>or</w:t>
      </w:r>
      <w:r>
        <w:rPr>
          <w:i/>
          <w:iCs/>
        </w:rPr>
        <w:t xml:space="preserve"> </w:t>
      </w:r>
      <w:r w:rsidRPr="00B82B04">
        <w:rPr>
          <w:i/>
          <w:iCs/>
        </w:rPr>
        <w:t>complexity,</w:t>
      </w:r>
      <w:r>
        <w:rPr>
          <w:i/>
          <w:iCs/>
        </w:rPr>
        <w:t xml:space="preserve"> </w:t>
      </w:r>
      <w:r w:rsidRPr="00B82B04">
        <w:rPr>
          <w:i/>
          <w:iCs/>
        </w:rPr>
        <w:t>show</w:t>
      </w:r>
      <w:r>
        <w:rPr>
          <w:i/>
          <w:iCs/>
        </w:rPr>
        <w:t xml:space="preserve"> </w:t>
      </w:r>
      <w:r w:rsidRPr="00B82B04">
        <w:rPr>
          <w:i/>
          <w:iCs/>
        </w:rPr>
        <w:t>the</w:t>
      </w:r>
      <w:r>
        <w:rPr>
          <w:i/>
          <w:iCs/>
        </w:rPr>
        <w:t xml:space="preserve"> </w:t>
      </w:r>
      <w:r w:rsidRPr="00B82B04">
        <w:rPr>
          <w:i/>
          <w:iCs/>
        </w:rPr>
        <w:t>range</w:t>
      </w:r>
      <w:r>
        <w:rPr>
          <w:i/>
          <w:iCs/>
        </w:rPr>
        <w:t xml:space="preserve"> </w:t>
      </w:r>
      <w:r w:rsidRPr="00B82B04">
        <w:rPr>
          <w:i/>
          <w:iCs/>
        </w:rPr>
        <w:t>of</w:t>
      </w:r>
      <w:r>
        <w:rPr>
          <w:i/>
          <w:iCs/>
        </w:rPr>
        <w:t xml:space="preserve"> </w:t>
      </w:r>
      <w:r w:rsidRPr="00B82B04">
        <w:rPr>
          <w:i/>
          <w:iCs/>
        </w:rPr>
        <w:t>estimated</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and</w:t>
      </w:r>
      <w:r>
        <w:rPr>
          <w:i/>
          <w:iCs/>
        </w:rPr>
        <w:t xml:space="preserve"> </w:t>
      </w:r>
      <w:r w:rsidRPr="00B82B04">
        <w:rPr>
          <w:i/>
          <w:iCs/>
        </w:rPr>
        <w:t>explain</w:t>
      </w:r>
      <w:r>
        <w:rPr>
          <w:i/>
          <w:iCs/>
        </w:rPr>
        <w:t xml:space="preserve"> </w:t>
      </w:r>
      <w:r w:rsidRPr="00B82B04">
        <w:rPr>
          <w:i/>
          <w:iCs/>
        </w:rPr>
        <w:t>the</w:t>
      </w:r>
      <w:r>
        <w:rPr>
          <w:i/>
          <w:iCs/>
        </w:rPr>
        <w:t xml:space="preserve"> </w:t>
      </w:r>
      <w:r w:rsidRPr="00B82B04">
        <w:rPr>
          <w:i/>
          <w:iCs/>
        </w:rPr>
        <w:t>reasons</w:t>
      </w:r>
      <w:r>
        <w:rPr>
          <w:i/>
          <w:iCs/>
        </w:rPr>
        <w:t xml:space="preserve"> </w:t>
      </w:r>
      <w:r w:rsidRPr="00B82B04">
        <w:rPr>
          <w:i/>
          <w:iCs/>
        </w:rPr>
        <w:t>for</w:t>
      </w:r>
      <w:r>
        <w:rPr>
          <w:i/>
          <w:iCs/>
        </w:rPr>
        <w:t xml:space="preserve"> </w:t>
      </w:r>
      <w:r w:rsidRPr="00B82B04">
        <w:rPr>
          <w:i/>
          <w:iCs/>
        </w:rPr>
        <w:t>the</w:t>
      </w:r>
      <w:r>
        <w:rPr>
          <w:i/>
          <w:iCs/>
        </w:rPr>
        <w:t xml:space="preserve"> </w:t>
      </w:r>
      <w:r w:rsidRPr="00B82B04">
        <w:rPr>
          <w:i/>
          <w:iCs/>
        </w:rPr>
        <w:t>variance.</w:t>
      </w:r>
      <w:r>
        <w:rPr>
          <w:i/>
          <w:iCs/>
        </w:rPr>
        <w:t xml:space="preserve"> </w:t>
      </w:r>
      <w:r w:rsidRPr="00B82B04">
        <w:rPr>
          <w:i/>
          <w:iCs/>
        </w:rPr>
        <w:t>Generally,</w:t>
      </w:r>
      <w:r>
        <w:rPr>
          <w:i/>
          <w:iCs/>
        </w:rPr>
        <w:t xml:space="preserve"> </w:t>
      </w:r>
      <w:r w:rsidRPr="00B82B04">
        <w:rPr>
          <w:i/>
          <w:iCs/>
        </w:rPr>
        <w:t>estimates</w:t>
      </w:r>
      <w:r>
        <w:rPr>
          <w:i/>
          <w:iCs/>
        </w:rPr>
        <w:t xml:space="preserve"> </w:t>
      </w:r>
      <w:r w:rsidRPr="00B82B04">
        <w:rPr>
          <w:i/>
          <w:iCs/>
        </w:rPr>
        <w:t>should</w:t>
      </w:r>
      <w:r>
        <w:rPr>
          <w:i/>
          <w:iCs/>
        </w:rPr>
        <w:t xml:space="preserve"> </w:t>
      </w:r>
      <w:r w:rsidRPr="00B82B04">
        <w:rPr>
          <w:i/>
          <w:iCs/>
        </w:rPr>
        <w:t>not</w:t>
      </w:r>
      <w:r>
        <w:rPr>
          <w:i/>
          <w:iCs/>
        </w:rPr>
        <w:t xml:space="preserve"> </w:t>
      </w:r>
      <w:r w:rsidRPr="00B82B04">
        <w:rPr>
          <w:i/>
          <w:iCs/>
        </w:rPr>
        <w:t>include</w:t>
      </w:r>
      <w:r>
        <w:rPr>
          <w:i/>
          <w:iCs/>
        </w:rPr>
        <w:t xml:space="preserve"> </w:t>
      </w:r>
      <w:r w:rsidRPr="00B82B04">
        <w:rPr>
          <w:i/>
          <w:iCs/>
        </w:rPr>
        <w:t>burden</w:t>
      </w:r>
      <w:r>
        <w:rPr>
          <w:i/>
          <w:iCs/>
        </w:rPr>
        <w:t xml:space="preserve"> </w:t>
      </w:r>
      <w:r w:rsidRPr="00B82B04">
        <w:rPr>
          <w:i/>
          <w:iCs/>
        </w:rPr>
        <w:t>hours</w:t>
      </w:r>
      <w:r>
        <w:rPr>
          <w:i/>
          <w:iCs/>
        </w:rPr>
        <w:t xml:space="preserve"> </w:t>
      </w:r>
      <w:r w:rsidRPr="00B82B04">
        <w:rPr>
          <w:i/>
          <w:iCs/>
        </w:rPr>
        <w:t>for</w:t>
      </w:r>
      <w:r>
        <w:rPr>
          <w:i/>
          <w:iCs/>
        </w:rPr>
        <w:t xml:space="preserve"> </w:t>
      </w:r>
      <w:r w:rsidRPr="00B82B04">
        <w:rPr>
          <w:i/>
          <w:iCs/>
        </w:rPr>
        <w:t>customary</w:t>
      </w:r>
      <w:r>
        <w:rPr>
          <w:i/>
          <w:iCs/>
        </w:rPr>
        <w:t xml:space="preserve"> </w:t>
      </w:r>
      <w:r w:rsidRPr="00B82B04">
        <w:rPr>
          <w:i/>
          <w:iCs/>
        </w:rPr>
        <w:t>and</w:t>
      </w:r>
      <w:r>
        <w:rPr>
          <w:i/>
          <w:iCs/>
        </w:rPr>
        <w:t xml:space="preserve"> </w:t>
      </w:r>
      <w:r w:rsidRPr="00B82B04">
        <w:rPr>
          <w:i/>
          <w:iCs/>
        </w:rPr>
        <w:t>usual</w:t>
      </w:r>
      <w:r>
        <w:rPr>
          <w:i/>
          <w:iCs/>
        </w:rPr>
        <w:t xml:space="preserve"> </w:t>
      </w:r>
      <w:r w:rsidRPr="00B82B04">
        <w:rPr>
          <w:i/>
          <w:iCs/>
        </w:rPr>
        <w:t>business</w:t>
      </w:r>
      <w:r>
        <w:rPr>
          <w:i/>
          <w:iCs/>
        </w:rPr>
        <w:t xml:space="preserve"> </w:t>
      </w:r>
      <w:r w:rsidRPr="00B82B04">
        <w:rPr>
          <w:i/>
          <w:iCs/>
        </w:rPr>
        <w:t>practices.</w:t>
      </w:r>
    </w:p>
    <w:p w:rsidRPr="00B82B04" w:rsidR="00F5259C" w:rsidP="00F5259C" w:rsidRDefault="00F5259C" w14:paraId="4D6CFBB3" w14:textId="77777777">
      <w:pPr>
        <w:numPr>
          <w:ilvl w:val="0"/>
          <w:numId w:val="1"/>
        </w:numPr>
        <w:spacing w:after="120"/>
        <w:ind w:left="450"/>
        <w:rPr>
          <w:i/>
          <w:iCs/>
        </w:rPr>
      </w:pPr>
      <w:r w:rsidRPr="00B82B04">
        <w:rPr>
          <w:i/>
          <w:iCs/>
        </w:rPr>
        <w:t>If</w:t>
      </w:r>
      <w:r>
        <w:rPr>
          <w:i/>
          <w:iCs/>
        </w:rPr>
        <w:t xml:space="preserve"> </w:t>
      </w:r>
      <w:r w:rsidRPr="00B82B04">
        <w:rPr>
          <w:i/>
          <w:iCs/>
        </w:rPr>
        <w:t>this</w:t>
      </w:r>
      <w:r>
        <w:rPr>
          <w:i/>
          <w:iCs/>
        </w:rPr>
        <w:t xml:space="preserve"> </w:t>
      </w:r>
      <w:r w:rsidRPr="00B82B04">
        <w:rPr>
          <w:i/>
          <w:iCs/>
        </w:rPr>
        <w:t>request</w:t>
      </w:r>
      <w:r>
        <w:rPr>
          <w:i/>
          <w:iCs/>
        </w:rPr>
        <w:t xml:space="preserve"> </w:t>
      </w:r>
      <w:r w:rsidRPr="00B82B04">
        <w:rPr>
          <w:i/>
          <w:iCs/>
        </w:rPr>
        <w:t>for</w:t>
      </w:r>
      <w:r>
        <w:rPr>
          <w:i/>
          <w:iCs/>
        </w:rPr>
        <w:t xml:space="preserve"> </w:t>
      </w:r>
      <w:r w:rsidRPr="00B82B04">
        <w:rPr>
          <w:i/>
          <w:iCs/>
        </w:rPr>
        <w:t>approval</w:t>
      </w:r>
      <w:r>
        <w:rPr>
          <w:i/>
          <w:iCs/>
        </w:rPr>
        <w:t xml:space="preserve"> </w:t>
      </w:r>
      <w:r w:rsidRPr="00B82B04">
        <w:rPr>
          <w:i/>
          <w:iCs/>
        </w:rPr>
        <w:t>covers</w:t>
      </w:r>
      <w:r>
        <w:rPr>
          <w:i/>
          <w:iCs/>
        </w:rPr>
        <w:t xml:space="preserve"> </w:t>
      </w:r>
      <w:r w:rsidRPr="00B82B04">
        <w:rPr>
          <w:i/>
          <w:iCs/>
        </w:rPr>
        <w:t>more</w:t>
      </w:r>
      <w:r>
        <w:rPr>
          <w:i/>
          <w:iCs/>
        </w:rPr>
        <w:t xml:space="preserve"> </w:t>
      </w:r>
      <w:r w:rsidRPr="00B82B04">
        <w:rPr>
          <w:i/>
          <w:iCs/>
        </w:rPr>
        <w:t>than</w:t>
      </w:r>
      <w:r>
        <w:rPr>
          <w:i/>
          <w:iCs/>
        </w:rPr>
        <w:t xml:space="preserve"> </w:t>
      </w:r>
      <w:r w:rsidRPr="00B82B04">
        <w:rPr>
          <w:i/>
          <w:iCs/>
        </w:rPr>
        <w:t>one</w:t>
      </w:r>
      <w:r>
        <w:rPr>
          <w:i/>
          <w:iCs/>
        </w:rPr>
        <w:t xml:space="preserve"> </w:t>
      </w:r>
      <w:r w:rsidRPr="00B82B04">
        <w:rPr>
          <w:i/>
          <w:iCs/>
        </w:rPr>
        <w:t>form,</w:t>
      </w:r>
      <w:r>
        <w:rPr>
          <w:i/>
          <w:iCs/>
        </w:rPr>
        <w:t xml:space="preserve"> </w:t>
      </w:r>
      <w:r w:rsidRPr="00B82B04">
        <w:rPr>
          <w:i/>
          <w:iCs/>
        </w:rPr>
        <w:t>provide</w:t>
      </w:r>
      <w:r>
        <w:rPr>
          <w:i/>
          <w:iCs/>
        </w:rPr>
        <w:t xml:space="preserve"> </w:t>
      </w:r>
      <w:r w:rsidRPr="00B82B04">
        <w:rPr>
          <w:i/>
          <w:iCs/>
        </w:rPr>
        <w:t>separate</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estimates</w:t>
      </w:r>
      <w:r>
        <w:rPr>
          <w:i/>
          <w:iCs/>
        </w:rPr>
        <w:t xml:space="preserve"> </w:t>
      </w:r>
      <w:r w:rsidRPr="00B82B04">
        <w:rPr>
          <w:i/>
          <w:iCs/>
        </w:rPr>
        <w:t>for</w:t>
      </w:r>
      <w:r>
        <w:rPr>
          <w:i/>
          <w:iCs/>
        </w:rPr>
        <w:t xml:space="preserve"> </w:t>
      </w:r>
      <w:r w:rsidRPr="00B82B04">
        <w:rPr>
          <w:i/>
          <w:iCs/>
        </w:rPr>
        <w:t>each</w:t>
      </w:r>
      <w:r>
        <w:rPr>
          <w:i/>
          <w:iCs/>
        </w:rPr>
        <w:t xml:space="preserve"> </w:t>
      </w:r>
      <w:proofErr w:type="gramStart"/>
      <w:r w:rsidRPr="00B82B04">
        <w:rPr>
          <w:i/>
          <w:iCs/>
        </w:rPr>
        <w:t>form</w:t>
      </w:r>
      <w:proofErr w:type="gramEnd"/>
      <w:r>
        <w:rPr>
          <w:i/>
          <w:iCs/>
        </w:rPr>
        <w:t xml:space="preserve"> </w:t>
      </w:r>
      <w:r w:rsidRPr="00B82B04">
        <w:rPr>
          <w:i/>
          <w:iCs/>
        </w:rPr>
        <w:t>and</w:t>
      </w:r>
      <w:r>
        <w:rPr>
          <w:i/>
          <w:iCs/>
        </w:rPr>
        <w:t xml:space="preserve"> </w:t>
      </w:r>
      <w:r w:rsidRPr="00B82B04">
        <w:rPr>
          <w:i/>
          <w:iCs/>
        </w:rPr>
        <w:t>aggregate</w:t>
      </w:r>
      <w:r>
        <w:rPr>
          <w:i/>
          <w:iCs/>
        </w:rPr>
        <w:t xml:space="preserve"> </w:t>
      </w:r>
      <w:r w:rsidRPr="00B82B04">
        <w:rPr>
          <w:i/>
          <w:iCs/>
        </w:rPr>
        <w:t>the</w:t>
      </w:r>
      <w:r>
        <w:rPr>
          <w:i/>
          <w:iCs/>
        </w:rPr>
        <w:t xml:space="preserve"> </w:t>
      </w:r>
      <w:r w:rsidRPr="00B82B04">
        <w:rPr>
          <w:i/>
          <w:iCs/>
        </w:rPr>
        <w:t>hour</w:t>
      </w:r>
      <w:r>
        <w:rPr>
          <w:i/>
          <w:iCs/>
        </w:rPr>
        <w:t xml:space="preserve"> </w:t>
      </w:r>
      <w:r w:rsidRPr="00B82B04">
        <w:rPr>
          <w:i/>
          <w:iCs/>
        </w:rPr>
        <w:t>burdens</w:t>
      </w:r>
      <w:r>
        <w:rPr>
          <w:i/>
          <w:iCs/>
        </w:rPr>
        <w:t xml:space="preserve"> </w:t>
      </w:r>
      <w:r w:rsidRPr="00B82B04">
        <w:rPr>
          <w:i/>
          <w:iCs/>
        </w:rPr>
        <w:t>in</w:t>
      </w:r>
      <w:r>
        <w:rPr>
          <w:i/>
          <w:iCs/>
        </w:rPr>
        <w:t xml:space="preserve"> </w:t>
      </w:r>
      <w:r w:rsidRPr="00B82B04">
        <w:rPr>
          <w:i/>
          <w:iCs/>
        </w:rPr>
        <w:t>Item</w:t>
      </w:r>
      <w:r>
        <w:rPr>
          <w:i/>
          <w:iCs/>
        </w:rPr>
        <w:t xml:space="preserve"> </w:t>
      </w:r>
      <w:r w:rsidRPr="00B82B04">
        <w:rPr>
          <w:i/>
          <w:iCs/>
        </w:rPr>
        <w:t>13</w:t>
      </w:r>
      <w:r>
        <w:rPr>
          <w:i/>
          <w:iCs/>
        </w:rPr>
        <w:t xml:space="preserve"> </w:t>
      </w:r>
      <w:r w:rsidRPr="00B82B04">
        <w:rPr>
          <w:i/>
          <w:iCs/>
        </w:rPr>
        <w:t>of</w:t>
      </w:r>
      <w:r>
        <w:rPr>
          <w:i/>
          <w:iCs/>
        </w:rPr>
        <w:t xml:space="preserve"> </w:t>
      </w:r>
      <w:r w:rsidRPr="00B82B04">
        <w:rPr>
          <w:i/>
          <w:iCs/>
        </w:rPr>
        <w:t>OMB</w:t>
      </w:r>
      <w:r>
        <w:rPr>
          <w:i/>
          <w:iCs/>
        </w:rPr>
        <w:t xml:space="preserve"> </w:t>
      </w:r>
      <w:r w:rsidRPr="00B82B04">
        <w:rPr>
          <w:i/>
          <w:iCs/>
        </w:rPr>
        <w:t>Form</w:t>
      </w:r>
      <w:r>
        <w:rPr>
          <w:i/>
          <w:iCs/>
        </w:rPr>
        <w:t xml:space="preserve"> </w:t>
      </w:r>
      <w:r w:rsidRPr="00B82B04">
        <w:rPr>
          <w:i/>
          <w:iCs/>
        </w:rPr>
        <w:t>83</w:t>
      </w:r>
      <w:r w:rsidRPr="00B82B04">
        <w:rPr>
          <w:i/>
          <w:iCs/>
        </w:rPr>
        <w:noBreakHyphen/>
        <w:t>I.</w:t>
      </w:r>
    </w:p>
    <w:p w:rsidRPr="00B82B04" w:rsidR="00F5259C" w:rsidP="00F5259C" w:rsidRDefault="00F5259C" w14:paraId="6900F318" w14:textId="77777777">
      <w:pPr>
        <w:numPr>
          <w:ilvl w:val="0"/>
          <w:numId w:val="1"/>
        </w:numPr>
        <w:spacing w:after="240"/>
        <w:ind w:left="446"/>
        <w:rPr>
          <w:i/>
          <w:iCs/>
        </w:rPr>
      </w:pPr>
      <w:r w:rsidRPr="00B82B04">
        <w:rPr>
          <w:i/>
          <w:iCs/>
        </w:rPr>
        <w:t>Provide</w:t>
      </w:r>
      <w:r>
        <w:rPr>
          <w:i/>
          <w:iCs/>
        </w:rPr>
        <w:t xml:space="preserve"> </w:t>
      </w:r>
      <w:r w:rsidRPr="00B82B04">
        <w:rPr>
          <w:i/>
          <w:iCs/>
        </w:rPr>
        <w:t>estimates</w:t>
      </w:r>
      <w:r>
        <w:rPr>
          <w:i/>
          <w:iCs/>
        </w:rPr>
        <w:t xml:space="preserve"> </w:t>
      </w:r>
      <w:r w:rsidRPr="00B82B04">
        <w:rPr>
          <w:i/>
          <w:iCs/>
        </w:rPr>
        <w:t>of</w:t>
      </w:r>
      <w:r>
        <w:rPr>
          <w:i/>
          <w:iCs/>
        </w:rPr>
        <w:t xml:space="preserve"> </w:t>
      </w:r>
      <w:r w:rsidRPr="00B82B04">
        <w:rPr>
          <w:i/>
          <w:iCs/>
        </w:rPr>
        <w:t>annualized</w:t>
      </w:r>
      <w:r>
        <w:rPr>
          <w:i/>
          <w:iCs/>
        </w:rPr>
        <w:t xml:space="preserve"> </w:t>
      </w:r>
      <w:r w:rsidRPr="00B82B04">
        <w:rPr>
          <w:i/>
          <w:iCs/>
        </w:rPr>
        <w:t>cost</w:t>
      </w:r>
      <w:r>
        <w:rPr>
          <w:i/>
          <w:iCs/>
        </w:rPr>
        <w:t xml:space="preserve"> </w:t>
      </w:r>
      <w:r w:rsidRPr="00B82B04">
        <w:rPr>
          <w:i/>
          <w:iCs/>
        </w:rPr>
        <w:t>to</w:t>
      </w:r>
      <w:r>
        <w:rPr>
          <w:i/>
          <w:iCs/>
        </w:rPr>
        <w:t xml:space="preserve"> </w:t>
      </w:r>
      <w:r w:rsidRPr="00B82B04">
        <w:rPr>
          <w:i/>
          <w:iCs/>
        </w:rPr>
        <w:t>respondents</w:t>
      </w:r>
      <w:r>
        <w:rPr>
          <w:i/>
          <w:iCs/>
        </w:rPr>
        <w:t xml:space="preserve"> </w:t>
      </w:r>
      <w:r w:rsidRPr="00B82B04">
        <w:rPr>
          <w:i/>
          <w:iCs/>
        </w:rPr>
        <w:t>for</w:t>
      </w:r>
      <w:r>
        <w:rPr>
          <w:i/>
          <w:iCs/>
        </w:rPr>
        <w:t xml:space="preserve"> </w:t>
      </w:r>
      <w:r w:rsidRPr="00B82B04">
        <w:rPr>
          <w:i/>
          <w:iCs/>
        </w:rPr>
        <w:t>the</w:t>
      </w:r>
      <w:r>
        <w:rPr>
          <w:i/>
          <w:iCs/>
        </w:rPr>
        <w:t xml:space="preserve"> </w:t>
      </w:r>
      <w:r w:rsidRPr="00B82B04">
        <w:rPr>
          <w:i/>
          <w:iCs/>
        </w:rPr>
        <w:t>hour</w:t>
      </w:r>
      <w:r>
        <w:rPr>
          <w:i/>
          <w:iCs/>
        </w:rPr>
        <w:t xml:space="preserve"> </w:t>
      </w:r>
      <w:r w:rsidRPr="00B82B04">
        <w:rPr>
          <w:i/>
          <w:iCs/>
        </w:rPr>
        <w:t>burdens</w:t>
      </w:r>
      <w:r>
        <w:rPr>
          <w:i/>
          <w:iCs/>
        </w:rPr>
        <w:t xml:space="preserve"> </w:t>
      </w:r>
      <w:r w:rsidRPr="00B82B04">
        <w:rPr>
          <w:i/>
          <w:iCs/>
        </w:rPr>
        <w:t>for</w:t>
      </w:r>
      <w:r>
        <w:rPr>
          <w:i/>
          <w:iCs/>
        </w:rPr>
        <w:t xml:space="preserve"> </w:t>
      </w:r>
      <w:r w:rsidRPr="00B82B04">
        <w:rPr>
          <w:i/>
          <w:iCs/>
        </w:rPr>
        <w:t>collection</w:t>
      </w:r>
      <w:r>
        <w:rPr>
          <w:i/>
          <w:iCs/>
        </w:rPr>
        <w:t xml:space="preserve"> </w:t>
      </w:r>
      <w:r w:rsidRPr="00B82B04">
        <w:rPr>
          <w:i/>
          <w:iCs/>
        </w:rPr>
        <w:t>of</w:t>
      </w:r>
      <w:r>
        <w:rPr>
          <w:i/>
          <w:iCs/>
        </w:rPr>
        <w:t xml:space="preserve"> </w:t>
      </w:r>
      <w:r w:rsidRPr="00B82B04">
        <w:rPr>
          <w:i/>
          <w:iCs/>
        </w:rPr>
        <w:t>information,</w:t>
      </w:r>
      <w:r>
        <w:rPr>
          <w:i/>
          <w:iCs/>
        </w:rPr>
        <w:t xml:space="preserve"> </w:t>
      </w:r>
      <w:r w:rsidRPr="00B82B04">
        <w:rPr>
          <w:i/>
          <w:iCs/>
        </w:rPr>
        <w:t>identifying</w:t>
      </w:r>
      <w:r>
        <w:rPr>
          <w:i/>
          <w:iCs/>
        </w:rPr>
        <w:t xml:space="preserve"> </w:t>
      </w:r>
      <w:r w:rsidRPr="00B82B04">
        <w:rPr>
          <w:i/>
          <w:iCs/>
        </w:rPr>
        <w:t>and</w:t>
      </w:r>
      <w:r>
        <w:rPr>
          <w:i/>
          <w:iCs/>
        </w:rPr>
        <w:t xml:space="preserve"> </w:t>
      </w:r>
      <w:r w:rsidRPr="00B82B04">
        <w:rPr>
          <w:i/>
          <w:iCs/>
        </w:rPr>
        <w:t>using</w:t>
      </w:r>
      <w:r>
        <w:rPr>
          <w:i/>
          <w:iCs/>
        </w:rPr>
        <w:t xml:space="preserve"> </w:t>
      </w:r>
      <w:r w:rsidRPr="00B82B04">
        <w:rPr>
          <w:i/>
          <w:iCs/>
        </w:rPr>
        <w:t>appropriate</w:t>
      </w:r>
      <w:r>
        <w:rPr>
          <w:i/>
          <w:iCs/>
        </w:rPr>
        <w:t xml:space="preserve"> </w:t>
      </w:r>
      <w:r w:rsidRPr="00B82B04">
        <w:rPr>
          <w:i/>
          <w:iCs/>
        </w:rPr>
        <w:t>wage</w:t>
      </w:r>
      <w:r>
        <w:rPr>
          <w:i/>
          <w:iCs/>
        </w:rPr>
        <w:t xml:space="preserve"> </w:t>
      </w:r>
      <w:r w:rsidRPr="00B82B04">
        <w:rPr>
          <w:i/>
          <w:iCs/>
        </w:rPr>
        <w:t>rate</w:t>
      </w:r>
      <w:r>
        <w:rPr>
          <w:i/>
          <w:iCs/>
        </w:rPr>
        <w:t xml:space="preserve"> </w:t>
      </w:r>
      <w:r w:rsidRPr="00B82B04">
        <w:rPr>
          <w:i/>
          <w:iCs/>
        </w:rPr>
        <w:t>categories.</w:t>
      </w:r>
      <w:r>
        <w:rPr>
          <w:i/>
          <w:iCs/>
        </w:rPr>
        <w:t xml:space="preserve"> </w:t>
      </w:r>
      <w:r w:rsidRPr="00B82B04">
        <w:rPr>
          <w:i/>
          <w:iCs/>
        </w:rPr>
        <w:t>The</w:t>
      </w:r>
      <w:r>
        <w:rPr>
          <w:i/>
          <w:iCs/>
        </w:rPr>
        <w:t xml:space="preserve"> </w:t>
      </w:r>
      <w:r w:rsidRPr="00B82B04">
        <w:rPr>
          <w:i/>
          <w:iCs/>
        </w:rPr>
        <w:t>cost</w:t>
      </w:r>
      <w:r>
        <w:rPr>
          <w:i/>
          <w:iCs/>
        </w:rPr>
        <w:t xml:space="preserve"> </w:t>
      </w:r>
      <w:r w:rsidRPr="00B82B04">
        <w:rPr>
          <w:i/>
          <w:iCs/>
        </w:rPr>
        <w:t>of</w:t>
      </w:r>
      <w:r>
        <w:rPr>
          <w:i/>
          <w:iCs/>
        </w:rPr>
        <w:t xml:space="preserve"> </w:t>
      </w:r>
      <w:r w:rsidRPr="00B82B04">
        <w:rPr>
          <w:i/>
          <w:iCs/>
        </w:rPr>
        <w:t>contracting</w:t>
      </w:r>
      <w:r>
        <w:rPr>
          <w:i/>
          <w:iCs/>
        </w:rPr>
        <w:t xml:space="preserve"> </w:t>
      </w:r>
      <w:r w:rsidRPr="00B82B04">
        <w:rPr>
          <w:i/>
          <w:iCs/>
        </w:rPr>
        <w:t>or</w:t>
      </w:r>
      <w:r>
        <w:rPr>
          <w:i/>
          <w:iCs/>
        </w:rPr>
        <w:t xml:space="preserve"> </w:t>
      </w:r>
      <w:r w:rsidRPr="00B82B04">
        <w:rPr>
          <w:i/>
          <w:iCs/>
        </w:rPr>
        <w:t>paying</w:t>
      </w:r>
      <w:r>
        <w:rPr>
          <w:i/>
          <w:iCs/>
        </w:rPr>
        <w:t xml:space="preserve"> </w:t>
      </w:r>
      <w:r w:rsidRPr="00B82B04">
        <w:rPr>
          <w:i/>
          <w:iCs/>
        </w:rPr>
        <w:t>outside</w:t>
      </w:r>
      <w:r>
        <w:rPr>
          <w:i/>
          <w:iCs/>
        </w:rPr>
        <w:t xml:space="preserve"> </w:t>
      </w:r>
      <w:r w:rsidRPr="00B82B04">
        <w:rPr>
          <w:i/>
          <w:iCs/>
        </w:rPr>
        <w:t>parties</w:t>
      </w:r>
      <w:r>
        <w:rPr>
          <w:i/>
          <w:iCs/>
        </w:rPr>
        <w:t xml:space="preserve"> </w:t>
      </w:r>
      <w:r w:rsidRPr="00B82B04">
        <w:rPr>
          <w:i/>
          <w:iCs/>
        </w:rPr>
        <w:t>for</w:t>
      </w:r>
      <w:r>
        <w:rPr>
          <w:i/>
          <w:iCs/>
        </w:rPr>
        <w:t xml:space="preserve"> </w:t>
      </w:r>
      <w:r w:rsidRPr="00B82B04">
        <w:rPr>
          <w:i/>
          <w:iCs/>
        </w:rPr>
        <w:t>information</w:t>
      </w:r>
      <w:r>
        <w:rPr>
          <w:i/>
          <w:iCs/>
        </w:rPr>
        <w:t xml:space="preserve"> </w:t>
      </w:r>
      <w:r w:rsidRPr="00B82B04">
        <w:rPr>
          <w:i/>
          <w:iCs/>
        </w:rPr>
        <w:t>collection</w:t>
      </w:r>
      <w:r>
        <w:rPr>
          <w:i/>
          <w:iCs/>
        </w:rPr>
        <w:t xml:space="preserve"> </w:t>
      </w:r>
      <w:r w:rsidRPr="00B82B04">
        <w:rPr>
          <w:i/>
          <w:iCs/>
        </w:rPr>
        <w:t>activities</w:t>
      </w:r>
      <w:r>
        <w:rPr>
          <w:i/>
          <w:iCs/>
        </w:rPr>
        <w:t xml:space="preserve"> </w:t>
      </w:r>
      <w:r w:rsidRPr="00B82B04">
        <w:rPr>
          <w:i/>
          <w:iCs/>
        </w:rPr>
        <w:t>should</w:t>
      </w:r>
      <w:r>
        <w:rPr>
          <w:i/>
          <w:iCs/>
        </w:rPr>
        <w:t xml:space="preserve"> </w:t>
      </w:r>
      <w:r w:rsidRPr="00B82B04">
        <w:rPr>
          <w:i/>
          <w:iCs/>
        </w:rPr>
        <w:t>not</w:t>
      </w:r>
      <w:r>
        <w:rPr>
          <w:i/>
          <w:iCs/>
        </w:rPr>
        <w:t xml:space="preserve"> </w:t>
      </w:r>
      <w:r w:rsidRPr="00B82B04">
        <w:rPr>
          <w:i/>
          <w:iCs/>
        </w:rPr>
        <w:t>be</w:t>
      </w:r>
      <w:r>
        <w:rPr>
          <w:i/>
          <w:iCs/>
        </w:rPr>
        <w:t xml:space="preserve"> </w:t>
      </w:r>
      <w:r w:rsidRPr="00B82B04">
        <w:rPr>
          <w:i/>
          <w:iCs/>
        </w:rPr>
        <w:t>included</w:t>
      </w:r>
      <w:r>
        <w:rPr>
          <w:i/>
          <w:iCs/>
        </w:rPr>
        <w:t xml:space="preserve"> </w:t>
      </w:r>
      <w:r w:rsidRPr="00B82B04">
        <w:rPr>
          <w:i/>
          <w:iCs/>
        </w:rPr>
        <w:t>here.</w:t>
      </w:r>
      <w:r>
        <w:rPr>
          <w:i/>
          <w:iCs/>
        </w:rPr>
        <w:t xml:space="preserve"> </w:t>
      </w:r>
      <w:r w:rsidRPr="00B82B04">
        <w:rPr>
          <w:i/>
          <w:iCs/>
        </w:rPr>
        <w:t>Instead,</w:t>
      </w:r>
      <w:r>
        <w:rPr>
          <w:i/>
          <w:iCs/>
        </w:rPr>
        <w:t xml:space="preserve"> </w:t>
      </w:r>
      <w:r w:rsidRPr="00B82B04">
        <w:rPr>
          <w:i/>
          <w:iCs/>
        </w:rPr>
        <w:t>this</w:t>
      </w:r>
      <w:r>
        <w:rPr>
          <w:i/>
          <w:iCs/>
        </w:rPr>
        <w:t xml:space="preserve"> </w:t>
      </w:r>
      <w:r w:rsidRPr="00B82B04">
        <w:rPr>
          <w:i/>
          <w:iCs/>
        </w:rPr>
        <w:t>cost</w:t>
      </w:r>
      <w:r>
        <w:rPr>
          <w:i/>
          <w:iCs/>
        </w:rPr>
        <w:t xml:space="preserve"> </w:t>
      </w:r>
      <w:r w:rsidRPr="00B82B04">
        <w:rPr>
          <w:i/>
          <w:iCs/>
        </w:rPr>
        <w:t>should</w:t>
      </w:r>
      <w:r>
        <w:rPr>
          <w:i/>
          <w:iCs/>
        </w:rPr>
        <w:t xml:space="preserve"> </w:t>
      </w:r>
      <w:r w:rsidRPr="00B82B04">
        <w:rPr>
          <w:i/>
          <w:iCs/>
        </w:rPr>
        <w:t>be</w:t>
      </w:r>
      <w:r>
        <w:rPr>
          <w:i/>
          <w:iCs/>
        </w:rPr>
        <w:t xml:space="preserve"> </w:t>
      </w:r>
      <w:r w:rsidRPr="00B82B04">
        <w:rPr>
          <w:i/>
          <w:iCs/>
        </w:rPr>
        <w:t>included</w:t>
      </w:r>
      <w:r>
        <w:rPr>
          <w:i/>
          <w:iCs/>
        </w:rPr>
        <w:t xml:space="preserve"> </w:t>
      </w:r>
      <w:r w:rsidRPr="00B82B04">
        <w:rPr>
          <w:i/>
          <w:iCs/>
        </w:rPr>
        <w:t>in</w:t>
      </w:r>
      <w:r>
        <w:rPr>
          <w:i/>
          <w:iCs/>
        </w:rPr>
        <w:t xml:space="preserve"> </w:t>
      </w:r>
      <w:r w:rsidRPr="00B82B04">
        <w:rPr>
          <w:i/>
          <w:iCs/>
        </w:rPr>
        <w:t>Item</w:t>
      </w:r>
      <w:r>
        <w:rPr>
          <w:i/>
          <w:iCs/>
        </w:rPr>
        <w:t xml:space="preserve"> </w:t>
      </w:r>
      <w:r w:rsidRPr="00B82B04">
        <w:rPr>
          <w:i/>
          <w:iCs/>
        </w:rPr>
        <w:t>13.</w:t>
      </w:r>
    </w:p>
    <w:p w:rsidRPr="00B82B04" w:rsidR="00F5259C" w:rsidP="00F5259C" w:rsidRDefault="00F5259C" w14:paraId="647ABD3A" w14:textId="77777777">
      <w:pPr>
        <w:spacing w:after="240"/>
      </w:pPr>
      <w:r w:rsidRPr="00E55008">
        <w:rPr>
          <w:color w:val="000000"/>
        </w:rPr>
        <w:fldChar w:fldCharType="begin"/>
      </w:r>
      <w:r w:rsidRPr="00E55008">
        <w:rPr>
          <w:color w:val="000000"/>
        </w:rPr>
        <w:instrText xml:space="preserve"> REF _Ref77083960 \h  \* MERGEFORMAT </w:instrText>
      </w:r>
      <w:r w:rsidRPr="00E55008">
        <w:rPr>
          <w:color w:val="000000"/>
        </w:rPr>
      </w:r>
      <w:r w:rsidRPr="00E55008">
        <w:rPr>
          <w:color w:val="000000"/>
        </w:rPr>
        <w:fldChar w:fldCharType="separate"/>
      </w:r>
      <w:r w:rsidRPr="00AE4DF2">
        <w:t>Table</w:t>
      </w:r>
      <w:r>
        <w:t xml:space="preserve"> </w:t>
      </w:r>
      <w:r w:rsidRPr="00AE4DF2">
        <w:rPr>
          <w:noProof/>
        </w:rPr>
        <w:t>6</w:t>
      </w:r>
      <w:r w:rsidRPr="00E55008">
        <w:rPr>
          <w:color w:val="000000"/>
        </w:rPr>
        <w:fldChar w:fldCharType="end"/>
      </w:r>
      <w:r>
        <w:rPr>
          <w:color w:val="000000"/>
        </w:rPr>
        <w:t xml:space="preserve"> provides the estimated </w:t>
      </w:r>
      <w:r w:rsidRPr="00B82B04">
        <w:t>costs</w:t>
      </w:r>
      <w:r>
        <w:t xml:space="preserve"> </w:t>
      </w:r>
      <w:r w:rsidRPr="00B82B04">
        <w:t>(i.e.,</w:t>
      </w:r>
      <w:r>
        <w:t xml:space="preserve"> </w:t>
      </w:r>
      <w:r w:rsidRPr="00B82B04">
        <w:t>hour</w:t>
      </w:r>
      <w:r>
        <w:t xml:space="preserve"> </w:t>
      </w:r>
      <w:r w:rsidRPr="00B82B04">
        <w:t>burden)</w:t>
      </w:r>
      <w:r>
        <w:t xml:space="preserve"> associated with the information collected from the grantees, while </w:t>
      </w:r>
      <w:r w:rsidRPr="00AE4DF2">
        <w:fldChar w:fldCharType="begin"/>
      </w:r>
      <w:r w:rsidRPr="00AE4DF2">
        <w:instrText xml:space="preserve"> REF _Ref77084417 \h  \* MERGEFORMAT </w:instrText>
      </w:r>
      <w:r w:rsidRPr="00AE4DF2">
        <w:fldChar w:fldCharType="separate"/>
      </w:r>
      <w:r w:rsidRPr="00AE4DF2">
        <w:t>Table</w:t>
      </w:r>
      <w:r>
        <w:t xml:space="preserve"> </w:t>
      </w:r>
      <w:r w:rsidRPr="00AE4DF2">
        <w:rPr>
          <w:noProof/>
        </w:rPr>
        <w:t>7</w:t>
      </w:r>
      <w:r w:rsidRPr="00AE4DF2">
        <w:fldChar w:fldCharType="end"/>
      </w:r>
      <w:r>
        <w:t xml:space="preserve"> provides those costs for client respondents</w:t>
      </w:r>
      <w:r w:rsidRPr="00B82B04">
        <w:t>.</w:t>
      </w:r>
      <w:r>
        <w:t xml:space="preserve"> Both annual costs and the total cost over three years are included. </w:t>
      </w:r>
      <w:r w:rsidRPr="00B82B04">
        <w:t>The</w:t>
      </w:r>
      <w:r>
        <w:t xml:space="preserve"> </w:t>
      </w:r>
      <w:r w:rsidRPr="00B82B04">
        <w:t>total</w:t>
      </w:r>
      <w:r>
        <w:t xml:space="preserve"> </w:t>
      </w:r>
      <w:r w:rsidRPr="00B82B04">
        <w:t>cost</w:t>
      </w:r>
      <w:r>
        <w:t xml:space="preserve"> </w:t>
      </w:r>
      <w:r w:rsidRPr="00B82B04">
        <w:t>over</w:t>
      </w:r>
      <w:r>
        <w:t xml:space="preserve"> </w:t>
      </w:r>
      <w:r w:rsidRPr="00B82B04">
        <w:t>three</w:t>
      </w:r>
      <w:r>
        <w:t xml:space="preserve"> </w:t>
      </w:r>
      <w:r w:rsidRPr="00B82B04">
        <w:t>years</w:t>
      </w:r>
      <w:r>
        <w:t xml:space="preserve"> </w:t>
      </w:r>
      <w:r w:rsidRPr="00B82B04">
        <w:t>includes</w:t>
      </w:r>
      <w:r>
        <w:t xml:space="preserve"> the </w:t>
      </w:r>
      <w:r w:rsidRPr="00B82B04">
        <w:t>administration</w:t>
      </w:r>
      <w:r>
        <w:t xml:space="preserve"> </w:t>
      </w:r>
      <w:r w:rsidRPr="00B82B04">
        <w:t>of</w:t>
      </w:r>
      <w:r>
        <w:t xml:space="preserve"> DCIs </w:t>
      </w:r>
      <w:r w:rsidRPr="00B82B04">
        <w:t>in</w:t>
      </w:r>
      <w:r>
        <w:t xml:space="preserve"> </w:t>
      </w:r>
      <w:r w:rsidRPr="00B82B04">
        <w:t>years</w:t>
      </w:r>
      <w:r>
        <w:t xml:space="preserve"> </w:t>
      </w:r>
      <w:r w:rsidRPr="00B82B04">
        <w:t>2</w:t>
      </w:r>
      <w:r>
        <w:t xml:space="preserve"> </w:t>
      </w:r>
      <w:r w:rsidRPr="00B82B04">
        <w:t>and</w:t>
      </w:r>
      <w:r>
        <w:t xml:space="preserve"> </w:t>
      </w:r>
      <w:r w:rsidRPr="00B82B04">
        <w:t>3</w:t>
      </w:r>
      <w:r>
        <w:t xml:space="preserve"> </w:t>
      </w:r>
      <w:r w:rsidRPr="00B82B04">
        <w:t>of</w:t>
      </w:r>
      <w:r>
        <w:t xml:space="preserve"> </w:t>
      </w:r>
      <w:r w:rsidRPr="00B82B04">
        <w:t>the</w:t>
      </w:r>
      <w:r>
        <w:t xml:space="preserve"> </w:t>
      </w:r>
      <w:r w:rsidRPr="00B82B04">
        <w:t>OAHMP</w:t>
      </w:r>
      <w:r>
        <w:t xml:space="preserve"> </w:t>
      </w:r>
      <w:r w:rsidRPr="00B82B04">
        <w:t>(all</w:t>
      </w:r>
      <w:r>
        <w:t xml:space="preserve"> </w:t>
      </w:r>
      <w:r w:rsidRPr="00B82B04">
        <w:t>post-modification</w:t>
      </w:r>
      <w:r>
        <w:t xml:space="preserve"> </w:t>
      </w:r>
      <w:r w:rsidRPr="00B82B04">
        <w:t>client</w:t>
      </w:r>
      <w:r>
        <w:t xml:space="preserve"> </w:t>
      </w:r>
      <w:r w:rsidRPr="00B82B04">
        <w:t>surveys</w:t>
      </w:r>
      <w:r>
        <w:t xml:space="preserve"> </w:t>
      </w:r>
      <w:r w:rsidRPr="00B82B04">
        <w:t>and</w:t>
      </w:r>
      <w:r>
        <w:t xml:space="preserve"> </w:t>
      </w:r>
      <w:r w:rsidRPr="00B82B04">
        <w:t>grantee</w:t>
      </w:r>
      <w:r>
        <w:t xml:space="preserve"> </w:t>
      </w:r>
      <w:r w:rsidRPr="00B82B04">
        <w:t>process</w:t>
      </w:r>
      <w:r>
        <w:t xml:space="preserve"> </w:t>
      </w:r>
      <w:r w:rsidRPr="00B82B04">
        <w:t>surveys).</w:t>
      </w:r>
    </w:p>
    <w:p w:rsidRPr="00B82B04" w:rsidR="00F5259C" w:rsidP="00F5259C" w:rsidRDefault="00F5259C" w14:paraId="53BA4E49" w14:textId="77777777">
      <w:pPr>
        <w:spacing w:after="120"/>
      </w:pPr>
      <w:r>
        <w:t>The burden hour per response w</w:t>
      </w:r>
      <w:r w:rsidRPr="00B82B04">
        <w:t>as</w:t>
      </w:r>
      <w:r>
        <w:t xml:space="preserve"> </w:t>
      </w:r>
      <w:r w:rsidRPr="00B82B04">
        <w:t>determined</w:t>
      </w:r>
      <w:r>
        <w:t xml:space="preserve"> </w:t>
      </w:r>
      <w:r w:rsidRPr="00B82B04">
        <w:t>by</w:t>
      </w:r>
      <w:r>
        <w:t xml:space="preserve"> </w:t>
      </w:r>
      <w:r w:rsidRPr="00B82B04">
        <w:t>pilot</w:t>
      </w:r>
      <w:r>
        <w:t xml:space="preserve"> </w:t>
      </w:r>
      <w:r w:rsidRPr="00B82B04">
        <w:t>results</w:t>
      </w:r>
      <w:r>
        <w:t xml:space="preserve"> </w:t>
      </w:r>
      <w:r w:rsidRPr="00B82B04">
        <w:t>with</w:t>
      </w:r>
      <w:r>
        <w:t xml:space="preserve"> </w:t>
      </w:r>
      <w:r w:rsidRPr="00B82B04">
        <w:t>fewer</w:t>
      </w:r>
      <w:r>
        <w:t xml:space="preserve"> </w:t>
      </w:r>
      <w:r w:rsidRPr="00B82B04">
        <w:t>than</w:t>
      </w:r>
      <w:r>
        <w:t xml:space="preserve"> </w:t>
      </w:r>
      <w:r w:rsidRPr="00B82B04">
        <w:t>ten</w:t>
      </w:r>
      <w:r>
        <w:t xml:space="preserve"> </w:t>
      </w:r>
      <w:r w:rsidRPr="00B82B04">
        <w:t>respondents</w:t>
      </w:r>
      <w:r>
        <w:t xml:space="preserve">. </w:t>
      </w:r>
      <w:r w:rsidRPr="00B82B04">
        <w:t>The</w:t>
      </w:r>
      <w:r>
        <w:t xml:space="preserve"> </w:t>
      </w:r>
      <w:r w:rsidRPr="00B82B04">
        <w:t>hourly</w:t>
      </w:r>
      <w:r>
        <w:t xml:space="preserve"> </w:t>
      </w:r>
      <w:r w:rsidRPr="00B82B04">
        <w:t>cost</w:t>
      </w:r>
      <w:r>
        <w:t xml:space="preserve"> </w:t>
      </w:r>
      <w:r w:rsidRPr="00B82B04">
        <w:t>per</w:t>
      </w:r>
      <w:r>
        <w:t xml:space="preserve"> </w:t>
      </w:r>
      <w:r w:rsidRPr="00B82B04">
        <w:t>response</w:t>
      </w:r>
      <w:r>
        <w:t xml:space="preserve"> </w:t>
      </w:r>
      <w:r w:rsidRPr="00B82B04">
        <w:t>estimate</w:t>
      </w:r>
      <w:r>
        <w:t xml:space="preserve"> </w:t>
      </w:r>
      <w:r w:rsidRPr="00B82B04">
        <w:t>is</w:t>
      </w:r>
      <w:r>
        <w:t xml:space="preserve"> </w:t>
      </w:r>
      <w:r w:rsidRPr="00B82B04">
        <w:t>based</w:t>
      </w:r>
      <w:r>
        <w:t xml:space="preserve"> </w:t>
      </w:r>
      <w:r w:rsidRPr="00B82B04">
        <w:t>on</w:t>
      </w:r>
      <w:r>
        <w:t xml:space="preserve"> </w:t>
      </w:r>
      <w:r w:rsidRPr="00B82B04">
        <w:t>the</w:t>
      </w:r>
      <w:r>
        <w:t xml:space="preserve"> </w:t>
      </w:r>
      <w:r w:rsidRPr="00B82B04">
        <w:t>cost</w:t>
      </w:r>
      <w:r>
        <w:t xml:space="preserve"> </w:t>
      </w:r>
      <w:r w:rsidRPr="00B82B04">
        <w:t>of</w:t>
      </w:r>
      <w:r>
        <w:t xml:space="preserve"> </w:t>
      </w:r>
      <w:r w:rsidRPr="00B82B04">
        <w:t>administration</w:t>
      </w:r>
      <w:r>
        <w:t xml:space="preserve"> </w:t>
      </w:r>
      <w:r w:rsidRPr="00B82B04">
        <w:t>for</w:t>
      </w:r>
      <w:r>
        <w:t xml:space="preserve"> </w:t>
      </w:r>
      <w:r w:rsidRPr="00B82B04">
        <w:t>two</w:t>
      </w:r>
      <w:r>
        <w:t xml:space="preserve"> </w:t>
      </w:r>
      <w:r w:rsidRPr="00B82B04">
        <w:t>categories</w:t>
      </w:r>
      <w:r>
        <w:t xml:space="preserve"> </w:t>
      </w:r>
      <w:r w:rsidRPr="00B82B04">
        <w:t>of</w:t>
      </w:r>
      <w:r>
        <w:t xml:space="preserve"> </w:t>
      </w:r>
      <w:r w:rsidRPr="00B82B04">
        <w:t>respondents:</w:t>
      </w:r>
      <w:r>
        <w:t xml:space="preserve"> </w:t>
      </w:r>
      <w:r w:rsidRPr="00B82B04">
        <w:t>1)</w:t>
      </w:r>
      <w:r>
        <w:t xml:space="preserve"> </w:t>
      </w:r>
      <w:r w:rsidRPr="00B82B04">
        <w:t>grantee</w:t>
      </w:r>
      <w:r>
        <w:t xml:space="preserve"> </w:t>
      </w:r>
      <w:r w:rsidRPr="00B82B04">
        <w:t>managers</w:t>
      </w:r>
      <w:r>
        <w:t xml:space="preserve"> </w:t>
      </w:r>
      <w:r w:rsidRPr="00B82B04">
        <w:t>completing</w:t>
      </w:r>
      <w:r>
        <w:t xml:space="preserve"> </w:t>
      </w:r>
      <w:r w:rsidRPr="00B82B04">
        <w:t>DCIs</w:t>
      </w:r>
      <w:r>
        <w:t xml:space="preserve"> </w:t>
      </w:r>
      <w:r w:rsidRPr="00B82B04">
        <w:t>required</w:t>
      </w:r>
      <w:r>
        <w:t xml:space="preserve"> </w:t>
      </w:r>
      <w:r w:rsidRPr="00B82B04">
        <w:t>under</w:t>
      </w:r>
      <w:r>
        <w:t xml:space="preserve"> </w:t>
      </w:r>
      <w:r w:rsidRPr="00B82B04">
        <w:t>the</w:t>
      </w:r>
      <w:r>
        <w:t xml:space="preserve"> </w:t>
      </w:r>
      <w:r w:rsidRPr="00B82B04">
        <w:t>Evaluation;</w:t>
      </w:r>
      <w:r>
        <w:t xml:space="preserve"> </w:t>
      </w:r>
      <w:r w:rsidRPr="00B82B04">
        <w:t>and</w:t>
      </w:r>
      <w:r>
        <w:t xml:space="preserve"> </w:t>
      </w:r>
      <w:r w:rsidRPr="00B82B04">
        <w:t>2)</w:t>
      </w:r>
      <w:r>
        <w:t xml:space="preserve"> </w:t>
      </w:r>
      <w:r w:rsidRPr="00B82B04">
        <w:t>clients</w:t>
      </w:r>
      <w:r>
        <w:t xml:space="preserve"> </w:t>
      </w:r>
      <w:r w:rsidRPr="00B82B04">
        <w:t>participating</w:t>
      </w:r>
      <w:r>
        <w:t xml:space="preserve"> </w:t>
      </w:r>
      <w:r w:rsidRPr="00B82B04">
        <w:t>in</w:t>
      </w:r>
      <w:r>
        <w:t xml:space="preserve"> </w:t>
      </w:r>
      <w:r w:rsidRPr="00B82B04">
        <w:t>the</w:t>
      </w:r>
      <w:r>
        <w:t xml:space="preserve"> </w:t>
      </w:r>
      <w:r w:rsidRPr="00B82B04">
        <w:t>program:</w:t>
      </w:r>
    </w:p>
    <w:p w:rsidRPr="00B82B04" w:rsidR="00F5259C" w:rsidP="00F5259C" w:rsidRDefault="00F5259C" w14:paraId="2D5A15CC" w14:textId="77777777">
      <w:pPr>
        <w:numPr>
          <w:ilvl w:val="0"/>
          <w:numId w:val="11"/>
        </w:numPr>
        <w:spacing w:after="120"/>
        <w:ind w:left="540"/>
      </w:pPr>
      <w:r w:rsidRPr="00B82B04">
        <w:t>The</w:t>
      </w:r>
      <w:r>
        <w:t xml:space="preserve"> </w:t>
      </w:r>
      <w:r w:rsidRPr="00B82B04">
        <w:t>$33.46</w:t>
      </w:r>
      <w:r>
        <w:t xml:space="preserve"> </w:t>
      </w:r>
      <w:r w:rsidRPr="00B82B04">
        <w:t>hourly</w:t>
      </w:r>
      <w:r>
        <w:t xml:space="preserve"> </w:t>
      </w:r>
      <w:r w:rsidRPr="00B82B04">
        <w:t>cost</w:t>
      </w:r>
      <w:r>
        <w:t xml:space="preserve"> </w:t>
      </w:r>
      <w:r w:rsidRPr="00B82B04">
        <w:t>per</w:t>
      </w:r>
      <w:r>
        <w:t xml:space="preserve"> </w:t>
      </w:r>
      <w:r w:rsidRPr="00B82B04">
        <w:t>grantee</w:t>
      </w:r>
      <w:r>
        <w:t xml:space="preserve"> </w:t>
      </w:r>
      <w:r w:rsidRPr="00B82B04">
        <w:t>manager</w:t>
      </w:r>
      <w:r>
        <w:t xml:space="preserve"> </w:t>
      </w:r>
      <w:r w:rsidRPr="00B82B04">
        <w:t>response</w:t>
      </w:r>
      <w:r>
        <w:t xml:space="preserve"> </w:t>
      </w:r>
      <w:r w:rsidRPr="00B82B04">
        <w:t>is</w:t>
      </w:r>
      <w:r>
        <w:t xml:space="preserve"> </w:t>
      </w:r>
      <w:r w:rsidRPr="00B82B04">
        <w:t>based</w:t>
      </w:r>
      <w:r>
        <w:t xml:space="preserve"> </w:t>
      </w:r>
      <w:r w:rsidRPr="00B82B04">
        <w:t>on</w:t>
      </w:r>
      <w:r>
        <w:t xml:space="preserve"> </w:t>
      </w:r>
      <w:r w:rsidRPr="00B82B04">
        <w:t>the</w:t>
      </w:r>
      <w:r>
        <w:t xml:space="preserve"> </w:t>
      </w:r>
      <w:r w:rsidRPr="00B82B04">
        <w:t>May</w:t>
      </w:r>
      <w:r>
        <w:t xml:space="preserve"> </w:t>
      </w:r>
      <w:r w:rsidRPr="00B82B04">
        <w:t>2020</w:t>
      </w:r>
      <w:r>
        <w:t xml:space="preserve"> </w:t>
      </w:r>
      <w:r w:rsidRPr="00B82B04">
        <w:t>U.S.</w:t>
      </w:r>
      <w:r>
        <w:t xml:space="preserve"> </w:t>
      </w:r>
      <w:r w:rsidRPr="00B82B04">
        <w:t>Bureau</w:t>
      </w:r>
      <w:r>
        <w:t xml:space="preserve"> </w:t>
      </w:r>
      <w:r w:rsidRPr="00B82B04">
        <w:t>of</w:t>
      </w:r>
      <w:r>
        <w:t xml:space="preserve"> </w:t>
      </w:r>
      <w:r w:rsidRPr="00B82B04">
        <w:t>Labor</w:t>
      </w:r>
      <w:r>
        <w:t xml:space="preserve"> </w:t>
      </w:r>
      <w:r w:rsidRPr="00B82B04">
        <w:t>Statistics’</w:t>
      </w:r>
      <w:r>
        <w:t xml:space="preserve"> </w:t>
      </w:r>
      <w:r w:rsidRPr="00B82B04">
        <w:t>median</w:t>
      </w:r>
      <w:r>
        <w:t xml:space="preserve"> </w:t>
      </w:r>
      <w:r w:rsidRPr="00B82B04">
        <w:t>annual</w:t>
      </w:r>
      <w:r>
        <w:t xml:space="preserve"> </w:t>
      </w:r>
      <w:r w:rsidRPr="00B82B04">
        <w:t>wage</w:t>
      </w:r>
      <w:r>
        <w:t xml:space="preserve"> </w:t>
      </w:r>
      <w:r w:rsidRPr="00B82B04">
        <w:t>reported</w:t>
      </w:r>
      <w:r>
        <w:t xml:space="preserve"> </w:t>
      </w:r>
      <w:r w:rsidRPr="00B82B04">
        <w:t>in</w:t>
      </w:r>
      <w:r>
        <w:t xml:space="preserve"> </w:t>
      </w:r>
      <w:r w:rsidRPr="00B82B04">
        <w:t>the</w:t>
      </w:r>
      <w:r>
        <w:t xml:space="preserve"> </w:t>
      </w:r>
      <w:hyperlink w:history="1" w:anchor="tab-5" r:id="rId30">
        <w:r w:rsidRPr="00B82B04">
          <w:rPr>
            <w:rStyle w:val="Hyperlink"/>
          </w:rPr>
          <w:t>Occupational</w:t>
        </w:r>
        <w:r>
          <w:rPr>
            <w:rStyle w:val="Hyperlink"/>
          </w:rPr>
          <w:t xml:space="preserve"> </w:t>
        </w:r>
        <w:r w:rsidRPr="00B82B04">
          <w:rPr>
            <w:rStyle w:val="Hyperlink"/>
          </w:rPr>
          <w:t>Outlook</w:t>
        </w:r>
        <w:r>
          <w:rPr>
            <w:rStyle w:val="Hyperlink"/>
          </w:rPr>
          <w:t xml:space="preserve"> </w:t>
        </w:r>
        <w:r w:rsidRPr="00B82B04">
          <w:rPr>
            <w:rStyle w:val="Hyperlink"/>
          </w:rPr>
          <w:t>Handbook</w:t>
        </w:r>
        <w:r>
          <w:rPr>
            <w:rStyle w:val="Hyperlink"/>
          </w:rPr>
          <w:t xml:space="preserve"> </w:t>
        </w:r>
        <w:r w:rsidRPr="00B82B04">
          <w:rPr>
            <w:rStyle w:val="Hyperlink"/>
          </w:rPr>
          <w:t>for</w:t>
        </w:r>
        <w:r>
          <w:rPr>
            <w:rStyle w:val="Hyperlink"/>
          </w:rPr>
          <w:t xml:space="preserve"> </w:t>
        </w:r>
        <w:r w:rsidRPr="00B82B04">
          <w:rPr>
            <w:rStyle w:val="Hyperlink"/>
          </w:rPr>
          <w:t>Social</w:t>
        </w:r>
        <w:r>
          <w:rPr>
            <w:rStyle w:val="Hyperlink"/>
          </w:rPr>
          <w:t xml:space="preserve"> </w:t>
        </w:r>
        <w:r w:rsidRPr="00B82B04">
          <w:rPr>
            <w:rStyle w:val="Hyperlink"/>
          </w:rPr>
          <w:t>and</w:t>
        </w:r>
        <w:r>
          <w:rPr>
            <w:rStyle w:val="Hyperlink"/>
          </w:rPr>
          <w:t xml:space="preserve"> </w:t>
        </w:r>
        <w:r w:rsidRPr="00B82B04">
          <w:rPr>
            <w:rStyle w:val="Hyperlink"/>
          </w:rPr>
          <w:t>Community</w:t>
        </w:r>
        <w:r>
          <w:rPr>
            <w:rStyle w:val="Hyperlink"/>
          </w:rPr>
          <w:t xml:space="preserve"> </w:t>
        </w:r>
        <w:r w:rsidRPr="00B82B04">
          <w:rPr>
            <w:rStyle w:val="Hyperlink"/>
          </w:rPr>
          <w:t>Managers</w:t>
        </w:r>
      </w:hyperlink>
      <w:r w:rsidRPr="00B82B04">
        <w:t>.</w:t>
      </w:r>
      <w:r>
        <w:t xml:space="preserve"> </w:t>
      </w:r>
      <w:r w:rsidRPr="00B82B04">
        <w:t>This</w:t>
      </w:r>
      <w:r>
        <w:t xml:space="preserve"> </w:t>
      </w:r>
      <w:r w:rsidRPr="00B82B04">
        <w:t>occupational</w:t>
      </w:r>
      <w:r>
        <w:t xml:space="preserve"> </w:t>
      </w:r>
      <w:r w:rsidRPr="00B82B04">
        <w:t>category</w:t>
      </w:r>
      <w:r>
        <w:t xml:space="preserve"> </w:t>
      </w:r>
      <w:r w:rsidRPr="00B82B04">
        <w:t>was</w:t>
      </w:r>
      <w:r>
        <w:t xml:space="preserve"> </w:t>
      </w:r>
      <w:r w:rsidRPr="00B82B04">
        <w:t>selected</w:t>
      </w:r>
      <w:r>
        <w:t xml:space="preserve"> </w:t>
      </w:r>
      <w:r w:rsidRPr="00B82B04">
        <w:t>as</w:t>
      </w:r>
      <w:r>
        <w:t xml:space="preserve"> </w:t>
      </w:r>
      <w:r w:rsidRPr="00B82B04">
        <w:t>many</w:t>
      </w:r>
      <w:r>
        <w:t xml:space="preserve"> </w:t>
      </w:r>
      <w:r w:rsidRPr="00B82B04">
        <w:t>of</w:t>
      </w:r>
      <w:r>
        <w:t xml:space="preserve"> </w:t>
      </w:r>
      <w:r w:rsidRPr="00B82B04">
        <w:t>the</w:t>
      </w:r>
      <w:r>
        <w:t xml:space="preserve"> </w:t>
      </w:r>
      <w:r w:rsidRPr="00B82B04">
        <w:t>OAHMP</w:t>
      </w:r>
      <w:r>
        <w:t xml:space="preserve"> </w:t>
      </w:r>
      <w:r w:rsidRPr="00B82B04">
        <w:t>grantees</w:t>
      </w:r>
      <w:r>
        <w:t xml:space="preserve"> </w:t>
      </w:r>
      <w:r w:rsidRPr="00B82B04">
        <w:t>are</w:t>
      </w:r>
      <w:r>
        <w:t xml:space="preserve"> </w:t>
      </w:r>
      <w:r w:rsidRPr="00B82B04">
        <w:t>expected</w:t>
      </w:r>
      <w:r>
        <w:t xml:space="preserve"> </w:t>
      </w:r>
      <w:r w:rsidRPr="00B82B04">
        <w:t>to</w:t>
      </w:r>
      <w:r>
        <w:t xml:space="preserve"> </w:t>
      </w:r>
      <w:r w:rsidRPr="00B82B04">
        <w:t>come</w:t>
      </w:r>
      <w:r>
        <w:t xml:space="preserve"> </w:t>
      </w:r>
      <w:r w:rsidRPr="00B82B04">
        <w:t>from</w:t>
      </w:r>
      <w:r>
        <w:t xml:space="preserve"> </w:t>
      </w:r>
      <w:r w:rsidRPr="00B82B04">
        <w:t>community-based</w:t>
      </w:r>
      <w:r>
        <w:t xml:space="preserve"> </w:t>
      </w:r>
      <w:r w:rsidRPr="00B82B04">
        <w:t>or</w:t>
      </w:r>
      <w:r>
        <w:t xml:space="preserve"> </w:t>
      </w:r>
      <w:r w:rsidRPr="00B82B04">
        <w:t>nonprofit</w:t>
      </w:r>
      <w:r>
        <w:t xml:space="preserve"> </w:t>
      </w:r>
      <w:r w:rsidRPr="00B82B04">
        <w:t>organizations.</w:t>
      </w:r>
      <w:r>
        <w:t xml:space="preserve"> </w:t>
      </w:r>
      <w:r w:rsidRPr="00B82B04">
        <w:t>The</w:t>
      </w:r>
      <w:r>
        <w:t xml:space="preserve"> </w:t>
      </w:r>
      <w:r w:rsidRPr="00B82B04">
        <w:t>hourly</w:t>
      </w:r>
      <w:r>
        <w:t xml:space="preserve"> </w:t>
      </w:r>
      <w:r w:rsidRPr="00B82B04">
        <w:t>rate</w:t>
      </w:r>
      <w:r>
        <w:t xml:space="preserve"> </w:t>
      </w:r>
      <w:r w:rsidRPr="00B82B04">
        <w:t>was</w:t>
      </w:r>
      <w:r>
        <w:t xml:space="preserve"> </w:t>
      </w:r>
      <w:r w:rsidRPr="00B82B04">
        <w:t>based</w:t>
      </w:r>
      <w:r>
        <w:t xml:space="preserve"> </w:t>
      </w:r>
      <w:r w:rsidRPr="00B82B04">
        <w:t>on</w:t>
      </w:r>
      <w:r>
        <w:t xml:space="preserve"> </w:t>
      </w:r>
      <w:r w:rsidRPr="00B82B04">
        <w:t>a</w:t>
      </w:r>
      <w:r>
        <w:t xml:space="preserve"> </w:t>
      </w:r>
      <w:r w:rsidRPr="00B82B04">
        <w:t>40-hour</w:t>
      </w:r>
      <w:r>
        <w:t xml:space="preserve"> </w:t>
      </w:r>
      <w:r w:rsidRPr="00B82B04">
        <w:t>work</w:t>
      </w:r>
      <w:r>
        <w:t xml:space="preserve"> </w:t>
      </w:r>
      <w:r w:rsidRPr="00B82B04">
        <w:t>week</w:t>
      </w:r>
      <w:r>
        <w:t xml:space="preserve"> </w:t>
      </w:r>
      <w:r w:rsidRPr="00B82B04">
        <w:t>for</w:t>
      </w:r>
      <w:r>
        <w:t xml:space="preserve"> </w:t>
      </w:r>
      <w:r w:rsidRPr="00B82B04">
        <w:t>52</w:t>
      </w:r>
      <w:r>
        <w:t xml:space="preserve"> </w:t>
      </w:r>
      <w:r w:rsidRPr="00B82B04">
        <w:t>weeks.</w:t>
      </w:r>
    </w:p>
    <w:p w:rsidRPr="00AA1877" w:rsidR="00F5259C" w:rsidP="00F5259C" w:rsidRDefault="00F5259C" w14:paraId="7402ED53" w14:textId="77777777">
      <w:pPr>
        <w:numPr>
          <w:ilvl w:val="0"/>
          <w:numId w:val="11"/>
        </w:numPr>
        <w:spacing w:after="240"/>
        <w:ind w:left="547"/>
        <w:rPr>
          <w:color w:val="000000"/>
        </w:rPr>
      </w:pPr>
      <w:r w:rsidRPr="00B82B04">
        <w:t>The</w:t>
      </w:r>
      <w:r>
        <w:t xml:space="preserve"> </w:t>
      </w:r>
      <w:r w:rsidRPr="00B82B04">
        <w:t>$11.31</w:t>
      </w:r>
      <w:r>
        <w:t xml:space="preserve"> </w:t>
      </w:r>
      <w:r w:rsidRPr="00B82B04">
        <w:t>hourly</w:t>
      </w:r>
      <w:r>
        <w:t xml:space="preserve"> </w:t>
      </w:r>
      <w:r w:rsidRPr="00B82B04">
        <w:t>cost</w:t>
      </w:r>
      <w:r>
        <w:t xml:space="preserve"> </w:t>
      </w:r>
      <w:r w:rsidRPr="00B82B04">
        <w:t>per</w:t>
      </w:r>
      <w:r>
        <w:t xml:space="preserve"> </w:t>
      </w:r>
      <w:r w:rsidRPr="00B82B04">
        <w:t>client</w:t>
      </w:r>
      <w:r>
        <w:t xml:space="preserve"> </w:t>
      </w:r>
      <w:r w:rsidRPr="00B82B04">
        <w:t>response</w:t>
      </w:r>
      <w:r>
        <w:t xml:space="preserve"> </w:t>
      </w:r>
      <w:r w:rsidRPr="00B82B04">
        <w:t>is</w:t>
      </w:r>
      <w:r>
        <w:t xml:space="preserve"> </w:t>
      </w:r>
      <w:r w:rsidRPr="00B82B04">
        <w:t>based</w:t>
      </w:r>
      <w:r>
        <w:t xml:space="preserve"> </w:t>
      </w:r>
      <w:r w:rsidRPr="00B82B04">
        <w:t>on</w:t>
      </w:r>
      <w:r>
        <w:t xml:space="preserve"> </w:t>
      </w:r>
      <w:r w:rsidRPr="00B82B04">
        <w:t>the</w:t>
      </w:r>
      <w:r>
        <w:rPr>
          <w:color w:val="000000" w:themeColor="text1"/>
        </w:rPr>
        <w:t xml:space="preserve"> </w:t>
      </w:r>
      <w:r w:rsidRPr="00B82B04">
        <w:rPr>
          <w:color w:val="000000" w:themeColor="text1"/>
        </w:rPr>
        <w:t>U.S.</w:t>
      </w:r>
      <w:r>
        <w:rPr>
          <w:color w:val="000000" w:themeColor="text1"/>
        </w:rPr>
        <w:t xml:space="preserve"> </w:t>
      </w:r>
      <w:r w:rsidRPr="00B82B04">
        <w:rPr>
          <w:color w:val="000000" w:themeColor="text1"/>
        </w:rPr>
        <w:t>Bureau</w:t>
      </w:r>
      <w:r>
        <w:rPr>
          <w:color w:val="000000" w:themeColor="text1"/>
        </w:rPr>
        <w:t xml:space="preserve"> </w:t>
      </w:r>
      <w:r w:rsidRPr="00B82B04">
        <w:rPr>
          <w:color w:val="000000" w:themeColor="text1"/>
        </w:rPr>
        <w:t>of</w:t>
      </w:r>
      <w:r>
        <w:rPr>
          <w:color w:val="000000" w:themeColor="text1"/>
        </w:rPr>
        <w:t xml:space="preserve"> </w:t>
      </w:r>
      <w:r w:rsidRPr="00B82B04">
        <w:rPr>
          <w:color w:val="000000" w:themeColor="text1"/>
        </w:rPr>
        <w:t>Labor</w:t>
      </w:r>
      <w:r>
        <w:rPr>
          <w:color w:val="000000" w:themeColor="text1"/>
        </w:rPr>
        <w:t xml:space="preserve"> </w:t>
      </w:r>
      <w:r w:rsidRPr="00B82B04">
        <w:rPr>
          <w:color w:val="000000" w:themeColor="text1"/>
        </w:rPr>
        <w:t>Statistics,</w:t>
      </w:r>
      <w:r>
        <w:rPr>
          <w:color w:val="000000" w:themeColor="text1"/>
        </w:rPr>
        <w:t xml:space="preserve"> </w:t>
      </w:r>
      <w:r w:rsidRPr="00B82B04">
        <w:rPr>
          <w:color w:val="000000" w:themeColor="text1"/>
        </w:rPr>
        <w:t>real</w:t>
      </w:r>
      <w:r>
        <w:rPr>
          <w:color w:val="000000" w:themeColor="text1"/>
        </w:rPr>
        <w:t xml:space="preserve"> </w:t>
      </w:r>
      <w:r w:rsidRPr="00B82B04">
        <w:rPr>
          <w:color w:val="000000" w:themeColor="text1"/>
        </w:rPr>
        <w:t>average</w:t>
      </w:r>
      <w:r>
        <w:rPr>
          <w:color w:val="000000" w:themeColor="text1"/>
        </w:rPr>
        <w:t xml:space="preserve"> </w:t>
      </w:r>
      <w:r w:rsidRPr="00B82B04">
        <w:rPr>
          <w:color w:val="000000" w:themeColor="text1"/>
        </w:rPr>
        <w:t>hourly</w:t>
      </w:r>
      <w:r>
        <w:rPr>
          <w:color w:val="000000" w:themeColor="text1"/>
        </w:rPr>
        <w:t xml:space="preserve"> </w:t>
      </w:r>
      <w:r w:rsidRPr="00B82B04">
        <w:rPr>
          <w:color w:val="000000" w:themeColor="text1"/>
        </w:rPr>
        <w:t>earnings,</w:t>
      </w:r>
      <w:r>
        <w:rPr>
          <w:color w:val="000000" w:themeColor="text1"/>
        </w:rPr>
        <w:t xml:space="preserve"> </w:t>
      </w:r>
      <w:r w:rsidRPr="00B82B04">
        <w:rPr>
          <w:color w:val="000000" w:themeColor="text1"/>
        </w:rPr>
        <w:t>March</w:t>
      </w:r>
      <w:r>
        <w:rPr>
          <w:color w:val="000000" w:themeColor="text1"/>
        </w:rPr>
        <w:t xml:space="preserve"> </w:t>
      </w:r>
      <w:r w:rsidRPr="00B82B04">
        <w:rPr>
          <w:color w:val="000000" w:themeColor="text1"/>
        </w:rPr>
        <w:t>2021,</w:t>
      </w:r>
      <w:r>
        <w:rPr>
          <w:color w:val="000000" w:themeColor="text1"/>
        </w:rPr>
        <w:t xml:space="preserve"> </w:t>
      </w:r>
      <w:r w:rsidRPr="00B82B04">
        <w:t>Table</w:t>
      </w:r>
      <w:r>
        <w:t xml:space="preserve"> </w:t>
      </w:r>
      <w:r w:rsidRPr="00B82B04">
        <w:t>A-1,</w:t>
      </w:r>
      <w:r>
        <w:t xml:space="preserve"> </w:t>
      </w:r>
      <w:hyperlink r:id="rId31">
        <w:r w:rsidRPr="00B82B04">
          <w:rPr>
            <w:rStyle w:val="Hyperlink"/>
          </w:rPr>
          <w:t>Current</w:t>
        </w:r>
        <w:r>
          <w:rPr>
            <w:rStyle w:val="Hyperlink"/>
          </w:rPr>
          <w:t xml:space="preserve"> </w:t>
        </w:r>
        <w:r w:rsidRPr="00B82B04">
          <w:rPr>
            <w:rStyle w:val="Hyperlink"/>
          </w:rPr>
          <w:t>and</w:t>
        </w:r>
        <w:r>
          <w:rPr>
            <w:rStyle w:val="Hyperlink"/>
          </w:rPr>
          <w:t xml:space="preserve"> </w:t>
        </w:r>
        <w:r w:rsidRPr="00B82B04">
          <w:rPr>
            <w:rStyle w:val="Hyperlink"/>
          </w:rPr>
          <w:t>real</w:t>
        </w:r>
        <w:r>
          <w:rPr>
            <w:rStyle w:val="Hyperlink"/>
          </w:rPr>
          <w:t xml:space="preserve"> </w:t>
        </w:r>
        <w:r w:rsidRPr="00B82B04">
          <w:rPr>
            <w:rStyle w:val="Hyperlink"/>
          </w:rPr>
          <w:t>(constant</w:t>
        </w:r>
        <w:r>
          <w:rPr>
            <w:rStyle w:val="Hyperlink"/>
          </w:rPr>
          <w:t xml:space="preserve"> </w:t>
        </w:r>
        <w:r w:rsidRPr="00B82B04">
          <w:rPr>
            <w:rStyle w:val="Hyperlink"/>
          </w:rPr>
          <w:t>1982-1984</w:t>
        </w:r>
        <w:r>
          <w:rPr>
            <w:rStyle w:val="Hyperlink"/>
          </w:rPr>
          <w:t xml:space="preserve"> </w:t>
        </w:r>
        <w:r w:rsidRPr="00B82B04">
          <w:rPr>
            <w:rStyle w:val="Hyperlink"/>
          </w:rPr>
          <w:t>dollars)</w:t>
        </w:r>
        <w:r>
          <w:rPr>
            <w:rStyle w:val="Hyperlink"/>
          </w:rPr>
          <w:t xml:space="preserve"> </w:t>
        </w:r>
        <w:r w:rsidRPr="00B82B04">
          <w:rPr>
            <w:rStyle w:val="Hyperlink"/>
          </w:rPr>
          <w:t>earnings</w:t>
        </w:r>
        <w:r>
          <w:rPr>
            <w:rStyle w:val="Hyperlink"/>
          </w:rPr>
          <w:t xml:space="preserve"> </w:t>
        </w:r>
        <w:r w:rsidRPr="00B82B04">
          <w:rPr>
            <w:rStyle w:val="Hyperlink"/>
          </w:rPr>
          <w:t>for</w:t>
        </w:r>
        <w:r>
          <w:rPr>
            <w:rStyle w:val="Hyperlink"/>
          </w:rPr>
          <w:t xml:space="preserve"> </w:t>
        </w:r>
        <w:r w:rsidRPr="00B82B04">
          <w:rPr>
            <w:rStyle w:val="Hyperlink"/>
          </w:rPr>
          <w:t>all</w:t>
        </w:r>
        <w:r>
          <w:rPr>
            <w:rStyle w:val="Hyperlink"/>
          </w:rPr>
          <w:t xml:space="preserve"> </w:t>
        </w:r>
        <w:r w:rsidRPr="00B82B04">
          <w:rPr>
            <w:rStyle w:val="Hyperlink"/>
          </w:rPr>
          <w:t>employees</w:t>
        </w:r>
        <w:r>
          <w:rPr>
            <w:rStyle w:val="Hyperlink"/>
          </w:rPr>
          <w:t xml:space="preserve"> </w:t>
        </w:r>
        <w:r w:rsidRPr="00B82B04">
          <w:rPr>
            <w:rStyle w:val="Hyperlink"/>
          </w:rPr>
          <w:t>on</w:t>
        </w:r>
        <w:r>
          <w:rPr>
            <w:rStyle w:val="Hyperlink"/>
          </w:rPr>
          <w:t xml:space="preserve"> </w:t>
        </w:r>
        <w:r w:rsidRPr="00B82B04">
          <w:rPr>
            <w:rStyle w:val="Hyperlink"/>
          </w:rPr>
          <w:t>private</w:t>
        </w:r>
        <w:r>
          <w:rPr>
            <w:rStyle w:val="Hyperlink"/>
          </w:rPr>
          <w:t xml:space="preserve"> </w:t>
        </w:r>
        <w:r w:rsidRPr="00B82B04">
          <w:rPr>
            <w:rStyle w:val="Hyperlink"/>
          </w:rPr>
          <w:t>nonfarm</w:t>
        </w:r>
        <w:r>
          <w:rPr>
            <w:rStyle w:val="Hyperlink"/>
          </w:rPr>
          <w:t xml:space="preserve"> </w:t>
        </w:r>
        <w:r w:rsidRPr="00B82B04">
          <w:rPr>
            <w:rStyle w:val="Hyperlink"/>
          </w:rPr>
          <w:t>payrolls,</w:t>
        </w:r>
        <w:r>
          <w:rPr>
            <w:rStyle w:val="Hyperlink"/>
          </w:rPr>
          <w:t xml:space="preserve"> </w:t>
        </w:r>
        <w:r w:rsidRPr="00B82B04">
          <w:rPr>
            <w:rStyle w:val="Hyperlink"/>
          </w:rPr>
          <w:t>seasonally</w:t>
        </w:r>
        <w:r>
          <w:rPr>
            <w:rStyle w:val="Hyperlink"/>
          </w:rPr>
          <w:t xml:space="preserve"> </w:t>
        </w:r>
        <w:r w:rsidRPr="00B82B04">
          <w:rPr>
            <w:rStyle w:val="Hyperlink"/>
          </w:rPr>
          <w:t>adjusted</w:t>
        </w:r>
      </w:hyperlink>
      <w:r w:rsidRPr="00B82B04">
        <w:t>.</w:t>
      </w:r>
      <w:r>
        <w:t xml:space="preserve"> </w:t>
      </w:r>
    </w:p>
    <w:p w:rsidRPr="00AE4DF2" w:rsidR="00F5259C" w:rsidP="00F5259C" w:rsidRDefault="00F5259C" w14:paraId="2F578E87" w14:textId="77777777">
      <w:pPr>
        <w:spacing w:after="240"/>
        <w:ind w:left="547"/>
        <w:rPr>
          <w:color w:val="000000"/>
        </w:rPr>
      </w:pPr>
    </w:p>
    <w:tbl>
      <w:tblPr>
        <w:tblW w:w="1044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340"/>
        <w:gridCol w:w="1440"/>
        <w:gridCol w:w="1080"/>
        <w:gridCol w:w="1260"/>
        <w:gridCol w:w="1080"/>
        <w:gridCol w:w="1080"/>
        <w:gridCol w:w="1170"/>
        <w:gridCol w:w="990"/>
      </w:tblGrid>
      <w:tr w:rsidRPr="00AA1877" w:rsidR="00FB29CF" w:rsidTr="001A023A" w14:paraId="1CD71EC8" w14:textId="77777777">
        <w:trPr>
          <w:trHeight w:val="144"/>
        </w:trPr>
        <w:tc>
          <w:tcPr>
            <w:tcW w:w="10440" w:type="dxa"/>
            <w:gridSpan w:val="8"/>
            <w:shd w:val="clear" w:color="auto" w:fill="E7E6E6" w:themeFill="background2"/>
          </w:tcPr>
          <w:p w:rsidRPr="00A120E4" w:rsidR="00FB29CF" w:rsidP="00902F66" w:rsidRDefault="00FB29CF" w14:paraId="4D0390CE" w14:textId="579EBA52">
            <w:pPr>
              <w:pStyle w:val="Caption"/>
              <w:keepNext/>
              <w:spacing w:after="0"/>
              <w:jc w:val="center"/>
              <w:rPr>
                <w:rFonts w:ascii="Arial" w:hAnsi="Arial" w:cs="Arial"/>
                <w:sz w:val="20"/>
                <w:szCs w:val="20"/>
              </w:rPr>
            </w:pPr>
            <w:bookmarkStart w:name="_Ref77083960" w:id="53"/>
            <w:bookmarkStart w:name="_Toc75878794" w:id="54"/>
            <w:bookmarkStart w:name="_Hlk79217565" w:id="55"/>
            <w:r w:rsidRPr="00A120E4">
              <w:rPr>
                <w:rFonts w:ascii="Arial" w:hAnsi="Arial" w:cs="Arial"/>
                <w:sz w:val="20"/>
                <w:szCs w:val="20"/>
              </w:rPr>
              <w:lastRenderedPageBreak/>
              <w:t xml:space="preserve">Table </w:t>
            </w:r>
            <w:r w:rsidRPr="00712A3D">
              <w:rPr>
                <w:rFonts w:ascii="Arial" w:hAnsi="Arial" w:cs="Arial"/>
                <w:sz w:val="20"/>
                <w:szCs w:val="20"/>
              </w:rPr>
              <w:fldChar w:fldCharType="begin"/>
            </w:r>
            <w:r w:rsidRPr="00A120E4">
              <w:rPr>
                <w:rFonts w:ascii="Arial" w:hAnsi="Arial" w:cs="Arial"/>
                <w:sz w:val="20"/>
                <w:szCs w:val="20"/>
              </w:rPr>
              <w:instrText xml:space="preserve"> SEQ Table \* ARABIC </w:instrText>
            </w:r>
            <w:r w:rsidRPr="00712A3D">
              <w:rPr>
                <w:rFonts w:ascii="Arial" w:hAnsi="Arial" w:cs="Arial"/>
                <w:sz w:val="20"/>
                <w:szCs w:val="20"/>
              </w:rPr>
              <w:fldChar w:fldCharType="separate"/>
            </w:r>
            <w:r w:rsidRPr="00A120E4">
              <w:rPr>
                <w:rFonts w:ascii="Arial" w:hAnsi="Arial" w:cs="Arial"/>
                <w:noProof/>
                <w:sz w:val="20"/>
                <w:szCs w:val="20"/>
              </w:rPr>
              <w:t>6</w:t>
            </w:r>
            <w:r w:rsidRPr="00712A3D">
              <w:rPr>
                <w:rFonts w:ascii="Arial" w:hAnsi="Arial" w:cs="Arial"/>
                <w:sz w:val="20"/>
                <w:szCs w:val="20"/>
              </w:rPr>
              <w:fldChar w:fldCharType="end"/>
            </w:r>
            <w:bookmarkEnd w:id="53"/>
            <w:r w:rsidRPr="00A120E4">
              <w:rPr>
                <w:rFonts w:ascii="Arial" w:hAnsi="Arial" w:cs="Arial"/>
                <w:sz w:val="20"/>
                <w:szCs w:val="20"/>
              </w:rPr>
              <w:t>. Estimated Time and Costs to Grantee Respondents</w:t>
            </w:r>
            <w:bookmarkEnd w:id="54"/>
            <w:r>
              <w:rPr>
                <w:rFonts w:ascii="Arial" w:hAnsi="Arial" w:cs="Arial"/>
                <w:sz w:val="20"/>
                <w:szCs w:val="20"/>
              </w:rPr>
              <w:t xml:space="preserve"> </w:t>
            </w:r>
            <w:r w:rsidRPr="009A21A4">
              <w:rPr>
                <w:rFonts w:ascii="Arial" w:hAnsi="Arial" w:cs="Arial"/>
                <w:sz w:val="20"/>
                <w:szCs w:val="20"/>
                <w:vertAlign w:val="superscript"/>
              </w:rPr>
              <w:t>f</w:t>
            </w:r>
          </w:p>
        </w:tc>
      </w:tr>
      <w:tr w:rsidRPr="00AA1877" w:rsidR="003C2E30" w:rsidTr="001A023A" w14:paraId="7FAA09E1" w14:textId="77777777">
        <w:trPr>
          <w:trHeight w:val="706"/>
        </w:trPr>
        <w:tc>
          <w:tcPr>
            <w:tcW w:w="2340" w:type="dxa"/>
            <w:shd w:val="clear" w:color="auto" w:fill="E7E6E6" w:themeFill="background2"/>
            <w:tcMar>
              <w:top w:w="72" w:type="dxa"/>
              <w:left w:w="72" w:type="dxa"/>
              <w:bottom w:w="72" w:type="dxa"/>
              <w:right w:w="72" w:type="dxa"/>
            </w:tcMar>
            <w:vAlign w:val="bottom"/>
            <w:hideMark/>
          </w:tcPr>
          <w:p w:rsidRPr="00712A3D" w:rsidR="003C2E30" w:rsidP="003C2E30" w:rsidRDefault="003C2E30" w14:paraId="03C4A05F"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Information Collected</w:t>
            </w:r>
          </w:p>
        </w:tc>
        <w:tc>
          <w:tcPr>
            <w:tcW w:w="1440" w:type="dxa"/>
            <w:shd w:val="clear" w:color="auto" w:fill="E7E6E6" w:themeFill="background2"/>
            <w:tcMar>
              <w:top w:w="72" w:type="dxa"/>
              <w:left w:w="72" w:type="dxa"/>
              <w:bottom w:w="72" w:type="dxa"/>
              <w:right w:w="72" w:type="dxa"/>
            </w:tcMar>
            <w:vAlign w:val="bottom"/>
          </w:tcPr>
          <w:p w:rsidRPr="00712A3D" w:rsidR="003C2E30" w:rsidP="003C2E30" w:rsidRDefault="00E50062" w14:paraId="29491B74" w14:textId="2F124D79">
            <w:pPr>
              <w:keepNext/>
              <w:jc w:val="center"/>
              <w:rPr>
                <w:rFonts w:ascii="Arial" w:hAnsi="Arial" w:cs="Arial"/>
                <w:b/>
                <w:bCs/>
                <w:color w:val="000000" w:themeColor="text1"/>
                <w:sz w:val="20"/>
                <w:szCs w:val="20"/>
              </w:rPr>
            </w:pPr>
            <w:r w:rsidRPr="00FF6ABE">
              <w:rPr>
                <w:rFonts w:eastAsia="Calibri"/>
                <w:b/>
                <w:bCs/>
                <w:color w:val="000000"/>
                <w:sz w:val="18"/>
                <w:szCs w:val="18"/>
              </w:rPr>
              <w:t xml:space="preserve"> </w:t>
            </w:r>
            <w:r w:rsidRPr="001A023A">
              <w:rPr>
                <w:rFonts w:ascii="Arial" w:hAnsi="Arial" w:cs="Arial"/>
                <w:b/>
                <w:bCs/>
                <w:color w:val="000000" w:themeColor="text1"/>
                <w:sz w:val="20"/>
                <w:szCs w:val="20"/>
              </w:rPr>
              <w:t>Number of Respondents</w:t>
            </w:r>
          </w:p>
        </w:tc>
        <w:tc>
          <w:tcPr>
            <w:tcW w:w="1080" w:type="dxa"/>
            <w:shd w:val="clear" w:color="auto" w:fill="E7E6E6" w:themeFill="background2"/>
            <w:vAlign w:val="bottom"/>
          </w:tcPr>
          <w:p w:rsidR="003C2E30" w:rsidP="003C2E30" w:rsidRDefault="003C2E30" w14:paraId="20B3E4DF" w14:textId="3880EDCD">
            <w:pPr>
              <w:keepNext/>
              <w:jc w:val="center"/>
              <w:rPr>
                <w:rFonts w:ascii="Arial" w:hAnsi="Arial" w:cs="Arial"/>
                <w:b/>
                <w:bCs/>
                <w:color w:val="000000" w:themeColor="text1"/>
                <w:sz w:val="20"/>
                <w:szCs w:val="20"/>
              </w:rPr>
            </w:pPr>
            <w:r w:rsidRPr="00712A3D">
              <w:rPr>
                <w:rFonts w:ascii="Arial" w:hAnsi="Arial" w:cs="Arial"/>
                <w:b/>
                <w:bCs/>
                <w:color w:val="000000" w:themeColor="text1"/>
                <w:sz w:val="20"/>
                <w:szCs w:val="20"/>
              </w:rPr>
              <w:t>Frequency of Response</w:t>
            </w:r>
          </w:p>
        </w:tc>
        <w:tc>
          <w:tcPr>
            <w:tcW w:w="1260" w:type="dxa"/>
            <w:shd w:val="clear" w:color="auto" w:fill="E7E6E6" w:themeFill="background2"/>
            <w:tcMar>
              <w:top w:w="72" w:type="dxa"/>
              <w:left w:w="72" w:type="dxa"/>
              <w:bottom w:w="72" w:type="dxa"/>
              <w:right w:w="72" w:type="dxa"/>
            </w:tcMar>
            <w:vAlign w:val="bottom"/>
          </w:tcPr>
          <w:p w:rsidRPr="00712A3D" w:rsidR="003C2E30" w:rsidP="003C2E30" w:rsidRDefault="003C2E30" w14:paraId="74AEFACB" w14:textId="6EA73BF4">
            <w:pPr>
              <w:keepNext/>
              <w:jc w:val="center"/>
              <w:rPr>
                <w:rFonts w:ascii="Arial" w:hAnsi="Arial" w:cs="Arial"/>
                <w:b/>
                <w:bCs/>
                <w:color w:val="000000" w:themeColor="text1"/>
                <w:sz w:val="20"/>
                <w:szCs w:val="20"/>
              </w:rPr>
            </w:pPr>
            <w:r>
              <w:rPr>
                <w:rFonts w:ascii="Arial" w:hAnsi="Arial" w:cs="Arial"/>
                <w:b/>
                <w:bCs/>
                <w:color w:val="000000" w:themeColor="text1"/>
                <w:sz w:val="20"/>
                <w:szCs w:val="20"/>
              </w:rPr>
              <w:t>Responses p</w:t>
            </w:r>
            <w:r w:rsidRPr="00712A3D">
              <w:rPr>
                <w:rFonts w:ascii="Arial" w:hAnsi="Arial" w:cs="Arial"/>
                <w:b/>
                <w:bCs/>
                <w:color w:val="000000" w:themeColor="text1"/>
                <w:sz w:val="20"/>
                <w:szCs w:val="20"/>
              </w:rPr>
              <w:t>er Annum</w:t>
            </w:r>
          </w:p>
        </w:tc>
        <w:tc>
          <w:tcPr>
            <w:tcW w:w="1080" w:type="dxa"/>
            <w:shd w:val="clear" w:color="auto" w:fill="E7E6E6" w:themeFill="background2"/>
            <w:tcMar>
              <w:top w:w="72" w:type="dxa"/>
              <w:left w:w="72" w:type="dxa"/>
              <w:bottom w:w="72" w:type="dxa"/>
              <w:right w:w="72" w:type="dxa"/>
            </w:tcMar>
            <w:vAlign w:val="bottom"/>
          </w:tcPr>
          <w:p w:rsidRPr="00712A3D" w:rsidR="003C2E30" w:rsidP="003C2E30" w:rsidRDefault="003C2E30" w14:paraId="77D82CC9" w14:textId="4807E079">
            <w:pPr>
              <w:ind w:right="-36"/>
              <w:jc w:val="center"/>
              <w:rPr>
                <w:rFonts w:ascii="Arial" w:hAnsi="Arial" w:cs="Arial"/>
                <w:b/>
                <w:bCs/>
                <w:color w:val="000000" w:themeColor="text1"/>
                <w:sz w:val="20"/>
                <w:szCs w:val="20"/>
              </w:rPr>
            </w:pPr>
            <w:r>
              <w:rPr>
                <w:rFonts w:ascii="Arial" w:hAnsi="Arial" w:cs="Arial"/>
                <w:b/>
                <w:bCs/>
                <w:color w:val="000000" w:themeColor="text1"/>
                <w:sz w:val="20"/>
                <w:szCs w:val="20"/>
              </w:rPr>
              <w:t>Burden Hour p</w:t>
            </w:r>
            <w:r w:rsidRPr="00712A3D">
              <w:rPr>
                <w:rFonts w:ascii="Arial" w:hAnsi="Arial" w:cs="Arial"/>
                <w:b/>
                <w:bCs/>
                <w:color w:val="000000" w:themeColor="text1"/>
                <w:sz w:val="20"/>
                <w:szCs w:val="20"/>
              </w:rPr>
              <w:t>er Response</w:t>
            </w:r>
          </w:p>
        </w:tc>
        <w:tc>
          <w:tcPr>
            <w:tcW w:w="1080" w:type="dxa"/>
            <w:shd w:val="clear" w:color="auto" w:fill="E7E6E6" w:themeFill="background2"/>
            <w:tcMar>
              <w:top w:w="72" w:type="dxa"/>
              <w:left w:w="72" w:type="dxa"/>
              <w:bottom w:w="72" w:type="dxa"/>
              <w:right w:w="72" w:type="dxa"/>
            </w:tcMar>
            <w:vAlign w:val="bottom"/>
          </w:tcPr>
          <w:p w:rsidR="003C2E30" w:rsidP="003C2E30" w:rsidRDefault="003C2E30" w14:paraId="240269B2" w14:textId="77777777">
            <w:pPr>
              <w:ind w:left="-72" w:right="-72"/>
              <w:jc w:val="center"/>
              <w:rPr>
                <w:rFonts w:ascii="Arial" w:hAnsi="Arial" w:cs="Arial"/>
                <w:b/>
                <w:bCs/>
                <w:color w:val="000000" w:themeColor="text1"/>
                <w:sz w:val="20"/>
                <w:szCs w:val="20"/>
              </w:rPr>
            </w:pPr>
            <w:r w:rsidRPr="00712A3D">
              <w:rPr>
                <w:rFonts w:ascii="Arial" w:hAnsi="Arial" w:cs="Arial"/>
                <w:b/>
                <w:bCs/>
                <w:color w:val="000000" w:themeColor="text1"/>
                <w:sz w:val="20"/>
                <w:szCs w:val="20"/>
              </w:rPr>
              <w:t>Burden Hours</w:t>
            </w:r>
          </w:p>
          <w:p w:rsidRPr="00712A3D" w:rsidR="003C2E30" w:rsidP="003C2E30" w:rsidRDefault="003C2E30" w14:paraId="3B3B22B7" w14:textId="7F26AB23">
            <w:pPr>
              <w:ind w:left="-72" w:right="-72"/>
              <w:jc w:val="center"/>
              <w:rPr>
                <w:rFonts w:ascii="Arial" w:hAnsi="Arial" w:cs="Arial"/>
                <w:b/>
                <w:bCs/>
                <w:color w:val="000000" w:themeColor="text1"/>
                <w:sz w:val="20"/>
                <w:szCs w:val="20"/>
              </w:rPr>
            </w:pPr>
            <w:r>
              <w:rPr>
                <w:rFonts w:ascii="Arial" w:hAnsi="Arial" w:cs="Arial"/>
                <w:b/>
                <w:bCs/>
                <w:color w:val="000000" w:themeColor="text1"/>
                <w:sz w:val="20"/>
                <w:szCs w:val="20"/>
              </w:rPr>
              <w:t>per Annum</w:t>
            </w:r>
          </w:p>
        </w:tc>
        <w:tc>
          <w:tcPr>
            <w:tcW w:w="1170" w:type="dxa"/>
            <w:shd w:val="clear" w:color="auto" w:fill="E7E6E6" w:themeFill="background2"/>
            <w:tcMar>
              <w:top w:w="72" w:type="dxa"/>
              <w:left w:w="72" w:type="dxa"/>
              <w:bottom w:w="72" w:type="dxa"/>
              <w:right w:w="72" w:type="dxa"/>
            </w:tcMar>
            <w:vAlign w:val="bottom"/>
          </w:tcPr>
          <w:p w:rsidRPr="00712A3D" w:rsidR="003C2E30" w:rsidP="003C2E30" w:rsidRDefault="003C2E30" w14:paraId="66AF9E85" w14:textId="0DFED4A9">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 xml:space="preserve">Hourly Cost </w:t>
            </w:r>
            <w:r>
              <w:rPr>
                <w:rFonts w:ascii="Arial" w:hAnsi="Arial" w:cs="Arial"/>
                <w:b/>
                <w:bCs/>
                <w:color w:val="000000" w:themeColor="text1"/>
                <w:sz w:val="20"/>
                <w:szCs w:val="20"/>
              </w:rPr>
              <w:t>p</w:t>
            </w:r>
            <w:r w:rsidRPr="00712A3D">
              <w:rPr>
                <w:rFonts w:ascii="Arial" w:hAnsi="Arial" w:cs="Arial"/>
                <w:b/>
                <w:bCs/>
                <w:color w:val="000000" w:themeColor="text1"/>
                <w:sz w:val="20"/>
                <w:szCs w:val="20"/>
              </w:rPr>
              <w:t>er Response</w:t>
            </w:r>
          </w:p>
        </w:tc>
        <w:tc>
          <w:tcPr>
            <w:tcW w:w="990" w:type="dxa"/>
            <w:shd w:val="clear" w:color="auto" w:fill="E7E6E6" w:themeFill="background2"/>
            <w:tcMar>
              <w:top w:w="72" w:type="dxa"/>
              <w:left w:w="72" w:type="dxa"/>
              <w:bottom w:w="72" w:type="dxa"/>
              <w:right w:w="72" w:type="dxa"/>
            </w:tcMar>
            <w:vAlign w:val="bottom"/>
          </w:tcPr>
          <w:p w:rsidRPr="00712A3D" w:rsidR="003C2E30" w:rsidP="003C2E30" w:rsidRDefault="003C2E30" w14:paraId="7A613E90"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Annual Cost</w:t>
            </w:r>
          </w:p>
        </w:tc>
      </w:tr>
      <w:tr w:rsidRPr="00AA1877" w:rsidR="003C2E30" w:rsidTr="001A023A" w14:paraId="1B6DA2AB" w14:textId="77777777">
        <w:trPr>
          <w:trHeight w:val="300"/>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400188B7" w14:textId="77777777">
            <w:pPr>
              <w:ind w:right="-19"/>
              <w:rPr>
                <w:rFonts w:ascii="Arial" w:hAnsi="Arial" w:cs="Arial"/>
                <w:color w:val="000000"/>
                <w:sz w:val="20"/>
                <w:szCs w:val="20"/>
              </w:rPr>
            </w:pPr>
            <w:r w:rsidRPr="00AA1877">
              <w:rPr>
                <w:rFonts w:ascii="Arial" w:hAnsi="Arial" w:cs="Arial"/>
                <w:color w:val="000000"/>
                <w:sz w:val="20"/>
                <w:szCs w:val="20"/>
              </w:rPr>
              <w:t xml:space="preserve">Client Eligibility Documentation Form </w:t>
            </w:r>
            <w:r w:rsidRPr="00AA1877">
              <w:rPr>
                <w:rFonts w:ascii="Arial" w:hAnsi="Arial" w:cs="Arial"/>
                <w:color w:val="000000"/>
                <w:sz w:val="20"/>
                <w:szCs w:val="20"/>
                <w:vertAlign w:val="superscript"/>
              </w:rPr>
              <w:t>a</w:t>
            </w:r>
            <w:r w:rsidRPr="00AA1877">
              <w:rPr>
                <w:rFonts w:ascii="Arial" w:hAnsi="Arial" w:cs="Arial"/>
                <w:color w:val="000000"/>
                <w:sz w:val="20"/>
                <w:szCs w:val="20"/>
              </w:rPr>
              <w:t xml:space="preserve"> </w:t>
            </w:r>
          </w:p>
        </w:tc>
        <w:tc>
          <w:tcPr>
            <w:tcW w:w="1440" w:type="dxa"/>
            <w:shd w:val="clear" w:color="auto" w:fill="auto"/>
            <w:tcMar>
              <w:top w:w="72" w:type="dxa"/>
              <w:left w:w="72" w:type="dxa"/>
              <w:bottom w:w="72" w:type="dxa"/>
              <w:right w:w="72" w:type="dxa"/>
            </w:tcMar>
            <w:vAlign w:val="center"/>
          </w:tcPr>
          <w:p w:rsidRPr="00AA1877" w:rsidR="003C2E30" w:rsidP="003C2E30" w:rsidRDefault="00E50062" w14:paraId="15E6A8A1" w14:textId="6C32E941">
            <w:pPr>
              <w:jc w:val="center"/>
              <w:rPr>
                <w:rFonts w:ascii="Arial" w:hAnsi="Arial" w:cs="Arial"/>
                <w:color w:val="000000"/>
                <w:sz w:val="20"/>
                <w:szCs w:val="20"/>
              </w:rPr>
            </w:pPr>
            <w:r>
              <w:rPr>
                <w:rFonts w:ascii="Arial" w:hAnsi="Arial" w:cs="Arial"/>
                <w:color w:val="000000"/>
                <w:sz w:val="20"/>
                <w:szCs w:val="20"/>
              </w:rPr>
              <w:t>4,478</w:t>
            </w:r>
          </w:p>
        </w:tc>
        <w:tc>
          <w:tcPr>
            <w:tcW w:w="1080" w:type="dxa"/>
            <w:vAlign w:val="center"/>
          </w:tcPr>
          <w:p w:rsidRPr="00465022" w:rsidR="003C2E30" w:rsidP="003C2E30" w:rsidRDefault="003C2E30" w14:paraId="1755897C" w14:textId="452F9E80">
            <w:pPr>
              <w:jc w:val="center"/>
              <w:rPr>
                <w:rFonts w:ascii="Arial" w:hAnsi="Arial" w:cs="Arial"/>
                <w:color w:val="000000"/>
                <w:sz w:val="20"/>
                <w:szCs w:val="20"/>
              </w:rPr>
            </w:pPr>
            <w:r w:rsidRPr="00465022">
              <w:rPr>
                <w:rFonts w:ascii="Arial" w:hAnsi="Arial" w:cs="Arial"/>
                <w:color w:val="000000"/>
                <w:sz w:val="20"/>
                <w:szCs w:val="20"/>
              </w:rPr>
              <w:t>1</w:t>
            </w:r>
          </w:p>
        </w:tc>
        <w:tc>
          <w:tcPr>
            <w:tcW w:w="1260" w:type="dxa"/>
            <w:shd w:val="clear" w:color="auto" w:fill="auto"/>
            <w:tcMar>
              <w:top w:w="72" w:type="dxa"/>
              <w:left w:w="72" w:type="dxa"/>
              <w:bottom w:w="72" w:type="dxa"/>
              <w:right w:w="72" w:type="dxa"/>
            </w:tcMar>
            <w:vAlign w:val="center"/>
          </w:tcPr>
          <w:p w:rsidRPr="00AA1877" w:rsidR="003C2E30" w:rsidP="003C2E30" w:rsidRDefault="003C2E30" w14:paraId="4CDFDB4A" w14:textId="638F9BB6">
            <w:pPr>
              <w:jc w:val="center"/>
              <w:rPr>
                <w:rFonts w:ascii="Arial" w:hAnsi="Arial" w:cs="Arial"/>
                <w:color w:val="000000"/>
                <w:sz w:val="20"/>
                <w:szCs w:val="20"/>
              </w:rPr>
            </w:pPr>
            <w:r w:rsidRPr="00465022">
              <w:rPr>
                <w:rFonts w:ascii="Arial" w:hAnsi="Arial" w:cs="Arial"/>
                <w:color w:val="000000"/>
                <w:sz w:val="20"/>
                <w:szCs w:val="20"/>
              </w:rPr>
              <w:t>4</w:t>
            </w:r>
            <w:r>
              <w:rPr>
                <w:rFonts w:ascii="Arial" w:hAnsi="Arial" w:cs="Arial"/>
                <w:color w:val="000000"/>
                <w:sz w:val="20"/>
                <w:szCs w:val="20"/>
              </w:rPr>
              <w:t>,</w:t>
            </w:r>
            <w:r w:rsidRPr="00465022">
              <w:rPr>
                <w:rFonts w:ascii="Arial" w:hAnsi="Arial" w:cs="Arial"/>
                <w:color w:val="000000"/>
                <w:sz w:val="20"/>
                <w:szCs w:val="20"/>
              </w:rPr>
              <w:t>478</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42EC8591" w14:textId="77777777">
            <w:pPr>
              <w:jc w:val="center"/>
              <w:rPr>
                <w:rFonts w:ascii="Arial" w:hAnsi="Arial" w:cs="Arial"/>
                <w:color w:val="000000"/>
                <w:sz w:val="20"/>
                <w:szCs w:val="20"/>
              </w:rPr>
            </w:pPr>
            <w:r w:rsidRPr="00465022">
              <w:rPr>
                <w:rFonts w:ascii="Arial" w:hAnsi="Arial" w:cs="Arial"/>
                <w:color w:val="000000"/>
                <w:sz w:val="20"/>
                <w:szCs w:val="20"/>
              </w:rPr>
              <w:t>0.08</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06CCE3CC" w14:textId="677D2724">
            <w:pPr>
              <w:jc w:val="center"/>
              <w:rPr>
                <w:rFonts w:ascii="Arial" w:hAnsi="Arial" w:cs="Arial"/>
                <w:color w:val="000000"/>
                <w:sz w:val="20"/>
                <w:szCs w:val="20"/>
              </w:rPr>
            </w:pPr>
            <w:r w:rsidRPr="00465022">
              <w:rPr>
                <w:rFonts w:ascii="Arial" w:hAnsi="Arial" w:cs="Arial"/>
                <w:color w:val="000000"/>
                <w:sz w:val="20"/>
                <w:szCs w:val="20"/>
              </w:rPr>
              <w:t>3</w:t>
            </w:r>
            <w:r w:rsidR="00B10201">
              <w:rPr>
                <w:rFonts w:ascii="Arial" w:hAnsi="Arial" w:cs="Arial"/>
                <w:color w:val="000000"/>
                <w:sz w:val="20"/>
                <w:szCs w:val="20"/>
              </w:rPr>
              <w:t>58</w:t>
            </w:r>
          </w:p>
        </w:tc>
        <w:tc>
          <w:tcPr>
            <w:tcW w:w="1170" w:type="dxa"/>
            <w:shd w:val="clear" w:color="auto" w:fill="auto"/>
            <w:tcMar>
              <w:top w:w="72" w:type="dxa"/>
              <w:left w:w="72" w:type="dxa"/>
              <w:bottom w:w="72" w:type="dxa"/>
              <w:right w:w="72" w:type="dxa"/>
            </w:tcMar>
            <w:vAlign w:val="center"/>
          </w:tcPr>
          <w:p w:rsidRPr="00AA1877" w:rsidR="003C2E30" w:rsidP="003C2E30" w:rsidRDefault="003C2E30" w14:paraId="7D4BAD99" w14:textId="77777777">
            <w:pPr>
              <w:jc w:val="center"/>
              <w:rPr>
                <w:rFonts w:ascii="Arial" w:hAnsi="Arial" w:cs="Arial"/>
                <w:color w:val="000000"/>
                <w:sz w:val="20"/>
                <w:szCs w:val="20"/>
              </w:rPr>
            </w:pPr>
            <w:r w:rsidRPr="00465022">
              <w:rPr>
                <w:rFonts w:ascii="Arial" w:hAnsi="Arial" w:cs="Arial"/>
                <w:color w:val="000000"/>
                <w:sz w:val="20"/>
                <w:szCs w:val="20"/>
              </w:rPr>
              <w:t>$33.46</w:t>
            </w:r>
          </w:p>
        </w:tc>
        <w:tc>
          <w:tcPr>
            <w:tcW w:w="990" w:type="dxa"/>
            <w:shd w:val="clear" w:color="auto" w:fill="auto"/>
            <w:tcMar>
              <w:top w:w="72" w:type="dxa"/>
              <w:left w:w="72" w:type="dxa"/>
              <w:bottom w:w="72" w:type="dxa"/>
              <w:right w:w="72" w:type="dxa"/>
            </w:tcMar>
            <w:vAlign w:val="center"/>
          </w:tcPr>
          <w:p w:rsidRPr="00AA1877" w:rsidR="003C2E30" w:rsidP="001A023A" w:rsidRDefault="003C2E30" w14:paraId="5B4FB207" w14:textId="32A0F900">
            <w:pPr>
              <w:jc w:val="right"/>
              <w:rPr>
                <w:rFonts w:ascii="Arial" w:hAnsi="Arial" w:cs="Arial"/>
                <w:color w:val="000000"/>
                <w:sz w:val="20"/>
                <w:szCs w:val="20"/>
              </w:rPr>
            </w:pPr>
            <w:r w:rsidRPr="00465022">
              <w:rPr>
                <w:rFonts w:ascii="Arial" w:hAnsi="Arial" w:cs="Arial"/>
                <w:color w:val="000000"/>
                <w:sz w:val="20"/>
                <w:szCs w:val="20"/>
              </w:rPr>
              <w:t>$1</w:t>
            </w:r>
            <w:r w:rsidR="00B10201">
              <w:rPr>
                <w:rFonts w:ascii="Arial" w:hAnsi="Arial" w:cs="Arial"/>
                <w:color w:val="000000"/>
                <w:sz w:val="20"/>
                <w:szCs w:val="20"/>
              </w:rPr>
              <w:t>1</w:t>
            </w:r>
            <w:r w:rsidRPr="00465022">
              <w:rPr>
                <w:rFonts w:ascii="Arial" w:hAnsi="Arial" w:cs="Arial"/>
                <w:color w:val="000000"/>
                <w:sz w:val="20"/>
                <w:szCs w:val="20"/>
              </w:rPr>
              <w:t>,</w:t>
            </w:r>
            <w:r w:rsidR="00B10201">
              <w:rPr>
                <w:rFonts w:ascii="Arial" w:hAnsi="Arial" w:cs="Arial"/>
                <w:color w:val="000000"/>
                <w:sz w:val="20"/>
                <w:szCs w:val="20"/>
              </w:rPr>
              <w:t>9</w:t>
            </w:r>
            <w:r w:rsidRPr="00465022">
              <w:rPr>
                <w:rFonts w:ascii="Arial" w:hAnsi="Arial" w:cs="Arial"/>
                <w:color w:val="000000"/>
                <w:sz w:val="20"/>
                <w:szCs w:val="20"/>
              </w:rPr>
              <w:t>8</w:t>
            </w:r>
            <w:r w:rsidR="00B10201">
              <w:rPr>
                <w:rFonts w:ascii="Arial" w:hAnsi="Arial" w:cs="Arial"/>
                <w:color w:val="000000"/>
                <w:sz w:val="20"/>
                <w:szCs w:val="20"/>
              </w:rPr>
              <w:t>7</w:t>
            </w:r>
            <w:r w:rsidRPr="00465022">
              <w:rPr>
                <w:rFonts w:ascii="Arial" w:hAnsi="Arial" w:cs="Arial"/>
                <w:color w:val="000000"/>
                <w:sz w:val="20"/>
                <w:szCs w:val="20"/>
              </w:rPr>
              <w:t xml:space="preserve"> </w:t>
            </w:r>
          </w:p>
        </w:tc>
      </w:tr>
      <w:tr w:rsidRPr="00AA1877" w:rsidR="003C2E30" w:rsidTr="001A023A" w14:paraId="60FE37C0" w14:textId="77777777">
        <w:trPr>
          <w:trHeight w:val="144"/>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580631B7" w14:textId="77777777">
            <w:pPr>
              <w:rPr>
                <w:rFonts w:ascii="Arial" w:hAnsi="Arial" w:cs="Arial"/>
                <w:color w:val="000000"/>
                <w:sz w:val="20"/>
                <w:szCs w:val="20"/>
              </w:rPr>
            </w:pPr>
            <w:r w:rsidRPr="00AA1877">
              <w:rPr>
                <w:rFonts w:ascii="Arial" w:hAnsi="Arial" w:cs="Arial"/>
                <w:color w:val="000000"/>
                <w:sz w:val="20"/>
                <w:szCs w:val="20"/>
              </w:rPr>
              <w:t xml:space="preserve">Lost-to-Project Form </w:t>
            </w:r>
            <w:r w:rsidRPr="00AA1877">
              <w:rPr>
                <w:rFonts w:ascii="Arial" w:hAnsi="Arial" w:cs="Arial"/>
                <w:color w:val="000000"/>
                <w:sz w:val="20"/>
                <w:szCs w:val="20"/>
                <w:vertAlign w:val="superscript"/>
              </w:rPr>
              <w:t>b</w:t>
            </w:r>
          </w:p>
        </w:tc>
        <w:tc>
          <w:tcPr>
            <w:tcW w:w="1440" w:type="dxa"/>
            <w:shd w:val="clear" w:color="auto" w:fill="auto"/>
            <w:tcMar>
              <w:top w:w="72" w:type="dxa"/>
              <w:left w:w="72" w:type="dxa"/>
              <w:bottom w:w="72" w:type="dxa"/>
              <w:right w:w="72" w:type="dxa"/>
            </w:tcMar>
            <w:vAlign w:val="center"/>
          </w:tcPr>
          <w:p w:rsidRPr="00AA1877" w:rsidR="003C2E30" w:rsidP="003C2E30" w:rsidRDefault="00E50062" w14:paraId="00AE3125" w14:textId="782B5BB2">
            <w:pPr>
              <w:jc w:val="center"/>
              <w:rPr>
                <w:rFonts w:ascii="Arial" w:hAnsi="Arial" w:cs="Arial"/>
                <w:color w:val="000000"/>
                <w:sz w:val="20"/>
                <w:szCs w:val="20"/>
              </w:rPr>
            </w:pPr>
            <w:r>
              <w:rPr>
                <w:rFonts w:ascii="Arial" w:hAnsi="Arial" w:cs="Arial"/>
                <w:color w:val="000000"/>
                <w:sz w:val="20"/>
                <w:szCs w:val="20"/>
              </w:rPr>
              <w:t>2,790</w:t>
            </w:r>
          </w:p>
        </w:tc>
        <w:tc>
          <w:tcPr>
            <w:tcW w:w="1080" w:type="dxa"/>
            <w:vAlign w:val="center"/>
          </w:tcPr>
          <w:p w:rsidRPr="00465022" w:rsidR="003C2E30" w:rsidP="003C2E30" w:rsidRDefault="003C2E30" w14:paraId="49FCF988" w14:textId="4EE063D9">
            <w:pPr>
              <w:jc w:val="center"/>
              <w:rPr>
                <w:rFonts w:ascii="Arial" w:hAnsi="Arial" w:cs="Arial"/>
                <w:color w:val="000000"/>
                <w:sz w:val="20"/>
                <w:szCs w:val="20"/>
              </w:rPr>
            </w:pPr>
            <w:r w:rsidRPr="00465022">
              <w:rPr>
                <w:rFonts w:ascii="Arial" w:hAnsi="Arial" w:cs="Arial"/>
                <w:color w:val="000000"/>
                <w:sz w:val="20"/>
                <w:szCs w:val="20"/>
              </w:rPr>
              <w:t>1</w:t>
            </w:r>
          </w:p>
        </w:tc>
        <w:tc>
          <w:tcPr>
            <w:tcW w:w="1260" w:type="dxa"/>
            <w:shd w:val="clear" w:color="auto" w:fill="auto"/>
            <w:tcMar>
              <w:top w:w="72" w:type="dxa"/>
              <w:left w:w="72" w:type="dxa"/>
              <w:bottom w:w="72" w:type="dxa"/>
              <w:right w:w="72" w:type="dxa"/>
            </w:tcMar>
            <w:vAlign w:val="center"/>
          </w:tcPr>
          <w:p w:rsidRPr="00AA1877" w:rsidR="003C2E30" w:rsidP="003C2E30" w:rsidRDefault="003C2E30" w14:paraId="35A00EFD" w14:textId="478810E5">
            <w:pPr>
              <w:jc w:val="center"/>
              <w:rPr>
                <w:rFonts w:ascii="Arial" w:hAnsi="Arial" w:cs="Arial"/>
                <w:color w:val="000000"/>
                <w:sz w:val="20"/>
                <w:szCs w:val="20"/>
              </w:rPr>
            </w:pPr>
            <w:r w:rsidRPr="00465022">
              <w:rPr>
                <w:rFonts w:ascii="Arial" w:hAnsi="Arial" w:cs="Arial"/>
                <w:color w:val="000000"/>
                <w:sz w:val="20"/>
                <w:szCs w:val="20"/>
              </w:rPr>
              <w:t>2</w:t>
            </w:r>
            <w:r>
              <w:rPr>
                <w:rFonts w:ascii="Arial" w:hAnsi="Arial" w:cs="Arial"/>
                <w:color w:val="000000"/>
                <w:sz w:val="20"/>
                <w:szCs w:val="20"/>
              </w:rPr>
              <w:t>,</w:t>
            </w:r>
            <w:r w:rsidRPr="00465022">
              <w:rPr>
                <w:rFonts w:ascii="Arial" w:hAnsi="Arial" w:cs="Arial"/>
                <w:color w:val="000000"/>
                <w:sz w:val="20"/>
                <w:szCs w:val="20"/>
              </w:rPr>
              <w:t>790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586BE2BE" w14:textId="77777777">
            <w:pPr>
              <w:jc w:val="center"/>
              <w:rPr>
                <w:rFonts w:ascii="Arial" w:hAnsi="Arial" w:cs="Arial"/>
                <w:color w:val="000000"/>
                <w:sz w:val="20"/>
                <w:szCs w:val="20"/>
              </w:rPr>
            </w:pPr>
            <w:r w:rsidRPr="00465022">
              <w:rPr>
                <w:rFonts w:ascii="Arial" w:hAnsi="Arial" w:cs="Arial"/>
                <w:color w:val="000000"/>
                <w:sz w:val="20"/>
                <w:szCs w:val="20"/>
              </w:rPr>
              <w:t>0.08</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3DE6685E" w14:textId="460B5C18">
            <w:pPr>
              <w:jc w:val="center"/>
              <w:rPr>
                <w:rFonts w:ascii="Arial" w:hAnsi="Arial" w:cs="Arial"/>
                <w:color w:val="000000"/>
                <w:sz w:val="20"/>
                <w:szCs w:val="20"/>
              </w:rPr>
            </w:pPr>
            <w:r w:rsidRPr="00465022">
              <w:rPr>
                <w:rFonts w:ascii="Arial" w:hAnsi="Arial" w:cs="Arial"/>
                <w:color w:val="000000"/>
                <w:sz w:val="20"/>
                <w:szCs w:val="20"/>
              </w:rPr>
              <w:t>2</w:t>
            </w:r>
            <w:r w:rsidR="00B10201">
              <w:rPr>
                <w:rFonts w:ascii="Arial" w:hAnsi="Arial" w:cs="Arial"/>
                <w:color w:val="000000"/>
                <w:sz w:val="20"/>
                <w:szCs w:val="20"/>
              </w:rPr>
              <w:t>2</w:t>
            </w:r>
            <w:r w:rsidRPr="00465022">
              <w:rPr>
                <w:rFonts w:ascii="Arial" w:hAnsi="Arial" w:cs="Arial"/>
                <w:color w:val="000000"/>
                <w:sz w:val="20"/>
                <w:szCs w:val="20"/>
              </w:rPr>
              <w:t>3</w:t>
            </w:r>
          </w:p>
        </w:tc>
        <w:tc>
          <w:tcPr>
            <w:tcW w:w="1170" w:type="dxa"/>
            <w:shd w:val="clear" w:color="auto" w:fill="auto"/>
            <w:tcMar>
              <w:top w:w="72" w:type="dxa"/>
              <w:left w:w="72" w:type="dxa"/>
              <w:bottom w:w="72" w:type="dxa"/>
              <w:right w:w="72" w:type="dxa"/>
            </w:tcMar>
            <w:vAlign w:val="center"/>
          </w:tcPr>
          <w:p w:rsidRPr="00AA1877" w:rsidR="003C2E30" w:rsidP="003C2E30" w:rsidRDefault="003C2E30" w14:paraId="4B3EB3B7" w14:textId="77777777">
            <w:pPr>
              <w:jc w:val="center"/>
              <w:rPr>
                <w:rFonts w:ascii="Arial" w:hAnsi="Arial" w:cs="Arial"/>
                <w:color w:val="000000"/>
                <w:sz w:val="20"/>
                <w:szCs w:val="20"/>
              </w:rPr>
            </w:pPr>
            <w:r w:rsidRPr="00465022">
              <w:rPr>
                <w:rFonts w:ascii="Arial" w:hAnsi="Arial" w:cs="Arial"/>
                <w:color w:val="000000"/>
                <w:sz w:val="20"/>
                <w:szCs w:val="20"/>
              </w:rPr>
              <w:t>$33.46</w:t>
            </w:r>
          </w:p>
        </w:tc>
        <w:tc>
          <w:tcPr>
            <w:tcW w:w="990" w:type="dxa"/>
            <w:shd w:val="clear" w:color="auto" w:fill="auto"/>
            <w:tcMar>
              <w:top w:w="72" w:type="dxa"/>
              <w:left w:w="72" w:type="dxa"/>
              <w:bottom w:w="72" w:type="dxa"/>
              <w:right w:w="72" w:type="dxa"/>
            </w:tcMar>
            <w:vAlign w:val="center"/>
          </w:tcPr>
          <w:p w:rsidRPr="00AA1877" w:rsidR="003C2E30" w:rsidP="001A023A" w:rsidRDefault="003C2E30" w14:paraId="3F815DF4" w14:textId="25C9CC5D">
            <w:pPr>
              <w:jc w:val="right"/>
              <w:rPr>
                <w:rFonts w:ascii="Arial" w:hAnsi="Arial" w:cs="Arial"/>
                <w:color w:val="000000"/>
                <w:sz w:val="20"/>
                <w:szCs w:val="20"/>
              </w:rPr>
            </w:pPr>
            <w:r w:rsidRPr="00465022">
              <w:rPr>
                <w:rFonts w:ascii="Arial" w:hAnsi="Arial" w:cs="Arial"/>
                <w:color w:val="000000"/>
                <w:sz w:val="20"/>
                <w:szCs w:val="20"/>
              </w:rPr>
              <w:t>$7,</w:t>
            </w:r>
            <w:r w:rsidR="00B10201">
              <w:rPr>
                <w:rFonts w:ascii="Arial" w:hAnsi="Arial" w:cs="Arial"/>
                <w:color w:val="000000"/>
                <w:sz w:val="20"/>
                <w:szCs w:val="20"/>
              </w:rPr>
              <w:t>46</w:t>
            </w:r>
            <w:r w:rsidRPr="00465022">
              <w:rPr>
                <w:rFonts w:ascii="Arial" w:hAnsi="Arial" w:cs="Arial"/>
                <w:color w:val="000000"/>
                <w:sz w:val="20"/>
                <w:szCs w:val="20"/>
              </w:rPr>
              <w:t xml:space="preserve">8 </w:t>
            </w:r>
          </w:p>
        </w:tc>
      </w:tr>
      <w:tr w:rsidRPr="00AA1877" w:rsidR="003C2E30" w:rsidTr="001A023A" w14:paraId="20CB1742" w14:textId="77777777">
        <w:trPr>
          <w:trHeight w:val="432"/>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13AD9FFD" w14:textId="77777777">
            <w:pPr>
              <w:ind w:right="-19"/>
              <w:rPr>
                <w:rFonts w:ascii="Arial" w:hAnsi="Arial" w:cs="Arial"/>
                <w:color w:val="000000"/>
                <w:sz w:val="20"/>
                <w:szCs w:val="20"/>
                <w:vertAlign w:val="superscript"/>
              </w:rPr>
            </w:pPr>
            <w:r w:rsidRPr="00AA1877">
              <w:rPr>
                <w:rFonts w:ascii="Arial" w:hAnsi="Arial" w:cs="Arial"/>
                <w:color w:val="000000"/>
                <w:sz w:val="20"/>
                <w:szCs w:val="20"/>
              </w:rPr>
              <w:t xml:space="preserve">OAHM Program Documentation of Work Completed Form </w:t>
            </w:r>
            <w:r w:rsidRPr="00AA1877">
              <w:rPr>
                <w:rFonts w:ascii="Arial" w:hAnsi="Arial" w:cs="Arial"/>
                <w:color w:val="000000"/>
                <w:sz w:val="20"/>
                <w:szCs w:val="20"/>
                <w:vertAlign w:val="superscript"/>
              </w:rPr>
              <w:t>c</w:t>
            </w:r>
          </w:p>
        </w:tc>
        <w:tc>
          <w:tcPr>
            <w:tcW w:w="1440" w:type="dxa"/>
            <w:shd w:val="clear" w:color="auto" w:fill="auto"/>
            <w:tcMar>
              <w:top w:w="72" w:type="dxa"/>
              <w:left w:w="72" w:type="dxa"/>
              <w:bottom w:w="72" w:type="dxa"/>
              <w:right w:w="72" w:type="dxa"/>
            </w:tcMar>
            <w:vAlign w:val="center"/>
          </w:tcPr>
          <w:p w:rsidRPr="00AA1877" w:rsidR="003C2E30" w:rsidP="003C2E30" w:rsidRDefault="00E50062" w14:paraId="06DF5B38" w14:textId="3269A9E2">
            <w:pPr>
              <w:jc w:val="center"/>
              <w:rPr>
                <w:rFonts w:ascii="Arial" w:hAnsi="Arial" w:cs="Arial"/>
                <w:color w:val="000000"/>
                <w:sz w:val="20"/>
                <w:szCs w:val="20"/>
              </w:rPr>
            </w:pPr>
            <w:r>
              <w:rPr>
                <w:rFonts w:ascii="Arial" w:hAnsi="Arial" w:cs="Arial"/>
                <w:color w:val="000000"/>
                <w:sz w:val="20"/>
                <w:szCs w:val="20"/>
              </w:rPr>
              <w:t>2,250</w:t>
            </w:r>
          </w:p>
        </w:tc>
        <w:tc>
          <w:tcPr>
            <w:tcW w:w="1080" w:type="dxa"/>
            <w:vAlign w:val="center"/>
          </w:tcPr>
          <w:p w:rsidRPr="00465022" w:rsidR="003C2E30" w:rsidP="003C2E30" w:rsidRDefault="003C2E30" w14:paraId="08424858" w14:textId="11636363">
            <w:pPr>
              <w:jc w:val="center"/>
              <w:rPr>
                <w:rFonts w:ascii="Arial" w:hAnsi="Arial" w:cs="Arial"/>
                <w:color w:val="000000"/>
                <w:sz w:val="20"/>
                <w:szCs w:val="20"/>
              </w:rPr>
            </w:pPr>
            <w:r w:rsidRPr="00465022">
              <w:rPr>
                <w:rFonts w:ascii="Arial" w:hAnsi="Arial" w:cs="Arial"/>
                <w:color w:val="000000"/>
                <w:sz w:val="20"/>
                <w:szCs w:val="20"/>
              </w:rPr>
              <w:t>1</w:t>
            </w:r>
          </w:p>
        </w:tc>
        <w:tc>
          <w:tcPr>
            <w:tcW w:w="1260" w:type="dxa"/>
            <w:shd w:val="clear" w:color="auto" w:fill="auto"/>
            <w:tcMar>
              <w:top w:w="72" w:type="dxa"/>
              <w:left w:w="72" w:type="dxa"/>
              <w:bottom w:w="72" w:type="dxa"/>
              <w:right w:w="72" w:type="dxa"/>
            </w:tcMar>
            <w:vAlign w:val="center"/>
          </w:tcPr>
          <w:p w:rsidRPr="00AA1877" w:rsidR="003C2E30" w:rsidP="003C2E30" w:rsidRDefault="003C2E30" w14:paraId="41BB308F" w14:textId="08FDB62B">
            <w:pPr>
              <w:jc w:val="center"/>
              <w:rPr>
                <w:rFonts w:ascii="Arial" w:hAnsi="Arial" w:cs="Arial"/>
                <w:color w:val="000000"/>
                <w:sz w:val="20"/>
                <w:szCs w:val="20"/>
              </w:rPr>
            </w:pPr>
            <w:r w:rsidRPr="00465022">
              <w:rPr>
                <w:rFonts w:ascii="Arial" w:hAnsi="Arial" w:cs="Arial"/>
                <w:color w:val="000000"/>
                <w:sz w:val="20"/>
                <w:szCs w:val="20"/>
              </w:rPr>
              <w:t>2</w:t>
            </w:r>
            <w:r>
              <w:rPr>
                <w:rFonts w:ascii="Arial" w:hAnsi="Arial" w:cs="Arial"/>
                <w:color w:val="000000"/>
                <w:sz w:val="20"/>
                <w:szCs w:val="20"/>
              </w:rPr>
              <w:t>,</w:t>
            </w:r>
            <w:r w:rsidRPr="00465022">
              <w:rPr>
                <w:rFonts w:ascii="Arial" w:hAnsi="Arial" w:cs="Arial"/>
                <w:color w:val="000000"/>
                <w:sz w:val="20"/>
                <w:szCs w:val="20"/>
              </w:rPr>
              <w:t>250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4542C726" w14:textId="77777777">
            <w:pPr>
              <w:jc w:val="center"/>
              <w:rPr>
                <w:rFonts w:ascii="Arial" w:hAnsi="Arial" w:cs="Arial"/>
                <w:color w:val="000000"/>
                <w:sz w:val="20"/>
                <w:szCs w:val="20"/>
              </w:rPr>
            </w:pPr>
            <w:r w:rsidRPr="00465022">
              <w:rPr>
                <w:rFonts w:ascii="Arial" w:hAnsi="Arial" w:cs="Arial"/>
                <w:color w:val="000000"/>
                <w:sz w:val="20"/>
                <w:szCs w:val="20"/>
              </w:rPr>
              <w:t>0.50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2DDED78B" w14:textId="77777777">
            <w:pPr>
              <w:jc w:val="center"/>
              <w:rPr>
                <w:rFonts w:ascii="Arial" w:hAnsi="Arial" w:cs="Arial"/>
                <w:color w:val="000000"/>
                <w:sz w:val="20"/>
                <w:szCs w:val="20"/>
              </w:rPr>
            </w:pPr>
            <w:r w:rsidRPr="00465022">
              <w:rPr>
                <w:rFonts w:ascii="Arial" w:hAnsi="Arial" w:cs="Arial"/>
                <w:color w:val="000000"/>
                <w:sz w:val="20"/>
                <w:szCs w:val="20"/>
              </w:rPr>
              <w:t>1</w:t>
            </w:r>
            <w:r>
              <w:rPr>
                <w:rFonts w:ascii="Arial" w:hAnsi="Arial" w:cs="Arial"/>
                <w:color w:val="000000"/>
                <w:sz w:val="20"/>
                <w:szCs w:val="20"/>
              </w:rPr>
              <w:t>,</w:t>
            </w:r>
            <w:r w:rsidRPr="00465022">
              <w:rPr>
                <w:rFonts w:ascii="Arial" w:hAnsi="Arial" w:cs="Arial"/>
                <w:color w:val="000000"/>
                <w:sz w:val="20"/>
                <w:szCs w:val="20"/>
              </w:rPr>
              <w:t>125</w:t>
            </w:r>
          </w:p>
        </w:tc>
        <w:tc>
          <w:tcPr>
            <w:tcW w:w="1170" w:type="dxa"/>
            <w:shd w:val="clear" w:color="auto" w:fill="auto"/>
            <w:tcMar>
              <w:top w:w="72" w:type="dxa"/>
              <w:left w:w="72" w:type="dxa"/>
              <w:bottom w:w="72" w:type="dxa"/>
              <w:right w:w="72" w:type="dxa"/>
            </w:tcMar>
            <w:vAlign w:val="center"/>
          </w:tcPr>
          <w:p w:rsidRPr="00AA1877" w:rsidR="003C2E30" w:rsidP="003C2E30" w:rsidRDefault="003C2E30" w14:paraId="58FFC80F" w14:textId="77777777">
            <w:pPr>
              <w:jc w:val="center"/>
              <w:rPr>
                <w:rFonts w:ascii="Arial" w:hAnsi="Arial" w:cs="Arial"/>
                <w:color w:val="000000"/>
                <w:sz w:val="20"/>
                <w:szCs w:val="20"/>
              </w:rPr>
            </w:pPr>
            <w:r w:rsidRPr="00465022">
              <w:rPr>
                <w:rFonts w:ascii="Arial" w:hAnsi="Arial" w:cs="Arial"/>
                <w:color w:val="000000"/>
                <w:sz w:val="20"/>
                <w:szCs w:val="20"/>
              </w:rPr>
              <w:t>$33.46</w:t>
            </w:r>
          </w:p>
        </w:tc>
        <w:tc>
          <w:tcPr>
            <w:tcW w:w="990" w:type="dxa"/>
            <w:shd w:val="clear" w:color="auto" w:fill="auto"/>
            <w:tcMar>
              <w:top w:w="72" w:type="dxa"/>
              <w:left w:w="72" w:type="dxa"/>
              <w:bottom w:w="72" w:type="dxa"/>
              <w:right w:w="72" w:type="dxa"/>
            </w:tcMar>
            <w:vAlign w:val="center"/>
          </w:tcPr>
          <w:p w:rsidRPr="00AA1877" w:rsidR="003C2E30" w:rsidP="001A023A" w:rsidRDefault="003C2E30" w14:paraId="67AADC1C" w14:textId="77777777">
            <w:pPr>
              <w:jc w:val="right"/>
              <w:rPr>
                <w:rFonts w:ascii="Arial" w:hAnsi="Arial" w:cs="Arial"/>
                <w:color w:val="000000"/>
                <w:sz w:val="20"/>
                <w:szCs w:val="20"/>
              </w:rPr>
            </w:pPr>
            <w:r w:rsidRPr="00465022">
              <w:rPr>
                <w:rFonts w:ascii="Arial" w:hAnsi="Arial" w:cs="Arial"/>
                <w:color w:val="000000"/>
                <w:sz w:val="20"/>
                <w:szCs w:val="20"/>
              </w:rPr>
              <w:t xml:space="preserve">$37,643 </w:t>
            </w:r>
          </w:p>
        </w:tc>
      </w:tr>
      <w:tr w:rsidRPr="00AA1877" w:rsidR="003C2E30" w:rsidTr="001A023A" w14:paraId="14509802" w14:textId="77777777">
        <w:trPr>
          <w:trHeight w:val="432"/>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2A4806D6" w14:textId="634F73FD">
            <w:pPr>
              <w:rPr>
                <w:rFonts w:ascii="Arial" w:hAnsi="Arial" w:cs="Arial"/>
                <w:color w:val="000000"/>
                <w:sz w:val="20"/>
                <w:szCs w:val="20"/>
                <w:vertAlign w:val="superscript"/>
              </w:rPr>
            </w:pPr>
            <w:r w:rsidRPr="00AA1877">
              <w:rPr>
                <w:rFonts w:ascii="Arial" w:hAnsi="Arial" w:cs="Arial"/>
                <w:color w:val="000000"/>
                <w:sz w:val="20"/>
                <w:szCs w:val="20"/>
              </w:rPr>
              <w:t>Grantee Process Evaluation Online Survey Year 1</w:t>
            </w:r>
            <w:r w:rsidRPr="00AA1877">
              <w:rPr>
                <w:rFonts w:ascii="Arial" w:hAnsi="Arial" w:cs="Arial"/>
                <w:color w:val="000000"/>
                <w:sz w:val="20"/>
                <w:szCs w:val="20"/>
                <w:vertAlign w:val="superscript"/>
              </w:rPr>
              <w:t>d</w:t>
            </w:r>
          </w:p>
        </w:tc>
        <w:tc>
          <w:tcPr>
            <w:tcW w:w="1440" w:type="dxa"/>
            <w:shd w:val="clear" w:color="auto" w:fill="auto"/>
            <w:tcMar>
              <w:top w:w="72" w:type="dxa"/>
              <w:left w:w="72" w:type="dxa"/>
              <w:bottom w:w="72" w:type="dxa"/>
              <w:right w:w="72" w:type="dxa"/>
            </w:tcMar>
            <w:vAlign w:val="center"/>
          </w:tcPr>
          <w:p w:rsidRPr="00AA1877" w:rsidR="003C2E30" w:rsidP="003C2E30" w:rsidRDefault="00E50062" w14:paraId="283AFAA3" w14:textId="1AA72470">
            <w:pPr>
              <w:jc w:val="center"/>
              <w:rPr>
                <w:rFonts w:ascii="Arial" w:hAnsi="Arial" w:cs="Arial"/>
                <w:color w:val="000000"/>
                <w:sz w:val="20"/>
                <w:szCs w:val="20"/>
              </w:rPr>
            </w:pPr>
            <w:r>
              <w:rPr>
                <w:rFonts w:ascii="Arial" w:hAnsi="Arial" w:cs="Arial"/>
                <w:color w:val="000000"/>
                <w:sz w:val="20"/>
                <w:szCs w:val="20"/>
              </w:rPr>
              <w:t>32</w:t>
            </w:r>
          </w:p>
        </w:tc>
        <w:tc>
          <w:tcPr>
            <w:tcW w:w="1080" w:type="dxa"/>
            <w:vAlign w:val="center"/>
          </w:tcPr>
          <w:p w:rsidRPr="00465022" w:rsidR="003C2E30" w:rsidP="003C2E30" w:rsidRDefault="003C2E30" w14:paraId="714CA4D9" w14:textId="2CE8817E">
            <w:pPr>
              <w:jc w:val="center"/>
              <w:rPr>
                <w:rFonts w:ascii="Arial" w:hAnsi="Arial" w:cs="Arial"/>
                <w:color w:val="000000"/>
                <w:sz w:val="20"/>
                <w:szCs w:val="20"/>
              </w:rPr>
            </w:pPr>
            <w:r w:rsidRPr="00465022">
              <w:rPr>
                <w:rFonts w:ascii="Arial" w:hAnsi="Arial" w:cs="Arial"/>
                <w:color w:val="000000"/>
                <w:sz w:val="20"/>
                <w:szCs w:val="20"/>
              </w:rPr>
              <w:t>1</w:t>
            </w:r>
          </w:p>
        </w:tc>
        <w:tc>
          <w:tcPr>
            <w:tcW w:w="1260" w:type="dxa"/>
            <w:shd w:val="clear" w:color="auto" w:fill="auto"/>
            <w:tcMar>
              <w:top w:w="72" w:type="dxa"/>
              <w:left w:w="72" w:type="dxa"/>
              <w:bottom w:w="72" w:type="dxa"/>
              <w:right w:w="72" w:type="dxa"/>
            </w:tcMar>
            <w:vAlign w:val="center"/>
          </w:tcPr>
          <w:p w:rsidRPr="00AA1877" w:rsidR="003C2E30" w:rsidP="003C2E30" w:rsidRDefault="003C2E30" w14:paraId="79AE1036" w14:textId="71DE1EB3">
            <w:pPr>
              <w:jc w:val="center"/>
              <w:rPr>
                <w:rFonts w:ascii="Arial" w:hAnsi="Arial" w:cs="Arial"/>
                <w:color w:val="000000"/>
                <w:sz w:val="20"/>
                <w:szCs w:val="20"/>
              </w:rPr>
            </w:pPr>
            <w:r w:rsidRPr="00465022">
              <w:rPr>
                <w:rFonts w:ascii="Arial" w:hAnsi="Arial" w:cs="Arial"/>
                <w:color w:val="000000"/>
                <w:sz w:val="20"/>
                <w:szCs w:val="20"/>
              </w:rPr>
              <w:t>32</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25B0CF05" w14:textId="77777777">
            <w:pPr>
              <w:jc w:val="center"/>
              <w:rPr>
                <w:rFonts w:ascii="Arial" w:hAnsi="Arial" w:cs="Arial"/>
                <w:color w:val="000000"/>
                <w:sz w:val="20"/>
                <w:szCs w:val="20"/>
              </w:rPr>
            </w:pPr>
            <w:r w:rsidRPr="00465022">
              <w:rPr>
                <w:rFonts w:ascii="Arial" w:hAnsi="Arial" w:cs="Arial"/>
                <w:color w:val="000000"/>
                <w:sz w:val="20"/>
                <w:szCs w:val="20"/>
              </w:rPr>
              <w:t>4.00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0B02BFC5" w14:textId="77777777">
            <w:pPr>
              <w:jc w:val="center"/>
              <w:rPr>
                <w:rFonts w:ascii="Arial" w:hAnsi="Arial" w:cs="Arial"/>
                <w:color w:val="000000"/>
                <w:sz w:val="20"/>
                <w:szCs w:val="20"/>
              </w:rPr>
            </w:pPr>
            <w:r w:rsidRPr="00465022">
              <w:rPr>
                <w:rFonts w:ascii="Arial" w:hAnsi="Arial" w:cs="Arial"/>
                <w:color w:val="000000"/>
                <w:sz w:val="20"/>
                <w:szCs w:val="20"/>
              </w:rPr>
              <w:t>128</w:t>
            </w:r>
          </w:p>
        </w:tc>
        <w:tc>
          <w:tcPr>
            <w:tcW w:w="1170" w:type="dxa"/>
            <w:shd w:val="clear" w:color="auto" w:fill="auto"/>
            <w:noWrap/>
            <w:tcMar>
              <w:top w:w="72" w:type="dxa"/>
              <w:left w:w="72" w:type="dxa"/>
              <w:bottom w:w="72" w:type="dxa"/>
              <w:right w:w="72" w:type="dxa"/>
            </w:tcMar>
            <w:vAlign w:val="center"/>
          </w:tcPr>
          <w:p w:rsidRPr="00AA1877" w:rsidR="003C2E30" w:rsidP="003C2E30" w:rsidRDefault="003C2E30" w14:paraId="0383B0F3" w14:textId="77777777">
            <w:pPr>
              <w:jc w:val="center"/>
              <w:rPr>
                <w:rFonts w:ascii="Arial" w:hAnsi="Arial" w:cs="Arial"/>
                <w:color w:val="000000"/>
                <w:sz w:val="20"/>
                <w:szCs w:val="20"/>
              </w:rPr>
            </w:pPr>
            <w:r w:rsidRPr="00465022">
              <w:rPr>
                <w:rFonts w:ascii="Arial" w:hAnsi="Arial" w:cs="Arial"/>
                <w:color w:val="000000"/>
                <w:sz w:val="20"/>
                <w:szCs w:val="20"/>
              </w:rPr>
              <w:t>$33.46</w:t>
            </w:r>
          </w:p>
        </w:tc>
        <w:tc>
          <w:tcPr>
            <w:tcW w:w="990" w:type="dxa"/>
            <w:shd w:val="clear" w:color="auto" w:fill="auto"/>
            <w:tcMar>
              <w:top w:w="72" w:type="dxa"/>
              <w:left w:w="72" w:type="dxa"/>
              <w:bottom w:w="72" w:type="dxa"/>
              <w:right w:w="72" w:type="dxa"/>
            </w:tcMar>
            <w:vAlign w:val="center"/>
          </w:tcPr>
          <w:p w:rsidRPr="00AA1877" w:rsidR="003C2E30" w:rsidP="001A023A" w:rsidRDefault="003C2E30" w14:paraId="6E281F95" w14:textId="77777777">
            <w:pPr>
              <w:jc w:val="right"/>
              <w:rPr>
                <w:rFonts w:ascii="Arial" w:hAnsi="Arial" w:cs="Arial"/>
                <w:color w:val="000000"/>
                <w:sz w:val="20"/>
                <w:szCs w:val="20"/>
              </w:rPr>
            </w:pPr>
            <w:r w:rsidRPr="00465022">
              <w:rPr>
                <w:rFonts w:ascii="Arial" w:hAnsi="Arial" w:cs="Arial"/>
                <w:color w:val="000000"/>
                <w:sz w:val="20"/>
                <w:szCs w:val="20"/>
              </w:rPr>
              <w:t xml:space="preserve">$4,283 </w:t>
            </w:r>
          </w:p>
        </w:tc>
      </w:tr>
      <w:tr w:rsidRPr="001A023A" w:rsidR="003C2E30" w:rsidTr="001A023A" w14:paraId="764DACC3" w14:textId="77777777">
        <w:trPr>
          <w:trHeight w:val="144"/>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72E44862" w14:textId="77777777">
            <w:pPr>
              <w:rPr>
                <w:rFonts w:ascii="Arial" w:hAnsi="Arial" w:cs="Arial"/>
                <w:color w:val="000000"/>
                <w:sz w:val="20"/>
                <w:szCs w:val="20"/>
                <w:vertAlign w:val="superscript"/>
              </w:rPr>
            </w:pPr>
            <w:r w:rsidRPr="00AA1877">
              <w:rPr>
                <w:rFonts w:ascii="Arial" w:hAnsi="Arial" w:cs="Arial"/>
                <w:color w:val="000000"/>
                <w:sz w:val="20"/>
                <w:szCs w:val="20"/>
              </w:rPr>
              <w:t xml:space="preserve">Grantee Site Visit Interview Guide </w:t>
            </w:r>
            <w:r w:rsidRPr="00AA1877">
              <w:rPr>
                <w:rFonts w:ascii="Arial" w:hAnsi="Arial" w:cs="Arial"/>
                <w:color w:val="000000"/>
                <w:sz w:val="20"/>
                <w:szCs w:val="20"/>
                <w:vertAlign w:val="superscript"/>
              </w:rPr>
              <w:t>e</w:t>
            </w:r>
          </w:p>
        </w:tc>
        <w:tc>
          <w:tcPr>
            <w:tcW w:w="1440" w:type="dxa"/>
            <w:shd w:val="clear" w:color="auto" w:fill="auto"/>
            <w:tcMar>
              <w:top w:w="72" w:type="dxa"/>
              <w:left w:w="72" w:type="dxa"/>
              <w:bottom w:w="72" w:type="dxa"/>
              <w:right w:w="72" w:type="dxa"/>
            </w:tcMar>
            <w:vAlign w:val="center"/>
          </w:tcPr>
          <w:p w:rsidRPr="00AA1877" w:rsidR="003C2E30" w:rsidP="003C2E30" w:rsidRDefault="00E50062" w14:paraId="3AB9D8A1" w14:textId="192D8E4B">
            <w:pPr>
              <w:jc w:val="center"/>
              <w:rPr>
                <w:rFonts w:ascii="Arial" w:hAnsi="Arial" w:cs="Arial"/>
                <w:color w:val="000000"/>
                <w:sz w:val="20"/>
                <w:szCs w:val="20"/>
              </w:rPr>
            </w:pPr>
            <w:r>
              <w:rPr>
                <w:rFonts w:ascii="Arial" w:hAnsi="Arial" w:cs="Arial"/>
                <w:color w:val="000000"/>
                <w:sz w:val="20"/>
                <w:szCs w:val="20"/>
              </w:rPr>
              <w:t>5.3</w:t>
            </w:r>
          </w:p>
        </w:tc>
        <w:tc>
          <w:tcPr>
            <w:tcW w:w="1080" w:type="dxa"/>
            <w:vAlign w:val="center"/>
          </w:tcPr>
          <w:p w:rsidRPr="00465022" w:rsidR="003C2E30" w:rsidP="003C2E30" w:rsidRDefault="003C2E30" w14:paraId="1F09E8E3" w14:textId="6EBC7EE9">
            <w:pPr>
              <w:jc w:val="center"/>
              <w:rPr>
                <w:rFonts w:ascii="Arial" w:hAnsi="Arial" w:cs="Arial"/>
                <w:color w:val="000000"/>
                <w:sz w:val="20"/>
                <w:szCs w:val="20"/>
              </w:rPr>
            </w:pPr>
            <w:r w:rsidRPr="00465022">
              <w:rPr>
                <w:rFonts w:ascii="Arial" w:hAnsi="Arial" w:cs="Arial"/>
                <w:color w:val="000000"/>
                <w:sz w:val="20"/>
                <w:szCs w:val="20"/>
              </w:rPr>
              <w:t>2</w:t>
            </w:r>
          </w:p>
        </w:tc>
        <w:tc>
          <w:tcPr>
            <w:tcW w:w="1260" w:type="dxa"/>
            <w:shd w:val="clear" w:color="auto" w:fill="auto"/>
            <w:tcMar>
              <w:top w:w="72" w:type="dxa"/>
              <w:left w:w="72" w:type="dxa"/>
              <w:bottom w:w="72" w:type="dxa"/>
              <w:right w:w="72" w:type="dxa"/>
            </w:tcMar>
            <w:vAlign w:val="center"/>
          </w:tcPr>
          <w:p w:rsidRPr="00AA1877" w:rsidR="003C2E30" w:rsidP="003C2E30" w:rsidRDefault="001B31A3" w14:paraId="06B86A3D" w14:textId="03B8902B">
            <w:pPr>
              <w:jc w:val="center"/>
              <w:rPr>
                <w:rFonts w:ascii="Arial" w:hAnsi="Arial" w:cs="Arial"/>
                <w:color w:val="000000"/>
                <w:sz w:val="20"/>
                <w:szCs w:val="20"/>
              </w:rPr>
            </w:pPr>
            <w:r>
              <w:rPr>
                <w:rFonts w:ascii="Arial" w:hAnsi="Arial" w:cs="Arial"/>
                <w:color w:val="000000"/>
                <w:sz w:val="20"/>
                <w:szCs w:val="20"/>
              </w:rPr>
              <w:t>10.6</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6BD06027" w14:textId="77777777">
            <w:pPr>
              <w:jc w:val="center"/>
              <w:rPr>
                <w:rFonts w:ascii="Arial" w:hAnsi="Arial" w:cs="Arial"/>
                <w:color w:val="000000"/>
                <w:sz w:val="20"/>
                <w:szCs w:val="20"/>
              </w:rPr>
            </w:pPr>
            <w:r w:rsidRPr="00465022">
              <w:rPr>
                <w:rFonts w:ascii="Arial" w:hAnsi="Arial" w:cs="Arial"/>
                <w:color w:val="000000"/>
                <w:sz w:val="20"/>
                <w:szCs w:val="20"/>
              </w:rPr>
              <w:t>2.00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3405A8A3" w14:textId="77777777">
            <w:pPr>
              <w:jc w:val="center"/>
              <w:rPr>
                <w:rFonts w:ascii="Arial" w:hAnsi="Arial" w:cs="Arial"/>
                <w:color w:val="000000"/>
                <w:sz w:val="20"/>
                <w:szCs w:val="20"/>
              </w:rPr>
            </w:pPr>
            <w:r w:rsidRPr="00465022">
              <w:rPr>
                <w:rFonts w:ascii="Arial" w:hAnsi="Arial" w:cs="Arial"/>
                <w:color w:val="000000"/>
                <w:sz w:val="20"/>
                <w:szCs w:val="20"/>
              </w:rPr>
              <w:t>21</w:t>
            </w:r>
          </w:p>
        </w:tc>
        <w:tc>
          <w:tcPr>
            <w:tcW w:w="1170" w:type="dxa"/>
            <w:shd w:val="clear" w:color="auto" w:fill="auto"/>
            <w:noWrap/>
            <w:tcMar>
              <w:top w:w="72" w:type="dxa"/>
              <w:left w:w="72" w:type="dxa"/>
              <w:bottom w:w="72" w:type="dxa"/>
              <w:right w:w="72" w:type="dxa"/>
            </w:tcMar>
            <w:vAlign w:val="center"/>
          </w:tcPr>
          <w:p w:rsidRPr="00AA1877" w:rsidR="003C2E30" w:rsidP="003C2E30" w:rsidRDefault="003C2E30" w14:paraId="5823416A" w14:textId="77777777">
            <w:pPr>
              <w:jc w:val="center"/>
              <w:rPr>
                <w:rFonts w:ascii="Arial" w:hAnsi="Arial" w:cs="Arial"/>
                <w:color w:val="000000"/>
                <w:sz w:val="20"/>
                <w:szCs w:val="20"/>
              </w:rPr>
            </w:pPr>
            <w:r w:rsidRPr="00465022">
              <w:rPr>
                <w:rFonts w:ascii="Arial" w:hAnsi="Arial" w:cs="Arial"/>
                <w:color w:val="000000"/>
                <w:sz w:val="20"/>
                <w:szCs w:val="20"/>
              </w:rPr>
              <w:t>$33.46</w:t>
            </w:r>
          </w:p>
        </w:tc>
        <w:tc>
          <w:tcPr>
            <w:tcW w:w="990" w:type="dxa"/>
            <w:shd w:val="clear" w:color="auto" w:fill="auto"/>
            <w:tcMar>
              <w:top w:w="72" w:type="dxa"/>
              <w:left w:w="72" w:type="dxa"/>
              <w:bottom w:w="72" w:type="dxa"/>
              <w:right w:w="72" w:type="dxa"/>
            </w:tcMar>
            <w:vAlign w:val="center"/>
          </w:tcPr>
          <w:p w:rsidRPr="001A023A" w:rsidR="003C2E30" w:rsidP="001A023A" w:rsidRDefault="003C2E30" w14:paraId="5B91754B" w14:textId="7DC3CAC4">
            <w:pPr>
              <w:jc w:val="right"/>
              <w:rPr>
                <w:rFonts w:ascii="Arial" w:hAnsi="Arial" w:cs="Arial"/>
                <w:color w:val="000000"/>
                <w:sz w:val="20"/>
                <w:szCs w:val="20"/>
              </w:rPr>
            </w:pPr>
            <w:r w:rsidRPr="001A023A">
              <w:rPr>
                <w:rFonts w:ascii="Arial" w:hAnsi="Arial" w:cs="Arial"/>
                <w:color w:val="000000"/>
                <w:sz w:val="20"/>
                <w:szCs w:val="20"/>
              </w:rPr>
              <w:t>$7</w:t>
            </w:r>
            <w:r w:rsidR="00B10201">
              <w:rPr>
                <w:rFonts w:ascii="Arial" w:hAnsi="Arial" w:cs="Arial"/>
                <w:color w:val="000000"/>
                <w:sz w:val="20"/>
                <w:szCs w:val="20"/>
              </w:rPr>
              <w:t>09</w:t>
            </w:r>
            <w:r w:rsidRPr="001A023A">
              <w:rPr>
                <w:rFonts w:ascii="Arial" w:hAnsi="Arial" w:cs="Arial"/>
                <w:color w:val="000000"/>
                <w:sz w:val="20"/>
                <w:szCs w:val="20"/>
              </w:rPr>
              <w:t xml:space="preserve"> </w:t>
            </w:r>
          </w:p>
        </w:tc>
      </w:tr>
      <w:tr w:rsidRPr="00AA1877" w:rsidR="003C2E30" w:rsidTr="001A023A" w14:paraId="11213AC6" w14:textId="77777777">
        <w:trPr>
          <w:trHeight w:val="144"/>
        </w:trPr>
        <w:tc>
          <w:tcPr>
            <w:tcW w:w="2340" w:type="dxa"/>
            <w:shd w:val="clear" w:color="auto" w:fill="auto"/>
            <w:tcMar>
              <w:top w:w="72" w:type="dxa"/>
              <w:left w:w="72" w:type="dxa"/>
              <w:bottom w:w="72" w:type="dxa"/>
              <w:right w:w="72" w:type="dxa"/>
            </w:tcMar>
            <w:vAlign w:val="center"/>
            <w:hideMark/>
          </w:tcPr>
          <w:p w:rsidRPr="00AA1877" w:rsidR="003C2E30" w:rsidP="003C2E30" w:rsidRDefault="003C2E30" w14:paraId="1CE9B1F9" w14:textId="77777777">
            <w:pPr>
              <w:rPr>
                <w:rFonts w:ascii="Arial" w:hAnsi="Arial" w:cs="Arial"/>
                <w:b/>
                <w:bCs/>
                <w:color w:val="000000"/>
                <w:sz w:val="20"/>
                <w:szCs w:val="20"/>
              </w:rPr>
            </w:pPr>
            <w:r w:rsidRPr="00AA1877">
              <w:rPr>
                <w:rFonts w:ascii="Arial" w:hAnsi="Arial" w:cs="Arial"/>
                <w:b/>
                <w:bCs/>
                <w:color w:val="000000"/>
                <w:sz w:val="20"/>
                <w:szCs w:val="20"/>
              </w:rPr>
              <w:t xml:space="preserve">Total Annual </w:t>
            </w:r>
          </w:p>
        </w:tc>
        <w:tc>
          <w:tcPr>
            <w:tcW w:w="1440" w:type="dxa"/>
            <w:shd w:val="clear" w:color="auto" w:fill="auto"/>
            <w:tcMar>
              <w:top w:w="72" w:type="dxa"/>
              <w:left w:w="72" w:type="dxa"/>
              <w:bottom w:w="72" w:type="dxa"/>
              <w:right w:w="72" w:type="dxa"/>
            </w:tcMar>
            <w:vAlign w:val="center"/>
          </w:tcPr>
          <w:p w:rsidRPr="00AA1877" w:rsidR="003C2E30" w:rsidP="003C2E30" w:rsidRDefault="003C2E30" w14:paraId="4C5D5E1F" w14:textId="20AFAFBE">
            <w:pPr>
              <w:jc w:val="center"/>
              <w:rPr>
                <w:rFonts w:ascii="Arial" w:hAnsi="Arial" w:cs="Arial"/>
                <w:color w:val="000000"/>
                <w:sz w:val="20"/>
                <w:szCs w:val="20"/>
              </w:rPr>
            </w:pPr>
          </w:p>
        </w:tc>
        <w:tc>
          <w:tcPr>
            <w:tcW w:w="1080" w:type="dxa"/>
          </w:tcPr>
          <w:p w:rsidRPr="00465022" w:rsidR="003C2E30" w:rsidP="003C2E30" w:rsidRDefault="003C2E30" w14:paraId="320C2A98" w14:textId="77777777">
            <w:pPr>
              <w:jc w:val="center"/>
              <w:rPr>
                <w:rFonts w:ascii="Arial" w:hAnsi="Arial" w:cs="Arial"/>
                <w:b/>
                <w:bCs/>
                <w:color w:val="000000"/>
                <w:sz w:val="20"/>
                <w:szCs w:val="20"/>
              </w:rPr>
            </w:pPr>
          </w:p>
        </w:tc>
        <w:tc>
          <w:tcPr>
            <w:tcW w:w="1260" w:type="dxa"/>
            <w:shd w:val="clear" w:color="auto" w:fill="auto"/>
            <w:tcMar>
              <w:top w:w="72" w:type="dxa"/>
              <w:left w:w="72" w:type="dxa"/>
              <w:bottom w:w="72" w:type="dxa"/>
              <w:right w:w="72" w:type="dxa"/>
            </w:tcMar>
            <w:vAlign w:val="center"/>
          </w:tcPr>
          <w:p w:rsidRPr="00AA1877" w:rsidR="003C2E30" w:rsidP="003C2E30" w:rsidRDefault="003C2E30" w14:paraId="34F09BBC" w14:textId="25E56D16">
            <w:pPr>
              <w:jc w:val="center"/>
              <w:rPr>
                <w:rFonts w:ascii="Arial" w:hAnsi="Arial" w:cs="Arial"/>
                <w:b/>
                <w:color w:val="000000"/>
                <w:sz w:val="20"/>
                <w:szCs w:val="20"/>
              </w:rPr>
            </w:pPr>
            <w:r w:rsidRPr="00465022">
              <w:rPr>
                <w:rFonts w:ascii="Arial" w:hAnsi="Arial" w:cs="Arial"/>
                <w:b/>
                <w:bCs/>
                <w:color w:val="000000"/>
                <w:sz w:val="20"/>
                <w:szCs w:val="20"/>
              </w:rPr>
              <w:t>9</w:t>
            </w:r>
            <w:r>
              <w:rPr>
                <w:rFonts w:ascii="Arial" w:hAnsi="Arial" w:cs="Arial"/>
                <w:b/>
                <w:bCs/>
                <w:color w:val="000000"/>
                <w:sz w:val="20"/>
                <w:szCs w:val="20"/>
              </w:rPr>
              <w:t>,</w:t>
            </w:r>
            <w:r w:rsidRPr="00465022">
              <w:rPr>
                <w:rFonts w:ascii="Arial" w:hAnsi="Arial" w:cs="Arial"/>
                <w:b/>
                <w:bCs/>
                <w:color w:val="000000"/>
                <w:sz w:val="20"/>
                <w:szCs w:val="20"/>
              </w:rPr>
              <w:t>5</w:t>
            </w:r>
            <w:r w:rsidR="00BC5A62">
              <w:rPr>
                <w:rFonts w:ascii="Arial" w:hAnsi="Arial" w:cs="Arial"/>
                <w:b/>
                <w:bCs/>
                <w:color w:val="000000"/>
                <w:sz w:val="20"/>
                <w:szCs w:val="20"/>
              </w:rPr>
              <w:t>60.60</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0D935849" w14:textId="46F0B36B">
            <w:pPr>
              <w:jc w:val="center"/>
              <w:rPr>
                <w:rFonts w:ascii="Arial" w:hAnsi="Arial" w:cs="Arial"/>
                <w:b/>
                <w:bCs/>
                <w:color w:val="000000"/>
                <w:sz w:val="20"/>
                <w:szCs w:val="20"/>
              </w:rPr>
            </w:pPr>
            <w:r w:rsidRPr="00465022">
              <w:rPr>
                <w:rFonts w:ascii="Arial" w:hAnsi="Arial" w:cs="Arial"/>
                <w:b/>
                <w:bCs/>
                <w:color w:val="000000"/>
                <w:sz w:val="20"/>
                <w:szCs w:val="20"/>
              </w:rPr>
              <w:t>6.6</w:t>
            </w:r>
            <w:r w:rsidR="00BC5A62">
              <w:rPr>
                <w:rFonts w:ascii="Arial" w:hAnsi="Arial" w:cs="Arial"/>
                <w:b/>
                <w:bCs/>
                <w:color w:val="000000"/>
                <w:sz w:val="20"/>
                <w:szCs w:val="20"/>
              </w:rPr>
              <w:t>6</w:t>
            </w:r>
          </w:p>
        </w:tc>
        <w:tc>
          <w:tcPr>
            <w:tcW w:w="1080" w:type="dxa"/>
            <w:shd w:val="clear" w:color="auto" w:fill="auto"/>
            <w:tcMar>
              <w:top w:w="72" w:type="dxa"/>
              <w:left w:w="72" w:type="dxa"/>
              <w:bottom w:w="72" w:type="dxa"/>
              <w:right w:w="72" w:type="dxa"/>
            </w:tcMar>
            <w:vAlign w:val="center"/>
          </w:tcPr>
          <w:p w:rsidRPr="00AA1877" w:rsidR="003C2E30" w:rsidP="003C2E30" w:rsidRDefault="003C2E30" w14:paraId="68AEABF4" w14:textId="6627C46B">
            <w:pPr>
              <w:jc w:val="center"/>
              <w:rPr>
                <w:rFonts w:ascii="Arial" w:hAnsi="Arial" w:cs="Arial"/>
                <w:b/>
                <w:bCs/>
                <w:color w:val="000000"/>
                <w:sz w:val="20"/>
                <w:szCs w:val="20"/>
              </w:rPr>
            </w:pPr>
            <w:r w:rsidRPr="00465022">
              <w:rPr>
                <w:rFonts w:ascii="Arial" w:hAnsi="Arial" w:cs="Arial"/>
                <w:b/>
                <w:bCs/>
                <w:color w:val="000000"/>
                <w:sz w:val="20"/>
                <w:szCs w:val="20"/>
              </w:rPr>
              <w:t>1</w:t>
            </w:r>
            <w:r>
              <w:rPr>
                <w:rFonts w:ascii="Arial" w:hAnsi="Arial" w:cs="Arial"/>
                <w:b/>
                <w:bCs/>
                <w:color w:val="000000"/>
                <w:sz w:val="20"/>
                <w:szCs w:val="20"/>
              </w:rPr>
              <w:t>,</w:t>
            </w:r>
            <w:r w:rsidRPr="00465022">
              <w:rPr>
                <w:rFonts w:ascii="Arial" w:hAnsi="Arial" w:cs="Arial"/>
                <w:b/>
                <w:bCs/>
                <w:color w:val="000000"/>
                <w:sz w:val="20"/>
                <w:szCs w:val="20"/>
              </w:rPr>
              <w:t>8</w:t>
            </w:r>
            <w:r w:rsidR="006A57E2">
              <w:rPr>
                <w:rFonts w:ascii="Arial" w:hAnsi="Arial" w:cs="Arial"/>
                <w:b/>
                <w:bCs/>
                <w:color w:val="000000"/>
                <w:sz w:val="20"/>
                <w:szCs w:val="20"/>
              </w:rPr>
              <w:t>56</w:t>
            </w:r>
          </w:p>
        </w:tc>
        <w:tc>
          <w:tcPr>
            <w:tcW w:w="1170" w:type="dxa"/>
            <w:shd w:val="clear" w:color="auto" w:fill="auto"/>
            <w:tcMar>
              <w:top w:w="72" w:type="dxa"/>
              <w:left w:w="72" w:type="dxa"/>
              <w:bottom w:w="72" w:type="dxa"/>
              <w:right w:w="72" w:type="dxa"/>
            </w:tcMar>
            <w:vAlign w:val="center"/>
          </w:tcPr>
          <w:p w:rsidRPr="00AA1877" w:rsidR="003C2E30" w:rsidP="003C2E30" w:rsidRDefault="003C2E30" w14:paraId="10079BC4" w14:textId="77777777">
            <w:pPr>
              <w:jc w:val="right"/>
              <w:rPr>
                <w:rFonts w:ascii="Arial" w:hAnsi="Arial" w:cs="Arial"/>
                <w:b/>
                <w:bCs/>
                <w:color w:val="000000"/>
                <w:sz w:val="20"/>
                <w:szCs w:val="20"/>
              </w:rPr>
            </w:pPr>
            <w:r w:rsidRPr="00465022">
              <w:rPr>
                <w:rFonts w:ascii="Arial" w:hAnsi="Arial" w:cs="Arial"/>
                <w:b/>
                <w:bCs/>
                <w:color w:val="000000"/>
                <w:sz w:val="20"/>
                <w:szCs w:val="20"/>
              </w:rPr>
              <w:t> </w:t>
            </w:r>
          </w:p>
        </w:tc>
        <w:tc>
          <w:tcPr>
            <w:tcW w:w="990" w:type="dxa"/>
            <w:shd w:val="clear" w:color="auto" w:fill="auto"/>
            <w:tcMar>
              <w:top w:w="72" w:type="dxa"/>
              <w:left w:w="72" w:type="dxa"/>
              <w:bottom w:w="72" w:type="dxa"/>
              <w:right w:w="72" w:type="dxa"/>
            </w:tcMar>
            <w:vAlign w:val="center"/>
          </w:tcPr>
          <w:p w:rsidRPr="00AA1877" w:rsidR="003C2E30" w:rsidP="001A023A" w:rsidRDefault="003C2E30" w14:paraId="0EEF65CE" w14:textId="0B73ED22">
            <w:pPr>
              <w:jc w:val="right"/>
              <w:rPr>
                <w:rFonts w:ascii="Arial" w:hAnsi="Arial" w:cs="Arial"/>
                <w:b/>
                <w:bCs/>
                <w:color w:val="000000"/>
                <w:sz w:val="20"/>
                <w:szCs w:val="20"/>
              </w:rPr>
            </w:pPr>
            <w:r w:rsidRPr="00465022">
              <w:rPr>
                <w:rFonts w:ascii="Arial" w:hAnsi="Arial" w:cs="Arial"/>
                <w:b/>
                <w:bCs/>
                <w:color w:val="000000"/>
                <w:sz w:val="20"/>
                <w:szCs w:val="20"/>
              </w:rPr>
              <w:t>$62,</w:t>
            </w:r>
            <w:r w:rsidR="00D4124B">
              <w:rPr>
                <w:rFonts w:ascii="Arial" w:hAnsi="Arial" w:cs="Arial"/>
                <w:b/>
                <w:bCs/>
                <w:color w:val="000000"/>
                <w:sz w:val="20"/>
                <w:szCs w:val="20"/>
              </w:rPr>
              <w:t>090</w:t>
            </w:r>
          </w:p>
        </w:tc>
      </w:tr>
      <w:tr w:rsidRPr="00AA1877" w:rsidR="003C2E30" w:rsidTr="001A023A" w14:paraId="057F94FE" w14:textId="77777777">
        <w:trPr>
          <w:trHeight w:val="144"/>
        </w:trPr>
        <w:tc>
          <w:tcPr>
            <w:tcW w:w="2340" w:type="dxa"/>
            <w:shd w:val="clear" w:color="auto" w:fill="auto"/>
            <w:tcMar>
              <w:top w:w="72" w:type="dxa"/>
              <w:left w:w="72" w:type="dxa"/>
              <w:bottom w:w="72" w:type="dxa"/>
              <w:right w:w="72" w:type="dxa"/>
            </w:tcMar>
            <w:vAlign w:val="bottom"/>
            <w:hideMark/>
          </w:tcPr>
          <w:p w:rsidRPr="00AA1877" w:rsidR="003C2E30" w:rsidP="003C2E30" w:rsidRDefault="003C2E30" w14:paraId="42D8747A" w14:textId="77777777">
            <w:pPr>
              <w:rPr>
                <w:rFonts w:ascii="Arial" w:hAnsi="Arial" w:cs="Arial"/>
                <w:b/>
                <w:bCs/>
                <w:color w:val="000000"/>
                <w:sz w:val="20"/>
                <w:szCs w:val="20"/>
              </w:rPr>
            </w:pPr>
            <w:r w:rsidRPr="00AA1877">
              <w:rPr>
                <w:rFonts w:ascii="Arial" w:hAnsi="Arial" w:cs="Arial"/>
                <w:b/>
                <w:bCs/>
                <w:color w:val="000000"/>
                <w:sz w:val="20"/>
                <w:szCs w:val="20"/>
              </w:rPr>
              <w:t>Total over 3 Years</w:t>
            </w:r>
          </w:p>
        </w:tc>
        <w:tc>
          <w:tcPr>
            <w:tcW w:w="1440" w:type="dxa"/>
            <w:shd w:val="clear" w:color="auto" w:fill="auto"/>
            <w:tcMar>
              <w:top w:w="72" w:type="dxa"/>
              <w:left w:w="72" w:type="dxa"/>
              <w:bottom w:w="72" w:type="dxa"/>
              <w:right w:w="72" w:type="dxa"/>
            </w:tcMar>
            <w:vAlign w:val="bottom"/>
          </w:tcPr>
          <w:p w:rsidRPr="00AA1877" w:rsidR="003C2E30" w:rsidP="003C2E30" w:rsidRDefault="003C2E30" w14:paraId="04F94F28" w14:textId="77777777">
            <w:pPr>
              <w:jc w:val="center"/>
              <w:rPr>
                <w:rFonts w:ascii="Arial" w:hAnsi="Arial" w:cs="Arial"/>
                <w:color w:val="000000"/>
                <w:sz w:val="20"/>
                <w:szCs w:val="20"/>
              </w:rPr>
            </w:pPr>
          </w:p>
        </w:tc>
        <w:tc>
          <w:tcPr>
            <w:tcW w:w="1080" w:type="dxa"/>
          </w:tcPr>
          <w:p w:rsidRPr="00AA1877" w:rsidR="003C2E30" w:rsidP="003C2E30" w:rsidRDefault="003C2E30" w14:paraId="5B72FF45" w14:textId="77777777">
            <w:pPr>
              <w:jc w:val="center"/>
              <w:rPr>
                <w:rFonts w:ascii="Arial" w:hAnsi="Arial" w:cs="Arial"/>
                <w:color w:val="000000"/>
                <w:sz w:val="20"/>
                <w:szCs w:val="20"/>
              </w:rPr>
            </w:pPr>
          </w:p>
        </w:tc>
        <w:tc>
          <w:tcPr>
            <w:tcW w:w="1260" w:type="dxa"/>
            <w:shd w:val="clear" w:color="auto" w:fill="auto"/>
            <w:tcMar>
              <w:top w:w="72" w:type="dxa"/>
              <w:left w:w="72" w:type="dxa"/>
              <w:bottom w:w="72" w:type="dxa"/>
              <w:right w:w="72" w:type="dxa"/>
            </w:tcMar>
            <w:vAlign w:val="bottom"/>
          </w:tcPr>
          <w:p w:rsidRPr="00AA1877" w:rsidR="003C2E30" w:rsidP="003C2E30" w:rsidRDefault="003C2E30" w14:paraId="6B5E550C" w14:textId="17CAD5A6">
            <w:pPr>
              <w:jc w:val="center"/>
              <w:rPr>
                <w:rFonts w:ascii="Arial" w:hAnsi="Arial" w:cs="Arial"/>
                <w:color w:val="000000"/>
                <w:sz w:val="20"/>
                <w:szCs w:val="20"/>
              </w:rPr>
            </w:pPr>
          </w:p>
        </w:tc>
        <w:tc>
          <w:tcPr>
            <w:tcW w:w="1080" w:type="dxa"/>
            <w:shd w:val="clear" w:color="auto" w:fill="auto"/>
            <w:tcMar>
              <w:top w:w="72" w:type="dxa"/>
              <w:left w:w="72" w:type="dxa"/>
              <w:bottom w:w="72" w:type="dxa"/>
              <w:right w:w="72" w:type="dxa"/>
            </w:tcMar>
            <w:vAlign w:val="bottom"/>
          </w:tcPr>
          <w:p w:rsidRPr="00AA1877" w:rsidR="003C2E30" w:rsidP="003C2E30" w:rsidRDefault="003C2E30" w14:paraId="1CF18AF3" w14:textId="77777777">
            <w:pPr>
              <w:jc w:val="center"/>
              <w:rPr>
                <w:rFonts w:ascii="Arial" w:hAnsi="Arial" w:cs="Arial"/>
                <w:b/>
                <w:bCs/>
                <w:color w:val="000000"/>
                <w:sz w:val="20"/>
                <w:szCs w:val="20"/>
              </w:rPr>
            </w:pPr>
            <w:r w:rsidRPr="00AA1877">
              <w:rPr>
                <w:rFonts w:ascii="Arial" w:hAnsi="Arial" w:cs="Arial"/>
                <w:b/>
                <w:bCs/>
                <w:color w:val="000000"/>
                <w:sz w:val="20"/>
                <w:szCs w:val="20"/>
              </w:rPr>
              <w:t>20.00</w:t>
            </w:r>
          </w:p>
        </w:tc>
        <w:tc>
          <w:tcPr>
            <w:tcW w:w="1080" w:type="dxa"/>
            <w:shd w:val="clear" w:color="auto" w:fill="auto"/>
            <w:tcMar>
              <w:top w:w="72" w:type="dxa"/>
              <w:left w:w="72" w:type="dxa"/>
              <w:bottom w:w="72" w:type="dxa"/>
              <w:right w:w="72" w:type="dxa"/>
            </w:tcMar>
            <w:vAlign w:val="bottom"/>
          </w:tcPr>
          <w:p w:rsidRPr="00AA1877" w:rsidR="003C2E30" w:rsidP="003C2E30" w:rsidRDefault="003C2E30" w14:paraId="796C3ACE" w14:textId="435A67F8">
            <w:pPr>
              <w:jc w:val="center"/>
              <w:rPr>
                <w:rFonts w:ascii="Arial" w:hAnsi="Arial" w:cs="Arial"/>
                <w:b/>
                <w:bCs/>
                <w:color w:val="000000"/>
                <w:sz w:val="20"/>
                <w:szCs w:val="20"/>
              </w:rPr>
            </w:pPr>
            <w:r w:rsidRPr="00465022">
              <w:rPr>
                <w:rFonts w:ascii="Arial" w:hAnsi="Arial" w:cs="Arial"/>
                <w:b/>
                <w:bCs/>
                <w:color w:val="000000"/>
                <w:sz w:val="20"/>
                <w:szCs w:val="20"/>
              </w:rPr>
              <w:t>5,</w:t>
            </w:r>
            <w:r w:rsidR="006A57E2">
              <w:rPr>
                <w:rFonts w:ascii="Arial" w:hAnsi="Arial" w:cs="Arial"/>
                <w:b/>
                <w:bCs/>
                <w:color w:val="000000"/>
                <w:sz w:val="20"/>
                <w:szCs w:val="20"/>
              </w:rPr>
              <w:t>568</w:t>
            </w:r>
          </w:p>
        </w:tc>
        <w:tc>
          <w:tcPr>
            <w:tcW w:w="1170" w:type="dxa"/>
            <w:shd w:val="clear" w:color="auto" w:fill="auto"/>
            <w:tcMar>
              <w:top w:w="72" w:type="dxa"/>
              <w:left w:w="72" w:type="dxa"/>
              <w:bottom w:w="72" w:type="dxa"/>
              <w:right w:w="72" w:type="dxa"/>
            </w:tcMar>
            <w:vAlign w:val="bottom"/>
          </w:tcPr>
          <w:p w:rsidRPr="00AA1877" w:rsidR="003C2E30" w:rsidP="003C2E30" w:rsidRDefault="003C2E30" w14:paraId="4818E952" w14:textId="77777777">
            <w:pPr>
              <w:jc w:val="center"/>
              <w:rPr>
                <w:rFonts w:ascii="Arial" w:hAnsi="Arial" w:cs="Arial"/>
                <w:b/>
                <w:bCs/>
                <w:color w:val="000000"/>
                <w:sz w:val="20"/>
                <w:szCs w:val="20"/>
              </w:rPr>
            </w:pPr>
          </w:p>
        </w:tc>
        <w:tc>
          <w:tcPr>
            <w:tcW w:w="990" w:type="dxa"/>
            <w:shd w:val="clear" w:color="auto" w:fill="auto"/>
            <w:tcMar>
              <w:top w:w="72" w:type="dxa"/>
              <w:left w:w="72" w:type="dxa"/>
              <w:bottom w:w="72" w:type="dxa"/>
              <w:right w:w="72" w:type="dxa"/>
            </w:tcMar>
            <w:vAlign w:val="bottom"/>
          </w:tcPr>
          <w:p w:rsidRPr="00AA1877" w:rsidR="003C2E30" w:rsidP="001A023A" w:rsidRDefault="003C2E30" w14:paraId="7EBBCB9F" w14:textId="0BAC3D0E">
            <w:pPr>
              <w:jc w:val="center"/>
              <w:rPr>
                <w:rFonts w:ascii="Arial" w:hAnsi="Arial" w:cs="Arial"/>
                <w:b/>
                <w:bCs/>
                <w:color w:val="000000"/>
                <w:sz w:val="20"/>
                <w:szCs w:val="20"/>
              </w:rPr>
            </w:pPr>
            <w:r w:rsidRPr="00465022">
              <w:rPr>
                <w:rFonts w:ascii="Arial" w:hAnsi="Arial" w:cs="Arial"/>
                <w:b/>
                <w:bCs/>
                <w:color w:val="000000"/>
                <w:sz w:val="20"/>
                <w:szCs w:val="20"/>
              </w:rPr>
              <w:t>$</w:t>
            </w:r>
            <w:r w:rsidR="00D4124B">
              <w:rPr>
                <w:rFonts w:ascii="Arial" w:hAnsi="Arial" w:cs="Arial"/>
                <w:b/>
                <w:bCs/>
                <w:color w:val="000000"/>
                <w:sz w:val="20"/>
                <w:szCs w:val="20"/>
              </w:rPr>
              <w:t>186,2</w:t>
            </w:r>
            <w:r w:rsidR="006A57E2">
              <w:rPr>
                <w:rFonts w:ascii="Arial" w:hAnsi="Arial" w:cs="Arial"/>
                <w:b/>
                <w:bCs/>
                <w:color w:val="000000"/>
                <w:sz w:val="20"/>
                <w:szCs w:val="20"/>
              </w:rPr>
              <w:t>70</w:t>
            </w:r>
          </w:p>
        </w:tc>
      </w:tr>
      <w:tr w:rsidRPr="00AA1877" w:rsidR="001A023A" w:rsidTr="001A023A" w14:paraId="0547463F" w14:textId="77777777">
        <w:trPr>
          <w:trHeight w:val="537"/>
        </w:trPr>
        <w:tc>
          <w:tcPr>
            <w:tcW w:w="10440" w:type="dxa"/>
            <w:gridSpan w:val="8"/>
            <w:vMerge w:val="restart"/>
            <w:shd w:val="clear" w:color="auto" w:fill="auto"/>
            <w:tcMar>
              <w:top w:w="72" w:type="dxa"/>
              <w:left w:w="72" w:type="dxa"/>
              <w:bottom w:w="72" w:type="dxa"/>
              <w:right w:w="72" w:type="dxa"/>
            </w:tcMar>
            <w:vAlign w:val="center"/>
            <w:hideMark/>
          </w:tcPr>
          <w:p w:rsidRPr="00AA1877" w:rsidR="001A023A" w:rsidP="003C2E30" w:rsidRDefault="001A023A" w14:paraId="0A837C10" w14:textId="65B7DC38">
            <w:pPr>
              <w:spacing w:after="40"/>
              <w:rPr>
                <w:rFonts w:ascii="Arial" w:hAnsi="Arial" w:cs="Arial"/>
                <w:sz w:val="20"/>
                <w:szCs w:val="20"/>
              </w:rPr>
            </w:pPr>
            <w:r w:rsidRPr="00AA1877">
              <w:rPr>
                <w:rFonts w:ascii="Arial" w:hAnsi="Arial" w:cs="Arial"/>
                <w:sz w:val="20"/>
                <w:szCs w:val="20"/>
                <w:vertAlign w:val="superscript"/>
              </w:rPr>
              <w:t xml:space="preserve">a. </w:t>
            </w:r>
            <w:r>
              <w:rPr>
                <w:rFonts w:ascii="Arial" w:hAnsi="Arial" w:cs="Arial"/>
                <w:sz w:val="20"/>
                <w:szCs w:val="20"/>
              </w:rPr>
              <w:t>G</w:t>
            </w:r>
            <w:r w:rsidRPr="00AA1877">
              <w:rPr>
                <w:rFonts w:ascii="Arial" w:hAnsi="Arial" w:cs="Arial"/>
                <w:color w:val="000000"/>
                <w:sz w:val="20"/>
                <w:szCs w:val="20"/>
              </w:rPr>
              <w:t>rantees are expected to complete the Client Eligibility Documentation form for all applicants, an estimated total of 13,433 forms over the three</w:t>
            </w:r>
            <w:r>
              <w:rPr>
                <w:rFonts w:ascii="Arial" w:hAnsi="Arial" w:cs="Arial"/>
                <w:color w:val="000000"/>
                <w:sz w:val="20"/>
                <w:szCs w:val="20"/>
              </w:rPr>
              <w:t>-</w:t>
            </w:r>
            <w:r w:rsidRPr="00AA1877">
              <w:rPr>
                <w:rFonts w:ascii="Arial" w:hAnsi="Arial" w:cs="Arial"/>
                <w:color w:val="000000"/>
                <w:sz w:val="20"/>
                <w:szCs w:val="20"/>
              </w:rPr>
              <w:t>year period of the OAHMP grant</w:t>
            </w:r>
            <w:r>
              <w:rPr>
                <w:rFonts w:ascii="Arial" w:hAnsi="Arial" w:cs="Arial"/>
                <w:color w:val="000000"/>
                <w:sz w:val="20"/>
                <w:szCs w:val="20"/>
              </w:rPr>
              <w:t>, or approximately 4,478 per year</w:t>
            </w:r>
            <w:r w:rsidRPr="00AA1877">
              <w:rPr>
                <w:rFonts w:ascii="Arial" w:hAnsi="Arial" w:cs="Arial"/>
                <w:color w:val="000000"/>
                <w:sz w:val="20"/>
                <w:szCs w:val="20"/>
              </w:rPr>
              <w:t>. This estimate is calculated based upon the assumption</w:t>
            </w:r>
            <w:r>
              <w:rPr>
                <w:rFonts w:ascii="Arial" w:hAnsi="Arial" w:cs="Arial"/>
                <w:color w:val="000000"/>
                <w:sz w:val="20"/>
                <w:szCs w:val="20"/>
              </w:rPr>
              <w:t xml:space="preserve"> that</w:t>
            </w:r>
            <w:r w:rsidRPr="00AA1877">
              <w:rPr>
                <w:rFonts w:ascii="Arial" w:hAnsi="Arial" w:cs="Arial"/>
                <w:color w:val="000000"/>
                <w:sz w:val="20"/>
                <w:szCs w:val="20"/>
              </w:rPr>
              <w:t xml:space="preserve"> 33% of applicants (</w:t>
            </w:r>
            <w:r>
              <w:rPr>
                <w:rFonts w:ascii="Arial" w:hAnsi="Arial" w:cs="Arial"/>
                <w:color w:val="000000"/>
                <w:sz w:val="20"/>
                <w:szCs w:val="20"/>
              </w:rPr>
              <w:t xml:space="preserve">approximately </w:t>
            </w:r>
            <w:r w:rsidRPr="00AA1877">
              <w:rPr>
                <w:rFonts w:ascii="Arial" w:hAnsi="Arial" w:cs="Arial"/>
                <w:color w:val="000000"/>
                <w:sz w:val="20"/>
                <w:szCs w:val="20"/>
              </w:rPr>
              <w:t>4,433) will be determined ineligible for the program, and</w:t>
            </w:r>
            <w:r>
              <w:rPr>
                <w:rFonts w:ascii="Arial" w:hAnsi="Arial" w:cs="Arial"/>
                <w:color w:val="000000"/>
                <w:sz w:val="20"/>
                <w:szCs w:val="20"/>
              </w:rPr>
              <w:t xml:space="preserve"> the</w:t>
            </w:r>
            <w:r w:rsidRPr="00AA1877">
              <w:rPr>
                <w:rFonts w:ascii="Arial" w:hAnsi="Arial" w:cs="Arial"/>
                <w:color w:val="000000"/>
                <w:sz w:val="20"/>
                <w:szCs w:val="20"/>
              </w:rPr>
              <w:t xml:space="preserve"> </w:t>
            </w:r>
            <w:r>
              <w:rPr>
                <w:rFonts w:ascii="Arial" w:hAnsi="Arial" w:cs="Arial"/>
                <w:color w:val="000000"/>
                <w:sz w:val="20"/>
                <w:szCs w:val="20"/>
              </w:rPr>
              <w:t xml:space="preserve">$30 million in funding for </w:t>
            </w:r>
            <w:r w:rsidRPr="00AA1877">
              <w:rPr>
                <w:rFonts w:ascii="Arial" w:hAnsi="Arial" w:cs="Arial"/>
                <w:color w:val="000000"/>
                <w:sz w:val="20"/>
                <w:szCs w:val="20"/>
              </w:rPr>
              <w:t xml:space="preserve">the program will deliver home modifications to 9,000 eligible clients at an estimated average cost of $3,000 per home. </w:t>
            </w:r>
          </w:p>
          <w:p w:rsidRPr="00AA1877" w:rsidR="001A023A" w:rsidP="003C2E30" w:rsidRDefault="001A023A" w14:paraId="713B3698" w14:textId="2D325FFD">
            <w:pPr>
              <w:spacing w:after="40"/>
              <w:rPr>
                <w:rFonts w:ascii="Arial" w:hAnsi="Arial" w:cs="Arial"/>
                <w:color w:val="000000"/>
                <w:sz w:val="20"/>
                <w:szCs w:val="20"/>
              </w:rPr>
            </w:pPr>
            <w:r w:rsidRPr="00AA1877">
              <w:rPr>
                <w:rFonts w:ascii="Arial" w:hAnsi="Arial" w:cs="Arial"/>
                <w:sz w:val="20"/>
                <w:szCs w:val="20"/>
                <w:vertAlign w:val="superscript"/>
              </w:rPr>
              <w:t>b.</w:t>
            </w:r>
            <w:r w:rsidRPr="00AA1877">
              <w:rPr>
                <w:rFonts w:ascii="Arial" w:hAnsi="Arial" w:cs="Arial"/>
                <w:color w:val="000000"/>
                <w:sz w:val="20"/>
                <w:szCs w:val="20"/>
              </w:rPr>
              <w:t xml:space="preserve"> Grantees are required to complete forms for all cases lost to the evaluation, estimated at </w:t>
            </w:r>
            <w:r>
              <w:rPr>
                <w:rFonts w:ascii="Arial" w:hAnsi="Arial" w:cs="Arial"/>
                <w:color w:val="000000"/>
                <w:sz w:val="20"/>
                <w:szCs w:val="20"/>
              </w:rPr>
              <w:t>2,790</w:t>
            </w:r>
            <w:r w:rsidRPr="00AA1877">
              <w:rPr>
                <w:rFonts w:ascii="Arial" w:hAnsi="Arial" w:cs="Arial"/>
                <w:color w:val="000000"/>
                <w:sz w:val="20"/>
                <w:szCs w:val="20"/>
              </w:rPr>
              <w:t xml:space="preserve"> forms</w:t>
            </w:r>
            <w:r>
              <w:rPr>
                <w:rFonts w:ascii="Arial" w:hAnsi="Arial" w:cs="Arial"/>
                <w:color w:val="000000"/>
                <w:sz w:val="20"/>
                <w:szCs w:val="20"/>
              </w:rPr>
              <w:t xml:space="preserve"> per year</w:t>
            </w:r>
            <w:r w:rsidRPr="00AA1877">
              <w:rPr>
                <w:rFonts w:ascii="Arial" w:hAnsi="Arial" w:cs="Arial"/>
                <w:color w:val="000000"/>
                <w:sz w:val="20"/>
                <w:szCs w:val="20"/>
              </w:rPr>
              <w:t xml:space="preserve">. This total reflects the three categories of lost to follow-up from the </w:t>
            </w:r>
            <w:r>
              <w:rPr>
                <w:rFonts w:ascii="Arial" w:hAnsi="Arial" w:cs="Arial"/>
                <w:color w:val="000000"/>
                <w:sz w:val="20"/>
                <w:szCs w:val="20"/>
              </w:rPr>
              <w:t xml:space="preserve">4,478 </w:t>
            </w:r>
            <w:r w:rsidRPr="00AA1877">
              <w:rPr>
                <w:rFonts w:ascii="Arial" w:hAnsi="Arial" w:cs="Arial"/>
                <w:color w:val="000000"/>
                <w:sz w:val="20"/>
                <w:szCs w:val="20"/>
              </w:rPr>
              <w:t>estimated applicants</w:t>
            </w:r>
            <w:r>
              <w:rPr>
                <w:rFonts w:ascii="Arial" w:hAnsi="Arial" w:cs="Arial"/>
                <w:color w:val="000000"/>
                <w:sz w:val="20"/>
                <w:szCs w:val="20"/>
              </w:rPr>
              <w:t xml:space="preserve"> per year</w:t>
            </w:r>
            <w:r w:rsidRPr="00AA1877">
              <w:rPr>
                <w:rFonts w:ascii="Arial" w:hAnsi="Arial" w:cs="Arial"/>
                <w:color w:val="000000"/>
                <w:sz w:val="20"/>
                <w:szCs w:val="20"/>
              </w:rPr>
              <w:t>: 1) 33% (</w:t>
            </w:r>
            <w:r>
              <w:rPr>
                <w:rFonts w:ascii="Arial" w:hAnsi="Arial" w:cs="Arial"/>
                <w:color w:val="000000"/>
                <w:sz w:val="20"/>
                <w:szCs w:val="20"/>
              </w:rPr>
              <w:t>~1,478</w:t>
            </w:r>
            <w:r w:rsidRPr="00AA1877">
              <w:rPr>
                <w:rFonts w:ascii="Arial" w:hAnsi="Arial" w:cs="Arial"/>
                <w:color w:val="000000"/>
                <w:sz w:val="20"/>
                <w:szCs w:val="20"/>
              </w:rPr>
              <w:t xml:space="preserve">) expected to be determined ineligible; 2) </w:t>
            </w:r>
            <w:r>
              <w:rPr>
                <w:rFonts w:ascii="Arial" w:hAnsi="Arial" w:cs="Arial"/>
                <w:color w:val="000000"/>
                <w:sz w:val="20"/>
                <w:szCs w:val="20"/>
              </w:rPr>
              <w:t xml:space="preserve">an additional </w:t>
            </w:r>
            <w:r w:rsidRPr="00AA1877">
              <w:rPr>
                <w:rFonts w:ascii="Arial" w:hAnsi="Arial" w:cs="Arial"/>
                <w:color w:val="000000"/>
                <w:sz w:val="20"/>
                <w:szCs w:val="20"/>
              </w:rPr>
              <w:t>25% (</w:t>
            </w:r>
            <w:r>
              <w:rPr>
                <w:rFonts w:ascii="Arial" w:hAnsi="Arial" w:cs="Arial"/>
                <w:color w:val="000000"/>
                <w:sz w:val="20"/>
                <w:szCs w:val="20"/>
              </w:rPr>
              <w:t>~750</w:t>
            </w:r>
            <w:r w:rsidRPr="00AA1877">
              <w:rPr>
                <w:rFonts w:ascii="Arial" w:hAnsi="Arial" w:cs="Arial"/>
                <w:color w:val="000000"/>
                <w:sz w:val="20"/>
                <w:szCs w:val="20"/>
              </w:rPr>
              <w:t xml:space="preserve">) expected to decline to participate in the evaluation; and 3) </w:t>
            </w:r>
            <w:r>
              <w:rPr>
                <w:rFonts w:ascii="Arial" w:hAnsi="Arial" w:cs="Arial"/>
                <w:color w:val="000000"/>
                <w:sz w:val="20"/>
                <w:szCs w:val="20"/>
              </w:rPr>
              <w:t xml:space="preserve">an additional </w:t>
            </w:r>
            <w:r w:rsidRPr="00AA1877">
              <w:rPr>
                <w:rFonts w:ascii="Arial" w:hAnsi="Arial" w:cs="Arial"/>
                <w:color w:val="000000"/>
                <w:sz w:val="20"/>
                <w:szCs w:val="20"/>
              </w:rPr>
              <w:t>25% (</w:t>
            </w:r>
            <w:r>
              <w:rPr>
                <w:rFonts w:ascii="Arial" w:hAnsi="Arial" w:cs="Arial"/>
                <w:color w:val="000000"/>
                <w:sz w:val="20"/>
                <w:szCs w:val="20"/>
              </w:rPr>
              <w:t>~562</w:t>
            </w:r>
            <w:r w:rsidRPr="00AA1877">
              <w:rPr>
                <w:rFonts w:ascii="Arial" w:hAnsi="Arial" w:cs="Arial"/>
                <w:color w:val="000000"/>
                <w:sz w:val="20"/>
                <w:szCs w:val="20"/>
              </w:rPr>
              <w:t xml:space="preserve">) expected to be lost to project follow up by the end of the evaluation period. </w:t>
            </w:r>
          </w:p>
          <w:p w:rsidRPr="00AA1877" w:rsidR="001A023A" w:rsidP="003C2E30" w:rsidRDefault="001A023A" w14:paraId="07AA5BAF" w14:textId="00992915">
            <w:pPr>
              <w:spacing w:after="40"/>
              <w:rPr>
                <w:rFonts w:ascii="Arial" w:hAnsi="Arial" w:cs="Arial"/>
                <w:sz w:val="20"/>
                <w:szCs w:val="20"/>
              </w:rPr>
            </w:pPr>
            <w:r w:rsidRPr="00AA1877">
              <w:rPr>
                <w:rFonts w:ascii="Arial" w:hAnsi="Arial" w:cs="Arial"/>
                <w:sz w:val="20"/>
                <w:szCs w:val="20"/>
                <w:vertAlign w:val="superscript"/>
              </w:rPr>
              <w:t xml:space="preserve">c. </w:t>
            </w:r>
            <w:r w:rsidRPr="00AA1877">
              <w:rPr>
                <w:rFonts w:ascii="Arial" w:hAnsi="Arial" w:cs="Arial"/>
                <w:color w:val="000000"/>
                <w:sz w:val="20"/>
                <w:szCs w:val="20"/>
              </w:rPr>
              <w:t xml:space="preserve">Of the </w:t>
            </w:r>
            <w:r>
              <w:rPr>
                <w:rFonts w:ascii="Arial" w:hAnsi="Arial" w:cs="Arial"/>
                <w:color w:val="000000"/>
                <w:sz w:val="20"/>
                <w:szCs w:val="20"/>
              </w:rPr>
              <w:t>3</w:t>
            </w:r>
            <w:r w:rsidRPr="00AA1877">
              <w:rPr>
                <w:rFonts w:ascii="Arial" w:hAnsi="Arial" w:cs="Arial"/>
                <w:color w:val="000000"/>
                <w:sz w:val="20"/>
                <w:szCs w:val="20"/>
              </w:rPr>
              <w:t>,000 clients</w:t>
            </w:r>
            <w:r>
              <w:rPr>
                <w:rFonts w:ascii="Arial" w:hAnsi="Arial" w:cs="Arial"/>
                <w:color w:val="000000"/>
                <w:sz w:val="20"/>
                <w:szCs w:val="20"/>
              </w:rPr>
              <w:t xml:space="preserve"> per year</w:t>
            </w:r>
            <w:r w:rsidRPr="00AA1877">
              <w:rPr>
                <w:rFonts w:ascii="Arial" w:hAnsi="Arial" w:cs="Arial"/>
                <w:color w:val="000000"/>
                <w:sz w:val="20"/>
                <w:szCs w:val="20"/>
              </w:rPr>
              <w:t xml:space="preserve">, </w:t>
            </w:r>
            <w:r>
              <w:rPr>
                <w:rFonts w:ascii="Arial" w:hAnsi="Arial" w:cs="Arial"/>
                <w:color w:val="000000"/>
                <w:sz w:val="20"/>
                <w:szCs w:val="20"/>
              </w:rPr>
              <w:t>7</w:t>
            </w:r>
            <w:r w:rsidRPr="00AA1877">
              <w:rPr>
                <w:rFonts w:ascii="Arial" w:hAnsi="Arial" w:cs="Arial"/>
                <w:color w:val="000000"/>
                <w:sz w:val="20"/>
                <w:szCs w:val="20"/>
              </w:rPr>
              <w:t>5% (</w:t>
            </w:r>
            <w:r>
              <w:rPr>
                <w:rFonts w:ascii="Arial" w:hAnsi="Arial" w:cs="Arial"/>
                <w:color w:val="000000"/>
                <w:sz w:val="20"/>
                <w:szCs w:val="20"/>
              </w:rPr>
              <w:t>~2,250</w:t>
            </w:r>
            <w:r w:rsidRPr="00AA1877">
              <w:rPr>
                <w:rFonts w:ascii="Arial" w:hAnsi="Arial" w:cs="Arial"/>
                <w:color w:val="000000"/>
                <w:sz w:val="20"/>
                <w:szCs w:val="20"/>
              </w:rPr>
              <w:t>) are expected to sign the Informed Consent to participate in the evaluation.</w:t>
            </w:r>
          </w:p>
          <w:p w:rsidRPr="00AA1877" w:rsidR="001A023A" w:rsidP="003C2E30" w:rsidRDefault="001A023A" w14:paraId="2D8C02CC" w14:textId="77777777">
            <w:pPr>
              <w:spacing w:after="40"/>
              <w:rPr>
                <w:rFonts w:ascii="Arial" w:hAnsi="Arial" w:cs="Arial"/>
                <w:sz w:val="20"/>
                <w:szCs w:val="20"/>
              </w:rPr>
            </w:pPr>
            <w:r w:rsidRPr="00AA1877">
              <w:rPr>
                <w:rFonts w:ascii="Arial" w:hAnsi="Arial" w:cs="Arial"/>
                <w:sz w:val="20"/>
                <w:szCs w:val="20"/>
                <w:vertAlign w:val="superscript"/>
              </w:rPr>
              <w:t>d.</w:t>
            </w:r>
            <w:r w:rsidRPr="00AA1877">
              <w:rPr>
                <w:rFonts w:ascii="Arial" w:hAnsi="Arial" w:cs="Arial"/>
                <w:sz w:val="20"/>
                <w:szCs w:val="20"/>
              </w:rPr>
              <w:t xml:space="preserve"> One PM from each of up to 32 grantees will complete the Grantee Process Evaluation Online Survey annually. </w:t>
            </w:r>
          </w:p>
          <w:p w:rsidR="001A023A" w:rsidP="003C2E30" w:rsidRDefault="001A023A" w14:paraId="4EA5988E" w14:textId="22F391C1">
            <w:pPr>
              <w:rPr>
                <w:rFonts w:ascii="Arial" w:hAnsi="Arial" w:cs="Arial"/>
                <w:sz w:val="20"/>
                <w:szCs w:val="20"/>
              </w:rPr>
            </w:pPr>
            <w:r w:rsidRPr="00AA1877">
              <w:rPr>
                <w:rFonts w:ascii="Arial" w:hAnsi="Arial" w:cs="Arial"/>
                <w:sz w:val="20"/>
                <w:szCs w:val="20"/>
                <w:vertAlign w:val="superscript"/>
              </w:rPr>
              <w:t>e.</w:t>
            </w:r>
            <w:r w:rsidRPr="00AA1877">
              <w:rPr>
                <w:rFonts w:ascii="Arial" w:hAnsi="Arial" w:cs="Arial"/>
                <w:sz w:val="20"/>
                <w:szCs w:val="20"/>
              </w:rPr>
              <w:t xml:space="preserve"> The Contractor will administer the Grantee Site Visit Interview Guide to up to two grantee representatives during up to 16 site visits.</w:t>
            </w:r>
          </w:p>
          <w:p w:rsidRPr="00AA1877" w:rsidR="001A023A" w:rsidP="003C2E30" w:rsidRDefault="001A023A" w14:paraId="6F5404C1" w14:textId="0F167E42">
            <w:pPr>
              <w:rPr>
                <w:rFonts w:ascii="Arial" w:hAnsi="Arial" w:cs="Arial"/>
                <w:sz w:val="20"/>
                <w:szCs w:val="20"/>
              </w:rPr>
            </w:pPr>
            <w:r w:rsidRPr="009A21A4">
              <w:rPr>
                <w:rFonts w:ascii="Arial" w:hAnsi="Arial" w:cs="Arial"/>
                <w:sz w:val="20"/>
                <w:szCs w:val="20"/>
                <w:vertAlign w:val="superscript"/>
              </w:rPr>
              <w:t>f.</w:t>
            </w:r>
            <w:r>
              <w:rPr>
                <w:rFonts w:ascii="Arial" w:hAnsi="Arial" w:cs="Arial"/>
                <w:sz w:val="20"/>
                <w:szCs w:val="20"/>
              </w:rPr>
              <w:t xml:space="preserve"> Numbers may not sum due to rounding.</w:t>
            </w:r>
          </w:p>
        </w:tc>
      </w:tr>
      <w:tr w:rsidRPr="00AA1877" w:rsidR="001A023A" w:rsidTr="001A023A" w14:paraId="36B4E764" w14:textId="77777777">
        <w:trPr>
          <w:trHeight w:val="537"/>
        </w:trPr>
        <w:tc>
          <w:tcPr>
            <w:tcW w:w="10440" w:type="dxa"/>
            <w:gridSpan w:val="8"/>
            <w:vMerge/>
            <w:tcMar>
              <w:top w:w="72" w:type="dxa"/>
              <w:left w:w="72" w:type="dxa"/>
              <w:bottom w:w="72" w:type="dxa"/>
              <w:right w:w="72" w:type="dxa"/>
            </w:tcMar>
            <w:vAlign w:val="center"/>
            <w:hideMark/>
          </w:tcPr>
          <w:p w:rsidRPr="00AA1877" w:rsidR="001A023A" w:rsidP="003C2E30" w:rsidRDefault="001A023A" w14:paraId="1A5E822E" w14:textId="5D3C1FE4">
            <w:pPr>
              <w:rPr>
                <w:rFonts w:ascii="Arial" w:hAnsi="Arial" w:cs="Arial"/>
                <w:color w:val="000000"/>
                <w:sz w:val="20"/>
                <w:szCs w:val="20"/>
              </w:rPr>
            </w:pPr>
          </w:p>
        </w:tc>
      </w:tr>
    </w:tbl>
    <w:p w:rsidRPr="00B82B04" w:rsidR="00F5259C" w:rsidP="00F5259C" w:rsidRDefault="00F5259C" w14:paraId="551DC882" w14:textId="77777777">
      <w:pPr>
        <w:rPr>
          <w:color w:val="000000"/>
          <w:sz w:val="20"/>
          <w:szCs w:val="20"/>
        </w:rPr>
      </w:pPr>
      <w:r w:rsidRPr="00B82B04">
        <w:rPr>
          <w:color w:val="000000"/>
          <w:sz w:val="20"/>
          <w:szCs w:val="20"/>
        </w:rPr>
        <w:br w:type="page"/>
      </w:r>
    </w:p>
    <w:tbl>
      <w:tblPr>
        <w:tblW w:w="5503" w:type="pct"/>
        <w:tblInd w:w="-572" w:type="dxa"/>
        <w:tblLayout w:type="fixed"/>
        <w:tblCellMar>
          <w:left w:w="58" w:type="dxa"/>
          <w:right w:w="58" w:type="dxa"/>
        </w:tblCellMar>
        <w:tblLook w:val="04A0" w:firstRow="1" w:lastRow="0" w:firstColumn="1" w:lastColumn="0" w:noHBand="0" w:noVBand="1"/>
      </w:tblPr>
      <w:tblGrid>
        <w:gridCol w:w="2276"/>
        <w:gridCol w:w="1438"/>
        <w:gridCol w:w="1153"/>
        <w:gridCol w:w="1243"/>
        <w:gridCol w:w="1155"/>
        <w:gridCol w:w="1118"/>
        <w:gridCol w:w="1014"/>
        <w:gridCol w:w="993"/>
      </w:tblGrid>
      <w:tr w:rsidRPr="00AA1877" w:rsidR="009B1E55" w:rsidTr="009B1E55" w14:paraId="4ED77FEC" w14:textId="77777777">
        <w:trPr>
          <w:trHeight w:val="97"/>
        </w:trPr>
        <w:tc>
          <w:tcPr>
            <w:tcW w:w="5000" w:type="pct"/>
            <w:gridSpan w:val="8"/>
            <w:tcBorders>
              <w:top w:val="single" w:color="auto" w:sz="4" w:space="0"/>
              <w:left w:val="single" w:color="auto" w:sz="4" w:space="0"/>
              <w:bottom w:val="single" w:color="auto" w:sz="4" w:space="0"/>
              <w:right w:val="single" w:color="auto" w:sz="4" w:space="0"/>
            </w:tcBorders>
            <w:shd w:val="clear" w:color="auto" w:fill="E7E6E6" w:themeFill="background2"/>
          </w:tcPr>
          <w:p w:rsidRPr="00A120E4" w:rsidR="009B1E55" w:rsidP="00902F66" w:rsidRDefault="009B1E55" w14:paraId="72A2139E" w14:textId="31B76C57">
            <w:pPr>
              <w:pStyle w:val="Caption"/>
              <w:keepNext/>
              <w:spacing w:after="0"/>
              <w:jc w:val="center"/>
              <w:rPr>
                <w:rFonts w:ascii="Arial" w:hAnsi="Arial" w:cs="Arial"/>
                <w:sz w:val="20"/>
                <w:szCs w:val="20"/>
              </w:rPr>
            </w:pPr>
            <w:bookmarkStart w:name="_Ref77084417" w:id="56"/>
            <w:bookmarkStart w:name="_Toc75878795" w:id="57"/>
            <w:bookmarkEnd w:id="55"/>
            <w:r w:rsidRPr="00A120E4">
              <w:rPr>
                <w:rFonts w:ascii="Arial" w:hAnsi="Arial" w:cs="Arial"/>
                <w:sz w:val="20"/>
                <w:szCs w:val="20"/>
              </w:rPr>
              <w:lastRenderedPageBreak/>
              <w:t xml:space="preserve">Table </w:t>
            </w:r>
            <w:r w:rsidRPr="00712A3D">
              <w:rPr>
                <w:rFonts w:ascii="Arial" w:hAnsi="Arial" w:cs="Arial"/>
                <w:sz w:val="20"/>
                <w:szCs w:val="20"/>
              </w:rPr>
              <w:fldChar w:fldCharType="begin"/>
            </w:r>
            <w:r w:rsidRPr="00A120E4">
              <w:rPr>
                <w:rFonts w:ascii="Arial" w:hAnsi="Arial" w:cs="Arial"/>
                <w:sz w:val="20"/>
                <w:szCs w:val="20"/>
              </w:rPr>
              <w:instrText xml:space="preserve"> SEQ Table \* ARABIC </w:instrText>
            </w:r>
            <w:r w:rsidRPr="00712A3D">
              <w:rPr>
                <w:rFonts w:ascii="Arial" w:hAnsi="Arial" w:cs="Arial"/>
                <w:sz w:val="20"/>
                <w:szCs w:val="20"/>
              </w:rPr>
              <w:fldChar w:fldCharType="separate"/>
            </w:r>
            <w:r w:rsidRPr="00A120E4">
              <w:rPr>
                <w:rFonts w:ascii="Arial" w:hAnsi="Arial" w:cs="Arial"/>
                <w:noProof/>
                <w:sz w:val="20"/>
                <w:szCs w:val="20"/>
              </w:rPr>
              <w:t>7</w:t>
            </w:r>
            <w:r w:rsidRPr="00712A3D">
              <w:rPr>
                <w:rFonts w:ascii="Arial" w:hAnsi="Arial" w:cs="Arial"/>
                <w:sz w:val="20"/>
                <w:szCs w:val="20"/>
              </w:rPr>
              <w:fldChar w:fldCharType="end"/>
            </w:r>
            <w:bookmarkEnd w:id="56"/>
            <w:r w:rsidRPr="00A120E4">
              <w:rPr>
                <w:rFonts w:ascii="Arial" w:hAnsi="Arial" w:cs="Arial"/>
                <w:sz w:val="20"/>
                <w:szCs w:val="20"/>
              </w:rPr>
              <w:t>. Estimated Time and Costs to Client Respondents</w:t>
            </w:r>
            <w:bookmarkEnd w:id="57"/>
            <w:r>
              <w:rPr>
                <w:rFonts w:ascii="Arial" w:hAnsi="Arial" w:cs="Arial"/>
                <w:sz w:val="20"/>
                <w:szCs w:val="20"/>
              </w:rPr>
              <w:t xml:space="preserve"> </w:t>
            </w:r>
            <w:r w:rsidRPr="009A21A4">
              <w:rPr>
                <w:rFonts w:ascii="Arial" w:hAnsi="Arial" w:cs="Arial"/>
                <w:sz w:val="20"/>
                <w:szCs w:val="20"/>
                <w:vertAlign w:val="superscript"/>
              </w:rPr>
              <w:t>f</w:t>
            </w:r>
          </w:p>
        </w:tc>
      </w:tr>
      <w:tr w:rsidRPr="00AA1877" w:rsidR="009B1E55" w:rsidTr="00BC58E0" w14:paraId="3F731600" w14:textId="77777777">
        <w:trPr>
          <w:trHeight w:val="288"/>
        </w:trPr>
        <w:tc>
          <w:tcPr>
            <w:tcW w:w="1095"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Pr="00712A3D" w:rsidR="001B31A3" w:rsidP="004C4B20" w:rsidRDefault="001B31A3" w14:paraId="3C534D63" w14:textId="70DE92D6">
            <w:pPr>
              <w:rPr>
                <w:rFonts w:ascii="Arial" w:hAnsi="Arial" w:cs="Arial"/>
                <w:b/>
                <w:bCs/>
                <w:color w:val="000000" w:themeColor="text1"/>
                <w:sz w:val="20"/>
                <w:szCs w:val="20"/>
              </w:rPr>
            </w:pPr>
            <w:r w:rsidRPr="00712A3D">
              <w:rPr>
                <w:rFonts w:ascii="Arial" w:hAnsi="Arial" w:cs="Arial"/>
                <w:b/>
                <w:bCs/>
                <w:color w:val="000000" w:themeColor="text1"/>
                <w:sz w:val="20"/>
                <w:szCs w:val="20"/>
              </w:rPr>
              <w:t>Information Collection</w:t>
            </w:r>
          </w:p>
        </w:tc>
        <w:tc>
          <w:tcPr>
            <w:tcW w:w="692"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Pr="00712A3D" w:rsidR="001B31A3" w:rsidP="004C4B20" w:rsidRDefault="001B31A3" w14:paraId="62CCA1D5" w14:textId="3A2096C8">
            <w:pPr>
              <w:keepNext/>
              <w:ind w:right="20"/>
              <w:jc w:val="center"/>
              <w:rPr>
                <w:rFonts w:ascii="Arial" w:hAnsi="Arial" w:cs="Arial"/>
                <w:b/>
                <w:bCs/>
                <w:color w:val="000000" w:themeColor="text1"/>
                <w:sz w:val="20"/>
                <w:szCs w:val="20"/>
              </w:rPr>
            </w:pPr>
            <w:r w:rsidRPr="008449B6">
              <w:rPr>
                <w:rFonts w:ascii="Arial" w:hAnsi="Arial" w:cs="Arial"/>
                <w:b/>
                <w:bCs/>
                <w:color w:val="000000" w:themeColor="text1"/>
                <w:sz w:val="20"/>
                <w:szCs w:val="20"/>
              </w:rPr>
              <w:t>Number of Respondents</w:t>
            </w:r>
            <w:r w:rsidRPr="00712A3D" w:rsidDel="001B31A3">
              <w:rPr>
                <w:rFonts w:ascii="Arial" w:hAnsi="Arial" w:cs="Arial"/>
                <w:b/>
                <w:bCs/>
                <w:color w:val="000000" w:themeColor="text1"/>
                <w:sz w:val="20"/>
                <w:szCs w:val="20"/>
              </w:rPr>
              <w:t xml:space="preserve"> </w:t>
            </w:r>
          </w:p>
        </w:tc>
        <w:tc>
          <w:tcPr>
            <w:tcW w:w="555" w:type="pct"/>
            <w:tcBorders>
              <w:top w:val="single" w:color="auto" w:sz="4" w:space="0"/>
              <w:left w:val="single" w:color="auto" w:sz="4" w:space="0"/>
              <w:bottom w:val="single" w:color="auto" w:sz="4" w:space="0"/>
              <w:right w:val="single" w:color="auto" w:sz="4" w:space="0"/>
            </w:tcBorders>
            <w:shd w:val="clear" w:color="auto" w:fill="E7E6E6" w:themeFill="background2"/>
          </w:tcPr>
          <w:p w:rsidRPr="00712A3D" w:rsidR="001B31A3" w:rsidP="004C4B20" w:rsidRDefault="001B31A3" w14:paraId="460DAC14" w14:textId="4BD2ABCC">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Frequency of Response</w:t>
            </w:r>
          </w:p>
        </w:tc>
        <w:tc>
          <w:tcPr>
            <w:tcW w:w="598"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Pr="00712A3D" w:rsidR="001B31A3" w:rsidP="004C4B20" w:rsidRDefault="001B31A3" w14:paraId="5F696489" w14:textId="510BA033">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Respon</w:t>
            </w:r>
            <w:r>
              <w:rPr>
                <w:rFonts w:ascii="Arial" w:hAnsi="Arial" w:cs="Arial"/>
                <w:b/>
                <w:bCs/>
                <w:color w:val="000000" w:themeColor="text1"/>
                <w:sz w:val="20"/>
                <w:szCs w:val="20"/>
              </w:rPr>
              <w:t>ses p</w:t>
            </w:r>
            <w:r w:rsidRPr="00712A3D">
              <w:rPr>
                <w:rFonts w:ascii="Arial" w:hAnsi="Arial" w:cs="Arial"/>
                <w:b/>
                <w:bCs/>
                <w:color w:val="000000" w:themeColor="text1"/>
                <w:sz w:val="20"/>
                <w:szCs w:val="20"/>
              </w:rPr>
              <w:t>er Annum</w:t>
            </w:r>
          </w:p>
        </w:tc>
        <w:tc>
          <w:tcPr>
            <w:tcW w:w="556"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001B31A3" w:rsidP="004C4B20" w:rsidRDefault="001B31A3" w14:paraId="470AB5FB" w14:textId="77777777">
            <w:pPr>
              <w:ind w:left="-72" w:right="-75"/>
              <w:jc w:val="center"/>
              <w:rPr>
                <w:rFonts w:ascii="Arial" w:hAnsi="Arial" w:cs="Arial"/>
                <w:b/>
                <w:bCs/>
                <w:color w:val="000000" w:themeColor="text1"/>
                <w:sz w:val="20"/>
                <w:szCs w:val="20"/>
              </w:rPr>
            </w:pPr>
            <w:r>
              <w:rPr>
                <w:rFonts w:ascii="Arial" w:hAnsi="Arial" w:cs="Arial"/>
                <w:b/>
                <w:bCs/>
                <w:color w:val="000000" w:themeColor="text1"/>
                <w:sz w:val="20"/>
                <w:szCs w:val="20"/>
              </w:rPr>
              <w:t xml:space="preserve">Burden </w:t>
            </w:r>
          </w:p>
          <w:p w:rsidRPr="00712A3D" w:rsidR="001B31A3" w:rsidP="004C4B20" w:rsidRDefault="001B31A3" w14:paraId="6942B4C8" w14:textId="00F437E0">
            <w:pPr>
              <w:ind w:left="-72" w:right="-75"/>
              <w:jc w:val="center"/>
              <w:rPr>
                <w:rFonts w:ascii="Arial" w:hAnsi="Arial" w:cs="Arial"/>
                <w:b/>
                <w:bCs/>
                <w:color w:val="000000" w:themeColor="text1"/>
                <w:sz w:val="20"/>
                <w:szCs w:val="20"/>
              </w:rPr>
            </w:pPr>
            <w:r>
              <w:rPr>
                <w:rFonts w:ascii="Arial" w:hAnsi="Arial" w:cs="Arial"/>
                <w:b/>
                <w:bCs/>
                <w:color w:val="000000" w:themeColor="text1"/>
                <w:sz w:val="20"/>
                <w:szCs w:val="20"/>
              </w:rPr>
              <w:t>Hour p</w:t>
            </w:r>
            <w:r w:rsidRPr="00712A3D">
              <w:rPr>
                <w:rFonts w:ascii="Arial" w:hAnsi="Arial" w:cs="Arial"/>
                <w:b/>
                <w:bCs/>
                <w:color w:val="000000" w:themeColor="text1"/>
                <w:sz w:val="20"/>
                <w:szCs w:val="20"/>
              </w:rPr>
              <w:t>er Response</w:t>
            </w:r>
          </w:p>
        </w:tc>
        <w:tc>
          <w:tcPr>
            <w:tcW w:w="538"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Pr="00712A3D" w:rsidR="001B31A3" w:rsidP="004C4B20" w:rsidRDefault="001B31A3" w14:paraId="3F1E54C4" w14:textId="7800856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Burden Hours</w:t>
            </w:r>
            <w:r>
              <w:rPr>
                <w:rFonts w:ascii="Arial" w:hAnsi="Arial" w:cs="Arial"/>
                <w:b/>
                <w:bCs/>
                <w:color w:val="000000" w:themeColor="text1"/>
                <w:sz w:val="20"/>
                <w:szCs w:val="20"/>
              </w:rPr>
              <w:t xml:space="preserve"> per Annum</w:t>
            </w:r>
          </w:p>
        </w:tc>
        <w:tc>
          <w:tcPr>
            <w:tcW w:w="488"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Pr="00712A3D" w:rsidR="001B31A3" w:rsidP="004C4B20" w:rsidRDefault="001B31A3" w14:paraId="09A6C391" w14:textId="70DE23CD">
            <w:pPr>
              <w:ind w:left="-73" w:right="-72"/>
              <w:jc w:val="center"/>
              <w:rPr>
                <w:rFonts w:ascii="Arial" w:hAnsi="Arial" w:cs="Arial"/>
                <w:b/>
                <w:bCs/>
                <w:color w:val="000000" w:themeColor="text1"/>
                <w:sz w:val="20"/>
                <w:szCs w:val="20"/>
              </w:rPr>
            </w:pPr>
            <w:r w:rsidRPr="00712A3D">
              <w:rPr>
                <w:rFonts w:ascii="Arial" w:hAnsi="Arial" w:cs="Arial"/>
                <w:b/>
                <w:bCs/>
                <w:color w:val="000000" w:themeColor="text1"/>
                <w:sz w:val="20"/>
                <w:szCs w:val="20"/>
              </w:rPr>
              <w:t xml:space="preserve">Hourly Cost </w:t>
            </w:r>
            <w:r>
              <w:rPr>
                <w:rFonts w:ascii="Arial" w:hAnsi="Arial" w:cs="Arial"/>
                <w:b/>
                <w:bCs/>
                <w:color w:val="000000" w:themeColor="text1"/>
                <w:sz w:val="20"/>
                <w:szCs w:val="20"/>
              </w:rPr>
              <w:t>p</w:t>
            </w:r>
            <w:r w:rsidRPr="00712A3D">
              <w:rPr>
                <w:rFonts w:ascii="Arial" w:hAnsi="Arial" w:cs="Arial"/>
                <w:b/>
                <w:bCs/>
                <w:color w:val="000000" w:themeColor="text1"/>
                <w:sz w:val="20"/>
                <w:szCs w:val="20"/>
              </w:rPr>
              <w:t>er Response</w:t>
            </w:r>
          </w:p>
        </w:tc>
        <w:tc>
          <w:tcPr>
            <w:tcW w:w="478" w:type="pct"/>
            <w:tcBorders>
              <w:top w:val="single" w:color="auto" w:sz="4" w:space="0"/>
              <w:left w:val="single" w:color="auto" w:sz="4" w:space="0"/>
              <w:bottom w:val="single" w:color="auto" w:sz="4" w:space="0"/>
              <w:right w:val="single" w:color="auto" w:sz="4" w:space="0"/>
            </w:tcBorders>
            <w:shd w:val="clear" w:color="auto" w:fill="E7E6E6" w:themeFill="background2"/>
            <w:tcMar>
              <w:top w:w="72" w:type="dxa"/>
              <w:left w:w="72" w:type="dxa"/>
              <w:bottom w:w="72" w:type="dxa"/>
              <w:right w:w="72" w:type="dxa"/>
            </w:tcMar>
            <w:vAlign w:val="bottom"/>
          </w:tcPr>
          <w:p w:rsidR="001B31A3" w:rsidP="009B1E55" w:rsidRDefault="001B31A3" w14:paraId="0F8B2C99" w14:textId="06E4CE6E">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A</w:t>
            </w:r>
            <w:r>
              <w:rPr>
                <w:rFonts w:ascii="Arial" w:hAnsi="Arial" w:cs="Arial"/>
                <w:b/>
                <w:bCs/>
                <w:color w:val="000000" w:themeColor="text1"/>
                <w:sz w:val="20"/>
                <w:szCs w:val="20"/>
              </w:rPr>
              <w:t xml:space="preserve">nnual </w:t>
            </w:r>
          </w:p>
          <w:p w:rsidRPr="00712A3D" w:rsidR="001B31A3" w:rsidP="009B1E55" w:rsidRDefault="001B31A3" w14:paraId="5DA9356A" w14:textId="12CFFFD2">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Cost </w:t>
            </w:r>
          </w:p>
        </w:tc>
      </w:tr>
      <w:tr w:rsidRPr="00AA1877" w:rsidR="009B1E55" w:rsidTr="00BC58E0" w14:paraId="057384E3"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D36C95" w:rsidR="001B31A3" w:rsidP="001B31A3" w:rsidRDefault="001B31A3" w14:paraId="3D1FC675" w14:textId="5C36D9A9">
            <w:pPr>
              <w:ind w:right="-48"/>
              <w:rPr>
                <w:rFonts w:ascii="Arial" w:hAnsi="Arial" w:cs="Arial"/>
                <w:color w:val="000000"/>
                <w:sz w:val="20"/>
                <w:szCs w:val="20"/>
              </w:rPr>
            </w:pPr>
            <w:r w:rsidRPr="00D36C95">
              <w:rPr>
                <w:rFonts w:ascii="Arial" w:hAnsi="Arial" w:cs="Arial"/>
                <w:color w:val="000000"/>
                <w:sz w:val="20"/>
                <w:szCs w:val="20"/>
              </w:rPr>
              <w:t>OAHM Client Program Questionnaire (Baseline)</w:t>
            </w:r>
            <w:r>
              <w:rPr>
                <w:rFonts w:ascii="Arial" w:hAnsi="Arial" w:cs="Arial"/>
                <w:color w:val="000000"/>
                <w:sz w:val="20"/>
                <w:szCs w:val="20"/>
                <w:vertAlign w:val="superscript"/>
              </w:rPr>
              <w:t xml:space="preserve"> </w:t>
            </w:r>
            <w:r w:rsidRPr="00D36C95">
              <w:rPr>
                <w:rFonts w:ascii="Arial" w:hAnsi="Arial" w:cs="Arial"/>
                <w:color w:val="000000"/>
                <w:sz w:val="20"/>
                <w:szCs w:val="20"/>
                <w:vertAlign w:val="superscript"/>
              </w:rPr>
              <w:t>a</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70D42C9" w14:textId="0F454FD3">
            <w:pPr>
              <w:jc w:val="center"/>
              <w:rPr>
                <w:rFonts w:ascii="Arial" w:hAnsi="Arial" w:cs="Arial"/>
                <w:color w:val="000000"/>
                <w:sz w:val="20"/>
                <w:szCs w:val="20"/>
              </w:rPr>
            </w:pPr>
            <w:r w:rsidRPr="00465022">
              <w:rPr>
                <w:rFonts w:ascii="Arial" w:hAnsi="Arial" w:cs="Arial"/>
                <w:color w:val="000000"/>
                <w:sz w:val="20"/>
                <w:szCs w:val="20"/>
              </w:rPr>
              <w:t>3000</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36E8FCAC" w14:textId="2D291BAB">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2C7C90D" w14:textId="158F5628">
            <w:pPr>
              <w:jc w:val="center"/>
              <w:rPr>
                <w:rFonts w:ascii="Arial" w:hAnsi="Arial" w:cs="Arial"/>
                <w:color w:val="000000"/>
                <w:sz w:val="20"/>
                <w:szCs w:val="20"/>
              </w:rPr>
            </w:pPr>
            <w:r w:rsidRPr="00465022">
              <w:rPr>
                <w:rFonts w:ascii="Arial" w:hAnsi="Arial" w:cs="Arial"/>
                <w:color w:val="000000"/>
                <w:sz w:val="20"/>
                <w:szCs w:val="20"/>
              </w:rPr>
              <w:t>3000</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578BBC1" w14:textId="77777777">
            <w:pPr>
              <w:jc w:val="center"/>
              <w:rPr>
                <w:rFonts w:ascii="Arial" w:hAnsi="Arial" w:cs="Arial"/>
                <w:color w:val="000000"/>
                <w:sz w:val="20"/>
                <w:szCs w:val="20"/>
              </w:rPr>
            </w:pPr>
            <w:r w:rsidRPr="00465022">
              <w:rPr>
                <w:rFonts w:ascii="Arial" w:hAnsi="Arial" w:cs="Arial"/>
                <w:color w:val="000000"/>
                <w:sz w:val="20"/>
                <w:szCs w:val="20"/>
              </w:rPr>
              <w:t>0.10</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3C7D89E" w14:textId="77777777">
            <w:pPr>
              <w:jc w:val="center"/>
              <w:rPr>
                <w:rFonts w:ascii="Arial" w:hAnsi="Arial" w:cs="Arial"/>
                <w:color w:val="000000"/>
                <w:sz w:val="20"/>
                <w:szCs w:val="20"/>
              </w:rPr>
            </w:pPr>
            <w:r w:rsidRPr="00465022">
              <w:rPr>
                <w:rFonts w:ascii="Arial" w:hAnsi="Arial" w:cs="Arial"/>
                <w:color w:val="000000"/>
                <w:sz w:val="20"/>
                <w:szCs w:val="20"/>
              </w:rPr>
              <w:t>300</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4CE08C2"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6F32A868" w14:textId="0F236719">
            <w:pPr>
              <w:jc w:val="right"/>
              <w:rPr>
                <w:rFonts w:ascii="Arial" w:hAnsi="Arial" w:cs="Arial"/>
                <w:color w:val="000000"/>
                <w:sz w:val="20"/>
                <w:szCs w:val="20"/>
              </w:rPr>
            </w:pPr>
            <w:r w:rsidRPr="00AA1877">
              <w:rPr>
                <w:rFonts w:ascii="Arial" w:hAnsi="Arial" w:cs="Arial"/>
                <w:color w:val="000000"/>
                <w:sz w:val="20"/>
                <w:szCs w:val="20"/>
              </w:rPr>
              <w:t>$3,393</w:t>
            </w:r>
          </w:p>
        </w:tc>
      </w:tr>
      <w:tr w:rsidRPr="00AA1877" w:rsidR="009B1E55" w:rsidTr="00BC58E0" w14:paraId="02063136"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BBDA98B" w14:textId="7BD4007B">
            <w:pPr>
              <w:ind w:right="-72"/>
              <w:rPr>
                <w:rFonts w:ascii="Arial" w:hAnsi="Arial" w:cs="Arial"/>
                <w:color w:val="000000"/>
                <w:sz w:val="20"/>
                <w:szCs w:val="20"/>
                <w:vertAlign w:val="superscript"/>
              </w:rPr>
            </w:pPr>
            <w:r w:rsidRPr="00465022">
              <w:rPr>
                <w:rFonts w:ascii="Arial" w:hAnsi="Arial" w:cs="Arial"/>
                <w:color w:val="000000"/>
                <w:sz w:val="20"/>
                <w:szCs w:val="20"/>
              </w:rPr>
              <w:t xml:space="preserve">OAHM Client Program Questionnaire </w:t>
            </w:r>
            <w:r>
              <w:rPr>
                <w:rFonts w:ascii="Arial" w:hAnsi="Arial" w:cs="Arial"/>
                <w:color w:val="000000"/>
                <w:sz w:val="20"/>
                <w:szCs w:val="20"/>
              </w:rPr>
              <w:t>(</w:t>
            </w:r>
            <w:r w:rsidRPr="00465022">
              <w:rPr>
                <w:rFonts w:ascii="Arial" w:hAnsi="Arial" w:cs="Arial"/>
                <w:color w:val="000000"/>
                <w:sz w:val="20"/>
                <w:szCs w:val="20"/>
              </w:rPr>
              <w:t>Post-modification</w:t>
            </w:r>
            <w:r>
              <w:rPr>
                <w:rFonts w:ascii="Arial" w:hAnsi="Arial" w:cs="Arial"/>
                <w:color w:val="000000"/>
                <w:sz w:val="20"/>
                <w:szCs w:val="20"/>
              </w:rPr>
              <w:t>)</w:t>
            </w:r>
            <w:r w:rsidRPr="00465022">
              <w:rPr>
                <w:rFonts w:ascii="Arial" w:hAnsi="Arial" w:cs="Arial"/>
                <w:color w:val="000000"/>
                <w:sz w:val="20"/>
                <w:szCs w:val="20"/>
              </w:rPr>
              <w:t xml:space="preserve"> </w:t>
            </w:r>
            <w:r w:rsidRPr="00712A3D">
              <w:rPr>
                <w:rFonts w:ascii="Arial" w:hAnsi="Arial" w:cs="Arial"/>
                <w:color w:val="000000"/>
                <w:sz w:val="20"/>
                <w:szCs w:val="20"/>
                <w:vertAlign w:val="superscript"/>
              </w:rPr>
              <w:t>c</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61E125C" w14:textId="71140AF8">
            <w:pPr>
              <w:jc w:val="center"/>
              <w:rPr>
                <w:rFonts w:ascii="Arial" w:hAnsi="Arial" w:cs="Arial"/>
                <w:color w:val="000000"/>
                <w:sz w:val="20"/>
                <w:szCs w:val="20"/>
              </w:rPr>
            </w:pPr>
            <w:r w:rsidRPr="00465022">
              <w:rPr>
                <w:rFonts w:ascii="Arial" w:hAnsi="Arial" w:cs="Arial"/>
                <w:color w:val="000000"/>
                <w:sz w:val="20"/>
                <w:szCs w:val="20"/>
              </w:rPr>
              <w:t>1688</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53E45FF7" w14:textId="1D1729B8">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AB33D98" w14:textId="2332188B">
            <w:pPr>
              <w:jc w:val="center"/>
              <w:rPr>
                <w:rFonts w:ascii="Arial" w:hAnsi="Arial" w:cs="Arial"/>
                <w:color w:val="000000"/>
                <w:sz w:val="20"/>
                <w:szCs w:val="20"/>
              </w:rPr>
            </w:pPr>
            <w:r w:rsidRPr="00465022">
              <w:rPr>
                <w:rFonts w:ascii="Arial" w:hAnsi="Arial" w:cs="Arial"/>
                <w:color w:val="000000"/>
                <w:sz w:val="20"/>
                <w:szCs w:val="20"/>
              </w:rPr>
              <w:t>1688</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94ED8E5" w14:textId="77777777">
            <w:pPr>
              <w:jc w:val="center"/>
              <w:rPr>
                <w:rFonts w:ascii="Arial" w:hAnsi="Arial" w:cs="Arial"/>
                <w:color w:val="000000"/>
                <w:sz w:val="20"/>
                <w:szCs w:val="20"/>
              </w:rPr>
            </w:pPr>
            <w:r w:rsidRPr="00465022">
              <w:rPr>
                <w:rFonts w:ascii="Arial" w:hAnsi="Arial" w:cs="Arial"/>
                <w:color w:val="000000"/>
                <w:sz w:val="20"/>
                <w:szCs w:val="20"/>
              </w:rPr>
              <w:t>0.10</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0E39996" w14:textId="77777777">
            <w:pPr>
              <w:jc w:val="center"/>
              <w:rPr>
                <w:rFonts w:ascii="Arial" w:hAnsi="Arial" w:cs="Arial"/>
                <w:color w:val="000000"/>
                <w:sz w:val="20"/>
                <w:szCs w:val="20"/>
              </w:rPr>
            </w:pPr>
            <w:r w:rsidRPr="00465022">
              <w:rPr>
                <w:rFonts w:ascii="Arial" w:hAnsi="Arial" w:cs="Arial"/>
                <w:color w:val="000000"/>
                <w:sz w:val="20"/>
                <w:szCs w:val="20"/>
              </w:rPr>
              <w:t>169</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6880BDF"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0C3C57EF" w14:textId="30CB2194">
            <w:pPr>
              <w:jc w:val="right"/>
              <w:rPr>
                <w:rFonts w:ascii="Arial" w:hAnsi="Arial" w:cs="Arial"/>
                <w:color w:val="000000"/>
                <w:sz w:val="20"/>
                <w:szCs w:val="20"/>
              </w:rPr>
            </w:pPr>
            <w:r w:rsidRPr="00465022">
              <w:rPr>
                <w:rFonts w:ascii="Arial" w:hAnsi="Arial" w:cs="Arial"/>
                <w:color w:val="000000"/>
                <w:sz w:val="20"/>
                <w:szCs w:val="20"/>
              </w:rPr>
              <w:t xml:space="preserve">$1,909 </w:t>
            </w:r>
          </w:p>
        </w:tc>
      </w:tr>
      <w:tr w:rsidRPr="00AA1877" w:rsidR="009B1E55" w:rsidTr="00BC58E0" w14:paraId="246F31CF"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29A9FBC" w14:textId="51FEA34A">
            <w:pPr>
              <w:ind w:right="-72"/>
              <w:rPr>
                <w:rFonts w:ascii="Arial" w:hAnsi="Arial" w:cs="Arial"/>
                <w:color w:val="000000"/>
                <w:sz w:val="20"/>
                <w:szCs w:val="20"/>
                <w:vertAlign w:val="superscript"/>
              </w:rPr>
            </w:pPr>
            <w:r w:rsidRPr="00465022">
              <w:rPr>
                <w:rFonts w:ascii="Arial" w:hAnsi="Arial" w:cs="Arial"/>
                <w:color w:val="000000"/>
                <w:sz w:val="20"/>
                <w:szCs w:val="20"/>
              </w:rPr>
              <w:t xml:space="preserve">OAHM Program Evaluation Informed Consent </w:t>
            </w:r>
            <w:r w:rsidRPr="00465022">
              <w:rPr>
                <w:rFonts w:ascii="Arial" w:hAnsi="Arial" w:cs="Arial"/>
                <w:color w:val="000000"/>
                <w:sz w:val="20"/>
                <w:szCs w:val="20"/>
                <w:vertAlign w:val="superscript"/>
              </w:rPr>
              <w:t>b</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0EED534" w14:textId="28F5CA93">
            <w:pPr>
              <w:jc w:val="center"/>
              <w:rPr>
                <w:rFonts w:ascii="Arial" w:hAnsi="Arial" w:cs="Arial"/>
                <w:color w:val="000000"/>
                <w:sz w:val="20"/>
                <w:szCs w:val="20"/>
              </w:rPr>
            </w:pPr>
            <w:r w:rsidRPr="00465022">
              <w:rPr>
                <w:rFonts w:ascii="Arial" w:hAnsi="Arial" w:cs="Arial"/>
                <w:color w:val="000000"/>
                <w:sz w:val="20"/>
                <w:szCs w:val="20"/>
              </w:rPr>
              <w:t>2250</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3E7F3BB1" w14:textId="1CA843F9">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575F792" w14:textId="7B426DE7">
            <w:pPr>
              <w:jc w:val="center"/>
              <w:rPr>
                <w:rFonts w:ascii="Arial" w:hAnsi="Arial" w:cs="Arial"/>
                <w:color w:val="000000"/>
                <w:sz w:val="20"/>
                <w:szCs w:val="20"/>
              </w:rPr>
            </w:pPr>
            <w:r w:rsidRPr="00465022">
              <w:rPr>
                <w:rFonts w:ascii="Arial" w:hAnsi="Arial" w:cs="Arial"/>
                <w:color w:val="000000"/>
                <w:sz w:val="20"/>
                <w:szCs w:val="20"/>
              </w:rPr>
              <w:t>2250</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9A7610C" w14:textId="77777777">
            <w:pPr>
              <w:jc w:val="center"/>
              <w:rPr>
                <w:rFonts w:ascii="Arial" w:hAnsi="Arial" w:cs="Arial"/>
                <w:color w:val="000000"/>
                <w:sz w:val="20"/>
                <w:szCs w:val="20"/>
              </w:rPr>
            </w:pPr>
            <w:r w:rsidRPr="00465022">
              <w:rPr>
                <w:rFonts w:ascii="Arial" w:hAnsi="Arial" w:cs="Arial"/>
                <w:color w:val="000000"/>
                <w:sz w:val="20"/>
                <w:szCs w:val="20"/>
              </w:rPr>
              <w:t>0.25</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542EE5C" w14:textId="77777777">
            <w:pPr>
              <w:jc w:val="center"/>
              <w:rPr>
                <w:rFonts w:ascii="Arial" w:hAnsi="Arial" w:cs="Arial"/>
                <w:color w:val="000000"/>
                <w:sz w:val="20"/>
                <w:szCs w:val="20"/>
              </w:rPr>
            </w:pPr>
            <w:r w:rsidRPr="00465022">
              <w:rPr>
                <w:rFonts w:ascii="Arial" w:hAnsi="Arial" w:cs="Arial"/>
                <w:color w:val="000000"/>
                <w:sz w:val="20"/>
                <w:szCs w:val="20"/>
              </w:rPr>
              <w:t>563</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3BF39EE"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6A1E38A0" w14:textId="5CCD7B43">
            <w:pPr>
              <w:jc w:val="right"/>
              <w:rPr>
                <w:rFonts w:ascii="Arial" w:hAnsi="Arial" w:cs="Arial"/>
                <w:color w:val="000000"/>
                <w:sz w:val="20"/>
                <w:szCs w:val="20"/>
              </w:rPr>
            </w:pPr>
            <w:r w:rsidRPr="00465022">
              <w:rPr>
                <w:rFonts w:ascii="Arial" w:hAnsi="Arial" w:cs="Arial"/>
                <w:color w:val="000000"/>
                <w:sz w:val="20"/>
                <w:szCs w:val="20"/>
              </w:rPr>
              <w:t xml:space="preserve">$6,362 </w:t>
            </w:r>
          </w:p>
        </w:tc>
      </w:tr>
      <w:tr w:rsidRPr="00AA1877" w:rsidR="009B1E55" w:rsidTr="00BC58E0" w14:paraId="433AD6FF" w14:textId="77777777">
        <w:trPr>
          <w:trHeight w:val="292"/>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8D6AA50" w14:textId="1DB5A6D2">
            <w:pPr>
              <w:rPr>
                <w:rFonts w:ascii="Arial" w:hAnsi="Arial" w:cs="Arial"/>
                <w:color w:val="000000"/>
                <w:sz w:val="20"/>
                <w:szCs w:val="20"/>
              </w:rPr>
            </w:pPr>
            <w:r w:rsidRPr="00465022">
              <w:rPr>
                <w:rFonts w:ascii="Arial" w:hAnsi="Arial" w:cs="Arial"/>
                <w:color w:val="000000"/>
                <w:sz w:val="20"/>
                <w:szCs w:val="20"/>
              </w:rPr>
              <w:t xml:space="preserve">Home Hazard Checklist </w:t>
            </w:r>
            <w:r>
              <w:rPr>
                <w:rFonts w:ascii="Arial" w:hAnsi="Arial" w:cs="Arial"/>
                <w:color w:val="000000"/>
                <w:sz w:val="20"/>
                <w:szCs w:val="20"/>
              </w:rPr>
              <w:t>(</w:t>
            </w:r>
            <w:r w:rsidRPr="00465022">
              <w:rPr>
                <w:rFonts w:ascii="Arial" w:hAnsi="Arial" w:cs="Arial"/>
                <w:color w:val="000000"/>
                <w:sz w:val="20"/>
                <w:szCs w:val="20"/>
              </w:rPr>
              <w:t>Baseline</w:t>
            </w:r>
            <w:r>
              <w:rPr>
                <w:rFonts w:ascii="Arial" w:hAnsi="Arial" w:cs="Arial"/>
                <w:color w:val="000000"/>
                <w:sz w:val="20"/>
                <w:szCs w:val="20"/>
              </w:rPr>
              <w:t xml:space="preserve">) </w:t>
            </w:r>
            <w:r w:rsidRPr="00690D5A">
              <w:rPr>
                <w:rFonts w:ascii="Arial" w:hAnsi="Arial" w:cs="Arial"/>
                <w:color w:val="000000"/>
                <w:sz w:val="20"/>
                <w:szCs w:val="20"/>
                <w:vertAlign w:val="superscript"/>
              </w:rPr>
              <w:t>a</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E50B048" w14:textId="78693441">
            <w:pPr>
              <w:jc w:val="center"/>
              <w:rPr>
                <w:rFonts w:ascii="Arial" w:hAnsi="Arial" w:cs="Arial"/>
                <w:color w:val="000000"/>
                <w:sz w:val="20"/>
                <w:szCs w:val="20"/>
              </w:rPr>
            </w:pPr>
            <w:r w:rsidRPr="00465022">
              <w:rPr>
                <w:rFonts w:ascii="Arial" w:hAnsi="Arial" w:cs="Arial"/>
                <w:color w:val="000000"/>
                <w:sz w:val="20"/>
                <w:szCs w:val="20"/>
              </w:rPr>
              <w:t>3000</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5550F28B" w14:textId="7E446FE9">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8877F3E" w14:textId="3221CA0C">
            <w:pPr>
              <w:jc w:val="center"/>
              <w:rPr>
                <w:rFonts w:ascii="Arial" w:hAnsi="Arial" w:cs="Arial"/>
                <w:color w:val="000000"/>
                <w:sz w:val="20"/>
                <w:szCs w:val="20"/>
              </w:rPr>
            </w:pPr>
            <w:r w:rsidRPr="00465022">
              <w:rPr>
                <w:rFonts w:ascii="Arial" w:hAnsi="Arial" w:cs="Arial"/>
                <w:color w:val="000000"/>
                <w:sz w:val="20"/>
                <w:szCs w:val="20"/>
              </w:rPr>
              <w:t>3000</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1293322" w14:textId="77777777">
            <w:pPr>
              <w:jc w:val="center"/>
              <w:rPr>
                <w:rFonts w:ascii="Arial" w:hAnsi="Arial" w:cs="Arial"/>
                <w:color w:val="000000"/>
                <w:sz w:val="20"/>
                <w:szCs w:val="20"/>
              </w:rPr>
            </w:pPr>
            <w:r w:rsidRPr="00465022">
              <w:rPr>
                <w:rFonts w:ascii="Arial" w:hAnsi="Arial" w:cs="Arial"/>
                <w:color w:val="000000"/>
                <w:sz w:val="20"/>
                <w:szCs w:val="20"/>
              </w:rPr>
              <w:t>0.42</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49B6F60" w14:textId="18B4D42A">
            <w:pPr>
              <w:jc w:val="center"/>
              <w:rPr>
                <w:rFonts w:ascii="Arial" w:hAnsi="Arial" w:cs="Arial"/>
                <w:color w:val="000000"/>
                <w:sz w:val="20"/>
                <w:szCs w:val="20"/>
              </w:rPr>
            </w:pPr>
            <w:r w:rsidRPr="00465022">
              <w:rPr>
                <w:rFonts w:ascii="Arial" w:hAnsi="Arial" w:cs="Arial"/>
                <w:color w:val="000000"/>
                <w:sz w:val="20"/>
                <w:szCs w:val="20"/>
              </w:rPr>
              <w:t>12</w:t>
            </w:r>
            <w:r w:rsidR="00E535F5">
              <w:rPr>
                <w:rFonts w:ascii="Arial" w:hAnsi="Arial" w:cs="Arial"/>
                <w:color w:val="000000"/>
                <w:sz w:val="20"/>
                <w:szCs w:val="20"/>
              </w:rPr>
              <w:t>6</w:t>
            </w:r>
            <w:r w:rsidRPr="00465022">
              <w:rPr>
                <w:rFonts w:ascii="Arial" w:hAnsi="Arial" w:cs="Arial"/>
                <w:color w:val="000000"/>
                <w:sz w:val="20"/>
                <w:szCs w:val="20"/>
              </w:rPr>
              <w:t>0</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A0C8F6A"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0EE6B1AC" w14:textId="73D2D99D">
            <w:pPr>
              <w:jc w:val="right"/>
              <w:rPr>
                <w:rFonts w:ascii="Arial" w:hAnsi="Arial" w:cs="Arial"/>
                <w:color w:val="000000"/>
                <w:sz w:val="20"/>
                <w:szCs w:val="20"/>
              </w:rPr>
            </w:pPr>
            <w:r w:rsidRPr="00465022">
              <w:rPr>
                <w:rFonts w:ascii="Arial" w:hAnsi="Arial" w:cs="Arial"/>
                <w:color w:val="000000"/>
                <w:sz w:val="20"/>
                <w:szCs w:val="20"/>
              </w:rPr>
              <w:t>$14,</w:t>
            </w:r>
            <w:r w:rsidR="00F56F36">
              <w:rPr>
                <w:rFonts w:ascii="Arial" w:hAnsi="Arial" w:cs="Arial"/>
                <w:color w:val="000000"/>
                <w:sz w:val="20"/>
                <w:szCs w:val="20"/>
              </w:rPr>
              <w:t>251</w:t>
            </w:r>
            <w:r w:rsidRPr="00465022">
              <w:rPr>
                <w:rFonts w:ascii="Arial" w:hAnsi="Arial" w:cs="Arial"/>
                <w:color w:val="000000"/>
                <w:sz w:val="20"/>
                <w:szCs w:val="20"/>
              </w:rPr>
              <w:t xml:space="preserve"> </w:t>
            </w:r>
          </w:p>
        </w:tc>
      </w:tr>
      <w:tr w:rsidRPr="00AA1877" w:rsidR="009B1E55" w:rsidTr="00BC58E0" w14:paraId="2E541C7B"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356C15D" w14:textId="22D722BD">
            <w:pPr>
              <w:rPr>
                <w:rFonts w:ascii="Arial" w:hAnsi="Arial" w:cs="Arial"/>
                <w:color w:val="000000"/>
                <w:sz w:val="20"/>
                <w:szCs w:val="20"/>
                <w:vertAlign w:val="superscript"/>
              </w:rPr>
            </w:pPr>
            <w:r w:rsidRPr="00465022">
              <w:rPr>
                <w:rFonts w:ascii="Arial" w:hAnsi="Arial" w:cs="Arial"/>
                <w:color w:val="000000"/>
                <w:sz w:val="20"/>
                <w:szCs w:val="20"/>
              </w:rPr>
              <w:t xml:space="preserve">Home Hazard Checklist </w:t>
            </w:r>
            <w:r>
              <w:rPr>
                <w:rFonts w:ascii="Arial" w:hAnsi="Arial" w:cs="Arial"/>
                <w:color w:val="000000"/>
                <w:sz w:val="20"/>
                <w:szCs w:val="20"/>
              </w:rPr>
              <w:t>(</w:t>
            </w:r>
            <w:r w:rsidRPr="00465022">
              <w:rPr>
                <w:rFonts w:ascii="Arial" w:hAnsi="Arial" w:cs="Arial"/>
                <w:color w:val="000000"/>
                <w:sz w:val="20"/>
                <w:szCs w:val="20"/>
              </w:rPr>
              <w:t>Post-modification</w:t>
            </w:r>
            <w:r>
              <w:rPr>
                <w:rFonts w:ascii="Arial" w:hAnsi="Arial" w:cs="Arial"/>
                <w:color w:val="000000"/>
                <w:sz w:val="20"/>
                <w:szCs w:val="20"/>
              </w:rPr>
              <w:t>)</w:t>
            </w:r>
            <w:r w:rsidRPr="00465022">
              <w:rPr>
                <w:rFonts w:ascii="Arial" w:hAnsi="Arial" w:cs="Arial"/>
                <w:color w:val="000000"/>
                <w:sz w:val="20"/>
                <w:szCs w:val="20"/>
              </w:rPr>
              <w:t xml:space="preserve"> </w:t>
            </w:r>
            <w:r w:rsidRPr="00712A3D">
              <w:rPr>
                <w:rFonts w:ascii="Arial" w:hAnsi="Arial" w:cs="Arial"/>
                <w:color w:val="000000"/>
                <w:sz w:val="20"/>
                <w:szCs w:val="20"/>
                <w:vertAlign w:val="superscript"/>
              </w:rPr>
              <w:t>c</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244E69F" w14:textId="77068D0F">
            <w:pPr>
              <w:jc w:val="center"/>
              <w:rPr>
                <w:rFonts w:ascii="Arial" w:hAnsi="Arial" w:cs="Arial"/>
                <w:color w:val="000000"/>
                <w:sz w:val="20"/>
                <w:szCs w:val="20"/>
              </w:rPr>
            </w:pPr>
            <w:r w:rsidRPr="00465022">
              <w:rPr>
                <w:rFonts w:ascii="Arial" w:hAnsi="Arial" w:cs="Arial"/>
                <w:color w:val="000000"/>
                <w:sz w:val="20"/>
                <w:szCs w:val="20"/>
              </w:rPr>
              <w:t>1688</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45111984" w14:textId="22863049">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85059CC" w14:textId="1D75A394">
            <w:pPr>
              <w:jc w:val="center"/>
              <w:rPr>
                <w:rFonts w:ascii="Arial" w:hAnsi="Arial" w:cs="Arial"/>
                <w:color w:val="000000"/>
                <w:sz w:val="20"/>
                <w:szCs w:val="20"/>
              </w:rPr>
            </w:pPr>
            <w:r w:rsidRPr="00465022">
              <w:rPr>
                <w:rFonts w:ascii="Arial" w:hAnsi="Arial" w:cs="Arial"/>
                <w:color w:val="000000"/>
                <w:sz w:val="20"/>
                <w:szCs w:val="20"/>
              </w:rPr>
              <w:t>1688</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1D91C0A7" w14:textId="77777777">
            <w:pPr>
              <w:jc w:val="center"/>
              <w:rPr>
                <w:rFonts w:ascii="Arial" w:hAnsi="Arial" w:cs="Arial"/>
                <w:color w:val="000000"/>
                <w:sz w:val="20"/>
                <w:szCs w:val="20"/>
              </w:rPr>
            </w:pPr>
            <w:r w:rsidRPr="00465022">
              <w:rPr>
                <w:rFonts w:ascii="Arial" w:hAnsi="Arial" w:cs="Arial"/>
                <w:color w:val="000000"/>
                <w:sz w:val="20"/>
                <w:szCs w:val="20"/>
              </w:rPr>
              <w:t>0.42</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B987C77" w14:textId="4692EC37">
            <w:pPr>
              <w:jc w:val="center"/>
              <w:rPr>
                <w:rFonts w:ascii="Arial" w:hAnsi="Arial" w:cs="Arial"/>
                <w:color w:val="000000"/>
                <w:sz w:val="20"/>
                <w:szCs w:val="20"/>
              </w:rPr>
            </w:pPr>
            <w:r w:rsidRPr="00465022">
              <w:rPr>
                <w:rFonts w:ascii="Arial" w:hAnsi="Arial" w:cs="Arial"/>
                <w:color w:val="000000"/>
                <w:sz w:val="20"/>
                <w:szCs w:val="20"/>
              </w:rPr>
              <w:t>70</w:t>
            </w:r>
            <w:r w:rsidR="00B10201">
              <w:rPr>
                <w:rFonts w:ascii="Arial" w:hAnsi="Arial" w:cs="Arial"/>
                <w:color w:val="000000"/>
                <w:sz w:val="20"/>
                <w:szCs w:val="20"/>
              </w:rPr>
              <w:t>9</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3EBCB1B"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27DB979D" w14:textId="2134ED0B">
            <w:pPr>
              <w:jc w:val="right"/>
              <w:rPr>
                <w:rFonts w:ascii="Arial" w:hAnsi="Arial" w:cs="Arial"/>
                <w:color w:val="000000"/>
                <w:sz w:val="20"/>
                <w:szCs w:val="20"/>
              </w:rPr>
            </w:pPr>
            <w:r w:rsidRPr="00465022">
              <w:rPr>
                <w:rFonts w:ascii="Arial" w:hAnsi="Arial" w:cs="Arial"/>
                <w:color w:val="000000"/>
                <w:sz w:val="20"/>
                <w:szCs w:val="20"/>
              </w:rPr>
              <w:t>$</w:t>
            </w:r>
            <w:r w:rsidR="00F56F36">
              <w:rPr>
                <w:rFonts w:ascii="Arial" w:hAnsi="Arial" w:cs="Arial"/>
                <w:color w:val="000000"/>
                <w:sz w:val="20"/>
                <w:szCs w:val="20"/>
              </w:rPr>
              <w:t>8,018</w:t>
            </w:r>
            <w:r w:rsidRPr="00465022">
              <w:rPr>
                <w:rFonts w:ascii="Arial" w:hAnsi="Arial" w:cs="Arial"/>
                <w:color w:val="000000"/>
                <w:sz w:val="20"/>
                <w:szCs w:val="20"/>
              </w:rPr>
              <w:t xml:space="preserve"> </w:t>
            </w:r>
          </w:p>
        </w:tc>
      </w:tr>
      <w:tr w:rsidRPr="00AA1877" w:rsidR="009B1E55" w:rsidTr="00BC58E0" w14:paraId="009A1734"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BD5683B" w14:textId="2A79412A">
            <w:pPr>
              <w:rPr>
                <w:rFonts w:ascii="Arial" w:hAnsi="Arial" w:cs="Arial"/>
                <w:color w:val="000000"/>
                <w:sz w:val="20"/>
                <w:szCs w:val="20"/>
                <w:vertAlign w:val="superscript"/>
              </w:rPr>
            </w:pPr>
            <w:r w:rsidRPr="00465022">
              <w:rPr>
                <w:rFonts w:ascii="Arial" w:hAnsi="Arial" w:cs="Arial"/>
                <w:color w:val="000000"/>
                <w:sz w:val="20"/>
                <w:szCs w:val="20"/>
              </w:rPr>
              <w:t xml:space="preserve">OAHM Client Impact Evaluation Interview </w:t>
            </w:r>
            <w:r>
              <w:rPr>
                <w:rFonts w:ascii="Arial" w:hAnsi="Arial" w:cs="Arial"/>
                <w:color w:val="000000"/>
                <w:sz w:val="20"/>
                <w:szCs w:val="20"/>
              </w:rPr>
              <w:t>(</w:t>
            </w:r>
            <w:r w:rsidRPr="00465022">
              <w:rPr>
                <w:rFonts w:ascii="Arial" w:hAnsi="Arial" w:cs="Arial"/>
                <w:color w:val="000000"/>
                <w:sz w:val="20"/>
                <w:szCs w:val="20"/>
              </w:rPr>
              <w:t>Baseline</w:t>
            </w:r>
            <w:r>
              <w:rPr>
                <w:rFonts w:ascii="Arial" w:hAnsi="Arial" w:cs="Arial"/>
                <w:color w:val="000000"/>
                <w:sz w:val="20"/>
                <w:szCs w:val="20"/>
              </w:rPr>
              <w:t>)</w:t>
            </w:r>
            <w:r w:rsidRPr="00465022">
              <w:rPr>
                <w:rFonts w:ascii="Arial" w:hAnsi="Arial" w:cs="Arial"/>
                <w:color w:val="000000"/>
                <w:sz w:val="20"/>
                <w:szCs w:val="20"/>
              </w:rPr>
              <w:t xml:space="preserve"> </w:t>
            </w:r>
            <w:r w:rsidRPr="00465022">
              <w:rPr>
                <w:rFonts w:ascii="Arial" w:hAnsi="Arial" w:cs="Arial"/>
                <w:color w:val="000000"/>
                <w:sz w:val="20"/>
                <w:szCs w:val="20"/>
                <w:vertAlign w:val="superscript"/>
              </w:rPr>
              <w:t>b</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750C9F8F" w14:textId="515E6492">
            <w:pPr>
              <w:jc w:val="center"/>
              <w:rPr>
                <w:rFonts w:ascii="Arial" w:hAnsi="Arial" w:cs="Arial"/>
                <w:color w:val="000000"/>
                <w:sz w:val="20"/>
                <w:szCs w:val="20"/>
              </w:rPr>
            </w:pPr>
            <w:r w:rsidRPr="00465022">
              <w:rPr>
                <w:rFonts w:ascii="Arial" w:hAnsi="Arial" w:cs="Arial"/>
                <w:color w:val="000000"/>
                <w:sz w:val="20"/>
                <w:szCs w:val="20"/>
              </w:rPr>
              <w:t>2250</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4E1563B2" w14:textId="10F73711">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052222C" w14:textId="3C0CB1FF">
            <w:pPr>
              <w:jc w:val="center"/>
              <w:rPr>
                <w:rFonts w:ascii="Arial" w:hAnsi="Arial" w:cs="Arial"/>
                <w:color w:val="000000"/>
                <w:sz w:val="20"/>
                <w:szCs w:val="20"/>
              </w:rPr>
            </w:pPr>
            <w:r w:rsidRPr="00465022">
              <w:rPr>
                <w:rFonts w:ascii="Arial" w:hAnsi="Arial" w:cs="Arial"/>
                <w:color w:val="000000"/>
                <w:sz w:val="20"/>
                <w:szCs w:val="20"/>
              </w:rPr>
              <w:t>2250</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9F590C7" w14:textId="77777777">
            <w:pPr>
              <w:jc w:val="center"/>
              <w:rPr>
                <w:rFonts w:ascii="Arial" w:hAnsi="Arial" w:cs="Arial"/>
                <w:color w:val="000000"/>
                <w:sz w:val="20"/>
                <w:szCs w:val="20"/>
              </w:rPr>
            </w:pPr>
            <w:r w:rsidRPr="00465022">
              <w:rPr>
                <w:rFonts w:ascii="Arial" w:hAnsi="Arial" w:cs="Arial"/>
                <w:color w:val="000000"/>
                <w:sz w:val="20"/>
                <w:szCs w:val="20"/>
              </w:rPr>
              <w:t>0.33</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CC0153D" w14:textId="624F5C10">
            <w:pPr>
              <w:jc w:val="center"/>
              <w:rPr>
                <w:rFonts w:ascii="Arial" w:hAnsi="Arial" w:cs="Arial"/>
                <w:color w:val="000000"/>
                <w:sz w:val="20"/>
                <w:szCs w:val="20"/>
              </w:rPr>
            </w:pPr>
            <w:r w:rsidRPr="00465022">
              <w:rPr>
                <w:rFonts w:ascii="Arial" w:hAnsi="Arial" w:cs="Arial"/>
                <w:color w:val="000000"/>
                <w:sz w:val="20"/>
                <w:szCs w:val="20"/>
              </w:rPr>
              <w:t>7</w:t>
            </w:r>
            <w:r w:rsidR="00B10201">
              <w:rPr>
                <w:rFonts w:ascii="Arial" w:hAnsi="Arial" w:cs="Arial"/>
                <w:color w:val="000000"/>
                <w:sz w:val="20"/>
                <w:szCs w:val="20"/>
              </w:rPr>
              <w:t>43</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FFB7916"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2D61161D" w14:textId="481BB4D7">
            <w:pPr>
              <w:jc w:val="right"/>
              <w:rPr>
                <w:rFonts w:ascii="Arial" w:hAnsi="Arial" w:cs="Arial"/>
                <w:color w:val="000000"/>
                <w:sz w:val="20"/>
                <w:szCs w:val="20"/>
              </w:rPr>
            </w:pPr>
            <w:r w:rsidRPr="00465022">
              <w:rPr>
                <w:rFonts w:ascii="Arial" w:hAnsi="Arial" w:cs="Arial"/>
                <w:color w:val="000000"/>
                <w:sz w:val="20"/>
                <w:szCs w:val="20"/>
              </w:rPr>
              <w:t>$8,</w:t>
            </w:r>
            <w:r w:rsidR="00F56F36">
              <w:rPr>
                <w:rFonts w:ascii="Arial" w:hAnsi="Arial" w:cs="Arial"/>
                <w:color w:val="000000"/>
                <w:sz w:val="20"/>
                <w:szCs w:val="20"/>
              </w:rPr>
              <w:t>398</w:t>
            </w:r>
          </w:p>
        </w:tc>
      </w:tr>
      <w:tr w:rsidRPr="00AA1877" w:rsidR="009B1E55" w:rsidTr="00BC58E0" w14:paraId="45475E30"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278D000" w14:textId="26AE2CCB">
            <w:pPr>
              <w:rPr>
                <w:rFonts w:ascii="Arial" w:hAnsi="Arial" w:cs="Arial"/>
                <w:color w:val="000000"/>
                <w:sz w:val="20"/>
                <w:szCs w:val="20"/>
                <w:vertAlign w:val="superscript"/>
              </w:rPr>
            </w:pPr>
            <w:r w:rsidRPr="00465022">
              <w:rPr>
                <w:rFonts w:ascii="Arial" w:hAnsi="Arial" w:cs="Arial"/>
                <w:color w:val="000000"/>
                <w:sz w:val="20"/>
                <w:szCs w:val="20"/>
              </w:rPr>
              <w:t xml:space="preserve">OAHM Client Impact Evaluation Interview </w:t>
            </w:r>
            <w:r>
              <w:rPr>
                <w:rFonts w:ascii="Arial" w:hAnsi="Arial" w:cs="Arial"/>
                <w:color w:val="000000"/>
                <w:sz w:val="20"/>
                <w:szCs w:val="20"/>
              </w:rPr>
              <w:t>(</w:t>
            </w:r>
            <w:r w:rsidRPr="00465022">
              <w:rPr>
                <w:rFonts w:ascii="Arial" w:hAnsi="Arial" w:cs="Arial"/>
                <w:color w:val="000000"/>
                <w:sz w:val="20"/>
                <w:szCs w:val="20"/>
              </w:rPr>
              <w:t>Post-modification</w:t>
            </w:r>
            <w:r>
              <w:rPr>
                <w:rFonts w:ascii="Arial" w:hAnsi="Arial" w:cs="Arial"/>
                <w:color w:val="000000"/>
                <w:sz w:val="20"/>
                <w:szCs w:val="20"/>
              </w:rPr>
              <w:t>)</w:t>
            </w:r>
            <w:r w:rsidRPr="00465022">
              <w:rPr>
                <w:rFonts w:ascii="Arial" w:hAnsi="Arial" w:cs="Arial"/>
                <w:color w:val="000000"/>
                <w:sz w:val="20"/>
                <w:szCs w:val="20"/>
              </w:rPr>
              <w:t xml:space="preserve"> </w:t>
            </w:r>
            <w:r w:rsidRPr="00465022">
              <w:rPr>
                <w:rFonts w:ascii="Arial" w:hAnsi="Arial" w:cs="Arial"/>
                <w:color w:val="000000"/>
                <w:sz w:val="20"/>
                <w:szCs w:val="20"/>
                <w:vertAlign w:val="superscript"/>
              </w:rPr>
              <w:t>c</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FD06CFC" w14:textId="2D451313">
            <w:pPr>
              <w:jc w:val="center"/>
              <w:rPr>
                <w:rFonts w:ascii="Arial" w:hAnsi="Arial" w:cs="Arial"/>
                <w:color w:val="000000"/>
                <w:sz w:val="20"/>
                <w:szCs w:val="20"/>
              </w:rPr>
            </w:pPr>
            <w:r w:rsidRPr="00465022">
              <w:rPr>
                <w:rFonts w:ascii="Arial" w:hAnsi="Arial" w:cs="Arial"/>
                <w:color w:val="000000"/>
                <w:sz w:val="20"/>
                <w:szCs w:val="20"/>
              </w:rPr>
              <w:t>1688</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4B785896" w14:textId="770832C8">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9F1F4D9" w14:textId="259E7843">
            <w:pPr>
              <w:jc w:val="center"/>
              <w:rPr>
                <w:rFonts w:ascii="Arial" w:hAnsi="Arial" w:cs="Arial"/>
                <w:color w:val="000000"/>
                <w:sz w:val="20"/>
                <w:szCs w:val="20"/>
              </w:rPr>
            </w:pPr>
            <w:r w:rsidRPr="00465022">
              <w:rPr>
                <w:rFonts w:ascii="Arial" w:hAnsi="Arial" w:cs="Arial"/>
                <w:color w:val="000000"/>
                <w:sz w:val="20"/>
                <w:szCs w:val="20"/>
              </w:rPr>
              <w:t>1688</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24AFD34" w14:textId="77777777">
            <w:pPr>
              <w:jc w:val="center"/>
              <w:rPr>
                <w:rFonts w:ascii="Arial" w:hAnsi="Arial" w:cs="Arial"/>
                <w:color w:val="000000"/>
                <w:sz w:val="20"/>
                <w:szCs w:val="20"/>
              </w:rPr>
            </w:pPr>
            <w:r w:rsidRPr="00465022">
              <w:rPr>
                <w:rFonts w:ascii="Arial" w:hAnsi="Arial" w:cs="Arial"/>
                <w:color w:val="000000"/>
                <w:sz w:val="20"/>
                <w:szCs w:val="20"/>
              </w:rPr>
              <w:t>0.33</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1E07B9A" w14:textId="005689EA">
            <w:pPr>
              <w:jc w:val="center"/>
              <w:rPr>
                <w:rFonts w:ascii="Arial" w:hAnsi="Arial" w:cs="Arial"/>
                <w:color w:val="000000"/>
                <w:sz w:val="20"/>
                <w:szCs w:val="20"/>
              </w:rPr>
            </w:pPr>
            <w:r w:rsidRPr="00465022">
              <w:rPr>
                <w:rFonts w:ascii="Arial" w:hAnsi="Arial" w:cs="Arial"/>
                <w:color w:val="000000"/>
                <w:sz w:val="20"/>
                <w:szCs w:val="20"/>
              </w:rPr>
              <w:t>5</w:t>
            </w:r>
            <w:r w:rsidR="00F56F36">
              <w:rPr>
                <w:rFonts w:ascii="Arial" w:hAnsi="Arial" w:cs="Arial"/>
                <w:color w:val="000000"/>
                <w:sz w:val="20"/>
                <w:szCs w:val="20"/>
              </w:rPr>
              <w:t>57</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1BF26FE8"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3EBBCA29" w14:textId="6A9226D5">
            <w:pPr>
              <w:jc w:val="right"/>
              <w:rPr>
                <w:rFonts w:ascii="Arial" w:hAnsi="Arial" w:cs="Arial"/>
                <w:color w:val="000000"/>
                <w:sz w:val="20"/>
                <w:szCs w:val="20"/>
              </w:rPr>
            </w:pPr>
            <w:r w:rsidRPr="00465022">
              <w:rPr>
                <w:rFonts w:ascii="Arial" w:hAnsi="Arial" w:cs="Arial"/>
                <w:color w:val="000000"/>
                <w:sz w:val="20"/>
                <w:szCs w:val="20"/>
              </w:rPr>
              <w:t>$6,3</w:t>
            </w:r>
            <w:r w:rsidR="00F56F36">
              <w:rPr>
                <w:rFonts w:ascii="Arial" w:hAnsi="Arial" w:cs="Arial"/>
                <w:color w:val="000000"/>
                <w:sz w:val="20"/>
                <w:szCs w:val="20"/>
              </w:rPr>
              <w:t>00</w:t>
            </w:r>
            <w:r w:rsidRPr="00465022">
              <w:rPr>
                <w:rFonts w:ascii="Arial" w:hAnsi="Arial" w:cs="Arial"/>
                <w:color w:val="000000"/>
                <w:sz w:val="20"/>
                <w:szCs w:val="20"/>
              </w:rPr>
              <w:t xml:space="preserve"> </w:t>
            </w:r>
          </w:p>
        </w:tc>
      </w:tr>
      <w:tr w:rsidRPr="00AA1877" w:rsidR="009B1E55" w:rsidTr="00BC58E0" w14:paraId="6292B588" w14:textId="77777777">
        <w:trPr>
          <w:trHeight w:val="343"/>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DF5225D" w14:textId="7EB7B9CE">
            <w:pPr>
              <w:rPr>
                <w:rFonts w:ascii="Arial" w:hAnsi="Arial" w:cs="Arial"/>
                <w:color w:val="000000"/>
                <w:sz w:val="20"/>
                <w:szCs w:val="20"/>
                <w:vertAlign w:val="superscript"/>
              </w:rPr>
            </w:pPr>
            <w:r w:rsidRPr="00465022">
              <w:rPr>
                <w:rFonts w:ascii="Arial" w:hAnsi="Arial" w:cs="Arial"/>
                <w:color w:val="000000"/>
                <w:sz w:val="20"/>
                <w:szCs w:val="20"/>
              </w:rPr>
              <w:t xml:space="preserve">Script to Schedule Client Process Evaluation Interview </w:t>
            </w:r>
            <w:r>
              <w:rPr>
                <w:rFonts w:ascii="Arial" w:hAnsi="Arial" w:cs="Arial"/>
                <w:color w:val="000000"/>
                <w:sz w:val="20"/>
                <w:szCs w:val="20"/>
                <w:vertAlign w:val="superscript"/>
              </w:rPr>
              <w:t>e</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0343C34" w14:textId="4DF9982B">
            <w:pPr>
              <w:jc w:val="center"/>
              <w:rPr>
                <w:rFonts w:ascii="Arial" w:hAnsi="Arial" w:cs="Arial"/>
                <w:color w:val="000000"/>
                <w:sz w:val="20"/>
                <w:szCs w:val="20"/>
              </w:rPr>
            </w:pPr>
            <w:r w:rsidRPr="00465022">
              <w:rPr>
                <w:rFonts w:ascii="Arial" w:hAnsi="Arial" w:cs="Arial"/>
                <w:color w:val="000000"/>
                <w:sz w:val="20"/>
                <w:szCs w:val="20"/>
              </w:rPr>
              <w:t>188</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7AC788EC" w14:textId="109117EC">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EF65862" w14:textId="62EB5FD0">
            <w:pPr>
              <w:jc w:val="center"/>
              <w:rPr>
                <w:rFonts w:ascii="Arial" w:hAnsi="Arial" w:cs="Arial"/>
                <w:color w:val="000000"/>
                <w:sz w:val="20"/>
                <w:szCs w:val="20"/>
              </w:rPr>
            </w:pPr>
            <w:r w:rsidRPr="00465022">
              <w:rPr>
                <w:rFonts w:ascii="Arial" w:hAnsi="Arial" w:cs="Arial"/>
                <w:color w:val="000000"/>
                <w:sz w:val="20"/>
                <w:szCs w:val="20"/>
              </w:rPr>
              <w:t>188</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1BA951A4" w14:textId="77777777">
            <w:pPr>
              <w:jc w:val="center"/>
              <w:rPr>
                <w:rFonts w:ascii="Arial" w:hAnsi="Arial" w:cs="Arial"/>
                <w:color w:val="000000"/>
                <w:sz w:val="20"/>
                <w:szCs w:val="20"/>
              </w:rPr>
            </w:pPr>
            <w:r w:rsidRPr="00465022">
              <w:rPr>
                <w:rFonts w:ascii="Arial" w:hAnsi="Arial" w:cs="Arial"/>
                <w:color w:val="000000"/>
                <w:sz w:val="20"/>
                <w:szCs w:val="20"/>
              </w:rPr>
              <w:t>0.08</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9ADB03B" w14:textId="067BB074">
            <w:pPr>
              <w:jc w:val="center"/>
              <w:rPr>
                <w:rFonts w:ascii="Arial" w:hAnsi="Arial" w:cs="Arial"/>
                <w:color w:val="000000"/>
                <w:sz w:val="20"/>
                <w:szCs w:val="20"/>
              </w:rPr>
            </w:pPr>
            <w:r w:rsidRPr="00465022">
              <w:rPr>
                <w:rFonts w:ascii="Arial" w:hAnsi="Arial" w:cs="Arial"/>
                <w:color w:val="000000"/>
                <w:sz w:val="20"/>
                <w:szCs w:val="20"/>
              </w:rPr>
              <w:t>1</w:t>
            </w:r>
            <w:r w:rsidR="00F56F36">
              <w:rPr>
                <w:rFonts w:ascii="Arial" w:hAnsi="Arial" w:cs="Arial"/>
                <w:color w:val="000000"/>
                <w:sz w:val="20"/>
                <w:szCs w:val="20"/>
              </w:rPr>
              <w:t>5</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74EB55B" w14:textId="77777777">
            <w:pPr>
              <w:jc w:val="center"/>
              <w:rPr>
                <w:rFonts w:ascii="Arial" w:hAnsi="Arial" w:cs="Arial"/>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11902972" w14:textId="26F4F0C6">
            <w:pPr>
              <w:jc w:val="right"/>
              <w:rPr>
                <w:rFonts w:ascii="Arial" w:hAnsi="Arial" w:cs="Arial"/>
                <w:color w:val="000000"/>
                <w:sz w:val="20"/>
                <w:szCs w:val="20"/>
              </w:rPr>
            </w:pPr>
            <w:r w:rsidRPr="00465022">
              <w:rPr>
                <w:rFonts w:ascii="Arial" w:hAnsi="Arial" w:cs="Arial"/>
                <w:color w:val="000000"/>
                <w:sz w:val="20"/>
                <w:szCs w:val="20"/>
              </w:rPr>
              <w:t>$17</w:t>
            </w:r>
            <w:r w:rsidR="00F56F36">
              <w:rPr>
                <w:rFonts w:ascii="Arial" w:hAnsi="Arial" w:cs="Arial"/>
                <w:color w:val="000000"/>
                <w:sz w:val="20"/>
                <w:szCs w:val="20"/>
              </w:rPr>
              <w:t>0</w:t>
            </w:r>
            <w:r w:rsidRPr="00465022">
              <w:rPr>
                <w:rFonts w:ascii="Arial" w:hAnsi="Arial" w:cs="Arial"/>
                <w:color w:val="000000"/>
                <w:sz w:val="20"/>
                <w:szCs w:val="20"/>
              </w:rPr>
              <w:t xml:space="preserve"> </w:t>
            </w:r>
          </w:p>
        </w:tc>
      </w:tr>
      <w:tr w:rsidRPr="00AA1877" w:rsidR="009B1E55" w:rsidTr="00BC58E0" w14:paraId="744A1031" w14:textId="77777777">
        <w:trPr>
          <w:trHeight w:val="300"/>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14B084F" w14:textId="7A135BA0">
            <w:pPr>
              <w:rPr>
                <w:rFonts w:ascii="Arial" w:hAnsi="Arial" w:cs="Arial"/>
                <w:b/>
                <w:bCs/>
                <w:color w:val="000000"/>
                <w:sz w:val="20"/>
                <w:szCs w:val="20"/>
              </w:rPr>
            </w:pPr>
            <w:r w:rsidRPr="00465022">
              <w:rPr>
                <w:rFonts w:ascii="Arial" w:hAnsi="Arial" w:cs="Arial"/>
                <w:color w:val="000000"/>
                <w:sz w:val="20"/>
                <w:szCs w:val="20"/>
              </w:rPr>
              <w:t xml:space="preserve">Client Process Evaluation Interview </w:t>
            </w:r>
            <w:r w:rsidRPr="00465022">
              <w:rPr>
                <w:rFonts w:ascii="Arial" w:hAnsi="Arial" w:cs="Arial"/>
                <w:color w:val="000000"/>
                <w:sz w:val="20"/>
                <w:szCs w:val="20"/>
                <w:vertAlign w:val="superscript"/>
              </w:rPr>
              <w:t>d</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68A99BD" w14:textId="7B4F8268">
            <w:pPr>
              <w:jc w:val="center"/>
              <w:rPr>
                <w:rFonts w:ascii="Arial" w:hAnsi="Arial" w:cs="Arial"/>
                <w:b/>
                <w:bCs/>
                <w:color w:val="000000"/>
                <w:sz w:val="20"/>
                <w:szCs w:val="20"/>
              </w:rPr>
            </w:pPr>
            <w:r w:rsidRPr="00465022">
              <w:rPr>
                <w:rFonts w:ascii="Arial" w:hAnsi="Arial" w:cs="Arial"/>
                <w:color w:val="000000"/>
                <w:sz w:val="20"/>
                <w:szCs w:val="20"/>
              </w:rPr>
              <w:t>169</w:t>
            </w:r>
          </w:p>
        </w:tc>
        <w:tc>
          <w:tcPr>
            <w:tcW w:w="555" w:type="pct"/>
            <w:tcBorders>
              <w:top w:val="single" w:color="auto" w:sz="4" w:space="0"/>
              <w:left w:val="single" w:color="auto" w:sz="4" w:space="0"/>
              <w:bottom w:val="single" w:color="auto" w:sz="4" w:space="0"/>
              <w:right w:val="single" w:color="auto" w:sz="4" w:space="0"/>
            </w:tcBorders>
            <w:vAlign w:val="center"/>
          </w:tcPr>
          <w:p w:rsidRPr="00465022" w:rsidR="001B31A3" w:rsidP="001B31A3" w:rsidRDefault="001B31A3" w14:paraId="57F8960E" w14:textId="294F768D">
            <w:pPr>
              <w:jc w:val="center"/>
              <w:rPr>
                <w:rFonts w:ascii="Arial" w:hAnsi="Arial" w:cs="Arial"/>
                <w:color w:val="000000"/>
                <w:sz w:val="20"/>
                <w:szCs w:val="20"/>
              </w:rPr>
            </w:pPr>
            <w:r w:rsidRPr="00465022">
              <w:rPr>
                <w:rFonts w:ascii="Arial" w:hAnsi="Arial" w:cs="Arial"/>
                <w:color w:val="000000"/>
                <w:sz w:val="20"/>
                <w:szCs w:val="20"/>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2E38B5BD" w14:textId="53DCC82F">
            <w:pPr>
              <w:jc w:val="center"/>
              <w:rPr>
                <w:rFonts w:ascii="Arial" w:hAnsi="Arial" w:cs="Arial"/>
                <w:b/>
                <w:bCs/>
                <w:color w:val="000000"/>
                <w:sz w:val="20"/>
                <w:szCs w:val="20"/>
              </w:rPr>
            </w:pPr>
            <w:r w:rsidRPr="00465022">
              <w:rPr>
                <w:rFonts w:ascii="Arial" w:hAnsi="Arial" w:cs="Arial"/>
                <w:color w:val="000000"/>
                <w:sz w:val="20"/>
                <w:szCs w:val="20"/>
              </w:rPr>
              <w:t>169</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0A0D17A" w14:textId="77777777">
            <w:pPr>
              <w:jc w:val="center"/>
              <w:rPr>
                <w:rFonts w:ascii="Arial" w:hAnsi="Arial" w:cs="Arial"/>
                <w:b/>
                <w:bCs/>
                <w:color w:val="000000"/>
                <w:sz w:val="20"/>
                <w:szCs w:val="20"/>
              </w:rPr>
            </w:pPr>
            <w:r w:rsidRPr="00465022">
              <w:rPr>
                <w:rFonts w:ascii="Arial" w:hAnsi="Arial" w:cs="Arial"/>
                <w:color w:val="000000"/>
                <w:sz w:val="20"/>
                <w:szCs w:val="20"/>
              </w:rPr>
              <w:t>0.50</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491098A" w14:textId="2304E0A3">
            <w:pPr>
              <w:jc w:val="center"/>
              <w:rPr>
                <w:rFonts w:ascii="Arial" w:hAnsi="Arial" w:cs="Arial"/>
                <w:b/>
                <w:bCs/>
                <w:color w:val="000000"/>
                <w:sz w:val="20"/>
                <w:szCs w:val="20"/>
              </w:rPr>
            </w:pPr>
            <w:r w:rsidRPr="00465022">
              <w:rPr>
                <w:rFonts w:ascii="Arial" w:hAnsi="Arial" w:cs="Arial"/>
                <w:color w:val="000000"/>
                <w:sz w:val="20"/>
                <w:szCs w:val="20"/>
              </w:rPr>
              <w:t>8</w:t>
            </w:r>
            <w:r w:rsidR="00B10201">
              <w:rPr>
                <w:rFonts w:ascii="Arial" w:hAnsi="Arial" w:cs="Arial"/>
                <w:color w:val="000000"/>
                <w:sz w:val="20"/>
                <w:szCs w:val="20"/>
              </w:rPr>
              <w:t>5</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B27D345" w14:textId="77777777">
            <w:pPr>
              <w:jc w:val="center"/>
              <w:rPr>
                <w:rFonts w:ascii="Arial" w:hAnsi="Arial" w:cs="Arial"/>
                <w:b/>
                <w:bCs/>
                <w:color w:val="000000"/>
                <w:sz w:val="20"/>
                <w:szCs w:val="20"/>
              </w:rPr>
            </w:pPr>
            <w:r w:rsidRPr="00465022">
              <w:rPr>
                <w:rFonts w:ascii="Arial" w:hAnsi="Arial" w:cs="Arial"/>
                <w:color w:val="000000"/>
                <w:sz w:val="20"/>
                <w:szCs w:val="20"/>
              </w:rPr>
              <w:t>$11.31</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11E0B345" w14:textId="0E2EDCC3">
            <w:pPr>
              <w:jc w:val="right"/>
              <w:rPr>
                <w:rFonts w:ascii="Arial" w:hAnsi="Arial" w:cs="Arial"/>
                <w:b/>
                <w:bCs/>
                <w:color w:val="000000"/>
                <w:sz w:val="20"/>
                <w:szCs w:val="20"/>
              </w:rPr>
            </w:pPr>
            <w:r w:rsidRPr="00465022">
              <w:rPr>
                <w:rFonts w:ascii="Arial" w:hAnsi="Arial" w:cs="Arial"/>
                <w:color w:val="000000"/>
                <w:sz w:val="20"/>
                <w:szCs w:val="20"/>
              </w:rPr>
              <w:t>$9</w:t>
            </w:r>
            <w:r w:rsidR="00F56F36">
              <w:rPr>
                <w:rFonts w:ascii="Arial" w:hAnsi="Arial" w:cs="Arial"/>
                <w:color w:val="000000"/>
                <w:sz w:val="20"/>
                <w:szCs w:val="20"/>
              </w:rPr>
              <w:t>56</w:t>
            </w:r>
            <w:r w:rsidRPr="00465022">
              <w:rPr>
                <w:rFonts w:ascii="Arial" w:hAnsi="Arial" w:cs="Arial"/>
                <w:color w:val="000000"/>
                <w:sz w:val="20"/>
                <w:szCs w:val="20"/>
              </w:rPr>
              <w:t xml:space="preserve"> </w:t>
            </w:r>
          </w:p>
        </w:tc>
      </w:tr>
      <w:tr w:rsidRPr="00AA1877" w:rsidR="009B1E55" w:rsidTr="00BC58E0" w14:paraId="4737ECA2" w14:textId="77777777">
        <w:trPr>
          <w:trHeight w:val="292"/>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85C157F" w14:textId="35E2BC8D">
            <w:pPr>
              <w:rPr>
                <w:rFonts w:ascii="Arial" w:hAnsi="Arial" w:cs="Arial"/>
                <w:b/>
                <w:bCs/>
                <w:color w:val="000000"/>
                <w:sz w:val="20"/>
                <w:szCs w:val="20"/>
              </w:rPr>
            </w:pPr>
            <w:r w:rsidRPr="00465022">
              <w:rPr>
                <w:rFonts w:ascii="Arial" w:hAnsi="Arial" w:cs="Arial"/>
                <w:b/>
                <w:bCs/>
                <w:color w:val="000000"/>
                <w:sz w:val="20"/>
                <w:szCs w:val="20"/>
              </w:rPr>
              <w:t xml:space="preserve">Total Annual </w:t>
            </w:r>
          </w:p>
        </w:tc>
        <w:tc>
          <w:tcPr>
            <w:tcW w:w="692" w:type="pct"/>
            <w:tcBorders>
              <w:top w:val="single" w:color="auto" w:sz="4" w:space="0"/>
              <w:left w:val="nil"/>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5FB17FFA" w14:textId="0BE097BD">
            <w:pPr>
              <w:jc w:val="center"/>
              <w:rPr>
                <w:rFonts w:ascii="Arial" w:hAnsi="Arial" w:cs="Arial"/>
                <w:b/>
                <w:bCs/>
                <w:color w:val="000000"/>
                <w:sz w:val="20"/>
                <w:szCs w:val="20"/>
              </w:rPr>
            </w:pPr>
          </w:p>
        </w:tc>
        <w:tc>
          <w:tcPr>
            <w:tcW w:w="555" w:type="pct"/>
            <w:tcBorders>
              <w:top w:val="single" w:color="auto" w:sz="4" w:space="0"/>
              <w:left w:val="single" w:color="auto" w:sz="4" w:space="0"/>
              <w:bottom w:val="single" w:color="auto" w:sz="4" w:space="0"/>
              <w:right w:val="single" w:color="auto" w:sz="4" w:space="0"/>
            </w:tcBorders>
          </w:tcPr>
          <w:p w:rsidRPr="00465022" w:rsidR="001B31A3" w:rsidP="001B31A3" w:rsidRDefault="001B31A3" w14:paraId="2A286943" w14:textId="77777777">
            <w:pPr>
              <w:jc w:val="center"/>
              <w:rPr>
                <w:rFonts w:ascii="Arial" w:hAnsi="Arial" w:cs="Arial"/>
                <w:b/>
                <w:bCs/>
                <w:color w:val="000000"/>
                <w:sz w:val="20"/>
                <w:szCs w:val="20"/>
              </w:rPr>
            </w:pPr>
          </w:p>
        </w:tc>
        <w:tc>
          <w:tcPr>
            <w:tcW w:w="59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378787AB" w14:textId="58C1E35C">
            <w:pPr>
              <w:jc w:val="center"/>
              <w:rPr>
                <w:rFonts w:ascii="Arial" w:hAnsi="Arial" w:cs="Arial"/>
                <w:b/>
                <w:bCs/>
                <w:color w:val="000000"/>
                <w:sz w:val="20"/>
                <w:szCs w:val="20"/>
              </w:rPr>
            </w:pPr>
            <w:r w:rsidRPr="00465022">
              <w:rPr>
                <w:rFonts w:ascii="Arial" w:hAnsi="Arial" w:cs="Arial"/>
                <w:b/>
                <w:bCs/>
                <w:color w:val="000000"/>
                <w:sz w:val="20"/>
                <w:szCs w:val="20"/>
              </w:rPr>
              <w:t>15,9</w:t>
            </w:r>
            <w:r w:rsidR="00BC58E0">
              <w:rPr>
                <w:rFonts w:ascii="Arial" w:hAnsi="Arial" w:cs="Arial"/>
                <w:b/>
                <w:bCs/>
                <w:color w:val="000000"/>
                <w:sz w:val="20"/>
                <w:szCs w:val="20"/>
              </w:rPr>
              <w:t>2</w:t>
            </w:r>
            <w:r w:rsidRPr="00465022">
              <w:rPr>
                <w:rFonts w:ascii="Arial" w:hAnsi="Arial" w:cs="Arial"/>
                <w:b/>
                <w:bCs/>
                <w:color w:val="000000"/>
                <w:sz w:val="20"/>
                <w:szCs w:val="20"/>
              </w:rPr>
              <w:t xml:space="preserve">1 </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56C6989" w14:textId="77777777">
            <w:pPr>
              <w:jc w:val="center"/>
              <w:rPr>
                <w:rFonts w:ascii="Arial" w:hAnsi="Arial" w:cs="Arial"/>
                <w:b/>
                <w:bCs/>
                <w:color w:val="000000"/>
                <w:sz w:val="20"/>
                <w:szCs w:val="20"/>
              </w:rPr>
            </w:pPr>
            <w:r w:rsidRPr="00465022">
              <w:rPr>
                <w:rFonts w:ascii="Arial" w:hAnsi="Arial" w:cs="Arial"/>
                <w:b/>
                <w:bCs/>
                <w:color w:val="000000"/>
                <w:sz w:val="20"/>
                <w:szCs w:val="20"/>
              </w:rPr>
              <w:t>2.53</w:t>
            </w:r>
          </w:p>
        </w:tc>
        <w:tc>
          <w:tcPr>
            <w:tcW w:w="53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0B199260" w14:textId="336374F6">
            <w:pPr>
              <w:jc w:val="center"/>
              <w:rPr>
                <w:rFonts w:ascii="Arial" w:hAnsi="Arial" w:cs="Arial"/>
                <w:b/>
                <w:bCs/>
                <w:color w:val="000000"/>
                <w:sz w:val="20"/>
                <w:szCs w:val="20"/>
              </w:rPr>
            </w:pPr>
            <w:r w:rsidRPr="00465022">
              <w:rPr>
                <w:rFonts w:ascii="Arial" w:hAnsi="Arial" w:cs="Arial"/>
                <w:b/>
                <w:bCs/>
                <w:color w:val="000000"/>
                <w:sz w:val="20"/>
                <w:szCs w:val="20"/>
              </w:rPr>
              <w:t>4,</w:t>
            </w:r>
            <w:r w:rsidR="00E535F5">
              <w:rPr>
                <w:rFonts w:ascii="Arial" w:hAnsi="Arial" w:cs="Arial"/>
                <w:b/>
                <w:bCs/>
                <w:color w:val="000000"/>
                <w:sz w:val="20"/>
                <w:szCs w:val="20"/>
              </w:rPr>
              <w:t>401</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6F112C09" w14:textId="77777777">
            <w:pPr>
              <w:jc w:val="center"/>
              <w:rPr>
                <w:rFonts w:ascii="Arial" w:hAnsi="Arial" w:cs="Arial"/>
                <w:b/>
                <w:bCs/>
                <w:color w:val="000000"/>
                <w:sz w:val="20"/>
                <w:szCs w:val="20"/>
              </w:rPr>
            </w:pPr>
            <w:r w:rsidRPr="00465022">
              <w:rPr>
                <w:rFonts w:ascii="Arial" w:hAnsi="Arial" w:cs="Arial"/>
                <w:b/>
                <w:bCs/>
                <w:color w:val="000000"/>
                <w:sz w:val="20"/>
                <w:szCs w:val="20"/>
              </w:rPr>
              <w:t> </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9B1E55" w:rsidRDefault="001B31A3" w14:paraId="00D35A32" w14:textId="7AD78F94">
            <w:pPr>
              <w:jc w:val="right"/>
              <w:rPr>
                <w:rFonts w:ascii="Arial" w:hAnsi="Arial" w:cs="Arial"/>
                <w:b/>
                <w:bCs/>
                <w:color w:val="000000"/>
                <w:sz w:val="20"/>
                <w:szCs w:val="20"/>
              </w:rPr>
            </w:pPr>
            <w:r w:rsidRPr="00465022">
              <w:rPr>
                <w:rFonts w:ascii="Arial" w:hAnsi="Arial" w:cs="Arial"/>
                <w:b/>
                <w:bCs/>
                <w:color w:val="000000"/>
                <w:sz w:val="20"/>
                <w:szCs w:val="20"/>
              </w:rPr>
              <w:t>$49,7</w:t>
            </w:r>
            <w:r w:rsidR="00F56F36">
              <w:rPr>
                <w:rFonts w:ascii="Arial" w:hAnsi="Arial" w:cs="Arial"/>
                <w:b/>
                <w:bCs/>
                <w:color w:val="000000"/>
                <w:sz w:val="20"/>
                <w:szCs w:val="20"/>
              </w:rPr>
              <w:t>57</w:t>
            </w:r>
            <w:r w:rsidRPr="00465022">
              <w:rPr>
                <w:rFonts w:ascii="Arial" w:hAnsi="Arial" w:cs="Arial"/>
                <w:b/>
                <w:bCs/>
                <w:color w:val="000000"/>
                <w:sz w:val="20"/>
                <w:szCs w:val="20"/>
              </w:rPr>
              <w:t xml:space="preserve"> </w:t>
            </w:r>
          </w:p>
        </w:tc>
      </w:tr>
      <w:tr w:rsidRPr="00AA1877" w:rsidR="009B1E55" w:rsidTr="00BC58E0" w14:paraId="498047D4" w14:textId="77777777">
        <w:trPr>
          <w:trHeight w:val="162"/>
        </w:trPr>
        <w:tc>
          <w:tcPr>
            <w:tcW w:w="1095" w:type="pct"/>
            <w:tcBorders>
              <w:top w:val="nil"/>
              <w:left w:val="single" w:color="auto" w:sz="4" w:space="0"/>
              <w:bottom w:val="single" w:color="auto" w:sz="4" w:space="0"/>
              <w:right w:val="single" w:color="auto" w:sz="4" w:space="0"/>
            </w:tcBorders>
            <w:shd w:val="clear" w:color="auto" w:fill="auto"/>
            <w:noWrap/>
            <w:tcMar>
              <w:top w:w="72" w:type="dxa"/>
              <w:left w:w="72" w:type="dxa"/>
              <w:bottom w:w="72" w:type="dxa"/>
              <w:right w:w="72" w:type="dxa"/>
            </w:tcMar>
            <w:vAlign w:val="center"/>
          </w:tcPr>
          <w:p w:rsidRPr="00AA1877" w:rsidR="001B31A3" w:rsidP="001B31A3" w:rsidRDefault="001B31A3" w14:paraId="477DCCBB" w14:textId="7AF303E6">
            <w:pPr>
              <w:rPr>
                <w:rFonts w:ascii="Arial" w:hAnsi="Arial" w:cs="Arial"/>
                <w:sz w:val="20"/>
                <w:szCs w:val="20"/>
              </w:rPr>
            </w:pPr>
            <w:r w:rsidRPr="00AA1877">
              <w:rPr>
                <w:rFonts w:ascii="Arial" w:hAnsi="Arial" w:cs="Arial"/>
                <w:b/>
                <w:bCs/>
                <w:color w:val="000000"/>
                <w:sz w:val="20"/>
                <w:szCs w:val="20"/>
              </w:rPr>
              <w:t>Total Over 3 Years</w:t>
            </w:r>
          </w:p>
        </w:tc>
        <w:tc>
          <w:tcPr>
            <w:tcW w:w="692" w:type="pct"/>
            <w:tcBorders>
              <w:top w:val="single" w:color="auto" w:sz="4" w:space="0"/>
              <w:left w:val="nil"/>
              <w:bottom w:val="single" w:color="auto" w:sz="4" w:space="0"/>
              <w:right w:val="single" w:color="auto" w:sz="4" w:space="0"/>
            </w:tcBorders>
            <w:shd w:val="clear" w:color="auto" w:fill="auto"/>
            <w:vAlign w:val="center"/>
          </w:tcPr>
          <w:p w:rsidRPr="00AA1877" w:rsidR="001B31A3" w:rsidP="001B31A3" w:rsidRDefault="001B31A3" w14:paraId="40240AFC" w14:textId="6AC591EF">
            <w:pPr>
              <w:rPr>
                <w:rFonts w:ascii="Arial" w:hAnsi="Arial" w:cs="Arial"/>
                <w:sz w:val="20"/>
                <w:szCs w:val="20"/>
              </w:rPr>
            </w:pPr>
          </w:p>
        </w:tc>
        <w:tc>
          <w:tcPr>
            <w:tcW w:w="555" w:type="pct"/>
            <w:tcBorders>
              <w:top w:val="single" w:color="auto" w:sz="4" w:space="0"/>
              <w:left w:val="single" w:color="auto" w:sz="4" w:space="0"/>
              <w:bottom w:val="single" w:color="auto" w:sz="4" w:space="0"/>
              <w:right w:val="single" w:color="auto" w:sz="4" w:space="0"/>
            </w:tcBorders>
          </w:tcPr>
          <w:p w:rsidRPr="00465022" w:rsidR="001B31A3" w:rsidP="001B31A3" w:rsidRDefault="001B31A3" w14:paraId="1DDB02A1" w14:textId="77777777">
            <w:pPr>
              <w:rPr>
                <w:rFonts w:ascii="Arial" w:hAnsi="Arial" w:cs="Arial"/>
                <w:b/>
                <w:bCs/>
                <w:color w:val="000000"/>
                <w:sz w:val="20"/>
                <w:szCs w:val="20"/>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rsidRPr="00AA1877" w:rsidR="001B31A3" w:rsidP="001B31A3" w:rsidRDefault="001B31A3" w14:paraId="41C63259" w14:textId="6B5B04FB">
            <w:pPr>
              <w:rPr>
                <w:rFonts w:ascii="Arial" w:hAnsi="Arial" w:cs="Arial"/>
                <w:sz w:val="20"/>
                <w:szCs w:val="20"/>
              </w:rPr>
            </w:pPr>
            <w:r w:rsidRPr="00465022">
              <w:rPr>
                <w:rFonts w:ascii="Arial" w:hAnsi="Arial" w:cs="Arial"/>
                <w:b/>
                <w:bCs/>
                <w:color w:val="000000"/>
                <w:sz w:val="20"/>
                <w:szCs w:val="20"/>
              </w:rPr>
              <w:t> </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rsidRPr="00AA1877" w:rsidR="001B31A3" w:rsidP="001B31A3" w:rsidRDefault="001B31A3" w14:paraId="6B866123" w14:textId="3BF715F1">
            <w:pPr>
              <w:jc w:val="center"/>
              <w:rPr>
                <w:rFonts w:ascii="Arial" w:hAnsi="Arial" w:cs="Arial"/>
                <w:sz w:val="20"/>
                <w:szCs w:val="20"/>
              </w:rPr>
            </w:pPr>
            <w:r w:rsidRPr="00465022">
              <w:rPr>
                <w:rFonts w:ascii="Arial" w:hAnsi="Arial" w:cs="Arial"/>
                <w:b/>
                <w:bCs/>
                <w:color w:val="000000"/>
                <w:sz w:val="20"/>
                <w:szCs w:val="20"/>
              </w:rPr>
              <w:t> </w:t>
            </w:r>
            <w:r>
              <w:rPr>
                <w:rFonts w:ascii="Arial" w:hAnsi="Arial" w:cs="Arial"/>
                <w:b/>
                <w:bCs/>
                <w:color w:val="000000"/>
                <w:sz w:val="20"/>
                <w:szCs w:val="20"/>
              </w:rPr>
              <w:t>7.</w:t>
            </w:r>
            <w:r w:rsidR="003E58F4">
              <w:rPr>
                <w:rFonts w:ascii="Arial" w:hAnsi="Arial" w:cs="Arial"/>
                <w:b/>
                <w:bCs/>
                <w:color w:val="000000"/>
                <w:sz w:val="20"/>
                <w:szCs w:val="20"/>
              </w:rPr>
              <w:t>59</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rsidRPr="00AA1877" w:rsidR="001B31A3" w:rsidP="001B31A3" w:rsidRDefault="001B31A3" w14:paraId="1D496FA2" w14:textId="79235A91">
            <w:pPr>
              <w:jc w:val="center"/>
              <w:rPr>
                <w:rFonts w:ascii="Arial" w:hAnsi="Arial" w:cs="Arial"/>
                <w:sz w:val="20"/>
                <w:szCs w:val="20"/>
              </w:rPr>
            </w:pPr>
            <w:r w:rsidRPr="00465022">
              <w:rPr>
                <w:rFonts w:ascii="Arial" w:hAnsi="Arial" w:cs="Arial"/>
                <w:b/>
                <w:bCs/>
                <w:color w:val="000000"/>
                <w:sz w:val="20"/>
                <w:szCs w:val="20"/>
              </w:rPr>
              <w:t>13,19</w:t>
            </w:r>
            <w:r w:rsidR="006A57E2">
              <w:rPr>
                <w:rFonts w:ascii="Arial" w:hAnsi="Arial" w:cs="Arial"/>
                <w:b/>
                <w:bCs/>
                <w:color w:val="000000"/>
                <w:sz w:val="20"/>
                <w:szCs w:val="20"/>
              </w:rPr>
              <w:t>7</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rsidRPr="00AA1877" w:rsidR="001B31A3" w:rsidP="001B31A3" w:rsidRDefault="001B31A3" w14:paraId="254C4D54" w14:textId="77777777">
            <w:pPr>
              <w:rPr>
                <w:rFonts w:ascii="Arial" w:hAnsi="Arial" w:cs="Arial"/>
                <w:sz w:val="20"/>
                <w:szCs w:val="20"/>
              </w:rPr>
            </w:pPr>
            <w:r w:rsidRPr="00465022">
              <w:rPr>
                <w:rFonts w:ascii="Arial" w:hAnsi="Arial" w:cs="Arial"/>
                <w:b/>
                <w:bCs/>
                <w:color w:val="000000"/>
                <w:sz w:val="20"/>
                <w:szCs w:val="20"/>
              </w:rPr>
              <w:t> </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rsidRPr="00AA1877" w:rsidR="001B31A3" w:rsidP="009B1E55" w:rsidRDefault="001B31A3" w14:paraId="7B3F612F" w14:textId="78BE9AF3">
            <w:pPr>
              <w:jc w:val="right"/>
              <w:rPr>
                <w:rFonts w:ascii="Arial" w:hAnsi="Arial" w:cs="Arial"/>
                <w:sz w:val="20"/>
                <w:szCs w:val="20"/>
              </w:rPr>
            </w:pPr>
            <w:r w:rsidRPr="00465022">
              <w:rPr>
                <w:rFonts w:ascii="Arial" w:hAnsi="Arial" w:cs="Arial"/>
                <w:b/>
                <w:bCs/>
                <w:color w:val="000000"/>
                <w:sz w:val="20"/>
                <w:szCs w:val="20"/>
              </w:rPr>
              <w:t>$149,</w:t>
            </w:r>
            <w:r w:rsidR="00F56F36">
              <w:rPr>
                <w:rFonts w:ascii="Arial" w:hAnsi="Arial" w:cs="Arial"/>
                <w:b/>
                <w:bCs/>
                <w:color w:val="000000"/>
                <w:sz w:val="20"/>
                <w:szCs w:val="20"/>
              </w:rPr>
              <w:t>27</w:t>
            </w:r>
            <w:r w:rsidR="006A57E2">
              <w:rPr>
                <w:rFonts w:ascii="Arial" w:hAnsi="Arial" w:cs="Arial"/>
                <w:b/>
                <w:bCs/>
                <w:color w:val="000000"/>
                <w:sz w:val="20"/>
                <w:szCs w:val="20"/>
              </w:rPr>
              <w:t>1</w:t>
            </w:r>
          </w:p>
        </w:tc>
      </w:tr>
      <w:tr w:rsidRPr="00AA1877" w:rsidR="009B1E55" w:rsidTr="009B1E55" w14:paraId="0926F334" w14:textId="77777777">
        <w:trPr>
          <w:trHeight w:val="162"/>
        </w:trPr>
        <w:tc>
          <w:tcPr>
            <w:tcW w:w="5000" w:type="pct"/>
            <w:gridSpan w:val="8"/>
            <w:tcBorders>
              <w:top w:val="single" w:color="auto" w:sz="4" w:space="0"/>
              <w:left w:val="single" w:color="auto" w:sz="4" w:space="0"/>
              <w:bottom w:val="single" w:color="auto" w:sz="4" w:space="0"/>
              <w:right w:val="single" w:color="auto" w:sz="4" w:space="0"/>
            </w:tcBorders>
          </w:tcPr>
          <w:p w:rsidRPr="00AA1877" w:rsidR="009B1E55" w:rsidP="001B31A3" w:rsidRDefault="009B1E55" w14:paraId="59505E51" w14:textId="76008E43">
            <w:pPr>
              <w:spacing w:after="40"/>
              <w:rPr>
                <w:rFonts w:ascii="Arial" w:hAnsi="Arial" w:cs="Arial"/>
                <w:sz w:val="20"/>
                <w:szCs w:val="20"/>
              </w:rPr>
            </w:pPr>
            <w:r w:rsidRPr="00AA1877">
              <w:rPr>
                <w:rFonts w:ascii="Arial" w:hAnsi="Arial" w:cs="Arial"/>
                <w:sz w:val="20"/>
                <w:szCs w:val="20"/>
                <w:vertAlign w:val="superscript"/>
              </w:rPr>
              <w:t xml:space="preserve">a. </w:t>
            </w:r>
            <w:r>
              <w:rPr>
                <w:rFonts w:ascii="Arial" w:hAnsi="Arial" w:cs="Arial"/>
                <w:sz w:val="20"/>
                <w:szCs w:val="20"/>
              </w:rPr>
              <w:t>T</w:t>
            </w:r>
            <w:r w:rsidRPr="00AA1877">
              <w:rPr>
                <w:rFonts w:ascii="Arial" w:hAnsi="Arial" w:cs="Arial"/>
                <w:color w:val="000000"/>
                <w:sz w:val="20"/>
                <w:szCs w:val="20"/>
              </w:rPr>
              <w:t xml:space="preserve">he program </w:t>
            </w:r>
            <w:r>
              <w:rPr>
                <w:rFonts w:ascii="Arial" w:hAnsi="Arial" w:cs="Arial"/>
                <w:color w:val="000000"/>
                <w:sz w:val="20"/>
                <w:szCs w:val="20"/>
              </w:rPr>
              <w:t xml:space="preserve">is expected to </w:t>
            </w:r>
            <w:r w:rsidRPr="00AA1877">
              <w:rPr>
                <w:rFonts w:ascii="Arial" w:hAnsi="Arial" w:cs="Arial"/>
                <w:color w:val="000000"/>
                <w:sz w:val="20"/>
                <w:szCs w:val="20"/>
              </w:rPr>
              <w:t xml:space="preserve">deliver home modifications to 9,000 eligible clients </w:t>
            </w:r>
            <w:r>
              <w:rPr>
                <w:rFonts w:ascii="Arial" w:hAnsi="Arial" w:cs="Arial"/>
                <w:color w:val="000000"/>
                <w:sz w:val="20"/>
                <w:szCs w:val="20"/>
              </w:rPr>
              <w:t>over the three-year period, or 3,000 clients per year</w:t>
            </w:r>
            <w:r w:rsidRPr="00AA1877">
              <w:rPr>
                <w:rFonts w:ascii="Arial" w:hAnsi="Arial" w:cs="Arial"/>
                <w:color w:val="000000"/>
                <w:sz w:val="20"/>
                <w:szCs w:val="20"/>
              </w:rPr>
              <w:t xml:space="preserve">. </w:t>
            </w:r>
            <w:r>
              <w:rPr>
                <w:rFonts w:ascii="Arial" w:hAnsi="Arial" w:cs="Arial"/>
                <w:color w:val="000000"/>
                <w:sz w:val="20"/>
                <w:szCs w:val="20"/>
              </w:rPr>
              <w:t>The</w:t>
            </w:r>
            <w:r w:rsidRPr="00690D5A">
              <w:rPr>
                <w:rFonts w:ascii="Arial" w:hAnsi="Arial" w:cs="Arial"/>
                <w:color w:val="000000"/>
                <w:sz w:val="20"/>
                <w:szCs w:val="20"/>
              </w:rPr>
              <w:t xml:space="preserve"> Client Program Questionnaire will be </w:t>
            </w:r>
            <w:proofErr w:type="gramStart"/>
            <w:r w:rsidRPr="00690D5A">
              <w:rPr>
                <w:rFonts w:ascii="Arial" w:hAnsi="Arial" w:cs="Arial"/>
                <w:color w:val="000000"/>
                <w:sz w:val="20"/>
                <w:szCs w:val="20"/>
              </w:rPr>
              <w:t>administered</w:t>
            </w:r>
            <w:proofErr w:type="gramEnd"/>
            <w:r w:rsidRPr="00690D5A">
              <w:rPr>
                <w:rFonts w:ascii="Arial" w:hAnsi="Arial" w:cs="Arial"/>
                <w:color w:val="000000"/>
                <w:sz w:val="20"/>
                <w:szCs w:val="20"/>
              </w:rPr>
              <w:t xml:space="preserve"> and Home Hazard Checklist conducted prior to home modification being implemented (i.e., at baseline).</w:t>
            </w:r>
          </w:p>
          <w:p w:rsidRPr="00AA1877" w:rsidR="009B1E55" w:rsidP="001B31A3" w:rsidRDefault="009B1E55" w14:paraId="7B3F1C25" w14:textId="2032DFC0">
            <w:pPr>
              <w:spacing w:after="40"/>
              <w:rPr>
                <w:rFonts w:ascii="Arial" w:hAnsi="Arial" w:cs="Arial"/>
                <w:color w:val="000000"/>
                <w:sz w:val="20"/>
                <w:szCs w:val="20"/>
              </w:rPr>
            </w:pPr>
            <w:r w:rsidRPr="00AA1877">
              <w:rPr>
                <w:rFonts w:ascii="Arial" w:hAnsi="Arial" w:cs="Arial"/>
                <w:sz w:val="20"/>
                <w:szCs w:val="20"/>
                <w:vertAlign w:val="superscript"/>
              </w:rPr>
              <w:t>b.</w:t>
            </w:r>
            <w:r w:rsidRPr="00AA1877">
              <w:rPr>
                <w:rFonts w:ascii="Arial" w:hAnsi="Arial" w:cs="Arial"/>
                <w:color w:val="000000"/>
                <w:sz w:val="20"/>
                <w:szCs w:val="20"/>
              </w:rPr>
              <w:t xml:space="preserve"> Of the </w:t>
            </w:r>
            <w:r>
              <w:rPr>
                <w:rFonts w:ascii="Arial" w:hAnsi="Arial" w:cs="Arial"/>
                <w:color w:val="000000"/>
                <w:sz w:val="20"/>
                <w:szCs w:val="20"/>
              </w:rPr>
              <w:t>3</w:t>
            </w:r>
            <w:r w:rsidRPr="00AA1877">
              <w:rPr>
                <w:rFonts w:ascii="Arial" w:hAnsi="Arial" w:cs="Arial"/>
                <w:color w:val="000000"/>
                <w:sz w:val="20"/>
                <w:szCs w:val="20"/>
              </w:rPr>
              <w:t>,000 clients</w:t>
            </w:r>
            <w:r>
              <w:rPr>
                <w:rFonts w:ascii="Arial" w:hAnsi="Arial" w:cs="Arial"/>
                <w:color w:val="000000"/>
                <w:sz w:val="20"/>
                <w:szCs w:val="20"/>
              </w:rPr>
              <w:t xml:space="preserve"> per year</w:t>
            </w:r>
            <w:r w:rsidRPr="00AA1877">
              <w:rPr>
                <w:rFonts w:ascii="Arial" w:hAnsi="Arial" w:cs="Arial"/>
                <w:color w:val="000000"/>
                <w:sz w:val="20"/>
                <w:szCs w:val="20"/>
              </w:rPr>
              <w:t xml:space="preserve">, </w:t>
            </w:r>
            <w:r>
              <w:rPr>
                <w:rFonts w:ascii="Arial" w:hAnsi="Arial" w:cs="Arial"/>
                <w:color w:val="000000"/>
                <w:sz w:val="20"/>
                <w:szCs w:val="20"/>
              </w:rPr>
              <w:t>7</w:t>
            </w:r>
            <w:r w:rsidRPr="00AA1877">
              <w:rPr>
                <w:rFonts w:ascii="Arial" w:hAnsi="Arial" w:cs="Arial"/>
                <w:color w:val="000000"/>
                <w:sz w:val="20"/>
                <w:szCs w:val="20"/>
              </w:rPr>
              <w:t>5% (</w:t>
            </w:r>
            <w:r>
              <w:rPr>
                <w:rFonts w:ascii="Arial" w:hAnsi="Arial" w:cs="Arial"/>
                <w:color w:val="000000"/>
                <w:sz w:val="20"/>
                <w:szCs w:val="20"/>
              </w:rPr>
              <w:t>2,250</w:t>
            </w:r>
            <w:r w:rsidRPr="00AA1877">
              <w:rPr>
                <w:rFonts w:ascii="Arial" w:hAnsi="Arial" w:cs="Arial"/>
                <w:color w:val="000000"/>
                <w:sz w:val="20"/>
                <w:szCs w:val="20"/>
              </w:rPr>
              <w:t>) are expected to sign the Informed Consent to participate in the evaluation.</w:t>
            </w:r>
            <w:r>
              <w:rPr>
                <w:rFonts w:ascii="Arial" w:hAnsi="Arial" w:cs="Arial"/>
                <w:color w:val="000000"/>
                <w:sz w:val="20"/>
                <w:szCs w:val="20"/>
              </w:rPr>
              <w:t xml:space="preserve"> The Client Impact Evaluation Interview will </w:t>
            </w:r>
            <w:proofErr w:type="gramStart"/>
            <w:r>
              <w:rPr>
                <w:rFonts w:ascii="Arial" w:hAnsi="Arial" w:cs="Arial"/>
                <w:color w:val="000000"/>
                <w:sz w:val="20"/>
                <w:szCs w:val="20"/>
              </w:rPr>
              <w:t>administered once</w:t>
            </w:r>
            <w:proofErr w:type="gramEnd"/>
            <w:r>
              <w:rPr>
                <w:rFonts w:ascii="Arial" w:hAnsi="Arial" w:cs="Arial"/>
                <w:color w:val="000000"/>
                <w:sz w:val="20"/>
                <w:szCs w:val="20"/>
              </w:rPr>
              <w:t xml:space="preserve"> consent is granted (i.e., at baseline).</w:t>
            </w:r>
          </w:p>
          <w:p w:rsidRPr="00AA1877" w:rsidR="009B1E55" w:rsidP="001B31A3" w:rsidRDefault="009B1E55" w14:paraId="3F27A5A9" w14:textId="4D792BA2">
            <w:pPr>
              <w:spacing w:after="40"/>
              <w:rPr>
                <w:rFonts w:ascii="Arial" w:hAnsi="Arial" w:cs="Arial"/>
                <w:sz w:val="20"/>
                <w:szCs w:val="20"/>
              </w:rPr>
            </w:pPr>
            <w:r w:rsidRPr="00AA1877">
              <w:rPr>
                <w:rFonts w:ascii="Arial" w:hAnsi="Arial" w:cs="Arial"/>
                <w:sz w:val="20"/>
                <w:szCs w:val="20"/>
                <w:vertAlign w:val="superscript"/>
              </w:rPr>
              <w:t xml:space="preserve">c. </w:t>
            </w:r>
            <w:r>
              <w:rPr>
                <w:rFonts w:ascii="Arial" w:hAnsi="Arial" w:cs="Arial"/>
                <w:color w:val="000000"/>
                <w:sz w:val="20"/>
                <w:szCs w:val="20"/>
              </w:rPr>
              <w:t xml:space="preserve">Of the 2,250 participating clients per year, 75% (1,688) are expected to remain in the project to receive home modifications. After home modifications are complete, the Client Program Questionnaire will be re-administered, the Home Hazard Checklist will be conducted again, and the Client Impact Evaluation Interview will be repeated (i.e., post-modification). </w:t>
            </w:r>
          </w:p>
          <w:p w:rsidRPr="00AA1877" w:rsidR="009B1E55" w:rsidP="001B31A3" w:rsidRDefault="009B1E55" w14:paraId="6F0B25B9" w14:textId="4401985A">
            <w:pPr>
              <w:spacing w:after="40"/>
              <w:rPr>
                <w:rFonts w:ascii="Arial" w:hAnsi="Arial" w:cs="Arial"/>
                <w:sz w:val="20"/>
                <w:szCs w:val="20"/>
              </w:rPr>
            </w:pPr>
            <w:r w:rsidRPr="00AA1877">
              <w:rPr>
                <w:rFonts w:ascii="Arial" w:hAnsi="Arial" w:cs="Arial"/>
                <w:sz w:val="20"/>
                <w:szCs w:val="20"/>
                <w:vertAlign w:val="superscript"/>
              </w:rPr>
              <w:t>d.</w:t>
            </w:r>
            <w:r w:rsidRPr="00AA1877">
              <w:rPr>
                <w:rFonts w:ascii="Arial" w:hAnsi="Arial" w:cs="Arial"/>
                <w:sz w:val="20"/>
                <w:szCs w:val="20"/>
              </w:rPr>
              <w:t xml:space="preserve"> </w:t>
            </w:r>
            <w:r>
              <w:rPr>
                <w:rFonts w:ascii="Arial" w:hAnsi="Arial" w:cs="Arial"/>
                <w:sz w:val="20"/>
                <w:szCs w:val="20"/>
              </w:rPr>
              <w:t>Of the annual 1,688 clients who complete the program, 10% (169) will be interviewed about the process.</w:t>
            </w:r>
            <w:r w:rsidRPr="00AA1877">
              <w:rPr>
                <w:rFonts w:ascii="Arial" w:hAnsi="Arial" w:cs="Arial"/>
                <w:sz w:val="20"/>
                <w:szCs w:val="20"/>
              </w:rPr>
              <w:t xml:space="preserve"> </w:t>
            </w:r>
          </w:p>
          <w:p w:rsidR="009B1E55" w:rsidP="001B31A3" w:rsidRDefault="009B1E55" w14:paraId="1D22D619" w14:textId="77777777">
            <w:pPr>
              <w:ind w:right="109"/>
              <w:rPr>
                <w:rFonts w:ascii="Arial" w:hAnsi="Arial" w:cs="Arial"/>
                <w:sz w:val="20"/>
                <w:szCs w:val="20"/>
              </w:rPr>
            </w:pPr>
            <w:r w:rsidRPr="00AA1877">
              <w:rPr>
                <w:rFonts w:ascii="Arial" w:hAnsi="Arial" w:cs="Arial"/>
                <w:sz w:val="20"/>
                <w:szCs w:val="20"/>
                <w:vertAlign w:val="superscript"/>
              </w:rPr>
              <w:t>e.</w:t>
            </w:r>
            <w:r w:rsidRPr="00AA1877">
              <w:rPr>
                <w:rFonts w:ascii="Arial" w:hAnsi="Arial" w:cs="Arial"/>
                <w:sz w:val="20"/>
                <w:szCs w:val="20"/>
              </w:rPr>
              <w:t xml:space="preserve"> </w:t>
            </w:r>
            <w:r>
              <w:rPr>
                <w:rFonts w:ascii="Arial" w:hAnsi="Arial" w:cs="Arial"/>
                <w:sz w:val="20"/>
                <w:szCs w:val="20"/>
              </w:rPr>
              <w:t>10% of those contacted for the process interview are expected to decline; to interview 169 clients, the Contractor expects to need to contact 188 clients.</w:t>
            </w:r>
          </w:p>
          <w:p w:rsidRPr="00465022" w:rsidR="009B1E55" w:rsidP="001B31A3" w:rsidRDefault="009B1E55" w14:paraId="19B3288A" w14:textId="7C341882">
            <w:pPr>
              <w:ind w:right="109"/>
              <w:rPr>
                <w:rFonts w:ascii="Arial" w:hAnsi="Arial" w:cs="Arial"/>
                <w:b/>
                <w:bCs/>
                <w:color w:val="000000"/>
                <w:sz w:val="20"/>
                <w:szCs w:val="20"/>
              </w:rPr>
            </w:pPr>
            <w:r w:rsidRPr="009A21A4">
              <w:rPr>
                <w:rFonts w:ascii="Arial" w:hAnsi="Arial" w:cs="Arial"/>
                <w:sz w:val="20"/>
                <w:szCs w:val="20"/>
                <w:vertAlign w:val="superscript"/>
              </w:rPr>
              <w:t>f.</w:t>
            </w:r>
            <w:r>
              <w:rPr>
                <w:rFonts w:ascii="Arial" w:hAnsi="Arial" w:cs="Arial"/>
                <w:sz w:val="20"/>
                <w:szCs w:val="20"/>
              </w:rPr>
              <w:t xml:space="preserve"> Numbers may not sum due to rounding.</w:t>
            </w:r>
          </w:p>
        </w:tc>
      </w:tr>
    </w:tbl>
    <w:p w:rsidR="00F5259C" w:rsidP="00F5259C" w:rsidRDefault="00F5259C" w14:paraId="364CC6CA" w14:textId="0D2A95C0">
      <w:pPr>
        <w:textAlignment w:val="baseline"/>
        <w:rPr>
          <w:color w:val="FF0000"/>
        </w:rPr>
      </w:pPr>
    </w:p>
    <w:p w:rsidR="00B10201" w:rsidP="00F5259C" w:rsidRDefault="00B10201" w14:paraId="35BF93A2" w14:textId="118F8020">
      <w:pPr>
        <w:textAlignment w:val="baseline"/>
        <w:rPr>
          <w:color w:val="FF0000"/>
        </w:rPr>
      </w:pPr>
    </w:p>
    <w:p w:rsidR="00B10201" w:rsidP="00F5259C" w:rsidRDefault="00B10201" w14:paraId="49331009" w14:textId="77777777">
      <w:pPr>
        <w:textAlignment w:val="baseline"/>
        <w:rPr>
          <w:color w:val="FF0000"/>
        </w:rPr>
      </w:pPr>
    </w:p>
    <w:tbl>
      <w:tblPr>
        <w:tblW w:w="9556" w:type="dxa"/>
        <w:tblLook w:val="04A0" w:firstRow="1" w:lastRow="0" w:firstColumn="1" w:lastColumn="0" w:noHBand="0" w:noVBand="1"/>
      </w:tblPr>
      <w:tblGrid>
        <w:gridCol w:w="1589"/>
        <w:gridCol w:w="1718"/>
        <w:gridCol w:w="1653"/>
        <w:gridCol w:w="1690"/>
        <w:gridCol w:w="1417"/>
        <w:gridCol w:w="1489"/>
      </w:tblGrid>
      <w:tr w:rsidRPr="00DB3DC2" w:rsidR="00F5259C" w:rsidTr="00902F66" w14:paraId="6C2DC599" w14:textId="77777777">
        <w:trPr>
          <w:trHeight w:val="313"/>
        </w:trPr>
        <w:tc>
          <w:tcPr>
            <w:tcW w:w="0" w:type="auto"/>
            <w:gridSpan w:val="6"/>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712A3D" w:rsidR="00F5259C" w:rsidP="00902F66" w:rsidRDefault="00F5259C" w14:paraId="3A73165D"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lastRenderedPageBreak/>
              <w:t xml:space="preserve">Estimated Combined Time and Costs </w:t>
            </w:r>
          </w:p>
        </w:tc>
      </w:tr>
      <w:tr w:rsidR="00F5259C" w:rsidTr="00902F66" w14:paraId="10203CCA" w14:textId="77777777">
        <w:trPr>
          <w:trHeight w:val="298"/>
        </w:trPr>
        <w:tc>
          <w:tcPr>
            <w:tcW w:w="1589"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12A3D" w:rsidR="00F5259C" w:rsidP="00902F66" w:rsidRDefault="00F5259C" w14:paraId="33027A4A" w14:textId="77777777">
            <w:pPr>
              <w:jc w:val="center"/>
              <w:rPr>
                <w:rFonts w:ascii="Arial" w:hAnsi="Arial" w:cs="Arial"/>
                <w:b/>
                <w:bCs/>
                <w:color w:val="000000" w:themeColor="text1"/>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12A3D" w:rsidR="00F5259C" w:rsidP="00902F66" w:rsidRDefault="00F5259C" w14:paraId="011A3E88"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Annualized Total Grantee</w:t>
            </w:r>
          </w:p>
        </w:tc>
        <w:tc>
          <w:tcPr>
            <w:tcW w:w="0" w:type="auto"/>
            <w:tcBorders>
              <w:top w:val="single" w:color="auto" w:sz="4" w:space="0"/>
              <w:left w:val="nil"/>
              <w:bottom w:val="single" w:color="auto" w:sz="4" w:space="0"/>
              <w:right w:val="single" w:color="auto" w:sz="4" w:space="0"/>
            </w:tcBorders>
            <w:shd w:val="clear" w:color="auto" w:fill="E7E6E6" w:themeFill="background2"/>
            <w:vAlign w:val="center"/>
          </w:tcPr>
          <w:p w:rsidRPr="00712A3D" w:rsidR="00F5259C" w:rsidP="00902F66" w:rsidRDefault="00F5259C" w14:paraId="66DD8C1E"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Annualized Total Client</w:t>
            </w:r>
          </w:p>
        </w:tc>
        <w:tc>
          <w:tcPr>
            <w:tcW w:w="0" w:type="auto"/>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12A3D" w:rsidR="00F5259C" w:rsidP="00902F66" w:rsidRDefault="00F5259C" w14:paraId="5C555B40"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Annualize Total Combined</w:t>
            </w:r>
          </w:p>
        </w:tc>
        <w:tc>
          <w:tcPr>
            <w:tcW w:w="0" w:type="auto"/>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12A3D" w:rsidR="00F5259C" w:rsidP="00902F66" w:rsidRDefault="00F5259C" w14:paraId="519A9152"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 xml:space="preserve">Total Number of Years </w:t>
            </w:r>
          </w:p>
        </w:tc>
        <w:tc>
          <w:tcPr>
            <w:tcW w:w="0" w:type="auto"/>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12A3D" w:rsidR="00F5259C" w:rsidP="00902F66" w:rsidRDefault="00F5259C" w14:paraId="31C5E649" w14:textId="77777777">
            <w:pPr>
              <w:jc w:val="center"/>
              <w:rPr>
                <w:rFonts w:ascii="Arial" w:hAnsi="Arial" w:cs="Arial"/>
                <w:b/>
                <w:bCs/>
                <w:color w:val="000000" w:themeColor="text1"/>
                <w:sz w:val="20"/>
                <w:szCs w:val="20"/>
              </w:rPr>
            </w:pPr>
            <w:r w:rsidRPr="00712A3D">
              <w:rPr>
                <w:rFonts w:ascii="Arial" w:hAnsi="Arial" w:cs="Arial"/>
                <w:b/>
                <w:bCs/>
                <w:color w:val="000000" w:themeColor="text1"/>
                <w:sz w:val="20"/>
                <w:szCs w:val="20"/>
              </w:rPr>
              <w:t>Total Over Three Years</w:t>
            </w:r>
          </w:p>
        </w:tc>
      </w:tr>
      <w:tr w:rsidR="00F5259C" w:rsidTr="00902F66" w14:paraId="2B533D41" w14:textId="77777777">
        <w:trPr>
          <w:trHeight w:val="298"/>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3FC8C2B0" w14:textId="77777777">
            <w:pPr>
              <w:jc w:val="center"/>
              <w:rPr>
                <w:rFonts w:ascii="Arial" w:hAnsi="Arial" w:cs="Arial"/>
                <w:b/>
                <w:bCs/>
                <w:color w:val="000000"/>
                <w:sz w:val="20"/>
                <w:szCs w:val="20"/>
              </w:rPr>
            </w:pPr>
            <w:r>
              <w:rPr>
                <w:rFonts w:ascii="Arial" w:hAnsi="Arial" w:cs="Arial"/>
                <w:b/>
                <w:bCs/>
                <w:color w:val="000000"/>
                <w:sz w:val="20"/>
                <w:szCs w:val="20"/>
              </w:rPr>
              <w:t>Hours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13E1A159" w14:textId="298775D6">
            <w:pPr>
              <w:jc w:val="center"/>
              <w:rPr>
                <w:rFonts w:ascii="Arial" w:hAnsi="Arial" w:cs="Arial"/>
                <w:bCs/>
                <w:color w:val="000000"/>
                <w:sz w:val="20"/>
                <w:szCs w:val="20"/>
              </w:rPr>
            </w:pPr>
            <w:r w:rsidRPr="008312CE">
              <w:rPr>
                <w:rFonts w:ascii="Arial" w:hAnsi="Arial" w:cs="Arial"/>
                <w:bCs/>
                <w:color w:val="000000"/>
                <w:sz w:val="20"/>
                <w:szCs w:val="20"/>
              </w:rPr>
              <w:t>1,8</w:t>
            </w:r>
            <w:r w:rsidR="00584AB4">
              <w:rPr>
                <w:rFonts w:ascii="Arial" w:hAnsi="Arial" w:cs="Arial"/>
                <w:bCs/>
                <w:color w:val="000000"/>
                <w:sz w:val="20"/>
                <w:szCs w:val="20"/>
              </w:rPr>
              <w:t>56</w:t>
            </w:r>
          </w:p>
        </w:tc>
        <w:tc>
          <w:tcPr>
            <w:tcW w:w="0" w:type="auto"/>
            <w:tcBorders>
              <w:top w:val="single" w:color="auto" w:sz="4" w:space="0"/>
              <w:left w:val="nil"/>
              <w:bottom w:val="single" w:color="auto" w:sz="4" w:space="0"/>
              <w:right w:val="single" w:color="auto" w:sz="4" w:space="0"/>
            </w:tcBorders>
            <w:shd w:val="clear" w:color="auto" w:fill="auto"/>
            <w:vAlign w:val="center"/>
          </w:tcPr>
          <w:p w:rsidRPr="00712A3D" w:rsidR="00F5259C" w:rsidP="00902F66" w:rsidRDefault="00F5259C" w14:paraId="51F78AC7" w14:textId="7A2B6D5D">
            <w:pPr>
              <w:jc w:val="center"/>
              <w:rPr>
                <w:rFonts w:ascii="Arial" w:hAnsi="Arial" w:cs="Arial"/>
                <w:bCs/>
                <w:color w:val="000000"/>
                <w:sz w:val="20"/>
                <w:szCs w:val="20"/>
              </w:rPr>
            </w:pPr>
            <w:r w:rsidRPr="008312CE">
              <w:rPr>
                <w:rFonts w:ascii="Arial" w:hAnsi="Arial" w:cs="Arial"/>
                <w:bCs/>
                <w:color w:val="000000"/>
                <w:sz w:val="20"/>
                <w:szCs w:val="20"/>
              </w:rPr>
              <w:t>4</w:t>
            </w:r>
            <w:r>
              <w:rPr>
                <w:rFonts w:ascii="Arial" w:hAnsi="Arial" w:cs="Arial"/>
                <w:bCs/>
                <w:color w:val="000000"/>
                <w:sz w:val="20"/>
                <w:szCs w:val="20"/>
              </w:rPr>
              <w:t>,</w:t>
            </w:r>
            <w:r w:rsidR="00934D76">
              <w:rPr>
                <w:rFonts w:ascii="Arial" w:hAnsi="Arial" w:cs="Arial"/>
                <w:bCs/>
                <w:color w:val="000000"/>
                <w:sz w:val="20"/>
                <w:szCs w:val="20"/>
              </w:rPr>
              <w:t>401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2093DE05" w14:textId="6026068D">
            <w:pPr>
              <w:jc w:val="center"/>
              <w:rPr>
                <w:rFonts w:ascii="Arial" w:hAnsi="Arial" w:cs="Arial"/>
                <w:bCs/>
                <w:color w:val="000000"/>
                <w:sz w:val="20"/>
                <w:szCs w:val="20"/>
              </w:rPr>
            </w:pPr>
            <w:r w:rsidRPr="008312CE">
              <w:rPr>
                <w:rFonts w:ascii="Arial" w:hAnsi="Arial" w:cs="Arial"/>
                <w:bCs/>
                <w:color w:val="000000"/>
                <w:sz w:val="20"/>
                <w:szCs w:val="20"/>
              </w:rPr>
              <w:t>6,2</w:t>
            </w:r>
            <w:r w:rsidR="00584AB4">
              <w:rPr>
                <w:rFonts w:ascii="Arial" w:hAnsi="Arial" w:cs="Arial"/>
                <w:bCs/>
                <w:color w:val="000000"/>
                <w:sz w:val="20"/>
                <w:szCs w:val="20"/>
              </w:rPr>
              <w:t>5</w:t>
            </w:r>
            <w:r w:rsidR="00265668">
              <w:rPr>
                <w:rFonts w:ascii="Arial" w:hAnsi="Arial" w:cs="Arial"/>
                <w:bCs/>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63B9249B" w14:textId="77777777">
            <w:pPr>
              <w:jc w:val="center"/>
              <w:rPr>
                <w:rFonts w:ascii="Arial" w:hAnsi="Arial" w:cs="Arial"/>
                <w:bCs/>
                <w:color w:val="000000"/>
                <w:sz w:val="20"/>
                <w:szCs w:val="20"/>
              </w:rPr>
            </w:pPr>
            <w:r w:rsidRPr="008312CE">
              <w:rPr>
                <w:rFonts w:ascii="Arial" w:hAnsi="Arial" w:cs="Arial"/>
                <w:bCs/>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50BE3064" w14:textId="485CFA63">
            <w:pPr>
              <w:jc w:val="center"/>
              <w:rPr>
                <w:rFonts w:ascii="Arial" w:hAnsi="Arial" w:cs="Arial"/>
                <w:bCs/>
                <w:color w:val="000000"/>
                <w:sz w:val="20"/>
                <w:szCs w:val="20"/>
              </w:rPr>
            </w:pPr>
            <w:r w:rsidRPr="008312CE">
              <w:rPr>
                <w:rFonts w:ascii="Arial" w:hAnsi="Arial" w:cs="Arial"/>
                <w:bCs/>
                <w:color w:val="000000"/>
                <w:sz w:val="20"/>
                <w:szCs w:val="20"/>
              </w:rPr>
              <w:t>18,</w:t>
            </w:r>
            <w:r w:rsidR="00DE1B13">
              <w:rPr>
                <w:rFonts w:ascii="Arial" w:hAnsi="Arial" w:cs="Arial"/>
                <w:bCs/>
                <w:color w:val="000000"/>
                <w:sz w:val="20"/>
                <w:szCs w:val="20"/>
              </w:rPr>
              <w:t>7</w:t>
            </w:r>
            <w:r w:rsidR="00265668">
              <w:rPr>
                <w:rFonts w:ascii="Arial" w:hAnsi="Arial" w:cs="Arial"/>
                <w:bCs/>
                <w:color w:val="000000"/>
                <w:sz w:val="20"/>
                <w:szCs w:val="20"/>
              </w:rPr>
              <w:t>71</w:t>
            </w:r>
          </w:p>
        </w:tc>
      </w:tr>
      <w:tr w:rsidR="00F5259C" w:rsidTr="00902F66" w14:paraId="2EA2D216" w14:textId="77777777">
        <w:trPr>
          <w:trHeight w:val="298"/>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3361A0AF" w14:textId="77777777">
            <w:pPr>
              <w:jc w:val="center"/>
              <w:rPr>
                <w:rFonts w:ascii="Arial" w:hAnsi="Arial" w:cs="Arial"/>
                <w:b/>
                <w:bCs/>
                <w:color w:val="000000"/>
                <w:sz w:val="20"/>
                <w:szCs w:val="20"/>
              </w:rPr>
            </w:pPr>
            <w:r>
              <w:rPr>
                <w:rFonts w:ascii="Arial" w:hAnsi="Arial" w:cs="Arial"/>
                <w:b/>
                <w:bCs/>
                <w:color w:val="000000"/>
                <w:sz w:val="20"/>
                <w:szCs w:val="20"/>
              </w:rPr>
              <w:t>Costs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435E2AA6" w14:textId="47827BC6">
            <w:pPr>
              <w:jc w:val="center"/>
              <w:rPr>
                <w:rFonts w:ascii="Arial" w:hAnsi="Arial" w:cs="Arial"/>
                <w:bCs/>
                <w:color w:val="000000"/>
                <w:sz w:val="20"/>
                <w:szCs w:val="20"/>
              </w:rPr>
            </w:pPr>
            <w:r w:rsidRPr="008312CE">
              <w:rPr>
                <w:rFonts w:ascii="Arial" w:hAnsi="Arial" w:cs="Arial"/>
                <w:bCs/>
                <w:color w:val="000000"/>
                <w:sz w:val="20"/>
                <w:szCs w:val="20"/>
              </w:rPr>
              <w:t>$62,</w:t>
            </w:r>
            <w:r w:rsidR="00DE1B13">
              <w:rPr>
                <w:rFonts w:ascii="Arial" w:hAnsi="Arial" w:cs="Arial"/>
                <w:bCs/>
                <w:color w:val="000000"/>
                <w:sz w:val="20"/>
                <w:szCs w:val="20"/>
              </w:rPr>
              <w:t>090</w:t>
            </w:r>
          </w:p>
        </w:tc>
        <w:tc>
          <w:tcPr>
            <w:tcW w:w="0" w:type="auto"/>
            <w:tcBorders>
              <w:top w:val="single" w:color="auto" w:sz="4" w:space="0"/>
              <w:left w:val="nil"/>
              <w:bottom w:val="single" w:color="auto" w:sz="4" w:space="0"/>
              <w:right w:val="single" w:color="auto" w:sz="4" w:space="0"/>
            </w:tcBorders>
            <w:shd w:val="clear" w:color="auto" w:fill="auto"/>
            <w:vAlign w:val="center"/>
          </w:tcPr>
          <w:p w:rsidRPr="00712A3D" w:rsidR="00F5259C" w:rsidP="00902F66" w:rsidRDefault="00F5259C" w14:paraId="0E96EA50" w14:textId="76985572">
            <w:pPr>
              <w:jc w:val="center"/>
              <w:rPr>
                <w:rFonts w:ascii="Arial" w:hAnsi="Arial" w:cs="Arial"/>
                <w:bCs/>
                <w:color w:val="000000"/>
                <w:sz w:val="20"/>
                <w:szCs w:val="20"/>
              </w:rPr>
            </w:pPr>
            <w:r w:rsidRPr="008312CE">
              <w:rPr>
                <w:rFonts w:ascii="Arial" w:hAnsi="Arial" w:cs="Arial"/>
                <w:bCs/>
                <w:color w:val="000000"/>
                <w:sz w:val="20"/>
                <w:szCs w:val="20"/>
              </w:rPr>
              <w:t>$49,7</w:t>
            </w:r>
            <w:r w:rsidR="00DE1B13">
              <w:rPr>
                <w:rFonts w:ascii="Arial" w:hAnsi="Arial" w:cs="Arial"/>
                <w:bCs/>
                <w:color w:val="000000"/>
                <w:sz w:val="20"/>
                <w:szCs w:val="20"/>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4EA7C7E4" w14:textId="56B9C97F">
            <w:pPr>
              <w:jc w:val="center"/>
              <w:rPr>
                <w:rFonts w:ascii="Arial" w:hAnsi="Arial" w:cs="Arial"/>
                <w:bCs/>
                <w:color w:val="000000"/>
                <w:sz w:val="20"/>
                <w:szCs w:val="20"/>
              </w:rPr>
            </w:pPr>
            <w:r w:rsidRPr="008312CE">
              <w:rPr>
                <w:rFonts w:ascii="Arial" w:hAnsi="Arial" w:cs="Arial"/>
                <w:bCs/>
                <w:color w:val="000000"/>
                <w:sz w:val="20"/>
                <w:szCs w:val="20"/>
              </w:rPr>
              <w:t>$11</w:t>
            </w:r>
            <w:r w:rsidR="00DE1B13">
              <w:rPr>
                <w:rFonts w:ascii="Arial" w:hAnsi="Arial" w:cs="Arial"/>
                <w:bCs/>
                <w:color w:val="000000"/>
                <w:sz w:val="20"/>
                <w:szCs w:val="20"/>
              </w:rPr>
              <w:t>1,84</w:t>
            </w:r>
            <w:r w:rsidR="006A57E2">
              <w:rPr>
                <w:rFonts w:ascii="Arial" w:hAnsi="Arial" w:cs="Arial"/>
                <w:bCs/>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15AC64F3" w14:textId="77777777">
            <w:pPr>
              <w:jc w:val="center"/>
              <w:rPr>
                <w:rFonts w:ascii="Arial" w:hAnsi="Arial" w:cs="Arial"/>
                <w:bCs/>
                <w:color w:val="000000"/>
                <w:sz w:val="20"/>
                <w:szCs w:val="20"/>
              </w:rPr>
            </w:pPr>
            <w:r w:rsidRPr="008312CE">
              <w:rPr>
                <w:rFonts w:ascii="Arial" w:hAnsi="Arial" w:cs="Arial"/>
                <w:bCs/>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12A3D" w:rsidR="00F5259C" w:rsidP="00902F66" w:rsidRDefault="00F5259C" w14:paraId="11A98011" w14:textId="25464F66">
            <w:pPr>
              <w:jc w:val="center"/>
              <w:rPr>
                <w:rFonts w:ascii="Arial" w:hAnsi="Arial" w:cs="Arial"/>
                <w:bCs/>
                <w:color w:val="000000"/>
                <w:sz w:val="20"/>
                <w:szCs w:val="20"/>
              </w:rPr>
            </w:pPr>
            <w:r w:rsidRPr="008312CE">
              <w:rPr>
                <w:rFonts w:ascii="Arial" w:hAnsi="Arial" w:cs="Arial"/>
                <w:bCs/>
                <w:color w:val="000000"/>
                <w:sz w:val="20"/>
                <w:szCs w:val="20"/>
              </w:rPr>
              <w:t>$</w:t>
            </w:r>
            <w:r w:rsidR="00DE1B13">
              <w:rPr>
                <w:rFonts w:ascii="Arial" w:hAnsi="Arial" w:cs="Arial"/>
                <w:bCs/>
                <w:color w:val="000000"/>
                <w:sz w:val="20"/>
                <w:szCs w:val="20"/>
              </w:rPr>
              <w:t>335,5</w:t>
            </w:r>
            <w:r w:rsidR="006A57E2">
              <w:rPr>
                <w:rFonts w:ascii="Arial" w:hAnsi="Arial" w:cs="Arial"/>
                <w:bCs/>
                <w:color w:val="000000"/>
                <w:sz w:val="20"/>
                <w:szCs w:val="20"/>
              </w:rPr>
              <w:t>41</w:t>
            </w:r>
          </w:p>
        </w:tc>
      </w:tr>
    </w:tbl>
    <w:p w:rsidRPr="00B82B04" w:rsidR="00F5259C" w:rsidP="00F5259C" w:rsidRDefault="00F5259C" w14:paraId="37625B87" w14:textId="77777777">
      <w:pPr>
        <w:pStyle w:val="Heading1"/>
      </w:pPr>
      <w:bookmarkStart w:name="_Toc69888484" w:id="58"/>
      <w:bookmarkStart w:name="_Toc75878168" w:id="59"/>
      <w:r w:rsidRPr="00B82B04">
        <w:t>13</w:t>
      </w:r>
      <w:r>
        <w:t xml:space="preserve">. </w:t>
      </w:r>
      <w:r w:rsidRPr="00B82B04">
        <w:t>Estimated</w:t>
      </w:r>
      <w:r>
        <w:t xml:space="preserve"> </w:t>
      </w:r>
      <w:r w:rsidRPr="00B82B04">
        <w:t>Annual</w:t>
      </w:r>
      <w:r>
        <w:t xml:space="preserve"> </w:t>
      </w:r>
      <w:r w:rsidRPr="00B82B04">
        <w:t>Burden</w:t>
      </w:r>
      <w:bookmarkEnd w:id="58"/>
      <w:bookmarkEnd w:id="59"/>
    </w:p>
    <w:p w:rsidRPr="00B82B04" w:rsidR="00F5259C" w:rsidP="00F5259C" w:rsidRDefault="00F5259C" w14:paraId="535E1319" w14:textId="77777777">
      <w:pPr>
        <w:keepNext/>
        <w:spacing w:after="120"/>
        <w:rPr>
          <w:i/>
          <w:iCs/>
        </w:rPr>
      </w:pPr>
      <w:r w:rsidRPr="00B82B04">
        <w:rPr>
          <w:i/>
          <w:iCs/>
        </w:rPr>
        <w:t>Provide</w:t>
      </w:r>
      <w:r>
        <w:rPr>
          <w:i/>
          <w:iCs/>
        </w:rPr>
        <w:t xml:space="preserve"> </w:t>
      </w:r>
      <w:r w:rsidRPr="00B82B04">
        <w:rPr>
          <w:i/>
          <w:iCs/>
        </w:rPr>
        <w:t>an</w:t>
      </w:r>
      <w:r>
        <w:rPr>
          <w:i/>
          <w:iCs/>
        </w:rPr>
        <w:t xml:space="preserve"> </w:t>
      </w:r>
      <w:r w:rsidRPr="00B82B04">
        <w:rPr>
          <w:i/>
          <w:iCs/>
        </w:rPr>
        <w:t>estimate</w:t>
      </w:r>
      <w:r>
        <w:rPr>
          <w:i/>
          <w:iCs/>
        </w:rPr>
        <w:t xml:space="preserve"> </w:t>
      </w:r>
      <w:r w:rsidRPr="00B82B04">
        <w:rPr>
          <w:i/>
          <w:iCs/>
        </w:rPr>
        <w:t>for</w:t>
      </w:r>
      <w:r>
        <w:rPr>
          <w:i/>
          <w:iCs/>
        </w:rPr>
        <w:t xml:space="preserve"> </w:t>
      </w:r>
      <w:r w:rsidRPr="00B82B04">
        <w:rPr>
          <w:i/>
          <w:iCs/>
        </w:rPr>
        <w:t>the</w:t>
      </w:r>
      <w:r>
        <w:rPr>
          <w:i/>
          <w:iCs/>
        </w:rPr>
        <w:t xml:space="preserve"> </w:t>
      </w:r>
      <w:r w:rsidRPr="00B82B04">
        <w:rPr>
          <w:i/>
          <w:iCs/>
        </w:rPr>
        <w:t>total</w:t>
      </w:r>
      <w:r>
        <w:rPr>
          <w:i/>
          <w:iCs/>
        </w:rPr>
        <w:t xml:space="preserve"> </w:t>
      </w:r>
      <w:r w:rsidRPr="00B82B04">
        <w:rPr>
          <w:i/>
          <w:iCs/>
        </w:rPr>
        <w:t>annual</w:t>
      </w:r>
      <w:r>
        <w:rPr>
          <w:i/>
          <w:iCs/>
        </w:rPr>
        <w:t xml:space="preserve"> </w:t>
      </w:r>
      <w:r w:rsidRPr="00B82B04">
        <w:rPr>
          <w:i/>
          <w:iCs/>
        </w:rPr>
        <w:t>cost</w:t>
      </w:r>
      <w:r>
        <w:rPr>
          <w:i/>
          <w:iCs/>
        </w:rPr>
        <w:t xml:space="preserve"> </w:t>
      </w:r>
      <w:r w:rsidRPr="00B82B04">
        <w:rPr>
          <w:i/>
          <w:iCs/>
        </w:rPr>
        <w:t>burden</w:t>
      </w:r>
      <w:r>
        <w:rPr>
          <w:i/>
          <w:iCs/>
        </w:rPr>
        <w:t xml:space="preserve"> </w:t>
      </w:r>
      <w:r w:rsidRPr="00B82B04">
        <w:rPr>
          <w:i/>
          <w:iCs/>
        </w:rPr>
        <w:t>to</w:t>
      </w:r>
      <w:r>
        <w:rPr>
          <w:i/>
          <w:iCs/>
        </w:rPr>
        <w:t xml:space="preserve"> </w:t>
      </w:r>
      <w:r w:rsidRPr="00B82B04">
        <w:rPr>
          <w:i/>
          <w:iCs/>
        </w:rPr>
        <w:t>respondents</w:t>
      </w:r>
      <w:r>
        <w:rPr>
          <w:i/>
          <w:iCs/>
        </w:rPr>
        <w:t xml:space="preserve"> </w:t>
      </w:r>
      <w:r w:rsidRPr="00B82B04">
        <w:rPr>
          <w:i/>
          <w:iCs/>
        </w:rPr>
        <w:t>or</w:t>
      </w:r>
      <w:r>
        <w:rPr>
          <w:i/>
          <w:iCs/>
        </w:rPr>
        <w:t xml:space="preserve"> </w:t>
      </w:r>
      <w:r w:rsidRPr="00B82B04">
        <w:rPr>
          <w:i/>
          <w:iCs/>
        </w:rPr>
        <w:t>record</w:t>
      </w:r>
      <w:r>
        <w:rPr>
          <w:i/>
          <w:iCs/>
        </w:rPr>
        <w:t xml:space="preserve"> </w:t>
      </w:r>
      <w:r w:rsidRPr="00B82B04">
        <w:rPr>
          <w:i/>
          <w:iCs/>
        </w:rPr>
        <w:t>keepers</w:t>
      </w:r>
      <w:r>
        <w:rPr>
          <w:i/>
          <w:iCs/>
        </w:rPr>
        <w:t xml:space="preserve"> </w:t>
      </w:r>
      <w:r w:rsidRPr="00B82B04">
        <w:rPr>
          <w:i/>
          <w:iCs/>
        </w:rPr>
        <w:t>resulting</w:t>
      </w:r>
      <w:r>
        <w:rPr>
          <w:i/>
          <w:iCs/>
        </w:rPr>
        <w:t xml:space="preserve"> </w:t>
      </w:r>
      <w:r w:rsidRPr="00B82B04">
        <w:rPr>
          <w:i/>
          <w:iCs/>
        </w:rPr>
        <w:t>from</w:t>
      </w:r>
      <w:r>
        <w:rPr>
          <w:i/>
          <w:iCs/>
        </w:rPr>
        <w:t xml:space="preserve"> </w:t>
      </w:r>
      <w:r w:rsidRPr="00B82B04">
        <w:rPr>
          <w:i/>
          <w:iCs/>
        </w:rPr>
        <w:t>the</w:t>
      </w:r>
      <w:r>
        <w:rPr>
          <w:i/>
          <w:iCs/>
        </w:rPr>
        <w:t xml:space="preserve"> </w:t>
      </w:r>
      <w:r w:rsidRPr="00B82B04">
        <w:rPr>
          <w:i/>
          <w:iCs/>
        </w:rPr>
        <w:t>collection</w:t>
      </w:r>
      <w:r>
        <w:rPr>
          <w:i/>
          <w:iCs/>
        </w:rPr>
        <w:t xml:space="preserve"> </w:t>
      </w:r>
      <w:r w:rsidRPr="00B82B04">
        <w:rPr>
          <w:i/>
          <w:iCs/>
        </w:rPr>
        <w:t>of</w:t>
      </w:r>
      <w:r>
        <w:rPr>
          <w:i/>
          <w:iCs/>
        </w:rPr>
        <w:t xml:space="preserve"> </w:t>
      </w:r>
      <w:r w:rsidRPr="00B82B04">
        <w:rPr>
          <w:i/>
          <w:iCs/>
        </w:rPr>
        <w:t>information.</w:t>
      </w:r>
      <w:r>
        <w:rPr>
          <w:i/>
          <w:iCs/>
        </w:rPr>
        <w:t xml:space="preserve"> </w:t>
      </w:r>
      <w:r w:rsidRPr="00B82B04">
        <w:rPr>
          <w:i/>
          <w:iCs/>
        </w:rPr>
        <w:t>(Do</w:t>
      </w:r>
      <w:r>
        <w:rPr>
          <w:i/>
          <w:iCs/>
        </w:rPr>
        <w:t xml:space="preserve"> </w:t>
      </w:r>
      <w:r w:rsidRPr="00B82B04">
        <w:rPr>
          <w:i/>
          <w:iCs/>
        </w:rPr>
        <w:t>not</w:t>
      </w:r>
      <w:r>
        <w:rPr>
          <w:i/>
          <w:iCs/>
        </w:rPr>
        <w:t xml:space="preserve"> </w:t>
      </w:r>
      <w:r w:rsidRPr="00B82B04">
        <w:rPr>
          <w:i/>
          <w:iCs/>
        </w:rPr>
        <w:t>include</w:t>
      </w:r>
      <w:r>
        <w:rPr>
          <w:i/>
          <w:iCs/>
        </w:rPr>
        <w:t xml:space="preserve"> </w:t>
      </w:r>
      <w:r w:rsidRPr="00B82B04">
        <w:rPr>
          <w:i/>
          <w:iCs/>
        </w:rPr>
        <w:t>the</w:t>
      </w:r>
      <w:r>
        <w:rPr>
          <w:i/>
          <w:iCs/>
        </w:rPr>
        <w:t xml:space="preserve"> </w:t>
      </w:r>
      <w:r w:rsidRPr="00B82B04">
        <w:rPr>
          <w:i/>
          <w:iCs/>
        </w:rPr>
        <w:t>cost</w:t>
      </w:r>
      <w:r>
        <w:rPr>
          <w:i/>
          <w:iCs/>
        </w:rPr>
        <w:t xml:space="preserve"> </w:t>
      </w:r>
      <w:r w:rsidRPr="00B82B04">
        <w:rPr>
          <w:i/>
          <w:iCs/>
        </w:rPr>
        <w:t>of</w:t>
      </w:r>
      <w:r>
        <w:rPr>
          <w:i/>
          <w:iCs/>
        </w:rPr>
        <w:t xml:space="preserve"> </w:t>
      </w:r>
      <w:r w:rsidRPr="00B82B04">
        <w:rPr>
          <w:i/>
          <w:iCs/>
        </w:rPr>
        <w:t>any</w:t>
      </w:r>
      <w:r>
        <w:rPr>
          <w:i/>
          <w:iCs/>
        </w:rPr>
        <w:t xml:space="preserve"> </w:t>
      </w:r>
      <w:r w:rsidRPr="00B82B04">
        <w:rPr>
          <w:i/>
          <w:iCs/>
        </w:rPr>
        <w:t>hour</w:t>
      </w:r>
      <w:r>
        <w:rPr>
          <w:i/>
          <w:iCs/>
        </w:rPr>
        <w:t xml:space="preserve"> </w:t>
      </w:r>
      <w:r w:rsidRPr="00B82B04">
        <w:rPr>
          <w:i/>
          <w:iCs/>
        </w:rPr>
        <w:t>burden</w:t>
      </w:r>
      <w:r>
        <w:rPr>
          <w:i/>
          <w:iCs/>
        </w:rPr>
        <w:t xml:space="preserve"> </w:t>
      </w:r>
      <w:r w:rsidRPr="00B82B04">
        <w:rPr>
          <w:i/>
          <w:iCs/>
        </w:rPr>
        <w:t>shown</w:t>
      </w:r>
      <w:r>
        <w:rPr>
          <w:i/>
          <w:iCs/>
        </w:rPr>
        <w:t xml:space="preserve"> </w:t>
      </w:r>
      <w:r w:rsidRPr="00B82B04">
        <w:rPr>
          <w:i/>
          <w:iCs/>
        </w:rPr>
        <w:t>in</w:t>
      </w:r>
      <w:r>
        <w:rPr>
          <w:i/>
          <w:iCs/>
        </w:rPr>
        <w:t xml:space="preserve"> </w:t>
      </w:r>
      <w:r w:rsidRPr="00B82B04">
        <w:rPr>
          <w:i/>
          <w:iCs/>
        </w:rPr>
        <w:t>Items</w:t>
      </w:r>
      <w:r>
        <w:rPr>
          <w:i/>
          <w:iCs/>
        </w:rPr>
        <w:t xml:space="preserve"> </w:t>
      </w:r>
      <w:r w:rsidRPr="00B82B04">
        <w:rPr>
          <w:i/>
          <w:iCs/>
        </w:rPr>
        <w:t>12</w:t>
      </w:r>
      <w:r>
        <w:rPr>
          <w:i/>
          <w:iCs/>
        </w:rPr>
        <w:t xml:space="preserve"> </w:t>
      </w:r>
      <w:r w:rsidRPr="00B82B04">
        <w:rPr>
          <w:i/>
          <w:iCs/>
        </w:rPr>
        <w:t>and</w:t>
      </w:r>
      <w:r>
        <w:rPr>
          <w:i/>
          <w:iCs/>
        </w:rPr>
        <w:t xml:space="preserve"> </w:t>
      </w:r>
      <w:r w:rsidRPr="00B82B04">
        <w:rPr>
          <w:i/>
          <w:iCs/>
        </w:rPr>
        <w:t>14).</w:t>
      </w:r>
    </w:p>
    <w:p w:rsidRPr="00B82B04" w:rsidR="00F5259C" w:rsidP="00F5259C" w:rsidRDefault="00F5259C" w14:paraId="5B0F83BE" w14:textId="77777777">
      <w:pPr>
        <w:keepNext/>
        <w:numPr>
          <w:ilvl w:val="0"/>
          <w:numId w:val="19"/>
        </w:numPr>
        <w:tabs>
          <w:tab w:val="left" w:pos="360"/>
        </w:tabs>
        <w:spacing w:after="120"/>
        <w:ind w:left="360" w:hanging="270"/>
        <w:rPr>
          <w:i/>
          <w:iCs/>
        </w:rPr>
      </w:pPr>
      <w:r w:rsidRPr="00B82B04">
        <w:rPr>
          <w:i/>
          <w:iCs/>
        </w:rPr>
        <w:t>The</w:t>
      </w:r>
      <w:r>
        <w:rPr>
          <w:i/>
          <w:iCs/>
        </w:rPr>
        <w:t xml:space="preserve"> </w:t>
      </w:r>
      <w:r w:rsidRPr="00B82B04">
        <w:rPr>
          <w:i/>
          <w:iCs/>
        </w:rPr>
        <w:t>cost</w:t>
      </w:r>
      <w:r>
        <w:rPr>
          <w:i/>
          <w:iCs/>
        </w:rPr>
        <w:t xml:space="preserve"> </w:t>
      </w:r>
      <w:r w:rsidRPr="00B82B04">
        <w:rPr>
          <w:i/>
          <w:iCs/>
        </w:rPr>
        <w:t>estimate</w:t>
      </w:r>
      <w:r>
        <w:rPr>
          <w:i/>
          <w:iCs/>
        </w:rPr>
        <w:t xml:space="preserve"> </w:t>
      </w:r>
      <w:r w:rsidRPr="00B82B04">
        <w:rPr>
          <w:i/>
          <w:iCs/>
        </w:rPr>
        <w:t>should</w:t>
      </w:r>
      <w:r>
        <w:rPr>
          <w:i/>
          <w:iCs/>
        </w:rPr>
        <w:t xml:space="preserve"> </w:t>
      </w:r>
      <w:r w:rsidRPr="00B82B04">
        <w:rPr>
          <w:i/>
          <w:iCs/>
        </w:rPr>
        <w:t>be</w:t>
      </w:r>
      <w:r>
        <w:rPr>
          <w:i/>
          <w:iCs/>
        </w:rPr>
        <w:t xml:space="preserve"> </w:t>
      </w:r>
      <w:r w:rsidRPr="00B82B04">
        <w:rPr>
          <w:i/>
          <w:iCs/>
        </w:rPr>
        <w:t>split</w:t>
      </w:r>
      <w:r>
        <w:rPr>
          <w:i/>
          <w:iCs/>
        </w:rPr>
        <w:t xml:space="preserve"> </w:t>
      </w:r>
      <w:r w:rsidRPr="00B82B04">
        <w:rPr>
          <w:i/>
          <w:iCs/>
        </w:rPr>
        <w:t>into</w:t>
      </w:r>
      <w:r>
        <w:rPr>
          <w:i/>
          <w:iCs/>
        </w:rPr>
        <w:t xml:space="preserve"> </w:t>
      </w:r>
      <w:r w:rsidRPr="00B82B04">
        <w:rPr>
          <w:i/>
          <w:iCs/>
        </w:rPr>
        <w:t>two</w:t>
      </w:r>
      <w:r>
        <w:rPr>
          <w:i/>
          <w:iCs/>
        </w:rPr>
        <w:t xml:space="preserve"> </w:t>
      </w:r>
      <w:r w:rsidRPr="00B82B04">
        <w:rPr>
          <w:i/>
          <w:iCs/>
        </w:rPr>
        <w:t>components:</w:t>
      </w:r>
      <w:r>
        <w:rPr>
          <w:i/>
          <w:iCs/>
        </w:rPr>
        <w:t xml:space="preserve"> </w:t>
      </w:r>
      <w:r w:rsidRPr="00B82B04">
        <w:rPr>
          <w:i/>
          <w:iCs/>
        </w:rPr>
        <w:t>(a)</w:t>
      </w:r>
      <w:r>
        <w:rPr>
          <w:i/>
          <w:iCs/>
        </w:rPr>
        <w:t xml:space="preserve"> </w:t>
      </w:r>
      <w:r w:rsidRPr="00B82B04">
        <w:rPr>
          <w:i/>
          <w:iCs/>
        </w:rPr>
        <w:t>total</w:t>
      </w:r>
      <w:r>
        <w:rPr>
          <w:i/>
          <w:iCs/>
        </w:rPr>
        <w:t xml:space="preserve"> </w:t>
      </w:r>
      <w:r w:rsidRPr="00B82B04">
        <w:rPr>
          <w:i/>
          <w:iCs/>
        </w:rPr>
        <w:t>capital</w:t>
      </w:r>
      <w:r>
        <w:rPr>
          <w:i/>
          <w:iCs/>
        </w:rPr>
        <w:t xml:space="preserve"> </w:t>
      </w:r>
      <w:r w:rsidRPr="00B82B04">
        <w:rPr>
          <w:i/>
          <w:iCs/>
        </w:rPr>
        <w:t>and</w:t>
      </w:r>
      <w:r>
        <w:rPr>
          <w:i/>
          <w:iCs/>
        </w:rPr>
        <w:t xml:space="preserve"> </w:t>
      </w:r>
      <w:r w:rsidRPr="00B82B04">
        <w:rPr>
          <w:i/>
          <w:iCs/>
        </w:rPr>
        <w:t>start-up</w:t>
      </w:r>
      <w:r>
        <w:rPr>
          <w:i/>
          <w:iCs/>
        </w:rPr>
        <w:t xml:space="preserve"> </w:t>
      </w:r>
      <w:r w:rsidRPr="00B82B04">
        <w:rPr>
          <w:i/>
          <w:iCs/>
        </w:rPr>
        <w:t>cost</w:t>
      </w:r>
      <w:r>
        <w:rPr>
          <w:i/>
          <w:iCs/>
        </w:rPr>
        <w:t xml:space="preserve"> </w:t>
      </w:r>
      <w:r w:rsidRPr="00B82B04">
        <w:rPr>
          <w:i/>
          <w:iCs/>
        </w:rPr>
        <w:t>component</w:t>
      </w:r>
      <w:r>
        <w:rPr>
          <w:i/>
          <w:iCs/>
        </w:rPr>
        <w:t xml:space="preserve"> </w:t>
      </w:r>
      <w:r w:rsidRPr="00B82B04">
        <w:rPr>
          <w:i/>
          <w:iCs/>
        </w:rPr>
        <w:t>(annualized</w:t>
      </w:r>
      <w:r>
        <w:rPr>
          <w:i/>
          <w:iCs/>
        </w:rPr>
        <w:t xml:space="preserve"> </w:t>
      </w:r>
      <w:r w:rsidRPr="00B82B04">
        <w:rPr>
          <w:i/>
          <w:iCs/>
        </w:rPr>
        <w:t>over</w:t>
      </w:r>
      <w:r>
        <w:rPr>
          <w:i/>
          <w:iCs/>
        </w:rPr>
        <w:t xml:space="preserve"> </w:t>
      </w:r>
      <w:r w:rsidRPr="00B82B04">
        <w:rPr>
          <w:i/>
          <w:iCs/>
        </w:rPr>
        <w:t>its</w:t>
      </w:r>
      <w:r>
        <w:rPr>
          <w:i/>
          <w:iCs/>
        </w:rPr>
        <w:t xml:space="preserve"> </w:t>
      </w:r>
      <w:r w:rsidRPr="00B82B04">
        <w:rPr>
          <w:i/>
          <w:iCs/>
        </w:rPr>
        <w:t>expected</w:t>
      </w:r>
      <w:r>
        <w:rPr>
          <w:i/>
          <w:iCs/>
        </w:rPr>
        <w:t xml:space="preserve"> </w:t>
      </w:r>
      <w:r w:rsidRPr="00B82B04">
        <w:rPr>
          <w:i/>
          <w:iCs/>
        </w:rPr>
        <w:t>useful</w:t>
      </w:r>
      <w:r>
        <w:rPr>
          <w:i/>
          <w:iCs/>
        </w:rPr>
        <w:t xml:space="preserve"> </w:t>
      </w:r>
      <w:r w:rsidRPr="00B82B04">
        <w:rPr>
          <w:i/>
          <w:iCs/>
        </w:rPr>
        <w:t>life)</w:t>
      </w:r>
      <w:r>
        <w:rPr>
          <w:i/>
          <w:iCs/>
        </w:rPr>
        <w:t xml:space="preserve"> </w:t>
      </w:r>
      <w:r w:rsidRPr="00B82B04">
        <w:rPr>
          <w:i/>
          <w:iCs/>
        </w:rPr>
        <w:t>and</w:t>
      </w:r>
      <w:r>
        <w:rPr>
          <w:i/>
          <w:iCs/>
        </w:rPr>
        <w:t xml:space="preserve"> </w:t>
      </w:r>
      <w:r w:rsidRPr="00B82B04">
        <w:rPr>
          <w:i/>
          <w:iCs/>
        </w:rPr>
        <w:t>(b)</w:t>
      </w:r>
      <w:r>
        <w:rPr>
          <w:i/>
          <w:iCs/>
        </w:rPr>
        <w:t xml:space="preserve"> </w:t>
      </w:r>
      <w:r w:rsidRPr="00B82B04">
        <w:rPr>
          <w:i/>
          <w:iCs/>
        </w:rPr>
        <w:t>a</w:t>
      </w:r>
      <w:r>
        <w:rPr>
          <w:i/>
          <w:iCs/>
        </w:rPr>
        <w:t xml:space="preserve"> </w:t>
      </w:r>
      <w:r w:rsidRPr="00B82B04">
        <w:rPr>
          <w:i/>
          <w:iCs/>
        </w:rPr>
        <w:t>total</w:t>
      </w:r>
      <w:r>
        <w:rPr>
          <w:i/>
          <w:iCs/>
        </w:rPr>
        <w:t xml:space="preserve"> </w:t>
      </w:r>
      <w:r w:rsidRPr="00B82B04">
        <w:rPr>
          <w:i/>
          <w:iCs/>
        </w:rPr>
        <w:t>operation</w:t>
      </w:r>
      <w:r>
        <w:rPr>
          <w:i/>
          <w:iCs/>
        </w:rPr>
        <w:t xml:space="preserve"> </w:t>
      </w:r>
      <w:r w:rsidRPr="00B82B04">
        <w:rPr>
          <w:i/>
          <w:iCs/>
        </w:rPr>
        <w:t>and</w:t>
      </w:r>
      <w:r>
        <w:rPr>
          <w:i/>
          <w:iCs/>
        </w:rPr>
        <w:t xml:space="preserve"> </w:t>
      </w:r>
      <w:r w:rsidRPr="00B82B04">
        <w:rPr>
          <w:i/>
          <w:iCs/>
        </w:rPr>
        <w:t>maintenance</w:t>
      </w:r>
      <w:r>
        <w:rPr>
          <w:i/>
          <w:iCs/>
        </w:rPr>
        <w:t xml:space="preserve"> </w:t>
      </w:r>
      <w:r w:rsidRPr="00B82B04">
        <w:rPr>
          <w:i/>
          <w:iCs/>
        </w:rPr>
        <w:t>and</w:t>
      </w:r>
      <w:r>
        <w:rPr>
          <w:i/>
          <w:iCs/>
        </w:rPr>
        <w:t xml:space="preserve"> </w:t>
      </w:r>
      <w:r w:rsidRPr="00B82B04">
        <w:rPr>
          <w:i/>
          <w:iCs/>
        </w:rPr>
        <w:t>purchase</w:t>
      </w:r>
      <w:r>
        <w:rPr>
          <w:i/>
          <w:iCs/>
        </w:rPr>
        <w:t xml:space="preserve"> </w:t>
      </w:r>
      <w:r w:rsidRPr="00B82B04">
        <w:rPr>
          <w:i/>
          <w:iCs/>
        </w:rPr>
        <w:t>of</w:t>
      </w:r>
      <w:r>
        <w:rPr>
          <w:i/>
          <w:iCs/>
        </w:rPr>
        <w:t xml:space="preserve"> </w:t>
      </w:r>
      <w:r w:rsidRPr="00B82B04">
        <w:rPr>
          <w:i/>
          <w:iCs/>
        </w:rPr>
        <w:t>services</w:t>
      </w:r>
      <w:r>
        <w:rPr>
          <w:i/>
          <w:iCs/>
        </w:rPr>
        <w:t xml:space="preserve"> </w:t>
      </w:r>
      <w:r w:rsidRPr="00B82B04">
        <w:rPr>
          <w:i/>
          <w:iCs/>
        </w:rPr>
        <w:t>component.</w:t>
      </w:r>
      <w:r>
        <w:rPr>
          <w:i/>
          <w:iCs/>
        </w:rPr>
        <w:t xml:space="preserve"> </w:t>
      </w:r>
      <w:r w:rsidRPr="00B82B04">
        <w:rPr>
          <w:i/>
          <w:iCs/>
        </w:rPr>
        <w:t>The</w:t>
      </w:r>
      <w:r>
        <w:rPr>
          <w:i/>
          <w:iCs/>
        </w:rPr>
        <w:t xml:space="preserve"> </w:t>
      </w:r>
      <w:r w:rsidRPr="00B82B04">
        <w:rPr>
          <w:i/>
          <w:iCs/>
        </w:rPr>
        <w:t>estimates</w:t>
      </w:r>
      <w:r>
        <w:rPr>
          <w:i/>
          <w:iCs/>
        </w:rPr>
        <w:t xml:space="preserve"> </w:t>
      </w:r>
      <w:r w:rsidRPr="00B82B04">
        <w:rPr>
          <w:i/>
          <w:iCs/>
        </w:rPr>
        <w:t>should</w:t>
      </w:r>
      <w:r>
        <w:rPr>
          <w:i/>
          <w:iCs/>
        </w:rPr>
        <w:t xml:space="preserve"> </w:t>
      </w:r>
      <w:proofErr w:type="gramStart"/>
      <w:r w:rsidRPr="00B82B04">
        <w:rPr>
          <w:i/>
          <w:iCs/>
        </w:rPr>
        <w:t>take</w:t>
      </w:r>
      <w:r>
        <w:rPr>
          <w:i/>
          <w:iCs/>
        </w:rPr>
        <w:t xml:space="preserve"> </w:t>
      </w:r>
      <w:r w:rsidRPr="00B82B04">
        <w:rPr>
          <w:i/>
          <w:iCs/>
        </w:rPr>
        <w:t>into</w:t>
      </w:r>
      <w:r>
        <w:rPr>
          <w:i/>
          <w:iCs/>
        </w:rPr>
        <w:t xml:space="preserve"> </w:t>
      </w:r>
      <w:r w:rsidRPr="00B82B04">
        <w:rPr>
          <w:i/>
          <w:iCs/>
        </w:rPr>
        <w:t>account</w:t>
      </w:r>
      <w:proofErr w:type="gramEnd"/>
      <w:r>
        <w:rPr>
          <w:i/>
          <w:iCs/>
        </w:rPr>
        <w:t xml:space="preserve"> </w:t>
      </w:r>
      <w:r w:rsidRPr="00B82B04">
        <w:rPr>
          <w:i/>
          <w:iCs/>
        </w:rPr>
        <w:t>costs</w:t>
      </w:r>
      <w:r>
        <w:rPr>
          <w:i/>
          <w:iCs/>
        </w:rPr>
        <w:t xml:space="preserve"> </w:t>
      </w:r>
      <w:r w:rsidRPr="00B82B04">
        <w:rPr>
          <w:i/>
          <w:iCs/>
        </w:rPr>
        <w:t>associated</w:t>
      </w:r>
      <w:r>
        <w:rPr>
          <w:i/>
          <w:iCs/>
        </w:rPr>
        <w:t xml:space="preserve"> </w:t>
      </w:r>
      <w:r w:rsidRPr="00B82B04">
        <w:rPr>
          <w:i/>
          <w:iCs/>
        </w:rPr>
        <w:t>with</w:t>
      </w:r>
      <w:r>
        <w:rPr>
          <w:i/>
          <w:iCs/>
        </w:rPr>
        <w:t xml:space="preserve"> </w:t>
      </w:r>
      <w:r w:rsidRPr="00B82B04">
        <w:rPr>
          <w:i/>
          <w:iCs/>
        </w:rPr>
        <w:t>generating,</w:t>
      </w:r>
      <w:r>
        <w:rPr>
          <w:i/>
          <w:iCs/>
        </w:rPr>
        <w:t xml:space="preserve"> </w:t>
      </w:r>
      <w:r w:rsidRPr="00B82B04">
        <w:rPr>
          <w:i/>
          <w:iCs/>
        </w:rPr>
        <w:t>maintaining,</w:t>
      </w:r>
      <w:r>
        <w:rPr>
          <w:i/>
          <w:iCs/>
        </w:rPr>
        <w:t xml:space="preserve"> </w:t>
      </w:r>
      <w:r w:rsidRPr="00B82B04">
        <w:rPr>
          <w:i/>
          <w:iCs/>
        </w:rPr>
        <w:t>and</w:t>
      </w:r>
      <w:r>
        <w:rPr>
          <w:i/>
          <w:iCs/>
        </w:rPr>
        <w:t xml:space="preserve"> </w:t>
      </w:r>
      <w:r w:rsidRPr="00B82B04">
        <w:rPr>
          <w:i/>
          <w:iCs/>
        </w:rPr>
        <w:t>disclosing</w:t>
      </w:r>
      <w:r>
        <w:rPr>
          <w:i/>
          <w:iCs/>
        </w:rPr>
        <w:t xml:space="preserve"> </w:t>
      </w:r>
      <w:r w:rsidRPr="00B82B04">
        <w:rPr>
          <w:i/>
          <w:iCs/>
        </w:rPr>
        <w:t>or</w:t>
      </w:r>
      <w:r>
        <w:rPr>
          <w:i/>
          <w:iCs/>
        </w:rPr>
        <w:t xml:space="preserve"> </w:t>
      </w:r>
      <w:r w:rsidRPr="00B82B04">
        <w:rPr>
          <w:i/>
          <w:iCs/>
        </w:rPr>
        <w:t>providing</w:t>
      </w:r>
      <w:r>
        <w:rPr>
          <w:i/>
          <w:iCs/>
        </w:rPr>
        <w:t xml:space="preserve"> </w:t>
      </w:r>
      <w:r w:rsidRPr="00B82B04">
        <w:rPr>
          <w:i/>
          <w:iCs/>
        </w:rPr>
        <w:t>the</w:t>
      </w:r>
      <w:r>
        <w:rPr>
          <w:i/>
          <w:iCs/>
        </w:rPr>
        <w:t xml:space="preserve"> </w:t>
      </w:r>
      <w:r w:rsidRPr="00B82B04">
        <w:rPr>
          <w:i/>
          <w:iCs/>
        </w:rPr>
        <w:t>information.</w:t>
      </w:r>
      <w:r>
        <w:rPr>
          <w:i/>
          <w:iCs/>
        </w:rPr>
        <w:t xml:space="preserve"> </w:t>
      </w:r>
      <w:r w:rsidRPr="00B82B04">
        <w:rPr>
          <w:i/>
          <w:iCs/>
        </w:rPr>
        <w:t>Include</w:t>
      </w:r>
      <w:r>
        <w:rPr>
          <w:i/>
          <w:iCs/>
        </w:rPr>
        <w:t xml:space="preserve"> </w:t>
      </w:r>
      <w:r w:rsidRPr="00B82B04">
        <w:rPr>
          <w:i/>
          <w:iCs/>
        </w:rPr>
        <w:t>descriptions</w:t>
      </w:r>
      <w:r>
        <w:rPr>
          <w:i/>
          <w:iCs/>
        </w:rPr>
        <w:t xml:space="preserve"> </w:t>
      </w:r>
      <w:r w:rsidRPr="00B82B04">
        <w:rPr>
          <w:i/>
          <w:iCs/>
        </w:rPr>
        <w:t>of</w:t>
      </w:r>
      <w:r>
        <w:rPr>
          <w:i/>
          <w:iCs/>
        </w:rPr>
        <w:t xml:space="preserve"> </w:t>
      </w:r>
      <w:r w:rsidRPr="00B82B04">
        <w:rPr>
          <w:i/>
          <w:iCs/>
        </w:rPr>
        <w:t>methods</w:t>
      </w:r>
      <w:r>
        <w:rPr>
          <w:i/>
          <w:iCs/>
        </w:rPr>
        <w:t xml:space="preserve"> </w:t>
      </w:r>
      <w:r w:rsidRPr="00B82B04">
        <w:rPr>
          <w:i/>
          <w:iCs/>
        </w:rPr>
        <w:t>used</w:t>
      </w:r>
      <w:r>
        <w:rPr>
          <w:i/>
          <w:iCs/>
        </w:rPr>
        <w:t xml:space="preserve"> </w:t>
      </w:r>
      <w:r w:rsidRPr="00B82B04">
        <w:rPr>
          <w:i/>
          <w:iCs/>
        </w:rPr>
        <w:t>to</w:t>
      </w:r>
      <w:r>
        <w:rPr>
          <w:i/>
          <w:iCs/>
        </w:rPr>
        <w:t xml:space="preserve"> </w:t>
      </w:r>
      <w:r w:rsidRPr="00B82B04">
        <w:rPr>
          <w:i/>
          <w:iCs/>
        </w:rPr>
        <w:t>estimate</w:t>
      </w:r>
      <w:r>
        <w:rPr>
          <w:i/>
          <w:iCs/>
        </w:rPr>
        <w:t xml:space="preserve"> </w:t>
      </w:r>
      <w:r w:rsidRPr="00B82B04">
        <w:rPr>
          <w:i/>
          <w:iCs/>
        </w:rPr>
        <w:t>major</w:t>
      </w:r>
      <w:r>
        <w:rPr>
          <w:i/>
          <w:iCs/>
        </w:rPr>
        <w:t xml:space="preserve"> </w:t>
      </w:r>
      <w:r w:rsidRPr="00B82B04">
        <w:rPr>
          <w:i/>
          <w:iCs/>
        </w:rPr>
        <w:t>cost</w:t>
      </w:r>
      <w:r>
        <w:rPr>
          <w:i/>
          <w:iCs/>
        </w:rPr>
        <w:t xml:space="preserve"> </w:t>
      </w:r>
      <w:r w:rsidRPr="00B82B04">
        <w:rPr>
          <w:i/>
          <w:iCs/>
        </w:rPr>
        <w:t>factors</w:t>
      </w:r>
      <w:r>
        <w:rPr>
          <w:i/>
          <w:iCs/>
        </w:rPr>
        <w:t xml:space="preserve"> </w:t>
      </w:r>
      <w:r w:rsidRPr="00B82B04">
        <w:rPr>
          <w:i/>
          <w:iCs/>
        </w:rPr>
        <w:t>including</w:t>
      </w:r>
      <w:r>
        <w:rPr>
          <w:i/>
          <w:iCs/>
        </w:rPr>
        <w:t xml:space="preserve"> </w:t>
      </w:r>
      <w:r w:rsidRPr="00B82B04">
        <w:rPr>
          <w:i/>
          <w:iCs/>
        </w:rPr>
        <w:t>system</w:t>
      </w:r>
      <w:r>
        <w:rPr>
          <w:i/>
          <w:iCs/>
        </w:rPr>
        <w:t xml:space="preserve"> </w:t>
      </w:r>
      <w:r w:rsidRPr="00B82B04">
        <w:rPr>
          <w:i/>
          <w:iCs/>
        </w:rPr>
        <w:t>and</w:t>
      </w:r>
      <w:r>
        <w:rPr>
          <w:i/>
          <w:iCs/>
        </w:rPr>
        <w:t xml:space="preserve"> </w:t>
      </w:r>
      <w:r w:rsidRPr="00B82B04">
        <w:rPr>
          <w:i/>
          <w:iCs/>
        </w:rPr>
        <w:t>technology</w:t>
      </w:r>
      <w:r>
        <w:rPr>
          <w:i/>
          <w:iCs/>
        </w:rPr>
        <w:t xml:space="preserve"> </w:t>
      </w:r>
      <w:r w:rsidRPr="00B82B04">
        <w:rPr>
          <w:i/>
          <w:iCs/>
        </w:rPr>
        <w:t>acquisition,</w:t>
      </w:r>
      <w:r>
        <w:rPr>
          <w:i/>
          <w:iCs/>
        </w:rPr>
        <w:t xml:space="preserve"> </w:t>
      </w:r>
      <w:r w:rsidRPr="00B82B04">
        <w:rPr>
          <w:i/>
          <w:iCs/>
        </w:rPr>
        <w:t>expected</w:t>
      </w:r>
      <w:r>
        <w:rPr>
          <w:i/>
          <w:iCs/>
        </w:rPr>
        <w:t xml:space="preserve"> </w:t>
      </w:r>
      <w:r w:rsidRPr="00B82B04">
        <w:rPr>
          <w:i/>
          <w:iCs/>
        </w:rPr>
        <w:t>useful</w:t>
      </w:r>
      <w:r>
        <w:rPr>
          <w:i/>
          <w:iCs/>
        </w:rPr>
        <w:t xml:space="preserve"> </w:t>
      </w:r>
      <w:r w:rsidRPr="00B82B04">
        <w:rPr>
          <w:i/>
          <w:iCs/>
        </w:rPr>
        <w:t>life</w:t>
      </w:r>
      <w:r>
        <w:rPr>
          <w:i/>
          <w:iCs/>
        </w:rPr>
        <w:t xml:space="preserve"> </w:t>
      </w:r>
      <w:r w:rsidRPr="00B82B04">
        <w:rPr>
          <w:i/>
          <w:iCs/>
        </w:rPr>
        <w:t>of</w:t>
      </w:r>
      <w:r>
        <w:rPr>
          <w:i/>
          <w:iCs/>
        </w:rPr>
        <w:t xml:space="preserve"> </w:t>
      </w:r>
      <w:r w:rsidRPr="00B82B04">
        <w:rPr>
          <w:i/>
          <w:iCs/>
        </w:rPr>
        <w:t>capital</w:t>
      </w:r>
      <w:r>
        <w:rPr>
          <w:i/>
          <w:iCs/>
        </w:rPr>
        <w:t xml:space="preserve"> </w:t>
      </w:r>
      <w:r w:rsidRPr="00B82B04">
        <w:rPr>
          <w:i/>
          <w:iCs/>
        </w:rPr>
        <w:t>equipment,</w:t>
      </w:r>
      <w:r>
        <w:rPr>
          <w:i/>
          <w:iCs/>
        </w:rPr>
        <w:t xml:space="preserve"> </w:t>
      </w:r>
      <w:r w:rsidRPr="00B82B04">
        <w:rPr>
          <w:i/>
          <w:iCs/>
        </w:rPr>
        <w:t>the</w:t>
      </w:r>
      <w:r>
        <w:rPr>
          <w:i/>
          <w:iCs/>
        </w:rPr>
        <w:t xml:space="preserve"> </w:t>
      </w:r>
      <w:r w:rsidRPr="00B82B04">
        <w:rPr>
          <w:i/>
          <w:iCs/>
        </w:rPr>
        <w:t>discount</w:t>
      </w:r>
      <w:r>
        <w:rPr>
          <w:i/>
          <w:iCs/>
        </w:rPr>
        <w:t xml:space="preserve"> </w:t>
      </w:r>
      <w:r w:rsidRPr="00B82B04">
        <w:rPr>
          <w:i/>
          <w:iCs/>
        </w:rPr>
        <w:t>rate(s),</w:t>
      </w:r>
      <w:r>
        <w:rPr>
          <w:i/>
          <w:iCs/>
        </w:rPr>
        <w:t xml:space="preserve"> </w:t>
      </w:r>
      <w:r w:rsidRPr="00B82B04">
        <w:rPr>
          <w:i/>
          <w:iCs/>
        </w:rPr>
        <w:t>and</w:t>
      </w:r>
      <w:r>
        <w:rPr>
          <w:i/>
          <w:iCs/>
        </w:rPr>
        <w:t xml:space="preserve"> </w:t>
      </w:r>
      <w:r w:rsidRPr="00B82B04">
        <w:rPr>
          <w:i/>
          <w:iCs/>
        </w:rPr>
        <w:t>the</w:t>
      </w:r>
      <w:r>
        <w:rPr>
          <w:i/>
          <w:iCs/>
        </w:rPr>
        <w:t xml:space="preserve"> </w:t>
      </w:r>
      <w:r w:rsidRPr="00B82B04">
        <w:rPr>
          <w:i/>
          <w:iCs/>
        </w:rPr>
        <w:t>period</w:t>
      </w:r>
      <w:r>
        <w:rPr>
          <w:i/>
          <w:iCs/>
        </w:rPr>
        <w:t xml:space="preserve"> </w:t>
      </w:r>
      <w:r w:rsidRPr="00B82B04">
        <w:rPr>
          <w:i/>
          <w:iCs/>
        </w:rPr>
        <w:t>over</w:t>
      </w:r>
      <w:r>
        <w:rPr>
          <w:i/>
          <w:iCs/>
        </w:rPr>
        <w:t xml:space="preserve"> </w:t>
      </w:r>
      <w:r w:rsidRPr="00B82B04">
        <w:rPr>
          <w:i/>
          <w:iCs/>
        </w:rPr>
        <w:t>which</w:t>
      </w:r>
      <w:r>
        <w:rPr>
          <w:i/>
          <w:iCs/>
        </w:rPr>
        <w:t xml:space="preserve"> </w:t>
      </w:r>
      <w:r w:rsidRPr="00B82B04">
        <w:rPr>
          <w:i/>
          <w:iCs/>
        </w:rPr>
        <w:t>costs</w:t>
      </w:r>
      <w:r>
        <w:rPr>
          <w:i/>
          <w:iCs/>
        </w:rPr>
        <w:t xml:space="preserve"> </w:t>
      </w:r>
      <w:r w:rsidRPr="00B82B04">
        <w:rPr>
          <w:i/>
          <w:iCs/>
        </w:rPr>
        <w:t>will</w:t>
      </w:r>
      <w:r>
        <w:rPr>
          <w:i/>
          <w:iCs/>
        </w:rPr>
        <w:t xml:space="preserve"> </w:t>
      </w:r>
      <w:r w:rsidRPr="00B82B04">
        <w:rPr>
          <w:i/>
          <w:iCs/>
        </w:rPr>
        <w:t>be</w:t>
      </w:r>
      <w:r>
        <w:rPr>
          <w:i/>
          <w:iCs/>
        </w:rPr>
        <w:t xml:space="preserve"> </w:t>
      </w:r>
      <w:r w:rsidRPr="00B82B04">
        <w:rPr>
          <w:i/>
          <w:iCs/>
        </w:rPr>
        <w:t>incurred.</w:t>
      </w:r>
      <w:r>
        <w:rPr>
          <w:i/>
          <w:iCs/>
        </w:rPr>
        <w:t xml:space="preserve"> </w:t>
      </w:r>
      <w:r w:rsidRPr="00B82B04">
        <w:rPr>
          <w:i/>
          <w:iCs/>
        </w:rPr>
        <w:t>Capital</w:t>
      </w:r>
      <w:r>
        <w:rPr>
          <w:i/>
          <w:iCs/>
        </w:rPr>
        <w:t xml:space="preserve"> </w:t>
      </w:r>
      <w:r w:rsidRPr="00B82B04">
        <w:rPr>
          <w:i/>
          <w:iCs/>
        </w:rPr>
        <w:t>and</w:t>
      </w:r>
      <w:r>
        <w:rPr>
          <w:i/>
          <w:iCs/>
        </w:rPr>
        <w:t xml:space="preserve"> </w:t>
      </w:r>
      <w:r w:rsidRPr="00B82B04">
        <w:rPr>
          <w:i/>
          <w:iCs/>
        </w:rPr>
        <w:t>start-up</w:t>
      </w:r>
      <w:r>
        <w:rPr>
          <w:i/>
          <w:iCs/>
        </w:rPr>
        <w:t xml:space="preserve"> </w:t>
      </w:r>
      <w:r w:rsidRPr="00B82B04">
        <w:rPr>
          <w:i/>
          <w:iCs/>
        </w:rPr>
        <w:t>costs</w:t>
      </w:r>
      <w:r>
        <w:rPr>
          <w:i/>
          <w:iCs/>
        </w:rPr>
        <w:t xml:space="preserve"> </w:t>
      </w:r>
      <w:r w:rsidRPr="00B82B04">
        <w:rPr>
          <w:i/>
          <w:iCs/>
        </w:rPr>
        <w:t>include,</w:t>
      </w:r>
      <w:r>
        <w:rPr>
          <w:i/>
          <w:iCs/>
        </w:rPr>
        <w:t xml:space="preserve"> </w:t>
      </w:r>
      <w:r w:rsidRPr="00B82B04">
        <w:rPr>
          <w:i/>
          <w:iCs/>
        </w:rPr>
        <w:t>among</w:t>
      </w:r>
      <w:r>
        <w:rPr>
          <w:i/>
          <w:iCs/>
        </w:rPr>
        <w:t xml:space="preserve"> </w:t>
      </w:r>
      <w:r w:rsidRPr="00B82B04">
        <w:rPr>
          <w:i/>
          <w:iCs/>
        </w:rPr>
        <w:t>other</w:t>
      </w:r>
      <w:r>
        <w:rPr>
          <w:i/>
          <w:iCs/>
        </w:rPr>
        <w:t xml:space="preserve"> </w:t>
      </w:r>
      <w:r w:rsidRPr="00B82B04">
        <w:rPr>
          <w:i/>
          <w:iCs/>
        </w:rPr>
        <w:t>items,</w:t>
      </w:r>
      <w:r>
        <w:rPr>
          <w:i/>
          <w:iCs/>
        </w:rPr>
        <w:t xml:space="preserve"> </w:t>
      </w:r>
      <w:r w:rsidRPr="00B82B04">
        <w:rPr>
          <w:i/>
          <w:iCs/>
        </w:rPr>
        <w:t>preparations</w:t>
      </w:r>
      <w:r>
        <w:rPr>
          <w:i/>
          <w:iCs/>
        </w:rPr>
        <w:t xml:space="preserve"> </w:t>
      </w:r>
      <w:r w:rsidRPr="00B82B04">
        <w:rPr>
          <w:i/>
          <w:iCs/>
        </w:rPr>
        <w:t>for</w:t>
      </w:r>
      <w:r>
        <w:rPr>
          <w:i/>
          <w:iCs/>
        </w:rPr>
        <w:t xml:space="preserve"> </w:t>
      </w:r>
      <w:r w:rsidRPr="00B82B04">
        <w:rPr>
          <w:i/>
          <w:iCs/>
        </w:rPr>
        <w:t>collecting</w:t>
      </w:r>
      <w:r>
        <w:rPr>
          <w:i/>
          <w:iCs/>
        </w:rPr>
        <w:t xml:space="preserve"> </w:t>
      </w:r>
      <w:r w:rsidRPr="00B82B04">
        <w:rPr>
          <w:i/>
          <w:iCs/>
        </w:rPr>
        <w:t>information</w:t>
      </w:r>
      <w:r>
        <w:rPr>
          <w:i/>
          <w:iCs/>
        </w:rPr>
        <w:t xml:space="preserve"> </w:t>
      </w:r>
      <w:r w:rsidRPr="00B82B04">
        <w:rPr>
          <w:i/>
          <w:iCs/>
        </w:rPr>
        <w:t>such</w:t>
      </w:r>
      <w:r>
        <w:rPr>
          <w:i/>
          <w:iCs/>
        </w:rPr>
        <w:t xml:space="preserve"> </w:t>
      </w:r>
      <w:r w:rsidRPr="00B82B04">
        <w:rPr>
          <w:i/>
          <w:iCs/>
        </w:rPr>
        <w:t>as</w:t>
      </w:r>
      <w:r>
        <w:rPr>
          <w:i/>
          <w:iCs/>
        </w:rPr>
        <w:t xml:space="preserve"> </w:t>
      </w:r>
      <w:r w:rsidRPr="00B82B04">
        <w:rPr>
          <w:i/>
          <w:iCs/>
        </w:rPr>
        <w:t>purchasing</w:t>
      </w:r>
      <w:r>
        <w:rPr>
          <w:i/>
          <w:iCs/>
        </w:rPr>
        <w:t xml:space="preserve"> </w:t>
      </w:r>
      <w:r w:rsidRPr="00B82B04">
        <w:rPr>
          <w:i/>
          <w:iCs/>
        </w:rPr>
        <w:t>computers</w:t>
      </w:r>
      <w:r>
        <w:rPr>
          <w:i/>
          <w:iCs/>
        </w:rPr>
        <w:t xml:space="preserve"> </w:t>
      </w:r>
      <w:r w:rsidRPr="00B82B04">
        <w:rPr>
          <w:i/>
          <w:iCs/>
        </w:rPr>
        <w:t>and</w:t>
      </w:r>
      <w:r>
        <w:rPr>
          <w:i/>
          <w:iCs/>
        </w:rPr>
        <w:t xml:space="preserve"> </w:t>
      </w:r>
      <w:r w:rsidRPr="00B82B04">
        <w:rPr>
          <w:i/>
          <w:iCs/>
        </w:rPr>
        <w:t>software;</w:t>
      </w:r>
      <w:r>
        <w:rPr>
          <w:i/>
          <w:iCs/>
        </w:rPr>
        <w:t xml:space="preserve"> </w:t>
      </w:r>
      <w:r w:rsidRPr="00B82B04">
        <w:rPr>
          <w:i/>
          <w:iCs/>
        </w:rPr>
        <w:t>monitoring,</w:t>
      </w:r>
      <w:r>
        <w:rPr>
          <w:i/>
          <w:iCs/>
        </w:rPr>
        <w:t xml:space="preserve"> </w:t>
      </w:r>
      <w:r w:rsidRPr="00B82B04">
        <w:rPr>
          <w:i/>
          <w:iCs/>
        </w:rPr>
        <w:t>sampling,</w:t>
      </w:r>
      <w:r>
        <w:rPr>
          <w:i/>
          <w:iCs/>
        </w:rPr>
        <w:t xml:space="preserve"> </w:t>
      </w:r>
      <w:proofErr w:type="gramStart"/>
      <w:r w:rsidRPr="00B82B04">
        <w:rPr>
          <w:i/>
          <w:iCs/>
        </w:rPr>
        <w:t>drilling</w:t>
      </w:r>
      <w:proofErr w:type="gramEnd"/>
      <w:r>
        <w:rPr>
          <w:i/>
          <w:iCs/>
        </w:rPr>
        <w:t xml:space="preserve"> </w:t>
      </w:r>
      <w:r w:rsidRPr="00B82B04">
        <w:rPr>
          <w:i/>
          <w:iCs/>
        </w:rPr>
        <w:t>and</w:t>
      </w:r>
      <w:r>
        <w:rPr>
          <w:i/>
          <w:iCs/>
        </w:rPr>
        <w:t xml:space="preserve"> </w:t>
      </w:r>
      <w:r w:rsidRPr="00B82B04">
        <w:rPr>
          <w:i/>
          <w:iCs/>
        </w:rPr>
        <w:t>testing</w:t>
      </w:r>
      <w:r>
        <w:rPr>
          <w:i/>
          <w:iCs/>
        </w:rPr>
        <w:t xml:space="preserve"> </w:t>
      </w:r>
      <w:r w:rsidRPr="00B82B04">
        <w:rPr>
          <w:i/>
          <w:iCs/>
        </w:rPr>
        <w:t>equipment;</w:t>
      </w:r>
      <w:r>
        <w:rPr>
          <w:i/>
          <w:iCs/>
        </w:rPr>
        <w:t xml:space="preserve"> </w:t>
      </w:r>
      <w:r w:rsidRPr="00B82B04">
        <w:rPr>
          <w:i/>
          <w:iCs/>
        </w:rPr>
        <w:t>and</w:t>
      </w:r>
      <w:r>
        <w:rPr>
          <w:i/>
          <w:iCs/>
        </w:rPr>
        <w:t xml:space="preserve"> </w:t>
      </w:r>
      <w:r w:rsidRPr="00B82B04">
        <w:rPr>
          <w:i/>
          <w:iCs/>
        </w:rPr>
        <w:t>record</w:t>
      </w:r>
      <w:r>
        <w:rPr>
          <w:i/>
          <w:iCs/>
        </w:rPr>
        <w:t xml:space="preserve"> </w:t>
      </w:r>
      <w:r w:rsidRPr="00B82B04">
        <w:rPr>
          <w:i/>
          <w:iCs/>
        </w:rPr>
        <w:t>storage</w:t>
      </w:r>
      <w:r>
        <w:rPr>
          <w:i/>
          <w:iCs/>
        </w:rPr>
        <w:t xml:space="preserve"> </w:t>
      </w:r>
      <w:r w:rsidRPr="00B82B04">
        <w:rPr>
          <w:i/>
          <w:iCs/>
        </w:rPr>
        <w:t>facilities.</w:t>
      </w:r>
    </w:p>
    <w:p w:rsidRPr="00B82B04" w:rsidR="00F5259C" w:rsidP="00F5259C" w:rsidRDefault="00F5259C" w14:paraId="7D3DEBCF" w14:textId="77777777">
      <w:pPr>
        <w:numPr>
          <w:ilvl w:val="0"/>
          <w:numId w:val="19"/>
        </w:numPr>
        <w:tabs>
          <w:tab w:val="left" w:pos="360"/>
        </w:tabs>
        <w:spacing w:after="120"/>
        <w:ind w:left="360" w:hanging="270"/>
        <w:rPr>
          <w:i/>
          <w:iCs/>
        </w:rPr>
      </w:pPr>
      <w:r w:rsidRPr="00B82B04">
        <w:rPr>
          <w:i/>
          <w:iCs/>
        </w:rPr>
        <w:t>If</w:t>
      </w:r>
      <w:r>
        <w:rPr>
          <w:i/>
          <w:iCs/>
        </w:rPr>
        <w:t xml:space="preserve"> </w:t>
      </w:r>
      <w:r w:rsidRPr="00B82B04">
        <w:rPr>
          <w:i/>
          <w:iCs/>
        </w:rPr>
        <w:t>cost</w:t>
      </w:r>
      <w:r>
        <w:rPr>
          <w:i/>
          <w:iCs/>
        </w:rPr>
        <w:t xml:space="preserve"> </w:t>
      </w:r>
      <w:r w:rsidRPr="00B82B04">
        <w:rPr>
          <w:i/>
          <w:iCs/>
        </w:rPr>
        <w:t>estimates</w:t>
      </w:r>
      <w:r>
        <w:rPr>
          <w:i/>
          <w:iCs/>
        </w:rPr>
        <w:t xml:space="preserve"> </w:t>
      </w:r>
      <w:r w:rsidRPr="00B82B04">
        <w:rPr>
          <w:i/>
          <w:iCs/>
        </w:rPr>
        <w:t>are</w:t>
      </w:r>
      <w:r>
        <w:rPr>
          <w:i/>
          <w:iCs/>
        </w:rPr>
        <w:t xml:space="preserve"> </w:t>
      </w:r>
      <w:r w:rsidRPr="00B82B04">
        <w:rPr>
          <w:i/>
          <w:iCs/>
        </w:rPr>
        <w:t>expected</w:t>
      </w:r>
      <w:r>
        <w:rPr>
          <w:i/>
          <w:iCs/>
        </w:rPr>
        <w:t xml:space="preserve"> </w:t>
      </w:r>
      <w:r w:rsidRPr="00B82B04">
        <w:rPr>
          <w:i/>
          <w:iCs/>
        </w:rPr>
        <w:t>to</w:t>
      </w:r>
      <w:r>
        <w:rPr>
          <w:i/>
          <w:iCs/>
        </w:rPr>
        <w:t xml:space="preserve"> </w:t>
      </w:r>
      <w:r w:rsidRPr="00B82B04">
        <w:rPr>
          <w:i/>
          <w:iCs/>
        </w:rPr>
        <w:t>vary</w:t>
      </w:r>
      <w:r>
        <w:rPr>
          <w:i/>
          <w:iCs/>
        </w:rPr>
        <w:t xml:space="preserve"> </w:t>
      </w:r>
      <w:r w:rsidRPr="00B82B04">
        <w:rPr>
          <w:i/>
          <w:iCs/>
        </w:rPr>
        <w:t>widely,</w:t>
      </w:r>
      <w:r>
        <w:rPr>
          <w:i/>
          <w:iCs/>
        </w:rPr>
        <w:t xml:space="preserve"> </w:t>
      </w:r>
      <w:r w:rsidRPr="00B82B04">
        <w:rPr>
          <w:i/>
          <w:iCs/>
        </w:rPr>
        <w:t>agencies</w:t>
      </w:r>
      <w:r>
        <w:rPr>
          <w:i/>
          <w:iCs/>
        </w:rPr>
        <w:t xml:space="preserve"> </w:t>
      </w:r>
      <w:r w:rsidRPr="00B82B04">
        <w:rPr>
          <w:i/>
          <w:iCs/>
        </w:rPr>
        <w:t>should</w:t>
      </w:r>
      <w:r>
        <w:rPr>
          <w:i/>
          <w:iCs/>
        </w:rPr>
        <w:t xml:space="preserve"> </w:t>
      </w:r>
      <w:r w:rsidRPr="00B82B04">
        <w:rPr>
          <w:i/>
          <w:iCs/>
        </w:rPr>
        <w:t>present</w:t>
      </w:r>
      <w:r>
        <w:rPr>
          <w:i/>
          <w:iCs/>
        </w:rPr>
        <w:t xml:space="preserve"> </w:t>
      </w:r>
      <w:r w:rsidRPr="00B82B04">
        <w:rPr>
          <w:i/>
          <w:iCs/>
        </w:rPr>
        <w:t>ranges</w:t>
      </w:r>
      <w:r>
        <w:rPr>
          <w:i/>
          <w:iCs/>
        </w:rPr>
        <w:t xml:space="preserve"> </w:t>
      </w:r>
      <w:r w:rsidRPr="00B82B04">
        <w:rPr>
          <w:i/>
          <w:iCs/>
        </w:rPr>
        <w:t>of</w:t>
      </w:r>
      <w:r>
        <w:rPr>
          <w:i/>
          <w:iCs/>
        </w:rPr>
        <w:t xml:space="preserve"> </w:t>
      </w:r>
      <w:r w:rsidRPr="00B82B04">
        <w:rPr>
          <w:i/>
          <w:iCs/>
        </w:rPr>
        <w:t>cost</w:t>
      </w:r>
      <w:r>
        <w:rPr>
          <w:i/>
          <w:iCs/>
        </w:rPr>
        <w:t xml:space="preserve"> </w:t>
      </w:r>
      <w:r w:rsidRPr="00B82B04">
        <w:rPr>
          <w:i/>
          <w:iCs/>
        </w:rPr>
        <w:t>burdens</w:t>
      </w:r>
      <w:r>
        <w:rPr>
          <w:i/>
          <w:iCs/>
        </w:rPr>
        <w:t xml:space="preserve"> </w:t>
      </w:r>
      <w:r w:rsidRPr="00B82B04">
        <w:rPr>
          <w:i/>
          <w:iCs/>
        </w:rPr>
        <w:t>and</w:t>
      </w:r>
      <w:r>
        <w:rPr>
          <w:i/>
          <w:iCs/>
        </w:rPr>
        <w:t xml:space="preserve"> </w:t>
      </w:r>
      <w:r w:rsidRPr="00B82B04">
        <w:rPr>
          <w:i/>
          <w:iCs/>
        </w:rPr>
        <w:t>explain</w:t>
      </w:r>
      <w:r>
        <w:rPr>
          <w:i/>
          <w:iCs/>
        </w:rPr>
        <w:t xml:space="preserve"> </w:t>
      </w:r>
      <w:r w:rsidRPr="00B82B04">
        <w:rPr>
          <w:i/>
          <w:iCs/>
        </w:rPr>
        <w:t>the</w:t>
      </w:r>
      <w:r>
        <w:rPr>
          <w:i/>
          <w:iCs/>
        </w:rPr>
        <w:t xml:space="preserve"> </w:t>
      </w:r>
      <w:r w:rsidRPr="00B82B04">
        <w:rPr>
          <w:i/>
          <w:iCs/>
        </w:rPr>
        <w:t>reasons</w:t>
      </w:r>
      <w:r>
        <w:rPr>
          <w:i/>
          <w:iCs/>
        </w:rPr>
        <w:t xml:space="preserve"> </w:t>
      </w:r>
      <w:r w:rsidRPr="00B82B04">
        <w:rPr>
          <w:i/>
          <w:iCs/>
        </w:rPr>
        <w:t>for</w:t>
      </w:r>
      <w:r>
        <w:rPr>
          <w:i/>
          <w:iCs/>
        </w:rPr>
        <w:t xml:space="preserve"> </w:t>
      </w:r>
      <w:r w:rsidRPr="00B82B04">
        <w:rPr>
          <w:i/>
          <w:iCs/>
        </w:rPr>
        <w:t>the</w:t>
      </w:r>
      <w:r>
        <w:rPr>
          <w:i/>
          <w:iCs/>
        </w:rPr>
        <w:t xml:space="preserve"> </w:t>
      </w:r>
      <w:r w:rsidRPr="00B82B04">
        <w:rPr>
          <w:i/>
          <w:iCs/>
        </w:rPr>
        <w:t>variance.</w:t>
      </w:r>
      <w:r>
        <w:rPr>
          <w:i/>
          <w:iCs/>
        </w:rPr>
        <w:t xml:space="preserve"> </w:t>
      </w:r>
      <w:r w:rsidRPr="00B82B04">
        <w:rPr>
          <w:i/>
          <w:iCs/>
        </w:rPr>
        <w:t>The</w:t>
      </w:r>
      <w:r>
        <w:rPr>
          <w:i/>
          <w:iCs/>
        </w:rPr>
        <w:t xml:space="preserve"> </w:t>
      </w:r>
      <w:r w:rsidRPr="00B82B04">
        <w:rPr>
          <w:i/>
          <w:iCs/>
        </w:rPr>
        <w:t>cost</w:t>
      </w:r>
      <w:r>
        <w:rPr>
          <w:i/>
          <w:iCs/>
        </w:rPr>
        <w:t xml:space="preserve"> </w:t>
      </w:r>
      <w:r w:rsidRPr="00B82B04">
        <w:rPr>
          <w:i/>
          <w:iCs/>
        </w:rPr>
        <w:t>of</w:t>
      </w:r>
      <w:r>
        <w:rPr>
          <w:i/>
          <w:iCs/>
        </w:rPr>
        <w:t xml:space="preserve"> </w:t>
      </w:r>
      <w:r w:rsidRPr="00B82B04">
        <w:rPr>
          <w:i/>
          <w:iCs/>
        </w:rPr>
        <w:t>purchasing</w:t>
      </w:r>
      <w:r>
        <w:rPr>
          <w:i/>
          <w:iCs/>
        </w:rPr>
        <w:t xml:space="preserve"> </w:t>
      </w:r>
      <w:r w:rsidRPr="00B82B04">
        <w:rPr>
          <w:i/>
          <w:iCs/>
        </w:rPr>
        <w:t>or</w:t>
      </w:r>
      <w:r>
        <w:rPr>
          <w:i/>
          <w:iCs/>
        </w:rPr>
        <w:t xml:space="preserve"> </w:t>
      </w:r>
      <w:r w:rsidRPr="00B82B04">
        <w:rPr>
          <w:i/>
          <w:iCs/>
        </w:rPr>
        <w:t>contracting</w:t>
      </w:r>
      <w:r>
        <w:rPr>
          <w:i/>
          <w:iCs/>
        </w:rPr>
        <w:t xml:space="preserve"> </w:t>
      </w:r>
      <w:r w:rsidRPr="00B82B04">
        <w:rPr>
          <w:i/>
          <w:iCs/>
        </w:rPr>
        <w:t>out</w:t>
      </w:r>
      <w:r>
        <w:rPr>
          <w:i/>
          <w:iCs/>
        </w:rPr>
        <w:t xml:space="preserve"> </w:t>
      </w:r>
      <w:r w:rsidRPr="00B82B04">
        <w:rPr>
          <w:i/>
          <w:iCs/>
        </w:rPr>
        <w:t>information</w:t>
      </w:r>
      <w:r>
        <w:rPr>
          <w:i/>
          <w:iCs/>
        </w:rPr>
        <w:t xml:space="preserve"> </w:t>
      </w:r>
      <w:r w:rsidRPr="00B82B04">
        <w:rPr>
          <w:i/>
          <w:iCs/>
        </w:rPr>
        <w:t>collection</w:t>
      </w:r>
      <w:r>
        <w:rPr>
          <w:i/>
          <w:iCs/>
        </w:rPr>
        <w:t xml:space="preserve"> </w:t>
      </w:r>
      <w:r w:rsidRPr="00B82B04">
        <w:rPr>
          <w:i/>
          <w:iCs/>
        </w:rPr>
        <w:t>services</w:t>
      </w:r>
      <w:r>
        <w:rPr>
          <w:i/>
          <w:iCs/>
        </w:rPr>
        <w:t xml:space="preserve"> </w:t>
      </w:r>
      <w:r w:rsidRPr="00B82B04">
        <w:rPr>
          <w:i/>
          <w:iCs/>
        </w:rPr>
        <w:t>should</w:t>
      </w:r>
      <w:r>
        <w:rPr>
          <w:i/>
          <w:iCs/>
        </w:rPr>
        <w:t xml:space="preserve"> </w:t>
      </w:r>
      <w:r w:rsidRPr="00B82B04">
        <w:rPr>
          <w:i/>
          <w:iCs/>
        </w:rPr>
        <w:t>be</w:t>
      </w:r>
      <w:r>
        <w:rPr>
          <w:i/>
          <w:iCs/>
        </w:rPr>
        <w:t xml:space="preserve"> </w:t>
      </w:r>
      <w:r w:rsidRPr="00B82B04">
        <w:rPr>
          <w:i/>
          <w:iCs/>
        </w:rPr>
        <w:t>a</w:t>
      </w:r>
      <w:r>
        <w:rPr>
          <w:i/>
          <w:iCs/>
        </w:rPr>
        <w:t xml:space="preserve"> </w:t>
      </w:r>
      <w:r w:rsidRPr="00B82B04">
        <w:rPr>
          <w:i/>
          <w:iCs/>
        </w:rPr>
        <w:t>part</w:t>
      </w:r>
      <w:r>
        <w:rPr>
          <w:i/>
          <w:iCs/>
        </w:rPr>
        <w:t xml:space="preserve"> </w:t>
      </w:r>
      <w:r w:rsidRPr="00B82B04">
        <w:rPr>
          <w:i/>
          <w:iCs/>
        </w:rPr>
        <w:t>of</w:t>
      </w:r>
      <w:r>
        <w:rPr>
          <w:i/>
          <w:iCs/>
        </w:rPr>
        <w:t xml:space="preserve"> </w:t>
      </w:r>
      <w:r w:rsidRPr="00B82B04">
        <w:rPr>
          <w:i/>
          <w:iCs/>
        </w:rPr>
        <w:t>this</w:t>
      </w:r>
      <w:r>
        <w:rPr>
          <w:i/>
          <w:iCs/>
        </w:rPr>
        <w:t xml:space="preserve"> </w:t>
      </w:r>
      <w:r w:rsidRPr="00B82B04">
        <w:rPr>
          <w:i/>
          <w:iCs/>
        </w:rPr>
        <w:t>cost</w:t>
      </w:r>
      <w:r>
        <w:rPr>
          <w:i/>
          <w:iCs/>
        </w:rPr>
        <w:t xml:space="preserve"> </w:t>
      </w:r>
      <w:r w:rsidRPr="00B82B04">
        <w:rPr>
          <w:i/>
          <w:iCs/>
        </w:rPr>
        <w:t>burden</w:t>
      </w:r>
      <w:r>
        <w:rPr>
          <w:i/>
          <w:iCs/>
        </w:rPr>
        <w:t xml:space="preserve"> </w:t>
      </w:r>
      <w:r w:rsidRPr="00B82B04">
        <w:rPr>
          <w:i/>
          <w:iCs/>
        </w:rPr>
        <w:t>estimate.</w:t>
      </w:r>
      <w:r>
        <w:rPr>
          <w:i/>
          <w:iCs/>
        </w:rPr>
        <w:t xml:space="preserve"> </w:t>
      </w:r>
      <w:r w:rsidRPr="00B82B04">
        <w:rPr>
          <w:i/>
          <w:iCs/>
        </w:rPr>
        <w:t>In</w:t>
      </w:r>
      <w:r>
        <w:rPr>
          <w:i/>
          <w:iCs/>
        </w:rPr>
        <w:t xml:space="preserve"> </w:t>
      </w:r>
      <w:r w:rsidRPr="00B82B04">
        <w:rPr>
          <w:i/>
          <w:iCs/>
        </w:rPr>
        <w:t>developing</w:t>
      </w:r>
      <w:r>
        <w:rPr>
          <w:i/>
          <w:iCs/>
        </w:rPr>
        <w:t xml:space="preserve"> </w:t>
      </w:r>
      <w:r w:rsidRPr="00B82B04">
        <w:rPr>
          <w:i/>
          <w:iCs/>
        </w:rPr>
        <w:t>cost</w:t>
      </w:r>
      <w:r>
        <w:rPr>
          <w:i/>
          <w:iCs/>
        </w:rPr>
        <w:t xml:space="preserve"> </w:t>
      </w:r>
      <w:r w:rsidRPr="00B82B04">
        <w:rPr>
          <w:i/>
          <w:iCs/>
        </w:rPr>
        <w:t>burden</w:t>
      </w:r>
      <w:r>
        <w:rPr>
          <w:i/>
          <w:iCs/>
        </w:rPr>
        <w:t xml:space="preserve"> </w:t>
      </w:r>
      <w:r w:rsidRPr="00B82B04">
        <w:rPr>
          <w:i/>
          <w:iCs/>
        </w:rPr>
        <w:t>estimates,</w:t>
      </w:r>
      <w:r>
        <w:rPr>
          <w:i/>
          <w:iCs/>
        </w:rPr>
        <w:t xml:space="preserve"> </w:t>
      </w:r>
      <w:r w:rsidRPr="00B82B04">
        <w:rPr>
          <w:i/>
          <w:iCs/>
        </w:rPr>
        <w:t>agencies</w:t>
      </w:r>
      <w:r>
        <w:rPr>
          <w:i/>
          <w:iCs/>
        </w:rPr>
        <w:t xml:space="preserve"> </w:t>
      </w:r>
      <w:r w:rsidRPr="00B82B04">
        <w:rPr>
          <w:i/>
          <w:iCs/>
        </w:rPr>
        <w:t>may</w:t>
      </w:r>
      <w:r>
        <w:rPr>
          <w:i/>
          <w:iCs/>
        </w:rPr>
        <w:t xml:space="preserve"> </w:t>
      </w:r>
      <w:r w:rsidRPr="00B82B04">
        <w:rPr>
          <w:i/>
          <w:iCs/>
        </w:rPr>
        <w:t>consult</w:t>
      </w:r>
      <w:r>
        <w:rPr>
          <w:i/>
          <w:iCs/>
        </w:rPr>
        <w:t xml:space="preserve"> </w:t>
      </w:r>
      <w:r w:rsidRPr="00B82B04">
        <w:rPr>
          <w:i/>
          <w:iCs/>
        </w:rPr>
        <w:t>with</w:t>
      </w:r>
      <w:r>
        <w:rPr>
          <w:i/>
          <w:iCs/>
        </w:rPr>
        <w:t xml:space="preserve"> </w:t>
      </w:r>
      <w:r w:rsidRPr="00B82B04">
        <w:rPr>
          <w:i/>
          <w:iCs/>
        </w:rPr>
        <w:t>a</w:t>
      </w:r>
      <w:r>
        <w:rPr>
          <w:i/>
          <w:iCs/>
        </w:rPr>
        <w:t xml:space="preserve"> </w:t>
      </w:r>
      <w:r w:rsidRPr="00B82B04">
        <w:rPr>
          <w:i/>
          <w:iCs/>
        </w:rPr>
        <w:t>sample</w:t>
      </w:r>
      <w:r>
        <w:rPr>
          <w:i/>
          <w:iCs/>
        </w:rPr>
        <w:t xml:space="preserve"> </w:t>
      </w:r>
      <w:r w:rsidRPr="00B82B04">
        <w:rPr>
          <w:i/>
          <w:iCs/>
        </w:rPr>
        <w:t>of</w:t>
      </w:r>
      <w:r>
        <w:rPr>
          <w:i/>
          <w:iCs/>
        </w:rPr>
        <w:t xml:space="preserve"> </w:t>
      </w:r>
      <w:r w:rsidRPr="00B82B04">
        <w:rPr>
          <w:i/>
          <w:iCs/>
        </w:rPr>
        <w:t>respondents</w:t>
      </w:r>
      <w:r>
        <w:rPr>
          <w:i/>
          <w:iCs/>
        </w:rPr>
        <w:t xml:space="preserve"> </w:t>
      </w:r>
      <w:r w:rsidRPr="00B82B04">
        <w:rPr>
          <w:i/>
          <w:iCs/>
        </w:rPr>
        <w:t>(fewer</w:t>
      </w:r>
      <w:r>
        <w:rPr>
          <w:i/>
          <w:iCs/>
        </w:rPr>
        <w:t xml:space="preserve"> </w:t>
      </w:r>
      <w:r w:rsidRPr="00B82B04">
        <w:rPr>
          <w:i/>
          <w:iCs/>
        </w:rPr>
        <w:t>than</w:t>
      </w:r>
      <w:r>
        <w:rPr>
          <w:i/>
          <w:iCs/>
        </w:rPr>
        <w:t xml:space="preserve"> </w:t>
      </w:r>
      <w:r w:rsidRPr="00B82B04">
        <w:rPr>
          <w:i/>
          <w:iCs/>
        </w:rPr>
        <w:t>10),</w:t>
      </w:r>
      <w:r>
        <w:rPr>
          <w:i/>
          <w:iCs/>
        </w:rPr>
        <w:t xml:space="preserve"> </w:t>
      </w:r>
      <w:r w:rsidRPr="00B82B04">
        <w:rPr>
          <w:i/>
          <w:iCs/>
        </w:rPr>
        <w:t>utilize</w:t>
      </w:r>
      <w:r>
        <w:rPr>
          <w:i/>
          <w:iCs/>
        </w:rPr>
        <w:t xml:space="preserve"> </w:t>
      </w:r>
      <w:r w:rsidRPr="00B82B04">
        <w:rPr>
          <w:i/>
          <w:iCs/>
        </w:rPr>
        <w:t>the</w:t>
      </w:r>
      <w:r>
        <w:rPr>
          <w:i/>
          <w:iCs/>
        </w:rPr>
        <w:t xml:space="preserve"> </w:t>
      </w:r>
      <w:r w:rsidRPr="00B82B04">
        <w:rPr>
          <w:i/>
          <w:iCs/>
        </w:rPr>
        <w:t>60-day</w:t>
      </w:r>
      <w:r>
        <w:rPr>
          <w:i/>
          <w:iCs/>
        </w:rPr>
        <w:t xml:space="preserve"> </w:t>
      </w:r>
      <w:r w:rsidRPr="00B82B04">
        <w:rPr>
          <w:i/>
          <w:iCs/>
        </w:rPr>
        <w:t>pre-OMB</w:t>
      </w:r>
      <w:r>
        <w:rPr>
          <w:i/>
          <w:iCs/>
        </w:rPr>
        <w:t xml:space="preserve"> </w:t>
      </w:r>
      <w:r w:rsidRPr="00B82B04">
        <w:rPr>
          <w:i/>
          <w:iCs/>
        </w:rPr>
        <w:t>submission</w:t>
      </w:r>
      <w:r>
        <w:rPr>
          <w:i/>
          <w:iCs/>
        </w:rPr>
        <w:t xml:space="preserve"> </w:t>
      </w:r>
      <w:r w:rsidRPr="00B82B04">
        <w:rPr>
          <w:i/>
          <w:iCs/>
        </w:rPr>
        <w:t>public</w:t>
      </w:r>
      <w:r>
        <w:rPr>
          <w:i/>
          <w:iCs/>
        </w:rPr>
        <w:t xml:space="preserve"> </w:t>
      </w:r>
      <w:r w:rsidRPr="00B82B04">
        <w:rPr>
          <w:i/>
          <w:iCs/>
        </w:rPr>
        <w:t>comment</w:t>
      </w:r>
      <w:r>
        <w:rPr>
          <w:i/>
          <w:iCs/>
        </w:rPr>
        <w:t xml:space="preserve"> </w:t>
      </w:r>
      <w:proofErr w:type="gramStart"/>
      <w:r w:rsidRPr="00B82B04">
        <w:rPr>
          <w:i/>
          <w:iCs/>
        </w:rPr>
        <w:t>process</w:t>
      </w:r>
      <w:proofErr w:type="gramEnd"/>
      <w:r>
        <w:rPr>
          <w:i/>
          <w:iCs/>
        </w:rPr>
        <w:t xml:space="preserve"> </w:t>
      </w:r>
      <w:r w:rsidRPr="00B82B04">
        <w:rPr>
          <w:i/>
          <w:iCs/>
        </w:rPr>
        <w:t>and</w:t>
      </w:r>
      <w:r>
        <w:rPr>
          <w:i/>
          <w:iCs/>
        </w:rPr>
        <w:t xml:space="preserve"> </w:t>
      </w:r>
      <w:r w:rsidRPr="00B82B04">
        <w:rPr>
          <w:i/>
          <w:iCs/>
        </w:rPr>
        <w:t>use</w:t>
      </w:r>
      <w:r>
        <w:rPr>
          <w:i/>
          <w:iCs/>
        </w:rPr>
        <w:t xml:space="preserve"> </w:t>
      </w:r>
      <w:r w:rsidRPr="00B82B04">
        <w:rPr>
          <w:i/>
          <w:iCs/>
        </w:rPr>
        <w:t>existing</w:t>
      </w:r>
      <w:r>
        <w:rPr>
          <w:i/>
          <w:iCs/>
        </w:rPr>
        <w:t xml:space="preserve"> </w:t>
      </w:r>
      <w:r w:rsidRPr="00B82B04">
        <w:rPr>
          <w:i/>
          <w:iCs/>
        </w:rPr>
        <w:t>economic</w:t>
      </w:r>
      <w:r>
        <w:rPr>
          <w:i/>
          <w:iCs/>
        </w:rPr>
        <w:t xml:space="preserve"> </w:t>
      </w:r>
      <w:r w:rsidRPr="00B82B04">
        <w:rPr>
          <w:i/>
          <w:iCs/>
        </w:rPr>
        <w:t>or</w:t>
      </w:r>
      <w:r>
        <w:rPr>
          <w:i/>
          <w:iCs/>
        </w:rPr>
        <w:t xml:space="preserve"> </w:t>
      </w:r>
      <w:r w:rsidRPr="00B82B04">
        <w:rPr>
          <w:i/>
          <w:iCs/>
        </w:rPr>
        <w:t>regulatory</w:t>
      </w:r>
      <w:r>
        <w:rPr>
          <w:i/>
          <w:iCs/>
        </w:rPr>
        <w:t xml:space="preserve"> </w:t>
      </w:r>
      <w:r w:rsidRPr="00B82B04">
        <w:rPr>
          <w:i/>
          <w:iCs/>
        </w:rPr>
        <w:t>impact</w:t>
      </w:r>
      <w:r>
        <w:rPr>
          <w:i/>
          <w:iCs/>
        </w:rPr>
        <w:t xml:space="preserve"> </w:t>
      </w:r>
      <w:r w:rsidRPr="00B82B04">
        <w:rPr>
          <w:i/>
          <w:iCs/>
        </w:rPr>
        <w:t>analysis</w:t>
      </w:r>
      <w:r>
        <w:rPr>
          <w:i/>
          <w:iCs/>
        </w:rPr>
        <w:t xml:space="preserve"> </w:t>
      </w:r>
      <w:r w:rsidRPr="00B82B04">
        <w:rPr>
          <w:i/>
          <w:iCs/>
        </w:rPr>
        <w:t>associated</w:t>
      </w:r>
      <w:r>
        <w:rPr>
          <w:i/>
          <w:iCs/>
        </w:rPr>
        <w:t xml:space="preserve"> </w:t>
      </w:r>
      <w:r w:rsidRPr="00B82B04">
        <w:rPr>
          <w:i/>
          <w:iCs/>
        </w:rPr>
        <w:t>with</w:t>
      </w:r>
      <w:r>
        <w:rPr>
          <w:i/>
          <w:iCs/>
        </w:rPr>
        <w:t xml:space="preserve"> </w:t>
      </w:r>
      <w:r w:rsidRPr="00B82B04">
        <w:rPr>
          <w:i/>
          <w:iCs/>
        </w:rPr>
        <w:t>the</w:t>
      </w:r>
      <w:r>
        <w:rPr>
          <w:i/>
          <w:iCs/>
        </w:rPr>
        <w:t xml:space="preserve"> </w:t>
      </w:r>
      <w:r w:rsidRPr="00B82B04">
        <w:rPr>
          <w:i/>
          <w:iCs/>
        </w:rPr>
        <w:t>rulemaking</w:t>
      </w:r>
      <w:r>
        <w:rPr>
          <w:i/>
          <w:iCs/>
        </w:rPr>
        <w:t xml:space="preserve"> </w:t>
      </w:r>
      <w:r w:rsidRPr="00B82B04">
        <w:rPr>
          <w:i/>
          <w:iCs/>
        </w:rPr>
        <w:t>containing</w:t>
      </w:r>
      <w:r>
        <w:rPr>
          <w:i/>
          <w:iCs/>
        </w:rPr>
        <w:t xml:space="preserve"> </w:t>
      </w:r>
      <w:r w:rsidRPr="00B82B04">
        <w:rPr>
          <w:i/>
          <w:iCs/>
        </w:rPr>
        <w:t>the</w:t>
      </w:r>
      <w:r>
        <w:rPr>
          <w:i/>
          <w:iCs/>
        </w:rPr>
        <w:t xml:space="preserve"> </w:t>
      </w:r>
      <w:r w:rsidRPr="00B82B04">
        <w:rPr>
          <w:i/>
          <w:iCs/>
        </w:rPr>
        <w:t>information</w:t>
      </w:r>
      <w:r>
        <w:rPr>
          <w:i/>
          <w:iCs/>
        </w:rPr>
        <w:t xml:space="preserve"> </w:t>
      </w:r>
      <w:r w:rsidRPr="00B82B04">
        <w:rPr>
          <w:i/>
          <w:iCs/>
        </w:rPr>
        <w:t>collection,</w:t>
      </w:r>
      <w:r>
        <w:rPr>
          <w:i/>
          <w:iCs/>
        </w:rPr>
        <w:t xml:space="preserve"> </w:t>
      </w:r>
      <w:r w:rsidRPr="00B82B04">
        <w:rPr>
          <w:i/>
          <w:iCs/>
        </w:rPr>
        <w:t>as</w:t>
      </w:r>
      <w:r>
        <w:rPr>
          <w:i/>
          <w:iCs/>
        </w:rPr>
        <w:t xml:space="preserve"> </w:t>
      </w:r>
      <w:r w:rsidRPr="00B82B04">
        <w:rPr>
          <w:i/>
          <w:iCs/>
        </w:rPr>
        <w:t>appropriate.</w:t>
      </w:r>
    </w:p>
    <w:p w:rsidRPr="00B82B04" w:rsidR="00F5259C" w:rsidP="00F5259C" w:rsidRDefault="00F5259C" w14:paraId="4B8C5198" w14:textId="77777777">
      <w:pPr>
        <w:numPr>
          <w:ilvl w:val="0"/>
          <w:numId w:val="19"/>
        </w:numPr>
        <w:tabs>
          <w:tab w:val="left" w:pos="360"/>
        </w:tabs>
        <w:spacing w:after="240"/>
        <w:ind w:left="360" w:hanging="274"/>
        <w:rPr>
          <w:i/>
          <w:iCs/>
        </w:rPr>
      </w:pPr>
      <w:r w:rsidRPr="00B82B04">
        <w:rPr>
          <w:i/>
          <w:iCs/>
        </w:rPr>
        <w:t>Generally,</w:t>
      </w:r>
      <w:r>
        <w:rPr>
          <w:i/>
          <w:iCs/>
        </w:rPr>
        <w:t xml:space="preserve"> </w:t>
      </w:r>
      <w:r w:rsidRPr="00B82B04">
        <w:rPr>
          <w:i/>
          <w:iCs/>
        </w:rPr>
        <w:t>estimates</w:t>
      </w:r>
      <w:r>
        <w:rPr>
          <w:i/>
          <w:iCs/>
        </w:rPr>
        <w:t xml:space="preserve"> </w:t>
      </w:r>
      <w:r w:rsidRPr="00B82B04">
        <w:rPr>
          <w:i/>
          <w:iCs/>
        </w:rPr>
        <w:t>should</w:t>
      </w:r>
      <w:r>
        <w:rPr>
          <w:i/>
          <w:iCs/>
        </w:rPr>
        <w:t xml:space="preserve"> </w:t>
      </w:r>
      <w:r w:rsidRPr="00B82B04">
        <w:rPr>
          <w:i/>
          <w:iCs/>
        </w:rPr>
        <w:t>not</w:t>
      </w:r>
      <w:r>
        <w:rPr>
          <w:i/>
          <w:iCs/>
        </w:rPr>
        <w:t xml:space="preserve"> </w:t>
      </w:r>
      <w:r w:rsidRPr="00B82B04">
        <w:rPr>
          <w:i/>
          <w:iCs/>
        </w:rPr>
        <w:t>include</w:t>
      </w:r>
      <w:r>
        <w:rPr>
          <w:i/>
          <w:iCs/>
        </w:rPr>
        <w:t xml:space="preserve"> </w:t>
      </w:r>
      <w:r w:rsidRPr="00B82B04">
        <w:rPr>
          <w:i/>
          <w:iCs/>
        </w:rPr>
        <w:t>purchases</w:t>
      </w:r>
      <w:r>
        <w:rPr>
          <w:i/>
          <w:iCs/>
        </w:rPr>
        <w:t xml:space="preserve"> </w:t>
      </w:r>
      <w:r w:rsidRPr="00B82B04">
        <w:rPr>
          <w:i/>
          <w:iCs/>
        </w:rPr>
        <w:t>of</w:t>
      </w:r>
      <w:r>
        <w:rPr>
          <w:i/>
          <w:iCs/>
        </w:rPr>
        <w:t xml:space="preserve"> </w:t>
      </w:r>
      <w:r w:rsidRPr="00B82B04">
        <w:rPr>
          <w:i/>
          <w:iCs/>
        </w:rPr>
        <w:t>equipment</w:t>
      </w:r>
      <w:r>
        <w:rPr>
          <w:i/>
          <w:iCs/>
        </w:rPr>
        <w:t xml:space="preserve"> </w:t>
      </w:r>
      <w:r w:rsidRPr="00B82B04">
        <w:rPr>
          <w:i/>
          <w:iCs/>
        </w:rPr>
        <w:t>or</w:t>
      </w:r>
      <w:r>
        <w:rPr>
          <w:i/>
          <w:iCs/>
        </w:rPr>
        <w:t xml:space="preserve"> </w:t>
      </w:r>
      <w:r w:rsidRPr="00B82B04">
        <w:rPr>
          <w:i/>
          <w:iCs/>
        </w:rPr>
        <w:t>services,</w:t>
      </w:r>
      <w:r>
        <w:rPr>
          <w:i/>
          <w:iCs/>
        </w:rPr>
        <w:t xml:space="preserve"> </w:t>
      </w:r>
      <w:r w:rsidRPr="00B82B04">
        <w:rPr>
          <w:i/>
          <w:iCs/>
        </w:rPr>
        <w:t>or</w:t>
      </w:r>
      <w:r>
        <w:rPr>
          <w:i/>
          <w:iCs/>
        </w:rPr>
        <w:t xml:space="preserve"> </w:t>
      </w:r>
      <w:r w:rsidRPr="00B82B04">
        <w:rPr>
          <w:i/>
          <w:iCs/>
        </w:rPr>
        <w:t>portions</w:t>
      </w:r>
      <w:r>
        <w:rPr>
          <w:i/>
          <w:iCs/>
        </w:rPr>
        <w:t xml:space="preserve"> </w:t>
      </w:r>
      <w:r w:rsidRPr="00B82B04">
        <w:rPr>
          <w:i/>
          <w:iCs/>
        </w:rPr>
        <w:t>thereof,</w:t>
      </w:r>
      <w:r>
        <w:rPr>
          <w:i/>
          <w:iCs/>
        </w:rPr>
        <w:t xml:space="preserve"> </w:t>
      </w:r>
      <w:r w:rsidRPr="00B82B04">
        <w:rPr>
          <w:i/>
          <w:iCs/>
        </w:rPr>
        <w:t>made:</w:t>
      </w:r>
      <w:r>
        <w:rPr>
          <w:i/>
          <w:iCs/>
        </w:rPr>
        <w:t xml:space="preserve"> </w:t>
      </w:r>
      <w:r w:rsidRPr="00B82B04">
        <w:rPr>
          <w:i/>
          <w:iCs/>
        </w:rPr>
        <w:t>(1)</w:t>
      </w:r>
      <w:r>
        <w:rPr>
          <w:i/>
          <w:iCs/>
        </w:rPr>
        <w:t xml:space="preserve"> </w:t>
      </w:r>
      <w:r w:rsidRPr="00B82B04">
        <w:rPr>
          <w:i/>
          <w:iCs/>
        </w:rPr>
        <w:t>prior</w:t>
      </w:r>
      <w:r>
        <w:rPr>
          <w:i/>
          <w:iCs/>
        </w:rPr>
        <w:t xml:space="preserve"> </w:t>
      </w:r>
      <w:r w:rsidRPr="00B82B04">
        <w:rPr>
          <w:i/>
          <w:iCs/>
        </w:rPr>
        <w:t>to</w:t>
      </w:r>
      <w:r>
        <w:rPr>
          <w:i/>
          <w:iCs/>
        </w:rPr>
        <w:t xml:space="preserve"> </w:t>
      </w:r>
      <w:r w:rsidRPr="00B82B04">
        <w:rPr>
          <w:i/>
          <w:iCs/>
        </w:rPr>
        <w:t>October</w:t>
      </w:r>
      <w:r>
        <w:rPr>
          <w:i/>
          <w:iCs/>
        </w:rPr>
        <w:t xml:space="preserve"> </w:t>
      </w:r>
      <w:r w:rsidRPr="00B82B04">
        <w:rPr>
          <w:i/>
          <w:iCs/>
        </w:rPr>
        <w:t>1,</w:t>
      </w:r>
      <w:r>
        <w:rPr>
          <w:i/>
          <w:iCs/>
        </w:rPr>
        <w:t xml:space="preserve"> </w:t>
      </w:r>
      <w:r w:rsidRPr="00B82B04">
        <w:rPr>
          <w:i/>
          <w:iCs/>
        </w:rPr>
        <w:t>1995,</w:t>
      </w:r>
      <w:r>
        <w:rPr>
          <w:i/>
          <w:iCs/>
        </w:rPr>
        <w:t xml:space="preserve"> </w:t>
      </w:r>
      <w:r w:rsidRPr="00B82B04">
        <w:rPr>
          <w:i/>
          <w:iCs/>
        </w:rPr>
        <w:t>(2)</w:t>
      </w:r>
      <w:r>
        <w:rPr>
          <w:i/>
          <w:iCs/>
        </w:rPr>
        <w:t xml:space="preserve"> </w:t>
      </w:r>
      <w:r w:rsidRPr="00B82B04">
        <w:rPr>
          <w:i/>
          <w:iCs/>
        </w:rPr>
        <w:t>to</w:t>
      </w:r>
      <w:r>
        <w:rPr>
          <w:i/>
          <w:iCs/>
        </w:rPr>
        <w:t xml:space="preserve"> </w:t>
      </w:r>
      <w:r w:rsidRPr="00B82B04">
        <w:rPr>
          <w:i/>
          <w:iCs/>
        </w:rPr>
        <w:t>achieve</w:t>
      </w:r>
      <w:r>
        <w:rPr>
          <w:i/>
          <w:iCs/>
        </w:rPr>
        <w:t xml:space="preserve"> </w:t>
      </w:r>
      <w:r w:rsidRPr="00B82B04">
        <w:rPr>
          <w:i/>
          <w:iCs/>
        </w:rPr>
        <w:t>regulatory</w:t>
      </w:r>
      <w:r>
        <w:rPr>
          <w:i/>
          <w:iCs/>
        </w:rPr>
        <w:t xml:space="preserve"> </w:t>
      </w:r>
      <w:r w:rsidRPr="00B82B04">
        <w:rPr>
          <w:i/>
          <w:iCs/>
        </w:rPr>
        <w:t>compliance</w:t>
      </w:r>
      <w:r>
        <w:rPr>
          <w:i/>
          <w:iCs/>
        </w:rPr>
        <w:t xml:space="preserve"> </w:t>
      </w:r>
      <w:r w:rsidRPr="00B82B04">
        <w:rPr>
          <w:i/>
          <w:iCs/>
        </w:rPr>
        <w:t>with</w:t>
      </w:r>
      <w:r>
        <w:rPr>
          <w:i/>
          <w:iCs/>
        </w:rPr>
        <w:t xml:space="preserve"> </w:t>
      </w:r>
      <w:r w:rsidRPr="00B82B04">
        <w:rPr>
          <w:i/>
          <w:iCs/>
        </w:rPr>
        <w:t>requirements</w:t>
      </w:r>
      <w:r>
        <w:rPr>
          <w:i/>
          <w:iCs/>
        </w:rPr>
        <w:t xml:space="preserve"> </w:t>
      </w:r>
      <w:r w:rsidRPr="00B82B04">
        <w:rPr>
          <w:i/>
          <w:iCs/>
        </w:rPr>
        <w:t>not</w:t>
      </w:r>
      <w:r>
        <w:rPr>
          <w:i/>
          <w:iCs/>
        </w:rPr>
        <w:t xml:space="preserve"> </w:t>
      </w:r>
      <w:r w:rsidRPr="00B82B04">
        <w:rPr>
          <w:i/>
          <w:iCs/>
        </w:rPr>
        <w:t>associated</w:t>
      </w:r>
      <w:r>
        <w:rPr>
          <w:i/>
          <w:iCs/>
        </w:rPr>
        <w:t xml:space="preserve"> </w:t>
      </w:r>
      <w:r w:rsidRPr="00B82B04">
        <w:rPr>
          <w:i/>
          <w:iCs/>
        </w:rPr>
        <w:t>with</w:t>
      </w:r>
      <w:r>
        <w:rPr>
          <w:i/>
          <w:iCs/>
        </w:rPr>
        <w:t xml:space="preserve"> </w:t>
      </w:r>
      <w:r w:rsidRPr="00B82B04">
        <w:rPr>
          <w:i/>
          <w:iCs/>
        </w:rPr>
        <w:t>the</w:t>
      </w:r>
      <w:r>
        <w:rPr>
          <w:i/>
          <w:iCs/>
        </w:rPr>
        <w:t xml:space="preserve"> </w:t>
      </w:r>
      <w:r w:rsidRPr="00B82B04">
        <w:rPr>
          <w:i/>
          <w:iCs/>
        </w:rPr>
        <w:t>information</w:t>
      </w:r>
      <w:r>
        <w:rPr>
          <w:i/>
          <w:iCs/>
        </w:rPr>
        <w:t xml:space="preserve"> </w:t>
      </w:r>
      <w:r w:rsidRPr="00B82B04">
        <w:rPr>
          <w:i/>
          <w:iCs/>
        </w:rPr>
        <w:t>collection,</w:t>
      </w:r>
      <w:r>
        <w:rPr>
          <w:i/>
          <w:iCs/>
        </w:rPr>
        <w:t xml:space="preserve"> </w:t>
      </w:r>
      <w:r w:rsidRPr="00B82B04">
        <w:rPr>
          <w:i/>
          <w:iCs/>
        </w:rPr>
        <w:t>(3)</w:t>
      </w:r>
      <w:r>
        <w:rPr>
          <w:i/>
          <w:iCs/>
        </w:rPr>
        <w:t xml:space="preserve"> </w:t>
      </w:r>
      <w:r w:rsidRPr="00B82B04">
        <w:rPr>
          <w:i/>
          <w:iCs/>
        </w:rPr>
        <w:t>for</w:t>
      </w:r>
      <w:r>
        <w:rPr>
          <w:i/>
          <w:iCs/>
        </w:rPr>
        <w:t xml:space="preserve"> </w:t>
      </w:r>
      <w:r w:rsidRPr="00B82B04">
        <w:rPr>
          <w:i/>
          <w:iCs/>
        </w:rPr>
        <w:t>reasons</w:t>
      </w:r>
      <w:r>
        <w:rPr>
          <w:i/>
          <w:iCs/>
        </w:rPr>
        <w:t xml:space="preserve"> </w:t>
      </w:r>
      <w:r w:rsidRPr="00B82B04">
        <w:rPr>
          <w:i/>
          <w:iCs/>
        </w:rPr>
        <w:t>other</w:t>
      </w:r>
      <w:r>
        <w:rPr>
          <w:i/>
          <w:iCs/>
        </w:rPr>
        <w:t xml:space="preserve"> </w:t>
      </w:r>
      <w:r w:rsidRPr="00B82B04">
        <w:rPr>
          <w:i/>
          <w:iCs/>
        </w:rPr>
        <w:t>than</w:t>
      </w:r>
      <w:r>
        <w:rPr>
          <w:i/>
          <w:iCs/>
        </w:rPr>
        <w:t xml:space="preserve"> </w:t>
      </w:r>
      <w:r w:rsidRPr="00B82B04">
        <w:rPr>
          <w:i/>
          <w:iCs/>
        </w:rPr>
        <w:t>to</w:t>
      </w:r>
      <w:r>
        <w:rPr>
          <w:i/>
          <w:iCs/>
        </w:rPr>
        <w:t xml:space="preserve"> </w:t>
      </w:r>
      <w:r w:rsidRPr="00B82B04">
        <w:rPr>
          <w:i/>
          <w:iCs/>
        </w:rPr>
        <w:t>provide</w:t>
      </w:r>
      <w:r>
        <w:rPr>
          <w:i/>
          <w:iCs/>
        </w:rPr>
        <w:t xml:space="preserve"> </w:t>
      </w:r>
      <w:r w:rsidRPr="00B82B04">
        <w:rPr>
          <w:i/>
          <w:iCs/>
        </w:rPr>
        <w:t>information</w:t>
      </w:r>
      <w:r>
        <w:rPr>
          <w:i/>
          <w:iCs/>
        </w:rPr>
        <w:t xml:space="preserve"> </w:t>
      </w:r>
      <w:r w:rsidRPr="00B82B04">
        <w:rPr>
          <w:i/>
          <w:iCs/>
        </w:rPr>
        <w:t>or</w:t>
      </w:r>
      <w:r>
        <w:rPr>
          <w:i/>
          <w:iCs/>
        </w:rPr>
        <w:t xml:space="preserve"> </w:t>
      </w:r>
      <w:r w:rsidRPr="00B82B04">
        <w:rPr>
          <w:i/>
          <w:iCs/>
        </w:rPr>
        <w:t>keep</w:t>
      </w:r>
      <w:r>
        <w:rPr>
          <w:i/>
          <w:iCs/>
        </w:rPr>
        <w:t xml:space="preserve"> </w:t>
      </w:r>
      <w:r w:rsidRPr="00B82B04">
        <w:rPr>
          <w:i/>
          <w:iCs/>
        </w:rPr>
        <w:t>records</w:t>
      </w:r>
      <w:r>
        <w:rPr>
          <w:i/>
          <w:iCs/>
        </w:rPr>
        <w:t xml:space="preserve"> </w:t>
      </w:r>
      <w:r w:rsidRPr="00B82B04">
        <w:rPr>
          <w:i/>
          <w:iCs/>
        </w:rPr>
        <w:t>for</w:t>
      </w:r>
      <w:r>
        <w:rPr>
          <w:i/>
          <w:iCs/>
        </w:rPr>
        <w:t xml:space="preserve"> </w:t>
      </w:r>
      <w:r w:rsidRPr="00B82B04">
        <w:rPr>
          <w:i/>
          <w:iCs/>
        </w:rPr>
        <w:t>the</w:t>
      </w:r>
      <w:r>
        <w:rPr>
          <w:i/>
          <w:iCs/>
        </w:rPr>
        <w:t xml:space="preserve"> </w:t>
      </w:r>
      <w:r w:rsidRPr="00B82B04">
        <w:rPr>
          <w:i/>
          <w:iCs/>
        </w:rPr>
        <w:t>government,</w:t>
      </w:r>
      <w:r>
        <w:rPr>
          <w:i/>
          <w:iCs/>
        </w:rPr>
        <w:t xml:space="preserve"> </w:t>
      </w:r>
      <w:r w:rsidRPr="00B82B04">
        <w:rPr>
          <w:i/>
          <w:iCs/>
        </w:rPr>
        <w:t>or</w:t>
      </w:r>
      <w:r>
        <w:rPr>
          <w:i/>
          <w:iCs/>
        </w:rPr>
        <w:t xml:space="preserve"> </w:t>
      </w:r>
      <w:r w:rsidRPr="00B82B04">
        <w:rPr>
          <w:i/>
          <w:iCs/>
        </w:rPr>
        <w:t>(4)</w:t>
      </w:r>
      <w:r>
        <w:rPr>
          <w:i/>
          <w:iCs/>
        </w:rPr>
        <w:t xml:space="preserve"> </w:t>
      </w:r>
      <w:r w:rsidRPr="00B82B04">
        <w:rPr>
          <w:i/>
          <w:iCs/>
        </w:rPr>
        <w:t>as</w:t>
      </w:r>
      <w:r>
        <w:rPr>
          <w:i/>
          <w:iCs/>
        </w:rPr>
        <w:t xml:space="preserve"> </w:t>
      </w:r>
      <w:r w:rsidRPr="00B82B04">
        <w:rPr>
          <w:i/>
          <w:iCs/>
        </w:rPr>
        <w:t>part</w:t>
      </w:r>
      <w:r>
        <w:rPr>
          <w:i/>
          <w:iCs/>
        </w:rPr>
        <w:t xml:space="preserve"> </w:t>
      </w:r>
      <w:r w:rsidRPr="00B82B04">
        <w:rPr>
          <w:i/>
          <w:iCs/>
        </w:rPr>
        <w:t>of</w:t>
      </w:r>
      <w:r>
        <w:rPr>
          <w:i/>
          <w:iCs/>
        </w:rPr>
        <w:t xml:space="preserve"> </w:t>
      </w:r>
      <w:r w:rsidRPr="00B82B04">
        <w:rPr>
          <w:i/>
          <w:iCs/>
        </w:rPr>
        <w:t>customary</w:t>
      </w:r>
      <w:r>
        <w:rPr>
          <w:i/>
          <w:iCs/>
        </w:rPr>
        <w:t xml:space="preserve"> </w:t>
      </w:r>
      <w:r w:rsidRPr="00B82B04">
        <w:rPr>
          <w:i/>
          <w:iCs/>
        </w:rPr>
        <w:t>and</w:t>
      </w:r>
      <w:r>
        <w:rPr>
          <w:i/>
          <w:iCs/>
        </w:rPr>
        <w:t xml:space="preserve"> </w:t>
      </w:r>
      <w:r w:rsidRPr="00B82B04">
        <w:rPr>
          <w:i/>
          <w:iCs/>
        </w:rPr>
        <w:t>usual</w:t>
      </w:r>
      <w:r>
        <w:rPr>
          <w:i/>
          <w:iCs/>
        </w:rPr>
        <w:t xml:space="preserve"> </w:t>
      </w:r>
      <w:r w:rsidRPr="00B82B04">
        <w:rPr>
          <w:i/>
          <w:iCs/>
        </w:rPr>
        <w:t>business</w:t>
      </w:r>
      <w:r>
        <w:rPr>
          <w:i/>
          <w:iCs/>
        </w:rPr>
        <w:t xml:space="preserve"> </w:t>
      </w:r>
      <w:r w:rsidRPr="00B82B04">
        <w:rPr>
          <w:i/>
          <w:iCs/>
        </w:rPr>
        <w:t>or</w:t>
      </w:r>
      <w:r>
        <w:rPr>
          <w:i/>
          <w:iCs/>
        </w:rPr>
        <w:t xml:space="preserve"> </w:t>
      </w:r>
      <w:r w:rsidRPr="00B82B04">
        <w:rPr>
          <w:i/>
          <w:iCs/>
        </w:rPr>
        <w:t>private</w:t>
      </w:r>
      <w:r>
        <w:rPr>
          <w:i/>
          <w:iCs/>
        </w:rPr>
        <w:t xml:space="preserve"> </w:t>
      </w:r>
      <w:r w:rsidRPr="00B82B04">
        <w:rPr>
          <w:i/>
          <w:iCs/>
        </w:rPr>
        <w:t>practices.</w:t>
      </w:r>
    </w:p>
    <w:p w:rsidRPr="00B82B04" w:rsidR="00F5259C" w:rsidP="00F5259C" w:rsidRDefault="00F5259C" w14:paraId="6123158D" w14:textId="77777777">
      <w:pPr>
        <w:spacing w:after="240"/>
        <w:rPr>
          <w:rFonts w:ascii="Arial" w:hAnsi="Arial" w:cs="Univers"/>
        </w:rPr>
      </w:pPr>
      <w:r w:rsidRPr="00B82B04">
        <w:t>There</w:t>
      </w:r>
      <w:r>
        <w:t xml:space="preserve"> </w:t>
      </w:r>
      <w:r w:rsidRPr="00B82B04">
        <w:t>is</w:t>
      </w:r>
      <w:r>
        <w:t xml:space="preserve"> </w:t>
      </w:r>
      <w:r w:rsidRPr="00B82B04">
        <w:t>no</w:t>
      </w:r>
      <w:r>
        <w:t xml:space="preserve"> </w:t>
      </w:r>
      <w:r w:rsidRPr="00B82B04">
        <w:t>anticipated</w:t>
      </w:r>
      <w:r>
        <w:t xml:space="preserve"> </w:t>
      </w:r>
      <w:r w:rsidRPr="00B82B04">
        <w:t>cost</w:t>
      </w:r>
      <w:r>
        <w:t xml:space="preserve"> </w:t>
      </w:r>
      <w:r w:rsidRPr="00B82B04">
        <w:t>burden</w:t>
      </w:r>
      <w:r>
        <w:t xml:space="preserve"> </w:t>
      </w:r>
      <w:r w:rsidRPr="00B82B04">
        <w:t>to</w:t>
      </w:r>
      <w:r>
        <w:t xml:space="preserve"> </w:t>
      </w:r>
      <w:r w:rsidRPr="00B82B04">
        <w:t>grantee</w:t>
      </w:r>
      <w:r>
        <w:t xml:space="preserve"> </w:t>
      </w:r>
      <w:r w:rsidRPr="00B82B04">
        <w:t>or</w:t>
      </w:r>
      <w:r>
        <w:t xml:space="preserve"> </w:t>
      </w:r>
      <w:r w:rsidRPr="00B82B04">
        <w:t>client</w:t>
      </w:r>
      <w:r>
        <w:t xml:space="preserve"> </w:t>
      </w:r>
      <w:r w:rsidRPr="00B82B04">
        <w:t>respondents</w:t>
      </w:r>
      <w:r>
        <w:t xml:space="preserve"> </w:t>
      </w:r>
      <w:r w:rsidRPr="00B82B04">
        <w:t>resulting</w:t>
      </w:r>
      <w:r>
        <w:t xml:space="preserve"> </w:t>
      </w:r>
      <w:r w:rsidRPr="00B82B04">
        <w:t>from</w:t>
      </w:r>
      <w:r>
        <w:t xml:space="preserve"> </w:t>
      </w:r>
      <w:r w:rsidRPr="00B82B04">
        <w:t>collecting</w:t>
      </w:r>
      <w:r>
        <w:t xml:space="preserve"> </w:t>
      </w:r>
      <w:r w:rsidRPr="00B82B04">
        <w:t>Evaluation</w:t>
      </w:r>
      <w:r>
        <w:t xml:space="preserve"> </w:t>
      </w:r>
      <w:r w:rsidRPr="00B82B04">
        <w:t>information,</w:t>
      </w:r>
      <w:r>
        <w:t xml:space="preserve"> </w:t>
      </w:r>
      <w:r w:rsidRPr="00B82B04">
        <w:t>except</w:t>
      </w:r>
      <w:r>
        <w:t xml:space="preserve"> </w:t>
      </w:r>
      <w:r w:rsidRPr="00B82B04">
        <w:t>those</w:t>
      </w:r>
      <w:r>
        <w:t xml:space="preserve"> </w:t>
      </w:r>
      <w:r w:rsidRPr="00B82B04">
        <w:t>costs</w:t>
      </w:r>
      <w:r>
        <w:t xml:space="preserve"> </w:t>
      </w:r>
      <w:r w:rsidRPr="00B82B04">
        <w:t>associated</w:t>
      </w:r>
      <w:r>
        <w:t xml:space="preserve"> </w:t>
      </w:r>
      <w:r w:rsidRPr="00B82B04">
        <w:t>with</w:t>
      </w:r>
      <w:r>
        <w:t xml:space="preserve"> </w:t>
      </w:r>
      <w:r w:rsidRPr="00B82B04">
        <w:t>the</w:t>
      </w:r>
      <w:r>
        <w:t xml:space="preserve"> </w:t>
      </w:r>
      <w:r w:rsidRPr="00B82B04">
        <w:t>respondents’</w:t>
      </w:r>
      <w:r>
        <w:t xml:space="preserve"> </w:t>
      </w:r>
      <w:r w:rsidRPr="00B82B04">
        <w:t>hourly</w:t>
      </w:r>
      <w:r>
        <w:t xml:space="preserve"> </w:t>
      </w:r>
      <w:r w:rsidRPr="00B82B04">
        <w:t>burden</w:t>
      </w:r>
      <w:r>
        <w:t xml:space="preserve"> </w:t>
      </w:r>
      <w:r w:rsidRPr="00B82B04">
        <w:t>represented</w:t>
      </w:r>
      <w:r>
        <w:t xml:space="preserve"> </w:t>
      </w:r>
      <w:r w:rsidRPr="00B82B04">
        <w:t>in</w:t>
      </w:r>
      <w:r>
        <w:t xml:space="preserve"> </w:t>
      </w:r>
      <w:r w:rsidRPr="00B82B04">
        <w:t>Tables</w:t>
      </w:r>
      <w:r>
        <w:t xml:space="preserve"> 6 </w:t>
      </w:r>
      <w:r w:rsidRPr="00B82B04">
        <w:t>and</w:t>
      </w:r>
      <w:r>
        <w:t xml:space="preserve"> 7</w:t>
      </w:r>
      <w:r w:rsidRPr="00B82B04">
        <w:t>.</w:t>
      </w:r>
      <w:r>
        <w:t xml:space="preserve"> </w:t>
      </w:r>
      <w:r w:rsidRPr="00B82B04">
        <w:t>There</w:t>
      </w:r>
      <w:r>
        <w:t xml:space="preserve"> </w:t>
      </w:r>
      <w:r w:rsidRPr="00B82B04">
        <w:t>is</w:t>
      </w:r>
      <w:r>
        <w:t xml:space="preserve"> </w:t>
      </w:r>
      <w:r w:rsidRPr="00B82B04">
        <w:t>no</w:t>
      </w:r>
      <w:r>
        <w:t xml:space="preserve"> </w:t>
      </w:r>
      <w:r w:rsidRPr="00B82B04">
        <w:t>charge</w:t>
      </w:r>
      <w:r>
        <w:t xml:space="preserve"> </w:t>
      </w:r>
      <w:r w:rsidRPr="00B82B04">
        <w:t>for</w:t>
      </w:r>
      <w:r>
        <w:t xml:space="preserve"> </w:t>
      </w:r>
      <w:r w:rsidRPr="00B82B04">
        <w:t>a</w:t>
      </w:r>
      <w:r>
        <w:t xml:space="preserve"> </w:t>
      </w:r>
      <w:r w:rsidRPr="00B82B04">
        <w:t>grantee’s</w:t>
      </w:r>
      <w:r>
        <w:t xml:space="preserve"> </w:t>
      </w:r>
      <w:r w:rsidRPr="00B82B04">
        <w:t>use</w:t>
      </w:r>
      <w:r>
        <w:t xml:space="preserve"> </w:t>
      </w:r>
      <w:r w:rsidRPr="00B82B04">
        <w:t>of</w:t>
      </w:r>
      <w:r>
        <w:t xml:space="preserve"> </w:t>
      </w:r>
      <w:r w:rsidRPr="00B82B04">
        <w:t>the</w:t>
      </w:r>
      <w:r>
        <w:t xml:space="preserve"> </w:t>
      </w:r>
      <w:proofErr w:type="spellStart"/>
      <w:r w:rsidRPr="00B82B04">
        <w:t>REDCap</w:t>
      </w:r>
      <w:proofErr w:type="spellEnd"/>
      <w:r>
        <w:t xml:space="preserve"> </w:t>
      </w:r>
      <w:r w:rsidRPr="00B82B04">
        <w:t>data</w:t>
      </w:r>
      <w:r>
        <w:t xml:space="preserve"> </w:t>
      </w:r>
      <w:r w:rsidRPr="00B82B04">
        <w:t>entry</w:t>
      </w:r>
      <w:r>
        <w:t xml:space="preserve"> </w:t>
      </w:r>
      <w:r w:rsidRPr="00B82B04">
        <w:t>and</w:t>
      </w:r>
      <w:r>
        <w:t xml:space="preserve"> </w:t>
      </w:r>
      <w:r w:rsidRPr="00B82B04">
        <w:t>storage</w:t>
      </w:r>
      <w:r>
        <w:t xml:space="preserve"> </w:t>
      </w:r>
      <w:r w:rsidRPr="00B82B04">
        <w:t>system.</w:t>
      </w:r>
    </w:p>
    <w:p w:rsidRPr="00B82B04" w:rsidR="00F5259C" w:rsidP="00F5259C" w:rsidRDefault="00F5259C" w14:paraId="19FE9A31" w14:textId="77777777">
      <w:pPr>
        <w:rPr>
          <w:rFonts w:ascii="Arial" w:hAnsi="Arial" w:cs="Univers"/>
        </w:rPr>
      </w:pPr>
    </w:p>
    <w:p w:rsidRPr="00B82B04" w:rsidR="00F5259C" w:rsidP="00F5259C" w:rsidRDefault="00F5259C" w14:paraId="576E06B7" w14:textId="77777777">
      <w:pPr>
        <w:pStyle w:val="Heading1"/>
      </w:pPr>
      <w:bookmarkStart w:name="_Toc69888485" w:id="60"/>
      <w:bookmarkStart w:name="_Toc75878169" w:id="61"/>
      <w:r w:rsidRPr="00B82B04">
        <w:t>14</w:t>
      </w:r>
      <w:r>
        <w:t xml:space="preserve">. </w:t>
      </w:r>
      <w:r w:rsidRPr="00B82B04">
        <w:t>Estimated</w:t>
      </w:r>
      <w:r>
        <w:t xml:space="preserve"> </w:t>
      </w:r>
      <w:r w:rsidRPr="00B82B04">
        <w:t>Annual</w:t>
      </w:r>
      <w:r>
        <w:t xml:space="preserve"> </w:t>
      </w:r>
      <w:r w:rsidRPr="00B82B04">
        <w:t>Cost</w:t>
      </w:r>
      <w:r>
        <w:t xml:space="preserve"> </w:t>
      </w:r>
      <w:r w:rsidRPr="00B82B04">
        <w:t>to</w:t>
      </w:r>
      <w:r>
        <w:t xml:space="preserve"> </w:t>
      </w:r>
      <w:r w:rsidRPr="00B82B04">
        <w:t>the</w:t>
      </w:r>
      <w:r>
        <w:t xml:space="preserve"> </w:t>
      </w:r>
      <w:r w:rsidRPr="00B82B04">
        <w:t>Federal</w:t>
      </w:r>
      <w:r>
        <w:t xml:space="preserve"> </w:t>
      </w:r>
      <w:r w:rsidRPr="00B82B04">
        <w:t>Government</w:t>
      </w:r>
      <w:bookmarkEnd w:id="60"/>
      <w:bookmarkEnd w:id="61"/>
    </w:p>
    <w:p w:rsidRPr="009A5BAB" w:rsidR="00F5259C" w:rsidP="00F5259C" w:rsidRDefault="00F5259C" w14:paraId="33048E2C" w14:textId="77777777">
      <w:pPr>
        <w:pStyle w:val="BodyText3"/>
        <w:widowControl/>
        <w:spacing w:after="240"/>
        <w:rPr>
          <w:rFonts w:ascii="Arial" w:hAnsi="Arial" w:cs="Arial"/>
        </w:rPr>
      </w:pPr>
      <w:r w:rsidRPr="009A5BAB">
        <w:t>Provide</w:t>
      </w:r>
      <w:r>
        <w:t xml:space="preserve"> </w:t>
      </w:r>
      <w:r w:rsidRPr="009A5BAB">
        <w:t>estimates</w:t>
      </w:r>
      <w:r>
        <w:t xml:space="preserve"> </w:t>
      </w:r>
      <w:r w:rsidRPr="009A5BAB">
        <w:t>of</w:t>
      </w:r>
      <w:r>
        <w:t xml:space="preserve"> </w:t>
      </w:r>
      <w:r w:rsidRPr="009A5BAB">
        <w:t>annualized</w:t>
      </w:r>
      <w:r>
        <w:t xml:space="preserve"> </w:t>
      </w:r>
      <w:r w:rsidRPr="009A5BAB">
        <w:t>costs</w:t>
      </w:r>
      <w:r>
        <w:t xml:space="preserve"> </w:t>
      </w:r>
      <w:r w:rsidRPr="009A5BAB">
        <w:t>to</w:t>
      </w:r>
      <w:r>
        <w:t xml:space="preserve"> </w:t>
      </w:r>
      <w:r w:rsidRPr="009A5BAB">
        <w:t>the</w:t>
      </w:r>
      <w:r>
        <w:t xml:space="preserve"> </w:t>
      </w:r>
      <w:r w:rsidRPr="009A5BAB">
        <w:t>Federal</w:t>
      </w:r>
      <w:r>
        <w:t xml:space="preserve"> </w:t>
      </w:r>
      <w:r w:rsidRPr="009A5BAB">
        <w:t>government.</w:t>
      </w:r>
      <w:r>
        <w:t xml:space="preserve"> </w:t>
      </w:r>
      <w:r w:rsidRPr="009A5BAB">
        <w:t>Also,</w:t>
      </w:r>
      <w:r>
        <w:t xml:space="preserve"> </w:t>
      </w:r>
      <w:r w:rsidRPr="009A5BAB">
        <w:t>provide</w:t>
      </w:r>
      <w:r>
        <w:t xml:space="preserve"> </w:t>
      </w:r>
      <w:r w:rsidRPr="009A5BAB">
        <w:t>a</w:t>
      </w:r>
      <w:r>
        <w:t xml:space="preserve"> </w:t>
      </w:r>
      <w:r w:rsidRPr="009A5BAB">
        <w:t>description</w:t>
      </w:r>
      <w:r>
        <w:t xml:space="preserve"> </w:t>
      </w:r>
      <w:r w:rsidRPr="009A5BAB">
        <w:t>of</w:t>
      </w:r>
      <w:r>
        <w:t xml:space="preserve"> </w:t>
      </w:r>
      <w:r w:rsidRPr="009A5BAB">
        <w:t>the</w:t>
      </w:r>
      <w:r>
        <w:t xml:space="preserve"> </w:t>
      </w:r>
      <w:r w:rsidRPr="009A5BAB">
        <w:t>method</w:t>
      </w:r>
      <w:r>
        <w:t xml:space="preserve"> </w:t>
      </w:r>
      <w:r w:rsidRPr="009A5BAB">
        <w:t>used</w:t>
      </w:r>
      <w:r>
        <w:t xml:space="preserve"> </w:t>
      </w:r>
      <w:r w:rsidRPr="009A5BAB">
        <w:t>to</w:t>
      </w:r>
      <w:r>
        <w:t xml:space="preserve"> </w:t>
      </w:r>
      <w:r w:rsidRPr="009A5BAB">
        <w:t>estimate</w:t>
      </w:r>
      <w:r>
        <w:t xml:space="preserve"> </w:t>
      </w:r>
      <w:r w:rsidRPr="009A5BAB">
        <w:t>cost,</w:t>
      </w:r>
      <w:r>
        <w:t xml:space="preserve"> </w:t>
      </w:r>
      <w:r w:rsidRPr="009A5BAB">
        <w:t>which</w:t>
      </w:r>
      <w:r>
        <w:t xml:space="preserve"> </w:t>
      </w:r>
      <w:r w:rsidRPr="009A5BAB">
        <w:t>should</w:t>
      </w:r>
      <w:r>
        <w:t xml:space="preserve"> </w:t>
      </w:r>
      <w:r w:rsidRPr="009A5BAB">
        <w:t>include</w:t>
      </w:r>
      <w:r>
        <w:t xml:space="preserve"> </w:t>
      </w:r>
      <w:r w:rsidRPr="009A5BAB">
        <w:t>quantification</w:t>
      </w:r>
      <w:r>
        <w:t xml:space="preserve"> </w:t>
      </w:r>
      <w:r w:rsidRPr="009A5BAB">
        <w:t>of</w:t>
      </w:r>
      <w:r>
        <w:t xml:space="preserve"> </w:t>
      </w:r>
      <w:r w:rsidRPr="009A5BAB">
        <w:t>hours,</w:t>
      </w:r>
      <w:r>
        <w:t xml:space="preserve"> </w:t>
      </w:r>
      <w:r w:rsidRPr="009A5BAB">
        <w:t>operational</w:t>
      </w:r>
      <w:r>
        <w:t xml:space="preserve"> </w:t>
      </w:r>
      <w:r w:rsidRPr="009A5BAB">
        <w:t>expenses</w:t>
      </w:r>
      <w:r>
        <w:t xml:space="preserve"> </w:t>
      </w:r>
      <w:r w:rsidRPr="009A5BAB">
        <w:t>(such</w:t>
      </w:r>
      <w:r>
        <w:t xml:space="preserve"> </w:t>
      </w:r>
      <w:r w:rsidRPr="009A5BAB">
        <w:t>as</w:t>
      </w:r>
      <w:r>
        <w:t xml:space="preserve"> </w:t>
      </w:r>
      <w:r w:rsidRPr="009A5BAB">
        <w:t>equipment,</w:t>
      </w:r>
      <w:r>
        <w:t xml:space="preserve"> </w:t>
      </w:r>
      <w:r w:rsidRPr="009A5BAB">
        <w:t>overhead,</w:t>
      </w:r>
      <w:r>
        <w:t xml:space="preserve"> </w:t>
      </w:r>
      <w:r w:rsidRPr="009A5BAB">
        <w:t>printing,</w:t>
      </w:r>
      <w:r>
        <w:t xml:space="preserve"> </w:t>
      </w:r>
      <w:r w:rsidRPr="009A5BAB">
        <w:t>and</w:t>
      </w:r>
      <w:r>
        <w:t xml:space="preserve"> </w:t>
      </w:r>
      <w:r w:rsidRPr="009A5BAB">
        <w:t>support</w:t>
      </w:r>
      <w:r>
        <w:t xml:space="preserve"> </w:t>
      </w:r>
      <w:r w:rsidRPr="009A5BAB">
        <w:t>staff),</w:t>
      </w:r>
      <w:r>
        <w:t xml:space="preserve"> </w:t>
      </w:r>
      <w:r w:rsidRPr="009A5BAB">
        <w:t>and</w:t>
      </w:r>
      <w:r>
        <w:t xml:space="preserve"> </w:t>
      </w:r>
      <w:r w:rsidRPr="009A5BAB">
        <w:t>any</w:t>
      </w:r>
      <w:r>
        <w:t xml:space="preserve"> </w:t>
      </w:r>
      <w:r w:rsidRPr="009A5BAB">
        <w:t>other</w:t>
      </w:r>
      <w:r>
        <w:t xml:space="preserve"> </w:t>
      </w:r>
      <w:r w:rsidRPr="009A5BAB">
        <w:t>expenses</w:t>
      </w:r>
      <w:r>
        <w:t xml:space="preserve"> </w:t>
      </w:r>
      <w:r w:rsidRPr="009A5BAB">
        <w:t>that</w:t>
      </w:r>
      <w:r>
        <w:t xml:space="preserve"> </w:t>
      </w:r>
      <w:r w:rsidRPr="009A5BAB">
        <w:lastRenderedPageBreak/>
        <w:t>would</w:t>
      </w:r>
      <w:r>
        <w:t xml:space="preserve"> </w:t>
      </w:r>
      <w:r w:rsidRPr="009A5BAB">
        <w:t>not</w:t>
      </w:r>
      <w:r>
        <w:t xml:space="preserve"> </w:t>
      </w:r>
      <w:r w:rsidRPr="009A5BAB">
        <w:t>have</w:t>
      </w:r>
      <w:r>
        <w:t xml:space="preserve"> </w:t>
      </w:r>
      <w:r w:rsidRPr="009A5BAB">
        <w:t>been</w:t>
      </w:r>
      <w:r>
        <w:t xml:space="preserve"> </w:t>
      </w:r>
      <w:r w:rsidRPr="009A5BAB">
        <w:t>incurred</w:t>
      </w:r>
      <w:r>
        <w:t xml:space="preserve"> </w:t>
      </w:r>
      <w:r w:rsidRPr="009A5BAB">
        <w:t>without</w:t>
      </w:r>
      <w:r>
        <w:t xml:space="preserve"> </w:t>
      </w:r>
      <w:r w:rsidRPr="009A5BAB">
        <w:t>this</w:t>
      </w:r>
      <w:r>
        <w:t xml:space="preserve"> </w:t>
      </w:r>
      <w:r w:rsidRPr="009A5BAB">
        <w:t>collection</w:t>
      </w:r>
      <w:r>
        <w:t xml:space="preserve"> </w:t>
      </w:r>
      <w:r w:rsidRPr="009A5BAB">
        <w:t>of</w:t>
      </w:r>
      <w:r>
        <w:t xml:space="preserve"> </w:t>
      </w:r>
      <w:r w:rsidRPr="009A5BAB">
        <w:t>information.</w:t>
      </w:r>
      <w:r>
        <w:t xml:space="preserve"> </w:t>
      </w:r>
      <w:r w:rsidRPr="009A5BAB">
        <w:t>Agencies</w:t>
      </w:r>
      <w:r>
        <w:t xml:space="preserve"> </w:t>
      </w:r>
      <w:r w:rsidRPr="009A5BAB">
        <w:t>may</w:t>
      </w:r>
      <w:r>
        <w:t xml:space="preserve"> </w:t>
      </w:r>
      <w:r w:rsidRPr="009A5BAB">
        <w:t>also</w:t>
      </w:r>
      <w:r>
        <w:t xml:space="preserve"> </w:t>
      </w:r>
      <w:r w:rsidRPr="009A5BAB">
        <w:t>aggregate</w:t>
      </w:r>
      <w:r>
        <w:t xml:space="preserve"> </w:t>
      </w:r>
      <w:r w:rsidRPr="009A5BAB">
        <w:t>cost</w:t>
      </w:r>
      <w:r>
        <w:t xml:space="preserve"> </w:t>
      </w:r>
      <w:r w:rsidRPr="009A5BAB">
        <w:t>estimates</w:t>
      </w:r>
      <w:r>
        <w:t xml:space="preserve"> </w:t>
      </w:r>
      <w:r w:rsidRPr="009A5BAB">
        <w:t>from</w:t>
      </w:r>
      <w:r>
        <w:t xml:space="preserve"> </w:t>
      </w:r>
      <w:r w:rsidRPr="009A5BAB">
        <w:t>Items</w:t>
      </w:r>
      <w:r>
        <w:t xml:space="preserve"> </w:t>
      </w:r>
      <w:r w:rsidRPr="009A5BAB">
        <w:t>12,</w:t>
      </w:r>
      <w:r>
        <w:t xml:space="preserve"> </w:t>
      </w:r>
      <w:r w:rsidRPr="009A5BAB">
        <w:t>13,</w:t>
      </w:r>
      <w:r>
        <w:t xml:space="preserve"> </w:t>
      </w:r>
      <w:r w:rsidRPr="009A5BAB">
        <w:t>and</w:t>
      </w:r>
      <w:r>
        <w:t xml:space="preserve"> </w:t>
      </w:r>
      <w:r w:rsidRPr="009A5BAB">
        <w:t>14</w:t>
      </w:r>
      <w:r>
        <w:t xml:space="preserve"> </w:t>
      </w:r>
      <w:r w:rsidRPr="009A5BAB">
        <w:t>in</w:t>
      </w:r>
      <w:r>
        <w:t xml:space="preserve"> </w:t>
      </w:r>
      <w:r w:rsidRPr="009A5BAB">
        <w:t>a</w:t>
      </w:r>
      <w:r>
        <w:t xml:space="preserve"> </w:t>
      </w:r>
      <w:r w:rsidRPr="009A5BAB">
        <w:t>single</w:t>
      </w:r>
      <w:r>
        <w:t xml:space="preserve"> </w:t>
      </w:r>
      <w:r w:rsidRPr="009A5BAB">
        <w:t>table.</w:t>
      </w:r>
    </w:p>
    <w:p w:rsidRPr="00B82B04" w:rsidR="00F5259C" w:rsidP="00F5259C" w:rsidRDefault="00F5259C" w14:paraId="50CEF2D8" w14:textId="77777777">
      <w:pPr>
        <w:pStyle w:val="BodyText"/>
        <w:widowControl/>
        <w:spacing w:after="240"/>
      </w:pPr>
      <w:bookmarkStart w:name="_Hlk66261518" w:id="62"/>
      <w:r w:rsidRPr="00B82B04">
        <w:t>HUD’s</w:t>
      </w:r>
      <w:r>
        <w:t xml:space="preserve"> </w:t>
      </w:r>
      <w:r w:rsidRPr="00B82B04">
        <w:t>Contractor,</w:t>
      </w:r>
      <w:r>
        <w:t xml:space="preserve"> </w:t>
      </w:r>
      <w:r w:rsidRPr="00B82B04">
        <w:t>Healthy</w:t>
      </w:r>
      <w:r>
        <w:t xml:space="preserve"> </w:t>
      </w:r>
      <w:r w:rsidRPr="00B82B04">
        <w:t>Housing</w:t>
      </w:r>
      <w:r>
        <w:t xml:space="preserve"> </w:t>
      </w:r>
      <w:r w:rsidRPr="00B82B04">
        <w:t>Solutions,</w:t>
      </w:r>
      <w:r>
        <w:t xml:space="preserve"> </w:t>
      </w:r>
      <w:r w:rsidRPr="00B82B04">
        <w:t>Inc.,</w:t>
      </w:r>
      <w:r>
        <w:t xml:space="preserve"> </w:t>
      </w:r>
      <w:r w:rsidRPr="00B82B04">
        <w:t>will</w:t>
      </w:r>
      <w:r>
        <w:t xml:space="preserve"> </w:t>
      </w:r>
      <w:r w:rsidRPr="00B82B04">
        <w:t>provide</w:t>
      </w:r>
      <w:r>
        <w:t xml:space="preserve"> </w:t>
      </w:r>
      <w:r w:rsidRPr="00B82B04">
        <w:t>labor</w:t>
      </w:r>
      <w:r>
        <w:t xml:space="preserve"> </w:t>
      </w:r>
      <w:r w:rsidRPr="00B82B04">
        <w:t>and</w:t>
      </w:r>
      <w:r>
        <w:t xml:space="preserve"> </w:t>
      </w:r>
      <w:r w:rsidRPr="00B82B04">
        <w:t>support</w:t>
      </w:r>
      <w:r>
        <w:t xml:space="preserve"> </w:t>
      </w:r>
      <w:r w:rsidRPr="00B82B04">
        <w:t>for</w:t>
      </w:r>
      <w:r>
        <w:t xml:space="preserve"> </w:t>
      </w:r>
      <w:r w:rsidRPr="00B82B04">
        <w:t>the</w:t>
      </w:r>
      <w:r>
        <w:t xml:space="preserve"> </w:t>
      </w:r>
      <w:r w:rsidRPr="00B82B04">
        <w:t>research</w:t>
      </w:r>
      <w:r>
        <w:t xml:space="preserve"> </w:t>
      </w:r>
      <w:r w:rsidRPr="00B82B04">
        <w:t>design,</w:t>
      </w:r>
      <w:r>
        <w:t xml:space="preserve"> </w:t>
      </w:r>
      <w:r w:rsidRPr="00B82B04">
        <w:t>coordination</w:t>
      </w:r>
      <w:r>
        <w:t xml:space="preserve"> </w:t>
      </w:r>
      <w:r w:rsidRPr="00B82B04">
        <w:t>of</w:t>
      </w:r>
      <w:r>
        <w:t xml:space="preserve"> </w:t>
      </w:r>
      <w:r w:rsidRPr="00B82B04">
        <w:t>IRB</w:t>
      </w:r>
      <w:r>
        <w:t xml:space="preserve"> </w:t>
      </w:r>
      <w:r w:rsidRPr="00B82B04">
        <w:t>and</w:t>
      </w:r>
      <w:r>
        <w:t xml:space="preserve"> </w:t>
      </w:r>
      <w:r w:rsidRPr="00B82B04">
        <w:t>Office</w:t>
      </w:r>
      <w:r>
        <w:t xml:space="preserve"> </w:t>
      </w:r>
      <w:r w:rsidRPr="00B82B04">
        <w:t>of</w:t>
      </w:r>
      <w:r>
        <w:t xml:space="preserve"> </w:t>
      </w:r>
      <w:r w:rsidRPr="00B82B04">
        <w:t>Management</w:t>
      </w:r>
      <w:r>
        <w:t xml:space="preserve"> </w:t>
      </w:r>
      <w:r w:rsidRPr="00B82B04">
        <w:t>and</w:t>
      </w:r>
      <w:r>
        <w:t xml:space="preserve"> </w:t>
      </w:r>
      <w:r w:rsidRPr="00B82B04">
        <w:t>Budget</w:t>
      </w:r>
      <w:r>
        <w:t xml:space="preserve"> </w:t>
      </w:r>
      <w:r w:rsidRPr="00B82B04">
        <w:t>(OMB)</w:t>
      </w:r>
      <w:r>
        <w:t xml:space="preserve"> </w:t>
      </w:r>
      <w:r w:rsidRPr="00B82B04">
        <w:t>submissions,</w:t>
      </w:r>
      <w:r>
        <w:t xml:space="preserve"> </w:t>
      </w:r>
      <w:r w:rsidRPr="00B82B04">
        <w:t>data</w:t>
      </w:r>
      <w:r>
        <w:t xml:space="preserve"> </w:t>
      </w:r>
      <w:r w:rsidRPr="00B82B04">
        <w:t>use</w:t>
      </w:r>
      <w:r>
        <w:t xml:space="preserve"> </w:t>
      </w:r>
      <w:r w:rsidRPr="00B82B04">
        <w:t>agreements</w:t>
      </w:r>
      <w:r>
        <w:t xml:space="preserve"> </w:t>
      </w:r>
      <w:r w:rsidRPr="00B82B04">
        <w:t>for</w:t>
      </w:r>
      <w:r>
        <w:t xml:space="preserve"> </w:t>
      </w:r>
      <w:r w:rsidRPr="00B82B04">
        <w:t>standardized</w:t>
      </w:r>
      <w:r>
        <w:t xml:space="preserve"> </w:t>
      </w:r>
      <w:r w:rsidRPr="00B82B04">
        <w:t>assessment</w:t>
      </w:r>
      <w:r>
        <w:t xml:space="preserve"> </w:t>
      </w:r>
      <w:r w:rsidRPr="00B82B04">
        <w:t>tools,</w:t>
      </w:r>
      <w:r>
        <w:t xml:space="preserve"> </w:t>
      </w:r>
      <w:r w:rsidRPr="00B82B04">
        <w:t>sampling</w:t>
      </w:r>
      <w:r>
        <w:t xml:space="preserve"> </w:t>
      </w:r>
      <w:r w:rsidRPr="00B82B04">
        <w:t>of</w:t>
      </w:r>
      <w:r>
        <w:t xml:space="preserve"> </w:t>
      </w:r>
      <w:r w:rsidRPr="00B82B04">
        <w:t>respondents,</w:t>
      </w:r>
      <w:r>
        <w:t xml:space="preserve"> </w:t>
      </w:r>
      <w:proofErr w:type="spellStart"/>
      <w:r w:rsidRPr="00B82B04">
        <w:t>REDCap</w:t>
      </w:r>
      <w:proofErr w:type="spellEnd"/>
      <w:r>
        <w:t xml:space="preserve"> </w:t>
      </w:r>
      <w:r w:rsidRPr="00B82B04">
        <w:t>fees,</w:t>
      </w:r>
      <w:r>
        <w:t xml:space="preserve"> </w:t>
      </w:r>
      <w:r w:rsidRPr="00B82B04">
        <w:t>travel,</w:t>
      </w:r>
      <w:r>
        <w:t xml:space="preserve"> </w:t>
      </w:r>
      <w:r w:rsidRPr="00B82B04">
        <w:t>other</w:t>
      </w:r>
      <w:r>
        <w:t xml:space="preserve"> </w:t>
      </w:r>
      <w:r w:rsidRPr="00B82B04">
        <w:t>equipment,</w:t>
      </w:r>
      <w:r>
        <w:t xml:space="preserve"> </w:t>
      </w:r>
      <w:r w:rsidRPr="00B82B04">
        <w:t>and</w:t>
      </w:r>
      <w:r>
        <w:t xml:space="preserve"> </w:t>
      </w:r>
      <w:r w:rsidRPr="00B82B04">
        <w:t>overhead.</w:t>
      </w:r>
      <w:r>
        <w:t xml:space="preserve"> </w:t>
      </w:r>
      <w:r w:rsidRPr="00B82B04">
        <w:t>All</w:t>
      </w:r>
      <w:r>
        <w:t xml:space="preserve"> </w:t>
      </w:r>
      <w:r w:rsidRPr="00B82B04">
        <w:t>labor</w:t>
      </w:r>
      <w:r>
        <w:t xml:space="preserve"> </w:t>
      </w:r>
      <w:r w:rsidRPr="00B82B04">
        <w:t>costs</w:t>
      </w:r>
      <w:r>
        <w:t xml:space="preserve"> </w:t>
      </w:r>
      <w:r w:rsidRPr="00B82B04">
        <w:t>are</w:t>
      </w:r>
      <w:r>
        <w:t xml:space="preserve"> </w:t>
      </w:r>
      <w:r w:rsidRPr="00B82B04">
        <w:t>estimated</w:t>
      </w:r>
      <w:r>
        <w:t xml:space="preserve"> </w:t>
      </w:r>
      <w:r w:rsidRPr="00B82B04">
        <w:t>on</w:t>
      </w:r>
      <w:r>
        <w:t xml:space="preserve"> </w:t>
      </w:r>
      <w:r w:rsidRPr="00B82B04">
        <w:t>an</w:t>
      </w:r>
      <w:r>
        <w:t xml:space="preserve"> </w:t>
      </w:r>
      <w:r w:rsidRPr="00B82B04">
        <w:t>hourly</w:t>
      </w:r>
      <w:r>
        <w:t xml:space="preserve"> </w:t>
      </w:r>
      <w:r w:rsidRPr="00B82B04">
        <w:t>rate;</w:t>
      </w:r>
      <w:r>
        <w:t xml:space="preserve"> </w:t>
      </w:r>
      <w:r w:rsidRPr="00B82B04">
        <w:t>all</w:t>
      </w:r>
      <w:r>
        <w:t xml:space="preserve"> </w:t>
      </w:r>
      <w:r w:rsidRPr="00B82B04">
        <w:t>other</w:t>
      </w:r>
      <w:r>
        <w:t xml:space="preserve"> </w:t>
      </w:r>
      <w:r w:rsidRPr="00B82B04">
        <w:t>direct</w:t>
      </w:r>
      <w:r>
        <w:t xml:space="preserve"> </w:t>
      </w:r>
      <w:r w:rsidRPr="00B82B04">
        <w:t>costs</w:t>
      </w:r>
      <w:r>
        <w:t xml:space="preserve"> </w:t>
      </w:r>
      <w:r w:rsidRPr="00B82B04">
        <w:t>are</w:t>
      </w:r>
      <w:r>
        <w:t xml:space="preserve"> </w:t>
      </w:r>
      <w:r w:rsidRPr="00B82B04">
        <w:t>based</w:t>
      </w:r>
      <w:r>
        <w:t xml:space="preserve"> </w:t>
      </w:r>
      <w:r w:rsidRPr="00B82B04">
        <w:t>on</w:t>
      </w:r>
      <w:r>
        <w:t xml:space="preserve"> </w:t>
      </w:r>
      <w:r w:rsidRPr="00B82B04">
        <w:t>quotations</w:t>
      </w:r>
      <w:r>
        <w:t xml:space="preserve"> </w:t>
      </w:r>
      <w:r w:rsidRPr="00B82B04">
        <w:t>from</w:t>
      </w:r>
      <w:r>
        <w:t xml:space="preserve"> </w:t>
      </w:r>
      <w:r w:rsidRPr="00B82B04">
        <w:t>vendors.</w:t>
      </w:r>
      <w:r>
        <w:t xml:space="preserve"> </w:t>
      </w:r>
    </w:p>
    <w:p w:rsidR="00F5259C" w:rsidP="00F5259C" w:rsidRDefault="00F5259C" w14:paraId="2E471F89" w14:textId="77777777">
      <w:pPr>
        <w:spacing w:after="240"/>
        <w:rPr>
          <w:rFonts w:ascii="Arial" w:hAnsi="Arial" w:cs="Univers"/>
          <w:b/>
          <w:bCs/>
        </w:rPr>
      </w:pPr>
      <w:r w:rsidRPr="00B82B04">
        <w:t>The</w:t>
      </w:r>
      <w:r>
        <w:t xml:space="preserve"> </w:t>
      </w:r>
      <w:r w:rsidRPr="00B82B04">
        <w:t>current</w:t>
      </w:r>
      <w:r>
        <w:t xml:space="preserve"> </w:t>
      </w:r>
      <w:r w:rsidRPr="00B82B04">
        <w:t>estimated</w:t>
      </w:r>
      <w:r>
        <w:t xml:space="preserve"> </w:t>
      </w:r>
      <w:r w:rsidRPr="00B82B04">
        <w:t>cost</w:t>
      </w:r>
      <w:r>
        <w:t xml:space="preserve"> </w:t>
      </w:r>
      <w:r w:rsidRPr="00B82B04">
        <w:t>to</w:t>
      </w:r>
      <w:r>
        <w:t xml:space="preserve"> </w:t>
      </w:r>
      <w:r w:rsidRPr="00B82B04">
        <w:t>the</w:t>
      </w:r>
      <w:r>
        <w:t xml:space="preserve"> </w:t>
      </w:r>
      <w:r w:rsidRPr="00B82B04">
        <w:t>Government</w:t>
      </w:r>
      <w:r>
        <w:t xml:space="preserve"> </w:t>
      </w:r>
      <w:r w:rsidRPr="00B82B04">
        <w:t>for</w:t>
      </w:r>
      <w:r>
        <w:t xml:space="preserve"> </w:t>
      </w:r>
      <w:r w:rsidRPr="00B82B04">
        <w:t>the</w:t>
      </w:r>
      <w:r>
        <w:t xml:space="preserve"> </w:t>
      </w:r>
      <w:r w:rsidRPr="00B82B04">
        <w:t>Contractor’s</w:t>
      </w:r>
      <w:r>
        <w:t xml:space="preserve"> </w:t>
      </w:r>
      <w:r w:rsidRPr="00B82B04">
        <w:t>firm</w:t>
      </w:r>
      <w:r>
        <w:t xml:space="preserve"> </w:t>
      </w:r>
      <w:r w:rsidRPr="00B82B04">
        <w:t>fixed</w:t>
      </w:r>
      <w:r>
        <w:t xml:space="preserve"> </w:t>
      </w:r>
      <w:r w:rsidRPr="00B82B04">
        <w:t>price</w:t>
      </w:r>
      <w:r>
        <w:t xml:space="preserve"> </w:t>
      </w:r>
      <w:r w:rsidRPr="00B82B04">
        <w:t>contract</w:t>
      </w:r>
      <w:r>
        <w:t xml:space="preserve"> </w:t>
      </w:r>
      <w:r w:rsidRPr="00B82B04">
        <w:t>is</w:t>
      </w:r>
      <w:r>
        <w:t xml:space="preserve"> </w:t>
      </w:r>
      <w:r w:rsidRPr="00B82B04">
        <w:t>$851,635;</w:t>
      </w:r>
      <w:r>
        <w:t xml:space="preserve"> </w:t>
      </w:r>
      <w:r w:rsidRPr="00B82B04">
        <w:t>however,</w:t>
      </w:r>
      <w:r>
        <w:t xml:space="preserve"> </w:t>
      </w:r>
      <w:r w:rsidRPr="00B82B04">
        <w:t>the</w:t>
      </w:r>
      <w:r>
        <w:t xml:space="preserve"> </w:t>
      </w:r>
      <w:r w:rsidRPr="00B82B04">
        <w:t>contract’s</w:t>
      </w:r>
      <w:r>
        <w:t xml:space="preserve"> </w:t>
      </w:r>
      <w:r w:rsidRPr="00B82B04">
        <w:t>budget</w:t>
      </w:r>
      <w:r>
        <w:t xml:space="preserve"> </w:t>
      </w:r>
      <w:r w:rsidRPr="00B82B04">
        <w:t>and</w:t>
      </w:r>
      <w:r>
        <w:t xml:space="preserve"> </w:t>
      </w:r>
      <w:r w:rsidRPr="00B82B04">
        <w:t>period</w:t>
      </w:r>
      <w:r>
        <w:t xml:space="preserve"> </w:t>
      </w:r>
      <w:r w:rsidRPr="00B82B04">
        <w:t>of</w:t>
      </w:r>
      <w:r>
        <w:t xml:space="preserve"> </w:t>
      </w:r>
      <w:r w:rsidRPr="00B82B04">
        <w:t>performance</w:t>
      </w:r>
      <w:r>
        <w:t xml:space="preserve"> </w:t>
      </w:r>
      <w:r w:rsidRPr="00B82B04">
        <w:t>is</w:t>
      </w:r>
      <w:r>
        <w:t xml:space="preserve"> </w:t>
      </w:r>
      <w:r w:rsidRPr="00B82B04">
        <w:t>expected</w:t>
      </w:r>
      <w:r>
        <w:t xml:space="preserve"> </w:t>
      </w:r>
      <w:r w:rsidRPr="00B82B04">
        <w:t>to</w:t>
      </w:r>
      <w:r>
        <w:t xml:space="preserve"> </w:t>
      </w:r>
      <w:r w:rsidRPr="00B82B04">
        <w:t>be</w:t>
      </w:r>
      <w:r>
        <w:t xml:space="preserve"> </w:t>
      </w:r>
      <w:r w:rsidRPr="00B82B04">
        <w:t>extended</w:t>
      </w:r>
      <w:r>
        <w:t xml:space="preserve"> </w:t>
      </w:r>
      <w:r w:rsidRPr="00B82B04">
        <w:t>in</w:t>
      </w:r>
      <w:r>
        <w:t xml:space="preserve"> </w:t>
      </w:r>
      <w:r w:rsidRPr="00B82B04">
        <w:t>fiscal</w:t>
      </w:r>
      <w:r>
        <w:t xml:space="preserve"> </w:t>
      </w:r>
      <w:r w:rsidRPr="00B82B04">
        <w:t>year</w:t>
      </w:r>
      <w:r>
        <w:t xml:space="preserve"> </w:t>
      </w:r>
      <w:r w:rsidRPr="00B82B04">
        <w:t>(FY)</w:t>
      </w:r>
      <w:r>
        <w:t xml:space="preserve"> </w:t>
      </w:r>
      <w:r w:rsidRPr="00B82B04">
        <w:t>2022.</w:t>
      </w:r>
      <w:r>
        <w:t xml:space="preserve"> </w:t>
      </w:r>
      <w:r w:rsidRPr="00B82B04">
        <w:t>The</w:t>
      </w:r>
      <w:r>
        <w:t xml:space="preserve"> </w:t>
      </w:r>
      <w:r w:rsidRPr="00B82B04">
        <w:t>current</w:t>
      </w:r>
      <w:r>
        <w:t xml:space="preserve"> </w:t>
      </w:r>
      <w:r w:rsidRPr="00B82B04">
        <w:t>contract’s</w:t>
      </w:r>
      <w:r>
        <w:t xml:space="preserve"> </w:t>
      </w:r>
      <w:r w:rsidRPr="00B82B04">
        <w:t>annualized</w:t>
      </w:r>
      <w:r>
        <w:t xml:space="preserve"> </w:t>
      </w:r>
      <w:r w:rsidRPr="00B82B04">
        <w:t>cost</w:t>
      </w:r>
      <w:r>
        <w:t xml:space="preserve"> </w:t>
      </w:r>
      <w:r w:rsidRPr="00B82B04">
        <w:t>is</w:t>
      </w:r>
      <w:r>
        <w:t xml:space="preserve"> </w:t>
      </w:r>
      <w:r w:rsidRPr="00B82B04">
        <w:t>$243,325.</w:t>
      </w:r>
      <w:r>
        <w:t xml:space="preserve"> </w:t>
      </w:r>
      <w:r w:rsidRPr="00B82B04">
        <w:rPr>
          <w:color w:val="000000"/>
          <w:shd w:val="clear" w:color="auto" w:fill="FFFFFF"/>
        </w:rPr>
        <w:t>PD&amp;R</w:t>
      </w:r>
      <w:r>
        <w:rPr>
          <w:color w:val="000000"/>
          <w:shd w:val="clear" w:color="auto" w:fill="FFFFFF"/>
        </w:rPr>
        <w:t xml:space="preserve"> intends to s</w:t>
      </w:r>
      <w:r w:rsidRPr="00B82B04">
        <w:rPr>
          <w:color w:val="000000"/>
          <w:shd w:val="clear" w:color="auto" w:fill="FFFFFF"/>
        </w:rPr>
        <w:t>ubmit</w:t>
      </w:r>
      <w:r>
        <w:rPr>
          <w:color w:val="000000"/>
          <w:shd w:val="clear" w:color="auto" w:fill="FFFFFF"/>
        </w:rPr>
        <w:t xml:space="preserve"> </w:t>
      </w:r>
      <w:r w:rsidRPr="00B82B04">
        <w:rPr>
          <w:color w:val="000000"/>
          <w:shd w:val="clear" w:color="auto" w:fill="FFFFFF"/>
        </w:rPr>
        <w:t>an</w:t>
      </w:r>
      <w:r>
        <w:rPr>
          <w:color w:val="000000"/>
          <w:shd w:val="clear" w:color="auto" w:fill="FFFFFF"/>
        </w:rPr>
        <w:t xml:space="preserve"> </w:t>
      </w:r>
      <w:r w:rsidRPr="00B82B04">
        <w:rPr>
          <w:color w:val="000000"/>
          <w:shd w:val="clear" w:color="auto" w:fill="FFFFFF"/>
        </w:rPr>
        <w:t>amended</w:t>
      </w:r>
      <w:r>
        <w:rPr>
          <w:color w:val="000000"/>
          <w:shd w:val="clear" w:color="auto" w:fill="FFFFFF"/>
        </w:rPr>
        <w:t xml:space="preserve"> </w:t>
      </w:r>
      <w:r w:rsidRPr="00B82B04">
        <w:rPr>
          <w:color w:val="000000"/>
          <w:shd w:val="clear" w:color="auto" w:fill="FFFFFF"/>
        </w:rPr>
        <w:t>ICR</w:t>
      </w:r>
      <w:r>
        <w:rPr>
          <w:color w:val="000000"/>
          <w:shd w:val="clear" w:color="auto" w:fill="FFFFFF"/>
        </w:rPr>
        <w:t xml:space="preserve"> </w:t>
      </w:r>
      <w:r w:rsidRPr="00B82B04">
        <w:rPr>
          <w:color w:val="000000"/>
          <w:shd w:val="clear" w:color="auto" w:fill="FFFFFF"/>
        </w:rPr>
        <w:t>in</w:t>
      </w:r>
      <w:r>
        <w:rPr>
          <w:color w:val="000000"/>
          <w:shd w:val="clear" w:color="auto" w:fill="FFFFFF"/>
        </w:rPr>
        <w:t xml:space="preserve"> </w:t>
      </w:r>
      <w:r w:rsidRPr="00B82B04">
        <w:rPr>
          <w:color w:val="000000"/>
          <w:shd w:val="clear" w:color="auto" w:fill="FFFFFF"/>
        </w:rPr>
        <w:t>FY</w:t>
      </w:r>
      <w:r>
        <w:rPr>
          <w:color w:val="000000"/>
          <w:shd w:val="clear" w:color="auto" w:fill="FFFFFF"/>
        </w:rPr>
        <w:t xml:space="preserve"> </w:t>
      </w:r>
      <w:r w:rsidRPr="00B82B04">
        <w:rPr>
          <w:color w:val="000000"/>
          <w:shd w:val="clear" w:color="auto" w:fill="FFFFFF"/>
        </w:rPr>
        <w:t>2022</w:t>
      </w:r>
      <w:r>
        <w:rPr>
          <w:color w:val="000000"/>
          <w:shd w:val="clear" w:color="auto" w:fill="FFFFFF"/>
        </w:rPr>
        <w:t xml:space="preserve"> </w:t>
      </w:r>
      <w:r w:rsidRPr="00B82B04">
        <w:rPr>
          <w:color w:val="000000"/>
          <w:shd w:val="clear" w:color="auto" w:fill="FFFFFF"/>
        </w:rPr>
        <w:t>to</w:t>
      </w:r>
      <w:r>
        <w:rPr>
          <w:color w:val="000000"/>
          <w:shd w:val="clear" w:color="auto" w:fill="FFFFFF"/>
        </w:rPr>
        <w:t xml:space="preserve"> </w:t>
      </w:r>
      <w:r w:rsidRPr="00B82B04">
        <w:rPr>
          <w:color w:val="000000"/>
          <w:shd w:val="clear" w:color="auto" w:fill="FFFFFF"/>
        </w:rPr>
        <w:t>reflect</w:t>
      </w:r>
      <w:r>
        <w:rPr>
          <w:color w:val="000000"/>
          <w:shd w:val="clear" w:color="auto" w:fill="FFFFFF"/>
        </w:rPr>
        <w:t xml:space="preserve"> </w:t>
      </w:r>
      <w:r w:rsidRPr="00B82B04">
        <w:rPr>
          <w:color w:val="000000"/>
          <w:shd w:val="clear" w:color="auto" w:fill="FFFFFF"/>
        </w:rPr>
        <w:t>contract</w:t>
      </w:r>
      <w:r>
        <w:rPr>
          <w:color w:val="000000"/>
          <w:shd w:val="clear" w:color="auto" w:fill="FFFFFF"/>
        </w:rPr>
        <w:t xml:space="preserve"> </w:t>
      </w:r>
      <w:r w:rsidRPr="00B82B04">
        <w:rPr>
          <w:color w:val="000000"/>
          <w:shd w:val="clear" w:color="auto" w:fill="FFFFFF"/>
        </w:rPr>
        <w:t>amendments.</w:t>
      </w:r>
      <w:bookmarkEnd w:id="62"/>
    </w:p>
    <w:p w:rsidR="00F5259C" w:rsidP="00F5259C" w:rsidRDefault="00F5259C" w14:paraId="7991A727" w14:textId="77777777">
      <w:pPr>
        <w:tabs>
          <w:tab w:val="left" w:pos="360"/>
        </w:tabs>
        <w:rPr>
          <w:rFonts w:ascii="Arial" w:hAnsi="Arial" w:cs="Univers"/>
          <w:b/>
          <w:bCs/>
        </w:rPr>
      </w:pPr>
    </w:p>
    <w:p w:rsidRPr="00B82B04" w:rsidR="00F5259C" w:rsidP="00F5259C" w:rsidRDefault="00F5259C" w14:paraId="63C681F2" w14:textId="77777777">
      <w:pPr>
        <w:pStyle w:val="Heading1"/>
      </w:pPr>
      <w:bookmarkStart w:name="_Toc69888486" w:id="63"/>
      <w:bookmarkStart w:name="_Toc75878170" w:id="64"/>
      <w:r w:rsidRPr="00B82B04">
        <w:t>15</w:t>
      </w:r>
      <w:r>
        <w:t xml:space="preserve">. </w:t>
      </w:r>
      <w:r w:rsidRPr="00B82B04">
        <w:t>Reasons</w:t>
      </w:r>
      <w:r>
        <w:t xml:space="preserve"> </w:t>
      </w:r>
      <w:r w:rsidRPr="00B82B04">
        <w:t>for</w:t>
      </w:r>
      <w:r>
        <w:t xml:space="preserve"> </w:t>
      </w:r>
      <w:r w:rsidRPr="00B82B04">
        <w:t>Program</w:t>
      </w:r>
      <w:r>
        <w:t xml:space="preserve"> </w:t>
      </w:r>
      <w:r w:rsidRPr="00B82B04">
        <w:t>Changes</w:t>
      </w:r>
      <w:bookmarkEnd w:id="63"/>
      <w:bookmarkEnd w:id="64"/>
    </w:p>
    <w:p w:rsidRPr="00255400" w:rsidR="00F5259C" w:rsidP="00F5259C" w:rsidRDefault="00F5259C" w14:paraId="517407A4" w14:textId="77777777">
      <w:pPr>
        <w:spacing w:after="240"/>
        <w:rPr>
          <w:i/>
        </w:rPr>
      </w:pPr>
      <w:r w:rsidRPr="00255400">
        <w:rPr>
          <w:i/>
        </w:rPr>
        <w:t>Explain</w:t>
      </w:r>
      <w:r>
        <w:rPr>
          <w:i/>
        </w:rPr>
        <w:t xml:space="preserve"> </w:t>
      </w:r>
      <w:r w:rsidRPr="00255400">
        <w:rPr>
          <w:i/>
        </w:rPr>
        <w:t>the</w:t>
      </w:r>
      <w:r>
        <w:rPr>
          <w:i/>
        </w:rPr>
        <w:t xml:space="preserve"> </w:t>
      </w:r>
      <w:r w:rsidRPr="00255400">
        <w:rPr>
          <w:i/>
        </w:rPr>
        <w:t>reasons</w:t>
      </w:r>
      <w:r>
        <w:rPr>
          <w:i/>
        </w:rPr>
        <w:t xml:space="preserve"> </w:t>
      </w:r>
      <w:r w:rsidRPr="00255400">
        <w:rPr>
          <w:i/>
        </w:rPr>
        <w:t>for</w:t>
      </w:r>
      <w:r>
        <w:rPr>
          <w:i/>
        </w:rPr>
        <w:t xml:space="preserve"> </w:t>
      </w:r>
      <w:r w:rsidRPr="00255400">
        <w:rPr>
          <w:i/>
        </w:rPr>
        <w:t>any</w:t>
      </w:r>
      <w:r>
        <w:rPr>
          <w:i/>
        </w:rPr>
        <w:t xml:space="preserve"> </w:t>
      </w:r>
      <w:r w:rsidRPr="00255400">
        <w:rPr>
          <w:i/>
        </w:rPr>
        <w:t>program</w:t>
      </w:r>
      <w:r>
        <w:rPr>
          <w:i/>
        </w:rPr>
        <w:t xml:space="preserve"> </w:t>
      </w:r>
      <w:r w:rsidRPr="00255400">
        <w:rPr>
          <w:i/>
        </w:rPr>
        <w:t>changes</w:t>
      </w:r>
      <w:r>
        <w:rPr>
          <w:i/>
        </w:rPr>
        <w:t xml:space="preserve"> </w:t>
      </w:r>
      <w:r w:rsidRPr="00255400">
        <w:rPr>
          <w:i/>
        </w:rPr>
        <w:t>or</w:t>
      </w:r>
      <w:r>
        <w:rPr>
          <w:i/>
        </w:rPr>
        <w:t xml:space="preserve"> </w:t>
      </w:r>
      <w:r w:rsidRPr="00255400">
        <w:rPr>
          <w:i/>
        </w:rPr>
        <w:t>adjustments</w:t>
      </w:r>
      <w:r>
        <w:rPr>
          <w:i/>
        </w:rPr>
        <w:t xml:space="preserve"> </w:t>
      </w:r>
      <w:r w:rsidRPr="00255400">
        <w:rPr>
          <w:i/>
        </w:rPr>
        <w:t>reported</w:t>
      </w:r>
      <w:r>
        <w:rPr>
          <w:i/>
        </w:rPr>
        <w:t xml:space="preserve"> </w:t>
      </w:r>
      <w:r w:rsidRPr="00255400">
        <w:rPr>
          <w:i/>
        </w:rPr>
        <w:t>in</w:t>
      </w:r>
      <w:r>
        <w:rPr>
          <w:i/>
        </w:rPr>
        <w:t xml:space="preserve"> </w:t>
      </w:r>
      <w:r w:rsidRPr="00255400">
        <w:rPr>
          <w:i/>
        </w:rPr>
        <w:t>Items</w:t>
      </w:r>
      <w:r>
        <w:rPr>
          <w:i/>
        </w:rPr>
        <w:t xml:space="preserve"> </w:t>
      </w:r>
      <w:r w:rsidRPr="00255400">
        <w:rPr>
          <w:i/>
        </w:rPr>
        <w:t>13</w:t>
      </w:r>
      <w:r>
        <w:rPr>
          <w:i/>
        </w:rPr>
        <w:t xml:space="preserve"> </w:t>
      </w:r>
      <w:r w:rsidRPr="00255400">
        <w:rPr>
          <w:i/>
        </w:rPr>
        <w:t>or</w:t>
      </w:r>
      <w:r>
        <w:rPr>
          <w:i/>
        </w:rPr>
        <w:t xml:space="preserve"> </w:t>
      </w:r>
      <w:r w:rsidRPr="00255400">
        <w:rPr>
          <w:i/>
        </w:rPr>
        <w:t>14</w:t>
      </w:r>
      <w:r>
        <w:rPr>
          <w:i/>
        </w:rPr>
        <w:t xml:space="preserve"> </w:t>
      </w:r>
      <w:r w:rsidRPr="00255400">
        <w:rPr>
          <w:i/>
        </w:rPr>
        <w:t>of</w:t>
      </w:r>
      <w:r>
        <w:rPr>
          <w:i/>
        </w:rPr>
        <w:t xml:space="preserve"> </w:t>
      </w:r>
      <w:r w:rsidRPr="00255400">
        <w:rPr>
          <w:i/>
        </w:rPr>
        <w:t>the</w:t>
      </w:r>
      <w:r>
        <w:rPr>
          <w:i/>
        </w:rPr>
        <w:t xml:space="preserve"> </w:t>
      </w:r>
      <w:r w:rsidRPr="00255400">
        <w:rPr>
          <w:i/>
        </w:rPr>
        <w:t>OMB</w:t>
      </w:r>
      <w:r>
        <w:rPr>
          <w:i/>
        </w:rPr>
        <w:t xml:space="preserve"> </w:t>
      </w:r>
      <w:r w:rsidRPr="00255400">
        <w:rPr>
          <w:i/>
        </w:rPr>
        <w:t>Form</w:t>
      </w:r>
      <w:r>
        <w:rPr>
          <w:i/>
        </w:rPr>
        <w:t xml:space="preserve"> </w:t>
      </w:r>
      <w:r w:rsidRPr="00255400">
        <w:rPr>
          <w:i/>
        </w:rPr>
        <w:t>83-I.</w:t>
      </w:r>
    </w:p>
    <w:p w:rsidRPr="00B82B04" w:rsidR="00F5259C" w:rsidP="00F5259C" w:rsidRDefault="00F5259C" w14:paraId="6B55F98A" w14:textId="77777777">
      <w:pPr>
        <w:spacing w:after="240"/>
      </w:pPr>
      <w:r w:rsidRPr="00B82B04">
        <w:t>This</w:t>
      </w:r>
      <w:r>
        <w:t xml:space="preserve"> </w:t>
      </w:r>
      <w:r w:rsidRPr="00B82B04">
        <w:t>is</w:t>
      </w:r>
      <w:r>
        <w:t xml:space="preserve"> </w:t>
      </w:r>
      <w:r w:rsidRPr="00B82B04">
        <w:t>a</w:t>
      </w:r>
      <w:r>
        <w:t xml:space="preserve"> new </w:t>
      </w:r>
      <w:r w:rsidRPr="00B82B04">
        <w:t>request;</w:t>
      </w:r>
      <w:r>
        <w:t xml:space="preserve"> </w:t>
      </w:r>
      <w:r w:rsidRPr="00B82B04">
        <w:t>there</w:t>
      </w:r>
      <w:r>
        <w:t xml:space="preserve"> </w:t>
      </w:r>
      <w:r w:rsidRPr="00B82B04">
        <w:t>are</w:t>
      </w:r>
      <w:r>
        <w:t xml:space="preserve"> </w:t>
      </w:r>
      <w:r w:rsidRPr="00B82B04">
        <w:t>no</w:t>
      </w:r>
      <w:r>
        <w:t xml:space="preserve"> </w:t>
      </w:r>
      <w:r w:rsidRPr="00B82B04">
        <w:t>changes</w:t>
      </w:r>
      <w:r>
        <w:t xml:space="preserve"> </w:t>
      </w:r>
      <w:r w:rsidRPr="00B82B04">
        <w:t>or</w:t>
      </w:r>
      <w:r>
        <w:t xml:space="preserve"> </w:t>
      </w:r>
      <w:r w:rsidRPr="00B82B04">
        <w:t>adjustments</w:t>
      </w:r>
      <w:r>
        <w:t xml:space="preserve"> </w:t>
      </w:r>
      <w:r w:rsidRPr="00B82B04">
        <w:t>to</w:t>
      </w:r>
      <w:r>
        <w:t xml:space="preserve"> </w:t>
      </w:r>
      <w:r w:rsidRPr="00B82B04">
        <w:t>Items</w:t>
      </w:r>
      <w:r>
        <w:t xml:space="preserve"> </w:t>
      </w:r>
      <w:r w:rsidRPr="00B82B04">
        <w:t>13</w:t>
      </w:r>
      <w:r>
        <w:t xml:space="preserve"> </w:t>
      </w:r>
      <w:r w:rsidRPr="00B82B04">
        <w:t>or</w:t>
      </w:r>
      <w:r>
        <w:t xml:space="preserve"> </w:t>
      </w:r>
      <w:r w:rsidRPr="00B82B04">
        <w:t>14.</w:t>
      </w:r>
    </w:p>
    <w:p w:rsidRPr="00B82B04" w:rsidR="00F5259C" w:rsidP="00F5259C" w:rsidRDefault="00F5259C" w14:paraId="5C53109A" w14:textId="77777777">
      <w:pPr>
        <w:pStyle w:val="Heading1"/>
      </w:pPr>
      <w:bookmarkStart w:name="_Toc69888487" w:id="65"/>
      <w:bookmarkStart w:name="_Toc75878171" w:id="66"/>
      <w:r w:rsidRPr="00B82B04">
        <w:t>16</w:t>
      </w:r>
      <w:r>
        <w:t xml:space="preserve">. </w:t>
      </w:r>
      <w:r w:rsidRPr="00B82B04">
        <w:t>Plans</w:t>
      </w:r>
      <w:r>
        <w:t xml:space="preserve"> </w:t>
      </w:r>
      <w:r w:rsidRPr="00B82B04">
        <w:t>for</w:t>
      </w:r>
      <w:r>
        <w:t xml:space="preserve"> </w:t>
      </w:r>
      <w:r w:rsidRPr="00B82B04">
        <w:t>Publication</w:t>
      </w:r>
      <w:bookmarkEnd w:id="65"/>
      <w:bookmarkEnd w:id="66"/>
      <w:r>
        <w:t xml:space="preserve">, Analytical Techniques, and Schedule </w:t>
      </w:r>
    </w:p>
    <w:p w:rsidRPr="00255400" w:rsidR="00F5259C" w:rsidP="00F5259C" w:rsidRDefault="00F5259C" w14:paraId="79B0CC51" w14:textId="77777777">
      <w:pPr>
        <w:spacing w:after="240"/>
        <w:rPr>
          <w:i/>
        </w:rPr>
      </w:pPr>
      <w:r w:rsidRPr="00255400">
        <w:rPr>
          <w:i/>
        </w:rPr>
        <w:t>For</w:t>
      </w:r>
      <w:r>
        <w:rPr>
          <w:i/>
        </w:rPr>
        <w:t xml:space="preserve"> </w:t>
      </w:r>
      <w:r w:rsidRPr="00255400">
        <w:rPr>
          <w:i/>
        </w:rPr>
        <w:t>collections</w:t>
      </w:r>
      <w:r>
        <w:rPr>
          <w:i/>
        </w:rPr>
        <w:t xml:space="preserve"> </w:t>
      </w:r>
      <w:r w:rsidRPr="00255400">
        <w:rPr>
          <w:i/>
        </w:rPr>
        <w:t>of</w:t>
      </w:r>
      <w:r>
        <w:rPr>
          <w:i/>
        </w:rPr>
        <w:t xml:space="preserve"> </w:t>
      </w:r>
      <w:r w:rsidRPr="00255400">
        <w:rPr>
          <w:i/>
        </w:rPr>
        <w:t>information</w:t>
      </w:r>
      <w:r>
        <w:rPr>
          <w:i/>
        </w:rPr>
        <w:t xml:space="preserve"> </w:t>
      </w:r>
      <w:r w:rsidRPr="00255400">
        <w:rPr>
          <w:i/>
        </w:rPr>
        <w:t>whose</w:t>
      </w:r>
      <w:r>
        <w:rPr>
          <w:i/>
        </w:rPr>
        <w:t xml:space="preserve"> </w:t>
      </w:r>
      <w:r w:rsidRPr="00255400">
        <w:rPr>
          <w:i/>
        </w:rPr>
        <w:t>results</w:t>
      </w:r>
      <w:r>
        <w:rPr>
          <w:i/>
        </w:rPr>
        <w:t xml:space="preserve"> </w:t>
      </w:r>
      <w:r w:rsidRPr="00255400">
        <w:rPr>
          <w:i/>
        </w:rPr>
        <w:t>will</w:t>
      </w:r>
      <w:r>
        <w:rPr>
          <w:i/>
        </w:rPr>
        <w:t xml:space="preserve"> </w:t>
      </w:r>
      <w:r w:rsidRPr="00255400">
        <w:rPr>
          <w:i/>
        </w:rPr>
        <w:t>be</w:t>
      </w:r>
      <w:r>
        <w:rPr>
          <w:i/>
        </w:rPr>
        <w:t xml:space="preserve"> </w:t>
      </w:r>
      <w:r w:rsidRPr="00255400">
        <w:rPr>
          <w:i/>
        </w:rPr>
        <w:t>published,</w:t>
      </w:r>
      <w:r>
        <w:rPr>
          <w:i/>
        </w:rPr>
        <w:t xml:space="preserve"> </w:t>
      </w:r>
      <w:r w:rsidRPr="00255400">
        <w:rPr>
          <w:i/>
        </w:rPr>
        <w:t>outline</w:t>
      </w:r>
      <w:r>
        <w:rPr>
          <w:i/>
        </w:rPr>
        <w:t xml:space="preserve"> </w:t>
      </w:r>
      <w:r w:rsidRPr="00255400">
        <w:rPr>
          <w:i/>
        </w:rPr>
        <w:t>plans</w:t>
      </w:r>
      <w:r>
        <w:rPr>
          <w:i/>
        </w:rPr>
        <w:t xml:space="preserve"> </w:t>
      </w:r>
      <w:r w:rsidRPr="00255400">
        <w:rPr>
          <w:i/>
        </w:rPr>
        <w:t>for</w:t>
      </w:r>
      <w:r>
        <w:rPr>
          <w:i/>
        </w:rPr>
        <w:t xml:space="preserve"> </w:t>
      </w:r>
      <w:r w:rsidRPr="00255400">
        <w:rPr>
          <w:i/>
        </w:rPr>
        <w:t>tabulation</w:t>
      </w:r>
      <w:r>
        <w:rPr>
          <w:i/>
        </w:rPr>
        <w:t xml:space="preserve"> </w:t>
      </w:r>
      <w:r w:rsidRPr="00255400">
        <w:rPr>
          <w:i/>
        </w:rPr>
        <w:t>and</w:t>
      </w:r>
      <w:r>
        <w:rPr>
          <w:i/>
        </w:rPr>
        <w:t xml:space="preserve"> </w:t>
      </w:r>
      <w:r w:rsidRPr="00255400">
        <w:rPr>
          <w:i/>
        </w:rPr>
        <w:t>publication.</w:t>
      </w:r>
      <w:r>
        <w:rPr>
          <w:i/>
        </w:rPr>
        <w:t xml:space="preserve"> </w:t>
      </w:r>
      <w:r w:rsidRPr="00255400">
        <w:rPr>
          <w:i/>
        </w:rPr>
        <w:t>Address</w:t>
      </w:r>
      <w:r>
        <w:rPr>
          <w:i/>
        </w:rPr>
        <w:t xml:space="preserve"> </w:t>
      </w:r>
      <w:r w:rsidRPr="00255400">
        <w:rPr>
          <w:i/>
        </w:rPr>
        <w:t>any</w:t>
      </w:r>
      <w:r>
        <w:rPr>
          <w:i/>
        </w:rPr>
        <w:t xml:space="preserve"> </w:t>
      </w:r>
      <w:r w:rsidRPr="00255400">
        <w:rPr>
          <w:i/>
        </w:rPr>
        <w:t>complex</w:t>
      </w:r>
      <w:r>
        <w:rPr>
          <w:i/>
        </w:rPr>
        <w:t xml:space="preserve"> </w:t>
      </w:r>
      <w:r w:rsidRPr="00255400">
        <w:rPr>
          <w:i/>
        </w:rPr>
        <w:t>analytical</w:t>
      </w:r>
      <w:r>
        <w:rPr>
          <w:i/>
        </w:rPr>
        <w:t xml:space="preserve"> </w:t>
      </w:r>
      <w:r w:rsidRPr="00255400">
        <w:rPr>
          <w:i/>
        </w:rPr>
        <w:t>techniques</w:t>
      </w:r>
      <w:r>
        <w:rPr>
          <w:i/>
        </w:rPr>
        <w:t xml:space="preserve"> </w:t>
      </w:r>
      <w:r w:rsidRPr="00255400">
        <w:rPr>
          <w:i/>
        </w:rPr>
        <w:t>that</w:t>
      </w:r>
      <w:r>
        <w:rPr>
          <w:i/>
        </w:rPr>
        <w:t xml:space="preserve"> </w:t>
      </w:r>
      <w:r w:rsidRPr="00255400">
        <w:rPr>
          <w:i/>
        </w:rPr>
        <w:t>will</w:t>
      </w:r>
      <w:r>
        <w:rPr>
          <w:i/>
        </w:rPr>
        <w:t xml:space="preserve"> </w:t>
      </w:r>
      <w:r w:rsidRPr="00255400">
        <w:rPr>
          <w:i/>
        </w:rPr>
        <w:t>be</w:t>
      </w:r>
      <w:r>
        <w:rPr>
          <w:i/>
        </w:rPr>
        <w:t xml:space="preserve"> </w:t>
      </w:r>
      <w:r w:rsidRPr="00255400">
        <w:rPr>
          <w:i/>
        </w:rPr>
        <w:t>used.</w:t>
      </w:r>
      <w:r>
        <w:rPr>
          <w:i/>
        </w:rPr>
        <w:t xml:space="preserve"> </w:t>
      </w:r>
      <w:r w:rsidRPr="00255400">
        <w:rPr>
          <w:i/>
        </w:rPr>
        <w:t>Provide</w:t>
      </w:r>
      <w:r>
        <w:rPr>
          <w:i/>
        </w:rPr>
        <w:t xml:space="preserve"> </w:t>
      </w:r>
      <w:r w:rsidRPr="00255400">
        <w:rPr>
          <w:i/>
        </w:rPr>
        <w:t>the</w:t>
      </w:r>
      <w:r>
        <w:rPr>
          <w:i/>
        </w:rPr>
        <w:t xml:space="preserve"> </w:t>
      </w:r>
      <w:r w:rsidRPr="00255400">
        <w:rPr>
          <w:i/>
        </w:rPr>
        <w:t>time</w:t>
      </w:r>
      <w:r>
        <w:rPr>
          <w:i/>
        </w:rPr>
        <w:t xml:space="preserve"> </w:t>
      </w:r>
      <w:r w:rsidRPr="00255400">
        <w:rPr>
          <w:i/>
        </w:rPr>
        <w:t>schedule</w:t>
      </w:r>
      <w:r>
        <w:rPr>
          <w:i/>
        </w:rPr>
        <w:t xml:space="preserve"> </w:t>
      </w:r>
      <w:r w:rsidRPr="00255400">
        <w:rPr>
          <w:i/>
        </w:rPr>
        <w:t>for</w:t>
      </w:r>
      <w:r>
        <w:rPr>
          <w:i/>
        </w:rPr>
        <w:t xml:space="preserve"> </w:t>
      </w:r>
      <w:r w:rsidRPr="00255400">
        <w:rPr>
          <w:i/>
        </w:rPr>
        <w:t>the</w:t>
      </w:r>
      <w:r>
        <w:rPr>
          <w:i/>
        </w:rPr>
        <w:t xml:space="preserve"> </w:t>
      </w:r>
      <w:r w:rsidRPr="00255400">
        <w:rPr>
          <w:i/>
        </w:rPr>
        <w:t>entire</w:t>
      </w:r>
      <w:r>
        <w:rPr>
          <w:i/>
        </w:rPr>
        <w:t xml:space="preserve"> </w:t>
      </w:r>
      <w:r w:rsidRPr="00255400">
        <w:rPr>
          <w:i/>
        </w:rPr>
        <w:t>project,</w:t>
      </w:r>
      <w:r>
        <w:rPr>
          <w:i/>
        </w:rPr>
        <w:t xml:space="preserve"> </w:t>
      </w:r>
      <w:r w:rsidRPr="00255400">
        <w:rPr>
          <w:i/>
        </w:rPr>
        <w:t>including</w:t>
      </w:r>
      <w:r>
        <w:rPr>
          <w:i/>
        </w:rPr>
        <w:t xml:space="preserve"> </w:t>
      </w:r>
      <w:r w:rsidRPr="00255400">
        <w:rPr>
          <w:i/>
        </w:rPr>
        <w:t>beginning</w:t>
      </w:r>
      <w:r>
        <w:rPr>
          <w:i/>
        </w:rPr>
        <w:t xml:space="preserve"> </w:t>
      </w:r>
      <w:r w:rsidRPr="00255400">
        <w:rPr>
          <w:i/>
        </w:rPr>
        <w:t>and</w:t>
      </w:r>
      <w:r>
        <w:rPr>
          <w:i/>
        </w:rPr>
        <w:t xml:space="preserve"> </w:t>
      </w:r>
      <w:r w:rsidRPr="00255400">
        <w:rPr>
          <w:i/>
        </w:rPr>
        <w:t>ending</w:t>
      </w:r>
      <w:r>
        <w:rPr>
          <w:i/>
        </w:rPr>
        <w:t xml:space="preserve"> </w:t>
      </w:r>
      <w:r w:rsidRPr="00255400">
        <w:rPr>
          <w:i/>
        </w:rPr>
        <w:t>dates</w:t>
      </w:r>
      <w:r>
        <w:rPr>
          <w:i/>
        </w:rPr>
        <w:t xml:space="preserve"> </w:t>
      </w:r>
      <w:r w:rsidRPr="00255400">
        <w:rPr>
          <w:i/>
        </w:rPr>
        <w:t>of</w:t>
      </w:r>
      <w:r>
        <w:rPr>
          <w:i/>
        </w:rPr>
        <w:t xml:space="preserve"> </w:t>
      </w:r>
      <w:r w:rsidRPr="00255400">
        <w:rPr>
          <w:i/>
        </w:rPr>
        <w:t>the</w:t>
      </w:r>
      <w:r>
        <w:rPr>
          <w:i/>
        </w:rPr>
        <w:t xml:space="preserve"> </w:t>
      </w:r>
      <w:r w:rsidRPr="00255400">
        <w:rPr>
          <w:i/>
        </w:rPr>
        <w:t>collection</w:t>
      </w:r>
      <w:r>
        <w:rPr>
          <w:i/>
        </w:rPr>
        <w:t xml:space="preserve"> </w:t>
      </w:r>
      <w:r w:rsidRPr="00255400">
        <w:rPr>
          <w:i/>
        </w:rPr>
        <w:t>of</w:t>
      </w:r>
      <w:r>
        <w:rPr>
          <w:i/>
        </w:rPr>
        <w:t xml:space="preserve"> </w:t>
      </w:r>
      <w:r w:rsidRPr="00255400">
        <w:rPr>
          <w:i/>
        </w:rPr>
        <w:t>information,</w:t>
      </w:r>
      <w:r>
        <w:rPr>
          <w:i/>
        </w:rPr>
        <w:t xml:space="preserve"> </w:t>
      </w:r>
      <w:r w:rsidRPr="00255400">
        <w:rPr>
          <w:i/>
        </w:rPr>
        <w:t>completion</w:t>
      </w:r>
      <w:r>
        <w:rPr>
          <w:i/>
        </w:rPr>
        <w:t xml:space="preserve"> </w:t>
      </w:r>
      <w:r w:rsidRPr="00255400">
        <w:rPr>
          <w:i/>
        </w:rPr>
        <w:t>of</w:t>
      </w:r>
      <w:r>
        <w:rPr>
          <w:i/>
        </w:rPr>
        <w:t xml:space="preserve"> </w:t>
      </w:r>
      <w:r w:rsidRPr="00255400">
        <w:rPr>
          <w:i/>
        </w:rPr>
        <w:t>report,</w:t>
      </w:r>
      <w:r>
        <w:rPr>
          <w:i/>
        </w:rPr>
        <w:t xml:space="preserve"> </w:t>
      </w:r>
      <w:r w:rsidRPr="00255400">
        <w:rPr>
          <w:i/>
        </w:rPr>
        <w:t>publication</w:t>
      </w:r>
      <w:r>
        <w:rPr>
          <w:i/>
        </w:rPr>
        <w:t xml:space="preserve"> </w:t>
      </w:r>
      <w:r w:rsidRPr="00255400">
        <w:rPr>
          <w:i/>
        </w:rPr>
        <w:t>dates,</w:t>
      </w:r>
      <w:r>
        <w:rPr>
          <w:i/>
        </w:rPr>
        <w:t xml:space="preserve"> </w:t>
      </w:r>
      <w:r w:rsidRPr="00255400">
        <w:rPr>
          <w:i/>
        </w:rPr>
        <w:t>and</w:t>
      </w:r>
      <w:r>
        <w:rPr>
          <w:i/>
        </w:rPr>
        <w:t xml:space="preserve"> </w:t>
      </w:r>
      <w:r w:rsidRPr="00255400">
        <w:rPr>
          <w:i/>
        </w:rPr>
        <w:t>other</w:t>
      </w:r>
      <w:r>
        <w:rPr>
          <w:i/>
        </w:rPr>
        <w:t xml:space="preserve"> </w:t>
      </w:r>
      <w:r w:rsidRPr="00255400">
        <w:rPr>
          <w:i/>
        </w:rPr>
        <w:t>actions</w:t>
      </w:r>
      <w:r w:rsidRPr="00255400">
        <w:rPr>
          <w:i/>
          <w:iCs/>
        </w:rPr>
        <w:t>.</w:t>
      </w:r>
    </w:p>
    <w:p w:rsidR="00F5259C" w:rsidP="00F5259C" w:rsidRDefault="00F5259C" w14:paraId="0E9B409B" w14:textId="77777777">
      <w:pPr>
        <w:pStyle w:val="Heading2"/>
      </w:pPr>
      <w:r>
        <w:t xml:space="preserve"> Plans for Publication</w:t>
      </w:r>
    </w:p>
    <w:p w:rsidR="00F5259C" w:rsidP="00F5259C" w:rsidRDefault="00F5259C" w14:paraId="750A337A" w14:textId="77777777">
      <w:pPr>
        <w:pStyle w:val="BodyText22"/>
        <w:widowControl/>
        <w:tabs>
          <w:tab w:val="clear" w:pos="0"/>
        </w:tabs>
        <w:spacing w:after="240"/>
        <w:rPr>
          <w:rFonts w:ascii="Times New Roman" w:hAnsi="Times New Roman" w:cs="Times New Roman"/>
          <w:b w:val="0"/>
          <w:bCs w:val="0"/>
          <w:sz w:val="24"/>
          <w:szCs w:val="24"/>
        </w:rPr>
      </w:pPr>
      <w:r w:rsidRPr="00B82B04">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purpose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of</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this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Evaluation</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is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to</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improve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operations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of</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OAHMP</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and</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any</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other</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future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grant</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programs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for</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home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modification</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services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for</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older</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adults.</w:t>
      </w:r>
      <w:r>
        <w:rPr>
          <w:rFonts w:ascii="Times New Roman" w:hAnsi="Times New Roman" w:cs="Times New Roman"/>
          <w:b w:val="0"/>
          <w:bCs w:val="0"/>
          <w:sz w:val="24"/>
          <w:szCs w:val="24"/>
        </w:rPr>
        <w:t xml:space="preserve"> </w:t>
      </w:r>
      <w:bookmarkStart w:name="_Hlk66192267" w:id="67"/>
      <w:r w:rsidRPr="00B82B04">
        <w:rPr>
          <w:rFonts w:ascii="Times New Roman" w:hAnsi="Times New Roman" w:cs="Times New Roman"/>
          <w:b w:val="0"/>
          <w:bCs w:val="0"/>
          <w:sz w:val="24"/>
          <w:szCs w:val="24"/>
        </w:rPr>
        <w:t>PD&amp;R</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will</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publish</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final,</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HUD-approved</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report</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on</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proofErr w:type="spellStart"/>
      <w:r w:rsidRPr="00B82B04">
        <w:rPr>
          <w:rFonts w:ascii="Times New Roman" w:hAnsi="Times New Roman" w:cs="Times New Roman"/>
          <w:b w:val="0"/>
          <w:bCs w:val="0"/>
          <w:sz w:val="24"/>
          <w:szCs w:val="24"/>
        </w:rPr>
        <w:t>HUDuser</w:t>
      </w:r>
      <w:proofErr w:type="spellEnd"/>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website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w:t>
      </w:r>
      <w:hyperlink w:history="1" r:id="rId32">
        <w:r w:rsidRPr="00B82B04">
          <w:rPr>
            <w:rStyle w:val="Hyperlink"/>
            <w:rFonts w:ascii="Times New Roman" w:hAnsi="Times New Roman" w:cs="Times New Roman"/>
            <w:b w:val="0"/>
            <w:bCs w:val="0"/>
            <w:sz w:val="24"/>
            <w:szCs w:val="24"/>
          </w:rPr>
          <w:t>https://www.huduser.gov/portal/home.html</w:t>
        </w:r>
      </w:hyperlink>
      <w:r w:rsidRPr="00B82B04">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Getting</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peer</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review</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of</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report</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and</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preparing</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possible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journal</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articles</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for</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publication</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were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not</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part</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of</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evaluation</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contractor’s</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proposal</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and</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budget.</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HUD</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may</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consider</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acquiring</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these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services</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in</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Pr="00255400">
        <w:rPr>
          <w:rFonts w:ascii="Times New Roman" w:hAnsi="Times New Roman" w:cs="Times New Roman"/>
          <w:b w:val="0"/>
          <w:bCs w:val="0"/>
          <w:sz w:val="24"/>
          <w:szCs w:val="24"/>
        </w:rPr>
        <w:t>future</w:t>
      </w:r>
      <w:bookmarkEnd w:id="67"/>
      <w:r>
        <w:rPr>
          <w:rFonts w:ascii="Times New Roman" w:hAnsi="Times New Roman" w:cs="Times New Roman"/>
          <w:b w:val="0"/>
          <w:bCs w:val="0"/>
          <w:sz w:val="24"/>
          <w:szCs w:val="24"/>
        </w:rPr>
        <w:t>.</w:t>
      </w:r>
    </w:p>
    <w:p w:rsidRPr="00B82B04" w:rsidR="00F5259C" w:rsidP="00F5259C" w:rsidRDefault="00F5259C" w14:paraId="2365BFDD" w14:textId="77777777">
      <w:pPr>
        <w:pStyle w:val="Heading2"/>
      </w:pPr>
      <w:r>
        <w:t xml:space="preserve"> Analytical Techniques</w:t>
      </w:r>
    </w:p>
    <w:p w:rsidR="00F5259C" w:rsidP="00F5259C" w:rsidRDefault="00F5259C" w14:paraId="117E5489" w14:textId="77777777">
      <w:pPr>
        <w:pStyle w:val="BodyText22"/>
        <w:widowControl/>
        <w:tabs>
          <w:tab w:val="clear" w:pos="0"/>
        </w:tabs>
        <w:spacing w:after="240"/>
        <w:rPr>
          <w:rFonts w:ascii="Times New Roman" w:hAnsi="Times New Roman" w:cs="Times New Roman"/>
          <w:b w:val="0"/>
          <w:bCs w:val="0"/>
          <w:sz w:val="24"/>
          <w:szCs w:val="24"/>
        </w:rPr>
      </w:pPr>
      <w:r w:rsidRPr="00B82B04">
        <w:rPr>
          <w:rFonts w:ascii="Times New Roman" w:hAnsi="Times New Roman" w:cs="Times New Roman"/>
          <w:b w:val="0"/>
          <w:bCs w:val="0"/>
          <w:sz w:val="24"/>
          <w:szCs w:val="24"/>
        </w:rPr>
        <w:t>Analytical</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techniques</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are</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discussed</w:t>
      </w:r>
      <w:r>
        <w:rPr>
          <w:rFonts w:ascii="Times New Roman" w:hAnsi="Times New Roman" w:cs="Times New Roman"/>
          <w:b w:val="0"/>
          <w:bCs w:val="0"/>
          <w:sz w:val="24"/>
          <w:szCs w:val="24"/>
        </w:rPr>
        <w:t xml:space="preserve"> </w:t>
      </w:r>
      <w:r w:rsidRPr="00B82B04">
        <w:rPr>
          <w:rFonts w:ascii="Times New Roman" w:hAnsi="Times New Roman" w:cs="Times New Roman"/>
          <w:b w:val="0"/>
          <w:bCs w:val="0"/>
          <w:sz w:val="24"/>
          <w:szCs w:val="24"/>
        </w:rPr>
        <w:t>in</w:t>
      </w:r>
      <w:r>
        <w:rPr>
          <w:rFonts w:ascii="Times New Roman" w:hAnsi="Times New Roman"/>
          <w:b w:val="0"/>
          <w:sz w:val="24"/>
        </w:rPr>
        <w:t xml:space="preserve"> </w:t>
      </w:r>
      <w:r w:rsidRPr="00CE060B">
        <w:rPr>
          <w:rFonts w:ascii="Times New Roman" w:hAnsi="Times New Roman"/>
          <w:b w:val="0"/>
          <w:sz w:val="24"/>
        </w:rPr>
        <w:t>B</w:t>
      </w:r>
      <w:r w:rsidRPr="0099685D">
        <w:rPr>
          <w:rFonts w:ascii="Times New Roman" w:hAnsi="Times New Roman"/>
          <w:b w:val="0"/>
          <w:sz w:val="24"/>
        </w:rPr>
        <w:t>.2</w:t>
      </w:r>
      <w:r w:rsidRPr="009307DA">
        <w:rPr>
          <w:rFonts w:ascii="Times New Roman" w:hAnsi="Times New Roman"/>
          <w:b w:val="0"/>
          <w:sz w:val="24"/>
        </w:rPr>
        <w:t>.</w:t>
      </w:r>
    </w:p>
    <w:p w:rsidR="00F5259C" w:rsidP="00F5259C" w:rsidRDefault="00F5259C" w14:paraId="367DB7AE" w14:textId="77777777">
      <w:pPr>
        <w:pStyle w:val="Heading2"/>
      </w:pPr>
      <w:r>
        <w:t xml:space="preserve">Project </w:t>
      </w:r>
      <w:r w:rsidRPr="00AC497C">
        <w:t>Schedule</w:t>
      </w:r>
    </w:p>
    <w:p w:rsidRPr="00B82B04" w:rsidR="00F5259C" w:rsidP="00F5259C" w:rsidRDefault="00F5259C" w14:paraId="0FFC52A0" w14:textId="77777777">
      <w:pPr>
        <w:pStyle w:val="NormalOMB"/>
        <w:spacing w:after="240"/>
        <w:ind w:firstLine="0"/>
      </w:pPr>
      <w:r w:rsidRPr="00B82B04">
        <w:t>The</w:t>
      </w:r>
      <w:r>
        <w:t xml:space="preserve"> </w:t>
      </w:r>
      <w:r w:rsidRPr="00B82B04">
        <w:t>Evaluation’s</w:t>
      </w:r>
      <w:r>
        <w:t xml:space="preserve"> </w:t>
      </w:r>
      <w:r w:rsidRPr="00B82B04">
        <w:t>current</w:t>
      </w:r>
      <w:r>
        <w:t xml:space="preserve"> </w:t>
      </w:r>
      <w:r w:rsidRPr="00B82B04">
        <w:t>period</w:t>
      </w:r>
      <w:r>
        <w:t xml:space="preserve"> </w:t>
      </w:r>
      <w:r w:rsidRPr="00B82B04">
        <w:t>of</w:t>
      </w:r>
      <w:r>
        <w:t xml:space="preserve"> </w:t>
      </w:r>
      <w:r w:rsidRPr="00B82B04">
        <w:t>performance</w:t>
      </w:r>
      <w:r>
        <w:t xml:space="preserve"> </w:t>
      </w:r>
      <w:r w:rsidRPr="00B82B04">
        <w:t>is</w:t>
      </w:r>
      <w:r>
        <w:t xml:space="preserve"> </w:t>
      </w:r>
      <w:r w:rsidRPr="00B82B04">
        <w:t>from</w:t>
      </w:r>
      <w:r>
        <w:t xml:space="preserve"> </w:t>
      </w:r>
      <w:r w:rsidRPr="00B82B04">
        <w:t>September</w:t>
      </w:r>
      <w:r>
        <w:t xml:space="preserve"> </w:t>
      </w:r>
      <w:r w:rsidRPr="00B82B04">
        <w:t>30,</w:t>
      </w:r>
      <w:r>
        <w:t xml:space="preserve"> </w:t>
      </w:r>
      <w:r w:rsidRPr="00B82B04">
        <w:t>2020,</w:t>
      </w:r>
      <w:r>
        <w:t xml:space="preserve"> </w:t>
      </w:r>
      <w:r w:rsidRPr="00B82B04">
        <w:t>to</w:t>
      </w:r>
      <w:r>
        <w:t xml:space="preserve"> </w:t>
      </w:r>
      <w:r w:rsidRPr="00B82B04">
        <w:t>March</w:t>
      </w:r>
      <w:r>
        <w:t xml:space="preserve"> </w:t>
      </w:r>
      <w:r w:rsidRPr="00B82B04">
        <w:t>30,</w:t>
      </w:r>
      <w:r>
        <w:t xml:space="preserve"> </w:t>
      </w:r>
      <w:r w:rsidRPr="00B82B04">
        <w:t>2024;</w:t>
      </w:r>
      <w:r>
        <w:t xml:space="preserve"> </w:t>
      </w:r>
      <w:r w:rsidRPr="00B82B04">
        <w:t>OAHMP</w:t>
      </w:r>
      <w:r>
        <w:t xml:space="preserve"> </w:t>
      </w:r>
      <w:r w:rsidRPr="00B82B04">
        <w:t>grantees’</w:t>
      </w:r>
      <w:r>
        <w:t xml:space="preserve"> </w:t>
      </w:r>
      <w:r w:rsidRPr="00B82B04">
        <w:t>period</w:t>
      </w:r>
      <w:r>
        <w:t xml:space="preserve"> </w:t>
      </w:r>
      <w:r w:rsidRPr="00B82B04">
        <w:t>of</w:t>
      </w:r>
      <w:r>
        <w:t xml:space="preserve"> </w:t>
      </w:r>
      <w:r w:rsidRPr="00B82B04">
        <w:t>performance</w:t>
      </w:r>
      <w:r>
        <w:t xml:space="preserve"> </w:t>
      </w:r>
      <w:r w:rsidRPr="00B82B04">
        <w:t>is</w:t>
      </w:r>
      <w:r>
        <w:t xml:space="preserve"> </w:t>
      </w:r>
      <w:r w:rsidRPr="00B82B04">
        <w:t>from</w:t>
      </w:r>
      <w:r>
        <w:t xml:space="preserve"> </w:t>
      </w:r>
      <w:r w:rsidRPr="00B82B04">
        <w:t>July</w:t>
      </w:r>
      <w:r>
        <w:t xml:space="preserve"> </w:t>
      </w:r>
      <w:r w:rsidRPr="00B82B04">
        <w:t>19,</w:t>
      </w:r>
      <w:r>
        <w:t xml:space="preserve"> </w:t>
      </w:r>
      <w:r w:rsidRPr="00B82B04">
        <w:t>2021,</w:t>
      </w:r>
      <w:r>
        <w:t xml:space="preserve"> </w:t>
      </w:r>
      <w:r w:rsidRPr="00B82B04">
        <w:t>to</w:t>
      </w:r>
      <w:r>
        <w:t xml:space="preserve"> </w:t>
      </w:r>
      <w:r w:rsidRPr="00B82B04">
        <w:t>July</w:t>
      </w:r>
      <w:r>
        <w:t xml:space="preserve"> </w:t>
      </w:r>
      <w:r w:rsidRPr="00B82B04">
        <w:t>19,</w:t>
      </w:r>
      <w:r>
        <w:t xml:space="preserve"> </w:t>
      </w:r>
      <w:r w:rsidRPr="00B82B04">
        <w:t>2024.</w:t>
      </w:r>
      <w:r>
        <w:t xml:space="preserve"> </w:t>
      </w:r>
      <w:r w:rsidRPr="00B82B04">
        <w:t>(See</w:t>
      </w:r>
      <w:r>
        <w:t xml:space="preserve"> </w:t>
      </w:r>
      <w:r w:rsidRPr="00B82B04">
        <w:t>Table</w:t>
      </w:r>
      <w:r>
        <w:t xml:space="preserve"> 8</w:t>
      </w:r>
      <w:r w:rsidRPr="00B82B04">
        <w:t>.)</w:t>
      </w:r>
    </w:p>
    <w:tbl>
      <w:tblPr>
        <w:tblW w:w="9445" w:type="dxa"/>
        <w:tblLook w:val="04A0" w:firstRow="1" w:lastRow="0" w:firstColumn="1" w:lastColumn="0" w:noHBand="0" w:noVBand="1"/>
      </w:tblPr>
      <w:tblGrid>
        <w:gridCol w:w="4315"/>
        <w:gridCol w:w="2430"/>
        <w:gridCol w:w="2700"/>
      </w:tblGrid>
      <w:tr w:rsidRPr="00B82B04" w:rsidR="00F5259C" w:rsidTr="00902F66" w14:paraId="6BDC8B59" w14:textId="77777777">
        <w:trPr>
          <w:cantSplit/>
          <w:tblHeader/>
        </w:trPr>
        <w:tc>
          <w:tcPr>
            <w:tcW w:w="944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rsidRPr="00B82B04" w:rsidR="00F5259C" w:rsidP="00902F66" w:rsidRDefault="00F5259C" w14:paraId="5DFA7161" w14:textId="77777777">
            <w:pPr>
              <w:pStyle w:val="Caption"/>
              <w:keepNext/>
              <w:spacing w:before="60"/>
              <w:jc w:val="center"/>
              <w:rPr>
                <w:rFonts w:ascii="Arial" w:hAnsi="Arial" w:cs="Arial"/>
                <w:sz w:val="20"/>
                <w:szCs w:val="20"/>
              </w:rPr>
            </w:pPr>
            <w:r w:rsidRPr="00B82B04">
              <w:rPr>
                <w:rFonts w:ascii="Arial" w:hAnsi="Arial" w:cs="Arial"/>
                <w:sz w:val="20"/>
                <w:szCs w:val="20"/>
              </w:rPr>
              <w:lastRenderedPageBreak/>
              <w:t>Table</w:t>
            </w:r>
            <w:r>
              <w:rPr>
                <w:rFonts w:ascii="Arial" w:hAnsi="Arial" w:cs="Arial"/>
                <w:sz w:val="20"/>
                <w:szCs w:val="20"/>
              </w:rPr>
              <w:t xml:space="preserve"> </w:t>
            </w:r>
            <w:r w:rsidRPr="00B82B04">
              <w:rPr>
                <w:rFonts w:ascii="Arial" w:hAnsi="Arial" w:cs="Arial"/>
                <w:sz w:val="20"/>
                <w:szCs w:val="20"/>
              </w:rPr>
              <w:fldChar w:fldCharType="begin"/>
            </w:r>
            <w:r w:rsidRPr="00B82B04">
              <w:rPr>
                <w:rFonts w:ascii="Arial" w:hAnsi="Arial" w:cs="Arial"/>
                <w:sz w:val="20"/>
                <w:szCs w:val="20"/>
              </w:rPr>
              <w:instrText xml:space="preserve"> SEQ Table \* ARABIC </w:instrText>
            </w:r>
            <w:r w:rsidRPr="00B82B04">
              <w:rPr>
                <w:rFonts w:ascii="Arial" w:hAnsi="Arial" w:cs="Arial"/>
                <w:sz w:val="20"/>
                <w:szCs w:val="20"/>
              </w:rPr>
              <w:fldChar w:fldCharType="separate"/>
            </w:r>
            <w:r>
              <w:rPr>
                <w:rFonts w:ascii="Arial" w:hAnsi="Arial" w:cs="Arial"/>
                <w:noProof/>
                <w:sz w:val="20"/>
                <w:szCs w:val="20"/>
              </w:rPr>
              <w:t>8</w:t>
            </w:r>
            <w:r w:rsidRPr="00B82B04">
              <w:rPr>
                <w:rFonts w:ascii="Arial" w:hAnsi="Arial" w:cs="Arial"/>
                <w:sz w:val="20"/>
                <w:szCs w:val="20"/>
              </w:rPr>
              <w:fldChar w:fldCharType="end"/>
            </w:r>
            <w:r w:rsidRPr="00B82B04">
              <w:rPr>
                <w:rFonts w:ascii="Arial" w:hAnsi="Arial" w:cs="Arial"/>
                <w:sz w:val="20"/>
                <w:szCs w:val="20"/>
              </w:rPr>
              <w:t>.</w:t>
            </w:r>
            <w:r>
              <w:rPr>
                <w:rFonts w:ascii="Arial" w:hAnsi="Arial" w:cs="Arial"/>
                <w:sz w:val="20"/>
                <w:szCs w:val="20"/>
              </w:rPr>
              <w:t xml:space="preserve"> </w:t>
            </w:r>
            <w:r w:rsidRPr="00B82B04">
              <w:rPr>
                <w:rFonts w:ascii="Arial" w:hAnsi="Arial" w:cs="Arial"/>
                <w:sz w:val="20"/>
                <w:szCs w:val="20"/>
              </w:rPr>
              <w:t>Estimated</w:t>
            </w:r>
            <w:r>
              <w:rPr>
                <w:rFonts w:ascii="Arial" w:hAnsi="Arial" w:cs="Arial"/>
                <w:sz w:val="20"/>
                <w:szCs w:val="20"/>
              </w:rPr>
              <w:t xml:space="preserve"> </w:t>
            </w:r>
            <w:r w:rsidRPr="00B82B04">
              <w:rPr>
                <w:rFonts w:ascii="Arial" w:hAnsi="Arial" w:cs="Arial"/>
                <w:sz w:val="20"/>
                <w:szCs w:val="20"/>
              </w:rPr>
              <w:t>OAHMP</w:t>
            </w:r>
            <w:r>
              <w:rPr>
                <w:rFonts w:ascii="Arial" w:hAnsi="Arial" w:cs="Arial"/>
                <w:sz w:val="20"/>
                <w:szCs w:val="20"/>
              </w:rPr>
              <w:t xml:space="preserve"> </w:t>
            </w:r>
            <w:r w:rsidRPr="00B82B04">
              <w:rPr>
                <w:rFonts w:ascii="Arial" w:hAnsi="Arial" w:cs="Arial"/>
                <w:sz w:val="20"/>
                <w:szCs w:val="20"/>
              </w:rPr>
              <w:t>Evaluation</w:t>
            </w:r>
            <w:r>
              <w:rPr>
                <w:rFonts w:ascii="Arial" w:hAnsi="Arial" w:cs="Arial"/>
                <w:sz w:val="20"/>
                <w:szCs w:val="20"/>
              </w:rPr>
              <w:t xml:space="preserve"> </w:t>
            </w:r>
            <w:r w:rsidRPr="00B82B04">
              <w:rPr>
                <w:rFonts w:ascii="Arial" w:hAnsi="Arial" w:cs="Arial"/>
                <w:sz w:val="20"/>
                <w:szCs w:val="20"/>
              </w:rPr>
              <w:t>Data</w:t>
            </w:r>
            <w:r>
              <w:rPr>
                <w:rFonts w:ascii="Arial" w:hAnsi="Arial" w:cs="Arial"/>
                <w:sz w:val="20"/>
                <w:szCs w:val="20"/>
              </w:rPr>
              <w:t xml:space="preserve"> </w:t>
            </w:r>
            <w:r w:rsidRPr="00B82B04">
              <w:rPr>
                <w:rFonts w:ascii="Arial" w:hAnsi="Arial" w:cs="Arial"/>
                <w:sz w:val="20"/>
                <w:szCs w:val="20"/>
              </w:rPr>
              <w:t>Collection</w:t>
            </w:r>
            <w:r>
              <w:rPr>
                <w:rFonts w:ascii="Arial" w:hAnsi="Arial" w:cs="Arial"/>
                <w:sz w:val="20"/>
                <w:szCs w:val="20"/>
              </w:rPr>
              <w:t xml:space="preserve"> </w:t>
            </w:r>
            <w:r w:rsidRPr="00B82B04">
              <w:rPr>
                <w:rFonts w:ascii="Arial" w:hAnsi="Arial" w:cs="Arial"/>
                <w:sz w:val="20"/>
                <w:szCs w:val="20"/>
              </w:rPr>
              <w:t>Schedule</w:t>
            </w:r>
            <w:r>
              <w:rPr>
                <w:rFonts w:ascii="Arial" w:hAnsi="Arial" w:cs="Arial"/>
                <w:sz w:val="20"/>
                <w:szCs w:val="20"/>
              </w:rPr>
              <w:t xml:space="preserve"> </w:t>
            </w:r>
            <w:r w:rsidRPr="00B82B04">
              <w:rPr>
                <w:rFonts w:ascii="Arial" w:hAnsi="Arial" w:cs="Arial"/>
                <w:sz w:val="20"/>
                <w:szCs w:val="20"/>
                <w:vertAlign w:val="superscript"/>
              </w:rPr>
              <w:t>a</w:t>
            </w:r>
          </w:p>
        </w:tc>
      </w:tr>
      <w:tr w:rsidRPr="00B82B04" w:rsidR="00F5259C" w:rsidTr="00902F66" w14:paraId="1622E920" w14:textId="77777777">
        <w:trPr>
          <w:cantSplit/>
          <w:tblHeader/>
        </w:trPr>
        <w:tc>
          <w:tcPr>
            <w:tcW w:w="43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B82B04" w:rsidR="00F5259C" w:rsidP="00902F66" w:rsidRDefault="00F5259C" w14:paraId="06DAD1DE" w14:textId="77777777">
            <w:pPr>
              <w:pStyle w:val="TableTitle"/>
              <w:rPr>
                <w:rFonts w:ascii="Arial" w:hAnsi="Arial" w:cs="Arial"/>
                <w:color w:val="000000"/>
                <w:sz w:val="20"/>
                <w:szCs w:val="20"/>
              </w:rPr>
            </w:pPr>
            <w:r w:rsidRPr="00B82B04">
              <w:rPr>
                <w:rFonts w:ascii="Arial" w:hAnsi="Arial" w:cs="Arial"/>
                <w:color w:val="000000"/>
                <w:sz w:val="20"/>
                <w:szCs w:val="20"/>
              </w:rPr>
              <w:t>Task</w:t>
            </w:r>
            <w:r>
              <w:rPr>
                <w:rFonts w:ascii="Arial" w:hAnsi="Arial" w:cs="Arial"/>
                <w:color w:val="000000"/>
                <w:sz w:val="20"/>
                <w:szCs w:val="20"/>
              </w:rPr>
              <w:t xml:space="preserve"> </w:t>
            </w:r>
            <w:r w:rsidRPr="00B82B04">
              <w:rPr>
                <w:rFonts w:ascii="Arial" w:hAnsi="Arial" w:cs="Arial"/>
                <w:color w:val="000000"/>
                <w:sz w:val="20"/>
                <w:szCs w:val="20"/>
              </w:rPr>
              <w:t>Name</w:t>
            </w:r>
          </w:p>
        </w:tc>
        <w:tc>
          <w:tcPr>
            <w:tcW w:w="2430"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B82B04" w:rsidR="00F5259C" w:rsidP="00902F66" w:rsidRDefault="00F5259C" w14:paraId="13B1E0EE" w14:textId="77777777">
            <w:pPr>
              <w:pStyle w:val="TableTitle"/>
              <w:rPr>
                <w:rFonts w:ascii="Arial" w:hAnsi="Arial" w:cs="Arial"/>
                <w:color w:val="000000"/>
                <w:sz w:val="20"/>
                <w:szCs w:val="20"/>
              </w:rPr>
            </w:pPr>
            <w:r w:rsidRPr="00B82B04">
              <w:rPr>
                <w:rFonts w:ascii="Arial" w:hAnsi="Arial" w:cs="Arial"/>
                <w:color w:val="000000"/>
                <w:sz w:val="20"/>
                <w:szCs w:val="20"/>
              </w:rPr>
              <w:t>Start</w:t>
            </w:r>
            <w:r>
              <w:rPr>
                <w:rFonts w:ascii="Arial" w:hAnsi="Arial" w:cs="Arial"/>
                <w:color w:val="000000"/>
                <w:sz w:val="20"/>
                <w:szCs w:val="20"/>
              </w:rPr>
              <w:t xml:space="preserve"> </w:t>
            </w:r>
            <w:r w:rsidRPr="00B82B04">
              <w:rPr>
                <w:rFonts w:ascii="Arial" w:hAnsi="Arial" w:cs="Arial"/>
                <w:color w:val="000000"/>
                <w:sz w:val="20"/>
                <w:szCs w:val="20"/>
              </w:rPr>
              <w:t>Date</w:t>
            </w:r>
          </w:p>
        </w:tc>
        <w:tc>
          <w:tcPr>
            <w:tcW w:w="27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B82B04" w:rsidR="00F5259C" w:rsidP="00902F66" w:rsidRDefault="00F5259C" w14:paraId="2A0ED58A" w14:textId="77777777">
            <w:pPr>
              <w:pStyle w:val="TableTitle"/>
              <w:rPr>
                <w:rFonts w:ascii="Arial" w:hAnsi="Arial" w:cs="Arial"/>
                <w:color w:val="000000"/>
                <w:sz w:val="20"/>
                <w:szCs w:val="20"/>
              </w:rPr>
            </w:pPr>
            <w:r w:rsidRPr="00B82B04">
              <w:rPr>
                <w:rFonts w:ascii="Arial" w:hAnsi="Arial" w:cs="Arial"/>
                <w:color w:val="000000"/>
                <w:sz w:val="20"/>
                <w:szCs w:val="20"/>
              </w:rPr>
              <w:t>End</w:t>
            </w:r>
            <w:r>
              <w:rPr>
                <w:rFonts w:ascii="Arial" w:hAnsi="Arial" w:cs="Arial"/>
                <w:color w:val="000000"/>
                <w:sz w:val="20"/>
                <w:szCs w:val="20"/>
              </w:rPr>
              <w:t xml:space="preserve"> </w:t>
            </w:r>
            <w:r w:rsidRPr="00B82B04">
              <w:rPr>
                <w:rFonts w:ascii="Arial" w:hAnsi="Arial" w:cs="Arial"/>
                <w:color w:val="000000"/>
                <w:sz w:val="20"/>
                <w:szCs w:val="20"/>
              </w:rPr>
              <w:t>Date</w:t>
            </w:r>
          </w:p>
        </w:tc>
      </w:tr>
      <w:tr w:rsidRPr="00B82B04" w:rsidR="00F5259C" w:rsidTr="00902F66" w14:paraId="3F725FB9"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hideMark/>
          </w:tcPr>
          <w:p w:rsidRPr="00B82B04" w:rsidR="00F5259C" w:rsidP="00902F66" w:rsidRDefault="00F5259C" w14:paraId="545629DF" w14:textId="77777777">
            <w:pPr>
              <w:pStyle w:val="TableTitle"/>
              <w:rPr>
                <w:rFonts w:ascii="Arial" w:hAnsi="Arial" w:cs="Arial"/>
                <w:b w:val="0"/>
                <w:color w:val="000000"/>
                <w:sz w:val="20"/>
                <w:szCs w:val="20"/>
              </w:rPr>
            </w:pPr>
            <w:r w:rsidRPr="00B82B04">
              <w:rPr>
                <w:rFonts w:ascii="Arial" w:hAnsi="Arial" w:cs="Arial"/>
                <w:b w:val="0"/>
                <w:color w:val="000000"/>
                <w:sz w:val="20"/>
                <w:szCs w:val="20"/>
              </w:rPr>
              <w:t>OMB</w:t>
            </w:r>
            <w:r>
              <w:rPr>
                <w:rFonts w:ascii="Arial" w:hAnsi="Arial" w:cs="Arial"/>
                <w:b w:val="0"/>
                <w:color w:val="000000"/>
                <w:sz w:val="20"/>
                <w:szCs w:val="20"/>
              </w:rPr>
              <w:t xml:space="preserve"> </w:t>
            </w:r>
            <w:r w:rsidRPr="00B82B04">
              <w:rPr>
                <w:rFonts w:ascii="Arial" w:hAnsi="Arial" w:cs="Arial"/>
                <w:b w:val="0"/>
                <w:color w:val="000000"/>
                <w:sz w:val="20"/>
                <w:szCs w:val="20"/>
              </w:rPr>
              <w:t>Approval</w:t>
            </w:r>
            <w:r>
              <w:rPr>
                <w:rFonts w:ascii="Arial" w:hAnsi="Arial" w:cs="Arial"/>
                <w:b w:val="0"/>
                <w:color w:val="000000"/>
                <w:sz w:val="20"/>
                <w:szCs w:val="20"/>
              </w:rPr>
              <w:t xml:space="preserve"> </w:t>
            </w:r>
            <w:r w:rsidRPr="00B82B04">
              <w:rPr>
                <w:rFonts w:ascii="Arial" w:hAnsi="Arial" w:cs="Arial"/>
                <w:b w:val="0"/>
                <w:color w:val="000000"/>
                <w:sz w:val="20"/>
                <w:szCs w:val="20"/>
              </w:rPr>
              <w:t>of</w:t>
            </w:r>
            <w:r>
              <w:rPr>
                <w:rFonts w:ascii="Arial" w:hAnsi="Arial" w:cs="Arial"/>
                <w:b w:val="0"/>
                <w:color w:val="000000"/>
                <w:sz w:val="20"/>
                <w:szCs w:val="20"/>
              </w:rPr>
              <w:t xml:space="preserve"> </w:t>
            </w:r>
            <w:r w:rsidRPr="00B82B04">
              <w:rPr>
                <w:rFonts w:ascii="Arial" w:hAnsi="Arial" w:cs="Arial"/>
                <w:b w:val="0"/>
                <w:color w:val="000000"/>
                <w:sz w:val="20"/>
                <w:szCs w:val="20"/>
              </w:rPr>
              <w:t>ICR</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0891212A" w14:textId="77777777">
            <w:pPr>
              <w:pStyle w:val="TableTitle"/>
              <w:rPr>
                <w:rFonts w:ascii="Arial" w:hAnsi="Arial" w:cs="Arial"/>
                <w:b w:val="0"/>
                <w:color w:val="000000"/>
                <w:sz w:val="20"/>
                <w:szCs w:val="20"/>
              </w:rPr>
            </w:pPr>
            <w:r w:rsidRPr="00B82B04">
              <w:rPr>
                <w:rFonts w:ascii="Arial" w:hAnsi="Arial" w:cs="Arial"/>
                <w:b w:val="0"/>
                <w:color w:val="000000"/>
                <w:sz w:val="20"/>
                <w:szCs w:val="20"/>
              </w:rPr>
              <w:t>May</w:t>
            </w:r>
            <w:r>
              <w:rPr>
                <w:rFonts w:ascii="Arial" w:hAnsi="Arial" w:cs="Arial"/>
                <w:b w:val="0"/>
                <w:color w:val="000000"/>
                <w:sz w:val="20"/>
                <w:szCs w:val="20"/>
              </w:rPr>
              <w:t xml:space="preserve"> </w:t>
            </w:r>
            <w:r w:rsidRPr="00B82B04">
              <w:rPr>
                <w:rFonts w:ascii="Arial" w:hAnsi="Arial" w:cs="Arial"/>
                <w:b w:val="0"/>
                <w:color w:val="000000"/>
                <w:sz w:val="20"/>
                <w:szCs w:val="20"/>
              </w:rPr>
              <w:t>30,</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42B1F0DE" w14:textId="77777777">
            <w:pPr>
              <w:pStyle w:val="TableTitle"/>
              <w:rPr>
                <w:rFonts w:ascii="Arial" w:hAnsi="Arial" w:cs="Arial"/>
                <w:b w:val="0"/>
                <w:color w:val="000000"/>
                <w:sz w:val="20"/>
                <w:szCs w:val="20"/>
              </w:rPr>
            </w:pPr>
            <w:r w:rsidRPr="00B82B04">
              <w:rPr>
                <w:rFonts w:ascii="Arial" w:hAnsi="Arial" w:cs="Arial"/>
                <w:b w:val="0"/>
                <w:color w:val="000000"/>
                <w:sz w:val="20"/>
                <w:szCs w:val="20"/>
              </w:rPr>
              <w:t>September</w:t>
            </w:r>
            <w:r>
              <w:rPr>
                <w:rFonts w:ascii="Arial" w:hAnsi="Arial" w:cs="Arial"/>
                <w:b w:val="0"/>
                <w:color w:val="000000"/>
                <w:sz w:val="20"/>
                <w:szCs w:val="20"/>
              </w:rPr>
              <w:t xml:space="preserve"> </w:t>
            </w:r>
            <w:r w:rsidRPr="00B82B04">
              <w:rPr>
                <w:rFonts w:ascii="Arial" w:hAnsi="Arial" w:cs="Arial"/>
                <w:b w:val="0"/>
                <w:bCs w:val="0"/>
                <w:color w:val="000000"/>
                <w:sz w:val="20"/>
                <w:szCs w:val="20"/>
              </w:rPr>
              <w:t>30</w:t>
            </w:r>
            <w:r w:rsidRPr="00B82B04">
              <w:rPr>
                <w:rFonts w:ascii="Arial" w:hAnsi="Arial" w:cs="Arial"/>
                <w:b w:val="0"/>
                <w:color w:val="000000"/>
                <w:sz w:val="20"/>
                <w:szCs w:val="20"/>
              </w:rPr>
              <w:t>,</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r>
      <w:tr w:rsidRPr="00B82B04" w:rsidR="00F5259C" w:rsidTr="00902F66" w14:paraId="24DC2C9F"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21CF0557" w14:textId="77777777">
            <w:pPr>
              <w:pStyle w:val="TableTitle"/>
              <w:rPr>
                <w:rFonts w:ascii="Arial" w:hAnsi="Arial" w:cs="Arial"/>
                <w:b w:val="0"/>
                <w:bCs w:val="0"/>
                <w:color w:val="000000"/>
                <w:sz w:val="20"/>
                <w:szCs w:val="20"/>
              </w:rPr>
            </w:pPr>
            <w:r w:rsidRPr="00B82B04">
              <w:rPr>
                <w:rFonts w:ascii="Arial" w:hAnsi="Arial" w:cs="Arial"/>
                <w:b w:val="0"/>
                <w:bCs w:val="0"/>
                <w:sz w:val="20"/>
                <w:szCs w:val="20"/>
              </w:rPr>
              <w:t>Grantees</w:t>
            </w:r>
            <w:r>
              <w:rPr>
                <w:rFonts w:ascii="Arial" w:hAnsi="Arial" w:cs="Arial"/>
                <w:b w:val="0"/>
                <w:bCs w:val="0"/>
                <w:sz w:val="20"/>
                <w:szCs w:val="20"/>
              </w:rPr>
              <w:t xml:space="preserve"> </w:t>
            </w:r>
            <w:r w:rsidRPr="00B82B04">
              <w:rPr>
                <w:rFonts w:ascii="Arial" w:hAnsi="Arial" w:cs="Arial"/>
                <w:b w:val="0"/>
                <w:bCs w:val="0"/>
                <w:sz w:val="20"/>
                <w:szCs w:val="20"/>
              </w:rPr>
              <w:t>implement</w:t>
            </w:r>
            <w:r>
              <w:rPr>
                <w:rFonts w:ascii="Arial" w:hAnsi="Arial" w:cs="Arial"/>
                <w:b w:val="0"/>
                <w:bCs w:val="0"/>
                <w:sz w:val="20"/>
                <w:szCs w:val="20"/>
              </w:rPr>
              <w:t xml:space="preserve"> </w:t>
            </w:r>
            <w:r w:rsidRPr="00B82B04">
              <w:rPr>
                <w:rFonts w:ascii="Arial" w:hAnsi="Arial" w:cs="Arial"/>
                <w:b w:val="0"/>
                <w:bCs w:val="0"/>
                <w:sz w:val="20"/>
                <w:szCs w:val="20"/>
              </w:rPr>
              <w:t>OAHMP</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1E0C98E0" w14:textId="77777777">
            <w:pPr>
              <w:pStyle w:val="TableTitle"/>
              <w:rPr>
                <w:rFonts w:ascii="Arial" w:hAnsi="Arial" w:cs="Arial"/>
                <w:b w:val="0"/>
                <w:color w:val="000000"/>
                <w:sz w:val="20"/>
                <w:szCs w:val="20"/>
              </w:rPr>
            </w:pPr>
            <w:r w:rsidRPr="00B82B04">
              <w:rPr>
                <w:rFonts w:ascii="Arial" w:hAnsi="Arial" w:cs="Arial"/>
                <w:b w:val="0"/>
                <w:color w:val="000000"/>
                <w:sz w:val="20"/>
                <w:szCs w:val="20"/>
              </w:rPr>
              <w:t>September</w:t>
            </w:r>
            <w:r>
              <w:rPr>
                <w:rFonts w:ascii="Arial" w:hAnsi="Arial" w:cs="Arial"/>
                <w:b w:val="0"/>
                <w:color w:val="000000"/>
                <w:sz w:val="20"/>
                <w:szCs w:val="20"/>
              </w:rPr>
              <w:t xml:space="preserve"> </w:t>
            </w:r>
            <w:r w:rsidRPr="00B82B04">
              <w:rPr>
                <w:rFonts w:ascii="Arial" w:hAnsi="Arial" w:cs="Arial"/>
                <w:b w:val="0"/>
                <w:bCs w:val="0"/>
                <w:color w:val="000000"/>
                <w:sz w:val="20"/>
                <w:szCs w:val="20"/>
              </w:rPr>
              <w:t>19</w:t>
            </w:r>
            <w:r w:rsidRPr="00B82B04">
              <w:rPr>
                <w:rFonts w:ascii="Arial" w:hAnsi="Arial" w:cs="Arial"/>
                <w:b w:val="0"/>
                <w:color w:val="000000"/>
                <w:sz w:val="20"/>
                <w:szCs w:val="20"/>
              </w:rPr>
              <w:t>,</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64517AAD" w14:textId="77777777">
            <w:pPr>
              <w:pStyle w:val="TableTitle"/>
              <w:rPr>
                <w:rFonts w:ascii="Arial" w:hAnsi="Arial" w:cs="Arial"/>
                <w:b w:val="0"/>
                <w:bCs w:val="0"/>
                <w:color w:val="000000"/>
                <w:sz w:val="20"/>
                <w:szCs w:val="20"/>
              </w:rPr>
            </w:pPr>
            <w:r w:rsidRPr="00B82B04">
              <w:rPr>
                <w:rFonts w:ascii="Arial" w:hAnsi="Arial" w:cs="Arial"/>
                <w:b w:val="0"/>
                <w:bCs w:val="0"/>
                <w:color w:val="000000"/>
                <w:sz w:val="20"/>
                <w:szCs w:val="20"/>
              </w:rPr>
              <w:t>July</w:t>
            </w:r>
            <w:r>
              <w:rPr>
                <w:rFonts w:ascii="Arial" w:hAnsi="Arial" w:cs="Arial"/>
                <w:b w:val="0"/>
                <w:bCs w:val="0"/>
                <w:color w:val="000000"/>
                <w:sz w:val="20"/>
                <w:szCs w:val="20"/>
              </w:rPr>
              <w:t xml:space="preserve"> </w:t>
            </w:r>
            <w:r w:rsidRPr="00B82B04">
              <w:rPr>
                <w:rFonts w:ascii="Arial" w:hAnsi="Arial" w:cs="Arial"/>
                <w:b w:val="0"/>
                <w:bCs w:val="0"/>
                <w:color w:val="000000"/>
                <w:sz w:val="20"/>
                <w:szCs w:val="20"/>
              </w:rPr>
              <w:t>19,</w:t>
            </w:r>
            <w:r>
              <w:rPr>
                <w:rFonts w:ascii="Arial" w:hAnsi="Arial" w:cs="Arial"/>
                <w:b w:val="0"/>
                <w:bCs w:val="0"/>
                <w:color w:val="000000"/>
                <w:sz w:val="20"/>
                <w:szCs w:val="20"/>
              </w:rPr>
              <w:t xml:space="preserve"> </w:t>
            </w:r>
            <w:r w:rsidRPr="00B82B04">
              <w:rPr>
                <w:rFonts w:ascii="Arial" w:hAnsi="Arial" w:cs="Arial"/>
                <w:b w:val="0"/>
                <w:bCs w:val="0"/>
                <w:color w:val="000000"/>
                <w:sz w:val="20"/>
                <w:szCs w:val="20"/>
              </w:rPr>
              <w:t>2024</w:t>
            </w:r>
          </w:p>
        </w:tc>
      </w:tr>
      <w:tr w:rsidRPr="00B82B04" w:rsidR="00F5259C" w:rsidTr="00902F66" w14:paraId="17130E8A"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2DA88736" w14:textId="77777777">
            <w:pPr>
              <w:pStyle w:val="TableTitle"/>
              <w:rPr>
                <w:rFonts w:ascii="Arial" w:hAnsi="Arial" w:cs="Arial"/>
                <w:b w:val="0"/>
                <w:color w:val="000000"/>
                <w:sz w:val="20"/>
                <w:szCs w:val="20"/>
              </w:rPr>
            </w:pPr>
            <w:r w:rsidRPr="00B82B04">
              <w:rPr>
                <w:rFonts w:ascii="Arial" w:hAnsi="Arial" w:cs="Arial"/>
                <w:b w:val="0"/>
                <w:color w:val="000000"/>
                <w:sz w:val="20"/>
                <w:szCs w:val="20"/>
              </w:rPr>
              <w:t>Grantee</w:t>
            </w:r>
            <w:r>
              <w:rPr>
                <w:rFonts w:ascii="Arial" w:hAnsi="Arial" w:cs="Arial"/>
                <w:b w:val="0"/>
                <w:color w:val="000000"/>
                <w:sz w:val="20"/>
                <w:szCs w:val="20"/>
              </w:rPr>
              <w:t xml:space="preserve"> </w:t>
            </w:r>
            <w:r w:rsidRPr="00B82B04">
              <w:rPr>
                <w:rFonts w:ascii="Arial" w:hAnsi="Arial" w:cs="Arial"/>
                <w:b w:val="0"/>
                <w:color w:val="000000"/>
                <w:sz w:val="20"/>
                <w:szCs w:val="20"/>
              </w:rPr>
              <w:t>and</w:t>
            </w:r>
            <w:r>
              <w:rPr>
                <w:rFonts w:ascii="Arial" w:hAnsi="Arial" w:cs="Arial"/>
                <w:b w:val="0"/>
                <w:color w:val="000000"/>
                <w:sz w:val="20"/>
                <w:szCs w:val="20"/>
              </w:rPr>
              <w:t xml:space="preserve"> </w:t>
            </w:r>
            <w:r w:rsidRPr="00B82B04">
              <w:rPr>
                <w:rFonts w:ascii="Arial" w:hAnsi="Arial" w:cs="Arial"/>
                <w:b w:val="0"/>
                <w:color w:val="000000"/>
                <w:sz w:val="20"/>
                <w:szCs w:val="20"/>
              </w:rPr>
              <w:t>Site</w:t>
            </w:r>
            <w:r>
              <w:rPr>
                <w:rFonts w:ascii="Arial" w:hAnsi="Arial" w:cs="Arial"/>
                <w:b w:val="0"/>
                <w:color w:val="000000"/>
                <w:sz w:val="20"/>
                <w:szCs w:val="20"/>
              </w:rPr>
              <w:t xml:space="preserve"> </w:t>
            </w:r>
            <w:r w:rsidRPr="00B82B04">
              <w:rPr>
                <w:rFonts w:ascii="Arial" w:hAnsi="Arial" w:cs="Arial"/>
                <w:b w:val="0"/>
                <w:color w:val="000000"/>
                <w:sz w:val="20"/>
                <w:szCs w:val="20"/>
              </w:rPr>
              <w:t>Coordinator</w:t>
            </w:r>
            <w:r>
              <w:rPr>
                <w:rFonts w:ascii="Arial" w:hAnsi="Arial" w:cs="Arial"/>
                <w:b w:val="0"/>
                <w:color w:val="000000"/>
                <w:sz w:val="20"/>
                <w:szCs w:val="20"/>
              </w:rPr>
              <w:t xml:space="preserve"> </w:t>
            </w:r>
            <w:r w:rsidRPr="00B82B04">
              <w:rPr>
                <w:rFonts w:ascii="Arial" w:hAnsi="Arial" w:cs="Arial"/>
                <w:b w:val="0"/>
                <w:color w:val="000000"/>
                <w:sz w:val="20"/>
                <w:szCs w:val="20"/>
              </w:rPr>
              <w:t>training</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3557E5FB" w14:textId="77777777">
            <w:pPr>
              <w:pStyle w:val="TableTitle"/>
              <w:rPr>
                <w:rFonts w:ascii="Arial" w:hAnsi="Arial" w:cs="Arial"/>
                <w:b w:val="0"/>
                <w:color w:val="000000"/>
                <w:sz w:val="20"/>
                <w:szCs w:val="20"/>
              </w:rPr>
            </w:pPr>
            <w:r w:rsidRPr="00B82B04">
              <w:rPr>
                <w:rFonts w:ascii="Arial" w:hAnsi="Arial" w:cs="Arial"/>
                <w:b w:val="0"/>
                <w:bCs w:val="0"/>
                <w:color w:val="000000"/>
                <w:sz w:val="20"/>
                <w:szCs w:val="20"/>
              </w:rPr>
              <w:t>October</w:t>
            </w:r>
            <w:r>
              <w:rPr>
                <w:rFonts w:ascii="Arial" w:hAnsi="Arial" w:cs="Arial"/>
                <w:b w:val="0"/>
                <w:color w:val="000000"/>
                <w:sz w:val="20"/>
                <w:szCs w:val="20"/>
              </w:rPr>
              <w:t xml:space="preserve"> </w:t>
            </w:r>
            <w:r w:rsidRPr="00B82B04">
              <w:rPr>
                <w:rFonts w:ascii="Arial" w:hAnsi="Arial" w:cs="Arial"/>
                <w:b w:val="0"/>
                <w:color w:val="000000"/>
                <w:sz w:val="20"/>
                <w:szCs w:val="20"/>
              </w:rPr>
              <w:t>1,</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081E8CFA" w14:textId="77777777">
            <w:pPr>
              <w:pStyle w:val="TableTitle"/>
              <w:rPr>
                <w:rFonts w:ascii="Arial" w:hAnsi="Arial" w:cs="Arial"/>
                <w:b w:val="0"/>
                <w:color w:val="000000"/>
                <w:sz w:val="20"/>
                <w:szCs w:val="20"/>
              </w:rPr>
            </w:pPr>
            <w:r w:rsidRPr="00B82B04">
              <w:rPr>
                <w:rFonts w:ascii="Arial" w:hAnsi="Arial" w:cs="Arial"/>
                <w:b w:val="0"/>
                <w:bCs w:val="0"/>
                <w:color w:val="000000"/>
                <w:sz w:val="20"/>
                <w:szCs w:val="20"/>
              </w:rPr>
              <w:t>October</w:t>
            </w:r>
            <w:r>
              <w:rPr>
                <w:rFonts w:ascii="Arial" w:hAnsi="Arial" w:cs="Arial"/>
                <w:b w:val="0"/>
                <w:bCs w:val="0"/>
                <w:color w:val="000000"/>
                <w:sz w:val="20"/>
                <w:szCs w:val="20"/>
              </w:rPr>
              <w:t xml:space="preserve"> </w:t>
            </w:r>
            <w:r w:rsidRPr="00B82B04">
              <w:rPr>
                <w:rFonts w:ascii="Arial" w:hAnsi="Arial" w:cs="Arial"/>
                <w:b w:val="0"/>
                <w:bCs w:val="0"/>
                <w:color w:val="000000"/>
                <w:sz w:val="20"/>
                <w:szCs w:val="20"/>
              </w:rPr>
              <w:t>31</w:t>
            </w:r>
            <w:r w:rsidRPr="00B82B04">
              <w:rPr>
                <w:rFonts w:ascii="Arial" w:hAnsi="Arial" w:cs="Arial"/>
                <w:b w:val="0"/>
                <w:color w:val="000000"/>
                <w:sz w:val="20"/>
                <w:szCs w:val="20"/>
              </w:rPr>
              <w:t>,</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r>
      <w:tr w:rsidRPr="00B82B04" w:rsidR="00F5259C" w:rsidTr="00902F66" w14:paraId="07019157"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5121950E" w14:textId="77777777">
            <w:pPr>
              <w:pStyle w:val="TableTitle"/>
              <w:rPr>
                <w:rFonts w:ascii="Arial" w:hAnsi="Arial" w:cs="Arial"/>
                <w:b w:val="0"/>
                <w:color w:val="000000"/>
                <w:sz w:val="20"/>
                <w:szCs w:val="20"/>
              </w:rPr>
            </w:pPr>
            <w:r w:rsidRPr="00B82B04">
              <w:rPr>
                <w:rFonts w:ascii="Arial" w:hAnsi="Arial" w:cs="Arial"/>
                <w:b w:val="0"/>
                <w:bCs w:val="0"/>
                <w:color w:val="000000"/>
                <w:sz w:val="20"/>
                <w:szCs w:val="20"/>
              </w:rPr>
              <w:t>Evaluation</w:t>
            </w:r>
            <w:r>
              <w:rPr>
                <w:rFonts w:ascii="Arial" w:hAnsi="Arial" w:cs="Arial"/>
                <w:b w:val="0"/>
                <w:bCs w:val="0"/>
                <w:color w:val="000000"/>
                <w:sz w:val="20"/>
                <w:szCs w:val="20"/>
              </w:rPr>
              <w:t xml:space="preserve"> </w:t>
            </w:r>
            <w:r w:rsidRPr="00B82B04">
              <w:rPr>
                <w:rFonts w:ascii="Arial" w:hAnsi="Arial" w:cs="Arial"/>
                <w:b w:val="0"/>
                <w:color w:val="000000"/>
                <w:sz w:val="20"/>
                <w:szCs w:val="20"/>
              </w:rPr>
              <w:t>data</w:t>
            </w:r>
            <w:r>
              <w:rPr>
                <w:rFonts w:ascii="Arial" w:hAnsi="Arial" w:cs="Arial"/>
                <w:b w:val="0"/>
                <w:color w:val="000000"/>
                <w:sz w:val="20"/>
                <w:szCs w:val="20"/>
              </w:rPr>
              <w:t xml:space="preserve"> </w:t>
            </w:r>
            <w:r w:rsidRPr="00B82B04">
              <w:rPr>
                <w:rFonts w:ascii="Arial" w:hAnsi="Arial" w:cs="Arial"/>
                <w:b w:val="0"/>
                <w:color w:val="000000"/>
                <w:sz w:val="20"/>
                <w:szCs w:val="20"/>
              </w:rPr>
              <w:t>collection</w:t>
            </w:r>
            <w:r>
              <w:rPr>
                <w:rFonts w:ascii="Arial" w:hAnsi="Arial" w:cs="Arial"/>
                <w:b w:val="0"/>
                <w:color w:val="000000"/>
                <w:sz w:val="20"/>
                <w:szCs w:val="20"/>
              </w:rPr>
              <w:t xml:space="preserve"> </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10601A86" w14:textId="77777777">
            <w:pPr>
              <w:pStyle w:val="TableTitle"/>
              <w:rPr>
                <w:rFonts w:ascii="Arial" w:hAnsi="Arial" w:cs="Arial"/>
                <w:b w:val="0"/>
                <w:color w:val="000000"/>
                <w:sz w:val="20"/>
                <w:szCs w:val="20"/>
              </w:rPr>
            </w:pPr>
            <w:r w:rsidRPr="00B82B04">
              <w:rPr>
                <w:rFonts w:ascii="Arial" w:hAnsi="Arial" w:cs="Arial"/>
                <w:b w:val="0"/>
                <w:bCs w:val="0"/>
                <w:color w:val="000000"/>
                <w:sz w:val="20"/>
                <w:szCs w:val="20"/>
              </w:rPr>
              <w:t>November</w:t>
            </w:r>
            <w:r>
              <w:rPr>
                <w:rFonts w:ascii="Arial" w:hAnsi="Arial" w:cs="Arial"/>
                <w:b w:val="0"/>
                <w:color w:val="000000"/>
                <w:sz w:val="20"/>
                <w:szCs w:val="20"/>
              </w:rPr>
              <w:t xml:space="preserve"> </w:t>
            </w:r>
            <w:r w:rsidRPr="00B82B04">
              <w:rPr>
                <w:rFonts w:ascii="Arial" w:hAnsi="Arial" w:cs="Arial"/>
                <w:b w:val="0"/>
                <w:color w:val="000000"/>
                <w:sz w:val="20"/>
                <w:szCs w:val="20"/>
              </w:rPr>
              <w:t>1,</w:t>
            </w:r>
            <w:r>
              <w:rPr>
                <w:rFonts w:ascii="Arial" w:hAnsi="Arial" w:cs="Arial"/>
                <w:b w:val="0"/>
                <w:color w:val="000000"/>
                <w:sz w:val="20"/>
                <w:szCs w:val="20"/>
              </w:rPr>
              <w:t xml:space="preserve"> </w:t>
            </w:r>
            <w:r w:rsidRPr="00B82B04">
              <w:rPr>
                <w:rFonts w:ascii="Arial" w:hAnsi="Arial" w:cs="Arial"/>
                <w:b w:val="0"/>
                <w:color w:val="000000"/>
                <w:sz w:val="20"/>
                <w:szCs w:val="20"/>
              </w:rPr>
              <w:t>2021</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51E63163" w14:textId="77777777">
            <w:pPr>
              <w:pStyle w:val="TableTitle"/>
              <w:rPr>
                <w:rFonts w:ascii="Arial" w:hAnsi="Arial" w:cs="Arial"/>
                <w:b w:val="0"/>
                <w:color w:val="000000"/>
                <w:sz w:val="20"/>
                <w:szCs w:val="20"/>
              </w:rPr>
            </w:pPr>
            <w:r w:rsidRPr="00B82B04">
              <w:rPr>
                <w:rFonts w:ascii="Arial" w:hAnsi="Arial" w:cs="Arial"/>
                <w:b w:val="0"/>
                <w:color w:val="000000"/>
                <w:sz w:val="20"/>
                <w:szCs w:val="20"/>
              </w:rPr>
              <w:t>August</w:t>
            </w:r>
            <w:r>
              <w:rPr>
                <w:rFonts w:ascii="Arial" w:hAnsi="Arial" w:cs="Arial"/>
                <w:b w:val="0"/>
                <w:color w:val="000000"/>
                <w:sz w:val="20"/>
                <w:szCs w:val="20"/>
              </w:rPr>
              <w:t xml:space="preserve"> </w:t>
            </w:r>
            <w:r w:rsidRPr="00B82B04">
              <w:rPr>
                <w:rFonts w:ascii="Arial" w:hAnsi="Arial" w:cs="Arial"/>
                <w:b w:val="0"/>
                <w:color w:val="000000"/>
                <w:sz w:val="20"/>
                <w:szCs w:val="20"/>
              </w:rPr>
              <w:t>30,</w:t>
            </w:r>
            <w:r>
              <w:rPr>
                <w:rFonts w:ascii="Arial" w:hAnsi="Arial" w:cs="Arial"/>
                <w:b w:val="0"/>
                <w:color w:val="000000"/>
                <w:sz w:val="20"/>
                <w:szCs w:val="20"/>
              </w:rPr>
              <w:t xml:space="preserve"> </w:t>
            </w:r>
            <w:r w:rsidRPr="00B82B04">
              <w:rPr>
                <w:rFonts w:ascii="Arial" w:hAnsi="Arial" w:cs="Arial"/>
                <w:b w:val="0"/>
                <w:color w:val="000000"/>
                <w:sz w:val="20"/>
                <w:szCs w:val="20"/>
              </w:rPr>
              <w:t>2023</w:t>
            </w:r>
          </w:p>
        </w:tc>
      </w:tr>
      <w:tr w:rsidRPr="00B82B04" w:rsidR="00F5259C" w:rsidTr="00902F66" w14:paraId="5AA897FB"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62315912" w14:textId="77777777">
            <w:pPr>
              <w:pStyle w:val="TableTitle"/>
              <w:rPr>
                <w:rFonts w:ascii="Arial" w:hAnsi="Arial" w:cs="Arial"/>
                <w:b w:val="0"/>
                <w:color w:val="000000"/>
                <w:sz w:val="20"/>
                <w:szCs w:val="20"/>
              </w:rPr>
            </w:pPr>
            <w:r w:rsidRPr="00B82B04">
              <w:rPr>
                <w:rFonts w:ascii="Arial" w:hAnsi="Arial" w:cs="Arial"/>
                <w:b w:val="0"/>
                <w:color w:val="000000"/>
                <w:sz w:val="20"/>
                <w:szCs w:val="20"/>
              </w:rPr>
              <w:t>Final</w:t>
            </w:r>
            <w:r>
              <w:rPr>
                <w:rFonts w:ascii="Arial" w:hAnsi="Arial" w:cs="Arial"/>
                <w:b w:val="0"/>
                <w:color w:val="000000"/>
                <w:sz w:val="20"/>
                <w:szCs w:val="20"/>
              </w:rPr>
              <w:t xml:space="preserve"> </w:t>
            </w:r>
            <w:r w:rsidRPr="00B82B04">
              <w:rPr>
                <w:rFonts w:ascii="Arial" w:hAnsi="Arial" w:cs="Arial"/>
                <w:b w:val="0"/>
                <w:color w:val="000000"/>
                <w:sz w:val="20"/>
                <w:szCs w:val="20"/>
              </w:rPr>
              <w:t>Briefing</w:t>
            </w:r>
            <w:r>
              <w:rPr>
                <w:rFonts w:ascii="Arial" w:hAnsi="Arial" w:cs="Arial"/>
                <w:b w:val="0"/>
                <w:color w:val="000000"/>
                <w:sz w:val="20"/>
                <w:szCs w:val="20"/>
              </w:rPr>
              <w:t xml:space="preserve"> </w:t>
            </w:r>
            <w:r w:rsidRPr="00B82B04">
              <w:rPr>
                <w:rFonts w:ascii="Arial" w:hAnsi="Arial" w:cs="Arial"/>
                <w:b w:val="0"/>
                <w:color w:val="000000"/>
                <w:sz w:val="20"/>
                <w:szCs w:val="20"/>
              </w:rPr>
              <w:t>for</w:t>
            </w:r>
            <w:r>
              <w:rPr>
                <w:rFonts w:ascii="Arial" w:hAnsi="Arial" w:cs="Arial"/>
                <w:b w:val="0"/>
                <w:color w:val="000000"/>
                <w:sz w:val="20"/>
                <w:szCs w:val="20"/>
              </w:rPr>
              <w:t xml:space="preserve"> </w:t>
            </w:r>
            <w:r w:rsidRPr="00B82B04">
              <w:rPr>
                <w:rFonts w:ascii="Arial" w:hAnsi="Arial" w:cs="Arial"/>
                <w:b w:val="0"/>
                <w:color w:val="000000"/>
                <w:sz w:val="20"/>
                <w:szCs w:val="20"/>
              </w:rPr>
              <w:t>HUD</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1A32F6A9" w14:textId="77777777">
            <w:pPr>
              <w:pStyle w:val="TableTitle"/>
              <w:rPr>
                <w:rFonts w:ascii="Arial" w:hAnsi="Arial" w:cs="Arial"/>
                <w:b w:val="0"/>
                <w:color w:val="000000"/>
                <w:sz w:val="20"/>
                <w:szCs w:val="20"/>
              </w:rPr>
            </w:pPr>
            <w:r w:rsidRPr="00B82B04">
              <w:rPr>
                <w:rFonts w:ascii="Arial" w:hAnsi="Arial" w:cs="Arial"/>
                <w:b w:val="0"/>
                <w:color w:val="000000"/>
                <w:sz w:val="20"/>
                <w:szCs w:val="20"/>
              </w:rPr>
              <w:t>January</w:t>
            </w:r>
            <w:r>
              <w:rPr>
                <w:rFonts w:ascii="Arial" w:hAnsi="Arial" w:cs="Arial"/>
                <w:b w:val="0"/>
                <w:color w:val="000000"/>
                <w:sz w:val="20"/>
                <w:szCs w:val="20"/>
              </w:rPr>
              <w:t xml:space="preserve"> </w:t>
            </w:r>
            <w:r w:rsidRPr="00B82B04">
              <w:rPr>
                <w:rFonts w:ascii="Arial" w:hAnsi="Arial" w:cs="Arial"/>
                <w:b w:val="0"/>
                <w:color w:val="000000"/>
                <w:sz w:val="20"/>
                <w:szCs w:val="20"/>
              </w:rPr>
              <w:t>4,</w:t>
            </w:r>
            <w:r>
              <w:rPr>
                <w:rFonts w:ascii="Arial" w:hAnsi="Arial" w:cs="Arial"/>
                <w:b w:val="0"/>
                <w:color w:val="000000"/>
                <w:sz w:val="20"/>
                <w:szCs w:val="20"/>
              </w:rPr>
              <w:t xml:space="preserve"> </w:t>
            </w:r>
            <w:r w:rsidRPr="00B82B04">
              <w:rPr>
                <w:rFonts w:ascii="Arial" w:hAnsi="Arial" w:cs="Arial"/>
                <w:b w:val="0"/>
                <w:color w:val="000000"/>
                <w:sz w:val="20"/>
                <w:szCs w:val="20"/>
              </w:rPr>
              <w:t>2024</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302D732F" w14:textId="77777777">
            <w:pPr>
              <w:pStyle w:val="TableTitle"/>
              <w:rPr>
                <w:rFonts w:ascii="Arial" w:hAnsi="Arial" w:cs="Arial"/>
                <w:b w:val="0"/>
                <w:color w:val="000000"/>
                <w:sz w:val="20"/>
                <w:szCs w:val="20"/>
              </w:rPr>
            </w:pPr>
            <w:r w:rsidRPr="00B82B04">
              <w:rPr>
                <w:rFonts w:ascii="Arial" w:hAnsi="Arial" w:cs="Arial"/>
                <w:b w:val="0"/>
                <w:bCs w:val="0"/>
                <w:color w:val="000000"/>
                <w:sz w:val="20"/>
                <w:szCs w:val="20"/>
              </w:rPr>
              <w:t>Not</w:t>
            </w:r>
            <w:r>
              <w:rPr>
                <w:rFonts w:ascii="Arial" w:hAnsi="Arial" w:cs="Arial"/>
                <w:b w:val="0"/>
                <w:bCs w:val="0"/>
                <w:color w:val="000000"/>
                <w:sz w:val="20"/>
                <w:szCs w:val="20"/>
              </w:rPr>
              <w:t xml:space="preserve"> </w:t>
            </w:r>
            <w:r w:rsidRPr="00B82B04">
              <w:rPr>
                <w:rFonts w:ascii="Arial" w:hAnsi="Arial" w:cs="Arial"/>
                <w:b w:val="0"/>
                <w:bCs w:val="0"/>
                <w:color w:val="000000"/>
                <w:sz w:val="20"/>
                <w:szCs w:val="20"/>
              </w:rPr>
              <w:t>applicable</w:t>
            </w:r>
          </w:p>
        </w:tc>
      </w:tr>
      <w:tr w:rsidRPr="00B82B04" w:rsidR="00F5259C" w:rsidTr="00902F66" w14:paraId="00540697" w14:textId="77777777">
        <w:trPr>
          <w:cantSplit/>
        </w:trPr>
        <w:tc>
          <w:tcPr>
            <w:tcW w:w="4315"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10DB6415" w14:textId="77777777">
            <w:pPr>
              <w:pStyle w:val="TableTitle"/>
              <w:rPr>
                <w:rFonts w:ascii="Arial" w:hAnsi="Arial" w:cs="Arial"/>
                <w:b w:val="0"/>
                <w:color w:val="000000"/>
                <w:sz w:val="20"/>
                <w:szCs w:val="20"/>
              </w:rPr>
            </w:pPr>
            <w:r w:rsidRPr="00B82B04">
              <w:rPr>
                <w:rFonts w:ascii="Arial" w:hAnsi="Arial" w:cs="Arial"/>
                <w:b w:val="0"/>
                <w:color w:val="000000"/>
                <w:sz w:val="20"/>
                <w:szCs w:val="20"/>
              </w:rPr>
              <w:t>Transfer</w:t>
            </w:r>
            <w:r>
              <w:rPr>
                <w:rFonts w:ascii="Arial" w:hAnsi="Arial" w:cs="Arial"/>
                <w:b w:val="0"/>
                <w:color w:val="000000"/>
                <w:sz w:val="20"/>
                <w:szCs w:val="20"/>
              </w:rPr>
              <w:t xml:space="preserve"> </w:t>
            </w:r>
            <w:r w:rsidRPr="00B82B04">
              <w:rPr>
                <w:rFonts w:ascii="Arial" w:hAnsi="Arial" w:cs="Arial"/>
                <w:b w:val="0"/>
                <w:color w:val="000000"/>
                <w:sz w:val="20"/>
                <w:szCs w:val="20"/>
              </w:rPr>
              <w:t>of</w:t>
            </w:r>
            <w:r>
              <w:rPr>
                <w:rFonts w:ascii="Arial" w:hAnsi="Arial" w:cs="Arial"/>
                <w:b w:val="0"/>
                <w:color w:val="000000"/>
                <w:sz w:val="20"/>
                <w:szCs w:val="20"/>
              </w:rPr>
              <w:t xml:space="preserve"> </w:t>
            </w:r>
            <w:r w:rsidRPr="00B82B04">
              <w:rPr>
                <w:rFonts w:ascii="Arial" w:hAnsi="Arial" w:cs="Arial"/>
                <w:b w:val="0"/>
                <w:color w:val="000000"/>
                <w:sz w:val="20"/>
                <w:szCs w:val="20"/>
              </w:rPr>
              <w:t>data</w:t>
            </w:r>
            <w:r>
              <w:rPr>
                <w:rFonts w:ascii="Arial" w:hAnsi="Arial" w:cs="Arial"/>
                <w:b w:val="0"/>
                <w:color w:val="000000"/>
                <w:sz w:val="20"/>
                <w:szCs w:val="20"/>
              </w:rPr>
              <w:t xml:space="preserve"> </w:t>
            </w:r>
            <w:r w:rsidRPr="00B82B04">
              <w:rPr>
                <w:rFonts w:ascii="Arial" w:hAnsi="Arial" w:cs="Arial"/>
                <w:b w:val="0"/>
                <w:color w:val="000000"/>
                <w:sz w:val="20"/>
                <w:szCs w:val="20"/>
              </w:rPr>
              <w:t>files</w:t>
            </w:r>
            <w:r>
              <w:rPr>
                <w:rFonts w:ascii="Arial" w:hAnsi="Arial" w:cs="Arial"/>
                <w:b w:val="0"/>
                <w:color w:val="000000"/>
                <w:sz w:val="20"/>
                <w:szCs w:val="20"/>
              </w:rPr>
              <w:t xml:space="preserve"> </w:t>
            </w:r>
            <w:r w:rsidRPr="00B82B04">
              <w:rPr>
                <w:rFonts w:ascii="Arial" w:hAnsi="Arial" w:cs="Arial"/>
                <w:b w:val="0"/>
                <w:color w:val="000000"/>
                <w:sz w:val="20"/>
                <w:szCs w:val="20"/>
              </w:rPr>
              <w:t>and</w:t>
            </w:r>
            <w:r>
              <w:rPr>
                <w:rFonts w:ascii="Arial" w:hAnsi="Arial" w:cs="Arial"/>
                <w:b w:val="0"/>
                <w:color w:val="000000"/>
                <w:sz w:val="20"/>
                <w:szCs w:val="20"/>
              </w:rPr>
              <w:t xml:space="preserve"> </w:t>
            </w:r>
            <w:r w:rsidRPr="00B82B04">
              <w:rPr>
                <w:rFonts w:ascii="Arial" w:hAnsi="Arial" w:cs="Arial"/>
                <w:b w:val="0"/>
                <w:color w:val="000000"/>
                <w:sz w:val="20"/>
                <w:szCs w:val="20"/>
              </w:rPr>
              <w:t>data</w:t>
            </w:r>
            <w:r>
              <w:rPr>
                <w:rFonts w:ascii="Arial" w:hAnsi="Arial" w:cs="Arial"/>
                <w:b w:val="0"/>
                <w:color w:val="000000"/>
                <w:sz w:val="20"/>
                <w:szCs w:val="20"/>
              </w:rPr>
              <w:t xml:space="preserve"> </w:t>
            </w:r>
            <w:r w:rsidRPr="00B82B04">
              <w:rPr>
                <w:rFonts w:ascii="Arial" w:hAnsi="Arial" w:cs="Arial"/>
                <w:b w:val="0"/>
                <w:color w:val="000000"/>
                <w:sz w:val="20"/>
                <w:szCs w:val="20"/>
              </w:rPr>
              <w:t>documentation</w:t>
            </w:r>
          </w:p>
        </w:tc>
        <w:tc>
          <w:tcPr>
            <w:tcW w:w="243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4B9B42AF" w14:textId="77777777">
            <w:pPr>
              <w:pStyle w:val="TableTitle"/>
              <w:rPr>
                <w:rFonts w:ascii="Arial" w:hAnsi="Arial" w:cs="Arial"/>
                <w:b w:val="0"/>
                <w:color w:val="000000"/>
                <w:sz w:val="20"/>
                <w:szCs w:val="20"/>
              </w:rPr>
            </w:pPr>
            <w:r w:rsidRPr="00B82B04">
              <w:rPr>
                <w:rFonts w:ascii="Arial" w:hAnsi="Arial" w:cs="Arial"/>
                <w:b w:val="0"/>
                <w:color w:val="000000"/>
                <w:sz w:val="20"/>
                <w:szCs w:val="20"/>
              </w:rPr>
              <w:t>January</w:t>
            </w:r>
            <w:r>
              <w:rPr>
                <w:rFonts w:ascii="Arial" w:hAnsi="Arial" w:cs="Arial"/>
                <w:b w:val="0"/>
                <w:color w:val="000000"/>
                <w:sz w:val="20"/>
                <w:szCs w:val="20"/>
              </w:rPr>
              <w:t xml:space="preserve"> </w:t>
            </w:r>
            <w:r w:rsidRPr="00B82B04">
              <w:rPr>
                <w:rFonts w:ascii="Arial" w:hAnsi="Arial" w:cs="Arial"/>
                <w:b w:val="0"/>
                <w:color w:val="000000"/>
                <w:sz w:val="20"/>
                <w:szCs w:val="20"/>
              </w:rPr>
              <w:t>10,</w:t>
            </w:r>
            <w:r>
              <w:rPr>
                <w:rFonts w:ascii="Arial" w:hAnsi="Arial" w:cs="Arial"/>
                <w:b w:val="0"/>
                <w:color w:val="000000"/>
                <w:sz w:val="20"/>
                <w:szCs w:val="20"/>
              </w:rPr>
              <w:t xml:space="preserve"> </w:t>
            </w:r>
            <w:r w:rsidRPr="00B82B04">
              <w:rPr>
                <w:rFonts w:ascii="Arial" w:hAnsi="Arial" w:cs="Arial"/>
                <w:b w:val="0"/>
                <w:color w:val="000000"/>
                <w:sz w:val="20"/>
                <w:szCs w:val="20"/>
              </w:rPr>
              <w:t>2024</w:t>
            </w:r>
          </w:p>
        </w:tc>
        <w:tc>
          <w:tcPr>
            <w:tcW w:w="2700" w:type="dxa"/>
            <w:tcBorders>
              <w:top w:val="single" w:color="auto" w:sz="4" w:space="0"/>
              <w:left w:val="single" w:color="auto" w:sz="4" w:space="0"/>
              <w:bottom w:val="single" w:color="auto" w:sz="4" w:space="0"/>
              <w:right w:val="single" w:color="auto" w:sz="4" w:space="0"/>
            </w:tcBorders>
            <w:vAlign w:val="center"/>
          </w:tcPr>
          <w:p w:rsidRPr="00B82B04" w:rsidR="00F5259C" w:rsidP="00902F66" w:rsidRDefault="00F5259C" w14:paraId="1E5A113D" w14:textId="77777777">
            <w:pPr>
              <w:pStyle w:val="TableTitle"/>
              <w:rPr>
                <w:rFonts w:ascii="Arial" w:hAnsi="Arial" w:cs="Arial"/>
                <w:b w:val="0"/>
                <w:color w:val="000000"/>
                <w:sz w:val="20"/>
                <w:szCs w:val="20"/>
              </w:rPr>
            </w:pPr>
            <w:r w:rsidRPr="00B82B04">
              <w:rPr>
                <w:rFonts w:ascii="Arial" w:hAnsi="Arial" w:cs="Arial"/>
                <w:b w:val="0"/>
                <w:color w:val="000000"/>
                <w:sz w:val="20"/>
                <w:szCs w:val="20"/>
              </w:rPr>
              <w:t>March</w:t>
            </w:r>
            <w:r>
              <w:rPr>
                <w:rFonts w:ascii="Arial" w:hAnsi="Arial" w:cs="Arial"/>
                <w:b w:val="0"/>
                <w:color w:val="000000"/>
                <w:sz w:val="20"/>
                <w:szCs w:val="20"/>
              </w:rPr>
              <w:t xml:space="preserve"> </w:t>
            </w:r>
            <w:r w:rsidRPr="00B82B04">
              <w:rPr>
                <w:rFonts w:ascii="Arial" w:hAnsi="Arial" w:cs="Arial"/>
                <w:b w:val="0"/>
                <w:color w:val="000000"/>
                <w:sz w:val="20"/>
                <w:szCs w:val="20"/>
              </w:rPr>
              <w:t>6,</w:t>
            </w:r>
            <w:r>
              <w:rPr>
                <w:rFonts w:ascii="Arial" w:hAnsi="Arial" w:cs="Arial"/>
                <w:b w:val="0"/>
                <w:color w:val="000000"/>
                <w:sz w:val="20"/>
                <w:szCs w:val="20"/>
              </w:rPr>
              <w:t xml:space="preserve"> </w:t>
            </w:r>
            <w:r w:rsidRPr="00B82B04">
              <w:rPr>
                <w:rFonts w:ascii="Arial" w:hAnsi="Arial" w:cs="Arial"/>
                <w:b w:val="0"/>
                <w:color w:val="000000"/>
                <w:sz w:val="20"/>
                <w:szCs w:val="20"/>
              </w:rPr>
              <w:t>2024</w:t>
            </w:r>
          </w:p>
        </w:tc>
      </w:tr>
    </w:tbl>
    <w:p w:rsidRPr="00B82B04" w:rsidR="00F5259C" w:rsidP="00F5259C" w:rsidRDefault="00F5259C" w14:paraId="328D6F86" w14:textId="77777777">
      <w:pPr>
        <w:pStyle w:val="NormalOMB"/>
        <w:ind w:firstLine="0"/>
        <w:rPr>
          <w:rFonts w:ascii="Arial" w:hAnsi="Arial" w:cs="Arial"/>
          <w:sz w:val="20"/>
          <w:szCs w:val="20"/>
        </w:rPr>
      </w:pPr>
      <w:proofErr w:type="spellStart"/>
      <w:r w:rsidRPr="00B82B04">
        <w:rPr>
          <w:sz w:val="20"/>
          <w:szCs w:val="20"/>
          <w:vertAlign w:val="superscript"/>
        </w:rPr>
        <w:t>a</w:t>
      </w:r>
      <w:proofErr w:type="spellEnd"/>
      <w:r>
        <w:rPr>
          <w:sz w:val="20"/>
          <w:szCs w:val="20"/>
        </w:rPr>
        <w:t xml:space="preserve"> </w:t>
      </w:r>
      <w:r w:rsidRPr="00B82B04">
        <w:rPr>
          <w:rFonts w:ascii="Arial" w:hAnsi="Arial" w:cs="Arial"/>
          <w:sz w:val="18"/>
          <w:szCs w:val="18"/>
        </w:rPr>
        <w:t>This</w:t>
      </w:r>
      <w:r>
        <w:rPr>
          <w:rFonts w:ascii="Arial" w:hAnsi="Arial" w:cs="Arial"/>
          <w:sz w:val="18"/>
          <w:szCs w:val="18"/>
        </w:rPr>
        <w:t xml:space="preserve"> </w:t>
      </w:r>
      <w:r w:rsidRPr="00B82B04">
        <w:rPr>
          <w:rFonts w:ascii="Arial" w:hAnsi="Arial" w:cs="Arial"/>
          <w:sz w:val="18"/>
          <w:szCs w:val="18"/>
        </w:rPr>
        <w:t>is</w:t>
      </w:r>
      <w:r>
        <w:rPr>
          <w:rFonts w:ascii="Arial" w:hAnsi="Arial" w:cs="Arial"/>
          <w:sz w:val="18"/>
          <w:szCs w:val="18"/>
        </w:rPr>
        <w:t xml:space="preserve"> </w:t>
      </w:r>
      <w:r w:rsidRPr="00B82B04">
        <w:rPr>
          <w:rFonts w:ascii="Arial" w:hAnsi="Arial" w:cs="Arial"/>
          <w:sz w:val="18"/>
          <w:szCs w:val="18"/>
        </w:rPr>
        <w:t>a</w:t>
      </w:r>
      <w:r>
        <w:rPr>
          <w:rFonts w:ascii="Arial" w:hAnsi="Arial" w:cs="Arial"/>
          <w:sz w:val="18"/>
          <w:szCs w:val="18"/>
        </w:rPr>
        <w:t xml:space="preserve"> </w:t>
      </w:r>
      <w:r w:rsidRPr="00B82B04">
        <w:rPr>
          <w:rFonts w:ascii="Arial" w:hAnsi="Arial" w:cs="Arial"/>
          <w:sz w:val="18"/>
          <w:szCs w:val="18"/>
        </w:rPr>
        <w:t>draft</w:t>
      </w:r>
      <w:r>
        <w:rPr>
          <w:rFonts w:ascii="Arial" w:hAnsi="Arial" w:cs="Arial"/>
          <w:sz w:val="18"/>
          <w:szCs w:val="18"/>
        </w:rPr>
        <w:t xml:space="preserve"> </w:t>
      </w:r>
      <w:r w:rsidRPr="00B82B04">
        <w:rPr>
          <w:rFonts w:ascii="Arial" w:hAnsi="Arial" w:cs="Arial"/>
          <w:sz w:val="18"/>
          <w:szCs w:val="18"/>
        </w:rPr>
        <w:t>table.</w:t>
      </w:r>
      <w:r>
        <w:rPr>
          <w:rFonts w:ascii="Arial" w:hAnsi="Arial" w:cs="Arial"/>
          <w:sz w:val="18"/>
          <w:szCs w:val="18"/>
        </w:rPr>
        <w:t xml:space="preserve"> </w:t>
      </w:r>
      <w:r w:rsidRPr="00B82B04">
        <w:rPr>
          <w:rFonts w:ascii="Arial" w:hAnsi="Arial" w:cs="Arial"/>
          <w:sz w:val="18"/>
          <w:szCs w:val="18"/>
        </w:rPr>
        <w:t>It</w:t>
      </w:r>
      <w:r>
        <w:rPr>
          <w:rFonts w:ascii="Arial" w:hAnsi="Arial" w:cs="Arial"/>
          <w:sz w:val="18"/>
          <w:szCs w:val="18"/>
        </w:rPr>
        <w:t xml:space="preserve"> </w:t>
      </w:r>
      <w:r w:rsidRPr="00B82B04">
        <w:rPr>
          <w:rFonts w:ascii="Arial" w:hAnsi="Arial" w:cs="Arial"/>
          <w:sz w:val="18"/>
          <w:szCs w:val="18"/>
        </w:rPr>
        <w:t>will</w:t>
      </w:r>
      <w:r>
        <w:rPr>
          <w:rFonts w:ascii="Arial" w:hAnsi="Arial" w:cs="Arial"/>
          <w:sz w:val="18"/>
          <w:szCs w:val="18"/>
        </w:rPr>
        <w:t xml:space="preserve"> </w:t>
      </w:r>
      <w:r w:rsidRPr="00B82B04">
        <w:rPr>
          <w:rFonts w:ascii="Arial" w:hAnsi="Arial" w:cs="Arial"/>
          <w:sz w:val="18"/>
          <w:szCs w:val="18"/>
        </w:rPr>
        <w:t>be</w:t>
      </w:r>
      <w:r>
        <w:rPr>
          <w:rFonts w:ascii="Arial" w:hAnsi="Arial" w:cs="Arial"/>
          <w:sz w:val="18"/>
          <w:szCs w:val="18"/>
        </w:rPr>
        <w:t xml:space="preserve"> </w:t>
      </w:r>
      <w:r w:rsidRPr="00B82B04">
        <w:rPr>
          <w:rFonts w:ascii="Arial" w:hAnsi="Arial" w:cs="Arial"/>
          <w:sz w:val="18"/>
          <w:szCs w:val="18"/>
        </w:rPr>
        <w:t>revised</w:t>
      </w:r>
      <w:r>
        <w:rPr>
          <w:rFonts w:ascii="Arial" w:hAnsi="Arial" w:cs="Arial"/>
          <w:sz w:val="18"/>
          <w:szCs w:val="18"/>
        </w:rPr>
        <w:t xml:space="preserve"> </w:t>
      </w:r>
      <w:r w:rsidRPr="00B82B04">
        <w:rPr>
          <w:rFonts w:ascii="Arial" w:hAnsi="Arial" w:cs="Arial"/>
          <w:sz w:val="18"/>
          <w:szCs w:val="18"/>
        </w:rPr>
        <w:t>as</w:t>
      </w:r>
      <w:r>
        <w:rPr>
          <w:rFonts w:ascii="Arial" w:hAnsi="Arial" w:cs="Arial"/>
          <w:sz w:val="18"/>
          <w:szCs w:val="18"/>
        </w:rPr>
        <w:t xml:space="preserve"> </w:t>
      </w:r>
      <w:r w:rsidRPr="00B82B04">
        <w:rPr>
          <w:rFonts w:ascii="Arial" w:hAnsi="Arial" w:cs="Arial"/>
          <w:sz w:val="18"/>
          <w:szCs w:val="18"/>
        </w:rPr>
        <w:t>based</w:t>
      </w:r>
      <w:r>
        <w:rPr>
          <w:rFonts w:ascii="Arial" w:hAnsi="Arial" w:cs="Arial"/>
          <w:sz w:val="18"/>
          <w:szCs w:val="18"/>
        </w:rPr>
        <w:t xml:space="preserve"> </w:t>
      </w:r>
      <w:r w:rsidRPr="00B82B04">
        <w:rPr>
          <w:rFonts w:ascii="Arial" w:hAnsi="Arial" w:cs="Arial"/>
          <w:sz w:val="18"/>
          <w:szCs w:val="18"/>
        </w:rPr>
        <w:t>on</w:t>
      </w:r>
      <w:r>
        <w:rPr>
          <w:rFonts w:ascii="Arial" w:hAnsi="Arial" w:cs="Arial"/>
          <w:sz w:val="18"/>
          <w:szCs w:val="18"/>
        </w:rPr>
        <w:t xml:space="preserve"> </w:t>
      </w:r>
      <w:r w:rsidRPr="00B82B04">
        <w:rPr>
          <w:rFonts w:ascii="Arial" w:hAnsi="Arial" w:cs="Arial"/>
          <w:sz w:val="18"/>
          <w:szCs w:val="18"/>
        </w:rPr>
        <w:t>expected</w:t>
      </w:r>
      <w:r>
        <w:rPr>
          <w:rFonts w:ascii="Arial" w:hAnsi="Arial" w:cs="Arial"/>
          <w:sz w:val="18"/>
          <w:szCs w:val="18"/>
        </w:rPr>
        <w:t xml:space="preserve"> </w:t>
      </w:r>
      <w:r w:rsidRPr="00B82B04">
        <w:rPr>
          <w:rFonts w:ascii="Arial" w:hAnsi="Arial" w:cs="Arial"/>
          <w:sz w:val="18"/>
          <w:szCs w:val="18"/>
        </w:rPr>
        <w:t>modifications</w:t>
      </w:r>
      <w:r>
        <w:rPr>
          <w:rFonts w:ascii="Arial" w:hAnsi="Arial" w:cs="Arial"/>
          <w:sz w:val="18"/>
          <w:szCs w:val="18"/>
        </w:rPr>
        <w:t xml:space="preserve"> </w:t>
      </w:r>
      <w:r w:rsidRPr="00B82B04">
        <w:rPr>
          <w:rFonts w:ascii="Arial" w:hAnsi="Arial" w:cs="Arial"/>
          <w:sz w:val="18"/>
          <w:szCs w:val="18"/>
        </w:rPr>
        <w:t>to</w:t>
      </w:r>
      <w:r>
        <w:rPr>
          <w:rFonts w:ascii="Arial" w:hAnsi="Arial" w:cs="Arial"/>
          <w:sz w:val="18"/>
          <w:szCs w:val="18"/>
        </w:rPr>
        <w:t xml:space="preserve"> </w:t>
      </w:r>
      <w:r w:rsidRPr="00B82B04">
        <w:rPr>
          <w:rFonts w:ascii="Arial" w:hAnsi="Arial" w:cs="Arial"/>
          <w:sz w:val="18"/>
          <w:szCs w:val="18"/>
        </w:rPr>
        <w:t>the</w:t>
      </w:r>
      <w:r>
        <w:rPr>
          <w:rFonts w:ascii="Arial" w:hAnsi="Arial" w:cs="Arial"/>
          <w:sz w:val="18"/>
          <w:szCs w:val="18"/>
        </w:rPr>
        <w:t xml:space="preserve"> </w:t>
      </w:r>
      <w:r w:rsidRPr="00B82B04">
        <w:rPr>
          <w:rFonts w:ascii="Arial" w:hAnsi="Arial" w:cs="Arial"/>
          <w:sz w:val="18"/>
          <w:szCs w:val="18"/>
        </w:rPr>
        <w:t>Evaluation’s</w:t>
      </w:r>
      <w:r>
        <w:rPr>
          <w:rFonts w:ascii="Arial" w:hAnsi="Arial" w:cs="Arial"/>
          <w:sz w:val="18"/>
          <w:szCs w:val="18"/>
        </w:rPr>
        <w:t xml:space="preserve"> </w:t>
      </w:r>
      <w:r w:rsidRPr="00B82B04">
        <w:rPr>
          <w:rFonts w:ascii="Arial" w:hAnsi="Arial" w:cs="Arial"/>
          <w:sz w:val="18"/>
          <w:szCs w:val="18"/>
        </w:rPr>
        <w:t>period</w:t>
      </w:r>
      <w:r>
        <w:rPr>
          <w:rFonts w:ascii="Arial" w:hAnsi="Arial" w:cs="Arial"/>
          <w:sz w:val="18"/>
          <w:szCs w:val="18"/>
        </w:rPr>
        <w:t xml:space="preserve"> </w:t>
      </w:r>
      <w:r w:rsidRPr="00B82B04">
        <w:rPr>
          <w:rFonts w:ascii="Arial" w:hAnsi="Arial" w:cs="Arial"/>
          <w:sz w:val="18"/>
          <w:szCs w:val="18"/>
        </w:rPr>
        <w:t>of</w:t>
      </w:r>
      <w:r>
        <w:rPr>
          <w:rFonts w:ascii="Arial" w:hAnsi="Arial" w:cs="Arial"/>
          <w:sz w:val="18"/>
          <w:szCs w:val="18"/>
        </w:rPr>
        <w:t xml:space="preserve"> </w:t>
      </w:r>
      <w:r w:rsidRPr="00B82B04">
        <w:rPr>
          <w:rFonts w:ascii="Arial" w:hAnsi="Arial" w:cs="Arial"/>
          <w:sz w:val="18"/>
          <w:szCs w:val="18"/>
        </w:rPr>
        <w:t>performance.</w:t>
      </w:r>
    </w:p>
    <w:p w:rsidRPr="005C63E3" w:rsidR="00F5259C" w:rsidP="00F5259C" w:rsidRDefault="00F5259C" w14:paraId="76FC4903" w14:textId="77777777"/>
    <w:p w:rsidRPr="00B82B04" w:rsidR="00F5259C" w:rsidP="00F5259C" w:rsidRDefault="00F5259C" w14:paraId="4789DE71" w14:textId="77777777">
      <w:pPr>
        <w:pStyle w:val="Heading1"/>
      </w:pPr>
      <w:bookmarkStart w:name="_Toc69888488" w:id="68"/>
      <w:bookmarkStart w:name="_Toc75878172" w:id="69"/>
      <w:r w:rsidRPr="00B82B04">
        <w:t>17</w:t>
      </w:r>
      <w:r>
        <w:t xml:space="preserve">. </w:t>
      </w:r>
      <w:r w:rsidRPr="00B82B04">
        <w:t>Expiration</w:t>
      </w:r>
      <w:r>
        <w:t xml:space="preserve"> </w:t>
      </w:r>
      <w:r w:rsidRPr="00B82B04">
        <w:t>Date</w:t>
      </w:r>
      <w:r>
        <w:t xml:space="preserve"> </w:t>
      </w:r>
      <w:r w:rsidRPr="00B82B04">
        <w:t>for</w:t>
      </w:r>
      <w:r>
        <w:t xml:space="preserve"> </w:t>
      </w:r>
      <w:r w:rsidRPr="00B82B04">
        <w:t>OMB</w:t>
      </w:r>
      <w:r>
        <w:t xml:space="preserve"> </w:t>
      </w:r>
      <w:r w:rsidRPr="00B82B04">
        <w:t>Approval</w:t>
      </w:r>
      <w:bookmarkEnd w:id="68"/>
      <w:bookmarkEnd w:id="69"/>
    </w:p>
    <w:p w:rsidRPr="00435797" w:rsidR="00F5259C" w:rsidP="00F5259C" w:rsidRDefault="00F5259C" w14:paraId="0F2773B0" w14:textId="77777777">
      <w:pPr>
        <w:spacing w:after="240"/>
        <w:rPr>
          <w:bCs/>
          <w:i/>
        </w:rPr>
      </w:pPr>
      <w:r w:rsidRPr="007E78CC">
        <w:rPr>
          <w:bCs/>
          <w:i/>
        </w:rPr>
        <w:t>If</w:t>
      </w:r>
      <w:r>
        <w:rPr>
          <w:bCs/>
          <w:i/>
        </w:rPr>
        <w:t xml:space="preserve"> </w:t>
      </w:r>
      <w:r w:rsidRPr="007E78CC">
        <w:rPr>
          <w:bCs/>
          <w:i/>
        </w:rPr>
        <w:t>seeking</w:t>
      </w:r>
      <w:r>
        <w:rPr>
          <w:bCs/>
          <w:i/>
        </w:rPr>
        <w:t xml:space="preserve"> </w:t>
      </w:r>
      <w:r w:rsidRPr="007E78CC">
        <w:rPr>
          <w:bCs/>
          <w:i/>
        </w:rPr>
        <w:t>approval</w:t>
      </w:r>
      <w:r>
        <w:rPr>
          <w:bCs/>
          <w:i/>
        </w:rPr>
        <w:t xml:space="preserve"> </w:t>
      </w:r>
      <w:r w:rsidRPr="007E78CC">
        <w:rPr>
          <w:bCs/>
          <w:i/>
        </w:rPr>
        <w:t>to</w:t>
      </w:r>
      <w:r>
        <w:rPr>
          <w:bCs/>
          <w:i/>
        </w:rPr>
        <w:t xml:space="preserve"> </w:t>
      </w:r>
      <w:r w:rsidRPr="007E78CC">
        <w:rPr>
          <w:bCs/>
          <w:i/>
        </w:rPr>
        <w:t>not</w:t>
      </w:r>
      <w:r>
        <w:rPr>
          <w:bCs/>
          <w:i/>
        </w:rPr>
        <w:t xml:space="preserve"> </w:t>
      </w:r>
      <w:r w:rsidRPr="007E78CC">
        <w:rPr>
          <w:bCs/>
          <w:i/>
        </w:rPr>
        <w:t>display</w:t>
      </w:r>
      <w:r>
        <w:rPr>
          <w:bCs/>
          <w:i/>
        </w:rPr>
        <w:t xml:space="preserve"> </w:t>
      </w:r>
      <w:r w:rsidRPr="007E78CC">
        <w:rPr>
          <w:bCs/>
          <w:i/>
        </w:rPr>
        <w:t>the</w:t>
      </w:r>
      <w:r>
        <w:rPr>
          <w:bCs/>
          <w:i/>
        </w:rPr>
        <w:t xml:space="preserve"> </w:t>
      </w:r>
      <w:r w:rsidRPr="007E78CC">
        <w:rPr>
          <w:bCs/>
          <w:i/>
        </w:rPr>
        <w:t>expiration</w:t>
      </w:r>
      <w:r>
        <w:rPr>
          <w:bCs/>
          <w:i/>
        </w:rPr>
        <w:t xml:space="preserve"> </w:t>
      </w:r>
      <w:r w:rsidRPr="007E78CC">
        <w:rPr>
          <w:bCs/>
          <w:i/>
        </w:rPr>
        <w:t>date</w:t>
      </w:r>
      <w:r>
        <w:rPr>
          <w:bCs/>
          <w:i/>
        </w:rPr>
        <w:t xml:space="preserve"> </w:t>
      </w:r>
      <w:r w:rsidRPr="007E78CC">
        <w:rPr>
          <w:bCs/>
          <w:i/>
        </w:rPr>
        <w:t>for</w:t>
      </w:r>
      <w:r>
        <w:rPr>
          <w:bCs/>
          <w:i/>
        </w:rPr>
        <w:t xml:space="preserve"> </w:t>
      </w:r>
      <w:r w:rsidRPr="007E78CC">
        <w:rPr>
          <w:bCs/>
          <w:i/>
        </w:rPr>
        <w:t>OMB</w:t>
      </w:r>
      <w:r>
        <w:rPr>
          <w:bCs/>
          <w:i/>
        </w:rPr>
        <w:t xml:space="preserve"> </w:t>
      </w:r>
      <w:r w:rsidRPr="007E78CC">
        <w:rPr>
          <w:bCs/>
          <w:i/>
        </w:rPr>
        <w:t>approval</w:t>
      </w:r>
      <w:r>
        <w:rPr>
          <w:bCs/>
          <w:i/>
        </w:rPr>
        <w:t xml:space="preserve"> </w:t>
      </w:r>
      <w:r w:rsidRPr="007E78CC">
        <w:rPr>
          <w:bCs/>
          <w:i/>
        </w:rPr>
        <w:t>of</w:t>
      </w:r>
      <w:r>
        <w:rPr>
          <w:bCs/>
          <w:i/>
        </w:rPr>
        <w:t xml:space="preserve"> </w:t>
      </w:r>
      <w:r w:rsidRPr="007E78CC">
        <w:rPr>
          <w:bCs/>
          <w:i/>
        </w:rPr>
        <w:t>the</w:t>
      </w:r>
      <w:r>
        <w:rPr>
          <w:bCs/>
          <w:i/>
        </w:rPr>
        <w:t xml:space="preserve"> </w:t>
      </w:r>
      <w:r w:rsidRPr="007E78CC">
        <w:rPr>
          <w:bCs/>
          <w:i/>
        </w:rPr>
        <w:t>information</w:t>
      </w:r>
      <w:r>
        <w:rPr>
          <w:bCs/>
          <w:i/>
        </w:rPr>
        <w:t xml:space="preserve"> </w:t>
      </w:r>
      <w:r w:rsidRPr="007E78CC">
        <w:rPr>
          <w:bCs/>
          <w:i/>
        </w:rPr>
        <w:t>collection,</w:t>
      </w:r>
      <w:r>
        <w:rPr>
          <w:bCs/>
          <w:i/>
        </w:rPr>
        <w:t xml:space="preserve"> </w:t>
      </w:r>
      <w:r w:rsidRPr="007E78CC">
        <w:rPr>
          <w:bCs/>
          <w:i/>
        </w:rPr>
        <w:t>explain</w:t>
      </w:r>
      <w:r>
        <w:rPr>
          <w:bCs/>
          <w:i/>
        </w:rPr>
        <w:t xml:space="preserve"> </w:t>
      </w:r>
      <w:r w:rsidRPr="007E78CC">
        <w:rPr>
          <w:bCs/>
          <w:i/>
        </w:rPr>
        <w:t>the</w:t>
      </w:r>
      <w:r>
        <w:rPr>
          <w:bCs/>
          <w:i/>
        </w:rPr>
        <w:t xml:space="preserve"> </w:t>
      </w:r>
      <w:r w:rsidRPr="00435797">
        <w:rPr>
          <w:bCs/>
          <w:i/>
        </w:rPr>
        <w:t>reasons</w:t>
      </w:r>
      <w:r>
        <w:rPr>
          <w:bCs/>
          <w:i/>
        </w:rPr>
        <w:t xml:space="preserve"> </w:t>
      </w:r>
      <w:r w:rsidRPr="00435797">
        <w:rPr>
          <w:bCs/>
          <w:i/>
        </w:rPr>
        <w:t>that</w:t>
      </w:r>
      <w:r>
        <w:rPr>
          <w:bCs/>
          <w:i/>
        </w:rPr>
        <w:t xml:space="preserve"> </w:t>
      </w:r>
      <w:r w:rsidRPr="00435797">
        <w:rPr>
          <w:bCs/>
          <w:i/>
        </w:rPr>
        <w:t>display</w:t>
      </w:r>
      <w:r>
        <w:rPr>
          <w:bCs/>
          <w:i/>
        </w:rPr>
        <w:t xml:space="preserve"> </w:t>
      </w:r>
      <w:r w:rsidRPr="00435797">
        <w:rPr>
          <w:bCs/>
          <w:i/>
        </w:rPr>
        <w:t>would</w:t>
      </w:r>
      <w:r>
        <w:rPr>
          <w:bCs/>
          <w:i/>
        </w:rPr>
        <w:t xml:space="preserve"> </w:t>
      </w:r>
      <w:r w:rsidRPr="00435797">
        <w:rPr>
          <w:bCs/>
          <w:i/>
        </w:rPr>
        <w:t>be</w:t>
      </w:r>
      <w:r>
        <w:rPr>
          <w:bCs/>
          <w:i/>
        </w:rPr>
        <w:t xml:space="preserve"> </w:t>
      </w:r>
      <w:r w:rsidRPr="00435797">
        <w:rPr>
          <w:bCs/>
          <w:i/>
        </w:rPr>
        <w:t>inappropriate.</w:t>
      </w:r>
    </w:p>
    <w:p w:rsidRPr="00B82B04" w:rsidR="00F5259C" w:rsidP="00F5259C" w:rsidRDefault="00F5259C" w14:paraId="778DEA38" w14:textId="77777777">
      <w:pPr>
        <w:spacing w:after="240"/>
      </w:pPr>
      <w:r w:rsidRPr="00B82B04">
        <w:t>Not</w:t>
      </w:r>
      <w:r>
        <w:t xml:space="preserve"> </w:t>
      </w:r>
      <w:r w:rsidRPr="00B82B04">
        <w:t>applicable;</w:t>
      </w:r>
      <w:r>
        <w:t xml:space="preserve"> </w:t>
      </w:r>
      <w:r w:rsidRPr="0034329B">
        <w:t>HUD</w:t>
      </w:r>
      <w:r>
        <w:t xml:space="preserve"> </w:t>
      </w:r>
      <w:r w:rsidRPr="0034329B">
        <w:t>will</w:t>
      </w:r>
      <w:r>
        <w:t xml:space="preserve"> </w:t>
      </w:r>
      <w:r w:rsidRPr="0034329B">
        <w:t>display</w:t>
      </w:r>
      <w:r>
        <w:t xml:space="preserve"> </w:t>
      </w:r>
      <w:r w:rsidRPr="00B82B04">
        <w:t>the</w:t>
      </w:r>
      <w:r>
        <w:t xml:space="preserve"> </w:t>
      </w:r>
      <w:r w:rsidRPr="00B82B04">
        <w:t>expiration</w:t>
      </w:r>
      <w:r>
        <w:t xml:space="preserve"> </w:t>
      </w:r>
      <w:r w:rsidRPr="00B82B04">
        <w:t>date</w:t>
      </w:r>
      <w:r>
        <w:t xml:space="preserve"> </w:t>
      </w:r>
      <w:r w:rsidRPr="00B82B04">
        <w:t>of</w:t>
      </w:r>
      <w:r>
        <w:t xml:space="preserve"> </w:t>
      </w:r>
      <w:r w:rsidRPr="00B82B04">
        <w:t>OMB</w:t>
      </w:r>
      <w:r>
        <w:t xml:space="preserve"> </w:t>
      </w:r>
      <w:r w:rsidRPr="00B82B04">
        <w:t>approval.</w:t>
      </w:r>
    </w:p>
    <w:p w:rsidRPr="00B82B04" w:rsidR="00F5259C" w:rsidP="00F5259C" w:rsidRDefault="00F5259C" w14:paraId="1A5F6AE5" w14:textId="77777777">
      <w:pPr>
        <w:pStyle w:val="Heading1"/>
      </w:pPr>
      <w:bookmarkStart w:name="_Toc69888489" w:id="70"/>
      <w:bookmarkStart w:name="_Toc75878173" w:id="71"/>
      <w:r w:rsidRPr="00B82B04">
        <w:t>18</w:t>
      </w:r>
      <w:r>
        <w:t xml:space="preserve">. </w:t>
      </w:r>
      <w:r w:rsidRPr="00B82B04">
        <w:t>Exceptions</w:t>
      </w:r>
      <w:r>
        <w:t xml:space="preserve"> </w:t>
      </w:r>
      <w:r w:rsidRPr="00B82B04">
        <w:t>to</w:t>
      </w:r>
      <w:r>
        <w:t xml:space="preserve"> </w:t>
      </w:r>
      <w:r w:rsidRPr="00B82B04">
        <w:t>the</w:t>
      </w:r>
      <w:r>
        <w:t xml:space="preserve"> </w:t>
      </w:r>
      <w:r w:rsidRPr="00B82B04">
        <w:t>Certification</w:t>
      </w:r>
      <w:r>
        <w:t xml:space="preserve"> </w:t>
      </w:r>
      <w:r w:rsidRPr="00B82B04">
        <w:t>Statement</w:t>
      </w:r>
      <w:bookmarkEnd w:id="70"/>
      <w:bookmarkEnd w:id="71"/>
    </w:p>
    <w:p w:rsidRPr="00953FCC" w:rsidR="00F5259C" w:rsidP="00F5259C" w:rsidRDefault="00F5259C" w14:paraId="5994931B" w14:textId="77777777">
      <w:pPr>
        <w:spacing w:after="240"/>
        <w:rPr>
          <w:bCs/>
          <w:i/>
        </w:rPr>
      </w:pPr>
      <w:r w:rsidRPr="007E78CC">
        <w:rPr>
          <w:bCs/>
          <w:i/>
        </w:rPr>
        <w:t>Explain</w:t>
      </w:r>
      <w:r>
        <w:rPr>
          <w:bCs/>
          <w:i/>
        </w:rPr>
        <w:t xml:space="preserve"> </w:t>
      </w:r>
      <w:r w:rsidRPr="007E78CC">
        <w:rPr>
          <w:bCs/>
          <w:i/>
        </w:rPr>
        <w:t>each</w:t>
      </w:r>
      <w:r>
        <w:rPr>
          <w:bCs/>
          <w:i/>
        </w:rPr>
        <w:t xml:space="preserve"> </w:t>
      </w:r>
      <w:r w:rsidRPr="007E78CC">
        <w:rPr>
          <w:bCs/>
          <w:i/>
        </w:rPr>
        <w:t>exception</w:t>
      </w:r>
      <w:r>
        <w:rPr>
          <w:bCs/>
          <w:i/>
        </w:rPr>
        <w:t xml:space="preserve"> </w:t>
      </w:r>
      <w:r w:rsidRPr="007E78CC">
        <w:rPr>
          <w:bCs/>
          <w:i/>
        </w:rPr>
        <w:t>to</w:t>
      </w:r>
      <w:r>
        <w:rPr>
          <w:bCs/>
          <w:i/>
        </w:rPr>
        <w:t xml:space="preserve"> </w:t>
      </w:r>
      <w:r w:rsidRPr="007E78CC">
        <w:rPr>
          <w:bCs/>
          <w:i/>
        </w:rPr>
        <w:t>the</w:t>
      </w:r>
      <w:r>
        <w:rPr>
          <w:bCs/>
          <w:i/>
        </w:rPr>
        <w:t xml:space="preserve"> </w:t>
      </w:r>
      <w:r w:rsidRPr="007E78CC">
        <w:rPr>
          <w:bCs/>
          <w:i/>
        </w:rPr>
        <w:t>certification</w:t>
      </w:r>
      <w:r>
        <w:rPr>
          <w:bCs/>
          <w:i/>
        </w:rPr>
        <w:t xml:space="preserve"> </w:t>
      </w:r>
      <w:r w:rsidRPr="007E78CC">
        <w:rPr>
          <w:bCs/>
          <w:i/>
        </w:rPr>
        <w:t>statement</w:t>
      </w:r>
      <w:r>
        <w:rPr>
          <w:bCs/>
          <w:i/>
        </w:rPr>
        <w:t xml:space="preserve"> </w:t>
      </w:r>
      <w:r w:rsidRPr="007E78CC">
        <w:rPr>
          <w:bCs/>
          <w:i/>
        </w:rPr>
        <w:t>identified</w:t>
      </w:r>
      <w:r>
        <w:rPr>
          <w:bCs/>
          <w:i/>
        </w:rPr>
        <w:t xml:space="preserve"> </w:t>
      </w:r>
      <w:r w:rsidRPr="007E78CC">
        <w:rPr>
          <w:bCs/>
          <w:i/>
        </w:rPr>
        <w:t>in</w:t>
      </w:r>
      <w:r>
        <w:rPr>
          <w:bCs/>
          <w:i/>
        </w:rPr>
        <w:t xml:space="preserve"> </w:t>
      </w:r>
      <w:r w:rsidRPr="007E78CC">
        <w:rPr>
          <w:bCs/>
          <w:i/>
        </w:rPr>
        <w:t>Item</w:t>
      </w:r>
      <w:r>
        <w:rPr>
          <w:bCs/>
          <w:i/>
        </w:rPr>
        <w:t xml:space="preserve"> </w:t>
      </w:r>
      <w:r w:rsidRPr="007E78CC">
        <w:rPr>
          <w:bCs/>
          <w:i/>
        </w:rPr>
        <w:t>19,</w:t>
      </w:r>
      <w:r>
        <w:rPr>
          <w:bCs/>
          <w:i/>
        </w:rPr>
        <w:t xml:space="preserve"> </w:t>
      </w:r>
      <w:r w:rsidRPr="007E78CC">
        <w:rPr>
          <w:bCs/>
          <w:i/>
        </w:rPr>
        <w:t>“Certification</w:t>
      </w:r>
      <w:r>
        <w:rPr>
          <w:bCs/>
          <w:i/>
        </w:rPr>
        <w:t xml:space="preserve"> </w:t>
      </w:r>
      <w:r w:rsidRPr="007E78CC">
        <w:rPr>
          <w:bCs/>
          <w:i/>
        </w:rPr>
        <w:t>for</w:t>
      </w:r>
      <w:r>
        <w:rPr>
          <w:bCs/>
          <w:i/>
        </w:rPr>
        <w:t xml:space="preserve"> </w:t>
      </w:r>
      <w:r w:rsidRPr="00435797">
        <w:rPr>
          <w:bCs/>
          <w:i/>
        </w:rPr>
        <w:t>Paperwork</w:t>
      </w:r>
      <w:r>
        <w:rPr>
          <w:bCs/>
          <w:i/>
        </w:rPr>
        <w:t xml:space="preserve"> </w:t>
      </w:r>
      <w:r w:rsidRPr="00435797">
        <w:rPr>
          <w:bCs/>
          <w:i/>
        </w:rPr>
        <w:t>Reduction</w:t>
      </w:r>
      <w:r>
        <w:rPr>
          <w:bCs/>
          <w:i/>
        </w:rPr>
        <w:t xml:space="preserve"> </w:t>
      </w:r>
      <w:r w:rsidRPr="00435797">
        <w:rPr>
          <w:bCs/>
          <w:i/>
        </w:rPr>
        <w:t>Act</w:t>
      </w:r>
      <w:r>
        <w:rPr>
          <w:bCs/>
          <w:i/>
        </w:rPr>
        <w:t xml:space="preserve"> </w:t>
      </w:r>
      <w:r w:rsidRPr="00435797">
        <w:rPr>
          <w:bCs/>
          <w:i/>
        </w:rPr>
        <w:t>Submissions,”</w:t>
      </w:r>
      <w:r>
        <w:rPr>
          <w:bCs/>
          <w:i/>
        </w:rPr>
        <w:t xml:space="preserve"> </w:t>
      </w:r>
      <w:r w:rsidRPr="00435797">
        <w:rPr>
          <w:bCs/>
          <w:i/>
        </w:rPr>
        <w:t>of</w:t>
      </w:r>
      <w:r>
        <w:rPr>
          <w:bCs/>
          <w:i/>
        </w:rPr>
        <w:t xml:space="preserve"> </w:t>
      </w:r>
      <w:r w:rsidRPr="00435797">
        <w:rPr>
          <w:bCs/>
          <w:i/>
        </w:rPr>
        <w:t>OMB</w:t>
      </w:r>
      <w:r>
        <w:rPr>
          <w:bCs/>
          <w:i/>
        </w:rPr>
        <w:t xml:space="preserve"> </w:t>
      </w:r>
      <w:r w:rsidRPr="00435797">
        <w:rPr>
          <w:bCs/>
          <w:i/>
        </w:rPr>
        <w:t>Form</w:t>
      </w:r>
      <w:r>
        <w:rPr>
          <w:bCs/>
          <w:i/>
        </w:rPr>
        <w:t xml:space="preserve"> </w:t>
      </w:r>
      <w:r w:rsidRPr="00435797">
        <w:rPr>
          <w:bCs/>
          <w:i/>
        </w:rPr>
        <w:t>83-I.</w:t>
      </w:r>
    </w:p>
    <w:p w:rsidRPr="00B82B04" w:rsidR="00F5259C" w:rsidP="00F5259C" w:rsidRDefault="00F5259C" w14:paraId="33DC4A53" w14:textId="77777777">
      <w:pPr>
        <w:spacing w:after="240"/>
      </w:pPr>
      <w:r w:rsidRPr="00B82B04">
        <w:t>HUD</w:t>
      </w:r>
      <w:r>
        <w:t xml:space="preserve"> </w:t>
      </w:r>
      <w:r w:rsidRPr="00B82B04">
        <w:t>is</w:t>
      </w:r>
      <w:r>
        <w:t xml:space="preserve"> </w:t>
      </w:r>
      <w:r w:rsidRPr="00B82B04">
        <w:t>not</w:t>
      </w:r>
      <w:r>
        <w:t xml:space="preserve"> </w:t>
      </w:r>
      <w:r w:rsidRPr="00B82B04">
        <w:t>requesting</w:t>
      </w:r>
      <w:r>
        <w:t xml:space="preserve"> </w:t>
      </w:r>
      <w:r w:rsidRPr="00B82B04">
        <w:t>exceptions</w:t>
      </w:r>
      <w:r>
        <w:t xml:space="preserve"> </w:t>
      </w:r>
      <w:r w:rsidRPr="00B82B04">
        <w:t>to</w:t>
      </w:r>
      <w:r>
        <w:t xml:space="preserve"> </w:t>
      </w:r>
      <w:r w:rsidRPr="00B82B04">
        <w:t>the</w:t>
      </w:r>
      <w:r>
        <w:t xml:space="preserve"> </w:t>
      </w:r>
      <w:r w:rsidRPr="00B82B04">
        <w:t>certification</w:t>
      </w:r>
      <w:r>
        <w:t xml:space="preserve"> </w:t>
      </w:r>
      <w:r w:rsidRPr="00B82B04">
        <w:t>statement</w:t>
      </w:r>
      <w:r>
        <w:t xml:space="preserve"> </w:t>
      </w:r>
      <w:r w:rsidRPr="00B82B04">
        <w:t>in</w:t>
      </w:r>
      <w:r>
        <w:t xml:space="preserve"> </w:t>
      </w:r>
      <w:r w:rsidRPr="00B82B04">
        <w:t>Item</w:t>
      </w:r>
      <w:r>
        <w:t xml:space="preserve"> </w:t>
      </w:r>
      <w:r w:rsidRPr="00B82B04">
        <w:t>19</w:t>
      </w:r>
      <w:r>
        <w:t xml:space="preserve"> </w:t>
      </w:r>
      <w:r w:rsidRPr="00B82B04">
        <w:t>of</w:t>
      </w:r>
      <w:r>
        <w:t xml:space="preserve"> </w:t>
      </w:r>
      <w:r w:rsidRPr="00B82B04">
        <w:t>OMB</w:t>
      </w:r>
      <w:r>
        <w:t xml:space="preserve"> </w:t>
      </w:r>
      <w:r w:rsidRPr="00B82B04">
        <w:t>form</w:t>
      </w:r>
      <w:r>
        <w:t xml:space="preserve"> </w:t>
      </w:r>
      <w:r w:rsidRPr="00B82B04">
        <w:t>83-I.</w:t>
      </w:r>
    </w:p>
    <w:p w:rsidR="00255400" w:rsidRDefault="00255400" w14:paraId="048F0465" w14:textId="7EACCD31">
      <w:pPr>
        <w:keepNext/>
        <w:widowControl w:val="0"/>
        <w:overflowPunct w:val="0"/>
        <w:autoSpaceDE w:val="0"/>
        <w:autoSpaceDN w:val="0"/>
        <w:adjustRightInd w:val="0"/>
        <w:spacing w:after="120"/>
        <w:textAlignment w:val="baseline"/>
        <w:outlineLvl w:val="0"/>
        <w:rPr>
          <w:rFonts w:ascii="Arial" w:hAnsi="Arial" w:cs="Univers"/>
        </w:rPr>
      </w:pPr>
    </w:p>
    <w:sectPr w:rsidR="00255400" w:rsidSect="00EA4914">
      <w:footerReference w:type="default" r:id="rId33"/>
      <w:pgSz w:w="12240" w:h="15840" w:code="1"/>
      <w:pgMar w:top="144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2432" w14:textId="77777777" w:rsidR="000E0A26" w:rsidRDefault="000E0A26">
      <w:r>
        <w:separator/>
      </w:r>
    </w:p>
    <w:p w14:paraId="0BFE6D35" w14:textId="77777777" w:rsidR="000E0A26" w:rsidRDefault="000E0A26"/>
  </w:endnote>
  <w:endnote w:type="continuationSeparator" w:id="0">
    <w:p w14:paraId="1479B4EA" w14:textId="77777777" w:rsidR="000E0A26" w:rsidRDefault="000E0A26">
      <w:r>
        <w:continuationSeparator/>
      </w:r>
    </w:p>
    <w:p w14:paraId="1C1E22DE" w14:textId="77777777" w:rsidR="000E0A26" w:rsidRDefault="000E0A26"/>
  </w:endnote>
  <w:endnote w:type="continuationNotice" w:id="1">
    <w:p w14:paraId="7F48DC6E" w14:textId="77777777" w:rsidR="000E0A26" w:rsidRDefault="000E0A26"/>
    <w:p w14:paraId="293D66D1" w14:textId="77777777" w:rsidR="000E0A26" w:rsidRDefault="000E0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312821"/>
      <w:docPartObj>
        <w:docPartGallery w:val="Page Numbers (Bottom of Page)"/>
        <w:docPartUnique/>
      </w:docPartObj>
    </w:sdtPr>
    <w:sdtEndPr>
      <w:rPr>
        <w:noProof/>
      </w:rPr>
    </w:sdtEndPr>
    <w:sdtContent>
      <w:p w14:paraId="79ABDA00" w14:textId="5454C80F" w:rsidR="00FB29CF" w:rsidRPr="004D2FB2" w:rsidRDefault="00FB29CF" w:rsidP="00CE060B">
        <w:pPr>
          <w:pStyle w:val="Footer"/>
          <w:tabs>
            <w:tab w:val="clear" w:pos="4320"/>
            <w:tab w:val="clear" w:pos="8640"/>
          </w:tabs>
          <w:jc w:val="center"/>
        </w:pPr>
        <w:r>
          <w:fldChar w:fldCharType="begin"/>
        </w:r>
        <w:r>
          <w:instrText xml:space="preserve"> PAGE   \* MERGEFORMAT </w:instrText>
        </w:r>
        <w:r>
          <w:fldChar w:fldCharType="separate"/>
        </w:r>
        <w:r w:rsidR="009B1E55">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565F" w14:textId="77777777" w:rsidR="000E0A26" w:rsidRPr="00D3606F" w:rsidRDefault="000E0A26" w:rsidP="00D3606F">
      <w:pPr>
        <w:spacing w:before="120" w:after="60"/>
        <w:rPr>
          <w:sz w:val="20"/>
          <w:szCs w:val="20"/>
        </w:rPr>
      </w:pPr>
      <w:r w:rsidRPr="00D3606F">
        <w:rPr>
          <w:sz w:val="20"/>
          <w:szCs w:val="20"/>
        </w:rPr>
        <w:separator/>
      </w:r>
    </w:p>
  </w:footnote>
  <w:footnote w:type="continuationSeparator" w:id="0">
    <w:p w14:paraId="45698BBB" w14:textId="77777777" w:rsidR="000E0A26" w:rsidRDefault="000E0A26">
      <w:r>
        <w:continuationSeparator/>
      </w:r>
    </w:p>
    <w:p w14:paraId="7D226716" w14:textId="77777777" w:rsidR="000E0A26" w:rsidRDefault="000E0A26"/>
  </w:footnote>
  <w:footnote w:type="continuationNotice" w:id="1">
    <w:p w14:paraId="5A0B0E46" w14:textId="77777777" w:rsidR="000E0A26" w:rsidRPr="001A6B96" w:rsidRDefault="000E0A26" w:rsidP="001A6B96">
      <w:pPr>
        <w:pStyle w:val="Footer"/>
      </w:pPr>
    </w:p>
  </w:footnote>
  <w:footnote w:id="2">
    <w:p w14:paraId="03F0B490" w14:textId="77777777" w:rsidR="00FB29CF" w:rsidRPr="001A6B96" w:rsidRDefault="00FB29CF" w:rsidP="00F5259C">
      <w:pPr>
        <w:pStyle w:val="FootnoteText"/>
      </w:pPr>
      <w:r>
        <w:rPr>
          <w:rStyle w:val="FootnoteReference"/>
        </w:rPr>
        <w:footnoteRef/>
      </w:r>
      <w:r>
        <w:t xml:space="preserve"> </w:t>
      </w:r>
      <w:r w:rsidRPr="001A6B96">
        <w:t xml:space="preserve">U.S. Centers for Medicare and Medicaid Services. Historical National Health Expenditure Data. Retrieved from: </w:t>
      </w:r>
      <w:hyperlink r:id="rId1" w:history="1">
        <w:r w:rsidRPr="001A6B96">
          <w:rPr>
            <w:rStyle w:val="Hyperlink"/>
          </w:rPr>
          <w:t>https://www.cms.gov/Research-Statistics-Data-and-Systems/Statistics-Trends-and-Reports/NationalHealthExpendData/NationalHealthAccountsHistorical</w:t>
        </w:r>
      </w:hyperlink>
      <w:r w:rsidRPr="001A6B96">
        <w:t>.</w:t>
      </w:r>
    </w:p>
  </w:footnote>
  <w:footnote w:id="3">
    <w:p w14:paraId="444B97C8" w14:textId="77777777" w:rsidR="00FB29CF" w:rsidRPr="001A6B96" w:rsidRDefault="00FB29CF" w:rsidP="00F5259C">
      <w:pPr>
        <w:pStyle w:val="FootnoteText"/>
      </w:pPr>
      <w:r w:rsidRPr="001A6B96">
        <w:rPr>
          <w:rStyle w:val="FootnoteReference"/>
        </w:rPr>
        <w:footnoteRef/>
      </w:r>
      <w:r w:rsidRPr="001A6B96">
        <w:t xml:space="preserve"> Congressional Research Service. 2018, August 22.” Who pays for long-term services and supports?” </w:t>
      </w:r>
      <w:r w:rsidRPr="001A6B96">
        <w:rPr>
          <w:i/>
          <w:iCs/>
        </w:rPr>
        <w:t>In Focus</w:t>
      </w:r>
      <w:r w:rsidRPr="001A6B96">
        <w:t xml:space="preserve"> www.crs 7-5700. Retrieved from </w:t>
      </w:r>
      <w:hyperlink r:id="rId2" w:history="1">
        <w:r w:rsidRPr="001A6B96">
          <w:rPr>
            <w:rStyle w:val="Hyperlink"/>
          </w:rPr>
          <w:t>https://fas.org/sgp/crs/misc/IF10343.pdf</w:t>
        </w:r>
      </w:hyperlink>
    </w:p>
  </w:footnote>
  <w:footnote w:id="4">
    <w:p w14:paraId="230AB896" w14:textId="77777777" w:rsidR="00FB29CF" w:rsidRPr="001A6B96" w:rsidRDefault="00FB29CF" w:rsidP="00F5259C">
      <w:pPr>
        <w:pStyle w:val="FootnoteText"/>
      </w:pPr>
      <w:r w:rsidRPr="001A6B96">
        <w:rPr>
          <w:rStyle w:val="FootnoteReference"/>
        </w:rPr>
        <w:footnoteRef/>
      </w:r>
      <w:r w:rsidRPr="001A6B96">
        <w:t xml:space="preserve"> Florence, Curtis S., Gwen Bergen, Adam </w:t>
      </w:r>
      <w:proofErr w:type="spellStart"/>
      <w:r w:rsidRPr="001A6B96">
        <w:t>Atherly</w:t>
      </w:r>
      <w:proofErr w:type="spellEnd"/>
      <w:r w:rsidRPr="001A6B96">
        <w:t xml:space="preserve">, Elizabeth Burns, Judy Stevens, and Cynthia Drake.2018, April.  “Medical costs of fatal and nonfatal falls in older adults,” </w:t>
      </w:r>
      <w:r w:rsidRPr="001A6B96">
        <w:rPr>
          <w:i/>
          <w:iCs/>
        </w:rPr>
        <w:t>Journal of the American Geriatrics Society</w:t>
      </w:r>
      <w:r w:rsidRPr="001A6B96">
        <w:t xml:space="preserve"> 66(4):693-698. </w:t>
      </w:r>
      <w:proofErr w:type="spellStart"/>
      <w:r w:rsidRPr="001A6B96">
        <w:t>doi</w:t>
      </w:r>
      <w:proofErr w:type="spellEnd"/>
      <w:r w:rsidRPr="001A6B96">
        <w:t>: 10.1111/jgs.15304.</w:t>
      </w:r>
    </w:p>
  </w:footnote>
  <w:footnote w:id="5">
    <w:p w14:paraId="6D581FAA" w14:textId="77777777" w:rsidR="00FB29CF" w:rsidRPr="001A6B96" w:rsidRDefault="00FB29CF" w:rsidP="00F5259C">
      <w:pPr>
        <w:pStyle w:val="FootnoteText"/>
      </w:pPr>
      <w:r w:rsidRPr="001A6B96">
        <w:rPr>
          <w:rStyle w:val="FootnoteReference"/>
        </w:rPr>
        <w:footnoteRef/>
      </w:r>
      <w:r w:rsidRPr="001A6B96">
        <w:t xml:space="preserve"> ADLs are defined as eight activities essential to daily self-care: walking, bathing, upper and lower body dressing, eating, using the toilet, transferring in and out of a bed or chair, and grooming. Centers for Medicare and Medicaid Services, Medicare Current Beneficiary Survey 2018 Methodology Report, Page 126. Retrieved from: </w:t>
      </w:r>
      <w:hyperlink r:id="rId3" w:history="1">
        <w:r w:rsidRPr="001A6B96">
          <w:rPr>
            <w:rStyle w:val="Hyperlink"/>
          </w:rPr>
          <w:t>https://www.cms.gov/files/document/2018-mcbs-methodology-report.pdf</w:t>
        </w:r>
      </w:hyperlink>
      <w:r w:rsidRPr="001A6B96">
        <w:t xml:space="preserve"> </w:t>
      </w:r>
    </w:p>
  </w:footnote>
  <w:footnote w:id="6">
    <w:p w14:paraId="68C3C068" w14:textId="77777777" w:rsidR="00FB29CF" w:rsidRPr="001A6B96" w:rsidRDefault="00FB29CF" w:rsidP="00F5259C">
      <w:pPr>
        <w:pStyle w:val="FootnoteText"/>
      </w:pPr>
      <w:r w:rsidRPr="001A6B96">
        <w:rPr>
          <w:rStyle w:val="FootnoteReference"/>
        </w:rPr>
        <w:footnoteRef/>
      </w:r>
      <w:r w:rsidRPr="001A6B96">
        <w:t xml:space="preserve"> IADLs are defined as eight independent living skills: using a telephone, shopping, preparing food, housekeeping, washing laundry, traveling independently, taking medications independently, and managing finances independently. Ibid., Page 126.</w:t>
      </w:r>
    </w:p>
  </w:footnote>
  <w:footnote w:id="7">
    <w:p w14:paraId="38B9352A"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Gaugler</w:t>
      </w:r>
      <w:proofErr w:type="spellEnd"/>
      <w:r w:rsidRPr="001A6B96">
        <w:t xml:space="preserve"> Joseph E., Sue Duval, Keith A. Anderson, Robert L. Kane. 2007, June 19. “Predicting nursing home admission in the U.S.: a </w:t>
      </w:r>
      <w:proofErr w:type="spellStart"/>
      <w:proofErr w:type="gramStart"/>
      <w:r w:rsidRPr="001A6B96">
        <w:t>meta analysis</w:t>
      </w:r>
      <w:proofErr w:type="spellEnd"/>
      <w:proofErr w:type="gramEnd"/>
      <w:r w:rsidRPr="001A6B96">
        <w:t xml:space="preserve">,” </w:t>
      </w:r>
      <w:r w:rsidRPr="001A6B96">
        <w:rPr>
          <w:i/>
          <w:iCs/>
        </w:rPr>
        <w:t>BMC Geriatrics</w:t>
      </w:r>
      <w:r w:rsidRPr="001A6B96">
        <w:t xml:space="preserve"> 7(13). </w:t>
      </w:r>
      <w:proofErr w:type="spellStart"/>
      <w:r w:rsidRPr="001A6B96">
        <w:t>doi</w:t>
      </w:r>
      <w:proofErr w:type="spellEnd"/>
      <w:r w:rsidRPr="001A6B96">
        <w:t>: 10.1186/1471-2318-7-13.</w:t>
      </w:r>
    </w:p>
  </w:footnote>
  <w:footnote w:id="8">
    <w:p w14:paraId="34396EDD"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Salive</w:t>
      </w:r>
      <w:proofErr w:type="spellEnd"/>
      <w:r w:rsidRPr="001A6B96">
        <w:t xml:space="preserve"> M.E, K.S. Collins, D.J. Foley, and L.K George. 1993, December. “Predictors of nursing home admission in a biracial population,” </w:t>
      </w:r>
      <w:r w:rsidRPr="001A6B96">
        <w:rPr>
          <w:i/>
          <w:iCs/>
        </w:rPr>
        <w:t>American Journal of Public Health</w:t>
      </w:r>
      <w:r w:rsidRPr="001A6B96">
        <w:t xml:space="preserve"> 83(12):1765–1767. doi:10.2105/ajph.83.12.1765.</w:t>
      </w:r>
    </w:p>
  </w:footnote>
  <w:footnote w:id="9">
    <w:p w14:paraId="1A5EEFA0" w14:textId="77777777" w:rsidR="00FB29CF" w:rsidRPr="001A6B96" w:rsidRDefault="00FB29CF" w:rsidP="00F5259C">
      <w:pPr>
        <w:pStyle w:val="EndnoteText"/>
        <w:rPr>
          <w:color w:val="000000"/>
        </w:rPr>
      </w:pPr>
      <w:r w:rsidRPr="001A6B96">
        <w:rPr>
          <w:rStyle w:val="FootnoteReference"/>
        </w:rPr>
        <w:footnoteRef/>
      </w:r>
      <w:r w:rsidRPr="001A6B96">
        <w:t xml:space="preserve"> </w:t>
      </w:r>
      <w:r w:rsidRPr="001A6B96">
        <w:rPr>
          <w:color w:val="000000"/>
        </w:rPr>
        <w:t xml:space="preserve">Thorpe, Roland J. Jr., </w:t>
      </w:r>
      <w:proofErr w:type="spellStart"/>
      <w:r w:rsidRPr="001A6B96">
        <w:rPr>
          <w:color w:val="000000"/>
        </w:rPr>
        <w:t>Olivio</w:t>
      </w:r>
      <w:proofErr w:type="spellEnd"/>
      <w:r w:rsidRPr="001A6B96">
        <w:rPr>
          <w:color w:val="000000"/>
        </w:rPr>
        <w:t xml:space="preserve"> J. Clay, Sarah L. </w:t>
      </w:r>
      <w:proofErr w:type="spellStart"/>
      <w:r w:rsidRPr="001A6B96">
        <w:rPr>
          <w:color w:val="000000"/>
        </w:rPr>
        <w:t>Szanton</w:t>
      </w:r>
      <w:proofErr w:type="spellEnd"/>
      <w:r w:rsidRPr="001A6B96">
        <w:rPr>
          <w:color w:val="000000"/>
        </w:rPr>
        <w:t xml:space="preserve">, Jason C. Allaire, and Keith E. Whitfield. 2011, November. “Correlates of mobility limitation in African Americans,” </w:t>
      </w:r>
      <w:r w:rsidRPr="001A6B96">
        <w:rPr>
          <w:i/>
          <w:iCs/>
          <w:color w:val="000000"/>
        </w:rPr>
        <w:t xml:space="preserve">The Journals of Gerontology. Series A, Biological </w:t>
      </w:r>
      <w:proofErr w:type="gramStart"/>
      <w:r w:rsidRPr="001A6B96">
        <w:rPr>
          <w:i/>
          <w:iCs/>
          <w:color w:val="000000"/>
        </w:rPr>
        <w:t>sciences</w:t>
      </w:r>
      <w:proofErr w:type="gramEnd"/>
      <w:r w:rsidRPr="001A6B96">
        <w:rPr>
          <w:i/>
          <w:iCs/>
          <w:color w:val="000000"/>
        </w:rPr>
        <w:t xml:space="preserve"> and medical sciences</w:t>
      </w:r>
      <w:r w:rsidRPr="001A6B96">
        <w:rPr>
          <w:color w:val="000000"/>
        </w:rPr>
        <w:t xml:space="preserve"> 66(11):1258–63. </w:t>
      </w:r>
      <w:proofErr w:type="spellStart"/>
      <w:r w:rsidRPr="001A6B96">
        <w:rPr>
          <w:color w:val="000000"/>
        </w:rPr>
        <w:t>doi</w:t>
      </w:r>
      <w:proofErr w:type="spellEnd"/>
      <w:r w:rsidRPr="001A6B96">
        <w:rPr>
          <w:color w:val="000000"/>
        </w:rPr>
        <w:t>: 10.1093/</w:t>
      </w:r>
      <w:proofErr w:type="spellStart"/>
      <w:r w:rsidRPr="001A6B96">
        <w:rPr>
          <w:color w:val="000000"/>
        </w:rPr>
        <w:t>gerona</w:t>
      </w:r>
      <w:proofErr w:type="spellEnd"/>
      <w:r w:rsidRPr="001A6B96">
        <w:rPr>
          <w:color w:val="000000"/>
        </w:rPr>
        <w:t>/glr122.</w:t>
      </w:r>
    </w:p>
  </w:footnote>
  <w:footnote w:id="10">
    <w:p w14:paraId="471B90B6" w14:textId="77777777" w:rsidR="00FB29CF" w:rsidRPr="001A6B96" w:rsidRDefault="00FB29CF" w:rsidP="00F5259C">
      <w:pPr>
        <w:pStyle w:val="FootnoteText"/>
      </w:pPr>
      <w:r w:rsidRPr="001A6B96">
        <w:rPr>
          <w:rStyle w:val="FootnoteReference"/>
        </w:rPr>
        <w:footnoteRef/>
      </w:r>
      <w:r w:rsidRPr="001A6B96">
        <w:t xml:space="preserve"> Thorpe, Roland J. Jr., </w:t>
      </w:r>
      <w:r w:rsidRPr="001A6B96">
        <w:rPr>
          <w:color w:val="000000"/>
        </w:rPr>
        <w:t xml:space="preserve">Sarah L. </w:t>
      </w:r>
      <w:proofErr w:type="spellStart"/>
      <w:r w:rsidRPr="001A6B96">
        <w:rPr>
          <w:color w:val="000000"/>
        </w:rPr>
        <w:t>Szanton</w:t>
      </w:r>
      <w:proofErr w:type="spellEnd"/>
      <w:r w:rsidRPr="001A6B96">
        <w:rPr>
          <w:color w:val="000000"/>
        </w:rPr>
        <w:t xml:space="preserve">, Caryn N. Bell, and Keith E. Whitfield. 2013, Winter. “Education, income and disability in African Americans,” </w:t>
      </w:r>
      <w:r w:rsidRPr="001A6B96">
        <w:rPr>
          <w:i/>
          <w:iCs/>
          <w:color w:val="000000"/>
        </w:rPr>
        <w:t>Ethnicity and Disease</w:t>
      </w:r>
      <w:r w:rsidRPr="001A6B96">
        <w:rPr>
          <w:color w:val="000000"/>
        </w:rPr>
        <w:t xml:space="preserve"> 23(1):12–7.</w:t>
      </w:r>
      <w:r w:rsidRPr="001A6B96">
        <w:t xml:space="preserve"> </w:t>
      </w:r>
      <w:r w:rsidRPr="001A6B96">
        <w:rPr>
          <w:color w:val="000000"/>
        </w:rPr>
        <w:t>PMID: 23495616.</w:t>
      </w:r>
    </w:p>
  </w:footnote>
  <w:footnote w:id="11">
    <w:p w14:paraId="078B69D1"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rPr>
          <w:color w:val="000000"/>
        </w:rPr>
        <w:t>Minkler</w:t>
      </w:r>
      <w:proofErr w:type="spellEnd"/>
      <w:r w:rsidRPr="001A6B96">
        <w:rPr>
          <w:color w:val="000000"/>
        </w:rPr>
        <w:t xml:space="preserve">, Meredith, Esme Fuller-Thomson, and Jack M. </w:t>
      </w:r>
      <w:proofErr w:type="spellStart"/>
      <w:r w:rsidRPr="001A6B96">
        <w:rPr>
          <w:color w:val="000000"/>
        </w:rPr>
        <w:t>Guralnik</w:t>
      </w:r>
      <w:proofErr w:type="spellEnd"/>
      <w:r w:rsidRPr="001A6B96">
        <w:rPr>
          <w:color w:val="000000"/>
        </w:rPr>
        <w:t xml:space="preserve">. 2006, August. “Gradient of disability across the socioeconomic spectrum in the United States,” </w:t>
      </w:r>
      <w:r w:rsidRPr="001A6B96">
        <w:rPr>
          <w:i/>
          <w:iCs/>
          <w:color w:val="000000"/>
        </w:rPr>
        <w:t xml:space="preserve">New England Journal of Medicine </w:t>
      </w:r>
      <w:r w:rsidRPr="001A6B96">
        <w:rPr>
          <w:color w:val="000000"/>
        </w:rPr>
        <w:t>355(7):695–703.</w:t>
      </w:r>
      <w:r w:rsidRPr="001A6B96">
        <w:t xml:space="preserve"> </w:t>
      </w:r>
      <w:proofErr w:type="spellStart"/>
      <w:r w:rsidRPr="001A6B96">
        <w:rPr>
          <w:color w:val="000000"/>
        </w:rPr>
        <w:t>doi</w:t>
      </w:r>
      <w:proofErr w:type="spellEnd"/>
      <w:r w:rsidRPr="001A6B96">
        <w:rPr>
          <w:color w:val="000000"/>
        </w:rPr>
        <w:t>: 10.1056/NEJMsa044316.</w:t>
      </w:r>
    </w:p>
  </w:footnote>
  <w:footnote w:id="12">
    <w:p w14:paraId="0A672649" w14:textId="77777777" w:rsidR="00FB29CF" w:rsidRPr="001A6B96" w:rsidRDefault="00FB29CF" w:rsidP="00F5259C">
      <w:pPr>
        <w:pStyle w:val="FootnoteText"/>
      </w:pPr>
      <w:r w:rsidRPr="001A6B96">
        <w:rPr>
          <w:rStyle w:val="FootnoteReference"/>
        </w:rPr>
        <w:footnoteRef/>
      </w:r>
      <w:r w:rsidRPr="001A6B96">
        <w:t xml:space="preserve"> Green, Carmen R., Karen O. Anderson, Tamara A. Baker, Lisa C. Campbell, Sheila Decker, Roger B. </w:t>
      </w:r>
      <w:proofErr w:type="spellStart"/>
      <w:r w:rsidRPr="001A6B96">
        <w:t>Fillingim</w:t>
      </w:r>
      <w:proofErr w:type="spellEnd"/>
      <w:r w:rsidRPr="001A6B96">
        <w:t xml:space="preserve">, Donna A. </w:t>
      </w:r>
      <w:proofErr w:type="spellStart"/>
      <w:r w:rsidRPr="001A6B96">
        <w:t>Kalauokalani</w:t>
      </w:r>
      <w:proofErr w:type="spellEnd"/>
      <w:r w:rsidRPr="001A6B96">
        <w:t xml:space="preserve">, </w:t>
      </w:r>
      <w:proofErr w:type="spellStart"/>
      <w:r w:rsidRPr="001A6B96">
        <w:t>Kathyrn</w:t>
      </w:r>
      <w:proofErr w:type="spellEnd"/>
      <w:r w:rsidRPr="001A6B96">
        <w:t xml:space="preserve"> E. </w:t>
      </w:r>
      <w:proofErr w:type="spellStart"/>
      <w:r w:rsidRPr="001A6B96">
        <w:t>Lasch</w:t>
      </w:r>
      <w:proofErr w:type="spellEnd"/>
      <w:r w:rsidRPr="001A6B96">
        <w:t xml:space="preserve">, Cynthia Myers, Raymond C. Tait, Knox H. Todd, and April H. Vallerand. 2003, September. “The unequal burden of pain: confronting racial and ethnic disparities in pain,” </w:t>
      </w:r>
      <w:r w:rsidRPr="001A6B96">
        <w:rPr>
          <w:i/>
          <w:iCs/>
        </w:rPr>
        <w:t>Pain Medicine</w:t>
      </w:r>
      <w:r w:rsidRPr="001A6B96">
        <w:t xml:space="preserve"> 4(3):277–94. </w:t>
      </w:r>
      <w:proofErr w:type="spellStart"/>
      <w:r w:rsidRPr="001A6B96">
        <w:t>doi</w:t>
      </w:r>
      <w:proofErr w:type="spellEnd"/>
      <w:r w:rsidRPr="001A6B96">
        <w:t>: 10.1046/j.1526-4637.2003.03034.x.</w:t>
      </w:r>
    </w:p>
  </w:footnote>
  <w:footnote w:id="13">
    <w:p w14:paraId="32346A34" w14:textId="77777777" w:rsidR="00FB29CF" w:rsidRPr="001A6B96" w:rsidRDefault="00FB29CF" w:rsidP="00F5259C">
      <w:pPr>
        <w:pStyle w:val="FootnoteText"/>
      </w:pPr>
      <w:r w:rsidRPr="001A6B96">
        <w:rPr>
          <w:rStyle w:val="FootnoteReference"/>
        </w:rPr>
        <w:footnoteRef/>
      </w:r>
      <w:r w:rsidRPr="001A6B96">
        <w:t xml:space="preserve"> Barry, Lisa C., Roland J. Thorpe Jr., Brenda W. J. H. </w:t>
      </w:r>
      <w:proofErr w:type="spellStart"/>
      <w:r w:rsidRPr="001A6B96">
        <w:t>Penninx</w:t>
      </w:r>
      <w:proofErr w:type="spellEnd"/>
      <w:r w:rsidRPr="001A6B96">
        <w:t xml:space="preserve">, Kristine </w:t>
      </w:r>
      <w:proofErr w:type="spellStart"/>
      <w:r w:rsidRPr="001A6B96">
        <w:t>Yaffe</w:t>
      </w:r>
      <w:proofErr w:type="spellEnd"/>
      <w:r w:rsidRPr="001A6B96">
        <w:t xml:space="preserve"> , Dorothy Wakefield, Hilsa N. </w:t>
      </w:r>
      <w:proofErr w:type="spellStart"/>
      <w:r w:rsidRPr="001A6B96">
        <w:t>Ayonayon</w:t>
      </w:r>
      <w:proofErr w:type="spellEnd"/>
      <w:r w:rsidRPr="001A6B96">
        <w:t xml:space="preserve">, Suzanne Satterfield, Anne B. Newman, and Eleanor M. </w:t>
      </w:r>
      <w:proofErr w:type="spellStart"/>
      <w:r w:rsidRPr="001A6B96">
        <w:t>Simonsick</w:t>
      </w:r>
      <w:proofErr w:type="spellEnd"/>
      <w:r w:rsidRPr="001A6B96">
        <w:t xml:space="preserve">. 2014, July. “Race-related differences in depression onset and recovery in older persons over time: the health, aging, and body composition study,” </w:t>
      </w:r>
    </w:p>
    <w:p w14:paraId="1FDB22C3" w14:textId="77777777" w:rsidR="00FB29CF" w:rsidRPr="001A6B96" w:rsidRDefault="00FB29CF" w:rsidP="00F5259C">
      <w:pPr>
        <w:pStyle w:val="FootnoteText"/>
      </w:pPr>
      <w:r w:rsidRPr="001A6B96">
        <w:rPr>
          <w:i/>
          <w:iCs/>
        </w:rPr>
        <w:t>The American Journal of Geriatric Psychiatry</w:t>
      </w:r>
      <w:r w:rsidRPr="001A6B96">
        <w:t xml:space="preserve"> 22(7):682-91. </w:t>
      </w:r>
      <w:proofErr w:type="spellStart"/>
      <w:r w:rsidRPr="001A6B96">
        <w:t>doi</w:t>
      </w:r>
      <w:proofErr w:type="spellEnd"/>
      <w:r w:rsidRPr="001A6B96">
        <w:t>: 10.1016/j.jagp.2013.09.001.</w:t>
      </w:r>
    </w:p>
  </w:footnote>
  <w:footnote w:id="14">
    <w:p w14:paraId="34D14C76"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Aneshensel</w:t>
      </w:r>
      <w:proofErr w:type="spellEnd"/>
      <w:r w:rsidRPr="001A6B96">
        <w:t xml:space="preserve">, Carol S., Richard G. Wight, Dana Miller-Martinez, Amanda L. </w:t>
      </w:r>
      <w:proofErr w:type="spellStart"/>
      <w:r w:rsidRPr="001A6B96">
        <w:t>Botticello</w:t>
      </w:r>
      <w:proofErr w:type="spellEnd"/>
      <w:r w:rsidRPr="001A6B96">
        <w:t xml:space="preserve">, Arun S. </w:t>
      </w:r>
      <w:proofErr w:type="spellStart"/>
      <w:r w:rsidRPr="001A6B96">
        <w:t>Karlamangla</w:t>
      </w:r>
      <w:proofErr w:type="spellEnd"/>
      <w:r w:rsidRPr="001A6B96">
        <w:t>, and Teresa E. Seeman. 2007, January. “Urban neighborhoods and depressive symptoms among older adults,”</w:t>
      </w:r>
    </w:p>
    <w:p w14:paraId="5C6F187E" w14:textId="77777777" w:rsidR="00FB29CF" w:rsidRPr="001A6B96" w:rsidRDefault="00FB29CF" w:rsidP="00F5259C">
      <w:pPr>
        <w:pStyle w:val="FootnoteText"/>
      </w:pPr>
      <w:r w:rsidRPr="001A6B96">
        <w:rPr>
          <w:i/>
          <w:iCs/>
        </w:rPr>
        <w:t>The Journals of Gerontology. Series B, Psychological sciences and social sciences</w:t>
      </w:r>
      <w:r w:rsidRPr="001A6B96">
        <w:t xml:space="preserve"> 62(1</w:t>
      </w:r>
      <w:proofErr w:type="gramStart"/>
      <w:r w:rsidRPr="001A6B96">
        <w:t>):S</w:t>
      </w:r>
      <w:proofErr w:type="gramEnd"/>
      <w:r w:rsidRPr="001A6B96">
        <w:t xml:space="preserve">52–9. </w:t>
      </w:r>
      <w:proofErr w:type="spellStart"/>
      <w:r w:rsidRPr="001A6B96">
        <w:t>doi</w:t>
      </w:r>
      <w:proofErr w:type="spellEnd"/>
      <w:r w:rsidRPr="001A6B96">
        <w:t>: 10.1093/</w:t>
      </w:r>
      <w:proofErr w:type="spellStart"/>
      <w:r w:rsidRPr="001A6B96">
        <w:t>geronb</w:t>
      </w:r>
      <w:proofErr w:type="spellEnd"/>
      <w:r w:rsidRPr="001A6B96">
        <w:t>/62.1.s52.</w:t>
      </w:r>
    </w:p>
  </w:footnote>
  <w:footnote w:id="15">
    <w:p w14:paraId="2D0B7A82"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Counsell</w:t>
      </w:r>
      <w:proofErr w:type="spellEnd"/>
      <w:r w:rsidRPr="001A6B96">
        <w:t xml:space="preserve">, Steven R., Christopher M. Callahan, Daniel O. Clark, </w:t>
      </w:r>
      <w:proofErr w:type="spellStart"/>
      <w:r w:rsidRPr="001A6B96">
        <w:t>Wanzhu</w:t>
      </w:r>
      <w:proofErr w:type="spellEnd"/>
      <w:r w:rsidRPr="001A6B96">
        <w:t xml:space="preserve"> Tu, Amna B. Buttar, Timothy E. Stump, and Gretchen D Ricketts. 2007, December. ”Geriatric care management for low-income seniors: a randomized controlled trial,”</w:t>
      </w:r>
      <w:r w:rsidRPr="001A6B96">
        <w:rPr>
          <w:i/>
          <w:iCs/>
        </w:rPr>
        <w:t xml:space="preserve"> JAMA</w:t>
      </w:r>
      <w:r w:rsidRPr="001A6B96">
        <w:t xml:space="preserve"> 298(22):2623–33. </w:t>
      </w:r>
      <w:proofErr w:type="spellStart"/>
      <w:r w:rsidRPr="001A6B96">
        <w:t>doi</w:t>
      </w:r>
      <w:proofErr w:type="spellEnd"/>
      <w:r w:rsidRPr="001A6B96">
        <w:t>: 10.1001/jama.298.22.2623.</w:t>
      </w:r>
    </w:p>
  </w:footnote>
  <w:footnote w:id="16">
    <w:p w14:paraId="2C6793CF"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Golant</w:t>
      </w:r>
      <w:proofErr w:type="spellEnd"/>
      <w:r w:rsidRPr="001A6B96">
        <w:t xml:space="preserve">, Stephen M. 2008. “Low-income elderly homeowners in very old dwellings: the need for public policy debate,” </w:t>
      </w:r>
      <w:r w:rsidRPr="001A6B96">
        <w:rPr>
          <w:i/>
          <w:iCs/>
        </w:rPr>
        <w:t>Journal of Aging and Social Policy</w:t>
      </w:r>
      <w:r w:rsidRPr="001A6B96">
        <w:t xml:space="preserve"> 20(1):1–28. </w:t>
      </w:r>
      <w:proofErr w:type="spellStart"/>
      <w:r w:rsidRPr="001A6B96">
        <w:t>doi</w:t>
      </w:r>
      <w:proofErr w:type="spellEnd"/>
      <w:r w:rsidRPr="001A6B96">
        <w:t>: 10.1300/j031v20n01_01.</w:t>
      </w:r>
    </w:p>
  </w:footnote>
  <w:footnote w:id="17">
    <w:p w14:paraId="1C9E4A16"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Pighills</w:t>
      </w:r>
      <w:proofErr w:type="spellEnd"/>
      <w:r w:rsidRPr="001A6B96">
        <w:t xml:space="preserve"> Alison, Claire Ballinger, Ruth Pickering, and </w:t>
      </w:r>
      <w:proofErr w:type="spellStart"/>
      <w:r w:rsidRPr="001A6B96">
        <w:t>Satyan</w:t>
      </w:r>
      <w:proofErr w:type="spellEnd"/>
      <w:r w:rsidRPr="001A6B96">
        <w:t xml:space="preserve"> Chari. 2015, November. “A critical review of the effectiveness of environmental assessment and modification in the prevention of falls amongst community dwelling older people,” </w:t>
      </w:r>
      <w:r w:rsidRPr="001A6B96">
        <w:rPr>
          <w:i/>
          <w:iCs/>
        </w:rPr>
        <w:t>British Journal of Occupational Therapy</w:t>
      </w:r>
      <w:r w:rsidRPr="001A6B96">
        <w:t xml:space="preserve"> 79(3):133-143. </w:t>
      </w:r>
      <w:proofErr w:type="spellStart"/>
      <w:r w:rsidRPr="001A6B96">
        <w:t>doi</w:t>
      </w:r>
      <w:proofErr w:type="spellEnd"/>
      <w:r w:rsidRPr="001A6B96">
        <w:t>./10.1177/0308022615600181.</w:t>
      </w:r>
    </w:p>
  </w:footnote>
  <w:footnote w:id="18">
    <w:p w14:paraId="7F8CF851" w14:textId="77777777" w:rsidR="00FB29CF" w:rsidRPr="001A6B96" w:rsidRDefault="00FB29CF" w:rsidP="00F5259C">
      <w:pPr>
        <w:pStyle w:val="FootnoteText"/>
      </w:pPr>
      <w:r w:rsidRPr="001A6B96">
        <w:rPr>
          <w:rStyle w:val="FootnoteReference"/>
        </w:rPr>
        <w:footnoteRef/>
      </w:r>
      <w:r w:rsidRPr="001A6B96">
        <w:t xml:space="preserve"> </w:t>
      </w:r>
      <w:proofErr w:type="spellStart"/>
      <w:r w:rsidRPr="001A6B96">
        <w:t>Szanton</w:t>
      </w:r>
      <w:proofErr w:type="spellEnd"/>
      <w:r w:rsidRPr="001A6B96">
        <w:t xml:space="preserve">, Sarah L, Qian-Li </w:t>
      </w:r>
      <w:proofErr w:type="spellStart"/>
      <w:r w:rsidRPr="001A6B96">
        <w:t>Xue</w:t>
      </w:r>
      <w:proofErr w:type="spellEnd"/>
      <w:r w:rsidRPr="001A6B96">
        <w:t xml:space="preserve">, Bruce </w:t>
      </w:r>
      <w:proofErr w:type="spellStart"/>
      <w:r w:rsidRPr="001A6B96">
        <w:t>Leff</w:t>
      </w:r>
      <w:proofErr w:type="spellEnd"/>
      <w:r w:rsidRPr="001A6B96">
        <w:t xml:space="preserve">, Jack </w:t>
      </w:r>
      <w:proofErr w:type="spellStart"/>
      <w:r w:rsidRPr="001A6B96">
        <w:t>Guralnik</w:t>
      </w:r>
      <w:proofErr w:type="spellEnd"/>
      <w:r w:rsidRPr="001A6B96">
        <w:t xml:space="preserve">, Jennifer L. Wolff, Elizabeth K. Tanner, Cynthia Boyd, Roland J. Thorpe Jr., David </w:t>
      </w:r>
      <w:proofErr w:type="spellStart"/>
      <w:r w:rsidRPr="001A6B96">
        <w:t>Bishai</w:t>
      </w:r>
      <w:proofErr w:type="spellEnd"/>
      <w:r w:rsidRPr="001A6B96">
        <w:t xml:space="preserve">, and Laura N. Gitlin.(2019, February. “Effect of a biobehavioral environmental approach on disability among low-income older adults: a randomized clinical trial.” </w:t>
      </w:r>
      <w:r w:rsidRPr="001A6B96">
        <w:rPr>
          <w:i/>
          <w:iCs/>
        </w:rPr>
        <w:t>JAMA Internal Medicine</w:t>
      </w:r>
      <w:r w:rsidRPr="001A6B96">
        <w:t xml:space="preserve"> 179(2):204-211. </w:t>
      </w:r>
      <w:proofErr w:type="spellStart"/>
      <w:r w:rsidRPr="001A6B96">
        <w:t>doi</w:t>
      </w:r>
      <w:proofErr w:type="spellEnd"/>
      <w:r w:rsidRPr="001A6B96">
        <w:t>: 10.1001/jamainternmed.2018.6026.</w:t>
      </w:r>
    </w:p>
  </w:footnote>
  <w:footnote w:id="19">
    <w:p w14:paraId="5E1F42D2" w14:textId="77777777" w:rsidR="00FB29CF" w:rsidRPr="001A6B96" w:rsidRDefault="00FB29CF" w:rsidP="00F5259C">
      <w:pPr>
        <w:pStyle w:val="FootnoteText"/>
      </w:pPr>
      <w:r w:rsidRPr="001A6B96">
        <w:rPr>
          <w:rStyle w:val="FootnoteReference"/>
        </w:rPr>
        <w:footnoteRef/>
      </w:r>
      <w:r w:rsidRPr="001A6B96">
        <w:t xml:space="preserve"> U.S. Department of Housing and Urban Development. Office of Lead Hazard Control and Healthy Homes. Older Adults Home Modification Program, FR-6400-N-69, 5/18/2021. Page 12. Retrieved at </w:t>
      </w:r>
      <w:hyperlink r:id="rId4" w:history="1">
        <w:r w:rsidRPr="001A6B96">
          <w:rPr>
            <w:rStyle w:val="Hyperlink"/>
          </w:rPr>
          <w:t>https://www.hud.gov/sites/dfiles/SPM/documents/OlderAdultModificationProgramupdated4.12.21_FR-6400-N-69%2819%29.pdf</w:t>
        </w:r>
      </w:hyperlink>
      <w:r w:rsidRPr="001A6B96">
        <w:t xml:space="preserve">. </w:t>
      </w:r>
    </w:p>
  </w:footnote>
  <w:footnote w:id="20">
    <w:p w14:paraId="705354D1" w14:textId="77777777" w:rsidR="00FB29CF" w:rsidRPr="001A6B96" w:rsidRDefault="00FB29CF" w:rsidP="00F5259C">
      <w:pPr>
        <w:pStyle w:val="FootnoteText"/>
      </w:pPr>
      <w:r w:rsidRPr="001A6B96">
        <w:rPr>
          <w:rStyle w:val="FootnoteReference"/>
        </w:rPr>
        <w:footnoteRef/>
      </w:r>
      <w:r w:rsidRPr="001A6B96">
        <w:t xml:space="preserve"> U.S. Department of Housing and Urban Development. [n.d.] Mission. Retrieved at </w:t>
      </w:r>
      <w:hyperlink r:id="rId5" w:history="1">
        <w:r w:rsidRPr="001A6B96">
          <w:rPr>
            <w:rStyle w:val="Hyperlink"/>
          </w:rPr>
          <w:t>https://www.hud.gov/about/mission</w:t>
        </w:r>
      </w:hyperlink>
      <w:r w:rsidRPr="001A6B96">
        <w:t>.</w:t>
      </w:r>
    </w:p>
  </w:footnote>
  <w:footnote w:id="21">
    <w:p w14:paraId="47E9D0A8" w14:textId="77777777" w:rsidR="00FB29CF" w:rsidRPr="001A6B96" w:rsidRDefault="00FB29CF" w:rsidP="00F5259C">
      <w:pPr>
        <w:pStyle w:val="FootnoteText"/>
      </w:pPr>
      <w:r w:rsidRPr="001A6B96">
        <w:rPr>
          <w:rStyle w:val="FootnoteReference"/>
        </w:rPr>
        <w:footnoteRef/>
      </w:r>
      <w:r w:rsidRPr="001A6B96">
        <w:t xml:space="preserve"> U.S. Code at 12 U.S.C. §1701z-1 </w:t>
      </w:r>
      <w:hyperlink r:id="rId6" w:history="1">
        <w:r w:rsidRPr="001A6B96">
          <w:rPr>
            <w:rStyle w:val="Hyperlink"/>
          </w:rPr>
          <w:t>https://uscode.house.gov/view.xhtml?req=(title:12%20section:1701z-1%20edition:prelim)</w:t>
        </w:r>
      </w:hyperlink>
      <w:r w:rsidRPr="001A6B96">
        <w:t>.</w:t>
      </w:r>
    </w:p>
  </w:footnote>
  <w:footnote w:id="22">
    <w:p w14:paraId="6FF6AB40" w14:textId="77777777" w:rsidR="00FB29CF" w:rsidRPr="001A6B96" w:rsidRDefault="00FB29CF" w:rsidP="00F5259C">
      <w:pPr>
        <w:pStyle w:val="FootnoteText"/>
      </w:pPr>
      <w:r w:rsidRPr="001A6B96">
        <w:rPr>
          <w:rStyle w:val="FootnoteReference"/>
        </w:rPr>
        <w:footnoteRef/>
      </w:r>
      <w:r w:rsidRPr="001A6B96">
        <w:t xml:space="preserve"> U.S. Code at 12 U.S.C. §1701z-6 </w:t>
      </w:r>
      <w:hyperlink r:id="rId7" w:history="1">
        <w:r w:rsidRPr="001A6B96">
          <w:rPr>
            <w:rStyle w:val="Hyperlink"/>
          </w:rPr>
          <w:t>https://uscode.house.gov/view.xhtml?req=(title:12%20section:1701z-6%20edition:prelim)</w:t>
        </w:r>
      </w:hyperlink>
      <w:r w:rsidRPr="001A6B96">
        <w:rPr>
          <w:rStyle w:val="Hyperlink"/>
        </w:rPr>
        <w:t>.</w:t>
      </w:r>
    </w:p>
  </w:footnote>
  <w:footnote w:id="23">
    <w:p w14:paraId="65149781" w14:textId="77777777" w:rsidR="00FB29CF" w:rsidRPr="001A6B96" w:rsidRDefault="00FB29CF" w:rsidP="00F5259C">
      <w:pPr>
        <w:pStyle w:val="FootnoteText"/>
      </w:pPr>
      <w:r w:rsidRPr="001A6B96">
        <w:rPr>
          <w:rStyle w:val="FootnoteReference"/>
        </w:rPr>
        <w:footnoteRef/>
      </w:r>
      <w:r w:rsidRPr="001A6B96">
        <w:t xml:space="preserve"> Office of the Assistant Secretary for Policy Development and Research, HUD. HUD Program Evaluation Policy— Policy Statement. [Docket No. FR–5985–N–01] Federal Register / Vol. 81, No. 234 / Tuesday, December 6, 2016, 87949-50. </w:t>
      </w:r>
    </w:p>
  </w:footnote>
  <w:footnote w:id="24">
    <w:p w14:paraId="6205275F" w14:textId="77777777" w:rsidR="00FB29CF" w:rsidRPr="001A6B96" w:rsidRDefault="00FB29CF" w:rsidP="00F5259C">
      <w:pPr>
        <w:autoSpaceDE w:val="0"/>
        <w:autoSpaceDN w:val="0"/>
        <w:adjustRightInd w:val="0"/>
        <w:rPr>
          <w:sz w:val="20"/>
          <w:szCs w:val="20"/>
        </w:rPr>
      </w:pPr>
      <w:r w:rsidRPr="001A6B96">
        <w:rPr>
          <w:rStyle w:val="FootnoteReference"/>
        </w:rPr>
        <w:footnoteRef/>
      </w:r>
      <w:r w:rsidRPr="001A6B96">
        <w:rPr>
          <w:sz w:val="20"/>
          <w:szCs w:val="20"/>
        </w:rPr>
        <w:t xml:space="preserve"> U.S. Department of Housing and Urban Development. 2019, May.</w:t>
      </w:r>
      <w:r w:rsidRPr="001A6B96">
        <w:rPr>
          <w:color w:val="3B6D94"/>
          <w:sz w:val="20"/>
          <w:szCs w:val="20"/>
        </w:rPr>
        <w:t xml:space="preserve"> </w:t>
      </w:r>
      <w:r w:rsidRPr="001A6B96">
        <w:rPr>
          <w:sz w:val="20"/>
          <w:szCs w:val="20"/>
        </w:rPr>
        <w:t xml:space="preserve">Strategic Plan: 2018-2022. Page 19. Retrieved at </w:t>
      </w:r>
      <w:hyperlink r:id="rId8" w:history="1">
        <w:r w:rsidRPr="001A6B96">
          <w:rPr>
            <w:rStyle w:val="Hyperlink"/>
            <w:sz w:val="20"/>
            <w:szCs w:val="20"/>
          </w:rPr>
          <w:t>https://www.hud.gov/sites/dfiles/SPM/documents/HUDSTRATEGICPLAN2018-2022.pdf</w:t>
        </w:r>
      </w:hyperlink>
    </w:p>
  </w:footnote>
  <w:footnote w:id="25">
    <w:p w14:paraId="7AC45CD9" w14:textId="77777777" w:rsidR="00FB29CF" w:rsidRPr="001A6B96" w:rsidRDefault="00FB29CF" w:rsidP="00F5259C">
      <w:pPr>
        <w:pStyle w:val="FootnoteText"/>
      </w:pPr>
      <w:r w:rsidRPr="001A6B96">
        <w:rPr>
          <w:rStyle w:val="FootnoteReference"/>
        </w:rPr>
        <w:footnoteRef/>
      </w:r>
      <w:r w:rsidRPr="001A6B96">
        <w:t xml:space="preserve"> U.S. Department of Housing and Urban Development. Office of Lead Hazard Control and Healthy Homes. Older Adults Home Modification Program, op. cit. Pages 3-4.</w:t>
      </w:r>
      <w:r w:rsidRPr="001A6B96" w:rsidDel="00E51787">
        <w:t xml:space="preserve"> </w:t>
      </w:r>
    </w:p>
  </w:footnote>
  <w:footnote w:id="26">
    <w:p w14:paraId="5A2ADBE7" w14:textId="77777777" w:rsidR="00FB29CF" w:rsidRPr="001A6B96" w:rsidRDefault="00FB29CF" w:rsidP="00F5259C">
      <w:pPr>
        <w:tabs>
          <w:tab w:val="left" w:pos="2890"/>
        </w:tabs>
        <w:rPr>
          <w:sz w:val="20"/>
          <w:szCs w:val="20"/>
        </w:rPr>
      </w:pPr>
      <w:r w:rsidRPr="001A6B96">
        <w:rPr>
          <w:rStyle w:val="FootnoteReference"/>
        </w:rPr>
        <w:footnoteRef/>
      </w:r>
      <w:r w:rsidRPr="001A6B96">
        <w:rPr>
          <w:sz w:val="20"/>
          <w:szCs w:val="20"/>
        </w:rPr>
        <w:t xml:space="preserve"> Ibid. Pages 21-22.</w:t>
      </w:r>
      <w:r>
        <w:rPr>
          <w:sz w:val="20"/>
          <w:szCs w:val="20"/>
        </w:rPr>
        <w:tab/>
      </w:r>
    </w:p>
  </w:footnote>
  <w:footnote w:id="27">
    <w:p w14:paraId="39431C7D" w14:textId="77777777" w:rsidR="00FB29CF" w:rsidRPr="001A6B96" w:rsidRDefault="00FB29CF" w:rsidP="00F5259C">
      <w:pPr>
        <w:pStyle w:val="FootnoteText"/>
      </w:pPr>
      <w:r w:rsidRPr="001A6B96">
        <w:rPr>
          <w:rStyle w:val="FootnoteReference"/>
        </w:rPr>
        <w:footnoteRef/>
      </w:r>
      <w:r w:rsidRPr="001A6B96">
        <w:t xml:space="preserve"> Ibid. Page 4.</w:t>
      </w:r>
    </w:p>
  </w:footnote>
  <w:footnote w:id="28">
    <w:p w14:paraId="5EA8ACA4" w14:textId="0E1F4F50" w:rsidR="00FB29CF" w:rsidRPr="001A6B96" w:rsidRDefault="00FB29CF" w:rsidP="00F5259C">
      <w:pPr>
        <w:rPr>
          <w:sz w:val="20"/>
          <w:szCs w:val="20"/>
        </w:rPr>
      </w:pPr>
      <w:r w:rsidRPr="001A6B96">
        <w:rPr>
          <w:rStyle w:val="FootnoteReference"/>
        </w:rPr>
        <w:footnoteRef/>
      </w:r>
      <w:r w:rsidRPr="001A6B96">
        <w:rPr>
          <w:sz w:val="20"/>
          <w:szCs w:val="20"/>
        </w:rPr>
        <w:t xml:space="preserve"> The assessment period of six- to nine-months post-modification is required under the PD&amp;R solicitation for this Evaluation. 2020</w:t>
      </w:r>
      <w:r w:rsidRPr="0000476E">
        <w:rPr>
          <w:sz w:val="20"/>
          <w:szCs w:val="20"/>
        </w:rPr>
        <w:t>, August 25. Amended 86614620Q00009 – FY20 Home Mod Study Solicitation. Survey of Recipients. Page 10. Retrieved</w:t>
      </w:r>
      <w:r w:rsidRPr="001A6B96">
        <w:rPr>
          <w:sz w:val="20"/>
          <w:szCs w:val="20"/>
        </w:rPr>
        <w:t xml:space="preserve"> from: </w:t>
      </w:r>
      <w:hyperlink r:id="rId9" w:history="1">
        <w:r w:rsidRPr="001A6B96">
          <w:rPr>
            <w:rStyle w:val="Hyperlink"/>
            <w:sz w:val="20"/>
            <w:szCs w:val="20"/>
          </w:rPr>
          <w:t>https://sam.gov/opp/3d953aca9f88435faf816f314d870707/view</w:t>
        </w:r>
      </w:hyperlink>
      <w:r w:rsidRPr="001A6B96">
        <w:rPr>
          <w:sz w:val="20"/>
          <w:szCs w:val="20"/>
        </w:rPr>
        <w:t xml:space="preserve">. It is also supported by prior PD&amp;R funded research related to the ability to detect long-term changes in ADLs and IADLs after implementation of the Community Aging in Place – Advancing Better Living in Elders (CAPABLE) approach which is a core program model for the OAHMP. Breysse J, Dixon S, Wilson J, and </w:t>
      </w:r>
      <w:proofErr w:type="spellStart"/>
      <w:r w:rsidRPr="001A6B96">
        <w:rPr>
          <w:sz w:val="20"/>
          <w:szCs w:val="20"/>
        </w:rPr>
        <w:t>Szanton</w:t>
      </w:r>
      <w:proofErr w:type="spellEnd"/>
      <w:r w:rsidRPr="001A6B96">
        <w:rPr>
          <w:sz w:val="20"/>
          <w:szCs w:val="20"/>
        </w:rPr>
        <w:t xml:space="preserve"> S. </w:t>
      </w:r>
      <w:r w:rsidRPr="00062554">
        <w:rPr>
          <w:sz w:val="20"/>
          <w:szCs w:val="20"/>
        </w:rPr>
        <w:t xml:space="preserve">2021, September 2. </w:t>
      </w:r>
      <w:r>
        <w:rPr>
          <w:sz w:val="20"/>
          <w:szCs w:val="20"/>
        </w:rPr>
        <w:t>“</w:t>
      </w:r>
      <w:r w:rsidRPr="001A6B96">
        <w:rPr>
          <w:sz w:val="20"/>
          <w:szCs w:val="20"/>
        </w:rPr>
        <w:t>Aging gracefully in place: An evaluation of the capability of the CAPABLE© approach</w:t>
      </w:r>
      <w:r>
        <w:rPr>
          <w:sz w:val="20"/>
          <w:szCs w:val="20"/>
        </w:rPr>
        <w:t xml:space="preserve">.” </w:t>
      </w:r>
      <w:r w:rsidRPr="002B3B3C">
        <w:rPr>
          <w:i/>
          <w:iCs/>
          <w:sz w:val="20"/>
          <w:szCs w:val="20"/>
        </w:rPr>
        <w:t>Journal of Applied Gerontology</w:t>
      </w:r>
      <w:r w:rsidRPr="001A6B96">
        <w:rPr>
          <w:sz w:val="20"/>
          <w:szCs w:val="20"/>
        </w:rPr>
        <w:t xml:space="preserve">. </w:t>
      </w:r>
      <w:r w:rsidRPr="002B3B3C">
        <w:rPr>
          <w:sz w:val="20"/>
          <w:szCs w:val="20"/>
        </w:rPr>
        <w:t xml:space="preserve">7334648211042606. </w:t>
      </w:r>
      <w:proofErr w:type="spellStart"/>
      <w:r w:rsidRPr="002B3B3C">
        <w:rPr>
          <w:sz w:val="20"/>
          <w:szCs w:val="20"/>
        </w:rPr>
        <w:t>doi</w:t>
      </w:r>
      <w:proofErr w:type="spellEnd"/>
      <w:r w:rsidRPr="002B3B3C">
        <w:rPr>
          <w:sz w:val="20"/>
          <w:szCs w:val="20"/>
        </w:rPr>
        <w:t>: 10.1177/07334648211042606</w:t>
      </w:r>
      <w:r>
        <w:rPr>
          <w:sz w:val="20"/>
          <w:szCs w:val="20"/>
        </w:rPr>
        <w:t xml:space="preserve">. </w:t>
      </w:r>
      <w:proofErr w:type="spellStart"/>
      <w:r w:rsidRPr="00772976">
        <w:rPr>
          <w:sz w:val="20"/>
          <w:szCs w:val="20"/>
        </w:rPr>
        <w:t>Epub</w:t>
      </w:r>
      <w:proofErr w:type="spellEnd"/>
      <w:r w:rsidRPr="00772976">
        <w:rPr>
          <w:sz w:val="20"/>
          <w:szCs w:val="20"/>
        </w:rPr>
        <w:t xml:space="preserve"> ahead of print. PMID: 34474609.</w:t>
      </w:r>
    </w:p>
  </w:footnote>
  <w:footnote w:id="29">
    <w:p w14:paraId="07F4097D" w14:textId="77777777" w:rsidR="00FB29CF" w:rsidRPr="001A6B96" w:rsidRDefault="00FB29CF" w:rsidP="00F5259C">
      <w:pPr>
        <w:pStyle w:val="FootnoteText"/>
      </w:pPr>
      <w:r w:rsidRPr="001A6B96">
        <w:rPr>
          <w:rStyle w:val="FootnoteReference"/>
        </w:rPr>
        <w:footnoteRef/>
      </w:r>
      <w:r w:rsidRPr="001A6B96">
        <w:t xml:space="preserve"> Comparison of Evaluation data to Centers for Medicare and Medicaid services data is required under the PD&amp;R solicitation for this Evaluation. U.S. Department of Housing and Urban Development. Amended 86614620Q00009 – FY20 Home Mod Study Solicitation, op. cit. Pages 10 and 13. </w:t>
      </w:r>
    </w:p>
  </w:footnote>
  <w:footnote w:id="30">
    <w:p w14:paraId="381CC831" w14:textId="77777777" w:rsidR="00FB29CF" w:rsidRPr="001A6B96" w:rsidRDefault="00FB29CF" w:rsidP="00F5259C">
      <w:pPr>
        <w:pStyle w:val="FootnoteText"/>
      </w:pPr>
      <w:r w:rsidRPr="001A6B96">
        <w:rPr>
          <w:rStyle w:val="FootnoteReference"/>
        </w:rPr>
        <w:footnoteRef/>
      </w:r>
      <w:r w:rsidRPr="001A6B96">
        <w:t xml:space="preserve"> U.S. Census Bureau. American Housing Survey 2019 Public Use File (PUF). Retrieved from: </w:t>
      </w:r>
      <w:hyperlink r:id="rId10" w:history="1">
        <w:r w:rsidRPr="001A6B96">
          <w:rPr>
            <w:rStyle w:val="Hyperlink"/>
          </w:rPr>
          <w:t>https://www.census.gov/programs-surveys/ahs/data/2019/ahs-2019-public-use-file--puf-.html</w:t>
        </w:r>
      </w:hyperlink>
      <w:r w:rsidRPr="001A6B96">
        <w:rPr>
          <w:rStyle w:val="Hyperlink"/>
        </w:rPr>
        <w:t>.</w:t>
      </w:r>
    </w:p>
  </w:footnote>
  <w:footnote w:id="31">
    <w:p w14:paraId="4338DA17" w14:textId="77777777" w:rsidR="00FB29CF" w:rsidRPr="001A6B96" w:rsidRDefault="00FB29CF" w:rsidP="00F5259C">
      <w:pPr>
        <w:pStyle w:val="FootnoteText"/>
      </w:pPr>
      <w:r w:rsidRPr="001A6B96">
        <w:rPr>
          <w:rStyle w:val="FootnoteReference"/>
        </w:rPr>
        <w:footnoteRef/>
      </w:r>
      <w:r w:rsidRPr="001A6B96">
        <w:t xml:space="preserve"> U.S. Census Bureau. American Community Survey: LANGUAGE SPOKEN AT HOME. </w:t>
      </w:r>
      <w:proofErr w:type="spellStart"/>
      <w:r w:rsidRPr="001A6B96">
        <w:t>TableID</w:t>
      </w:r>
      <w:proofErr w:type="spellEnd"/>
      <w:r w:rsidRPr="001A6B96">
        <w:t xml:space="preserve">: S1601. </w:t>
      </w:r>
      <w:hyperlink r:id="rId11" w:history="1">
        <w:r w:rsidRPr="001A6B96">
          <w:rPr>
            <w:rStyle w:val="Hyperlink"/>
          </w:rPr>
          <w:t>https://data.census.gov/cedsci/table?q=language&amp;tid=ACSST1Y2019.S1601</w:t>
        </w:r>
      </w:hyperlink>
      <w:r w:rsidRPr="001A6B96">
        <w:t>. Accessed June 17, 2021.</w:t>
      </w:r>
    </w:p>
  </w:footnote>
  <w:footnote w:id="32">
    <w:p w14:paraId="77137979" w14:textId="77777777" w:rsidR="00FB29CF" w:rsidRPr="001A6B96" w:rsidRDefault="00FB29CF" w:rsidP="00F5259C">
      <w:pPr>
        <w:pStyle w:val="FootnoteText"/>
        <w:keepNext/>
        <w:keepLines/>
        <w:widowControl/>
      </w:pPr>
      <w:r w:rsidRPr="001A6B96">
        <w:rPr>
          <w:rStyle w:val="FootnoteReference"/>
        </w:rPr>
        <w:footnoteRef/>
      </w:r>
      <w:r w:rsidRPr="001A6B96">
        <w:t xml:space="preserve"> Agency for Healthcare Research and Quality). 2017.  Most recent Codebook definition accessed from Medical Expenditure Panel Survey (MEPS), household component. Sample restricted to (IPTEXP17): “Age 65+ with Total Hospital Inpatient Facility and Doctor Expenses greater than zero” subtracting average inpatient expenditures with zero nights. Weighted estimates obtained using </w:t>
      </w:r>
      <w:proofErr w:type="spellStart"/>
      <w:r w:rsidRPr="001A6B96">
        <w:t>MEPSnet</w:t>
      </w:r>
      <w:proofErr w:type="spellEnd"/>
      <w:r w:rsidRPr="001A6B96">
        <w:t xml:space="preserve">/Household Component. </w:t>
      </w:r>
      <w:hyperlink r:id="rId12" w:history="1">
        <w:r w:rsidRPr="001A6B96">
          <w:rPr>
            <w:rStyle w:val="Hyperlink"/>
          </w:rPr>
          <w:t>https://meps.ahrq.gov/mepsweb/data_stats/download_data_files_codebook.jsp?PUFId=H201&amp;varName=IPTEXP17</w:t>
        </w:r>
      </w:hyperlink>
      <w:r w:rsidRPr="001A6B96">
        <w:t>. Accessed June 17, 2021.</w:t>
      </w:r>
    </w:p>
    <w:p w14:paraId="4127FDFC" w14:textId="77777777" w:rsidR="00FB29CF" w:rsidRPr="001A6B96" w:rsidRDefault="00FB29CF" w:rsidP="00F5259C">
      <w:pPr>
        <w:pStyle w:val="FootnoteText"/>
        <w:keepNext/>
        <w:keepLines/>
        <w:widowControl/>
      </w:pPr>
    </w:p>
  </w:footnote>
  <w:footnote w:id="33">
    <w:p w14:paraId="36477D19" w14:textId="77777777" w:rsidR="00FB29CF" w:rsidRPr="001A6B96" w:rsidRDefault="00FB29CF" w:rsidP="00F5259C">
      <w:pPr>
        <w:pStyle w:val="FootnoteText"/>
      </w:pPr>
      <w:r w:rsidRPr="001A6B96">
        <w:rPr>
          <w:rStyle w:val="FootnoteReference"/>
        </w:rPr>
        <w:footnoteRef/>
      </w:r>
      <w:r w:rsidRPr="001A6B96">
        <w:t xml:space="preserve"> Ibid. </w:t>
      </w:r>
    </w:p>
  </w:footnote>
  <w:footnote w:id="34">
    <w:p w14:paraId="6F96E5AC" w14:textId="77777777" w:rsidR="00FB29CF" w:rsidRPr="001A6B96" w:rsidRDefault="00FB29CF" w:rsidP="00F5259C">
      <w:pPr>
        <w:pStyle w:val="FootnoteText"/>
      </w:pPr>
      <w:r w:rsidRPr="001A6B96">
        <w:rPr>
          <w:rStyle w:val="FootnoteReference"/>
        </w:rPr>
        <w:footnoteRef/>
      </w:r>
      <w:r w:rsidRPr="001A6B96">
        <w:t xml:space="preserve"> Harris, Paul A., Robert </w:t>
      </w:r>
      <w:proofErr w:type="spellStart"/>
      <w:r w:rsidRPr="001A6B96">
        <w:t>Thielke</w:t>
      </w:r>
      <w:proofErr w:type="spellEnd"/>
      <w:r w:rsidRPr="001A6B96">
        <w:t>, Jonathan Payne, Nathaniel Gonzalez, and Jose G. Conde. 2009, April. “Research electronic data capture (</w:t>
      </w:r>
      <w:proofErr w:type="spellStart"/>
      <w:r w:rsidRPr="001A6B96">
        <w:t>REDCap</w:t>
      </w:r>
      <w:proofErr w:type="spellEnd"/>
      <w:r w:rsidRPr="001A6B96">
        <w:t xml:space="preserve">) – A metadata-driven methodology and workflow process for providing translational research informatics support,” </w:t>
      </w:r>
      <w:r w:rsidRPr="001A6B96">
        <w:rPr>
          <w:i/>
          <w:iCs/>
        </w:rPr>
        <w:t>Journal of Biomedical Informatics</w:t>
      </w:r>
      <w:r w:rsidRPr="001A6B96">
        <w:t xml:space="preserve"> 42(2):377-81. </w:t>
      </w:r>
      <w:proofErr w:type="spellStart"/>
      <w:r w:rsidRPr="001A6B96">
        <w:t>doi</w:t>
      </w:r>
      <w:proofErr w:type="spellEnd"/>
      <w:r w:rsidRPr="001A6B96">
        <w:t>: 10.1016/j.jbi.2008.08.010.</w:t>
      </w:r>
    </w:p>
  </w:footnote>
  <w:footnote w:id="35">
    <w:p w14:paraId="0AF5DD2A" w14:textId="77777777" w:rsidR="00FB29CF" w:rsidRPr="001A6B96" w:rsidRDefault="00FB29CF" w:rsidP="00F5259C">
      <w:pPr>
        <w:pStyle w:val="FootnoteText"/>
      </w:pPr>
      <w:r w:rsidRPr="001A6B96">
        <w:rPr>
          <w:rStyle w:val="FootnoteReference"/>
        </w:rPr>
        <w:footnoteRef/>
      </w:r>
      <w:r w:rsidRPr="001A6B96">
        <w:t xml:space="preserve"> Harris, Paul A., Robert Taylor, Brenda L Minor, </w:t>
      </w:r>
      <w:proofErr w:type="spellStart"/>
      <w:r w:rsidRPr="001A6B96">
        <w:t>Veida</w:t>
      </w:r>
      <w:proofErr w:type="spellEnd"/>
      <w:r w:rsidRPr="001A6B96">
        <w:t xml:space="preserve"> Elliott, Michelle Fernandez, Lindsay O’Neal, Laura McLeod, Giovanni </w:t>
      </w:r>
      <w:proofErr w:type="spellStart"/>
      <w:r w:rsidRPr="001A6B96">
        <w:t>Delacqua</w:t>
      </w:r>
      <w:proofErr w:type="spellEnd"/>
      <w:r w:rsidRPr="001A6B96">
        <w:t xml:space="preserve">, Francesco </w:t>
      </w:r>
      <w:proofErr w:type="spellStart"/>
      <w:r w:rsidRPr="001A6B96">
        <w:t>Delacqua</w:t>
      </w:r>
      <w:proofErr w:type="spellEnd"/>
      <w:r w:rsidRPr="001A6B96">
        <w:t xml:space="preserve">, Jacqueline Kirby, Stephany N </w:t>
      </w:r>
      <w:proofErr w:type="spellStart"/>
      <w:r w:rsidRPr="001A6B96">
        <w:t>Duda,and</w:t>
      </w:r>
      <w:proofErr w:type="spellEnd"/>
      <w:r w:rsidRPr="001A6B96">
        <w:t xml:space="preserve">  </w:t>
      </w:r>
      <w:proofErr w:type="spellStart"/>
      <w:r w:rsidRPr="001A6B96">
        <w:t>REDCap</w:t>
      </w:r>
      <w:proofErr w:type="spellEnd"/>
      <w:r w:rsidRPr="001A6B96">
        <w:t xml:space="preserve"> Consortium. 2019, May. “The </w:t>
      </w:r>
      <w:proofErr w:type="spellStart"/>
      <w:r w:rsidRPr="001A6B96">
        <w:t>REDCap</w:t>
      </w:r>
      <w:proofErr w:type="spellEnd"/>
      <w:r w:rsidRPr="001A6B96">
        <w:t xml:space="preserve"> consortium: Building an international community of software partners,” </w:t>
      </w:r>
      <w:r w:rsidRPr="001A6B96">
        <w:rPr>
          <w:i/>
          <w:iCs/>
        </w:rPr>
        <w:t>Journal of Biomedical Informatics </w:t>
      </w:r>
      <w:r w:rsidRPr="001A6B96">
        <w:t xml:space="preserve">95:103208. </w:t>
      </w:r>
      <w:proofErr w:type="spellStart"/>
      <w:r w:rsidRPr="001A6B96">
        <w:t>doi</w:t>
      </w:r>
      <w:proofErr w:type="spellEnd"/>
      <w:r w:rsidRPr="001A6B96">
        <w:t>: 10.1016/j.jbi.2019.103208.</w:t>
      </w:r>
    </w:p>
  </w:footnote>
  <w:footnote w:id="36">
    <w:p w14:paraId="15325A78" w14:textId="77777777" w:rsidR="00FB29CF" w:rsidRPr="001A6B96" w:rsidRDefault="00FB29CF" w:rsidP="00F5259C">
      <w:pPr>
        <w:pStyle w:val="FootnoteText"/>
      </w:pPr>
      <w:r w:rsidRPr="001A6B96">
        <w:rPr>
          <w:rStyle w:val="FootnoteReference"/>
        </w:rPr>
        <w:footnoteRef/>
      </w:r>
      <w:r w:rsidRPr="001A6B96">
        <w:t xml:space="preserve"> Vanderbilt University. </w:t>
      </w:r>
      <w:proofErr w:type="spellStart"/>
      <w:r w:rsidRPr="001A6B96">
        <w:t>REDCap</w:t>
      </w:r>
      <w:proofErr w:type="spellEnd"/>
      <w:r w:rsidRPr="001A6B96">
        <w:t xml:space="preserve"> Technical Overview. Retrieved at </w:t>
      </w:r>
      <w:hyperlink r:id="rId13" w:history="1">
        <w:r w:rsidRPr="001A6B96">
          <w:rPr>
            <w:rStyle w:val="Hyperlink"/>
          </w:rPr>
          <w:t>https://projectredcap.org/wp-content/resources/REDCapTechnicalOverview.pdf</w:t>
        </w:r>
      </w:hyperlink>
    </w:p>
  </w:footnote>
  <w:footnote w:id="37">
    <w:p w14:paraId="47C568A3" w14:textId="77777777" w:rsidR="00FB29CF" w:rsidRPr="001A6B96" w:rsidRDefault="00FB29CF" w:rsidP="00F5259C">
      <w:pPr>
        <w:pStyle w:val="FootnoteText"/>
      </w:pPr>
      <w:r w:rsidRPr="001A6B96">
        <w:rPr>
          <w:rStyle w:val="FootnoteReference"/>
        </w:rPr>
        <w:footnoteRef/>
      </w:r>
      <w:r w:rsidRPr="001A6B96">
        <w:t xml:space="preserve"> U.S. Census Bureau. American Community Survey: LANGUAGE SPOKEN AT HOME. </w:t>
      </w:r>
      <w:proofErr w:type="spellStart"/>
      <w:r w:rsidRPr="001A6B96">
        <w:t>TableID</w:t>
      </w:r>
      <w:proofErr w:type="spellEnd"/>
      <w:r w:rsidRPr="001A6B96">
        <w:t xml:space="preserve">: S1601. </w:t>
      </w:r>
      <w:hyperlink r:id="rId14" w:history="1">
        <w:r w:rsidRPr="001A6B96">
          <w:rPr>
            <w:rStyle w:val="Hyperlink"/>
          </w:rPr>
          <w:t>https://data.census.gov/cedsci/table?q=language&amp;tid=ACSST1Y2019.S1601</w:t>
        </w:r>
      </w:hyperlink>
      <w:r w:rsidRPr="001A6B96">
        <w:t>. Accessed June 17, 2021.</w:t>
      </w:r>
    </w:p>
  </w:footnote>
  <w:footnote w:id="38">
    <w:p w14:paraId="7B4C1425" w14:textId="77777777" w:rsidR="00FB29CF" w:rsidRPr="001A6B96" w:rsidRDefault="00FB29CF" w:rsidP="00F5259C">
      <w:pPr>
        <w:pStyle w:val="FootnoteText"/>
      </w:pPr>
      <w:r w:rsidRPr="001A6B96">
        <w:rPr>
          <w:rStyle w:val="FootnoteReference"/>
        </w:rPr>
        <w:footnoteRef/>
      </w:r>
      <w:r w:rsidRPr="001A6B96">
        <w:t xml:space="preserve"> Vanderbilt University. Technical Overview, op cit.</w:t>
      </w:r>
    </w:p>
  </w:footnote>
  <w:footnote w:id="39">
    <w:p w14:paraId="30ADD4F7" w14:textId="77777777" w:rsidR="00FB29CF" w:rsidRPr="001A6B96" w:rsidRDefault="00FB29CF" w:rsidP="00F5259C">
      <w:pPr>
        <w:pStyle w:val="FootnoteText"/>
      </w:pPr>
      <w:r w:rsidRPr="001A6B96">
        <w:rPr>
          <w:rStyle w:val="FootnoteReference"/>
        </w:rPr>
        <w:footnoteRef/>
      </w:r>
      <w:r w:rsidRPr="001A6B96">
        <w:t xml:space="preserve"> Gill, Thomas M., Dorothy I. Baker, Margaret Gottschalk, Peter N. </w:t>
      </w:r>
      <w:proofErr w:type="spellStart"/>
      <w:r w:rsidRPr="001A6B96">
        <w:t>Peduzzi</w:t>
      </w:r>
      <w:proofErr w:type="spellEnd"/>
      <w:r w:rsidRPr="001A6B96">
        <w:t xml:space="preserve">, Heather </w:t>
      </w:r>
      <w:proofErr w:type="spellStart"/>
      <w:r w:rsidRPr="001A6B96">
        <w:t>Allore</w:t>
      </w:r>
      <w:proofErr w:type="spellEnd"/>
      <w:r w:rsidRPr="001A6B96">
        <w:t xml:space="preserve">, and Amy Byers. 2002, October. “A program to prevent functional decline in physically frail, elderly persons who live at home,” </w:t>
      </w:r>
      <w:r w:rsidRPr="001A6B96">
        <w:rPr>
          <w:i/>
          <w:iCs/>
        </w:rPr>
        <w:t>New England Journal of Medicine</w:t>
      </w:r>
      <w:r w:rsidRPr="001A6B96">
        <w:t xml:space="preserve"> 347(14):1068-1074. </w:t>
      </w:r>
      <w:proofErr w:type="spellStart"/>
      <w:r w:rsidRPr="001A6B96">
        <w:t>doi</w:t>
      </w:r>
      <w:proofErr w:type="spellEnd"/>
      <w:r w:rsidRPr="001A6B96">
        <w:t>: 10.1056/NEJMoa020423.</w:t>
      </w:r>
    </w:p>
  </w:footnote>
  <w:footnote w:id="40">
    <w:p w14:paraId="17CFD595" w14:textId="77777777" w:rsidR="00FB29CF" w:rsidRPr="001A6B96" w:rsidRDefault="00FB29CF" w:rsidP="00F5259C">
      <w:pPr>
        <w:pStyle w:val="FootnoteText"/>
      </w:pPr>
      <w:r w:rsidRPr="001A6B96">
        <w:rPr>
          <w:rStyle w:val="FootnoteReference"/>
        </w:rPr>
        <w:footnoteRef/>
      </w:r>
      <w:r w:rsidRPr="001A6B96">
        <w:t xml:space="preserve"> Katz, Sydney, </w:t>
      </w:r>
      <w:proofErr w:type="spellStart"/>
      <w:r w:rsidRPr="001A6B96">
        <w:t>Amasa</w:t>
      </w:r>
      <w:proofErr w:type="spellEnd"/>
      <w:r w:rsidRPr="001A6B96">
        <w:t xml:space="preserve"> Ford, Roland W. Moskowitz, Beverly A. Jackson, and Marjorie W. </w:t>
      </w:r>
      <w:proofErr w:type="spellStart"/>
      <w:r w:rsidRPr="001A6B96">
        <w:t>Jafee</w:t>
      </w:r>
      <w:proofErr w:type="spellEnd"/>
      <w:r w:rsidRPr="001A6B96">
        <w:t xml:space="preserve">. 1963, September. “Studies of illness in the aged. The index of ADL: A standardized measure of biological and psychosocial function,” </w:t>
      </w:r>
      <w:r w:rsidRPr="001A6B96">
        <w:rPr>
          <w:i/>
          <w:iCs/>
        </w:rPr>
        <w:t>JAMA</w:t>
      </w:r>
      <w:r w:rsidRPr="001A6B96">
        <w:t xml:space="preserve"> 185(12):914-919. </w:t>
      </w:r>
      <w:proofErr w:type="spellStart"/>
      <w:r w:rsidRPr="001A6B96">
        <w:t>doi</w:t>
      </w:r>
      <w:proofErr w:type="spellEnd"/>
      <w:r w:rsidRPr="001A6B96">
        <w:t>: 10.1001/jama.1963.03060120024016.</w:t>
      </w:r>
    </w:p>
  </w:footnote>
  <w:footnote w:id="41">
    <w:p w14:paraId="1B418468" w14:textId="77777777" w:rsidR="00FB29CF" w:rsidRPr="001A6B96" w:rsidRDefault="00FB29CF" w:rsidP="00F5259C">
      <w:pPr>
        <w:pStyle w:val="FootnoteText"/>
      </w:pPr>
      <w:r w:rsidRPr="001A6B96">
        <w:rPr>
          <w:rStyle w:val="FootnoteReference"/>
        </w:rPr>
        <w:footnoteRef/>
      </w:r>
      <w:r w:rsidRPr="001A6B96">
        <w:t xml:space="preserve"> Lawton, M.P. and E.M. Brody. 1969, Autumn. “Assessment of older people: self-maintaining and instrumental activities of daily living,” Gerontologist 9(3):179-186</w:t>
      </w:r>
      <w:r w:rsidRPr="001A6B96">
        <w:rPr>
          <w:i/>
          <w:iCs/>
        </w:rPr>
        <w:t>.</w:t>
      </w:r>
      <w:r w:rsidRPr="001A6B96">
        <w:t xml:space="preserve"> PMID: 5349366.</w:t>
      </w:r>
    </w:p>
  </w:footnote>
  <w:footnote w:id="42">
    <w:p w14:paraId="3B814400" w14:textId="77777777" w:rsidR="00FB29CF" w:rsidRPr="001A6B96" w:rsidRDefault="00FB29CF" w:rsidP="00F5259C">
      <w:pPr>
        <w:pStyle w:val="FootnoteText"/>
      </w:pPr>
      <w:r w:rsidRPr="001A6B96">
        <w:rPr>
          <w:rStyle w:val="FootnoteReference"/>
        </w:rPr>
        <w:footnoteRef/>
      </w:r>
      <w:r w:rsidRPr="001A6B96">
        <w:t xml:space="preserve"> Euro QOL 1998. EQ-5D-3L Health Questionnaire English Version for the USA. © 1998 </w:t>
      </w:r>
      <w:proofErr w:type="spellStart"/>
      <w:r w:rsidRPr="001A6B96">
        <w:t>EuroQOL</w:t>
      </w:r>
      <w:proofErr w:type="spellEnd"/>
      <w:r w:rsidRPr="001A6B96">
        <w:t xml:space="preserve"> Group EQ-5DTM is a trademark of the </w:t>
      </w:r>
      <w:proofErr w:type="spellStart"/>
      <w:r w:rsidRPr="001A6B96">
        <w:t>EuroQOL</w:t>
      </w:r>
      <w:proofErr w:type="spellEnd"/>
      <w:r w:rsidRPr="001A6B96">
        <w:t xml:space="preserve"> Group.</w:t>
      </w:r>
    </w:p>
  </w:footnote>
  <w:footnote w:id="43">
    <w:p w14:paraId="691A9302" w14:textId="77777777" w:rsidR="00FB29CF" w:rsidRPr="001A6B96" w:rsidRDefault="00FB29CF" w:rsidP="00F5259C">
      <w:pPr>
        <w:pStyle w:val="FootnoteText"/>
      </w:pPr>
      <w:r w:rsidRPr="001A6B96">
        <w:rPr>
          <w:rStyle w:val="FootnoteReference"/>
        </w:rPr>
        <w:footnoteRef/>
      </w:r>
      <w:r w:rsidRPr="001A6B96">
        <w:t xml:space="preserve"> Tinetti, M.E., D. </w:t>
      </w:r>
      <w:proofErr w:type="gramStart"/>
      <w:r w:rsidRPr="001A6B96">
        <w:t>Richman</w:t>
      </w:r>
      <w:proofErr w:type="gramEnd"/>
      <w:r w:rsidRPr="001A6B96">
        <w:t xml:space="preserve"> and L. Powell. 1990, November. “Falls efficacy as a measure of fear of falling,” </w:t>
      </w:r>
      <w:r w:rsidRPr="001A6B96">
        <w:rPr>
          <w:i/>
          <w:iCs/>
        </w:rPr>
        <w:t>Journal of  Gerontology</w:t>
      </w:r>
      <w:r w:rsidRPr="001A6B96">
        <w:t xml:space="preserve"> 45(6):239-243. </w:t>
      </w:r>
      <w:proofErr w:type="spellStart"/>
      <w:r w:rsidRPr="001A6B96">
        <w:t>doi</w:t>
      </w:r>
      <w:proofErr w:type="spellEnd"/>
      <w:r w:rsidRPr="001A6B96">
        <w:t>: 10.1093/</w:t>
      </w:r>
      <w:proofErr w:type="spellStart"/>
      <w:r w:rsidRPr="001A6B96">
        <w:t>geronj</w:t>
      </w:r>
      <w:proofErr w:type="spellEnd"/>
      <w:r w:rsidRPr="001A6B96">
        <w:t>/45.6.p239.</w:t>
      </w:r>
    </w:p>
  </w:footnote>
  <w:footnote w:id="44">
    <w:p w14:paraId="3B8699DB" w14:textId="77777777" w:rsidR="00FB29CF" w:rsidRPr="001A6B96" w:rsidRDefault="00FB29CF" w:rsidP="00F5259C">
      <w:pPr>
        <w:pStyle w:val="FootnoteText"/>
      </w:pPr>
      <w:r w:rsidRPr="001A6B96">
        <w:rPr>
          <w:rStyle w:val="FootnoteReference"/>
        </w:rPr>
        <w:footnoteRef/>
      </w:r>
      <w:r w:rsidRPr="001A6B96">
        <w:t xml:space="preserve">Peel, Claire, Patricia Sawyer Baker, David L. Roth, Cynthia J. Brown, Eric V. </w:t>
      </w:r>
      <w:proofErr w:type="spellStart"/>
      <w:r w:rsidRPr="001A6B96">
        <w:t>Brodner</w:t>
      </w:r>
      <w:proofErr w:type="spellEnd"/>
      <w:r w:rsidRPr="001A6B96">
        <w:t xml:space="preserve">, and Richard M Allman 2005, October. “Assessing mobility in older adults: The UAB study of Aging Life-Space Assessment,” </w:t>
      </w:r>
      <w:r w:rsidRPr="001A6B96">
        <w:rPr>
          <w:i/>
          <w:iCs/>
        </w:rPr>
        <w:t>Physical Therapy</w:t>
      </w:r>
      <w:r w:rsidRPr="001A6B96">
        <w:t xml:space="preserve"> 85(10):1008-1019. PMID: 16180950.</w:t>
      </w:r>
    </w:p>
  </w:footnote>
  <w:footnote w:id="45">
    <w:p w14:paraId="35C93024" w14:textId="77777777" w:rsidR="00FB29CF" w:rsidRPr="001A6B96" w:rsidRDefault="00FB29CF" w:rsidP="00F5259C">
      <w:pPr>
        <w:pStyle w:val="FootnoteText"/>
      </w:pPr>
      <w:r w:rsidRPr="001A6B96">
        <w:rPr>
          <w:rStyle w:val="FootnoteReference"/>
        </w:rPr>
        <w:footnoteRef/>
      </w:r>
      <w:r w:rsidRPr="001A6B96">
        <w:t xml:space="preserve"> Agency for Healthcare Research and Quality, op. cit.</w:t>
      </w:r>
    </w:p>
  </w:footnote>
  <w:footnote w:id="46">
    <w:p w14:paraId="024896CB" w14:textId="77777777" w:rsidR="00FB29CF" w:rsidRPr="001A6B96" w:rsidRDefault="00FB29CF" w:rsidP="00F5259C">
      <w:pPr>
        <w:pStyle w:val="FootnoteText"/>
      </w:pPr>
      <w:r w:rsidRPr="001A6B96">
        <w:rPr>
          <w:rStyle w:val="FootnoteReference"/>
        </w:rPr>
        <w:footnoteRef/>
      </w:r>
      <w:r w:rsidRPr="001A6B96">
        <w:t xml:space="preserve"> Kroenke, Kurt, Robert L. Spitzer, and Janet B.W. Williams. 2001, September. The PHQ-9: Validity of a brief depression severity measure,” </w:t>
      </w:r>
      <w:r w:rsidRPr="001A6B96">
        <w:rPr>
          <w:i/>
          <w:iCs/>
        </w:rPr>
        <w:t>Journal of General Internal Medicine</w:t>
      </w:r>
      <w:r w:rsidRPr="001A6B96">
        <w:t xml:space="preserve"> 16(9):606-613. </w:t>
      </w:r>
      <w:proofErr w:type="spellStart"/>
      <w:r w:rsidRPr="001A6B96">
        <w:t>doi</w:t>
      </w:r>
      <w:proofErr w:type="spellEnd"/>
      <w:r w:rsidRPr="001A6B96">
        <w:t>: 10.1046/j.1525-1497.2001.016009606.x.</w:t>
      </w:r>
    </w:p>
  </w:footnote>
  <w:footnote w:id="47">
    <w:p w14:paraId="35CDA8B0" w14:textId="77777777" w:rsidR="00FB29CF" w:rsidRPr="001A6B96" w:rsidRDefault="00FB29CF" w:rsidP="00F5259C">
      <w:pPr>
        <w:pStyle w:val="FootnoteText"/>
      </w:pPr>
      <w:r w:rsidRPr="001A6B96">
        <w:rPr>
          <w:rStyle w:val="FootnoteReference"/>
        </w:rPr>
        <w:footnoteRef/>
      </w:r>
      <w:r w:rsidRPr="001A6B96">
        <w:t xml:space="preserve"> U.S. Census Bureau. American Housing Survey, op cit. </w:t>
      </w:r>
    </w:p>
  </w:footnote>
  <w:footnote w:id="48">
    <w:p w14:paraId="2DCD3199" w14:textId="77777777" w:rsidR="00FB29CF" w:rsidRPr="001A6B96" w:rsidRDefault="00FB29CF" w:rsidP="00F5259C">
      <w:pPr>
        <w:pStyle w:val="FootnoteText"/>
      </w:pPr>
      <w:r w:rsidRPr="001A6B96">
        <w:rPr>
          <w:rStyle w:val="FootnoteReference"/>
        </w:rPr>
        <w:footnoteRef/>
      </w:r>
      <w:r w:rsidRPr="001A6B96">
        <w:t xml:space="preserve"> U.S. Department of Housing and Urban Development. Office of Lead Hazard Control and Healthy Homes. Older Adults Home Modification Program, op. cit. Page 21.</w:t>
      </w:r>
    </w:p>
  </w:footnote>
  <w:footnote w:id="49">
    <w:p w14:paraId="33F473E7" w14:textId="77777777" w:rsidR="00FB29CF" w:rsidRPr="001A6B96" w:rsidRDefault="00FB29CF" w:rsidP="00F5259C">
      <w:pPr>
        <w:pStyle w:val="FootnoteText"/>
      </w:pPr>
      <w:r w:rsidRPr="001A6B96">
        <w:rPr>
          <w:rStyle w:val="FootnoteReference"/>
        </w:rPr>
        <w:footnoteRef/>
      </w:r>
      <w:r w:rsidRPr="001A6B96">
        <w:t xml:space="preserve"> U.S. Department of Health and Human Services, Office for Civil Rights. 2013, March 26. HIPAA Administrative Simplification. Part 164, Subpart C Security standards for the Protection of Electronic Protected Health Information, p.62. Retrieved from: </w:t>
      </w:r>
      <w:hyperlink r:id="rId15" w:history="1">
        <w:r w:rsidRPr="001A6B96">
          <w:rPr>
            <w:rStyle w:val="Hyperlink"/>
          </w:rPr>
          <w:t>https://www.hhs.gov/sites/default/files/ocr/privacy/hipaa/administrative/combined/hipaa-simplification-201303.pdf?language=es</w:t>
        </w:r>
      </w:hyperlink>
    </w:p>
  </w:footnote>
  <w:footnote w:id="50">
    <w:p w14:paraId="440F3D09" w14:textId="77777777" w:rsidR="00FB29CF" w:rsidRPr="001A6B96" w:rsidRDefault="00FB29CF" w:rsidP="00F5259C">
      <w:pPr>
        <w:pStyle w:val="FootnoteText"/>
      </w:pPr>
      <w:r w:rsidRPr="001A6B96">
        <w:rPr>
          <w:rStyle w:val="FootnoteReference"/>
        </w:rPr>
        <w:footnoteRef/>
      </w:r>
      <w:r w:rsidRPr="001A6B96">
        <w:t xml:space="preserve"> U.S. Code at 12 U.S.C. §1701z-1, op cit.</w:t>
      </w:r>
    </w:p>
  </w:footnote>
  <w:footnote w:id="51">
    <w:p w14:paraId="17A54D20" w14:textId="77777777" w:rsidR="00FB29CF" w:rsidRPr="001A6B96" w:rsidRDefault="00FB29CF" w:rsidP="00F5259C">
      <w:pPr>
        <w:pStyle w:val="FootnoteText"/>
      </w:pPr>
      <w:r w:rsidRPr="001A6B96">
        <w:rPr>
          <w:rStyle w:val="FootnoteReference"/>
        </w:rPr>
        <w:footnoteRef/>
      </w:r>
      <w:r w:rsidRPr="001A6B96">
        <w:t xml:space="preserve"> U.S. Code at 12 U.S.C. §1701z-2(g). https://uscode.house.gov/view.xhtml?req=(title:12%20section:1701z-1%20edition:prelim)</w:t>
      </w:r>
    </w:p>
  </w:footnote>
  <w:footnote w:id="52">
    <w:p w14:paraId="3B8C89B6" w14:textId="77777777" w:rsidR="00FB29CF" w:rsidRPr="001A6B96" w:rsidRDefault="00FB29CF" w:rsidP="00F5259C">
      <w:pPr>
        <w:pStyle w:val="FootnoteText"/>
      </w:pPr>
      <w:r w:rsidRPr="001A6B96">
        <w:rPr>
          <w:rStyle w:val="FootnoteReference"/>
        </w:rPr>
        <w:footnoteRef/>
      </w:r>
      <w:r w:rsidRPr="001A6B96">
        <w:t xml:space="preserve"> U.S. Code at 5 U.S.C. §552a. </w:t>
      </w:r>
      <w:hyperlink r:id="rId16" w:history="1">
        <w:r w:rsidRPr="001A6B96">
          <w:rPr>
            <w:rStyle w:val="Hyperlink"/>
          </w:rPr>
          <w:t>https://uscode.house.gov/view.xhtml?req=granuleid:USC-prelim-title5-section552a&amp;num=0&amp;edition=prelim</w:t>
        </w:r>
      </w:hyperlink>
    </w:p>
  </w:footnote>
  <w:footnote w:id="53">
    <w:p w14:paraId="198BD0BA" w14:textId="77777777" w:rsidR="00FB29CF" w:rsidRPr="001A6B96" w:rsidRDefault="00FB29CF" w:rsidP="00F5259C">
      <w:pPr>
        <w:pStyle w:val="FootnoteText"/>
      </w:pPr>
      <w:r w:rsidRPr="001A6B96">
        <w:rPr>
          <w:rStyle w:val="FootnoteReference"/>
        </w:rPr>
        <w:footnoteRef/>
      </w:r>
      <w:r w:rsidRPr="001A6B96">
        <w:t xml:space="preserve"> 5 CFR 1320.8(b) (3) and 5 CFR 1320.9. Retrieved from: https://www.govregs.com/regulations/expand/title5_chapterIII_part1320_section1320.9#regulation_7</w:t>
      </w:r>
    </w:p>
  </w:footnote>
  <w:footnote w:id="54">
    <w:p w14:paraId="23D33F99" w14:textId="77777777" w:rsidR="00FB29CF" w:rsidRPr="001A6B96" w:rsidRDefault="00FB29CF" w:rsidP="00F5259C">
      <w:pPr>
        <w:pStyle w:val="FootnoteText"/>
      </w:pPr>
      <w:r w:rsidRPr="001A6B96">
        <w:rPr>
          <w:rStyle w:val="FootnoteReference"/>
        </w:rPr>
        <w:footnoteRef/>
      </w:r>
      <w:r w:rsidRPr="001A6B96">
        <w:t xml:space="preserve"> “PD&amp;R-sponsored evaluations must be conducted in an ethical manner and safeguard the dignity, rights, safety, and privacy of participants. PD&amp;R-sponsored evaluations must comply with both the spirit and the letter of relevant requirements such as regulations governing research involving human subjects. </w:t>
      </w:r>
      <w:proofErr w:type="gramStart"/>
      <w:r w:rsidRPr="001A6B96">
        <w:t>In particular, PD&amp;R</w:t>
      </w:r>
      <w:proofErr w:type="gramEnd"/>
      <w:r w:rsidRPr="001A6B96">
        <w:t xml:space="preserve"> protects the privacy of HUD-assisted households HUD-insured borrowers through the Rule of Eleven; that is, PD&amp;R allows no disclosure of information about the characteristics of any group of individuals or households numbering less than eleven by PD&amp;R staff, contractors, grantees, or licensees.” PD&amp;R’s HUD Program Evaluation Policy-Policy Statement (81 FR 87949, December 6, 2016, </w:t>
      </w:r>
      <w:hyperlink r:id="rId17" w:history="1">
        <w:r w:rsidRPr="001A6B96">
          <w:rPr>
            <w:rStyle w:val="Hyperlink"/>
          </w:rPr>
          <w:t>www.federalregister.gov/d/2016-29215</w:t>
        </w:r>
      </w:hyperlink>
      <w:r w:rsidRPr="001A6B96">
        <w:t>).</w:t>
      </w:r>
    </w:p>
  </w:footnote>
  <w:footnote w:id="55">
    <w:p w14:paraId="7A3B83C1" w14:textId="77777777" w:rsidR="00FB29CF" w:rsidRPr="001A6B96" w:rsidRDefault="00FB29CF" w:rsidP="00F5259C">
      <w:pPr>
        <w:pStyle w:val="FootnoteText"/>
      </w:pPr>
      <w:r w:rsidRPr="001A6B96">
        <w:rPr>
          <w:rStyle w:val="FootnoteReference"/>
        </w:rPr>
        <w:footnoteRef/>
      </w:r>
      <w:r w:rsidRPr="001A6B96">
        <w:t xml:space="preserve"> U.S. Department of Housing and Urban Development. Office of Lead Hazard Control and Healthy Homes. Older Adults Home Modification Program, op. cit. Page 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8C4942"/>
    <w:lvl w:ilvl="0">
      <w:numFmt w:val="bullet"/>
      <w:lvlText w:val="*"/>
      <w:lvlJc w:val="left"/>
    </w:lvl>
  </w:abstractNum>
  <w:abstractNum w:abstractNumId="1" w15:restartNumberingAfterBreak="0">
    <w:nsid w:val="00000002"/>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0411237B"/>
    <w:multiLevelType w:val="hybridMultilevel"/>
    <w:tmpl w:val="C5C00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142C7"/>
    <w:multiLevelType w:val="hybridMultilevel"/>
    <w:tmpl w:val="1372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3B06"/>
    <w:multiLevelType w:val="multilevel"/>
    <w:tmpl w:val="AC6C31E2"/>
    <w:lvl w:ilvl="0">
      <w:start w:val="1"/>
      <w:numFmt w:val="decimal"/>
      <w:lvlText w:val="%1."/>
      <w:lvlJc w:val="left"/>
      <w:pPr>
        <w:ind w:left="1530" w:hanging="360"/>
      </w:pPr>
      <w:rPr>
        <w:rFonts w:hint="default"/>
      </w:rPr>
    </w:lvl>
    <w:lvl w:ilvl="1">
      <w:numFmt w:val="decimal"/>
      <w:isLgl/>
      <w:lvlText w:val="%1.%2"/>
      <w:lvlJc w:val="left"/>
      <w:pPr>
        <w:ind w:left="1650" w:hanging="48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5" w15:restartNumberingAfterBreak="0">
    <w:nsid w:val="23A77B7D"/>
    <w:multiLevelType w:val="hybridMultilevel"/>
    <w:tmpl w:val="87763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468F"/>
    <w:multiLevelType w:val="hybridMultilevel"/>
    <w:tmpl w:val="5508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hybridMultilevel"/>
    <w:tmpl w:val="5F06E0D8"/>
    <w:lvl w:ilvl="0" w:tplc="81D6809A">
      <w:start w:val="1"/>
      <w:numFmt w:val="bullet"/>
      <w:pStyle w:val="N2-2ndBullet"/>
      <w:lvlText w:val=""/>
      <w:lvlJc w:val="left"/>
      <w:pPr>
        <w:tabs>
          <w:tab w:val="num" w:pos="0"/>
        </w:tabs>
        <w:ind w:left="1728" w:hanging="576"/>
      </w:pPr>
      <w:rPr>
        <w:rFonts w:ascii="Wingdings" w:hAnsi="Wingdings" w:cs="Wingdings" w:hint="default"/>
        <w:sz w:val="16"/>
        <w:szCs w:val="16"/>
      </w:rPr>
    </w:lvl>
    <w:lvl w:ilvl="1" w:tplc="3C96AA54">
      <w:numFmt w:val="decimal"/>
      <w:lvlText w:val=""/>
      <w:lvlJc w:val="left"/>
    </w:lvl>
    <w:lvl w:ilvl="2" w:tplc="EFC87A9E">
      <w:numFmt w:val="decimal"/>
      <w:lvlText w:val=""/>
      <w:lvlJc w:val="left"/>
    </w:lvl>
    <w:lvl w:ilvl="3" w:tplc="7DA21D02">
      <w:numFmt w:val="decimal"/>
      <w:lvlText w:val=""/>
      <w:lvlJc w:val="left"/>
    </w:lvl>
    <w:lvl w:ilvl="4" w:tplc="1FBE27E4">
      <w:numFmt w:val="decimal"/>
      <w:lvlText w:val=""/>
      <w:lvlJc w:val="left"/>
    </w:lvl>
    <w:lvl w:ilvl="5" w:tplc="B948B534">
      <w:numFmt w:val="decimal"/>
      <w:lvlText w:val=""/>
      <w:lvlJc w:val="left"/>
    </w:lvl>
    <w:lvl w:ilvl="6" w:tplc="01CEA5E0">
      <w:numFmt w:val="decimal"/>
      <w:lvlText w:val=""/>
      <w:lvlJc w:val="left"/>
    </w:lvl>
    <w:lvl w:ilvl="7" w:tplc="F3221BD0">
      <w:numFmt w:val="decimal"/>
      <w:lvlText w:val=""/>
      <w:lvlJc w:val="left"/>
    </w:lvl>
    <w:lvl w:ilvl="8" w:tplc="72D01520">
      <w:numFmt w:val="decimal"/>
      <w:lvlText w:val=""/>
      <w:lvlJc w:val="left"/>
    </w:lvl>
  </w:abstractNum>
  <w:abstractNum w:abstractNumId="8" w15:restartNumberingAfterBreak="0">
    <w:nsid w:val="33434443"/>
    <w:multiLevelType w:val="hybridMultilevel"/>
    <w:tmpl w:val="FEF6F056"/>
    <w:lvl w:ilvl="0" w:tplc="389E643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BA5B00"/>
    <w:multiLevelType w:val="hybridMultilevel"/>
    <w:tmpl w:val="953A5E4A"/>
    <w:lvl w:ilvl="0" w:tplc="25F8178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47792AE7"/>
    <w:multiLevelType w:val="multilevel"/>
    <w:tmpl w:val="AC6C31E2"/>
    <w:lvl w:ilvl="0">
      <w:start w:val="1"/>
      <w:numFmt w:val="decimal"/>
      <w:lvlText w:val="%1."/>
      <w:lvlJc w:val="left"/>
      <w:pPr>
        <w:ind w:left="1530" w:hanging="360"/>
      </w:pPr>
      <w:rPr>
        <w:rFonts w:hint="default"/>
      </w:rPr>
    </w:lvl>
    <w:lvl w:ilvl="1">
      <w:numFmt w:val="decimal"/>
      <w:isLgl/>
      <w:lvlText w:val="%1.%2"/>
      <w:lvlJc w:val="left"/>
      <w:pPr>
        <w:ind w:left="1650" w:hanging="48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11" w15:restartNumberingAfterBreak="0">
    <w:nsid w:val="49FB68C7"/>
    <w:multiLevelType w:val="multilevel"/>
    <w:tmpl w:val="55D67DDC"/>
    <w:lvl w:ilvl="0">
      <w:start w:val="1"/>
      <w:numFmt w:val="decimal"/>
      <w:lvlText w:val="%1.0"/>
      <w:lvlJc w:val="left"/>
      <w:pPr>
        <w:ind w:left="375" w:hanging="375"/>
      </w:pPr>
      <w:rPr>
        <w:rFonts w:hint="default"/>
        <w:b/>
      </w:rPr>
    </w:lvl>
    <w:lvl w:ilvl="1">
      <w:start w:val="1"/>
      <w:numFmt w:val="decimal"/>
      <w:lvlText w:val="%2."/>
      <w:lvlJc w:val="left"/>
      <w:pPr>
        <w:ind w:left="1095" w:hanging="375"/>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52D9149D"/>
    <w:multiLevelType w:val="hybridMultilevel"/>
    <w:tmpl w:val="CC06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D14D5"/>
    <w:multiLevelType w:val="hybridMultilevel"/>
    <w:tmpl w:val="E1065DDC"/>
    <w:lvl w:ilvl="0" w:tplc="FFC6DF9A">
      <w:start w:val="1"/>
      <w:numFmt w:val="decimal"/>
      <w:lvlText w:val="%1."/>
      <w:lvlJc w:val="left"/>
      <w:pPr>
        <w:ind w:left="360" w:hanging="360"/>
      </w:pPr>
      <w:rPr>
        <w:rFonts w:hint="default"/>
      </w:rPr>
    </w:lvl>
    <w:lvl w:ilvl="1" w:tplc="25F81782">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207C0D"/>
    <w:multiLevelType w:val="hybridMultilevel"/>
    <w:tmpl w:val="C316C1B4"/>
    <w:lvl w:ilvl="0" w:tplc="4042B1EE">
      <w:start w:val="1"/>
      <w:numFmt w:val="bullet"/>
      <w:lvlText w:val=""/>
      <w:lvlJc w:val="left"/>
      <w:pPr>
        <w:ind w:left="864"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1002"/>
    <w:multiLevelType w:val="hybridMultilevel"/>
    <w:tmpl w:val="CE6A5CE2"/>
    <w:lvl w:ilvl="0" w:tplc="B0CE7F5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B6284"/>
    <w:multiLevelType w:val="hybridMultilevel"/>
    <w:tmpl w:val="D0BEC68C"/>
    <w:lvl w:ilvl="0" w:tplc="CB122B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A3D40"/>
    <w:multiLevelType w:val="hybridMultilevel"/>
    <w:tmpl w:val="429A84DC"/>
    <w:lvl w:ilvl="0" w:tplc="4B9C27E0">
      <w:start w:val="1"/>
      <w:numFmt w:val="decimal"/>
      <w:pStyle w:val="OMBNumberBullet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C204EC"/>
    <w:multiLevelType w:val="hybridMultilevel"/>
    <w:tmpl w:val="E290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52275"/>
    <w:multiLevelType w:val="hybridMultilevel"/>
    <w:tmpl w:val="7E645896"/>
    <w:lvl w:ilvl="0" w:tplc="3C8C494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76A11"/>
    <w:multiLevelType w:val="hybridMultilevel"/>
    <w:tmpl w:val="803C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7269F"/>
    <w:multiLevelType w:val="multilevel"/>
    <w:tmpl w:val="98D24C68"/>
    <w:lvl w:ilvl="0">
      <w:start w:val="1"/>
      <w:numFmt w:val="decimal"/>
      <w:pStyle w:val="Num-S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6F851371"/>
    <w:multiLevelType w:val="hybridMultilevel"/>
    <w:tmpl w:val="28C45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1D24D2"/>
    <w:multiLevelType w:val="hybridMultilevel"/>
    <w:tmpl w:val="7EF62A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AA969FF"/>
    <w:multiLevelType w:val="hybridMultilevel"/>
    <w:tmpl w:val="96302350"/>
    <w:lvl w:ilvl="0" w:tplc="38EE7D4C">
      <w:start w:val="1"/>
      <w:numFmt w:val="bullet"/>
      <w:pStyle w:val="N3-bullet"/>
      <w:lvlText w:val=""/>
      <w:lvlJc w:val="left"/>
      <w:pPr>
        <w:tabs>
          <w:tab w:val="num" w:pos="1872"/>
        </w:tabs>
        <w:ind w:left="1872" w:hanging="360"/>
      </w:pPr>
      <w:rPr>
        <w:rFonts w:ascii="Symbol" w:hAnsi="Symbol" w:cs="Symbol" w:hint="default"/>
        <w:color w:val="auto"/>
      </w:r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7"/>
  </w:num>
  <w:num w:numId="3">
    <w:abstractNumId w:val="24"/>
  </w:num>
  <w:num w:numId="4">
    <w:abstractNumId w:val="21"/>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0"/>
  </w:num>
  <w:num w:numId="10">
    <w:abstractNumId w:val="5"/>
  </w:num>
  <w:num w:numId="11">
    <w:abstractNumId w:val="22"/>
  </w:num>
  <w:num w:numId="12">
    <w:abstractNumId w:val="4"/>
  </w:num>
  <w:num w:numId="13">
    <w:abstractNumId w:val="18"/>
  </w:num>
  <w:num w:numId="14">
    <w:abstractNumId w:val="15"/>
  </w:num>
  <w:num w:numId="15">
    <w:abstractNumId w:val="12"/>
  </w:num>
  <w:num w:numId="16">
    <w:abstractNumId w:val="10"/>
  </w:num>
  <w:num w:numId="17">
    <w:abstractNumId w:val="13"/>
  </w:num>
  <w:num w:numId="18">
    <w:abstractNumId w:val="19"/>
  </w:num>
  <w:num w:numId="19">
    <w:abstractNumId w:val="14"/>
  </w:num>
  <w:num w:numId="20">
    <w:abstractNumId w:val="23"/>
  </w:num>
  <w:num w:numId="21">
    <w:abstractNumId w:val="11"/>
  </w:num>
  <w:num w:numId="22">
    <w:abstractNumId w:val="9"/>
  </w:num>
  <w:num w:numId="23">
    <w:abstractNumId w:val="16"/>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63"/>
    <w:rsid w:val="00000D64"/>
    <w:rsid w:val="000012D5"/>
    <w:rsid w:val="00001705"/>
    <w:rsid w:val="00001A0F"/>
    <w:rsid w:val="00001EAA"/>
    <w:rsid w:val="000021CE"/>
    <w:rsid w:val="000025B9"/>
    <w:rsid w:val="0000287B"/>
    <w:rsid w:val="00002E54"/>
    <w:rsid w:val="00003907"/>
    <w:rsid w:val="00003DFF"/>
    <w:rsid w:val="000046ED"/>
    <w:rsid w:val="0000476E"/>
    <w:rsid w:val="00005F52"/>
    <w:rsid w:val="00006627"/>
    <w:rsid w:val="00006991"/>
    <w:rsid w:val="00006BB7"/>
    <w:rsid w:val="000071B2"/>
    <w:rsid w:val="00007407"/>
    <w:rsid w:val="000075FB"/>
    <w:rsid w:val="00007822"/>
    <w:rsid w:val="00007BB9"/>
    <w:rsid w:val="00010125"/>
    <w:rsid w:val="00010292"/>
    <w:rsid w:val="0001064F"/>
    <w:rsid w:val="000111D4"/>
    <w:rsid w:val="000112AE"/>
    <w:rsid w:val="0001159E"/>
    <w:rsid w:val="00011D27"/>
    <w:rsid w:val="00011F50"/>
    <w:rsid w:val="00012010"/>
    <w:rsid w:val="00013606"/>
    <w:rsid w:val="00013691"/>
    <w:rsid w:val="00013A6F"/>
    <w:rsid w:val="00014683"/>
    <w:rsid w:val="000149EE"/>
    <w:rsid w:val="00014BD8"/>
    <w:rsid w:val="00014E83"/>
    <w:rsid w:val="00014F9A"/>
    <w:rsid w:val="000151C7"/>
    <w:rsid w:val="0001531A"/>
    <w:rsid w:val="0001556B"/>
    <w:rsid w:val="00015667"/>
    <w:rsid w:val="00015749"/>
    <w:rsid w:val="00015AA9"/>
    <w:rsid w:val="000162E0"/>
    <w:rsid w:val="00016458"/>
    <w:rsid w:val="00016845"/>
    <w:rsid w:val="000168F0"/>
    <w:rsid w:val="00016963"/>
    <w:rsid w:val="00016C27"/>
    <w:rsid w:val="0001701D"/>
    <w:rsid w:val="0001772A"/>
    <w:rsid w:val="0002001C"/>
    <w:rsid w:val="00020034"/>
    <w:rsid w:val="00020040"/>
    <w:rsid w:val="0002053D"/>
    <w:rsid w:val="00020654"/>
    <w:rsid w:val="00020686"/>
    <w:rsid w:val="00020ACC"/>
    <w:rsid w:val="00020B75"/>
    <w:rsid w:val="00021721"/>
    <w:rsid w:val="00021DD6"/>
    <w:rsid w:val="00021EA6"/>
    <w:rsid w:val="000227BF"/>
    <w:rsid w:val="00022A37"/>
    <w:rsid w:val="00023097"/>
    <w:rsid w:val="00023226"/>
    <w:rsid w:val="000236E5"/>
    <w:rsid w:val="000237DB"/>
    <w:rsid w:val="000238E5"/>
    <w:rsid w:val="00023A72"/>
    <w:rsid w:val="00023DA4"/>
    <w:rsid w:val="00023DA8"/>
    <w:rsid w:val="00023E02"/>
    <w:rsid w:val="000245DD"/>
    <w:rsid w:val="00024952"/>
    <w:rsid w:val="000250B0"/>
    <w:rsid w:val="00025318"/>
    <w:rsid w:val="00025391"/>
    <w:rsid w:val="000255F0"/>
    <w:rsid w:val="000256B3"/>
    <w:rsid w:val="000259EB"/>
    <w:rsid w:val="00025E83"/>
    <w:rsid w:val="00026424"/>
    <w:rsid w:val="00026905"/>
    <w:rsid w:val="00026D20"/>
    <w:rsid w:val="0002702E"/>
    <w:rsid w:val="000300E0"/>
    <w:rsid w:val="0003017F"/>
    <w:rsid w:val="0003032A"/>
    <w:rsid w:val="00030364"/>
    <w:rsid w:val="00030AA1"/>
    <w:rsid w:val="00030F28"/>
    <w:rsid w:val="00030FDD"/>
    <w:rsid w:val="00031224"/>
    <w:rsid w:val="00031410"/>
    <w:rsid w:val="00031851"/>
    <w:rsid w:val="00031AB7"/>
    <w:rsid w:val="00032A5F"/>
    <w:rsid w:val="00032BDA"/>
    <w:rsid w:val="00032EF8"/>
    <w:rsid w:val="000335C9"/>
    <w:rsid w:val="000343F0"/>
    <w:rsid w:val="00034407"/>
    <w:rsid w:val="00034453"/>
    <w:rsid w:val="00034A6A"/>
    <w:rsid w:val="00034BC9"/>
    <w:rsid w:val="00034C6D"/>
    <w:rsid w:val="00034CF4"/>
    <w:rsid w:val="00035313"/>
    <w:rsid w:val="000354A7"/>
    <w:rsid w:val="000357DD"/>
    <w:rsid w:val="00035BE4"/>
    <w:rsid w:val="00035D47"/>
    <w:rsid w:val="00035DCB"/>
    <w:rsid w:val="0003626D"/>
    <w:rsid w:val="000363A4"/>
    <w:rsid w:val="000363EC"/>
    <w:rsid w:val="000369F6"/>
    <w:rsid w:val="00036A90"/>
    <w:rsid w:val="00036B30"/>
    <w:rsid w:val="00036DE9"/>
    <w:rsid w:val="0003777D"/>
    <w:rsid w:val="00037938"/>
    <w:rsid w:val="00037BD0"/>
    <w:rsid w:val="00037F23"/>
    <w:rsid w:val="000401C4"/>
    <w:rsid w:val="0004038D"/>
    <w:rsid w:val="00040439"/>
    <w:rsid w:val="00040C53"/>
    <w:rsid w:val="000412B3"/>
    <w:rsid w:val="00041DB7"/>
    <w:rsid w:val="0004265E"/>
    <w:rsid w:val="00042903"/>
    <w:rsid w:val="00042B47"/>
    <w:rsid w:val="00042C8A"/>
    <w:rsid w:val="00042FCD"/>
    <w:rsid w:val="00043438"/>
    <w:rsid w:val="0004343E"/>
    <w:rsid w:val="00043BD6"/>
    <w:rsid w:val="00044420"/>
    <w:rsid w:val="00044538"/>
    <w:rsid w:val="000449BB"/>
    <w:rsid w:val="000449EA"/>
    <w:rsid w:val="000452F1"/>
    <w:rsid w:val="00045883"/>
    <w:rsid w:val="000462B5"/>
    <w:rsid w:val="000463FC"/>
    <w:rsid w:val="000465D0"/>
    <w:rsid w:val="0004703F"/>
    <w:rsid w:val="000478EF"/>
    <w:rsid w:val="00047B6D"/>
    <w:rsid w:val="00050198"/>
    <w:rsid w:val="0005126A"/>
    <w:rsid w:val="00051ADC"/>
    <w:rsid w:val="00051C4E"/>
    <w:rsid w:val="0005269F"/>
    <w:rsid w:val="0005287B"/>
    <w:rsid w:val="00053AA8"/>
    <w:rsid w:val="000542E0"/>
    <w:rsid w:val="000549F2"/>
    <w:rsid w:val="00054F1C"/>
    <w:rsid w:val="0005533C"/>
    <w:rsid w:val="0005546F"/>
    <w:rsid w:val="000554A8"/>
    <w:rsid w:val="00055695"/>
    <w:rsid w:val="00056391"/>
    <w:rsid w:val="00056A7B"/>
    <w:rsid w:val="00056B83"/>
    <w:rsid w:val="00057B1E"/>
    <w:rsid w:val="00057E38"/>
    <w:rsid w:val="000600EC"/>
    <w:rsid w:val="00060700"/>
    <w:rsid w:val="000607A4"/>
    <w:rsid w:val="00060D7D"/>
    <w:rsid w:val="0006155F"/>
    <w:rsid w:val="00061722"/>
    <w:rsid w:val="00061743"/>
    <w:rsid w:val="00061E29"/>
    <w:rsid w:val="0006246F"/>
    <w:rsid w:val="000624C0"/>
    <w:rsid w:val="00062DD1"/>
    <w:rsid w:val="00062FD1"/>
    <w:rsid w:val="00063092"/>
    <w:rsid w:val="000630AA"/>
    <w:rsid w:val="00063246"/>
    <w:rsid w:val="00063249"/>
    <w:rsid w:val="00063831"/>
    <w:rsid w:val="00063C97"/>
    <w:rsid w:val="0006418E"/>
    <w:rsid w:val="000646E5"/>
    <w:rsid w:val="00064770"/>
    <w:rsid w:val="000649F4"/>
    <w:rsid w:val="00064C4C"/>
    <w:rsid w:val="00065382"/>
    <w:rsid w:val="0006580A"/>
    <w:rsid w:val="00065B5B"/>
    <w:rsid w:val="00065C5D"/>
    <w:rsid w:val="00065C9E"/>
    <w:rsid w:val="000661CA"/>
    <w:rsid w:val="00066C9B"/>
    <w:rsid w:val="00067EBE"/>
    <w:rsid w:val="00070069"/>
    <w:rsid w:val="000707C6"/>
    <w:rsid w:val="00070FB4"/>
    <w:rsid w:val="000715E4"/>
    <w:rsid w:val="00071C34"/>
    <w:rsid w:val="00071E47"/>
    <w:rsid w:val="00071E85"/>
    <w:rsid w:val="00072146"/>
    <w:rsid w:val="00072193"/>
    <w:rsid w:val="00072262"/>
    <w:rsid w:val="00072C92"/>
    <w:rsid w:val="0007307C"/>
    <w:rsid w:val="000733A1"/>
    <w:rsid w:val="0007352B"/>
    <w:rsid w:val="0007361D"/>
    <w:rsid w:val="00074F08"/>
    <w:rsid w:val="0007514F"/>
    <w:rsid w:val="000757E7"/>
    <w:rsid w:val="000758F5"/>
    <w:rsid w:val="00076BBE"/>
    <w:rsid w:val="000771FF"/>
    <w:rsid w:val="0007721E"/>
    <w:rsid w:val="00077458"/>
    <w:rsid w:val="00077A01"/>
    <w:rsid w:val="00077E6E"/>
    <w:rsid w:val="000805E4"/>
    <w:rsid w:val="00081221"/>
    <w:rsid w:val="000818F9"/>
    <w:rsid w:val="00082106"/>
    <w:rsid w:val="00082BB7"/>
    <w:rsid w:val="00082CB8"/>
    <w:rsid w:val="00082FBB"/>
    <w:rsid w:val="0008394B"/>
    <w:rsid w:val="00083C50"/>
    <w:rsid w:val="000841D3"/>
    <w:rsid w:val="00084279"/>
    <w:rsid w:val="00084692"/>
    <w:rsid w:val="00084696"/>
    <w:rsid w:val="000847C3"/>
    <w:rsid w:val="00084ABD"/>
    <w:rsid w:val="00084B8C"/>
    <w:rsid w:val="00084D85"/>
    <w:rsid w:val="00085623"/>
    <w:rsid w:val="000857AE"/>
    <w:rsid w:val="00085B6F"/>
    <w:rsid w:val="00085D49"/>
    <w:rsid w:val="00085EEF"/>
    <w:rsid w:val="00086745"/>
    <w:rsid w:val="00086831"/>
    <w:rsid w:val="00087320"/>
    <w:rsid w:val="00087E9B"/>
    <w:rsid w:val="00087FAA"/>
    <w:rsid w:val="00090690"/>
    <w:rsid w:val="00090720"/>
    <w:rsid w:val="000910CC"/>
    <w:rsid w:val="0009234F"/>
    <w:rsid w:val="000926CF"/>
    <w:rsid w:val="00092AF5"/>
    <w:rsid w:val="00092EBB"/>
    <w:rsid w:val="00092F31"/>
    <w:rsid w:val="00092FEF"/>
    <w:rsid w:val="00093319"/>
    <w:rsid w:val="0009332D"/>
    <w:rsid w:val="00093346"/>
    <w:rsid w:val="000936E1"/>
    <w:rsid w:val="000938DB"/>
    <w:rsid w:val="00093BB0"/>
    <w:rsid w:val="00094180"/>
    <w:rsid w:val="000946ED"/>
    <w:rsid w:val="00094849"/>
    <w:rsid w:val="000948C4"/>
    <w:rsid w:val="00094B80"/>
    <w:rsid w:val="0009530C"/>
    <w:rsid w:val="00095C9C"/>
    <w:rsid w:val="00095EBA"/>
    <w:rsid w:val="0009604A"/>
    <w:rsid w:val="0009606D"/>
    <w:rsid w:val="000962AF"/>
    <w:rsid w:val="00096547"/>
    <w:rsid w:val="00096C46"/>
    <w:rsid w:val="000971E8"/>
    <w:rsid w:val="000972F5"/>
    <w:rsid w:val="0009758E"/>
    <w:rsid w:val="00097B2E"/>
    <w:rsid w:val="00097F0D"/>
    <w:rsid w:val="000A019A"/>
    <w:rsid w:val="000A109A"/>
    <w:rsid w:val="000A10B2"/>
    <w:rsid w:val="000A13DE"/>
    <w:rsid w:val="000A1488"/>
    <w:rsid w:val="000A1635"/>
    <w:rsid w:val="000A1C21"/>
    <w:rsid w:val="000A3377"/>
    <w:rsid w:val="000A33CD"/>
    <w:rsid w:val="000A3B0A"/>
    <w:rsid w:val="000A474D"/>
    <w:rsid w:val="000A57A3"/>
    <w:rsid w:val="000A5B26"/>
    <w:rsid w:val="000A6004"/>
    <w:rsid w:val="000A6182"/>
    <w:rsid w:val="000A6547"/>
    <w:rsid w:val="000A684B"/>
    <w:rsid w:val="000A6B9A"/>
    <w:rsid w:val="000A6EB4"/>
    <w:rsid w:val="000A6F7E"/>
    <w:rsid w:val="000A6FC6"/>
    <w:rsid w:val="000A780E"/>
    <w:rsid w:val="000A7D52"/>
    <w:rsid w:val="000B04F8"/>
    <w:rsid w:val="000B0734"/>
    <w:rsid w:val="000B089F"/>
    <w:rsid w:val="000B0EAB"/>
    <w:rsid w:val="000B1084"/>
    <w:rsid w:val="000B1816"/>
    <w:rsid w:val="000B1A21"/>
    <w:rsid w:val="000B258D"/>
    <w:rsid w:val="000B2590"/>
    <w:rsid w:val="000B2667"/>
    <w:rsid w:val="000B2AE1"/>
    <w:rsid w:val="000B2C1B"/>
    <w:rsid w:val="000B2C28"/>
    <w:rsid w:val="000B3398"/>
    <w:rsid w:val="000B36EF"/>
    <w:rsid w:val="000B3758"/>
    <w:rsid w:val="000B3FD9"/>
    <w:rsid w:val="000B41D2"/>
    <w:rsid w:val="000B4538"/>
    <w:rsid w:val="000B477D"/>
    <w:rsid w:val="000B4795"/>
    <w:rsid w:val="000B4C33"/>
    <w:rsid w:val="000B529C"/>
    <w:rsid w:val="000B572B"/>
    <w:rsid w:val="000B58EA"/>
    <w:rsid w:val="000B5CB7"/>
    <w:rsid w:val="000B5D87"/>
    <w:rsid w:val="000B66CE"/>
    <w:rsid w:val="000B6E56"/>
    <w:rsid w:val="000B74F4"/>
    <w:rsid w:val="000B75DF"/>
    <w:rsid w:val="000C0496"/>
    <w:rsid w:val="000C0B1D"/>
    <w:rsid w:val="000C1FE2"/>
    <w:rsid w:val="000C22C4"/>
    <w:rsid w:val="000C2B7E"/>
    <w:rsid w:val="000C3875"/>
    <w:rsid w:val="000C39B4"/>
    <w:rsid w:val="000C4A6C"/>
    <w:rsid w:val="000C5AB6"/>
    <w:rsid w:val="000C5DA3"/>
    <w:rsid w:val="000C5ED0"/>
    <w:rsid w:val="000C5FED"/>
    <w:rsid w:val="000C6951"/>
    <w:rsid w:val="000C69D5"/>
    <w:rsid w:val="000C6EBA"/>
    <w:rsid w:val="000C72B4"/>
    <w:rsid w:val="000C73A5"/>
    <w:rsid w:val="000C7884"/>
    <w:rsid w:val="000C7956"/>
    <w:rsid w:val="000C7A84"/>
    <w:rsid w:val="000C7FD4"/>
    <w:rsid w:val="000D10A9"/>
    <w:rsid w:val="000D14F9"/>
    <w:rsid w:val="000D182C"/>
    <w:rsid w:val="000D1897"/>
    <w:rsid w:val="000D1BD9"/>
    <w:rsid w:val="000D1BDC"/>
    <w:rsid w:val="000D1BFE"/>
    <w:rsid w:val="000D1C05"/>
    <w:rsid w:val="000D1DA9"/>
    <w:rsid w:val="000D2283"/>
    <w:rsid w:val="000D28F5"/>
    <w:rsid w:val="000D2AA5"/>
    <w:rsid w:val="000D2CA3"/>
    <w:rsid w:val="000D2D8A"/>
    <w:rsid w:val="000D35C4"/>
    <w:rsid w:val="000D36EA"/>
    <w:rsid w:val="000D387B"/>
    <w:rsid w:val="000D3ED7"/>
    <w:rsid w:val="000D3F1A"/>
    <w:rsid w:val="000D40BD"/>
    <w:rsid w:val="000D4677"/>
    <w:rsid w:val="000D46C3"/>
    <w:rsid w:val="000D48E1"/>
    <w:rsid w:val="000D4C18"/>
    <w:rsid w:val="000D4FBD"/>
    <w:rsid w:val="000D53E4"/>
    <w:rsid w:val="000D54FE"/>
    <w:rsid w:val="000D56A0"/>
    <w:rsid w:val="000D5E6F"/>
    <w:rsid w:val="000D6397"/>
    <w:rsid w:val="000D66F8"/>
    <w:rsid w:val="000D6B95"/>
    <w:rsid w:val="000D7012"/>
    <w:rsid w:val="000D784E"/>
    <w:rsid w:val="000E0320"/>
    <w:rsid w:val="000E049F"/>
    <w:rsid w:val="000E0622"/>
    <w:rsid w:val="000E0A26"/>
    <w:rsid w:val="000E0E4A"/>
    <w:rsid w:val="000E12CF"/>
    <w:rsid w:val="000E18BB"/>
    <w:rsid w:val="000E1B5F"/>
    <w:rsid w:val="000E1CD7"/>
    <w:rsid w:val="000E1EC0"/>
    <w:rsid w:val="000E2229"/>
    <w:rsid w:val="000E28B2"/>
    <w:rsid w:val="000E2A3B"/>
    <w:rsid w:val="000E2D1B"/>
    <w:rsid w:val="000E3428"/>
    <w:rsid w:val="000E3490"/>
    <w:rsid w:val="000E37EE"/>
    <w:rsid w:val="000E3B3A"/>
    <w:rsid w:val="000E46A1"/>
    <w:rsid w:val="000E48B9"/>
    <w:rsid w:val="000E4F9D"/>
    <w:rsid w:val="000E50CD"/>
    <w:rsid w:val="000E5DD0"/>
    <w:rsid w:val="000E61EF"/>
    <w:rsid w:val="000E6B62"/>
    <w:rsid w:val="000E6EE6"/>
    <w:rsid w:val="000E782D"/>
    <w:rsid w:val="000E7D18"/>
    <w:rsid w:val="000E7DCD"/>
    <w:rsid w:val="000E7E25"/>
    <w:rsid w:val="000F0579"/>
    <w:rsid w:val="000F0616"/>
    <w:rsid w:val="000F0E5C"/>
    <w:rsid w:val="000F0F2C"/>
    <w:rsid w:val="000F139A"/>
    <w:rsid w:val="000F194A"/>
    <w:rsid w:val="000F1EB0"/>
    <w:rsid w:val="000F203D"/>
    <w:rsid w:val="000F25EE"/>
    <w:rsid w:val="000F26BB"/>
    <w:rsid w:val="000F2706"/>
    <w:rsid w:val="000F27F9"/>
    <w:rsid w:val="000F28EE"/>
    <w:rsid w:val="000F307F"/>
    <w:rsid w:val="000F3275"/>
    <w:rsid w:val="000F362C"/>
    <w:rsid w:val="000F3701"/>
    <w:rsid w:val="000F3B94"/>
    <w:rsid w:val="000F3B99"/>
    <w:rsid w:val="000F434B"/>
    <w:rsid w:val="000F45F3"/>
    <w:rsid w:val="000F4640"/>
    <w:rsid w:val="000F484B"/>
    <w:rsid w:val="000F4A35"/>
    <w:rsid w:val="000F5032"/>
    <w:rsid w:val="000F5137"/>
    <w:rsid w:val="000F5309"/>
    <w:rsid w:val="000F5461"/>
    <w:rsid w:val="000F5D86"/>
    <w:rsid w:val="000F5E2F"/>
    <w:rsid w:val="000F6148"/>
    <w:rsid w:val="000F6192"/>
    <w:rsid w:val="000F62A2"/>
    <w:rsid w:val="000F641A"/>
    <w:rsid w:val="000F65D3"/>
    <w:rsid w:val="000F677D"/>
    <w:rsid w:val="000F685C"/>
    <w:rsid w:val="000F6B9A"/>
    <w:rsid w:val="000F6DDA"/>
    <w:rsid w:val="000F74CA"/>
    <w:rsid w:val="000F7504"/>
    <w:rsid w:val="000F7718"/>
    <w:rsid w:val="000F7EC8"/>
    <w:rsid w:val="000F7FE6"/>
    <w:rsid w:val="00100080"/>
    <w:rsid w:val="00100686"/>
    <w:rsid w:val="00100A85"/>
    <w:rsid w:val="00100ABD"/>
    <w:rsid w:val="00100B7C"/>
    <w:rsid w:val="00100FCF"/>
    <w:rsid w:val="0010122A"/>
    <w:rsid w:val="00101ADA"/>
    <w:rsid w:val="00101FB2"/>
    <w:rsid w:val="001027B7"/>
    <w:rsid w:val="00102FCC"/>
    <w:rsid w:val="0010318A"/>
    <w:rsid w:val="00103A74"/>
    <w:rsid w:val="001043A8"/>
    <w:rsid w:val="0010456E"/>
    <w:rsid w:val="00104A42"/>
    <w:rsid w:val="00104D67"/>
    <w:rsid w:val="00104EF3"/>
    <w:rsid w:val="0010504F"/>
    <w:rsid w:val="00105A89"/>
    <w:rsid w:val="00105E6E"/>
    <w:rsid w:val="001060AB"/>
    <w:rsid w:val="0010740A"/>
    <w:rsid w:val="00107EA8"/>
    <w:rsid w:val="00110393"/>
    <w:rsid w:val="001109AE"/>
    <w:rsid w:val="00110BEA"/>
    <w:rsid w:val="00111270"/>
    <w:rsid w:val="00111883"/>
    <w:rsid w:val="00111CB8"/>
    <w:rsid w:val="00111FB1"/>
    <w:rsid w:val="0011202C"/>
    <w:rsid w:val="001120FB"/>
    <w:rsid w:val="00112785"/>
    <w:rsid w:val="001132DD"/>
    <w:rsid w:val="001133F8"/>
    <w:rsid w:val="001136BB"/>
    <w:rsid w:val="00113901"/>
    <w:rsid w:val="00113A5D"/>
    <w:rsid w:val="001147B7"/>
    <w:rsid w:val="00114AA8"/>
    <w:rsid w:val="001155B7"/>
    <w:rsid w:val="0011584C"/>
    <w:rsid w:val="00115DD3"/>
    <w:rsid w:val="00115FEB"/>
    <w:rsid w:val="001167E3"/>
    <w:rsid w:val="001172C1"/>
    <w:rsid w:val="001173EE"/>
    <w:rsid w:val="0011793B"/>
    <w:rsid w:val="00117BC5"/>
    <w:rsid w:val="00117C16"/>
    <w:rsid w:val="00117E29"/>
    <w:rsid w:val="00121175"/>
    <w:rsid w:val="00121338"/>
    <w:rsid w:val="001219C3"/>
    <w:rsid w:val="00122262"/>
    <w:rsid w:val="001228A2"/>
    <w:rsid w:val="00122D7A"/>
    <w:rsid w:val="00122DBF"/>
    <w:rsid w:val="001232F1"/>
    <w:rsid w:val="001236D5"/>
    <w:rsid w:val="00123B27"/>
    <w:rsid w:val="00123DBB"/>
    <w:rsid w:val="0012433C"/>
    <w:rsid w:val="00124349"/>
    <w:rsid w:val="001244A0"/>
    <w:rsid w:val="001248D5"/>
    <w:rsid w:val="00124EB0"/>
    <w:rsid w:val="00125352"/>
    <w:rsid w:val="0012572F"/>
    <w:rsid w:val="001258D2"/>
    <w:rsid w:val="00125A01"/>
    <w:rsid w:val="00125DC9"/>
    <w:rsid w:val="0012621D"/>
    <w:rsid w:val="001263F4"/>
    <w:rsid w:val="00126455"/>
    <w:rsid w:val="00126CB1"/>
    <w:rsid w:val="00127032"/>
    <w:rsid w:val="001271C5"/>
    <w:rsid w:val="0012779C"/>
    <w:rsid w:val="001279F5"/>
    <w:rsid w:val="00127C91"/>
    <w:rsid w:val="00130330"/>
    <w:rsid w:val="001304BD"/>
    <w:rsid w:val="0013080E"/>
    <w:rsid w:val="00130A38"/>
    <w:rsid w:val="00130C3A"/>
    <w:rsid w:val="00131950"/>
    <w:rsid w:val="00132D67"/>
    <w:rsid w:val="00133019"/>
    <w:rsid w:val="0013345D"/>
    <w:rsid w:val="00133A8B"/>
    <w:rsid w:val="00133C98"/>
    <w:rsid w:val="0013454C"/>
    <w:rsid w:val="00134DAF"/>
    <w:rsid w:val="001353F3"/>
    <w:rsid w:val="0013544B"/>
    <w:rsid w:val="001354F2"/>
    <w:rsid w:val="001356E5"/>
    <w:rsid w:val="0013573F"/>
    <w:rsid w:val="001357C0"/>
    <w:rsid w:val="00135B52"/>
    <w:rsid w:val="00136795"/>
    <w:rsid w:val="00136ABF"/>
    <w:rsid w:val="00136D5B"/>
    <w:rsid w:val="001370C4"/>
    <w:rsid w:val="001371B2"/>
    <w:rsid w:val="00137466"/>
    <w:rsid w:val="001376B2"/>
    <w:rsid w:val="00137991"/>
    <w:rsid w:val="00137F32"/>
    <w:rsid w:val="00140188"/>
    <w:rsid w:val="0014052E"/>
    <w:rsid w:val="001409D5"/>
    <w:rsid w:val="00140C91"/>
    <w:rsid w:val="00140EF7"/>
    <w:rsid w:val="00140F94"/>
    <w:rsid w:val="0014138D"/>
    <w:rsid w:val="001419DC"/>
    <w:rsid w:val="0014251B"/>
    <w:rsid w:val="001434C5"/>
    <w:rsid w:val="001435CE"/>
    <w:rsid w:val="00143A35"/>
    <w:rsid w:val="00143B61"/>
    <w:rsid w:val="00143C2F"/>
    <w:rsid w:val="00144A17"/>
    <w:rsid w:val="00145E84"/>
    <w:rsid w:val="00146257"/>
    <w:rsid w:val="0014655B"/>
    <w:rsid w:val="00146994"/>
    <w:rsid w:val="00146C21"/>
    <w:rsid w:val="00146E81"/>
    <w:rsid w:val="00146EEB"/>
    <w:rsid w:val="001472AD"/>
    <w:rsid w:val="00147375"/>
    <w:rsid w:val="00147387"/>
    <w:rsid w:val="001501FD"/>
    <w:rsid w:val="00150245"/>
    <w:rsid w:val="00150920"/>
    <w:rsid w:val="00150BBF"/>
    <w:rsid w:val="00150D39"/>
    <w:rsid w:val="00150D41"/>
    <w:rsid w:val="00150D4C"/>
    <w:rsid w:val="00150FEE"/>
    <w:rsid w:val="0015106E"/>
    <w:rsid w:val="001514D3"/>
    <w:rsid w:val="0015165C"/>
    <w:rsid w:val="00151A4D"/>
    <w:rsid w:val="00151E28"/>
    <w:rsid w:val="0015272F"/>
    <w:rsid w:val="00152731"/>
    <w:rsid w:val="00152B4C"/>
    <w:rsid w:val="00152CAF"/>
    <w:rsid w:val="00152FC6"/>
    <w:rsid w:val="0015323F"/>
    <w:rsid w:val="0015329C"/>
    <w:rsid w:val="001539EF"/>
    <w:rsid w:val="00153DEA"/>
    <w:rsid w:val="00153DFF"/>
    <w:rsid w:val="00154118"/>
    <w:rsid w:val="0015412E"/>
    <w:rsid w:val="0015446D"/>
    <w:rsid w:val="001544CB"/>
    <w:rsid w:val="0015473C"/>
    <w:rsid w:val="0015484F"/>
    <w:rsid w:val="001549E0"/>
    <w:rsid w:val="00154ECC"/>
    <w:rsid w:val="001550D9"/>
    <w:rsid w:val="001556D2"/>
    <w:rsid w:val="00155B23"/>
    <w:rsid w:val="00155C47"/>
    <w:rsid w:val="00155C66"/>
    <w:rsid w:val="001566F4"/>
    <w:rsid w:val="001570FF"/>
    <w:rsid w:val="001579BD"/>
    <w:rsid w:val="00157D84"/>
    <w:rsid w:val="00157F19"/>
    <w:rsid w:val="00157F96"/>
    <w:rsid w:val="0016037D"/>
    <w:rsid w:val="00160493"/>
    <w:rsid w:val="00160ADB"/>
    <w:rsid w:val="00160BCD"/>
    <w:rsid w:val="00160C64"/>
    <w:rsid w:val="00160CCA"/>
    <w:rsid w:val="0016101C"/>
    <w:rsid w:val="001614CB"/>
    <w:rsid w:val="00161A47"/>
    <w:rsid w:val="00161E72"/>
    <w:rsid w:val="0016289A"/>
    <w:rsid w:val="00162EFB"/>
    <w:rsid w:val="00162F34"/>
    <w:rsid w:val="0016367B"/>
    <w:rsid w:val="001637AC"/>
    <w:rsid w:val="00163A3A"/>
    <w:rsid w:val="00164192"/>
    <w:rsid w:val="001644D4"/>
    <w:rsid w:val="00164610"/>
    <w:rsid w:val="00164AE4"/>
    <w:rsid w:val="00164D11"/>
    <w:rsid w:val="00164EE6"/>
    <w:rsid w:val="00165325"/>
    <w:rsid w:val="00165470"/>
    <w:rsid w:val="001654C0"/>
    <w:rsid w:val="001659CD"/>
    <w:rsid w:val="00165E78"/>
    <w:rsid w:val="00165F3A"/>
    <w:rsid w:val="00166119"/>
    <w:rsid w:val="00166720"/>
    <w:rsid w:val="00166AF3"/>
    <w:rsid w:val="00166E06"/>
    <w:rsid w:val="00167532"/>
    <w:rsid w:val="001675FE"/>
    <w:rsid w:val="00167A5D"/>
    <w:rsid w:val="00167B25"/>
    <w:rsid w:val="00167B3E"/>
    <w:rsid w:val="00167D29"/>
    <w:rsid w:val="00167EB8"/>
    <w:rsid w:val="001700DE"/>
    <w:rsid w:val="0017071B"/>
    <w:rsid w:val="001708BF"/>
    <w:rsid w:val="00170919"/>
    <w:rsid w:val="00170C56"/>
    <w:rsid w:val="00170D5B"/>
    <w:rsid w:val="001715B1"/>
    <w:rsid w:val="001716A5"/>
    <w:rsid w:val="001716C8"/>
    <w:rsid w:val="00171B50"/>
    <w:rsid w:val="00171FC6"/>
    <w:rsid w:val="00172274"/>
    <w:rsid w:val="001725D8"/>
    <w:rsid w:val="001727F4"/>
    <w:rsid w:val="00172EE3"/>
    <w:rsid w:val="00173117"/>
    <w:rsid w:val="00173AA9"/>
    <w:rsid w:val="00173ABF"/>
    <w:rsid w:val="00174483"/>
    <w:rsid w:val="0017484A"/>
    <w:rsid w:val="00174958"/>
    <w:rsid w:val="00174AE0"/>
    <w:rsid w:val="00174AE4"/>
    <w:rsid w:val="00174B69"/>
    <w:rsid w:val="00175216"/>
    <w:rsid w:val="00175D11"/>
    <w:rsid w:val="00175FC2"/>
    <w:rsid w:val="00176241"/>
    <w:rsid w:val="001762AE"/>
    <w:rsid w:val="00176329"/>
    <w:rsid w:val="00176984"/>
    <w:rsid w:val="00176E7D"/>
    <w:rsid w:val="00177455"/>
    <w:rsid w:val="001777FB"/>
    <w:rsid w:val="001779FE"/>
    <w:rsid w:val="00177F4E"/>
    <w:rsid w:val="001802C8"/>
    <w:rsid w:val="001806E9"/>
    <w:rsid w:val="001807BD"/>
    <w:rsid w:val="001814D2"/>
    <w:rsid w:val="001818B7"/>
    <w:rsid w:val="00182248"/>
    <w:rsid w:val="0018241D"/>
    <w:rsid w:val="001825EF"/>
    <w:rsid w:val="00182C7D"/>
    <w:rsid w:val="00182E4F"/>
    <w:rsid w:val="00183380"/>
    <w:rsid w:val="001837DE"/>
    <w:rsid w:val="00183ABF"/>
    <w:rsid w:val="001845D6"/>
    <w:rsid w:val="00185B54"/>
    <w:rsid w:val="00185D0E"/>
    <w:rsid w:val="00185ED8"/>
    <w:rsid w:val="00185EF0"/>
    <w:rsid w:val="0018668E"/>
    <w:rsid w:val="001871B9"/>
    <w:rsid w:val="0018732D"/>
    <w:rsid w:val="0018735D"/>
    <w:rsid w:val="001903E9"/>
    <w:rsid w:val="00190ADD"/>
    <w:rsid w:val="00190FDB"/>
    <w:rsid w:val="00191003"/>
    <w:rsid w:val="001913E9"/>
    <w:rsid w:val="00191F05"/>
    <w:rsid w:val="00192158"/>
    <w:rsid w:val="00192715"/>
    <w:rsid w:val="00192AED"/>
    <w:rsid w:val="00193380"/>
    <w:rsid w:val="0019345A"/>
    <w:rsid w:val="0019374F"/>
    <w:rsid w:val="00193D32"/>
    <w:rsid w:val="00193E9C"/>
    <w:rsid w:val="00193F7D"/>
    <w:rsid w:val="00194032"/>
    <w:rsid w:val="0019468C"/>
    <w:rsid w:val="00195258"/>
    <w:rsid w:val="0019575D"/>
    <w:rsid w:val="001958CC"/>
    <w:rsid w:val="00195D79"/>
    <w:rsid w:val="00195D9D"/>
    <w:rsid w:val="00196196"/>
    <w:rsid w:val="00196F84"/>
    <w:rsid w:val="001974D0"/>
    <w:rsid w:val="001976CC"/>
    <w:rsid w:val="00197872"/>
    <w:rsid w:val="001A023A"/>
    <w:rsid w:val="001A052F"/>
    <w:rsid w:val="001A0A23"/>
    <w:rsid w:val="001A10DA"/>
    <w:rsid w:val="001A1BF5"/>
    <w:rsid w:val="001A1C2B"/>
    <w:rsid w:val="001A1FA3"/>
    <w:rsid w:val="001A2044"/>
    <w:rsid w:val="001A2212"/>
    <w:rsid w:val="001A2D8E"/>
    <w:rsid w:val="001A38C4"/>
    <w:rsid w:val="001A3B7B"/>
    <w:rsid w:val="001A3BEF"/>
    <w:rsid w:val="001A4191"/>
    <w:rsid w:val="001A4194"/>
    <w:rsid w:val="001A499E"/>
    <w:rsid w:val="001A528D"/>
    <w:rsid w:val="001A5375"/>
    <w:rsid w:val="001A5709"/>
    <w:rsid w:val="001A5D84"/>
    <w:rsid w:val="001A5E9E"/>
    <w:rsid w:val="001A665C"/>
    <w:rsid w:val="001A6AE6"/>
    <w:rsid w:val="001A6B58"/>
    <w:rsid w:val="001A6B96"/>
    <w:rsid w:val="001A7825"/>
    <w:rsid w:val="001A7B95"/>
    <w:rsid w:val="001A7DAE"/>
    <w:rsid w:val="001A7F8F"/>
    <w:rsid w:val="001B001C"/>
    <w:rsid w:val="001B033D"/>
    <w:rsid w:val="001B08A9"/>
    <w:rsid w:val="001B0C15"/>
    <w:rsid w:val="001B0F95"/>
    <w:rsid w:val="001B1078"/>
    <w:rsid w:val="001B15AE"/>
    <w:rsid w:val="001B17AF"/>
    <w:rsid w:val="001B284F"/>
    <w:rsid w:val="001B2A4E"/>
    <w:rsid w:val="001B31A3"/>
    <w:rsid w:val="001B33D2"/>
    <w:rsid w:val="001B3721"/>
    <w:rsid w:val="001B3EAB"/>
    <w:rsid w:val="001B4061"/>
    <w:rsid w:val="001B4746"/>
    <w:rsid w:val="001B485B"/>
    <w:rsid w:val="001B4ACF"/>
    <w:rsid w:val="001B53D0"/>
    <w:rsid w:val="001B546A"/>
    <w:rsid w:val="001B55CE"/>
    <w:rsid w:val="001B5DDB"/>
    <w:rsid w:val="001B5F03"/>
    <w:rsid w:val="001B619A"/>
    <w:rsid w:val="001B6204"/>
    <w:rsid w:val="001B62ED"/>
    <w:rsid w:val="001B67B0"/>
    <w:rsid w:val="001B6C45"/>
    <w:rsid w:val="001B6CD9"/>
    <w:rsid w:val="001B6E90"/>
    <w:rsid w:val="001B70F1"/>
    <w:rsid w:val="001B7136"/>
    <w:rsid w:val="001B72A2"/>
    <w:rsid w:val="001B73E6"/>
    <w:rsid w:val="001B7A21"/>
    <w:rsid w:val="001B7E39"/>
    <w:rsid w:val="001C02E2"/>
    <w:rsid w:val="001C0682"/>
    <w:rsid w:val="001C0C4D"/>
    <w:rsid w:val="001C15DF"/>
    <w:rsid w:val="001C1E45"/>
    <w:rsid w:val="001C1F51"/>
    <w:rsid w:val="001C2110"/>
    <w:rsid w:val="001C2381"/>
    <w:rsid w:val="001C265B"/>
    <w:rsid w:val="001C26D4"/>
    <w:rsid w:val="001C2DDE"/>
    <w:rsid w:val="001C3237"/>
    <w:rsid w:val="001C32DF"/>
    <w:rsid w:val="001C341A"/>
    <w:rsid w:val="001C34E7"/>
    <w:rsid w:val="001C3A6E"/>
    <w:rsid w:val="001C404A"/>
    <w:rsid w:val="001C46C2"/>
    <w:rsid w:val="001C4961"/>
    <w:rsid w:val="001C4A08"/>
    <w:rsid w:val="001C4A9F"/>
    <w:rsid w:val="001C54C1"/>
    <w:rsid w:val="001C5540"/>
    <w:rsid w:val="001C55A5"/>
    <w:rsid w:val="001C56D2"/>
    <w:rsid w:val="001C57E2"/>
    <w:rsid w:val="001C5ABC"/>
    <w:rsid w:val="001C5D6C"/>
    <w:rsid w:val="001C637D"/>
    <w:rsid w:val="001C6434"/>
    <w:rsid w:val="001C656A"/>
    <w:rsid w:val="001C6BA2"/>
    <w:rsid w:val="001C7066"/>
    <w:rsid w:val="001C74E0"/>
    <w:rsid w:val="001D004A"/>
    <w:rsid w:val="001D0F08"/>
    <w:rsid w:val="001D123B"/>
    <w:rsid w:val="001D18E5"/>
    <w:rsid w:val="001D1AC1"/>
    <w:rsid w:val="001D1DE1"/>
    <w:rsid w:val="001D1EE4"/>
    <w:rsid w:val="001D1F48"/>
    <w:rsid w:val="001D279C"/>
    <w:rsid w:val="001D280B"/>
    <w:rsid w:val="001D2A5B"/>
    <w:rsid w:val="001D2D38"/>
    <w:rsid w:val="001D2DDC"/>
    <w:rsid w:val="001D2DFE"/>
    <w:rsid w:val="001D3269"/>
    <w:rsid w:val="001D3409"/>
    <w:rsid w:val="001D353C"/>
    <w:rsid w:val="001D3A83"/>
    <w:rsid w:val="001D3AD7"/>
    <w:rsid w:val="001D3CAA"/>
    <w:rsid w:val="001D409D"/>
    <w:rsid w:val="001D40A1"/>
    <w:rsid w:val="001D4134"/>
    <w:rsid w:val="001D427D"/>
    <w:rsid w:val="001D42BA"/>
    <w:rsid w:val="001D4974"/>
    <w:rsid w:val="001D4CD9"/>
    <w:rsid w:val="001D549C"/>
    <w:rsid w:val="001D5A18"/>
    <w:rsid w:val="001D5D86"/>
    <w:rsid w:val="001D62BD"/>
    <w:rsid w:val="001D6314"/>
    <w:rsid w:val="001D7175"/>
    <w:rsid w:val="001D7520"/>
    <w:rsid w:val="001D7FB9"/>
    <w:rsid w:val="001E0CE0"/>
    <w:rsid w:val="001E1184"/>
    <w:rsid w:val="001E14D8"/>
    <w:rsid w:val="001E167D"/>
    <w:rsid w:val="001E1B56"/>
    <w:rsid w:val="001E1F95"/>
    <w:rsid w:val="001E241F"/>
    <w:rsid w:val="001E30B7"/>
    <w:rsid w:val="001E3414"/>
    <w:rsid w:val="001E3564"/>
    <w:rsid w:val="001E35CE"/>
    <w:rsid w:val="001E3ACD"/>
    <w:rsid w:val="001E3B4C"/>
    <w:rsid w:val="001E46FE"/>
    <w:rsid w:val="001E4F61"/>
    <w:rsid w:val="001E53D8"/>
    <w:rsid w:val="001E5C39"/>
    <w:rsid w:val="001E5F1C"/>
    <w:rsid w:val="001E6F7B"/>
    <w:rsid w:val="001E7187"/>
    <w:rsid w:val="001E7CAE"/>
    <w:rsid w:val="001E7CB4"/>
    <w:rsid w:val="001F0113"/>
    <w:rsid w:val="001F0B92"/>
    <w:rsid w:val="001F146F"/>
    <w:rsid w:val="001F16C7"/>
    <w:rsid w:val="001F1B16"/>
    <w:rsid w:val="001F1B4D"/>
    <w:rsid w:val="001F2011"/>
    <w:rsid w:val="001F22FB"/>
    <w:rsid w:val="001F26D3"/>
    <w:rsid w:val="001F2A8D"/>
    <w:rsid w:val="001F2D12"/>
    <w:rsid w:val="001F2D81"/>
    <w:rsid w:val="001F3385"/>
    <w:rsid w:val="001F3BB7"/>
    <w:rsid w:val="001F3EDC"/>
    <w:rsid w:val="001F4595"/>
    <w:rsid w:val="001F45AD"/>
    <w:rsid w:val="001F4629"/>
    <w:rsid w:val="001F474A"/>
    <w:rsid w:val="001F533C"/>
    <w:rsid w:val="001F5863"/>
    <w:rsid w:val="001F5D17"/>
    <w:rsid w:val="001F5F98"/>
    <w:rsid w:val="001F6349"/>
    <w:rsid w:val="001F6AD0"/>
    <w:rsid w:val="001F6E4A"/>
    <w:rsid w:val="001F77A0"/>
    <w:rsid w:val="001F78B4"/>
    <w:rsid w:val="001F7BD5"/>
    <w:rsid w:val="002007F3"/>
    <w:rsid w:val="00200944"/>
    <w:rsid w:val="002013E1"/>
    <w:rsid w:val="0020193B"/>
    <w:rsid w:val="00202943"/>
    <w:rsid w:val="00202E7F"/>
    <w:rsid w:val="00202FE7"/>
    <w:rsid w:val="00203385"/>
    <w:rsid w:val="00203802"/>
    <w:rsid w:val="0020393F"/>
    <w:rsid w:val="00204272"/>
    <w:rsid w:val="002044B1"/>
    <w:rsid w:val="00204F9F"/>
    <w:rsid w:val="0020505B"/>
    <w:rsid w:val="002050C1"/>
    <w:rsid w:val="00205121"/>
    <w:rsid w:val="00205C35"/>
    <w:rsid w:val="00205E39"/>
    <w:rsid w:val="00205FBB"/>
    <w:rsid w:val="0020635A"/>
    <w:rsid w:val="0020639B"/>
    <w:rsid w:val="002065C9"/>
    <w:rsid w:val="0020691E"/>
    <w:rsid w:val="00207215"/>
    <w:rsid w:val="00207795"/>
    <w:rsid w:val="00207A04"/>
    <w:rsid w:val="00207AC9"/>
    <w:rsid w:val="002100B3"/>
    <w:rsid w:val="00212547"/>
    <w:rsid w:val="00212AEC"/>
    <w:rsid w:val="00212D76"/>
    <w:rsid w:val="00212E36"/>
    <w:rsid w:val="0021360D"/>
    <w:rsid w:val="00214548"/>
    <w:rsid w:val="002149E4"/>
    <w:rsid w:val="00214E9C"/>
    <w:rsid w:val="00216221"/>
    <w:rsid w:val="0021654D"/>
    <w:rsid w:val="00216B46"/>
    <w:rsid w:val="00217C5C"/>
    <w:rsid w:val="00217D4D"/>
    <w:rsid w:val="002203E8"/>
    <w:rsid w:val="00220A5B"/>
    <w:rsid w:val="00220DF2"/>
    <w:rsid w:val="00220EBA"/>
    <w:rsid w:val="00221A1A"/>
    <w:rsid w:val="00221A8A"/>
    <w:rsid w:val="00221B9A"/>
    <w:rsid w:val="00221E08"/>
    <w:rsid w:val="00222028"/>
    <w:rsid w:val="002224CE"/>
    <w:rsid w:val="00222D1C"/>
    <w:rsid w:val="002233A9"/>
    <w:rsid w:val="00224027"/>
    <w:rsid w:val="00224191"/>
    <w:rsid w:val="002243BE"/>
    <w:rsid w:val="00224401"/>
    <w:rsid w:val="00224D20"/>
    <w:rsid w:val="00225608"/>
    <w:rsid w:val="0022613A"/>
    <w:rsid w:val="00226208"/>
    <w:rsid w:val="0022623F"/>
    <w:rsid w:val="00226507"/>
    <w:rsid w:val="0022723E"/>
    <w:rsid w:val="00227351"/>
    <w:rsid w:val="002279AD"/>
    <w:rsid w:val="0023062A"/>
    <w:rsid w:val="00230A9A"/>
    <w:rsid w:val="00230B22"/>
    <w:rsid w:val="00230BD1"/>
    <w:rsid w:val="00230DDD"/>
    <w:rsid w:val="002315F2"/>
    <w:rsid w:val="0023188F"/>
    <w:rsid w:val="00231B05"/>
    <w:rsid w:val="00232451"/>
    <w:rsid w:val="00232547"/>
    <w:rsid w:val="0023260D"/>
    <w:rsid w:val="0023273C"/>
    <w:rsid w:val="00232B08"/>
    <w:rsid w:val="00232CE3"/>
    <w:rsid w:val="00232DE5"/>
    <w:rsid w:val="00233786"/>
    <w:rsid w:val="00233BA6"/>
    <w:rsid w:val="00233DA8"/>
    <w:rsid w:val="00234157"/>
    <w:rsid w:val="002346DA"/>
    <w:rsid w:val="00234C9F"/>
    <w:rsid w:val="00234DC8"/>
    <w:rsid w:val="00234E02"/>
    <w:rsid w:val="002356F4"/>
    <w:rsid w:val="00235CB1"/>
    <w:rsid w:val="0023617A"/>
    <w:rsid w:val="0023679D"/>
    <w:rsid w:val="00236E5B"/>
    <w:rsid w:val="002374B5"/>
    <w:rsid w:val="00237660"/>
    <w:rsid w:val="002376E0"/>
    <w:rsid w:val="00237902"/>
    <w:rsid w:val="00237BD4"/>
    <w:rsid w:val="002403B0"/>
    <w:rsid w:val="002406D1"/>
    <w:rsid w:val="0024079F"/>
    <w:rsid w:val="00241BCD"/>
    <w:rsid w:val="00242AF5"/>
    <w:rsid w:val="00243065"/>
    <w:rsid w:val="0024306B"/>
    <w:rsid w:val="0024319C"/>
    <w:rsid w:val="00243857"/>
    <w:rsid w:val="002443E2"/>
    <w:rsid w:val="0024452E"/>
    <w:rsid w:val="002445B1"/>
    <w:rsid w:val="00244634"/>
    <w:rsid w:val="00245295"/>
    <w:rsid w:val="00245536"/>
    <w:rsid w:val="00245997"/>
    <w:rsid w:val="00245C6C"/>
    <w:rsid w:val="00245D26"/>
    <w:rsid w:val="00245EFC"/>
    <w:rsid w:val="00246310"/>
    <w:rsid w:val="00246777"/>
    <w:rsid w:val="002468D6"/>
    <w:rsid w:val="00247136"/>
    <w:rsid w:val="00247284"/>
    <w:rsid w:val="002476E6"/>
    <w:rsid w:val="002477EE"/>
    <w:rsid w:val="00247953"/>
    <w:rsid w:val="00247F22"/>
    <w:rsid w:val="002503F3"/>
    <w:rsid w:val="00250408"/>
    <w:rsid w:val="0025083A"/>
    <w:rsid w:val="002508F0"/>
    <w:rsid w:val="00250B5B"/>
    <w:rsid w:val="002518F4"/>
    <w:rsid w:val="00251A48"/>
    <w:rsid w:val="00251A4B"/>
    <w:rsid w:val="00251C7B"/>
    <w:rsid w:val="002523F6"/>
    <w:rsid w:val="00252421"/>
    <w:rsid w:val="00252712"/>
    <w:rsid w:val="00252ACD"/>
    <w:rsid w:val="00252DAF"/>
    <w:rsid w:val="00253228"/>
    <w:rsid w:val="0025324D"/>
    <w:rsid w:val="00253290"/>
    <w:rsid w:val="00253385"/>
    <w:rsid w:val="00253478"/>
    <w:rsid w:val="002534F6"/>
    <w:rsid w:val="0025374F"/>
    <w:rsid w:val="00253ECE"/>
    <w:rsid w:val="00254143"/>
    <w:rsid w:val="002541DE"/>
    <w:rsid w:val="002542A3"/>
    <w:rsid w:val="002542BF"/>
    <w:rsid w:val="002543A6"/>
    <w:rsid w:val="00254FAD"/>
    <w:rsid w:val="00255341"/>
    <w:rsid w:val="00255400"/>
    <w:rsid w:val="00255FD4"/>
    <w:rsid w:val="0025642F"/>
    <w:rsid w:val="0025648E"/>
    <w:rsid w:val="00256D72"/>
    <w:rsid w:val="002577B8"/>
    <w:rsid w:val="002579C0"/>
    <w:rsid w:val="00260955"/>
    <w:rsid w:val="00261044"/>
    <w:rsid w:val="00261371"/>
    <w:rsid w:val="0026151E"/>
    <w:rsid w:val="00261EB9"/>
    <w:rsid w:val="0026206D"/>
    <w:rsid w:val="002620BD"/>
    <w:rsid w:val="00262533"/>
    <w:rsid w:val="00262D41"/>
    <w:rsid w:val="00263020"/>
    <w:rsid w:val="00263429"/>
    <w:rsid w:val="0026424F"/>
    <w:rsid w:val="00264792"/>
    <w:rsid w:val="00265668"/>
    <w:rsid w:val="00265991"/>
    <w:rsid w:val="002659D5"/>
    <w:rsid w:val="00266C66"/>
    <w:rsid w:val="00267958"/>
    <w:rsid w:val="00267F6B"/>
    <w:rsid w:val="0027030E"/>
    <w:rsid w:val="00270BEA"/>
    <w:rsid w:val="0027170F"/>
    <w:rsid w:val="0027191F"/>
    <w:rsid w:val="00271AEF"/>
    <w:rsid w:val="00271D7E"/>
    <w:rsid w:val="00271F0D"/>
    <w:rsid w:val="0027262B"/>
    <w:rsid w:val="00272761"/>
    <w:rsid w:val="00272D71"/>
    <w:rsid w:val="00273096"/>
    <w:rsid w:val="00273BF8"/>
    <w:rsid w:val="00273E04"/>
    <w:rsid w:val="002747CA"/>
    <w:rsid w:val="00274F5C"/>
    <w:rsid w:val="00275077"/>
    <w:rsid w:val="002756B4"/>
    <w:rsid w:val="00275FE8"/>
    <w:rsid w:val="002763F2"/>
    <w:rsid w:val="00276557"/>
    <w:rsid w:val="00276A48"/>
    <w:rsid w:val="00276CEA"/>
    <w:rsid w:val="00276D0F"/>
    <w:rsid w:val="002774BA"/>
    <w:rsid w:val="00277537"/>
    <w:rsid w:val="00277605"/>
    <w:rsid w:val="002800AF"/>
    <w:rsid w:val="002802E9"/>
    <w:rsid w:val="00280365"/>
    <w:rsid w:val="002811F2"/>
    <w:rsid w:val="0028142F"/>
    <w:rsid w:val="00282268"/>
    <w:rsid w:val="00282328"/>
    <w:rsid w:val="00282809"/>
    <w:rsid w:val="00282837"/>
    <w:rsid w:val="0028283F"/>
    <w:rsid w:val="00282BD8"/>
    <w:rsid w:val="00282E64"/>
    <w:rsid w:val="002835E6"/>
    <w:rsid w:val="00283B0C"/>
    <w:rsid w:val="00284344"/>
    <w:rsid w:val="00284BFF"/>
    <w:rsid w:val="00284C3B"/>
    <w:rsid w:val="00284E92"/>
    <w:rsid w:val="00284EB3"/>
    <w:rsid w:val="00285003"/>
    <w:rsid w:val="002851AA"/>
    <w:rsid w:val="00285328"/>
    <w:rsid w:val="00285517"/>
    <w:rsid w:val="00285713"/>
    <w:rsid w:val="00285864"/>
    <w:rsid w:val="00285AAB"/>
    <w:rsid w:val="00285BA3"/>
    <w:rsid w:val="0028611F"/>
    <w:rsid w:val="002861A1"/>
    <w:rsid w:val="0028621C"/>
    <w:rsid w:val="00286996"/>
    <w:rsid w:val="00286E94"/>
    <w:rsid w:val="00286EB1"/>
    <w:rsid w:val="00287931"/>
    <w:rsid w:val="00287B31"/>
    <w:rsid w:val="00287F31"/>
    <w:rsid w:val="00287FBE"/>
    <w:rsid w:val="002908E4"/>
    <w:rsid w:val="00290946"/>
    <w:rsid w:val="002909E9"/>
    <w:rsid w:val="00291CAD"/>
    <w:rsid w:val="0029253A"/>
    <w:rsid w:val="00292804"/>
    <w:rsid w:val="00292FEA"/>
    <w:rsid w:val="002937CA"/>
    <w:rsid w:val="002937EB"/>
    <w:rsid w:val="00294480"/>
    <w:rsid w:val="00294A08"/>
    <w:rsid w:val="00294BDE"/>
    <w:rsid w:val="00294DF7"/>
    <w:rsid w:val="00295259"/>
    <w:rsid w:val="002952F8"/>
    <w:rsid w:val="00295D92"/>
    <w:rsid w:val="00295EB9"/>
    <w:rsid w:val="00296061"/>
    <w:rsid w:val="002961BA"/>
    <w:rsid w:val="0029656B"/>
    <w:rsid w:val="002965A1"/>
    <w:rsid w:val="00296BDC"/>
    <w:rsid w:val="00296D3B"/>
    <w:rsid w:val="00296D68"/>
    <w:rsid w:val="00296DC0"/>
    <w:rsid w:val="00297231"/>
    <w:rsid w:val="00297422"/>
    <w:rsid w:val="00297ABE"/>
    <w:rsid w:val="002A05F9"/>
    <w:rsid w:val="002A09A1"/>
    <w:rsid w:val="002A0AC8"/>
    <w:rsid w:val="002A0D62"/>
    <w:rsid w:val="002A0F63"/>
    <w:rsid w:val="002A0FC4"/>
    <w:rsid w:val="002A10DA"/>
    <w:rsid w:val="002A141B"/>
    <w:rsid w:val="002A1CCA"/>
    <w:rsid w:val="002A2735"/>
    <w:rsid w:val="002A2E67"/>
    <w:rsid w:val="002A31E4"/>
    <w:rsid w:val="002A35F9"/>
    <w:rsid w:val="002A381D"/>
    <w:rsid w:val="002A38D1"/>
    <w:rsid w:val="002A4305"/>
    <w:rsid w:val="002A4642"/>
    <w:rsid w:val="002A4705"/>
    <w:rsid w:val="002A4996"/>
    <w:rsid w:val="002A4A1C"/>
    <w:rsid w:val="002A4BB9"/>
    <w:rsid w:val="002A5057"/>
    <w:rsid w:val="002A531E"/>
    <w:rsid w:val="002A5819"/>
    <w:rsid w:val="002A5AD0"/>
    <w:rsid w:val="002A5E9A"/>
    <w:rsid w:val="002A5F7F"/>
    <w:rsid w:val="002A651B"/>
    <w:rsid w:val="002A6549"/>
    <w:rsid w:val="002A6649"/>
    <w:rsid w:val="002B0911"/>
    <w:rsid w:val="002B091D"/>
    <w:rsid w:val="002B0B9A"/>
    <w:rsid w:val="002B0C33"/>
    <w:rsid w:val="002B0EA8"/>
    <w:rsid w:val="002B12DF"/>
    <w:rsid w:val="002B1970"/>
    <w:rsid w:val="002B1989"/>
    <w:rsid w:val="002B1FBC"/>
    <w:rsid w:val="002B226B"/>
    <w:rsid w:val="002B2322"/>
    <w:rsid w:val="002B244D"/>
    <w:rsid w:val="002B270E"/>
    <w:rsid w:val="002B2F22"/>
    <w:rsid w:val="002B31E0"/>
    <w:rsid w:val="002B37AA"/>
    <w:rsid w:val="002B3A16"/>
    <w:rsid w:val="002B3B2F"/>
    <w:rsid w:val="002B3CAE"/>
    <w:rsid w:val="002B40C6"/>
    <w:rsid w:val="002B4927"/>
    <w:rsid w:val="002B4F30"/>
    <w:rsid w:val="002B5063"/>
    <w:rsid w:val="002B58FB"/>
    <w:rsid w:val="002B5DE3"/>
    <w:rsid w:val="002B5E48"/>
    <w:rsid w:val="002B5F87"/>
    <w:rsid w:val="002B601E"/>
    <w:rsid w:val="002B61B2"/>
    <w:rsid w:val="002C040B"/>
    <w:rsid w:val="002C07F0"/>
    <w:rsid w:val="002C0AA1"/>
    <w:rsid w:val="002C0F35"/>
    <w:rsid w:val="002C1076"/>
    <w:rsid w:val="002C1137"/>
    <w:rsid w:val="002C14A9"/>
    <w:rsid w:val="002C189D"/>
    <w:rsid w:val="002C221E"/>
    <w:rsid w:val="002C2457"/>
    <w:rsid w:val="002C26FC"/>
    <w:rsid w:val="002C2720"/>
    <w:rsid w:val="002C290C"/>
    <w:rsid w:val="002C2BF8"/>
    <w:rsid w:val="002C2EFD"/>
    <w:rsid w:val="002C332E"/>
    <w:rsid w:val="002C3F36"/>
    <w:rsid w:val="002C4B1B"/>
    <w:rsid w:val="002C5490"/>
    <w:rsid w:val="002C5A75"/>
    <w:rsid w:val="002C5E65"/>
    <w:rsid w:val="002C60A2"/>
    <w:rsid w:val="002C637E"/>
    <w:rsid w:val="002C7229"/>
    <w:rsid w:val="002C773F"/>
    <w:rsid w:val="002C79E5"/>
    <w:rsid w:val="002C7D67"/>
    <w:rsid w:val="002C7EF2"/>
    <w:rsid w:val="002D082D"/>
    <w:rsid w:val="002D1887"/>
    <w:rsid w:val="002D1B4E"/>
    <w:rsid w:val="002D1D59"/>
    <w:rsid w:val="002D22DE"/>
    <w:rsid w:val="002D234B"/>
    <w:rsid w:val="002D25BF"/>
    <w:rsid w:val="002D260E"/>
    <w:rsid w:val="002D2861"/>
    <w:rsid w:val="002D2F0D"/>
    <w:rsid w:val="002D30AB"/>
    <w:rsid w:val="002D33D2"/>
    <w:rsid w:val="002D3475"/>
    <w:rsid w:val="002D3536"/>
    <w:rsid w:val="002D3BA0"/>
    <w:rsid w:val="002D3F0A"/>
    <w:rsid w:val="002D3F91"/>
    <w:rsid w:val="002D420C"/>
    <w:rsid w:val="002D4337"/>
    <w:rsid w:val="002D4BE0"/>
    <w:rsid w:val="002D4D56"/>
    <w:rsid w:val="002D5310"/>
    <w:rsid w:val="002D5356"/>
    <w:rsid w:val="002D54C8"/>
    <w:rsid w:val="002D571D"/>
    <w:rsid w:val="002D5725"/>
    <w:rsid w:val="002D59EA"/>
    <w:rsid w:val="002D64DD"/>
    <w:rsid w:val="002D671A"/>
    <w:rsid w:val="002D69F0"/>
    <w:rsid w:val="002D6D4C"/>
    <w:rsid w:val="002D6F92"/>
    <w:rsid w:val="002D74D2"/>
    <w:rsid w:val="002D7FE1"/>
    <w:rsid w:val="002E0338"/>
    <w:rsid w:val="002E104D"/>
    <w:rsid w:val="002E11AF"/>
    <w:rsid w:val="002E14CC"/>
    <w:rsid w:val="002E18F0"/>
    <w:rsid w:val="002E1CD2"/>
    <w:rsid w:val="002E1E30"/>
    <w:rsid w:val="002E2858"/>
    <w:rsid w:val="002E29ED"/>
    <w:rsid w:val="002E2C0A"/>
    <w:rsid w:val="002E2C7B"/>
    <w:rsid w:val="002E324A"/>
    <w:rsid w:val="002E3EEF"/>
    <w:rsid w:val="002E3FAA"/>
    <w:rsid w:val="002E403F"/>
    <w:rsid w:val="002E4113"/>
    <w:rsid w:val="002E4303"/>
    <w:rsid w:val="002E4CA6"/>
    <w:rsid w:val="002E5462"/>
    <w:rsid w:val="002E5844"/>
    <w:rsid w:val="002E5CA7"/>
    <w:rsid w:val="002E6290"/>
    <w:rsid w:val="002E6322"/>
    <w:rsid w:val="002E6679"/>
    <w:rsid w:val="002E6762"/>
    <w:rsid w:val="002E74A1"/>
    <w:rsid w:val="002E7813"/>
    <w:rsid w:val="002E79F0"/>
    <w:rsid w:val="002F0048"/>
    <w:rsid w:val="002F0A14"/>
    <w:rsid w:val="002F0A88"/>
    <w:rsid w:val="002F0C9D"/>
    <w:rsid w:val="002F0FF4"/>
    <w:rsid w:val="002F1960"/>
    <w:rsid w:val="002F1B08"/>
    <w:rsid w:val="002F23BE"/>
    <w:rsid w:val="002F28B7"/>
    <w:rsid w:val="002F2E9A"/>
    <w:rsid w:val="002F330F"/>
    <w:rsid w:val="002F34AF"/>
    <w:rsid w:val="002F37FB"/>
    <w:rsid w:val="002F3BC6"/>
    <w:rsid w:val="002F42C7"/>
    <w:rsid w:val="002F4315"/>
    <w:rsid w:val="002F4367"/>
    <w:rsid w:val="002F43C5"/>
    <w:rsid w:val="002F4776"/>
    <w:rsid w:val="002F5B44"/>
    <w:rsid w:val="002F6142"/>
    <w:rsid w:val="002F6343"/>
    <w:rsid w:val="002F675E"/>
    <w:rsid w:val="002F733E"/>
    <w:rsid w:val="002F7643"/>
    <w:rsid w:val="002F79C8"/>
    <w:rsid w:val="002F7AEC"/>
    <w:rsid w:val="002F7D39"/>
    <w:rsid w:val="00300652"/>
    <w:rsid w:val="00300EA9"/>
    <w:rsid w:val="003010A7"/>
    <w:rsid w:val="003010CD"/>
    <w:rsid w:val="003017C9"/>
    <w:rsid w:val="003017FF"/>
    <w:rsid w:val="00301901"/>
    <w:rsid w:val="0030196E"/>
    <w:rsid w:val="00301ADF"/>
    <w:rsid w:val="00302241"/>
    <w:rsid w:val="0030224F"/>
    <w:rsid w:val="003029D8"/>
    <w:rsid w:val="003029FC"/>
    <w:rsid w:val="00302D37"/>
    <w:rsid w:val="00302FD0"/>
    <w:rsid w:val="003032E8"/>
    <w:rsid w:val="00303813"/>
    <w:rsid w:val="0030399B"/>
    <w:rsid w:val="00303A36"/>
    <w:rsid w:val="00303B5E"/>
    <w:rsid w:val="00304184"/>
    <w:rsid w:val="00304422"/>
    <w:rsid w:val="003046A4"/>
    <w:rsid w:val="00304AE4"/>
    <w:rsid w:val="00304B29"/>
    <w:rsid w:val="00305243"/>
    <w:rsid w:val="0030544E"/>
    <w:rsid w:val="0030585B"/>
    <w:rsid w:val="00305B2A"/>
    <w:rsid w:val="00305D3D"/>
    <w:rsid w:val="00305E46"/>
    <w:rsid w:val="00305EC4"/>
    <w:rsid w:val="00305F7A"/>
    <w:rsid w:val="00306054"/>
    <w:rsid w:val="00306620"/>
    <w:rsid w:val="0030663A"/>
    <w:rsid w:val="00307027"/>
    <w:rsid w:val="00307433"/>
    <w:rsid w:val="003074F9"/>
    <w:rsid w:val="003075F2"/>
    <w:rsid w:val="0031087E"/>
    <w:rsid w:val="00310E28"/>
    <w:rsid w:val="00310F68"/>
    <w:rsid w:val="00311212"/>
    <w:rsid w:val="003121C2"/>
    <w:rsid w:val="003122A9"/>
    <w:rsid w:val="003129C9"/>
    <w:rsid w:val="00312F09"/>
    <w:rsid w:val="00313A66"/>
    <w:rsid w:val="00313B7E"/>
    <w:rsid w:val="0031432D"/>
    <w:rsid w:val="00314B1D"/>
    <w:rsid w:val="00314E77"/>
    <w:rsid w:val="00314F76"/>
    <w:rsid w:val="003150D4"/>
    <w:rsid w:val="00315252"/>
    <w:rsid w:val="00315374"/>
    <w:rsid w:val="00315B13"/>
    <w:rsid w:val="0031636E"/>
    <w:rsid w:val="00316E97"/>
    <w:rsid w:val="00317CCE"/>
    <w:rsid w:val="003207A0"/>
    <w:rsid w:val="0032116A"/>
    <w:rsid w:val="003211BA"/>
    <w:rsid w:val="00321228"/>
    <w:rsid w:val="00321279"/>
    <w:rsid w:val="0032186C"/>
    <w:rsid w:val="00321B96"/>
    <w:rsid w:val="00322059"/>
    <w:rsid w:val="003220E1"/>
    <w:rsid w:val="00322587"/>
    <w:rsid w:val="00323179"/>
    <w:rsid w:val="003233E5"/>
    <w:rsid w:val="00323721"/>
    <w:rsid w:val="003237EE"/>
    <w:rsid w:val="00323C7B"/>
    <w:rsid w:val="00323EA3"/>
    <w:rsid w:val="003247BB"/>
    <w:rsid w:val="00324A15"/>
    <w:rsid w:val="00324DF2"/>
    <w:rsid w:val="00324F94"/>
    <w:rsid w:val="00325015"/>
    <w:rsid w:val="003250A8"/>
    <w:rsid w:val="00325243"/>
    <w:rsid w:val="003258BB"/>
    <w:rsid w:val="00325ECE"/>
    <w:rsid w:val="00326206"/>
    <w:rsid w:val="00326B14"/>
    <w:rsid w:val="00327453"/>
    <w:rsid w:val="003274C1"/>
    <w:rsid w:val="003277D1"/>
    <w:rsid w:val="00327886"/>
    <w:rsid w:val="00327B61"/>
    <w:rsid w:val="00327BB0"/>
    <w:rsid w:val="00330903"/>
    <w:rsid w:val="0033095B"/>
    <w:rsid w:val="00330EB4"/>
    <w:rsid w:val="00331677"/>
    <w:rsid w:val="00331DEE"/>
    <w:rsid w:val="00332644"/>
    <w:rsid w:val="00332E65"/>
    <w:rsid w:val="00333142"/>
    <w:rsid w:val="0033356A"/>
    <w:rsid w:val="00333BAD"/>
    <w:rsid w:val="00333C32"/>
    <w:rsid w:val="00334307"/>
    <w:rsid w:val="00335008"/>
    <w:rsid w:val="0033500D"/>
    <w:rsid w:val="0033584A"/>
    <w:rsid w:val="0033689F"/>
    <w:rsid w:val="00336CFA"/>
    <w:rsid w:val="00336ECF"/>
    <w:rsid w:val="0033720B"/>
    <w:rsid w:val="003377ED"/>
    <w:rsid w:val="00337B4E"/>
    <w:rsid w:val="00337C40"/>
    <w:rsid w:val="0034109D"/>
    <w:rsid w:val="00341208"/>
    <w:rsid w:val="003414A3"/>
    <w:rsid w:val="0034166C"/>
    <w:rsid w:val="00341A44"/>
    <w:rsid w:val="00341E01"/>
    <w:rsid w:val="0034299B"/>
    <w:rsid w:val="00342A21"/>
    <w:rsid w:val="003430D4"/>
    <w:rsid w:val="0034329B"/>
    <w:rsid w:val="003449F7"/>
    <w:rsid w:val="00344F5C"/>
    <w:rsid w:val="00344F91"/>
    <w:rsid w:val="00344FC8"/>
    <w:rsid w:val="00345496"/>
    <w:rsid w:val="00345F72"/>
    <w:rsid w:val="0034619F"/>
    <w:rsid w:val="00346723"/>
    <w:rsid w:val="003467B3"/>
    <w:rsid w:val="00346EE3"/>
    <w:rsid w:val="0034752B"/>
    <w:rsid w:val="00347E2F"/>
    <w:rsid w:val="00350536"/>
    <w:rsid w:val="003507AF"/>
    <w:rsid w:val="00350DA3"/>
    <w:rsid w:val="00350E15"/>
    <w:rsid w:val="00351047"/>
    <w:rsid w:val="003513AE"/>
    <w:rsid w:val="003513FD"/>
    <w:rsid w:val="003516F9"/>
    <w:rsid w:val="00351C0E"/>
    <w:rsid w:val="0035217D"/>
    <w:rsid w:val="00353150"/>
    <w:rsid w:val="003531E5"/>
    <w:rsid w:val="0035333A"/>
    <w:rsid w:val="00353DB1"/>
    <w:rsid w:val="0035402B"/>
    <w:rsid w:val="00354062"/>
    <w:rsid w:val="00354150"/>
    <w:rsid w:val="003549F5"/>
    <w:rsid w:val="00354CD9"/>
    <w:rsid w:val="00355063"/>
    <w:rsid w:val="00355491"/>
    <w:rsid w:val="00355884"/>
    <w:rsid w:val="00355A4E"/>
    <w:rsid w:val="00355B65"/>
    <w:rsid w:val="00355F82"/>
    <w:rsid w:val="00356338"/>
    <w:rsid w:val="0035673F"/>
    <w:rsid w:val="0035688C"/>
    <w:rsid w:val="003570A1"/>
    <w:rsid w:val="00357747"/>
    <w:rsid w:val="00357AF7"/>
    <w:rsid w:val="00357C1B"/>
    <w:rsid w:val="00360105"/>
    <w:rsid w:val="003604EB"/>
    <w:rsid w:val="00361662"/>
    <w:rsid w:val="00361709"/>
    <w:rsid w:val="003617F1"/>
    <w:rsid w:val="00361D6B"/>
    <w:rsid w:val="00361F48"/>
    <w:rsid w:val="003622FB"/>
    <w:rsid w:val="0036268C"/>
    <w:rsid w:val="0036271D"/>
    <w:rsid w:val="003629FB"/>
    <w:rsid w:val="00362FD1"/>
    <w:rsid w:val="003630B0"/>
    <w:rsid w:val="00364091"/>
    <w:rsid w:val="0036461F"/>
    <w:rsid w:val="00364DC6"/>
    <w:rsid w:val="00364E90"/>
    <w:rsid w:val="00365446"/>
    <w:rsid w:val="00365547"/>
    <w:rsid w:val="0036592F"/>
    <w:rsid w:val="00365A0E"/>
    <w:rsid w:val="00365A17"/>
    <w:rsid w:val="00365BA5"/>
    <w:rsid w:val="00365E3C"/>
    <w:rsid w:val="00366A24"/>
    <w:rsid w:val="003670B3"/>
    <w:rsid w:val="00367617"/>
    <w:rsid w:val="00367707"/>
    <w:rsid w:val="00367F41"/>
    <w:rsid w:val="003704B4"/>
    <w:rsid w:val="00370803"/>
    <w:rsid w:val="003709F8"/>
    <w:rsid w:val="00370B1A"/>
    <w:rsid w:val="00371DAB"/>
    <w:rsid w:val="0037233E"/>
    <w:rsid w:val="00372C0B"/>
    <w:rsid w:val="00373494"/>
    <w:rsid w:val="003739B0"/>
    <w:rsid w:val="003749B8"/>
    <w:rsid w:val="003749C9"/>
    <w:rsid w:val="00374F9C"/>
    <w:rsid w:val="00374FFE"/>
    <w:rsid w:val="0037568F"/>
    <w:rsid w:val="0037582F"/>
    <w:rsid w:val="00375F67"/>
    <w:rsid w:val="00376550"/>
    <w:rsid w:val="00376572"/>
    <w:rsid w:val="00376C42"/>
    <w:rsid w:val="003771E2"/>
    <w:rsid w:val="00377349"/>
    <w:rsid w:val="00377900"/>
    <w:rsid w:val="00377FC0"/>
    <w:rsid w:val="003800F5"/>
    <w:rsid w:val="00380252"/>
    <w:rsid w:val="0038042F"/>
    <w:rsid w:val="003807F2"/>
    <w:rsid w:val="00380DB7"/>
    <w:rsid w:val="003812C6"/>
    <w:rsid w:val="00381912"/>
    <w:rsid w:val="00381A38"/>
    <w:rsid w:val="00381CBD"/>
    <w:rsid w:val="0038267F"/>
    <w:rsid w:val="00382793"/>
    <w:rsid w:val="00382E66"/>
    <w:rsid w:val="003834D1"/>
    <w:rsid w:val="00383C30"/>
    <w:rsid w:val="003841DE"/>
    <w:rsid w:val="0038486F"/>
    <w:rsid w:val="00384B1A"/>
    <w:rsid w:val="00384BE7"/>
    <w:rsid w:val="003866B5"/>
    <w:rsid w:val="00386A67"/>
    <w:rsid w:val="003877EF"/>
    <w:rsid w:val="00390CE9"/>
    <w:rsid w:val="00391F8C"/>
    <w:rsid w:val="00392381"/>
    <w:rsid w:val="00392496"/>
    <w:rsid w:val="00392C4D"/>
    <w:rsid w:val="003930AF"/>
    <w:rsid w:val="00393B51"/>
    <w:rsid w:val="00393D22"/>
    <w:rsid w:val="00393D97"/>
    <w:rsid w:val="00393F91"/>
    <w:rsid w:val="00394091"/>
    <w:rsid w:val="003945F2"/>
    <w:rsid w:val="00394912"/>
    <w:rsid w:val="003949A0"/>
    <w:rsid w:val="003949FF"/>
    <w:rsid w:val="0039500B"/>
    <w:rsid w:val="00395164"/>
    <w:rsid w:val="00395262"/>
    <w:rsid w:val="003957CD"/>
    <w:rsid w:val="00396210"/>
    <w:rsid w:val="0039633F"/>
    <w:rsid w:val="003966F8"/>
    <w:rsid w:val="00396AD2"/>
    <w:rsid w:val="00396F8B"/>
    <w:rsid w:val="00397521"/>
    <w:rsid w:val="003976B3"/>
    <w:rsid w:val="003A15AC"/>
    <w:rsid w:val="003A17F6"/>
    <w:rsid w:val="003A1811"/>
    <w:rsid w:val="003A1C9D"/>
    <w:rsid w:val="003A1E7C"/>
    <w:rsid w:val="003A2857"/>
    <w:rsid w:val="003A31AE"/>
    <w:rsid w:val="003A322E"/>
    <w:rsid w:val="003A341C"/>
    <w:rsid w:val="003A3A56"/>
    <w:rsid w:val="003A4590"/>
    <w:rsid w:val="003A4A9D"/>
    <w:rsid w:val="003A4C95"/>
    <w:rsid w:val="003A4F69"/>
    <w:rsid w:val="003A506A"/>
    <w:rsid w:val="003A51CF"/>
    <w:rsid w:val="003A557F"/>
    <w:rsid w:val="003A5FE2"/>
    <w:rsid w:val="003A6034"/>
    <w:rsid w:val="003A6651"/>
    <w:rsid w:val="003B0132"/>
    <w:rsid w:val="003B029C"/>
    <w:rsid w:val="003B02A2"/>
    <w:rsid w:val="003B060C"/>
    <w:rsid w:val="003B082F"/>
    <w:rsid w:val="003B0993"/>
    <w:rsid w:val="003B0D0F"/>
    <w:rsid w:val="003B0E51"/>
    <w:rsid w:val="003B1B0D"/>
    <w:rsid w:val="003B1F3B"/>
    <w:rsid w:val="003B21CD"/>
    <w:rsid w:val="003B24B3"/>
    <w:rsid w:val="003B2F47"/>
    <w:rsid w:val="003B324F"/>
    <w:rsid w:val="003B3790"/>
    <w:rsid w:val="003B37B3"/>
    <w:rsid w:val="003B3AA6"/>
    <w:rsid w:val="003B3F26"/>
    <w:rsid w:val="003B45A2"/>
    <w:rsid w:val="003B48EB"/>
    <w:rsid w:val="003B4969"/>
    <w:rsid w:val="003B4AED"/>
    <w:rsid w:val="003B4FCD"/>
    <w:rsid w:val="003B5541"/>
    <w:rsid w:val="003B5CEB"/>
    <w:rsid w:val="003B5E7D"/>
    <w:rsid w:val="003B637C"/>
    <w:rsid w:val="003B64E9"/>
    <w:rsid w:val="003B661E"/>
    <w:rsid w:val="003B6FA6"/>
    <w:rsid w:val="003B7182"/>
    <w:rsid w:val="003B71AF"/>
    <w:rsid w:val="003B77D4"/>
    <w:rsid w:val="003B7C2F"/>
    <w:rsid w:val="003B7F76"/>
    <w:rsid w:val="003C0072"/>
    <w:rsid w:val="003C088E"/>
    <w:rsid w:val="003C0B4C"/>
    <w:rsid w:val="003C127D"/>
    <w:rsid w:val="003C189D"/>
    <w:rsid w:val="003C1A3E"/>
    <w:rsid w:val="003C1B83"/>
    <w:rsid w:val="003C1DF2"/>
    <w:rsid w:val="003C2E30"/>
    <w:rsid w:val="003C3199"/>
    <w:rsid w:val="003C3312"/>
    <w:rsid w:val="003C3B21"/>
    <w:rsid w:val="003C3B5C"/>
    <w:rsid w:val="003C3F11"/>
    <w:rsid w:val="003C4268"/>
    <w:rsid w:val="003C4351"/>
    <w:rsid w:val="003C441E"/>
    <w:rsid w:val="003C4C26"/>
    <w:rsid w:val="003C5390"/>
    <w:rsid w:val="003C5525"/>
    <w:rsid w:val="003C5F08"/>
    <w:rsid w:val="003C620B"/>
    <w:rsid w:val="003C66A2"/>
    <w:rsid w:val="003C66F6"/>
    <w:rsid w:val="003C6758"/>
    <w:rsid w:val="003C6C37"/>
    <w:rsid w:val="003C7091"/>
    <w:rsid w:val="003C7522"/>
    <w:rsid w:val="003C758A"/>
    <w:rsid w:val="003C7894"/>
    <w:rsid w:val="003C7A95"/>
    <w:rsid w:val="003C7C6D"/>
    <w:rsid w:val="003D0303"/>
    <w:rsid w:val="003D0A49"/>
    <w:rsid w:val="003D0D15"/>
    <w:rsid w:val="003D0D57"/>
    <w:rsid w:val="003D148E"/>
    <w:rsid w:val="003D1739"/>
    <w:rsid w:val="003D1C1B"/>
    <w:rsid w:val="003D21D7"/>
    <w:rsid w:val="003D27FB"/>
    <w:rsid w:val="003D2FC8"/>
    <w:rsid w:val="003D3065"/>
    <w:rsid w:val="003D38AE"/>
    <w:rsid w:val="003D4817"/>
    <w:rsid w:val="003D4B29"/>
    <w:rsid w:val="003D5447"/>
    <w:rsid w:val="003D54AF"/>
    <w:rsid w:val="003D559F"/>
    <w:rsid w:val="003D5CF6"/>
    <w:rsid w:val="003D5D9C"/>
    <w:rsid w:val="003D617C"/>
    <w:rsid w:val="003D6229"/>
    <w:rsid w:val="003D6433"/>
    <w:rsid w:val="003D6B2B"/>
    <w:rsid w:val="003D6FAA"/>
    <w:rsid w:val="003D702F"/>
    <w:rsid w:val="003D70A8"/>
    <w:rsid w:val="003D762D"/>
    <w:rsid w:val="003D7D6B"/>
    <w:rsid w:val="003D7D9F"/>
    <w:rsid w:val="003D7DB7"/>
    <w:rsid w:val="003E01A6"/>
    <w:rsid w:val="003E0590"/>
    <w:rsid w:val="003E05D2"/>
    <w:rsid w:val="003E0ACB"/>
    <w:rsid w:val="003E16FA"/>
    <w:rsid w:val="003E2208"/>
    <w:rsid w:val="003E235E"/>
    <w:rsid w:val="003E2B6C"/>
    <w:rsid w:val="003E3330"/>
    <w:rsid w:val="003E3460"/>
    <w:rsid w:val="003E34DD"/>
    <w:rsid w:val="003E35D3"/>
    <w:rsid w:val="003E3700"/>
    <w:rsid w:val="003E3CCD"/>
    <w:rsid w:val="003E4C8B"/>
    <w:rsid w:val="003E51DD"/>
    <w:rsid w:val="003E5533"/>
    <w:rsid w:val="003E58F4"/>
    <w:rsid w:val="003E5A53"/>
    <w:rsid w:val="003E5F87"/>
    <w:rsid w:val="003E6A9B"/>
    <w:rsid w:val="003E6ABB"/>
    <w:rsid w:val="003E71B9"/>
    <w:rsid w:val="003E7372"/>
    <w:rsid w:val="003E7A5A"/>
    <w:rsid w:val="003E7B32"/>
    <w:rsid w:val="003E7D4A"/>
    <w:rsid w:val="003F0511"/>
    <w:rsid w:val="003F0BA4"/>
    <w:rsid w:val="003F0DCC"/>
    <w:rsid w:val="003F11AD"/>
    <w:rsid w:val="003F153D"/>
    <w:rsid w:val="003F1579"/>
    <w:rsid w:val="003F16E7"/>
    <w:rsid w:val="003F1C68"/>
    <w:rsid w:val="003F1CBC"/>
    <w:rsid w:val="003F20A7"/>
    <w:rsid w:val="003F21C8"/>
    <w:rsid w:val="003F3316"/>
    <w:rsid w:val="003F3701"/>
    <w:rsid w:val="003F3947"/>
    <w:rsid w:val="003F3A4E"/>
    <w:rsid w:val="003F3C28"/>
    <w:rsid w:val="003F41E1"/>
    <w:rsid w:val="003F4B94"/>
    <w:rsid w:val="003F4FEA"/>
    <w:rsid w:val="003F518C"/>
    <w:rsid w:val="003F5572"/>
    <w:rsid w:val="003F59AC"/>
    <w:rsid w:val="003F59CB"/>
    <w:rsid w:val="003F5FB5"/>
    <w:rsid w:val="003F64D1"/>
    <w:rsid w:val="003F6CC7"/>
    <w:rsid w:val="003F6F79"/>
    <w:rsid w:val="003F7190"/>
    <w:rsid w:val="003F720F"/>
    <w:rsid w:val="003F739E"/>
    <w:rsid w:val="003F76FF"/>
    <w:rsid w:val="0040087E"/>
    <w:rsid w:val="00400948"/>
    <w:rsid w:val="00400C2B"/>
    <w:rsid w:val="00400E9D"/>
    <w:rsid w:val="0040115F"/>
    <w:rsid w:val="0040162A"/>
    <w:rsid w:val="00401DA2"/>
    <w:rsid w:val="004024E1"/>
    <w:rsid w:val="00402554"/>
    <w:rsid w:val="004032B7"/>
    <w:rsid w:val="00403B00"/>
    <w:rsid w:val="00403F9F"/>
    <w:rsid w:val="00404419"/>
    <w:rsid w:val="00404B47"/>
    <w:rsid w:val="00404E36"/>
    <w:rsid w:val="004051A7"/>
    <w:rsid w:val="004055F7"/>
    <w:rsid w:val="00405B50"/>
    <w:rsid w:val="00405E8E"/>
    <w:rsid w:val="0040610F"/>
    <w:rsid w:val="00406196"/>
    <w:rsid w:val="0040675A"/>
    <w:rsid w:val="004068FD"/>
    <w:rsid w:val="00406A1F"/>
    <w:rsid w:val="0040760E"/>
    <w:rsid w:val="004078CA"/>
    <w:rsid w:val="0041102A"/>
    <w:rsid w:val="004114F4"/>
    <w:rsid w:val="00411DE7"/>
    <w:rsid w:val="0041200E"/>
    <w:rsid w:val="004124FD"/>
    <w:rsid w:val="0041284D"/>
    <w:rsid w:val="00412E73"/>
    <w:rsid w:val="00413369"/>
    <w:rsid w:val="00413511"/>
    <w:rsid w:val="004137C9"/>
    <w:rsid w:val="00413D0A"/>
    <w:rsid w:val="00413ECA"/>
    <w:rsid w:val="0041401E"/>
    <w:rsid w:val="004146F3"/>
    <w:rsid w:val="00414966"/>
    <w:rsid w:val="004149D8"/>
    <w:rsid w:val="00414E32"/>
    <w:rsid w:val="004151F4"/>
    <w:rsid w:val="004152EF"/>
    <w:rsid w:val="00415302"/>
    <w:rsid w:val="004154FE"/>
    <w:rsid w:val="00415559"/>
    <w:rsid w:val="00415A32"/>
    <w:rsid w:val="00415C41"/>
    <w:rsid w:val="00416370"/>
    <w:rsid w:val="00416A00"/>
    <w:rsid w:val="00416A8A"/>
    <w:rsid w:val="00416F6B"/>
    <w:rsid w:val="00416FAB"/>
    <w:rsid w:val="004171B7"/>
    <w:rsid w:val="004178B3"/>
    <w:rsid w:val="00417BE8"/>
    <w:rsid w:val="00417E11"/>
    <w:rsid w:val="00420266"/>
    <w:rsid w:val="00420B72"/>
    <w:rsid w:val="00420F4E"/>
    <w:rsid w:val="00421A06"/>
    <w:rsid w:val="00421C20"/>
    <w:rsid w:val="004225AF"/>
    <w:rsid w:val="004233CB"/>
    <w:rsid w:val="00423960"/>
    <w:rsid w:val="00423AE1"/>
    <w:rsid w:val="00423BA4"/>
    <w:rsid w:val="00423D53"/>
    <w:rsid w:val="00423ECA"/>
    <w:rsid w:val="0042410E"/>
    <w:rsid w:val="004242F1"/>
    <w:rsid w:val="004243C4"/>
    <w:rsid w:val="0042447C"/>
    <w:rsid w:val="00424D14"/>
    <w:rsid w:val="0042578B"/>
    <w:rsid w:val="004258CE"/>
    <w:rsid w:val="00425B8F"/>
    <w:rsid w:val="00425F50"/>
    <w:rsid w:val="00425F58"/>
    <w:rsid w:val="004262F1"/>
    <w:rsid w:val="00426658"/>
    <w:rsid w:val="004266D1"/>
    <w:rsid w:val="004268C0"/>
    <w:rsid w:val="004270FE"/>
    <w:rsid w:val="004275D4"/>
    <w:rsid w:val="0042767A"/>
    <w:rsid w:val="00427782"/>
    <w:rsid w:val="00427BD5"/>
    <w:rsid w:val="00427D03"/>
    <w:rsid w:val="00427DC6"/>
    <w:rsid w:val="00430258"/>
    <w:rsid w:val="004305CF"/>
    <w:rsid w:val="00430766"/>
    <w:rsid w:val="00430A5D"/>
    <w:rsid w:val="00430AF8"/>
    <w:rsid w:val="004311DD"/>
    <w:rsid w:val="0043153A"/>
    <w:rsid w:val="004317F6"/>
    <w:rsid w:val="004319E9"/>
    <w:rsid w:val="00432125"/>
    <w:rsid w:val="00433386"/>
    <w:rsid w:val="00433721"/>
    <w:rsid w:val="00433840"/>
    <w:rsid w:val="00433858"/>
    <w:rsid w:val="004339DB"/>
    <w:rsid w:val="00433F48"/>
    <w:rsid w:val="00434132"/>
    <w:rsid w:val="00434151"/>
    <w:rsid w:val="00434584"/>
    <w:rsid w:val="004348E4"/>
    <w:rsid w:val="00434AFD"/>
    <w:rsid w:val="0043529D"/>
    <w:rsid w:val="00435797"/>
    <w:rsid w:val="00435E7E"/>
    <w:rsid w:val="00436D94"/>
    <w:rsid w:val="00436E07"/>
    <w:rsid w:val="00436E4E"/>
    <w:rsid w:val="004373BE"/>
    <w:rsid w:val="004375FF"/>
    <w:rsid w:val="004378C9"/>
    <w:rsid w:val="00437A4B"/>
    <w:rsid w:val="00437AE1"/>
    <w:rsid w:val="00437AF0"/>
    <w:rsid w:val="00437E6E"/>
    <w:rsid w:val="0044023D"/>
    <w:rsid w:val="004409C9"/>
    <w:rsid w:val="004409FB"/>
    <w:rsid w:val="004411EB"/>
    <w:rsid w:val="0044148C"/>
    <w:rsid w:val="00441868"/>
    <w:rsid w:val="00441B16"/>
    <w:rsid w:val="0044284D"/>
    <w:rsid w:val="00442BDE"/>
    <w:rsid w:val="00442D14"/>
    <w:rsid w:val="004439E5"/>
    <w:rsid w:val="00443C18"/>
    <w:rsid w:val="00444929"/>
    <w:rsid w:val="00444DA5"/>
    <w:rsid w:val="00444FD0"/>
    <w:rsid w:val="00445987"/>
    <w:rsid w:val="00445DAF"/>
    <w:rsid w:val="00446516"/>
    <w:rsid w:val="00446CA6"/>
    <w:rsid w:val="00447028"/>
    <w:rsid w:val="00447319"/>
    <w:rsid w:val="0044766D"/>
    <w:rsid w:val="004476B9"/>
    <w:rsid w:val="0044780A"/>
    <w:rsid w:val="00447D14"/>
    <w:rsid w:val="00447DB0"/>
    <w:rsid w:val="00450176"/>
    <w:rsid w:val="00450260"/>
    <w:rsid w:val="00450318"/>
    <w:rsid w:val="0045067D"/>
    <w:rsid w:val="00450742"/>
    <w:rsid w:val="00451073"/>
    <w:rsid w:val="00451518"/>
    <w:rsid w:val="004517A9"/>
    <w:rsid w:val="004518D8"/>
    <w:rsid w:val="004519DD"/>
    <w:rsid w:val="00451C18"/>
    <w:rsid w:val="00451E1B"/>
    <w:rsid w:val="00451F8C"/>
    <w:rsid w:val="00452935"/>
    <w:rsid w:val="00452AE5"/>
    <w:rsid w:val="00452C2E"/>
    <w:rsid w:val="004539F9"/>
    <w:rsid w:val="00453B3B"/>
    <w:rsid w:val="00453C8E"/>
    <w:rsid w:val="00453F1C"/>
    <w:rsid w:val="00453F81"/>
    <w:rsid w:val="0045415F"/>
    <w:rsid w:val="004542A8"/>
    <w:rsid w:val="0045543B"/>
    <w:rsid w:val="00455BD5"/>
    <w:rsid w:val="00455E2A"/>
    <w:rsid w:val="004563A1"/>
    <w:rsid w:val="004564CC"/>
    <w:rsid w:val="00456A2C"/>
    <w:rsid w:val="00456A7E"/>
    <w:rsid w:val="00456E2C"/>
    <w:rsid w:val="00457040"/>
    <w:rsid w:val="0045774E"/>
    <w:rsid w:val="00457949"/>
    <w:rsid w:val="0045796E"/>
    <w:rsid w:val="0045797E"/>
    <w:rsid w:val="00457C7D"/>
    <w:rsid w:val="0046033E"/>
    <w:rsid w:val="004603D4"/>
    <w:rsid w:val="004606C7"/>
    <w:rsid w:val="00460EC0"/>
    <w:rsid w:val="0046108B"/>
    <w:rsid w:val="004614B6"/>
    <w:rsid w:val="004614D2"/>
    <w:rsid w:val="00461C2F"/>
    <w:rsid w:val="00461E5F"/>
    <w:rsid w:val="00462432"/>
    <w:rsid w:val="00462C20"/>
    <w:rsid w:val="00462EB1"/>
    <w:rsid w:val="004632F8"/>
    <w:rsid w:val="00463AEA"/>
    <w:rsid w:val="00465672"/>
    <w:rsid w:val="00465802"/>
    <w:rsid w:val="00465848"/>
    <w:rsid w:val="00466154"/>
    <w:rsid w:val="004661DC"/>
    <w:rsid w:val="00466465"/>
    <w:rsid w:val="0046691B"/>
    <w:rsid w:val="00466B11"/>
    <w:rsid w:val="00466D2A"/>
    <w:rsid w:val="0046710C"/>
    <w:rsid w:val="00467611"/>
    <w:rsid w:val="0046780F"/>
    <w:rsid w:val="00467A7F"/>
    <w:rsid w:val="00467B31"/>
    <w:rsid w:val="00470056"/>
    <w:rsid w:val="00470088"/>
    <w:rsid w:val="0047013D"/>
    <w:rsid w:val="00470A43"/>
    <w:rsid w:val="00470AF8"/>
    <w:rsid w:val="00470B95"/>
    <w:rsid w:val="00470F08"/>
    <w:rsid w:val="004711E9"/>
    <w:rsid w:val="00471252"/>
    <w:rsid w:val="0047164C"/>
    <w:rsid w:val="004716D5"/>
    <w:rsid w:val="0047195C"/>
    <w:rsid w:val="00471A22"/>
    <w:rsid w:val="00471AA5"/>
    <w:rsid w:val="00471D09"/>
    <w:rsid w:val="004725F1"/>
    <w:rsid w:val="00472CE5"/>
    <w:rsid w:val="00472FE4"/>
    <w:rsid w:val="004735FC"/>
    <w:rsid w:val="00473959"/>
    <w:rsid w:val="00473B95"/>
    <w:rsid w:val="00473BAC"/>
    <w:rsid w:val="00473E5C"/>
    <w:rsid w:val="00473E82"/>
    <w:rsid w:val="0047427C"/>
    <w:rsid w:val="00474345"/>
    <w:rsid w:val="00474533"/>
    <w:rsid w:val="00474D44"/>
    <w:rsid w:val="0047535C"/>
    <w:rsid w:val="00475698"/>
    <w:rsid w:val="004761E1"/>
    <w:rsid w:val="00476765"/>
    <w:rsid w:val="00476B56"/>
    <w:rsid w:val="00476C90"/>
    <w:rsid w:val="00477672"/>
    <w:rsid w:val="00480441"/>
    <w:rsid w:val="00480A1A"/>
    <w:rsid w:val="00480C54"/>
    <w:rsid w:val="00480E07"/>
    <w:rsid w:val="004814D2"/>
    <w:rsid w:val="00481598"/>
    <w:rsid w:val="004828BE"/>
    <w:rsid w:val="004828C2"/>
    <w:rsid w:val="00482E08"/>
    <w:rsid w:val="004838C8"/>
    <w:rsid w:val="00483A03"/>
    <w:rsid w:val="00483F2E"/>
    <w:rsid w:val="00484034"/>
    <w:rsid w:val="004842AC"/>
    <w:rsid w:val="004845E9"/>
    <w:rsid w:val="00484B84"/>
    <w:rsid w:val="00485069"/>
    <w:rsid w:val="0048527C"/>
    <w:rsid w:val="0048542F"/>
    <w:rsid w:val="0048582E"/>
    <w:rsid w:val="00486479"/>
    <w:rsid w:val="004865E0"/>
    <w:rsid w:val="0048674A"/>
    <w:rsid w:val="00486C5F"/>
    <w:rsid w:val="00486F26"/>
    <w:rsid w:val="004872FA"/>
    <w:rsid w:val="00487570"/>
    <w:rsid w:val="0048781B"/>
    <w:rsid w:val="00487A30"/>
    <w:rsid w:val="00490F78"/>
    <w:rsid w:val="0049100D"/>
    <w:rsid w:val="004919F0"/>
    <w:rsid w:val="00491B2F"/>
    <w:rsid w:val="00491B6F"/>
    <w:rsid w:val="00491E66"/>
    <w:rsid w:val="004930F5"/>
    <w:rsid w:val="00493149"/>
    <w:rsid w:val="004932AB"/>
    <w:rsid w:val="0049358C"/>
    <w:rsid w:val="00493794"/>
    <w:rsid w:val="00493C5F"/>
    <w:rsid w:val="00493D28"/>
    <w:rsid w:val="004941DE"/>
    <w:rsid w:val="004946C5"/>
    <w:rsid w:val="00494B94"/>
    <w:rsid w:val="00495624"/>
    <w:rsid w:val="004958D8"/>
    <w:rsid w:val="0049602F"/>
    <w:rsid w:val="00496356"/>
    <w:rsid w:val="00496363"/>
    <w:rsid w:val="004969D1"/>
    <w:rsid w:val="00496A49"/>
    <w:rsid w:val="00496AAB"/>
    <w:rsid w:val="00496B0C"/>
    <w:rsid w:val="00497690"/>
    <w:rsid w:val="004978C4"/>
    <w:rsid w:val="00497A8B"/>
    <w:rsid w:val="00497B4E"/>
    <w:rsid w:val="00497DC7"/>
    <w:rsid w:val="00497E4D"/>
    <w:rsid w:val="00497E69"/>
    <w:rsid w:val="004A023D"/>
    <w:rsid w:val="004A0440"/>
    <w:rsid w:val="004A0AC4"/>
    <w:rsid w:val="004A1D0E"/>
    <w:rsid w:val="004A211D"/>
    <w:rsid w:val="004A2586"/>
    <w:rsid w:val="004A27F1"/>
    <w:rsid w:val="004A2A02"/>
    <w:rsid w:val="004A2A07"/>
    <w:rsid w:val="004A2B2F"/>
    <w:rsid w:val="004A2C13"/>
    <w:rsid w:val="004A300B"/>
    <w:rsid w:val="004A31AA"/>
    <w:rsid w:val="004A37B2"/>
    <w:rsid w:val="004A496D"/>
    <w:rsid w:val="004A5007"/>
    <w:rsid w:val="004A50A6"/>
    <w:rsid w:val="004A52A0"/>
    <w:rsid w:val="004A5EA3"/>
    <w:rsid w:val="004A61F9"/>
    <w:rsid w:val="004A7131"/>
    <w:rsid w:val="004A7481"/>
    <w:rsid w:val="004A7799"/>
    <w:rsid w:val="004A79E8"/>
    <w:rsid w:val="004A7CCA"/>
    <w:rsid w:val="004A7D75"/>
    <w:rsid w:val="004B1020"/>
    <w:rsid w:val="004B1112"/>
    <w:rsid w:val="004B116B"/>
    <w:rsid w:val="004B138A"/>
    <w:rsid w:val="004B1E35"/>
    <w:rsid w:val="004B24C7"/>
    <w:rsid w:val="004B308B"/>
    <w:rsid w:val="004B3711"/>
    <w:rsid w:val="004B37F2"/>
    <w:rsid w:val="004B3966"/>
    <w:rsid w:val="004B3B64"/>
    <w:rsid w:val="004B3DB5"/>
    <w:rsid w:val="004B4417"/>
    <w:rsid w:val="004B4FDA"/>
    <w:rsid w:val="004B5321"/>
    <w:rsid w:val="004B549E"/>
    <w:rsid w:val="004B55AE"/>
    <w:rsid w:val="004B5D5B"/>
    <w:rsid w:val="004B5DBA"/>
    <w:rsid w:val="004B5F15"/>
    <w:rsid w:val="004B63BC"/>
    <w:rsid w:val="004B66C5"/>
    <w:rsid w:val="004B6744"/>
    <w:rsid w:val="004B69AA"/>
    <w:rsid w:val="004B6C01"/>
    <w:rsid w:val="004B77F5"/>
    <w:rsid w:val="004B7C9E"/>
    <w:rsid w:val="004B7ED7"/>
    <w:rsid w:val="004C0087"/>
    <w:rsid w:val="004C0628"/>
    <w:rsid w:val="004C0815"/>
    <w:rsid w:val="004C1272"/>
    <w:rsid w:val="004C15DC"/>
    <w:rsid w:val="004C1ACE"/>
    <w:rsid w:val="004C1E23"/>
    <w:rsid w:val="004C1EA8"/>
    <w:rsid w:val="004C22AC"/>
    <w:rsid w:val="004C268E"/>
    <w:rsid w:val="004C2936"/>
    <w:rsid w:val="004C2B44"/>
    <w:rsid w:val="004C2C3B"/>
    <w:rsid w:val="004C2CB3"/>
    <w:rsid w:val="004C2D2B"/>
    <w:rsid w:val="004C2DF6"/>
    <w:rsid w:val="004C316D"/>
    <w:rsid w:val="004C3AE6"/>
    <w:rsid w:val="004C3BBE"/>
    <w:rsid w:val="004C426D"/>
    <w:rsid w:val="004C4508"/>
    <w:rsid w:val="004C4B20"/>
    <w:rsid w:val="004C4CEF"/>
    <w:rsid w:val="004C50AD"/>
    <w:rsid w:val="004C5BF0"/>
    <w:rsid w:val="004C5E98"/>
    <w:rsid w:val="004C5F10"/>
    <w:rsid w:val="004C5F55"/>
    <w:rsid w:val="004C6188"/>
    <w:rsid w:val="004C666E"/>
    <w:rsid w:val="004C68B5"/>
    <w:rsid w:val="004C6BA3"/>
    <w:rsid w:val="004C6D09"/>
    <w:rsid w:val="004C7286"/>
    <w:rsid w:val="004C7635"/>
    <w:rsid w:val="004D003D"/>
    <w:rsid w:val="004D035C"/>
    <w:rsid w:val="004D0395"/>
    <w:rsid w:val="004D0CDA"/>
    <w:rsid w:val="004D0E32"/>
    <w:rsid w:val="004D10B1"/>
    <w:rsid w:val="004D150B"/>
    <w:rsid w:val="004D1543"/>
    <w:rsid w:val="004D169A"/>
    <w:rsid w:val="004D2F09"/>
    <w:rsid w:val="004D2FB2"/>
    <w:rsid w:val="004D3177"/>
    <w:rsid w:val="004D3DED"/>
    <w:rsid w:val="004D48E2"/>
    <w:rsid w:val="004D4CC2"/>
    <w:rsid w:val="004D4CF2"/>
    <w:rsid w:val="004D501F"/>
    <w:rsid w:val="004D5085"/>
    <w:rsid w:val="004D51B3"/>
    <w:rsid w:val="004D5CA0"/>
    <w:rsid w:val="004D6087"/>
    <w:rsid w:val="004D6162"/>
    <w:rsid w:val="004D6474"/>
    <w:rsid w:val="004D660A"/>
    <w:rsid w:val="004D66C7"/>
    <w:rsid w:val="004D7415"/>
    <w:rsid w:val="004D7687"/>
    <w:rsid w:val="004D7E3D"/>
    <w:rsid w:val="004E0304"/>
    <w:rsid w:val="004E0B99"/>
    <w:rsid w:val="004E0C29"/>
    <w:rsid w:val="004E0DE4"/>
    <w:rsid w:val="004E19FF"/>
    <w:rsid w:val="004E1C53"/>
    <w:rsid w:val="004E1F8F"/>
    <w:rsid w:val="004E2691"/>
    <w:rsid w:val="004E278F"/>
    <w:rsid w:val="004E2E16"/>
    <w:rsid w:val="004E31FF"/>
    <w:rsid w:val="004E3F42"/>
    <w:rsid w:val="004E44CE"/>
    <w:rsid w:val="004E46EA"/>
    <w:rsid w:val="004E4A0D"/>
    <w:rsid w:val="004E4A36"/>
    <w:rsid w:val="004E4B2E"/>
    <w:rsid w:val="004E4BF4"/>
    <w:rsid w:val="004E4E10"/>
    <w:rsid w:val="004E4E1A"/>
    <w:rsid w:val="004E55B6"/>
    <w:rsid w:val="004E57C6"/>
    <w:rsid w:val="004E5A79"/>
    <w:rsid w:val="004E5E49"/>
    <w:rsid w:val="004E6512"/>
    <w:rsid w:val="004E70F0"/>
    <w:rsid w:val="004E74DC"/>
    <w:rsid w:val="004E7E35"/>
    <w:rsid w:val="004E7FD3"/>
    <w:rsid w:val="004F035B"/>
    <w:rsid w:val="004F0388"/>
    <w:rsid w:val="004F0569"/>
    <w:rsid w:val="004F087D"/>
    <w:rsid w:val="004F1EDD"/>
    <w:rsid w:val="004F23B2"/>
    <w:rsid w:val="004F25BD"/>
    <w:rsid w:val="004F2780"/>
    <w:rsid w:val="004F2FEF"/>
    <w:rsid w:val="004F3241"/>
    <w:rsid w:val="004F3797"/>
    <w:rsid w:val="004F390B"/>
    <w:rsid w:val="004F3A34"/>
    <w:rsid w:val="004F3AA0"/>
    <w:rsid w:val="004F4027"/>
    <w:rsid w:val="004F463F"/>
    <w:rsid w:val="004F4C31"/>
    <w:rsid w:val="004F5049"/>
    <w:rsid w:val="004F5224"/>
    <w:rsid w:val="004F53C1"/>
    <w:rsid w:val="004F53FC"/>
    <w:rsid w:val="004F6C78"/>
    <w:rsid w:val="004F6ED4"/>
    <w:rsid w:val="004F71A0"/>
    <w:rsid w:val="004F7509"/>
    <w:rsid w:val="004F7B4E"/>
    <w:rsid w:val="004F7D66"/>
    <w:rsid w:val="004F7D96"/>
    <w:rsid w:val="004F7F48"/>
    <w:rsid w:val="005000ED"/>
    <w:rsid w:val="00500592"/>
    <w:rsid w:val="00500D16"/>
    <w:rsid w:val="005012E9"/>
    <w:rsid w:val="00501551"/>
    <w:rsid w:val="0050196F"/>
    <w:rsid w:val="00502B24"/>
    <w:rsid w:val="00502BD6"/>
    <w:rsid w:val="00502E66"/>
    <w:rsid w:val="00503111"/>
    <w:rsid w:val="00503366"/>
    <w:rsid w:val="005035E5"/>
    <w:rsid w:val="005038B7"/>
    <w:rsid w:val="00503A1C"/>
    <w:rsid w:val="00504636"/>
    <w:rsid w:val="0050491B"/>
    <w:rsid w:val="00504A05"/>
    <w:rsid w:val="005052CE"/>
    <w:rsid w:val="00505795"/>
    <w:rsid w:val="00505975"/>
    <w:rsid w:val="00505E0C"/>
    <w:rsid w:val="00505EA9"/>
    <w:rsid w:val="00506059"/>
    <w:rsid w:val="00506076"/>
    <w:rsid w:val="005062D6"/>
    <w:rsid w:val="0050639D"/>
    <w:rsid w:val="00506512"/>
    <w:rsid w:val="005065B1"/>
    <w:rsid w:val="005067C1"/>
    <w:rsid w:val="00506A6D"/>
    <w:rsid w:val="00506C9F"/>
    <w:rsid w:val="00506CB8"/>
    <w:rsid w:val="00506FE7"/>
    <w:rsid w:val="00507C5C"/>
    <w:rsid w:val="005109DA"/>
    <w:rsid w:val="00510EF5"/>
    <w:rsid w:val="00511810"/>
    <w:rsid w:val="005118D0"/>
    <w:rsid w:val="00511929"/>
    <w:rsid w:val="00511C60"/>
    <w:rsid w:val="0051201A"/>
    <w:rsid w:val="0051218F"/>
    <w:rsid w:val="005121FC"/>
    <w:rsid w:val="00512266"/>
    <w:rsid w:val="0051250E"/>
    <w:rsid w:val="00512C8E"/>
    <w:rsid w:val="00513013"/>
    <w:rsid w:val="0051313F"/>
    <w:rsid w:val="00513577"/>
    <w:rsid w:val="00513F66"/>
    <w:rsid w:val="0051442D"/>
    <w:rsid w:val="005150FF"/>
    <w:rsid w:val="00515471"/>
    <w:rsid w:val="005154E7"/>
    <w:rsid w:val="0051563D"/>
    <w:rsid w:val="00515A78"/>
    <w:rsid w:val="00515EE0"/>
    <w:rsid w:val="00515F52"/>
    <w:rsid w:val="00516955"/>
    <w:rsid w:val="00516A71"/>
    <w:rsid w:val="005170BA"/>
    <w:rsid w:val="0051763A"/>
    <w:rsid w:val="00517967"/>
    <w:rsid w:val="00517C2B"/>
    <w:rsid w:val="00517CB3"/>
    <w:rsid w:val="00517D54"/>
    <w:rsid w:val="00517EC8"/>
    <w:rsid w:val="005209D8"/>
    <w:rsid w:val="00521127"/>
    <w:rsid w:val="005219D4"/>
    <w:rsid w:val="00521D48"/>
    <w:rsid w:val="00522361"/>
    <w:rsid w:val="0052280E"/>
    <w:rsid w:val="0052297D"/>
    <w:rsid w:val="005229DF"/>
    <w:rsid w:val="00523144"/>
    <w:rsid w:val="00523587"/>
    <w:rsid w:val="0052379D"/>
    <w:rsid w:val="005239F6"/>
    <w:rsid w:val="00523C43"/>
    <w:rsid w:val="00523E0F"/>
    <w:rsid w:val="0052421A"/>
    <w:rsid w:val="005247EC"/>
    <w:rsid w:val="00524D70"/>
    <w:rsid w:val="00524E90"/>
    <w:rsid w:val="005253D5"/>
    <w:rsid w:val="005255F5"/>
    <w:rsid w:val="005256F3"/>
    <w:rsid w:val="00526099"/>
    <w:rsid w:val="0052669F"/>
    <w:rsid w:val="00526AA8"/>
    <w:rsid w:val="0052763F"/>
    <w:rsid w:val="00527A19"/>
    <w:rsid w:val="00527D56"/>
    <w:rsid w:val="0053004D"/>
    <w:rsid w:val="00530AAC"/>
    <w:rsid w:val="00530CE7"/>
    <w:rsid w:val="00530DE7"/>
    <w:rsid w:val="0053137C"/>
    <w:rsid w:val="005319E2"/>
    <w:rsid w:val="00531E89"/>
    <w:rsid w:val="00531F2B"/>
    <w:rsid w:val="00531F58"/>
    <w:rsid w:val="00532236"/>
    <w:rsid w:val="005326A0"/>
    <w:rsid w:val="00532917"/>
    <w:rsid w:val="00532F79"/>
    <w:rsid w:val="005332C4"/>
    <w:rsid w:val="005333B4"/>
    <w:rsid w:val="00533BFC"/>
    <w:rsid w:val="005347EC"/>
    <w:rsid w:val="00535037"/>
    <w:rsid w:val="0053537C"/>
    <w:rsid w:val="0053609B"/>
    <w:rsid w:val="00536367"/>
    <w:rsid w:val="00536462"/>
    <w:rsid w:val="00536480"/>
    <w:rsid w:val="005367F7"/>
    <w:rsid w:val="005371FD"/>
    <w:rsid w:val="0053765D"/>
    <w:rsid w:val="00537668"/>
    <w:rsid w:val="00537887"/>
    <w:rsid w:val="00537932"/>
    <w:rsid w:val="00537A11"/>
    <w:rsid w:val="00537D1E"/>
    <w:rsid w:val="00537EB2"/>
    <w:rsid w:val="00540017"/>
    <w:rsid w:val="005403F0"/>
    <w:rsid w:val="005404F3"/>
    <w:rsid w:val="005405F7"/>
    <w:rsid w:val="005409E1"/>
    <w:rsid w:val="00540BA2"/>
    <w:rsid w:val="005410FD"/>
    <w:rsid w:val="005419D4"/>
    <w:rsid w:val="00541C28"/>
    <w:rsid w:val="00541E4C"/>
    <w:rsid w:val="00541F0B"/>
    <w:rsid w:val="00542042"/>
    <w:rsid w:val="00542043"/>
    <w:rsid w:val="005428CE"/>
    <w:rsid w:val="0054299C"/>
    <w:rsid w:val="00543044"/>
    <w:rsid w:val="0054306B"/>
    <w:rsid w:val="005431AB"/>
    <w:rsid w:val="00543409"/>
    <w:rsid w:val="00543C23"/>
    <w:rsid w:val="005444C3"/>
    <w:rsid w:val="0054588B"/>
    <w:rsid w:val="0054612D"/>
    <w:rsid w:val="005461A2"/>
    <w:rsid w:val="0054690C"/>
    <w:rsid w:val="00546E37"/>
    <w:rsid w:val="005473C5"/>
    <w:rsid w:val="00547511"/>
    <w:rsid w:val="00547C15"/>
    <w:rsid w:val="00550367"/>
    <w:rsid w:val="0055037D"/>
    <w:rsid w:val="005505E3"/>
    <w:rsid w:val="005507EE"/>
    <w:rsid w:val="00550FC3"/>
    <w:rsid w:val="00551028"/>
    <w:rsid w:val="00552A1B"/>
    <w:rsid w:val="00552A3D"/>
    <w:rsid w:val="00552A8A"/>
    <w:rsid w:val="00552E9F"/>
    <w:rsid w:val="005532BA"/>
    <w:rsid w:val="0055346B"/>
    <w:rsid w:val="00553B05"/>
    <w:rsid w:val="00554230"/>
    <w:rsid w:val="005543D7"/>
    <w:rsid w:val="005545C2"/>
    <w:rsid w:val="00554609"/>
    <w:rsid w:val="00554726"/>
    <w:rsid w:val="00554C26"/>
    <w:rsid w:val="00555018"/>
    <w:rsid w:val="005557DE"/>
    <w:rsid w:val="00555C14"/>
    <w:rsid w:val="0055664D"/>
    <w:rsid w:val="0055669C"/>
    <w:rsid w:val="00556839"/>
    <w:rsid w:val="00556A3F"/>
    <w:rsid w:val="00556EF2"/>
    <w:rsid w:val="005571EB"/>
    <w:rsid w:val="00557353"/>
    <w:rsid w:val="005574AD"/>
    <w:rsid w:val="00557601"/>
    <w:rsid w:val="005579DF"/>
    <w:rsid w:val="00557D28"/>
    <w:rsid w:val="00560229"/>
    <w:rsid w:val="00560347"/>
    <w:rsid w:val="005607F8"/>
    <w:rsid w:val="0056190A"/>
    <w:rsid w:val="00561D9F"/>
    <w:rsid w:val="00561EF7"/>
    <w:rsid w:val="00562631"/>
    <w:rsid w:val="00562F91"/>
    <w:rsid w:val="00563848"/>
    <w:rsid w:val="005645AE"/>
    <w:rsid w:val="00564C5E"/>
    <w:rsid w:val="005653CE"/>
    <w:rsid w:val="00565D8C"/>
    <w:rsid w:val="00566C2E"/>
    <w:rsid w:val="00566DB9"/>
    <w:rsid w:val="00566E58"/>
    <w:rsid w:val="00567042"/>
    <w:rsid w:val="00567770"/>
    <w:rsid w:val="005677EA"/>
    <w:rsid w:val="00567FA2"/>
    <w:rsid w:val="00570665"/>
    <w:rsid w:val="005706E3"/>
    <w:rsid w:val="005708EB"/>
    <w:rsid w:val="00570AEE"/>
    <w:rsid w:val="00571557"/>
    <w:rsid w:val="00571EFD"/>
    <w:rsid w:val="0057242D"/>
    <w:rsid w:val="00572773"/>
    <w:rsid w:val="00572C8B"/>
    <w:rsid w:val="00572CC6"/>
    <w:rsid w:val="00572DF5"/>
    <w:rsid w:val="00573B05"/>
    <w:rsid w:val="00573CC7"/>
    <w:rsid w:val="005746C0"/>
    <w:rsid w:val="00575231"/>
    <w:rsid w:val="005753CB"/>
    <w:rsid w:val="00575416"/>
    <w:rsid w:val="005758CB"/>
    <w:rsid w:val="0057709E"/>
    <w:rsid w:val="0057745C"/>
    <w:rsid w:val="00577563"/>
    <w:rsid w:val="00577D20"/>
    <w:rsid w:val="00580254"/>
    <w:rsid w:val="00580256"/>
    <w:rsid w:val="005808A5"/>
    <w:rsid w:val="00580B94"/>
    <w:rsid w:val="00580CDA"/>
    <w:rsid w:val="00580DF4"/>
    <w:rsid w:val="00580E24"/>
    <w:rsid w:val="0058125D"/>
    <w:rsid w:val="005813D4"/>
    <w:rsid w:val="00581AE4"/>
    <w:rsid w:val="00581B74"/>
    <w:rsid w:val="00581B7D"/>
    <w:rsid w:val="00581E7D"/>
    <w:rsid w:val="00582395"/>
    <w:rsid w:val="0058244B"/>
    <w:rsid w:val="005828BB"/>
    <w:rsid w:val="00582C62"/>
    <w:rsid w:val="00582D85"/>
    <w:rsid w:val="005830B2"/>
    <w:rsid w:val="005833AE"/>
    <w:rsid w:val="00583B1E"/>
    <w:rsid w:val="00583B35"/>
    <w:rsid w:val="00583CFA"/>
    <w:rsid w:val="00584264"/>
    <w:rsid w:val="0058444A"/>
    <w:rsid w:val="00584AB4"/>
    <w:rsid w:val="00584E79"/>
    <w:rsid w:val="00584F5A"/>
    <w:rsid w:val="005851E1"/>
    <w:rsid w:val="0058591C"/>
    <w:rsid w:val="0058693A"/>
    <w:rsid w:val="005870E9"/>
    <w:rsid w:val="005871E3"/>
    <w:rsid w:val="0058726A"/>
    <w:rsid w:val="00587776"/>
    <w:rsid w:val="00587D31"/>
    <w:rsid w:val="00587EDE"/>
    <w:rsid w:val="00590264"/>
    <w:rsid w:val="0059037C"/>
    <w:rsid w:val="005910E8"/>
    <w:rsid w:val="00591885"/>
    <w:rsid w:val="00591E9A"/>
    <w:rsid w:val="00591EB9"/>
    <w:rsid w:val="0059227B"/>
    <w:rsid w:val="00592696"/>
    <w:rsid w:val="00592A6B"/>
    <w:rsid w:val="005936A0"/>
    <w:rsid w:val="005938BF"/>
    <w:rsid w:val="00593F17"/>
    <w:rsid w:val="0059454D"/>
    <w:rsid w:val="00594ED2"/>
    <w:rsid w:val="0059513E"/>
    <w:rsid w:val="005954DF"/>
    <w:rsid w:val="0059568C"/>
    <w:rsid w:val="0059598B"/>
    <w:rsid w:val="00595BD7"/>
    <w:rsid w:val="00595CEF"/>
    <w:rsid w:val="00595E2A"/>
    <w:rsid w:val="0059627B"/>
    <w:rsid w:val="005966D6"/>
    <w:rsid w:val="005967CE"/>
    <w:rsid w:val="00597008"/>
    <w:rsid w:val="00597302"/>
    <w:rsid w:val="005974DD"/>
    <w:rsid w:val="005A004F"/>
    <w:rsid w:val="005A0055"/>
    <w:rsid w:val="005A01EE"/>
    <w:rsid w:val="005A056C"/>
    <w:rsid w:val="005A06AC"/>
    <w:rsid w:val="005A07CA"/>
    <w:rsid w:val="005A0861"/>
    <w:rsid w:val="005A0873"/>
    <w:rsid w:val="005A11D3"/>
    <w:rsid w:val="005A164D"/>
    <w:rsid w:val="005A17BD"/>
    <w:rsid w:val="005A1C52"/>
    <w:rsid w:val="005A1DD3"/>
    <w:rsid w:val="005A2797"/>
    <w:rsid w:val="005A2DCE"/>
    <w:rsid w:val="005A3274"/>
    <w:rsid w:val="005A32BC"/>
    <w:rsid w:val="005A3806"/>
    <w:rsid w:val="005A4004"/>
    <w:rsid w:val="005A4CF2"/>
    <w:rsid w:val="005A5411"/>
    <w:rsid w:val="005A5576"/>
    <w:rsid w:val="005A5B3D"/>
    <w:rsid w:val="005A6155"/>
    <w:rsid w:val="005A65F0"/>
    <w:rsid w:val="005A66E8"/>
    <w:rsid w:val="005A68FA"/>
    <w:rsid w:val="005A6F0C"/>
    <w:rsid w:val="005A75A7"/>
    <w:rsid w:val="005A7663"/>
    <w:rsid w:val="005A77D6"/>
    <w:rsid w:val="005B0153"/>
    <w:rsid w:val="005B01B4"/>
    <w:rsid w:val="005B02A9"/>
    <w:rsid w:val="005B0536"/>
    <w:rsid w:val="005B0DFA"/>
    <w:rsid w:val="005B0F4D"/>
    <w:rsid w:val="005B0FBE"/>
    <w:rsid w:val="005B10CD"/>
    <w:rsid w:val="005B1514"/>
    <w:rsid w:val="005B183D"/>
    <w:rsid w:val="005B2036"/>
    <w:rsid w:val="005B2B14"/>
    <w:rsid w:val="005B3B1F"/>
    <w:rsid w:val="005B3BFC"/>
    <w:rsid w:val="005B3F36"/>
    <w:rsid w:val="005B4031"/>
    <w:rsid w:val="005B4326"/>
    <w:rsid w:val="005B4AAE"/>
    <w:rsid w:val="005B4B1B"/>
    <w:rsid w:val="005B4E92"/>
    <w:rsid w:val="005B4F86"/>
    <w:rsid w:val="005B5980"/>
    <w:rsid w:val="005B5B01"/>
    <w:rsid w:val="005B606E"/>
    <w:rsid w:val="005B65B2"/>
    <w:rsid w:val="005B6E10"/>
    <w:rsid w:val="005B7371"/>
    <w:rsid w:val="005B792A"/>
    <w:rsid w:val="005B7964"/>
    <w:rsid w:val="005B7990"/>
    <w:rsid w:val="005B7A21"/>
    <w:rsid w:val="005B7A44"/>
    <w:rsid w:val="005C00FC"/>
    <w:rsid w:val="005C0936"/>
    <w:rsid w:val="005C1095"/>
    <w:rsid w:val="005C17A7"/>
    <w:rsid w:val="005C287E"/>
    <w:rsid w:val="005C2E3C"/>
    <w:rsid w:val="005C2ED1"/>
    <w:rsid w:val="005C2EE2"/>
    <w:rsid w:val="005C3767"/>
    <w:rsid w:val="005C49A9"/>
    <w:rsid w:val="005C4A2E"/>
    <w:rsid w:val="005C4AF1"/>
    <w:rsid w:val="005C4DFA"/>
    <w:rsid w:val="005C5422"/>
    <w:rsid w:val="005C5823"/>
    <w:rsid w:val="005C5BD9"/>
    <w:rsid w:val="005C5C0E"/>
    <w:rsid w:val="005C5DA8"/>
    <w:rsid w:val="005C5DF1"/>
    <w:rsid w:val="005C5E4A"/>
    <w:rsid w:val="005C63E3"/>
    <w:rsid w:val="005C6E24"/>
    <w:rsid w:val="005C7FDB"/>
    <w:rsid w:val="005D0400"/>
    <w:rsid w:val="005D064A"/>
    <w:rsid w:val="005D0FB1"/>
    <w:rsid w:val="005D10F2"/>
    <w:rsid w:val="005D18E4"/>
    <w:rsid w:val="005D1B3B"/>
    <w:rsid w:val="005D2322"/>
    <w:rsid w:val="005D24E5"/>
    <w:rsid w:val="005D2F26"/>
    <w:rsid w:val="005D3243"/>
    <w:rsid w:val="005D3335"/>
    <w:rsid w:val="005D3593"/>
    <w:rsid w:val="005D3690"/>
    <w:rsid w:val="005D3EF8"/>
    <w:rsid w:val="005D4907"/>
    <w:rsid w:val="005D4BF0"/>
    <w:rsid w:val="005D5157"/>
    <w:rsid w:val="005D56BB"/>
    <w:rsid w:val="005D5A21"/>
    <w:rsid w:val="005D5A9D"/>
    <w:rsid w:val="005D5F35"/>
    <w:rsid w:val="005D60EC"/>
    <w:rsid w:val="005D6781"/>
    <w:rsid w:val="005D753F"/>
    <w:rsid w:val="005D7B85"/>
    <w:rsid w:val="005D7D66"/>
    <w:rsid w:val="005D7FB3"/>
    <w:rsid w:val="005E00DB"/>
    <w:rsid w:val="005E023D"/>
    <w:rsid w:val="005E052C"/>
    <w:rsid w:val="005E0BA8"/>
    <w:rsid w:val="005E0CB2"/>
    <w:rsid w:val="005E1234"/>
    <w:rsid w:val="005E14C2"/>
    <w:rsid w:val="005E1E6C"/>
    <w:rsid w:val="005E249C"/>
    <w:rsid w:val="005E2949"/>
    <w:rsid w:val="005E2EA2"/>
    <w:rsid w:val="005E342E"/>
    <w:rsid w:val="005E3C1B"/>
    <w:rsid w:val="005E3C88"/>
    <w:rsid w:val="005E3EDB"/>
    <w:rsid w:val="005E4083"/>
    <w:rsid w:val="005E4270"/>
    <w:rsid w:val="005E44CC"/>
    <w:rsid w:val="005E4EAB"/>
    <w:rsid w:val="005E514F"/>
    <w:rsid w:val="005E51C6"/>
    <w:rsid w:val="005E52B9"/>
    <w:rsid w:val="005E5C48"/>
    <w:rsid w:val="005E5DA2"/>
    <w:rsid w:val="005E63A3"/>
    <w:rsid w:val="005E67B4"/>
    <w:rsid w:val="005E7E33"/>
    <w:rsid w:val="005F034D"/>
    <w:rsid w:val="005F03B0"/>
    <w:rsid w:val="005F0411"/>
    <w:rsid w:val="005F0796"/>
    <w:rsid w:val="005F0BC1"/>
    <w:rsid w:val="005F10D9"/>
    <w:rsid w:val="005F12B2"/>
    <w:rsid w:val="005F16B3"/>
    <w:rsid w:val="005F1705"/>
    <w:rsid w:val="005F1DC9"/>
    <w:rsid w:val="005F1EAF"/>
    <w:rsid w:val="005F20B4"/>
    <w:rsid w:val="005F217A"/>
    <w:rsid w:val="005F219A"/>
    <w:rsid w:val="005F21D4"/>
    <w:rsid w:val="005F26F7"/>
    <w:rsid w:val="005F2761"/>
    <w:rsid w:val="005F28C8"/>
    <w:rsid w:val="005F29BA"/>
    <w:rsid w:val="005F2DCF"/>
    <w:rsid w:val="005F3091"/>
    <w:rsid w:val="005F350E"/>
    <w:rsid w:val="005F35DF"/>
    <w:rsid w:val="005F3978"/>
    <w:rsid w:val="005F3AA7"/>
    <w:rsid w:val="005F3D62"/>
    <w:rsid w:val="005F48CD"/>
    <w:rsid w:val="005F49AA"/>
    <w:rsid w:val="005F4C18"/>
    <w:rsid w:val="005F4E30"/>
    <w:rsid w:val="005F582F"/>
    <w:rsid w:val="005F5D06"/>
    <w:rsid w:val="005F6689"/>
    <w:rsid w:val="005F7210"/>
    <w:rsid w:val="005F75BC"/>
    <w:rsid w:val="005F7A71"/>
    <w:rsid w:val="005F7B8E"/>
    <w:rsid w:val="00600BF6"/>
    <w:rsid w:val="00600F40"/>
    <w:rsid w:val="00600FA5"/>
    <w:rsid w:val="00600FF6"/>
    <w:rsid w:val="00601083"/>
    <w:rsid w:val="00601314"/>
    <w:rsid w:val="006018CC"/>
    <w:rsid w:val="0060194D"/>
    <w:rsid w:val="0060195D"/>
    <w:rsid w:val="00601EF9"/>
    <w:rsid w:val="0060251F"/>
    <w:rsid w:val="006030C9"/>
    <w:rsid w:val="0060373A"/>
    <w:rsid w:val="006039C4"/>
    <w:rsid w:val="00603B87"/>
    <w:rsid w:val="00603CD6"/>
    <w:rsid w:val="00603D11"/>
    <w:rsid w:val="00603E89"/>
    <w:rsid w:val="00604B5B"/>
    <w:rsid w:val="00604C54"/>
    <w:rsid w:val="00605052"/>
    <w:rsid w:val="00605493"/>
    <w:rsid w:val="006058CC"/>
    <w:rsid w:val="00606144"/>
    <w:rsid w:val="0060687A"/>
    <w:rsid w:val="00606B1F"/>
    <w:rsid w:val="00607A15"/>
    <w:rsid w:val="00610256"/>
    <w:rsid w:val="0061087C"/>
    <w:rsid w:val="00610E71"/>
    <w:rsid w:val="00610EF1"/>
    <w:rsid w:val="0061164C"/>
    <w:rsid w:val="00611A68"/>
    <w:rsid w:val="00611BCA"/>
    <w:rsid w:val="006120E6"/>
    <w:rsid w:val="006127EE"/>
    <w:rsid w:val="00612BAC"/>
    <w:rsid w:val="00612C9C"/>
    <w:rsid w:val="00612FF7"/>
    <w:rsid w:val="0061333C"/>
    <w:rsid w:val="006133D5"/>
    <w:rsid w:val="00613D06"/>
    <w:rsid w:val="006147F6"/>
    <w:rsid w:val="0061492C"/>
    <w:rsid w:val="00614B3E"/>
    <w:rsid w:val="00614CD6"/>
    <w:rsid w:val="00615006"/>
    <w:rsid w:val="00615949"/>
    <w:rsid w:val="00615E66"/>
    <w:rsid w:val="0061624E"/>
    <w:rsid w:val="006165DC"/>
    <w:rsid w:val="00616C71"/>
    <w:rsid w:val="00616F7F"/>
    <w:rsid w:val="006171DF"/>
    <w:rsid w:val="006175E0"/>
    <w:rsid w:val="00617D43"/>
    <w:rsid w:val="006200DF"/>
    <w:rsid w:val="0062027B"/>
    <w:rsid w:val="0062034D"/>
    <w:rsid w:val="00620C0D"/>
    <w:rsid w:val="006213CF"/>
    <w:rsid w:val="006213ED"/>
    <w:rsid w:val="00621A80"/>
    <w:rsid w:val="00621C62"/>
    <w:rsid w:val="0062286C"/>
    <w:rsid w:val="00622BBB"/>
    <w:rsid w:val="00622CFC"/>
    <w:rsid w:val="00623048"/>
    <w:rsid w:val="0062334C"/>
    <w:rsid w:val="006235C8"/>
    <w:rsid w:val="00623B0C"/>
    <w:rsid w:val="00624138"/>
    <w:rsid w:val="00624346"/>
    <w:rsid w:val="0062437D"/>
    <w:rsid w:val="00624C19"/>
    <w:rsid w:val="00625064"/>
    <w:rsid w:val="00625478"/>
    <w:rsid w:val="00625672"/>
    <w:rsid w:val="00625721"/>
    <w:rsid w:val="00625C6D"/>
    <w:rsid w:val="00625F5C"/>
    <w:rsid w:val="006260F0"/>
    <w:rsid w:val="00626348"/>
    <w:rsid w:val="00626E9E"/>
    <w:rsid w:val="00627283"/>
    <w:rsid w:val="00627379"/>
    <w:rsid w:val="00627DFC"/>
    <w:rsid w:val="00627F22"/>
    <w:rsid w:val="00627F99"/>
    <w:rsid w:val="006301D4"/>
    <w:rsid w:val="006310A5"/>
    <w:rsid w:val="00631135"/>
    <w:rsid w:val="006312D0"/>
    <w:rsid w:val="00631BAD"/>
    <w:rsid w:val="00631EE9"/>
    <w:rsid w:val="006324B3"/>
    <w:rsid w:val="00632759"/>
    <w:rsid w:val="00632B01"/>
    <w:rsid w:val="00632F8A"/>
    <w:rsid w:val="00634012"/>
    <w:rsid w:val="006340F5"/>
    <w:rsid w:val="00634142"/>
    <w:rsid w:val="00634390"/>
    <w:rsid w:val="006349CD"/>
    <w:rsid w:val="00634D67"/>
    <w:rsid w:val="00634F7C"/>
    <w:rsid w:val="00635248"/>
    <w:rsid w:val="00635A7B"/>
    <w:rsid w:val="00635B3F"/>
    <w:rsid w:val="00635B5B"/>
    <w:rsid w:val="006361A8"/>
    <w:rsid w:val="00636283"/>
    <w:rsid w:val="00636B2A"/>
    <w:rsid w:val="00636FCE"/>
    <w:rsid w:val="006370F0"/>
    <w:rsid w:val="00637203"/>
    <w:rsid w:val="00637318"/>
    <w:rsid w:val="00637535"/>
    <w:rsid w:val="00637B7F"/>
    <w:rsid w:val="00637D2B"/>
    <w:rsid w:val="00637F00"/>
    <w:rsid w:val="0064070B"/>
    <w:rsid w:val="006407E2"/>
    <w:rsid w:val="00640A78"/>
    <w:rsid w:val="00640C32"/>
    <w:rsid w:val="0064177B"/>
    <w:rsid w:val="00641838"/>
    <w:rsid w:val="006419F3"/>
    <w:rsid w:val="00642610"/>
    <w:rsid w:val="00642B4A"/>
    <w:rsid w:val="00642BDF"/>
    <w:rsid w:val="00643054"/>
    <w:rsid w:val="00643356"/>
    <w:rsid w:val="00643430"/>
    <w:rsid w:val="006441E2"/>
    <w:rsid w:val="00644271"/>
    <w:rsid w:val="006443F2"/>
    <w:rsid w:val="00645154"/>
    <w:rsid w:val="00645519"/>
    <w:rsid w:val="00645527"/>
    <w:rsid w:val="006463D6"/>
    <w:rsid w:val="006465DC"/>
    <w:rsid w:val="006467F6"/>
    <w:rsid w:val="00646BB5"/>
    <w:rsid w:val="00646CB7"/>
    <w:rsid w:val="00646D00"/>
    <w:rsid w:val="00646E97"/>
    <w:rsid w:val="006471B0"/>
    <w:rsid w:val="0064729E"/>
    <w:rsid w:val="006474E7"/>
    <w:rsid w:val="006502A5"/>
    <w:rsid w:val="006505AC"/>
    <w:rsid w:val="00650F6B"/>
    <w:rsid w:val="0065126E"/>
    <w:rsid w:val="00651AA4"/>
    <w:rsid w:val="00651E85"/>
    <w:rsid w:val="00651FC4"/>
    <w:rsid w:val="00652105"/>
    <w:rsid w:val="0065217F"/>
    <w:rsid w:val="00652C3C"/>
    <w:rsid w:val="00652C91"/>
    <w:rsid w:val="00652E8F"/>
    <w:rsid w:val="00653742"/>
    <w:rsid w:val="0065378C"/>
    <w:rsid w:val="006537C7"/>
    <w:rsid w:val="00653839"/>
    <w:rsid w:val="00653A4B"/>
    <w:rsid w:val="00654880"/>
    <w:rsid w:val="00654B68"/>
    <w:rsid w:val="0065520D"/>
    <w:rsid w:val="006554A5"/>
    <w:rsid w:val="00655AFB"/>
    <w:rsid w:val="00656175"/>
    <w:rsid w:val="006563DF"/>
    <w:rsid w:val="00656437"/>
    <w:rsid w:val="0065696F"/>
    <w:rsid w:val="00657868"/>
    <w:rsid w:val="0066017F"/>
    <w:rsid w:val="00660D98"/>
    <w:rsid w:val="00660FBB"/>
    <w:rsid w:val="006614E4"/>
    <w:rsid w:val="006614F1"/>
    <w:rsid w:val="006614F9"/>
    <w:rsid w:val="0066192E"/>
    <w:rsid w:val="00662061"/>
    <w:rsid w:val="00662566"/>
    <w:rsid w:val="0066278C"/>
    <w:rsid w:val="00662916"/>
    <w:rsid w:val="00663893"/>
    <w:rsid w:val="00664134"/>
    <w:rsid w:val="006644A8"/>
    <w:rsid w:val="00664848"/>
    <w:rsid w:val="00665295"/>
    <w:rsid w:val="006660A9"/>
    <w:rsid w:val="0066688D"/>
    <w:rsid w:val="0066692D"/>
    <w:rsid w:val="006669CD"/>
    <w:rsid w:val="00666FD3"/>
    <w:rsid w:val="00667130"/>
    <w:rsid w:val="006675CC"/>
    <w:rsid w:val="00667CDB"/>
    <w:rsid w:val="00667CFE"/>
    <w:rsid w:val="00667DBA"/>
    <w:rsid w:val="00667F97"/>
    <w:rsid w:val="006703F9"/>
    <w:rsid w:val="00670730"/>
    <w:rsid w:val="006708E6"/>
    <w:rsid w:val="00670CDE"/>
    <w:rsid w:val="00671047"/>
    <w:rsid w:val="006714E0"/>
    <w:rsid w:val="00671C38"/>
    <w:rsid w:val="00672066"/>
    <w:rsid w:val="00672349"/>
    <w:rsid w:val="00673CAC"/>
    <w:rsid w:val="00673CE9"/>
    <w:rsid w:val="00673FE8"/>
    <w:rsid w:val="006742AA"/>
    <w:rsid w:val="006745E4"/>
    <w:rsid w:val="00674776"/>
    <w:rsid w:val="00674919"/>
    <w:rsid w:val="00675141"/>
    <w:rsid w:val="00676491"/>
    <w:rsid w:val="00676777"/>
    <w:rsid w:val="00676844"/>
    <w:rsid w:val="006768ED"/>
    <w:rsid w:val="00676F7E"/>
    <w:rsid w:val="00677C23"/>
    <w:rsid w:val="00677DE1"/>
    <w:rsid w:val="00677FBA"/>
    <w:rsid w:val="0068075F"/>
    <w:rsid w:val="0068079A"/>
    <w:rsid w:val="00680857"/>
    <w:rsid w:val="0068087F"/>
    <w:rsid w:val="00680D64"/>
    <w:rsid w:val="0068129C"/>
    <w:rsid w:val="00681588"/>
    <w:rsid w:val="006819BE"/>
    <w:rsid w:val="00681D36"/>
    <w:rsid w:val="0068233F"/>
    <w:rsid w:val="0068237A"/>
    <w:rsid w:val="00682480"/>
    <w:rsid w:val="0068248E"/>
    <w:rsid w:val="006827A2"/>
    <w:rsid w:val="00683103"/>
    <w:rsid w:val="006831F2"/>
    <w:rsid w:val="006832B1"/>
    <w:rsid w:val="00683600"/>
    <w:rsid w:val="00683A33"/>
    <w:rsid w:val="006841A7"/>
    <w:rsid w:val="00684388"/>
    <w:rsid w:val="0068465B"/>
    <w:rsid w:val="00684990"/>
    <w:rsid w:val="00684C5E"/>
    <w:rsid w:val="006850CC"/>
    <w:rsid w:val="006854DA"/>
    <w:rsid w:val="00685AD6"/>
    <w:rsid w:val="00685BAD"/>
    <w:rsid w:val="00685CF8"/>
    <w:rsid w:val="00685E1B"/>
    <w:rsid w:val="0068620C"/>
    <w:rsid w:val="006863DB"/>
    <w:rsid w:val="0068673B"/>
    <w:rsid w:val="00686973"/>
    <w:rsid w:val="00686A7B"/>
    <w:rsid w:val="00686AD2"/>
    <w:rsid w:val="0068700D"/>
    <w:rsid w:val="00687094"/>
    <w:rsid w:val="00687440"/>
    <w:rsid w:val="00687616"/>
    <w:rsid w:val="006877DA"/>
    <w:rsid w:val="00687D10"/>
    <w:rsid w:val="006906F9"/>
    <w:rsid w:val="00690971"/>
    <w:rsid w:val="006909BF"/>
    <w:rsid w:val="00690D5A"/>
    <w:rsid w:val="00690E6F"/>
    <w:rsid w:val="0069103A"/>
    <w:rsid w:val="00691054"/>
    <w:rsid w:val="006910C8"/>
    <w:rsid w:val="006911F5"/>
    <w:rsid w:val="00691D47"/>
    <w:rsid w:val="00691E25"/>
    <w:rsid w:val="00691EC0"/>
    <w:rsid w:val="00691F3A"/>
    <w:rsid w:val="00691F9D"/>
    <w:rsid w:val="00691FBE"/>
    <w:rsid w:val="00692340"/>
    <w:rsid w:val="006927C9"/>
    <w:rsid w:val="00692980"/>
    <w:rsid w:val="00692C6E"/>
    <w:rsid w:val="00692E17"/>
    <w:rsid w:val="006940F8"/>
    <w:rsid w:val="00694464"/>
    <w:rsid w:val="00694BA1"/>
    <w:rsid w:val="00694C31"/>
    <w:rsid w:val="00694CDA"/>
    <w:rsid w:val="006956D8"/>
    <w:rsid w:val="00695721"/>
    <w:rsid w:val="0069584D"/>
    <w:rsid w:val="00695A53"/>
    <w:rsid w:val="00695AC0"/>
    <w:rsid w:val="00695BDB"/>
    <w:rsid w:val="00696088"/>
    <w:rsid w:val="006961FA"/>
    <w:rsid w:val="006971A6"/>
    <w:rsid w:val="006975D7"/>
    <w:rsid w:val="006975DA"/>
    <w:rsid w:val="00697C1B"/>
    <w:rsid w:val="006A0595"/>
    <w:rsid w:val="006A08A4"/>
    <w:rsid w:val="006A0C92"/>
    <w:rsid w:val="006A0E13"/>
    <w:rsid w:val="006A146F"/>
    <w:rsid w:val="006A1788"/>
    <w:rsid w:val="006A1F15"/>
    <w:rsid w:val="006A2580"/>
    <w:rsid w:val="006A2801"/>
    <w:rsid w:val="006A288A"/>
    <w:rsid w:val="006A2BF4"/>
    <w:rsid w:val="006A2DDE"/>
    <w:rsid w:val="006A3122"/>
    <w:rsid w:val="006A39A7"/>
    <w:rsid w:val="006A3E95"/>
    <w:rsid w:val="006A3ED3"/>
    <w:rsid w:val="006A41F4"/>
    <w:rsid w:val="006A4BB8"/>
    <w:rsid w:val="006A4F2D"/>
    <w:rsid w:val="006A4F94"/>
    <w:rsid w:val="006A50F0"/>
    <w:rsid w:val="006A57E2"/>
    <w:rsid w:val="006A5EC7"/>
    <w:rsid w:val="006A6046"/>
    <w:rsid w:val="006A6237"/>
    <w:rsid w:val="006A64C0"/>
    <w:rsid w:val="006A758A"/>
    <w:rsid w:val="006A794F"/>
    <w:rsid w:val="006A7A4E"/>
    <w:rsid w:val="006A7C02"/>
    <w:rsid w:val="006A7ECC"/>
    <w:rsid w:val="006A7FC2"/>
    <w:rsid w:val="006B0588"/>
    <w:rsid w:val="006B0CD4"/>
    <w:rsid w:val="006B12AE"/>
    <w:rsid w:val="006B1619"/>
    <w:rsid w:val="006B181C"/>
    <w:rsid w:val="006B1A57"/>
    <w:rsid w:val="006B1AA0"/>
    <w:rsid w:val="006B1EDC"/>
    <w:rsid w:val="006B2016"/>
    <w:rsid w:val="006B23A4"/>
    <w:rsid w:val="006B2897"/>
    <w:rsid w:val="006B3597"/>
    <w:rsid w:val="006B3A45"/>
    <w:rsid w:val="006B3D64"/>
    <w:rsid w:val="006B43B4"/>
    <w:rsid w:val="006B44AE"/>
    <w:rsid w:val="006B4A15"/>
    <w:rsid w:val="006B4D0B"/>
    <w:rsid w:val="006B4EA1"/>
    <w:rsid w:val="006B51E7"/>
    <w:rsid w:val="006B54FB"/>
    <w:rsid w:val="006B5501"/>
    <w:rsid w:val="006B5780"/>
    <w:rsid w:val="006B589C"/>
    <w:rsid w:val="006B5950"/>
    <w:rsid w:val="006B5FC1"/>
    <w:rsid w:val="006B6604"/>
    <w:rsid w:val="006B6816"/>
    <w:rsid w:val="006B69DC"/>
    <w:rsid w:val="006B6B5C"/>
    <w:rsid w:val="006B6E6C"/>
    <w:rsid w:val="006B6E77"/>
    <w:rsid w:val="006B6EDE"/>
    <w:rsid w:val="006B7262"/>
    <w:rsid w:val="006B7692"/>
    <w:rsid w:val="006B786E"/>
    <w:rsid w:val="006B7ADA"/>
    <w:rsid w:val="006B7DE0"/>
    <w:rsid w:val="006C0374"/>
    <w:rsid w:val="006C051F"/>
    <w:rsid w:val="006C06CB"/>
    <w:rsid w:val="006C097F"/>
    <w:rsid w:val="006C0B2B"/>
    <w:rsid w:val="006C0FF7"/>
    <w:rsid w:val="006C12E3"/>
    <w:rsid w:val="006C1595"/>
    <w:rsid w:val="006C1691"/>
    <w:rsid w:val="006C17F6"/>
    <w:rsid w:val="006C19C1"/>
    <w:rsid w:val="006C1E22"/>
    <w:rsid w:val="006C2534"/>
    <w:rsid w:val="006C2C01"/>
    <w:rsid w:val="006C2C36"/>
    <w:rsid w:val="006C2F36"/>
    <w:rsid w:val="006C2F89"/>
    <w:rsid w:val="006C30AF"/>
    <w:rsid w:val="006C30B3"/>
    <w:rsid w:val="006C3140"/>
    <w:rsid w:val="006C3A2A"/>
    <w:rsid w:val="006C3CE4"/>
    <w:rsid w:val="006C3CFE"/>
    <w:rsid w:val="006C3DF1"/>
    <w:rsid w:val="006C42A0"/>
    <w:rsid w:val="006C4CD3"/>
    <w:rsid w:val="006C5889"/>
    <w:rsid w:val="006C6561"/>
    <w:rsid w:val="006C6D78"/>
    <w:rsid w:val="006C7699"/>
    <w:rsid w:val="006C7BF7"/>
    <w:rsid w:val="006D0030"/>
    <w:rsid w:val="006D0069"/>
    <w:rsid w:val="006D05AC"/>
    <w:rsid w:val="006D05DA"/>
    <w:rsid w:val="006D0679"/>
    <w:rsid w:val="006D190F"/>
    <w:rsid w:val="006D1A0D"/>
    <w:rsid w:val="006D1C24"/>
    <w:rsid w:val="006D2425"/>
    <w:rsid w:val="006D2E27"/>
    <w:rsid w:val="006D2EAC"/>
    <w:rsid w:val="006D3093"/>
    <w:rsid w:val="006D3488"/>
    <w:rsid w:val="006D36A0"/>
    <w:rsid w:val="006D3D08"/>
    <w:rsid w:val="006D3F07"/>
    <w:rsid w:val="006D4F19"/>
    <w:rsid w:val="006D5995"/>
    <w:rsid w:val="006D59F5"/>
    <w:rsid w:val="006D5BCC"/>
    <w:rsid w:val="006D5FD8"/>
    <w:rsid w:val="006D664C"/>
    <w:rsid w:val="006D674E"/>
    <w:rsid w:val="006D6A8E"/>
    <w:rsid w:val="006D6B8F"/>
    <w:rsid w:val="006D7BAF"/>
    <w:rsid w:val="006D7EDB"/>
    <w:rsid w:val="006E0081"/>
    <w:rsid w:val="006E03DF"/>
    <w:rsid w:val="006E04FB"/>
    <w:rsid w:val="006E0794"/>
    <w:rsid w:val="006E0ABD"/>
    <w:rsid w:val="006E109B"/>
    <w:rsid w:val="006E1181"/>
    <w:rsid w:val="006E1E30"/>
    <w:rsid w:val="006E280C"/>
    <w:rsid w:val="006E2822"/>
    <w:rsid w:val="006E2A1B"/>
    <w:rsid w:val="006E2EEC"/>
    <w:rsid w:val="006E31A9"/>
    <w:rsid w:val="006E33C7"/>
    <w:rsid w:val="006E3619"/>
    <w:rsid w:val="006E3811"/>
    <w:rsid w:val="006E457A"/>
    <w:rsid w:val="006E4696"/>
    <w:rsid w:val="006E46E5"/>
    <w:rsid w:val="006E485C"/>
    <w:rsid w:val="006E5BE9"/>
    <w:rsid w:val="006E6033"/>
    <w:rsid w:val="006E61C5"/>
    <w:rsid w:val="006E634F"/>
    <w:rsid w:val="006E6388"/>
    <w:rsid w:val="006E675E"/>
    <w:rsid w:val="006E6ABB"/>
    <w:rsid w:val="006E7624"/>
    <w:rsid w:val="006E7784"/>
    <w:rsid w:val="006E783A"/>
    <w:rsid w:val="006E7889"/>
    <w:rsid w:val="006E79E2"/>
    <w:rsid w:val="006E7B8C"/>
    <w:rsid w:val="006E7FED"/>
    <w:rsid w:val="006F01E2"/>
    <w:rsid w:val="006F01FC"/>
    <w:rsid w:val="006F0664"/>
    <w:rsid w:val="006F068E"/>
    <w:rsid w:val="006F0859"/>
    <w:rsid w:val="006F1969"/>
    <w:rsid w:val="006F1EEA"/>
    <w:rsid w:val="006F24BD"/>
    <w:rsid w:val="006F288C"/>
    <w:rsid w:val="006F3AD2"/>
    <w:rsid w:val="006F4083"/>
    <w:rsid w:val="006F40F6"/>
    <w:rsid w:val="006F418D"/>
    <w:rsid w:val="006F4861"/>
    <w:rsid w:val="006F491D"/>
    <w:rsid w:val="006F4961"/>
    <w:rsid w:val="006F4F5B"/>
    <w:rsid w:val="006F525F"/>
    <w:rsid w:val="006F564F"/>
    <w:rsid w:val="006F5BAD"/>
    <w:rsid w:val="006F6205"/>
    <w:rsid w:val="006F63E3"/>
    <w:rsid w:val="006F6422"/>
    <w:rsid w:val="006F6451"/>
    <w:rsid w:val="006F66E0"/>
    <w:rsid w:val="006F6E24"/>
    <w:rsid w:val="006F7054"/>
    <w:rsid w:val="006F77C6"/>
    <w:rsid w:val="006F7803"/>
    <w:rsid w:val="006F7887"/>
    <w:rsid w:val="006F79A0"/>
    <w:rsid w:val="006F7B3C"/>
    <w:rsid w:val="006F7F12"/>
    <w:rsid w:val="00700052"/>
    <w:rsid w:val="0070072B"/>
    <w:rsid w:val="00700871"/>
    <w:rsid w:val="00701273"/>
    <w:rsid w:val="0070186F"/>
    <w:rsid w:val="007028AD"/>
    <w:rsid w:val="00702F0A"/>
    <w:rsid w:val="0070315F"/>
    <w:rsid w:val="007036D7"/>
    <w:rsid w:val="0070382F"/>
    <w:rsid w:val="00703966"/>
    <w:rsid w:val="00704A62"/>
    <w:rsid w:val="00704C64"/>
    <w:rsid w:val="0070529B"/>
    <w:rsid w:val="00705376"/>
    <w:rsid w:val="00705ACC"/>
    <w:rsid w:val="00705B37"/>
    <w:rsid w:val="00707067"/>
    <w:rsid w:val="0070739C"/>
    <w:rsid w:val="007074EC"/>
    <w:rsid w:val="0070769E"/>
    <w:rsid w:val="007079A9"/>
    <w:rsid w:val="007079F0"/>
    <w:rsid w:val="00707C51"/>
    <w:rsid w:val="00707FB1"/>
    <w:rsid w:val="007104E1"/>
    <w:rsid w:val="007104E9"/>
    <w:rsid w:val="00710B20"/>
    <w:rsid w:val="00710F75"/>
    <w:rsid w:val="007116E4"/>
    <w:rsid w:val="00711856"/>
    <w:rsid w:val="00711A1D"/>
    <w:rsid w:val="00711B4E"/>
    <w:rsid w:val="0071217B"/>
    <w:rsid w:val="007121B0"/>
    <w:rsid w:val="0071248B"/>
    <w:rsid w:val="0071259A"/>
    <w:rsid w:val="0071264B"/>
    <w:rsid w:val="00712B9D"/>
    <w:rsid w:val="007132C0"/>
    <w:rsid w:val="007134C4"/>
    <w:rsid w:val="00713856"/>
    <w:rsid w:val="00713AC9"/>
    <w:rsid w:val="00713B3A"/>
    <w:rsid w:val="00713D89"/>
    <w:rsid w:val="00714334"/>
    <w:rsid w:val="0071474C"/>
    <w:rsid w:val="00714931"/>
    <w:rsid w:val="00714E53"/>
    <w:rsid w:val="007152E4"/>
    <w:rsid w:val="007153FD"/>
    <w:rsid w:val="00715551"/>
    <w:rsid w:val="00715B43"/>
    <w:rsid w:val="0071623C"/>
    <w:rsid w:val="00716249"/>
    <w:rsid w:val="007173B6"/>
    <w:rsid w:val="0071778C"/>
    <w:rsid w:val="00717A74"/>
    <w:rsid w:val="00717CE5"/>
    <w:rsid w:val="00717D84"/>
    <w:rsid w:val="00720626"/>
    <w:rsid w:val="007207CA"/>
    <w:rsid w:val="00720B37"/>
    <w:rsid w:val="00720D0B"/>
    <w:rsid w:val="0072120E"/>
    <w:rsid w:val="0072129E"/>
    <w:rsid w:val="007219F7"/>
    <w:rsid w:val="00721ADD"/>
    <w:rsid w:val="0072264F"/>
    <w:rsid w:val="007226F4"/>
    <w:rsid w:val="007228AF"/>
    <w:rsid w:val="00722918"/>
    <w:rsid w:val="00722E24"/>
    <w:rsid w:val="007234EB"/>
    <w:rsid w:val="00723551"/>
    <w:rsid w:val="007236BD"/>
    <w:rsid w:val="007237C7"/>
    <w:rsid w:val="0072381E"/>
    <w:rsid w:val="00724E26"/>
    <w:rsid w:val="00725014"/>
    <w:rsid w:val="0072505B"/>
    <w:rsid w:val="00725186"/>
    <w:rsid w:val="00725332"/>
    <w:rsid w:val="007254BC"/>
    <w:rsid w:val="007261AD"/>
    <w:rsid w:val="00726334"/>
    <w:rsid w:val="007263BB"/>
    <w:rsid w:val="00726765"/>
    <w:rsid w:val="00727151"/>
    <w:rsid w:val="007277A4"/>
    <w:rsid w:val="00727F06"/>
    <w:rsid w:val="007314D9"/>
    <w:rsid w:val="007318CA"/>
    <w:rsid w:val="00731984"/>
    <w:rsid w:val="00731C05"/>
    <w:rsid w:val="00731C84"/>
    <w:rsid w:val="00731CD3"/>
    <w:rsid w:val="00731F7F"/>
    <w:rsid w:val="007329EA"/>
    <w:rsid w:val="00732EEB"/>
    <w:rsid w:val="00733211"/>
    <w:rsid w:val="00733AF2"/>
    <w:rsid w:val="00733B2D"/>
    <w:rsid w:val="00733DE6"/>
    <w:rsid w:val="0073419D"/>
    <w:rsid w:val="00734322"/>
    <w:rsid w:val="0073435D"/>
    <w:rsid w:val="0073437D"/>
    <w:rsid w:val="00734779"/>
    <w:rsid w:val="00734B9C"/>
    <w:rsid w:val="00734CC7"/>
    <w:rsid w:val="00734E5B"/>
    <w:rsid w:val="007350E9"/>
    <w:rsid w:val="00735517"/>
    <w:rsid w:val="007355F8"/>
    <w:rsid w:val="007362A1"/>
    <w:rsid w:val="00736BCE"/>
    <w:rsid w:val="007373E8"/>
    <w:rsid w:val="00740DFA"/>
    <w:rsid w:val="007412CA"/>
    <w:rsid w:val="00741449"/>
    <w:rsid w:val="00741851"/>
    <w:rsid w:val="0074195D"/>
    <w:rsid w:val="00741AAD"/>
    <w:rsid w:val="007423B2"/>
    <w:rsid w:val="00742CE9"/>
    <w:rsid w:val="00742D85"/>
    <w:rsid w:val="00744111"/>
    <w:rsid w:val="00744749"/>
    <w:rsid w:val="00745076"/>
    <w:rsid w:val="00745213"/>
    <w:rsid w:val="007454C8"/>
    <w:rsid w:val="00745502"/>
    <w:rsid w:val="00745684"/>
    <w:rsid w:val="00745FB7"/>
    <w:rsid w:val="007461B2"/>
    <w:rsid w:val="007463F6"/>
    <w:rsid w:val="007465C7"/>
    <w:rsid w:val="007469ED"/>
    <w:rsid w:val="00746A59"/>
    <w:rsid w:val="00746D88"/>
    <w:rsid w:val="00746FD0"/>
    <w:rsid w:val="00747149"/>
    <w:rsid w:val="0074765D"/>
    <w:rsid w:val="00747CBF"/>
    <w:rsid w:val="0075044E"/>
    <w:rsid w:val="0075092F"/>
    <w:rsid w:val="00750EBF"/>
    <w:rsid w:val="00751103"/>
    <w:rsid w:val="00751336"/>
    <w:rsid w:val="0075142D"/>
    <w:rsid w:val="007514FA"/>
    <w:rsid w:val="00751BB7"/>
    <w:rsid w:val="00751C63"/>
    <w:rsid w:val="00751DDD"/>
    <w:rsid w:val="00751E3F"/>
    <w:rsid w:val="00751FC1"/>
    <w:rsid w:val="00752099"/>
    <w:rsid w:val="007520CE"/>
    <w:rsid w:val="007521C7"/>
    <w:rsid w:val="0075246E"/>
    <w:rsid w:val="00752497"/>
    <w:rsid w:val="007525C8"/>
    <w:rsid w:val="00752873"/>
    <w:rsid w:val="00753158"/>
    <w:rsid w:val="00754005"/>
    <w:rsid w:val="007542F0"/>
    <w:rsid w:val="00754343"/>
    <w:rsid w:val="007546B3"/>
    <w:rsid w:val="007546F9"/>
    <w:rsid w:val="00754741"/>
    <w:rsid w:val="0075483A"/>
    <w:rsid w:val="00754B0F"/>
    <w:rsid w:val="00755A57"/>
    <w:rsid w:val="00755BE3"/>
    <w:rsid w:val="007564ED"/>
    <w:rsid w:val="00756788"/>
    <w:rsid w:val="00756854"/>
    <w:rsid w:val="00756972"/>
    <w:rsid w:val="00756A7B"/>
    <w:rsid w:val="00756E83"/>
    <w:rsid w:val="00756F4A"/>
    <w:rsid w:val="00756F99"/>
    <w:rsid w:val="00757256"/>
    <w:rsid w:val="00757289"/>
    <w:rsid w:val="00757408"/>
    <w:rsid w:val="0075747F"/>
    <w:rsid w:val="007578AC"/>
    <w:rsid w:val="00757B2F"/>
    <w:rsid w:val="00757C31"/>
    <w:rsid w:val="00760042"/>
    <w:rsid w:val="00760087"/>
    <w:rsid w:val="007617DA"/>
    <w:rsid w:val="00761AC4"/>
    <w:rsid w:val="00762915"/>
    <w:rsid w:val="00762B7F"/>
    <w:rsid w:val="007634AB"/>
    <w:rsid w:val="00763510"/>
    <w:rsid w:val="00763855"/>
    <w:rsid w:val="00764670"/>
    <w:rsid w:val="00764BE8"/>
    <w:rsid w:val="0076510F"/>
    <w:rsid w:val="0076512C"/>
    <w:rsid w:val="007652C0"/>
    <w:rsid w:val="00765949"/>
    <w:rsid w:val="00766EE5"/>
    <w:rsid w:val="007670DF"/>
    <w:rsid w:val="00767189"/>
    <w:rsid w:val="007675E3"/>
    <w:rsid w:val="007679A2"/>
    <w:rsid w:val="00767A4C"/>
    <w:rsid w:val="00767AFA"/>
    <w:rsid w:val="00767FEA"/>
    <w:rsid w:val="0077022E"/>
    <w:rsid w:val="00770546"/>
    <w:rsid w:val="00770642"/>
    <w:rsid w:val="0077089F"/>
    <w:rsid w:val="00770DED"/>
    <w:rsid w:val="00770F43"/>
    <w:rsid w:val="0077188B"/>
    <w:rsid w:val="00772066"/>
    <w:rsid w:val="007723F3"/>
    <w:rsid w:val="00772EE6"/>
    <w:rsid w:val="00772F67"/>
    <w:rsid w:val="00773292"/>
    <w:rsid w:val="0077371B"/>
    <w:rsid w:val="0077440B"/>
    <w:rsid w:val="007744DD"/>
    <w:rsid w:val="007744E9"/>
    <w:rsid w:val="00774C67"/>
    <w:rsid w:val="00774DA8"/>
    <w:rsid w:val="00774E65"/>
    <w:rsid w:val="00774F26"/>
    <w:rsid w:val="0077504F"/>
    <w:rsid w:val="00775336"/>
    <w:rsid w:val="007755E1"/>
    <w:rsid w:val="007755F9"/>
    <w:rsid w:val="00775818"/>
    <w:rsid w:val="00775838"/>
    <w:rsid w:val="00775C10"/>
    <w:rsid w:val="00775DBA"/>
    <w:rsid w:val="0077648E"/>
    <w:rsid w:val="007764EF"/>
    <w:rsid w:val="00776A63"/>
    <w:rsid w:val="00776AE8"/>
    <w:rsid w:val="00777633"/>
    <w:rsid w:val="0077773D"/>
    <w:rsid w:val="00777B90"/>
    <w:rsid w:val="00777F40"/>
    <w:rsid w:val="0078098C"/>
    <w:rsid w:val="00780C0B"/>
    <w:rsid w:val="00780D4A"/>
    <w:rsid w:val="0078145D"/>
    <w:rsid w:val="00781570"/>
    <w:rsid w:val="0078178F"/>
    <w:rsid w:val="00781945"/>
    <w:rsid w:val="00781A25"/>
    <w:rsid w:val="00782058"/>
    <w:rsid w:val="007827B6"/>
    <w:rsid w:val="0078302F"/>
    <w:rsid w:val="007832D7"/>
    <w:rsid w:val="0078365F"/>
    <w:rsid w:val="00784405"/>
    <w:rsid w:val="00784A2B"/>
    <w:rsid w:val="00784A43"/>
    <w:rsid w:val="00784D37"/>
    <w:rsid w:val="00785440"/>
    <w:rsid w:val="00785655"/>
    <w:rsid w:val="0078572C"/>
    <w:rsid w:val="00786728"/>
    <w:rsid w:val="007868FB"/>
    <w:rsid w:val="00786C7B"/>
    <w:rsid w:val="00786D4A"/>
    <w:rsid w:val="00786E78"/>
    <w:rsid w:val="0078743C"/>
    <w:rsid w:val="007874B4"/>
    <w:rsid w:val="00787939"/>
    <w:rsid w:val="00787BFF"/>
    <w:rsid w:val="00787C21"/>
    <w:rsid w:val="0079087E"/>
    <w:rsid w:val="00790880"/>
    <w:rsid w:val="00791163"/>
    <w:rsid w:val="007913D8"/>
    <w:rsid w:val="007917B2"/>
    <w:rsid w:val="00791B7A"/>
    <w:rsid w:val="00791BA7"/>
    <w:rsid w:val="0079207E"/>
    <w:rsid w:val="007920BA"/>
    <w:rsid w:val="0079238A"/>
    <w:rsid w:val="00792A62"/>
    <w:rsid w:val="00792F2B"/>
    <w:rsid w:val="00793431"/>
    <w:rsid w:val="007935C3"/>
    <w:rsid w:val="0079361E"/>
    <w:rsid w:val="00794226"/>
    <w:rsid w:val="00794297"/>
    <w:rsid w:val="007949C2"/>
    <w:rsid w:val="00794A5A"/>
    <w:rsid w:val="00794CBA"/>
    <w:rsid w:val="007959E4"/>
    <w:rsid w:val="007963BC"/>
    <w:rsid w:val="0079640F"/>
    <w:rsid w:val="0079674D"/>
    <w:rsid w:val="00796C30"/>
    <w:rsid w:val="007973EC"/>
    <w:rsid w:val="00797654"/>
    <w:rsid w:val="007A035A"/>
    <w:rsid w:val="007A03DB"/>
    <w:rsid w:val="007A0540"/>
    <w:rsid w:val="007A0929"/>
    <w:rsid w:val="007A0B41"/>
    <w:rsid w:val="007A0EF5"/>
    <w:rsid w:val="007A135D"/>
    <w:rsid w:val="007A2479"/>
    <w:rsid w:val="007A2878"/>
    <w:rsid w:val="007A2C8E"/>
    <w:rsid w:val="007A3131"/>
    <w:rsid w:val="007A31F1"/>
    <w:rsid w:val="007A37E7"/>
    <w:rsid w:val="007A3F16"/>
    <w:rsid w:val="007A446A"/>
    <w:rsid w:val="007A4634"/>
    <w:rsid w:val="007A4F4B"/>
    <w:rsid w:val="007A5D84"/>
    <w:rsid w:val="007A6036"/>
    <w:rsid w:val="007A6764"/>
    <w:rsid w:val="007A68F0"/>
    <w:rsid w:val="007A6CCA"/>
    <w:rsid w:val="007A7DE6"/>
    <w:rsid w:val="007B03C3"/>
    <w:rsid w:val="007B0541"/>
    <w:rsid w:val="007B0A1A"/>
    <w:rsid w:val="007B0A7F"/>
    <w:rsid w:val="007B1035"/>
    <w:rsid w:val="007B10A1"/>
    <w:rsid w:val="007B12CB"/>
    <w:rsid w:val="007B28F2"/>
    <w:rsid w:val="007B31E5"/>
    <w:rsid w:val="007B32E0"/>
    <w:rsid w:val="007B39DD"/>
    <w:rsid w:val="007B3C9F"/>
    <w:rsid w:val="007B3EFB"/>
    <w:rsid w:val="007B4004"/>
    <w:rsid w:val="007B4253"/>
    <w:rsid w:val="007B4455"/>
    <w:rsid w:val="007B4C11"/>
    <w:rsid w:val="007B50EC"/>
    <w:rsid w:val="007B5D27"/>
    <w:rsid w:val="007B6352"/>
    <w:rsid w:val="007B6BAC"/>
    <w:rsid w:val="007B6BC3"/>
    <w:rsid w:val="007B6F8F"/>
    <w:rsid w:val="007B7236"/>
    <w:rsid w:val="007B7A28"/>
    <w:rsid w:val="007C0154"/>
    <w:rsid w:val="007C02FA"/>
    <w:rsid w:val="007C03CC"/>
    <w:rsid w:val="007C0E92"/>
    <w:rsid w:val="007C120C"/>
    <w:rsid w:val="007C152D"/>
    <w:rsid w:val="007C1981"/>
    <w:rsid w:val="007C1C91"/>
    <w:rsid w:val="007C21B8"/>
    <w:rsid w:val="007C21DC"/>
    <w:rsid w:val="007C238F"/>
    <w:rsid w:val="007C250C"/>
    <w:rsid w:val="007C29F3"/>
    <w:rsid w:val="007C2AB5"/>
    <w:rsid w:val="007C2BCA"/>
    <w:rsid w:val="007C2FC1"/>
    <w:rsid w:val="007C31D8"/>
    <w:rsid w:val="007C3217"/>
    <w:rsid w:val="007C3C18"/>
    <w:rsid w:val="007C404D"/>
    <w:rsid w:val="007C4701"/>
    <w:rsid w:val="007C4736"/>
    <w:rsid w:val="007C4A8F"/>
    <w:rsid w:val="007C4D6A"/>
    <w:rsid w:val="007C4EA1"/>
    <w:rsid w:val="007C5014"/>
    <w:rsid w:val="007C590C"/>
    <w:rsid w:val="007C5E09"/>
    <w:rsid w:val="007C63AF"/>
    <w:rsid w:val="007C63F9"/>
    <w:rsid w:val="007C6785"/>
    <w:rsid w:val="007C681C"/>
    <w:rsid w:val="007C6B1D"/>
    <w:rsid w:val="007C6E4D"/>
    <w:rsid w:val="007C7003"/>
    <w:rsid w:val="007C7202"/>
    <w:rsid w:val="007C7411"/>
    <w:rsid w:val="007C757E"/>
    <w:rsid w:val="007C75AE"/>
    <w:rsid w:val="007C7D61"/>
    <w:rsid w:val="007C7F0C"/>
    <w:rsid w:val="007C7F98"/>
    <w:rsid w:val="007D0176"/>
    <w:rsid w:val="007D0EAE"/>
    <w:rsid w:val="007D1A94"/>
    <w:rsid w:val="007D1E7F"/>
    <w:rsid w:val="007D2022"/>
    <w:rsid w:val="007D2365"/>
    <w:rsid w:val="007D2658"/>
    <w:rsid w:val="007D2A8F"/>
    <w:rsid w:val="007D2B73"/>
    <w:rsid w:val="007D303E"/>
    <w:rsid w:val="007D35FD"/>
    <w:rsid w:val="007D3651"/>
    <w:rsid w:val="007D4436"/>
    <w:rsid w:val="007D453E"/>
    <w:rsid w:val="007D4C10"/>
    <w:rsid w:val="007D4D07"/>
    <w:rsid w:val="007D54A5"/>
    <w:rsid w:val="007D56A2"/>
    <w:rsid w:val="007D58A2"/>
    <w:rsid w:val="007D5975"/>
    <w:rsid w:val="007D5A96"/>
    <w:rsid w:val="007D622C"/>
    <w:rsid w:val="007D6765"/>
    <w:rsid w:val="007D6D8A"/>
    <w:rsid w:val="007D76A5"/>
    <w:rsid w:val="007D7A09"/>
    <w:rsid w:val="007D7A8B"/>
    <w:rsid w:val="007E03AB"/>
    <w:rsid w:val="007E082B"/>
    <w:rsid w:val="007E0875"/>
    <w:rsid w:val="007E09E3"/>
    <w:rsid w:val="007E0B80"/>
    <w:rsid w:val="007E0F00"/>
    <w:rsid w:val="007E0F71"/>
    <w:rsid w:val="007E161F"/>
    <w:rsid w:val="007E185E"/>
    <w:rsid w:val="007E1977"/>
    <w:rsid w:val="007E1A6C"/>
    <w:rsid w:val="007E21EA"/>
    <w:rsid w:val="007E260E"/>
    <w:rsid w:val="007E2802"/>
    <w:rsid w:val="007E2DF1"/>
    <w:rsid w:val="007E2FFC"/>
    <w:rsid w:val="007E3093"/>
    <w:rsid w:val="007E43D2"/>
    <w:rsid w:val="007E48D0"/>
    <w:rsid w:val="007E49DD"/>
    <w:rsid w:val="007E51E0"/>
    <w:rsid w:val="007E543B"/>
    <w:rsid w:val="007E5663"/>
    <w:rsid w:val="007E5FFD"/>
    <w:rsid w:val="007E69E1"/>
    <w:rsid w:val="007E78CC"/>
    <w:rsid w:val="007E7D4F"/>
    <w:rsid w:val="007F02FA"/>
    <w:rsid w:val="007F03A7"/>
    <w:rsid w:val="007F0420"/>
    <w:rsid w:val="007F04B9"/>
    <w:rsid w:val="007F05BA"/>
    <w:rsid w:val="007F0D11"/>
    <w:rsid w:val="007F104A"/>
    <w:rsid w:val="007F117A"/>
    <w:rsid w:val="007F1254"/>
    <w:rsid w:val="007F1268"/>
    <w:rsid w:val="007F1F6F"/>
    <w:rsid w:val="007F24D4"/>
    <w:rsid w:val="007F27FE"/>
    <w:rsid w:val="007F28B4"/>
    <w:rsid w:val="007F2B97"/>
    <w:rsid w:val="007F2CDF"/>
    <w:rsid w:val="007F33A5"/>
    <w:rsid w:val="007F3479"/>
    <w:rsid w:val="007F4935"/>
    <w:rsid w:val="007F4D15"/>
    <w:rsid w:val="007F5131"/>
    <w:rsid w:val="007F5BDA"/>
    <w:rsid w:val="007F620E"/>
    <w:rsid w:val="007F68E1"/>
    <w:rsid w:val="007F69CF"/>
    <w:rsid w:val="007F6AC4"/>
    <w:rsid w:val="007F6B9F"/>
    <w:rsid w:val="007F6D1F"/>
    <w:rsid w:val="007F71D7"/>
    <w:rsid w:val="007F71DD"/>
    <w:rsid w:val="007F7224"/>
    <w:rsid w:val="007F72E3"/>
    <w:rsid w:val="007F73D2"/>
    <w:rsid w:val="007F7458"/>
    <w:rsid w:val="007F74DC"/>
    <w:rsid w:val="007F76A6"/>
    <w:rsid w:val="007F77E9"/>
    <w:rsid w:val="007F7993"/>
    <w:rsid w:val="007F79A2"/>
    <w:rsid w:val="00800003"/>
    <w:rsid w:val="00800007"/>
    <w:rsid w:val="00800453"/>
    <w:rsid w:val="0080127D"/>
    <w:rsid w:val="00801938"/>
    <w:rsid w:val="008019CC"/>
    <w:rsid w:val="00802190"/>
    <w:rsid w:val="008021E8"/>
    <w:rsid w:val="0080252A"/>
    <w:rsid w:val="008028CA"/>
    <w:rsid w:val="00802CB8"/>
    <w:rsid w:val="00803259"/>
    <w:rsid w:val="0080325F"/>
    <w:rsid w:val="00803749"/>
    <w:rsid w:val="0080384E"/>
    <w:rsid w:val="00803853"/>
    <w:rsid w:val="00803A1C"/>
    <w:rsid w:val="00803EF5"/>
    <w:rsid w:val="008043F6"/>
    <w:rsid w:val="00804859"/>
    <w:rsid w:val="008048C6"/>
    <w:rsid w:val="00805424"/>
    <w:rsid w:val="00805433"/>
    <w:rsid w:val="008054B3"/>
    <w:rsid w:val="00805505"/>
    <w:rsid w:val="00805618"/>
    <w:rsid w:val="008060EE"/>
    <w:rsid w:val="0080677B"/>
    <w:rsid w:val="0080688A"/>
    <w:rsid w:val="00806ECC"/>
    <w:rsid w:val="008074ED"/>
    <w:rsid w:val="0080763D"/>
    <w:rsid w:val="00807977"/>
    <w:rsid w:val="00807E04"/>
    <w:rsid w:val="00810FDC"/>
    <w:rsid w:val="0081124D"/>
    <w:rsid w:val="00811310"/>
    <w:rsid w:val="00811315"/>
    <w:rsid w:val="00811678"/>
    <w:rsid w:val="00811A3D"/>
    <w:rsid w:val="00811CE2"/>
    <w:rsid w:val="00811D1C"/>
    <w:rsid w:val="0081206C"/>
    <w:rsid w:val="00812865"/>
    <w:rsid w:val="00812931"/>
    <w:rsid w:val="00812C6D"/>
    <w:rsid w:val="0081381C"/>
    <w:rsid w:val="00813958"/>
    <w:rsid w:val="00813DE0"/>
    <w:rsid w:val="00813F2C"/>
    <w:rsid w:val="0081437A"/>
    <w:rsid w:val="008148D7"/>
    <w:rsid w:val="008151E3"/>
    <w:rsid w:val="00815652"/>
    <w:rsid w:val="00815766"/>
    <w:rsid w:val="0081696E"/>
    <w:rsid w:val="00816D7B"/>
    <w:rsid w:val="00816FE5"/>
    <w:rsid w:val="0081789C"/>
    <w:rsid w:val="00817933"/>
    <w:rsid w:val="00817AAB"/>
    <w:rsid w:val="00817B25"/>
    <w:rsid w:val="00820210"/>
    <w:rsid w:val="00820C32"/>
    <w:rsid w:val="00821846"/>
    <w:rsid w:val="008219FC"/>
    <w:rsid w:val="00821B2A"/>
    <w:rsid w:val="008220AE"/>
    <w:rsid w:val="00822749"/>
    <w:rsid w:val="00822DF7"/>
    <w:rsid w:val="0082324E"/>
    <w:rsid w:val="00823ADD"/>
    <w:rsid w:val="00824349"/>
    <w:rsid w:val="008246AC"/>
    <w:rsid w:val="00824B65"/>
    <w:rsid w:val="00824E6C"/>
    <w:rsid w:val="00825792"/>
    <w:rsid w:val="008258EC"/>
    <w:rsid w:val="00825996"/>
    <w:rsid w:val="00825C6D"/>
    <w:rsid w:val="0082623C"/>
    <w:rsid w:val="00826522"/>
    <w:rsid w:val="00826CDE"/>
    <w:rsid w:val="00826DBE"/>
    <w:rsid w:val="00826F36"/>
    <w:rsid w:val="00827273"/>
    <w:rsid w:val="00827807"/>
    <w:rsid w:val="00827C78"/>
    <w:rsid w:val="0083030C"/>
    <w:rsid w:val="00830649"/>
    <w:rsid w:val="0083103B"/>
    <w:rsid w:val="0083145F"/>
    <w:rsid w:val="00831936"/>
    <w:rsid w:val="0083208C"/>
    <w:rsid w:val="008327DB"/>
    <w:rsid w:val="0083293D"/>
    <w:rsid w:val="0083340E"/>
    <w:rsid w:val="00833C87"/>
    <w:rsid w:val="00833CAC"/>
    <w:rsid w:val="00833D86"/>
    <w:rsid w:val="008341F9"/>
    <w:rsid w:val="0083435C"/>
    <w:rsid w:val="0083461C"/>
    <w:rsid w:val="0083465C"/>
    <w:rsid w:val="00834C1D"/>
    <w:rsid w:val="00834D5F"/>
    <w:rsid w:val="00835250"/>
    <w:rsid w:val="008359E2"/>
    <w:rsid w:val="0083609D"/>
    <w:rsid w:val="00836326"/>
    <w:rsid w:val="00836603"/>
    <w:rsid w:val="008371C6"/>
    <w:rsid w:val="00837459"/>
    <w:rsid w:val="00837A93"/>
    <w:rsid w:val="00837BA6"/>
    <w:rsid w:val="00837FB3"/>
    <w:rsid w:val="008402AF"/>
    <w:rsid w:val="0084073E"/>
    <w:rsid w:val="00840D67"/>
    <w:rsid w:val="0084102D"/>
    <w:rsid w:val="008412B1"/>
    <w:rsid w:val="008417D2"/>
    <w:rsid w:val="008418D3"/>
    <w:rsid w:val="00841D2A"/>
    <w:rsid w:val="00841D65"/>
    <w:rsid w:val="008423C7"/>
    <w:rsid w:val="0084295A"/>
    <w:rsid w:val="00842A84"/>
    <w:rsid w:val="0084309C"/>
    <w:rsid w:val="008433D1"/>
    <w:rsid w:val="0084368B"/>
    <w:rsid w:val="00843ADA"/>
    <w:rsid w:val="00843D10"/>
    <w:rsid w:val="00843F88"/>
    <w:rsid w:val="00844282"/>
    <w:rsid w:val="0084446D"/>
    <w:rsid w:val="00844AAA"/>
    <w:rsid w:val="00844C09"/>
    <w:rsid w:val="00844E4C"/>
    <w:rsid w:val="00845776"/>
    <w:rsid w:val="0084590F"/>
    <w:rsid w:val="008459D4"/>
    <w:rsid w:val="008460CA"/>
    <w:rsid w:val="008463D9"/>
    <w:rsid w:val="00846402"/>
    <w:rsid w:val="008465D0"/>
    <w:rsid w:val="008466E9"/>
    <w:rsid w:val="00846F9B"/>
    <w:rsid w:val="00847454"/>
    <w:rsid w:val="008478C9"/>
    <w:rsid w:val="00847B6D"/>
    <w:rsid w:val="00847E6B"/>
    <w:rsid w:val="0085000C"/>
    <w:rsid w:val="00850258"/>
    <w:rsid w:val="0085056B"/>
    <w:rsid w:val="00850651"/>
    <w:rsid w:val="00850F6F"/>
    <w:rsid w:val="008514EE"/>
    <w:rsid w:val="00851C48"/>
    <w:rsid w:val="00851D04"/>
    <w:rsid w:val="00852244"/>
    <w:rsid w:val="008526BB"/>
    <w:rsid w:val="00852FDD"/>
    <w:rsid w:val="008530F5"/>
    <w:rsid w:val="00853975"/>
    <w:rsid w:val="00853E64"/>
    <w:rsid w:val="008540D6"/>
    <w:rsid w:val="008540E1"/>
    <w:rsid w:val="00854E16"/>
    <w:rsid w:val="008550B5"/>
    <w:rsid w:val="00855510"/>
    <w:rsid w:val="0085608E"/>
    <w:rsid w:val="0085650A"/>
    <w:rsid w:val="00856664"/>
    <w:rsid w:val="008567EA"/>
    <w:rsid w:val="00856BA0"/>
    <w:rsid w:val="00856C02"/>
    <w:rsid w:val="00856D9C"/>
    <w:rsid w:val="00856E8A"/>
    <w:rsid w:val="008573EC"/>
    <w:rsid w:val="0085772C"/>
    <w:rsid w:val="0086010B"/>
    <w:rsid w:val="008604CC"/>
    <w:rsid w:val="00860A3E"/>
    <w:rsid w:val="008610EA"/>
    <w:rsid w:val="00861167"/>
    <w:rsid w:val="00861677"/>
    <w:rsid w:val="00861FEB"/>
    <w:rsid w:val="008624F6"/>
    <w:rsid w:val="008625EC"/>
    <w:rsid w:val="00862A13"/>
    <w:rsid w:val="00862C43"/>
    <w:rsid w:val="00863026"/>
    <w:rsid w:val="0086322A"/>
    <w:rsid w:val="00863332"/>
    <w:rsid w:val="00864324"/>
    <w:rsid w:val="00864394"/>
    <w:rsid w:val="00864487"/>
    <w:rsid w:val="008649C9"/>
    <w:rsid w:val="008652A2"/>
    <w:rsid w:val="008652DF"/>
    <w:rsid w:val="0086586F"/>
    <w:rsid w:val="008658E0"/>
    <w:rsid w:val="00865EE5"/>
    <w:rsid w:val="00866627"/>
    <w:rsid w:val="00866819"/>
    <w:rsid w:val="00866838"/>
    <w:rsid w:val="00866972"/>
    <w:rsid w:val="00866A55"/>
    <w:rsid w:val="00866E23"/>
    <w:rsid w:val="008677A1"/>
    <w:rsid w:val="008678C8"/>
    <w:rsid w:val="0087059F"/>
    <w:rsid w:val="00870861"/>
    <w:rsid w:val="0087253E"/>
    <w:rsid w:val="008727F1"/>
    <w:rsid w:val="00872931"/>
    <w:rsid w:val="00872E73"/>
    <w:rsid w:val="0087352D"/>
    <w:rsid w:val="00873BD8"/>
    <w:rsid w:val="00873CC7"/>
    <w:rsid w:val="00874112"/>
    <w:rsid w:val="008744A5"/>
    <w:rsid w:val="00874DA4"/>
    <w:rsid w:val="00875206"/>
    <w:rsid w:val="0087580E"/>
    <w:rsid w:val="00875E48"/>
    <w:rsid w:val="0087612B"/>
    <w:rsid w:val="00876252"/>
    <w:rsid w:val="008764CA"/>
    <w:rsid w:val="0087695B"/>
    <w:rsid w:val="008773C0"/>
    <w:rsid w:val="008775E7"/>
    <w:rsid w:val="00877B1C"/>
    <w:rsid w:val="00877B9F"/>
    <w:rsid w:val="00877C98"/>
    <w:rsid w:val="0088002F"/>
    <w:rsid w:val="00880AB5"/>
    <w:rsid w:val="00880F34"/>
    <w:rsid w:val="00880F98"/>
    <w:rsid w:val="00881BB8"/>
    <w:rsid w:val="00881EB2"/>
    <w:rsid w:val="008824F3"/>
    <w:rsid w:val="0088257A"/>
    <w:rsid w:val="00882992"/>
    <w:rsid w:val="00882B77"/>
    <w:rsid w:val="00882C94"/>
    <w:rsid w:val="00883103"/>
    <w:rsid w:val="00883512"/>
    <w:rsid w:val="0088434A"/>
    <w:rsid w:val="0088496E"/>
    <w:rsid w:val="00884AA6"/>
    <w:rsid w:val="00885069"/>
    <w:rsid w:val="008853C1"/>
    <w:rsid w:val="008854F8"/>
    <w:rsid w:val="00885926"/>
    <w:rsid w:val="008864ED"/>
    <w:rsid w:val="008869D6"/>
    <w:rsid w:val="00886A75"/>
    <w:rsid w:val="00886E7B"/>
    <w:rsid w:val="00887260"/>
    <w:rsid w:val="00887A44"/>
    <w:rsid w:val="00887B87"/>
    <w:rsid w:val="00887CC1"/>
    <w:rsid w:val="00887EC6"/>
    <w:rsid w:val="00887FA2"/>
    <w:rsid w:val="008902B1"/>
    <w:rsid w:val="0089059E"/>
    <w:rsid w:val="00891668"/>
    <w:rsid w:val="00891A47"/>
    <w:rsid w:val="00892130"/>
    <w:rsid w:val="00892403"/>
    <w:rsid w:val="008927DD"/>
    <w:rsid w:val="008935C7"/>
    <w:rsid w:val="008935DF"/>
    <w:rsid w:val="00893BAF"/>
    <w:rsid w:val="00893E74"/>
    <w:rsid w:val="00895005"/>
    <w:rsid w:val="008955F7"/>
    <w:rsid w:val="00895933"/>
    <w:rsid w:val="00895C11"/>
    <w:rsid w:val="00895C9C"/>
    <w:rsid w:val="00895D4B"/>
    <w:rsid w:val="00895D66"/>
    <w:rsid w:val="00895F6F"/>
    <w:rsid w:val="0089630E"/>
    <w:rsid w:val="00896655"/>
    <w:rsid w:val="0089683F"/>
    <w:rsid w:val="00896878"/>
    <w:rsid w:val="0089694D"/>
    <w:rsid w:val="008972F9"/>
    <w:rsid w:val="00897856"/>
    <w:rsid w:val="00897EA4"/>
    <w:rsid w:val="00897F59"/>
    <w:rsid w:val="008A09C2"/>
    <w:rsid w:val="008A0B9D"/>
    <w:rsid w:val="008A10A9"/>
    <w:rsid w:val="008A11E4"/>
    <w:rsid w:val="008A11F2"/>
    <w:rsid w:val="008A1BAF"/>
    <w:rsid w:val="008A1C03"/>
    <w:rsid w:val="008A1C64"/>
    <w:rsid w:val="008A1F15"/>
    <w:rsid w:val="008A2155"/>
    <w:rsid w:val="008A2261"/>
    <w:rsid w:val="008A3749"/>
    <w:rsid w:val="008A3E54"/>
    <w:rsid w:val="008A4023"/>
    <w:rsid w:val="008A476B"/>
    <w:rsid w:val="008A47E0"/>
    <w:rsid w:val="008A487C"/>
    <w:rsid w:val="008A50C7"/>
    <w:rsid w:val="008A544C"/>
    <w:rsid w:val="008A5657"/>
    <w:rsid w:val="008A5736"/>
    <w:rsid w:val="008A587B"/>
    <w:rsid w:val="008A5BA3"/>
    <w:rsid w:val="008A6702"/>
    <w:rsid w:val="008A683D"/>
    <w:rsid w:val="008A6945"/>
    <w:rsid w:val="008A6B6F"/>
    <w:rsid w:val="008A6C17"/>
    <w:rsid w:val="008A6CA9"/>
    <w:rsid w:val="008A6D1F"/>
    <w:rsid w:val="008A7076"/>
    <w:rsid w:val="008A7CE8"/>
    <w:rsid w:val="008B0141"/>
    <w:rsid w:val="008B0886"/>
    <w:rsid w:val="008B0FF2"/>
    <w:rsid w:val="008B151F"/>
    <w:rsid w:val="008B15FD"/>
    <w:rsid w:val="008B182E"/>
    <w:rsid w:val="008B1852"/>
    <w:rsid w:val="008B23BA"/>
    <w:rsid w:val="008B2B1A"/>
    <w:rsid w:val="008B38B7"/>
    <w:rsid w:val="008B3EEB"/>
    <w:rsid w:val="008B4228"/>
    <w:rsid w:val="008B450C"/>
    <w:rsid w:val="008B50D3"/>
    <w:rsid w:val="008B58D2"/>
    <w:rsid w:val="008B699A"/>
    <w:rsid w:val="008B6A37"/>
    <w:rsid w:val="008B767C"/>
    <w:rsid w:val="008B78AA"/>
    <w:rsid w:val="008B7EDF"/>
    <w:rsid w:val="008C0347"/>
    <w:rsid w:val="008C126B"/>
    <w:rsid w:val="008C1BC2"/>
    <w:rsid w:val="008C1CD4"/>
    <w:rsid w:val="008C1D42"/>
    <w:rsid w:val="008C1F95"/>
    <w:rsid w:val="008C2233"/>
    <w:rsid w:val="008C257E"/>
    <w:rsid w:val="008C25E2"/>
    <w:rsid w:val="008C2601"/>
    <w:rsid w:val="008C2E8D"/>
    <w:rsid w:val="008C3096"/>
    <w:rsid w:val="008C39A0"/>
    <w:rsid w:val="008C5F61"/>
    <w:rsid w:val="008C6185"/>
    <w:rsid w:val="008C61C5"/>
    <w:rsid w:val="008C6CAA"/>
    <w:rsid w:val="008C6CAC"/>
    <w:rsid w:val="008C6EF2"/>
    <w:rsid w:val="008C71E6"/>
    <w:rsid w:val="008C7333"/>
    <w:rsid w:val="008C75E4"/>
    <w:rsid w:val="008C7778"/>
    <w:rsid w:val="008C7850"/>
    <w:rsid w:val="008D001B"/>
    <w:rsid w:val="008D03AA"/>
    <w:rsid w:val="008D04C4"/>
    <w:rsid w:val="008D086C"/>
    <w:rsid w:val="008D0A61"/>
    <w:rsid w:val="008D11AB"/>
    <w:rsid w:val="008D1454"/>
    <w:rsid w:val="008D1532"/>
    <w:rsid w:val="008D18B0"/>
    <w:rsid w:val="008D208C"/>
    <w:rsid w:val="008D22BF"/>
    <w:rsid w:val="008D2B04"/>
    <w:rsid w:val="008D331C"/>
    <w:rsid w:val="008D3D4A"/>
    <w:rsid w:val="008D3FB5"/>
    <w:rsid w:val="008D416C"/>
    <w:rsid w:val="008D424C"/>
    <w:rsid w:val="008D493C"/>
    <w:rsid w:val="008D4D17"/>
    <w:rsid w:val="008D5229"/>
    <w:rsid w:val="008D5420"/>
    <w:rsid w:val="008D59CD"/>
    <w:rsid w:val="008D61F8"/>
    <w:rsid w:val="008D62DA"/>
    <w:rsid w:val="008D63A8"/>
    <w:rsid w:val="008D642E"/>
    <w:rsid w:val="008D714A"/>
    <w:rsid w:val="008D71A4"/>
    <w:rsid w:val="008D74A5"/>
    <w:rsid w:val="008D78DA"/>
    <w:rsid w:val="008D7A8B"/>
    <w:rsid w:val="008D7C8A"/>
    <w:rsid w:val="008D7EF3"/>
    <w:rsid w:val="008E0217"/>
    <w:rsid w:val="008E051E"/>
    <w:rsid w:val="008E0A20"/>
    <w:rsid w:val="008E0C92"/>
    <w:rsid w:val="008E0DBE"/>
    <w:rsid w:val="008E0DCB"/>
    <w:rsid w:val="008E125D"/>
    <w:rsid w:val="008E193F"/>
    <w:rsid w:val="008E1A66"/>
    <w:rsid w:val="008E1D17"/>
    <w:rsid w:val="008E1DAB"/>
    <w:rsid w:val="008E22E9"/>
    <w:rsid w:val="008E255C"/>
    <w:rsid w:val="008E2960"/>
    <w:rsid w:val="008E2BE1"/>
    <w:rsid w:val="008E3012"/>
    <w:rsid w:val="008E3093"/>
    <w:rsid w:val="008E32EC"/>
    <w:rsid w:val="008E375A"/>
    <w:rsid w:val="008E3CA0"/>
    <w:rsid w:val="008E3D28"/>
    <w:rsid w:val="008E3ECF"/>
    <w:rsid w:val="008E433F"/>
    <w:rsid w:val="008E4F95"/>
    <w:rsid w:val="008E5110"/>
    <w:rsid w:val="008E5684"/>
    <w:rsid w:val="008E5C2A"/>
    <w:rsid w:val="008E6057"/>
    <w:rsid w:val="008E6100"/>
    <w:rsid w:val="008E6224"/>
    <w:rsid w:val="008E673F"/>
    <w:rsid w:val="008E6CD2"/>
    <w:rsid w:val="008E6D0D"/>
    <w:rsid w:val="008E6DAD"/>
    <w:rsid w:val="008E7013"/>
    <w:rsid w:val="008E76FC"/>
    <w:rsid w:val="008E7E24"/>
    <w:rsid w:val="008F01AB"/>
    <w:rsid w:val="008F0436"/>
    <w:rsid w:val="008F06E2"/>
    <w:rsid w:val="008F0C31"/>
    <w:rsid w:val="008F0D88"/>
    <w:rsid w:val="008F18B1"/>
    <w:rsid w:val="008F1BC5"/>
    <w:rsid w:val="008F24ED"/>
    <w:rsid w:val="008F2D63"/>
    <w:rsid w:val="008F2F43"/>
    <w:rsid w:val="008F3852"/>
    <w:rsid w:val="008F3A69"/>
    <w:rsid w:val="008F3F04"/>
    <w:rsid w:val="008F46D1"/>
    <w:rsid w:val="008F4A3A"/>
    <w:rsid w:val="008F52E1"/>
    <w:rsid w:val="008F553F"/>
    <w:rsid w:val="008F5761"/>
    <w:rsid w:val="008F57DD"/>
    <w:rsid w:val="008F6096"/>
    <w:rsid w:val="008F65B1"/>
    <w:rsid w:val="008F666B"/>
    <w:rsid w:val="008F6BA6"/>
    <w:rsid w:val="008F77B2"/>
    <w:rsid w:val="008F7A58"/>
    <w:rsid w:val="008F7C1E"/>
    <w:rsid w:val="008F7DD1"/>
    <w:rsid w:val="0090049A"/>
    <w:rsid w:val="009008F5"/>
    <w:rsid w:val="00900A9D"/>
    <w:rsid w:val="00900D51"/>
    <w:rsid w:val="00900E12"/>
    <w:rsid w:val="00901032"/>
    <w:rsid w:val="00901697"/>
    <w:rsid w:val="0090191D"/>
    <w:rsid w:val="00901F57"/>
    <w:rsid w:val="0090201C"/>
    <w:rsid w:val="0090202F"/>
    <w:rsid w:val="009020C6"/>
    <w:rsid w:val="00902602"/>
    <w:rsid w:val="00902F66"/>
    <w:rsid w:val="00903884"/>
    <w:rsid w:val="009038A8"/>
    <w:rsid w:val="00903D0D"/>
    <w:rsid w:val="00903F62"/>
    <w:rsid w:val="009042E3"/>
    <w:rsid w:val="009045D6"/>
    <w:rsid w:val="009049AE"/>
    <w:rsid w:val="00904A8E"/>
    <w:rsid w:val="00904CD2"/>
    <w:rsid w:val="00904FA4"/>
    <w:rsid w:val="009053AA"/>
    <w:rsid w:val="00905B00"/>
    <w:rsid w:val="00905EF1"/>
    <w:rsid w:val="00905F34"/>
    <w:rsid w:val="00906A64"/>
    <w:rsid w:val="00906D27"/>
    <w:rsid w:val="009070DA"/>
    <w:rsid w:val="00907C88"/>
    <w:rsid w:val="00907E3C"/>
    <w:rsid w:val="00910183"/>
    <w:rsid w:val="00910297"/>
    <w:rsid w:val="0091055C"/>
    <w:rsid w:val="009110F2"/>
    <w:rsid w:val="00911179"/>
    <w:rsid w:val="00911357"/>
    <w:rsid w:val="00911371"/>
    <w:rsid w:val="0091137F"/>
    <w:rsid w:val="0091171F"/>
    <w:rsid w:val="00911EA2"/>
    <w:rsid w:val="00912785"/>
    <w:rsid w:val="00912A27"/>
    <w:rsid w:val="00912AB8"/>
    <w:rsid w:val="00912C63"/>
    <w:rsid w:val="0091323E"/>
    <w:rsid w:val="00913794"/>
    <w:rsid w:val="00913C86"/>
    <w:rsid w:val="00913D6E"/>
    <w:rsid w:val="00913D75"/>
    <w:rsid w:val="0091428B"/>
    <w:rsid w:val="0091430B"/>
    <w:rsid w:val="00914419"/>
    <w:rsid w:val="00914492"/>
    <w:rsid w:val="00914630"/>
    <w:rsid w:val="00914BCF"/>
    <w:rsid w:val="009155FA"/>
    <w:rsid w:val="00915C60"/>
    <w:rsid w:val="00915D5C"/>
    <w:rsid w:val="00915F89"/>
    <w:rsid w:val="0091730C"/>
    <w:rsid w:val="0091751F"/>
    <w:rsid w:val="009177ED"/>
    <w:rsid w:val="0092042B"/>
    <w:rsid w:val="00920E4C"/>
    <w:rsid w:val="009212C0"/>
    <w:rsid w:val="009219F6"/>
    <w:rsid w:val="00921B94"/>
    <w:rsid w:val="00921D26"/>
    <w:rsid w:val="00922A58"/>
    <w:rsid w:val="00922B87"/>
    <w:rsid w:val="009233F1"/>
    <w:rsid w:val="0092360E"/>
    <w:rsid w:val="00923801"/>
    <w:rsid w:val="00923818"/>
    <w:rsid w:val="00923D02"/>
    <w:rsid w:val="009246AC"/>
    <w:rsid w:val="00924A1B"/>
    <w:rsid w:val="00924DFB"/>
    <w:rsid w:val="00924FDC"/>
    <w:rsid w:val="00925714"/>
    <w:rsid w:val="00925C67"/>
    <w:rsid w:val="0092633A"/>
    <w:rsid w:val="00926A08"/>
    <w:rsid w:val="00926A76"/>
    <w:rsid w:val="00926AE2"/>
    <w:rsid w:val="00926C64"/>
    <w:rsid w:val="009270BD"/>
    <w:rsid w:val="00927B3C"/>
    <w:rsid w:val="009307DA"/>
    <w:rsid w:val="00930BAC"/>
    <w:rsid w:val="00930D76"/>
    <w:rsid w:val="009311A0"/>
    <w:rsid w:val="00931227"/>
    <w:rsid w:val="00931264"/>
    <w:rsid w:val="009313CA"/>
    <w:rsid w:val="0093168E"/>
    <w:rsid w:val="00931D16"/>
    <w:rsid w:val="00931DF0"/>
    <w:rsid w:val="00932116"/>
    <w:rsid w:val="0093218C"/>
    <w:rsid w:val="00932343"/>
    <w:rsid w:val="00932692"/>
    <w:rsid w:val="0093275F"/>
    <w:rsid w:val="0093298D"/>
    <w:rsid w:val="00932A98"/>
    <w:rsid w:val="00932B0B"/>
    <w:rsid w:val="00932DAF"/>
    <w:rsid w:val="00933030"/>
    <w:rsid w:val="009332C2"/>
    <w:rsid w:val="00933485"/>
    <w:rsid w:val="00933649"/>
    <w:rsid w:val="0093385C"/>
    <w:rsid w:val="0093392A"/>
    <w:rsid w:val="00934D76"/>
    <w:rsid w:val="00935010"/>
    <w:rsid w:val="009359E0"/>
    <w:rsid w:val="00935A4A"/>
    <w:rsid w:val="00935A72"/>
    <w:rsid w:val="00935C57"/>
    <w:rsid w:val="00935F95"/>
    <w:rsid w:val="009361A4"/>
    <w:rsid w:val="009361AC"/>
    <w:rsid w:val="00936580"/>
    <w:rsid w:val="009365EC"/>
    <w:rsid w:val="00936C8E"/>
    <w:rsid w:val="00936FFE"/>
    <w:rsid w:val="009372EA"/>
    <w:rsid w:val="009375B2"/>
    <w:rsid w:val="00937641"/>
    <w:rsid w:val="00937D3F"/>
    <w:rsid w:val="00937DB2"/>
    <w:rsid w:val="00940475"/>
    <w:rsid w:val="009407A0"/>
    <w:rsid w:val="00941130"/>
    <w:rsid w:val="00941161"/>
    <w:rsid w:val="0094134E"/>
    <w:rsid w:val="00941DE2"/>
    <w:rsid w:val="00942514"/>
    <w:rsid w:val="009425B5"/>
    <w:rsid w:val="009429F9"/>
    <w:rsid w:val="00943285"/>
    <w:rsid w:val="00943B80"/>
    <w:rsid w:val="00943BD7"/>
    <w:rsid w:val="009441C5"/>
    <w:rsid w:val="00944248"/>
    <w:rsid w:val="009442BD"/>
    <w:rsid w:val="00945349"/>
    <w:rsid w:val="00945D05"/>
    <w:rsid w:val="00945E96"/>
    <w:rsid w:val="0094644E"/>
    <w:rsid w:val="0094709B"/>
    <w:rsid w:val="0094724A"/>
    <w:rsid w:val="00947343"/>
    <w:rsid w:val="00947995"/>
    <w:rsid w:val="00947B5E"/>
    <w:rsid w:val="00947DAA"/>
    <w:rsid w:val="00947EB0"/>
    <w:rsid w:val="00950181"/>
    <w:rsid w:val="00950757"/>
    <w:rsid w:val="0095080B"/>
    <w:rsid w:val="00950965"/>
    <w:rsid w:val="00950EF0"/>
    <w:rsid w:val="00951154"/>
    <w:rsid w:val="009515F5"/>
    <w:rsid w:val="00951735"/>
    <w:rsid w:val="009517BD"/>
    <w:rsid w:val="009521B7"/>
    <w:rsid w:val="009526A1"/>
    <w:rsid w:val="0095290C"/>
    <w:rsid w:val="00952A00"/>
    <w:rsid w:val="00952BF3"/>
    <w:rsid w:val="00952C44"/>
    <w:rsid w:val="009534B5"/>
    <w:rsid w:val="00953925"/>
    <w:rsid w:val="00953FCC"/>
    <w:rsid w:val="0095424B"/>
    <w:rsid w:val="00954739"/>
    <w:rsid w:val="009548CE"/>
    <w:rsid w:val="00954963"/>
    <w:rsid w:val="00954D32"/>
    <w:rsid w:val="00955975"/>
    <w:rsid w:val="00955BCF"/>
    <w:rsid w:val="00955F73"/>
    <w:rsid w:val="00956326"/>
    <w:rsid w:val="009568BD"/>
    <w:rsid w:val="00956DCD"/>
    <w:rsid w:val="00956ED6"/>
    <w:rsid w:val="00957085"/>
    <w:rsid w:val="00957192"/>
    <w:rsid w:val="009576F0"/>
    <w:rsid w:val="00957761"/>
    <w:rsid w:val="00957899"/>
    <w:rsid w:val="00957A71"/>
    <w:rsid w:val="00957ABC"/>
    <w:rsid w:val="00957D34"/>
    <w:rsid w:val="00957D62"/>
    <w:rsid w:val="009601D8"/>
    <w:rsid w:val="00960E3A"/>
    <w:rsid w:val="009615CD"/>
    <w:rsid w:val="00961A41"/>
    <w:rsid w:val="00961B98"/>
    <w:rsid w:val="00961E79"/>
    <w:rsid w:val="00961FA7"/>
    <w:rsid w:val="009620E7"/>
    <w:rsid w:val="00962194"/>
    <w:rsid w:val="0096272C"/>
    <w:rsid w:val="009627E6"/>
    <w:rsid w:val="00962DC4"/>
    <w:rsid w:val="00962F7C"/>
    <w:rsid w:val="0096393B"/>
    <w:rsid w:val="009655E2"/>
    <w:rsid w:val="009656CF"/>
    <w:rsid w:val="009659E0"/>
    <w:rsid w:val="00966555"/>
    <w:rsid w:val="00966830"/>
    <w:rsid w:val="00967192"/>
    <w:rsid w:val="00967223"/>
    <w:rsid w:val="0096725E"/>
    <w:rsid w:val="00967301"/>
    <w:rsid w:val="009678CB"/>
    <w:rsid w:val="00967A74"/>
    <w:rsid w:val="00967DA2"/>
    <w:rsid w:val="00970154"/>
    <w:rsid w:val="009701FC"/>
    <w:rsid w:val="00970BEB"/>
    <w:rsid w:val="00970C4A"/>
    <w:rsid w:val="00970DE4"/>
    <w:rsid w:val="00971404"/>
    <w:rsid w:val="00971B9E"/>
    <w:rsid w:val="0097272F"/>
    <w:rsid w:val="009727BF"/>
    <w:rsid w:val="00972D5F"/>
    <w:rsid w:val="00972ED1"/>
    <w:rsid w:val="00973592"/>
    <w:rsid w:val="0097397D"/>
    <w:rsid w:val="00973FA6"/>
    <w:rsid w:val="009748B1"/>
    <w:rsid w:val="00974BD1"/>
    <w:rsid w:val="00974FC6"/>
    <w:rsid w:val="009755DB"/>
    <w:rsid w:val="00975857"/>
    <w:rsid w:val="009758E2"/>
    <w:rsid w:val="00975A54"/>
    <w:rsid w:val="00975DB6"/>
    <w:rsid w:val="00975DD6"/>
    <w:rsid w:val="00976044"/>
    <w:rsid w:val="0097616F"/>
    <w:rsid w:val="009761C8"/>
    <w:rsid w:val="00976D4B"/>
    <w:rsid w:val="00977EF4"/>
    <w:rsid w:val="009807E0"/>
    <w:rsid w:val="00980BAC"/>
    <w:rsid w:val="00980BAD"/>
    <w:rsid w:val="00980F61"/>
    <w:rsid w:val="009813A2"/>
    <w:rsid w:val="009816C5"/>
    <w:rsid w:val="00981A87"/>
    <w:rsid w:val="009823BA"/>
    <w:rsid w:val="009827EA"/>
    <w:rsid w:val="00982909"/>
    <w:rsid w:val="00982FB1"/>
    <w:rsid w:val="00983167"/>
    <w:rsid w:val="00983471"/>
    <w:rsid w:val="009838B9"/>
    <w:rsid w:val="00983B17"/>
    <w:rsid w:val="00983E0D"/>
    <w:rsid w:val="00984414"/>
    <w:rsid w:val="009844F7"/>
    <w:rsid w:val="00985084"/>
    <w:rsid w:val="009851FE"/>
    <w:rsid w:val="009855C8"/>
    <w:rsid w:val="00985DED"/>
    <w:rsid w:val="00986235"/>
    <w:rsid w:val="00986301"/>
    <w:rsid w:val="00986490"/>
    <w:rsid w:val="00986762"/>
    <w:rsid w:val="00986856"/>
    <w:rsid w:val="00986F01"/>
    <w:rsid w:val="009877A7"/>
    <w:rsid w:val="009905F3"/>
    <w:rsid w:val="0099107C"/>
    <w:rsid w:val="009916A8"/>
    <w:rsid w:val="00991A06"/>
    <w:rsid w:val="00992185"/>
    <w:rsid w:val="009925E5"/>
    <w:rsid w:val="009931CD"/>
    <w:rsid w:val="00993684"/>
    <w:rsid w:val="0099373A"/>
    <w:rsid w:val="00993B52"/>
    <w:rsid w:val="009940D8"/>
    <w:rsid w:val="009940F9"/>
    <w:rsid w:val="0099440C"/>
    <w:rsid w:val="009947E7"/>
    <w:rsid w:val="00994A10"/>
    <w:rsid w:val="00994A91"/>
    <w:rsid w:val="0099536B"/>
    <w:rsid w:val="009954FF"/>
    <w:rsid w:val="00995603"/>
    <w:rsid w:val="0099577C"/>
    <w:rsid w:val="00995B35"/>
    <w:rsid w:val="00996235"/>
    <w:rsid w:val="0099633D"/>
    <w:rsid w:val="00996383"/>
    <w:rsid w:val="0099654A"/>
    <w:rsid w:val="0099685D"/>
    <w:rsid w:val="00996D69"/>
    <w:rsid w:val="00997254"/>
    <w:rsid w:val="009972E5"/>
    <w:rsid w:val="00997579"/>
    <w:rsid w:val="00997631"/>
    <w:rsid w:val="009A044C"/>
    <w:rsid w:val="009A0479"/>
    <w:rsid w:val="009A069C"/>
    <w:rsid w:val="009A0C59"/>
    <w:rsid w:val="009A0D46"/>
    <w:rsid w:val="009A0F4C"/>
    <w:rsid w:val="009A130F"/>
    <w:rsid w:val="009A1D92"/>
    <w:rsid w:val="009A21A4"/>
    <w:rsid w:val="009A2801"/>
    <w:rsid w:val="009A3450"/>
    <w:rsid w:val="009A34D9"/>
    <w:rsid w:val="009A356C"/>
    <w:rsid w:val="009A35AE"/>
    <w:rsid w:val="009A49E6"/>
    <w:rsid w:val="009A4FEF"/>
    <w:rsid w:val="009A54E1"/>
    <w:rsid w:val="009A5915"/>
    <w:rsid w:val="009A5BAB"/>
    <w:rsid w:val="009A60B8"/>
    <w:rsid w:val="009A7040"/>
    <w:rsid w:val="009A7074"/>
    <w:rsid w:val="009A7371"/>
    <w:rsid w:val="009A7A68"/>
    <w:rsid w:val="009A7AA6"/>
    <w:rsid w:val="009B016E"/>
    <w:rsid w:val="009B01B0"/>
    <w:rsid w:val="009B0435"/>
    <w:rsid w:val="009B06BB"/>
    <w:rsid w:val="009B073D"/>
    <w:rsid w:val="009B0CEF"/>
    <w:rsid w:val="009B1201"/>
    <w:rsid w:val="009B1351"/>
    <w:rsid w:val="009B1422"/>
    <w:rsid w:val="009B1874"/>
    <w:rsid w:val="009B1E55"/>
    <w:rsid w:val="009B21CE"/>
    <w:rsid w:val="009B2A65"/>
    <w:rsid w:val="009B2B18"/>
    <w:rsid w:val="009B2E33"/>
    <w:rsid w:val="009B37AB"/>
    <w:rsid w:val="009B3A18"/>
    <w:rsid w:val="009B3BAE"/>
    <w:rsid w:val="009B3C64"/>
    <w:rsid w:val="009B3F48"/>
    <w:rsid w:val="009B46DA"/>
    <w:rsid w:val="009B4861"/>
    <w:rsid w:val="009B4AE3"/>
    <w:rsid w:val="009B52DF"/>
    <w:rsid w:val="009B53B9"/>
    <w:rsid w:val="009B53E3"/>
    <w:rsid w:val="009B55F9"/>
    <w:rsid w:val="009B5759"/>
    <w:rsid w:val="009B5810"/>
    <w:rsid w:val="009B5898"/>
    <w:rsid w:val="009B58ED"/>
    <w:rsid w:val="009B5AF9"/>
    <w:rsid w:val="009B5F5A"/>
    <w:rsid w:val="009B638A"/>
    <w:rsid w:val="009B643E"/>
    <w:rsid w:val="009B6692"/>
    <w:rsid w:val="009B75D2"/>
    <w:rsid w:val="009B762E"/>
    <w:rsid w:val="009B7889"/>
    <w:rsid w:val="009C03A4"/>
    <w:rsid w:val="009C04FF"/>
    <w:rsid w:val="009C07B5"/>
    <w:rsid w:val="009C0882"/>
    <w:rsid w:val="009C0D26"/>
    <w:rsid w:val="009C138B"/>
    <w:rsid w:val="009C1DA1"/>
    <w:rsid w:val="009C31D9"/>
    <w:rsid w:val="009C34B4"/>
    <w:rsid w:val="009C37CE"/>
    <w:rsid w:val="009C4C05"/>
    <w:rsid w:val="009C5559"/>
    <w:rsid w:val="009C5869"/>
    <w:rsid w:val="009C59D1"/>
    <w:rsid w:val="009C5C3A"/>
    <w:rsid w:val="009C6338"/>
    <w:rsid w:val="009C71AB"/>
    <w:rsid w:val="009C71E2"/>
    <w:rsid w:val="009C781D"/>
    <w:rsid w:val="009C793F"/>
    <w:rsid w:val="009C7996"/>
    <w:rsid w:val="009C7B91"/>
    <w:rsid w:val="009C7CC9"/>
    <w:rsid w:val="009C7D88"/>
    <w:rsid w:val="009D0330"/>
    <w:rsid w:val="009D04B2"/>
    <w:rsid w:val="009D05FA"/>
    <w:rsid w:val="009D0976"/>
    <w:rsid w:val="009D0BC9"/>
    <w:rsid w:val="009D0E4A"/>
    <w:rsid w:val="009D1067"/>
    <w:rsid w:val="009D10A9"/>
    <w:rsid w:val="009D12D4"/>
    <w:rsid w:val="009D14A8"/>
    <w:rsid w:val="009D1DDA"/>
    <w:rsid w:val="009D2717"/>
    <w:rsid w:val="009D2F4E"/>
    <w:rsid w:val="009D2FF7"/>
    <w:rsid w:val="009D3110"/>
    <w:rsid w:val="009D339E"/>
    <w:rsid w:val="009D33BC"/>
    <w:rsid w:val="009D33C4"/>
    <w:rsid w:val="009D33C6"/>
    <w:rsid w:val="009D3836"/>
    <w:rsid w:val="009D3CD5"/>
    <w:rsid w:val="009D4CC3"/>
    <w:rsid w:val="009D548A"/>
    <w:rsid w:val="009D552D"/>
    <w:rsid w:val="009D5547"/>
    <w:rsid w:val="009D5600"/>
    <w:rsid w:val="009D5640"/>
    <w:rsid w:val="009D5D6A"/>
    <w:rsid w:val="009D637A"/>
    <w:rsid w:val="009D64AA"/>
    <w:rsid w:val="009D6815"/>
    <w:rsid w:val="009D690C"/>
    <w:rsid w:val="009D6BF9"/>
    <w:rsid w:val="009D7294"/>
    <w:rsid w:val="009D72EF"/>
    <w:rsid w:val="009D760F"/>
    <w:rsid w:val="009D7611"/>
    <w:rsid w:val="009D7A48"/>
    <w:rsid w:val="009D7AE0"/>
    <w:rsid w:val="009D7B46"/>
    <w:rsid w:val="009D7E15"/>
    <w:rsid w:val="009D7F8B"/>
    <w:rsid w:val="009E09C6"/>
    <w:rsid w:val="009E0A0F"/>
    <w:rsid w:val="009E0F62"/>
    <w:rsid w:val="009E1455"/>
    <w:rsid w:val="009E19C9"/>
    <w:rsid w:val="009E1B14"/>
    <w:rsid w:val="009E282F"/>
    <w:rsid w:val="009E2EA3"/>
    <w:rsid w:val="009E339D"/>
    <w:rsid w:val="009E379B"/>
    <w:rsid w:val="009E3822"/>
    <w:rsid w:val="009E42D9"/>
    <w:rsid w:val="009E471C"/>
    <w:rsid w:val="009E48DB"/>
    <w:rsid w:val="009E4BDC"/>
    <w:rsid w:val="009E518A"/>
    <w:rsid w:val="009E5289"/>
    <w:rsid w:val="009E55FC"/>
    <w:rsid w:val="009E594E"/>
    <w:rsid w:val="009E59A5"/>
    <w:rsid w:val="009E5D98"/>
    <w:rsid w:val="009E6750"/>
    <w:rsid w:val="009E6964"/>
    <w:rsid w:val="009E6AD4"/>
    <w:rsid w:val="009E70EF"/>
    <w:rsid w:val="009E7500"/>
    <w:rsid w:val="009E7CA7"/>
    <w:rsid w:val="009E7E57"/>
    <w:rsid w:val="009E7F25"/>
    <w:rsid w:val="009F00E5"/>
    <w:rsid w:val="009F0275"/>
    <w:rsid w:val="009F0585"/>
    <w:rsid w:val="009F09CB"/>
    <w:rsid w:val="009F09FF"/>
    <w:rsid w:val="009F0A4B"/>
    <w:rsid w:val="009F0A6C"/>
    <w:rsid w:val="009F0C6D"/>
    <w:rsid w:val="009F0E70"/>
    <w:rsid w:val="009F16F0"/>
    <w:rsid w:val="009F1AB5"/>
    <w:rsid w:val="009F1C5F"/>
    <w:rsid w:val="009F2142"/>
    <w:rsid w:val="009F23BE"/>
    <w:rsid w:val="009F2EB6"/>
    <w:rsid w:val="009F35EA"/>
    <w:rsid w:val="009F3AC3"/>
    <w:rsid w:val="009F3F48"/>
    <w:rsid w:val="009F436E"/>
    <w:rsid w:val="009F448B"/>
    <w:rsid w:val="009F4555"/>
    <w:rsid w:val="009F464D"/>
    <w:rsid w:val="009F48C2"/>
    <w:rsid w:val="009F5220"/>
    <w:rsid w:val="009F5511"/>
    <w:rsid w:val="009F56C5"/>
    <w:rsid w:val="009F5905"/>
    <w:rsid w:val="009F5C64"/>
    <w:rsid w:val="009F5E0C"/>
    <w:rsid w:val="009F5F57"/>
    <w:rsid w:val="009F6178"/>
    <w:rsid w:val="009F66C5"/>
    <w:rsid w:val="009F6E14"/>
    <w:rsid w:val="009F7069"/>
    <w:rsid w:val="009F73FD"/>
    <w:rsid w:val="009F7C6F"/>
    <w:rsid w:val="009F7CAC"/>
    <w:rsid w:val="009F7E80"/>
    <w:rsid w:val="00A00CDB"/>
    <w:rsid w:val="00A01095"/>
    <w:rsid w:val="00A018AE"/>
    <w:rsid w:val="00A01D32"/>
    <w:rsid w:val="00A01D7B"/>
    <w:rsid w:val="00A01DA8"/>
    <w:rsid w:val="00A028A0"/>
    <w:rsid w:val="00A028E7"/>
    <w:rsid w:val="00A0296B"/>
    <w:rsid w:val="00A02E0A"/>
    <w:rsid w:val="00A02F03"/>
    <w:rsid w:val="00A03048"/>
    <w:rsid w:val="00A031E8"/>
    <w:rsid w:val="00A03223"/>
    <w:rsid w:val="00A0333B"/>
    <w:rsid w:val="00A03716"/>
    <w:rsid w:val="00A03F0F"/>
    <w:rsid w:val="00A03FA3"/>
    <w:rsid w:val="00A04154"/>
    <w:rsid w:val="00A043E9"/>
    <w:rsid w:val="00A044BC"/>
    <w:rsid w:val="00A0488F"/>
    <w:rsid w:val="00A04AFF"/>
    <w:rsid w:val="00A04C71"/>
    <w:rsid w:val="00A05097"/>
    <w:rsid w:val="00A05362"/>
    <w:rsid w:val="00A06079"/>
    <w:rsid w:val="00A062D1"/>
    <w:rsid w:val="00A06509"/>
    <w:rsid w:val="00A06755"/>
    <w:rsid w:val="00A07335"/>
    <w:rsid w:val="00A10155"/>
    <w:rsid w:val="00A1054B"/>
    <w:rsid w:val="00A1057E"/>
    <w:rsid w:val="00A1093F"/>
    <w:rsid w:val="00A109B4"/>
    <w:rsid w:val="00A10E34"/>
    <w:rsid w:val="00A1129C"/>
    <w:rsid w:val="00A112E5"/>
    <w:rsid w:val="00A11488"/>
    <w:rsid w:val="00A1248E"/>
    <w:rsid w:val="00A12EC1"/>
    <w:rsid w:val="00A13348"/>
    <w:rsid w:val="00A13779"/>
    <w:rsid w:val="00A14451"/>
    <w:rsid w:val="00A14480"/>
    <w:rsid w:val="00A14B38"/>
    <w:rsid w:val="00A14C69"/>
    <w:rsid w:val="00A14E74"/>
    <w:rsid w:val="00A15967"/>
    <w:rsid w:val="00A15AE2"/>
    <w:rsid w:val="00A15C66"/>
    <w:rsid w:val="00A15EBF"/>
    <w:rsid w:val="00A16828"/>
    <w:rsid w:val="00A16A66"/>
    <w:rsid w:val="00A16FAD"/>
    <w:rsid w:val="00A17509"/>
    <w:rsid w:val="00A17C47"/>
    <w:rsid w:val="00A20210"/>
    <w:rsid w:val="00A2034C"/>
    <w:rsid w:val="00A20594"/>
    <w:rsid w:val="00A209EE"/>
    <w:rsid w:val="00A20E2F"/>
    <w:rsid w:val="00A21655"/>
    <w:rsid w:val="00A21E8C"/>
    <w:rsid w:val="00A21F3C"/>
    <w:rsid w:val="00A2221A"/>
    <w:rsid w:val="00A2247F"/>
    <w:rsid w:val="00A224B4"/>
    <w:rsid w:val="00A22890"/>
    <w:rsid w:val="00A229DD"/>
    <w:rsid w:val="00A22BC8"/>
    <w:rsid w:val="00A22EAA"/>
    <w:rsid w:val="00A23807"/>
    <w:rsid w:val="00A23877"/>
    <w:rsid w:val="00A23AAB"/>
    <w:rsid w:val="00A24389"/>
    <w:rsid w:val="00A24719"/>
    <w:rsid w:val="00A248AC"/>
    <w:rsid w:val="00A24BB3"/>
    <w:rsid w:val="00A24CF1"/>
    <w:rsid w:val="00A24E69"/>
    <w:rsid w:val="00A2500F"/>
    <w:rsid w:val="00A25210"/>
    <w:rsid w:val="00A253EB"/>
    <w:rsid w:val="00A25776"/>
    <w:rsid w:val="00A26710"/>
    <w:rsid w:val="00A267A6"/>
    <w:rsid w:val="00A26806"/>
    <w:rsid w:val="00A2697E"/>
    <w:rsid w:val="00A26F3B"/>
    <w:rsid w:val="00A271A2"/>
    <w:rsid w:val="00A273E8"/>
    <w:rsid w:val="00A30184"/>
    <w:rsid w:val="00A30662"/>
    <w:rsid w:val="00A30BAD"/>
    <w:rsid w:val="00A30C34"/>
    <w:rsid w:val="00A30DA6"/>
    <w:rsid w:val="00A30DA8"/>
    <w:rsid w:val="00A30F31"/>
    <w:rsid w:val="00A31776"/>
    <w:rsid w:val="00A318A8"/>
    <w:rsid w:val="00A320C1"/>
    <w:rsid w:val="00A320D2"/>
    <w:rsid w:val="00A3243C"/>
    <w:rsid w:val="00A327B2"/>
    <w:rsid w:val="00A32B76"/>
    <w:rsid w:val="00A32C41"/>
    <w:rsid w:val="00A3367D"/>
    <w:rsid w:val="00A33E9D"/>
    <w:rsid w:val="00A341C1"/>
    <w:rsid w:val="00A34234"/>
    <w:rsid w:val="00A34689"/>
    <w:rsid w:val="00A351D1"/>
    <w:rsid w:val="00A354C2"/>
    <w:rsid w:val="00A362E9"/>
    <w:rsid w:val="00A36737"/>
    <w:rsid w:val="00A371A8"/>
    <w:rsid w:val="00A372EE"/>
    <w:rsid w:val="00A375A8"/>
    <w:rsid w:val="00A37884"/>
    <w:rsid w:val="00A37C16"/>
    <w:rsid w:val="00A37E98"/>
    <w:rsid w:val="00A37EBE"/>
    <w:rsid w:val="00A37F54"/>
    <w:rsid w:val="00A400BA"/>
    <w:rsid w:val="00A40430"/>
    <w:rsid w:val="00A40637"/>
    <w:rsid w:val="00A4094B"/>
    <w:rsid w:val="00A4200C"/>
    <w:rsid w:val="00A4300D"/>
    <w:rsid w:val="00A43138"/>
    <w:rsid w:val="00A4356B"/>
    <w:rsid w:val="00A45018"/>
    <w:rsid w:val="00A4517B"/>
    <w:rsid w:val="00A453A5"/>
    <w:rsid w:val="00A454C3"/>
    <w:rsid w:val="00A4574C"/>
    <w:rsid w:val="00A46237"/>
    <w:rsid w:val="00A46306"/>
    <w:rsid w:val="00A463A7"/>
    <w:rsid w:val="00A46CE1"/>
    <w:rsid w:val="00A46DD3"/>
    <w:rsid w:val="00A46FF6"/>
    <w:rsid w:val="00A479F4"/>
    <w:rsid w:val="00A47A61"/>
    <w:rsid w:val="00A50287"/>
    <w:rsid w:val="00A50625"/>
    <w:rsid w:val="00A50A1B"/>
    <w:rsid w:val="00A5101A"/>
    <w:rsid w:val="00A51139"/>
    <w:rsid w:val="00A51898"/>
    <w:rsid w:val="00A52113"/>
    <w:rsid w:val="00A529C7"/>
    <w:rsid w:val="00A52C59"/>
    <w:rsid w:val="00A535C4"/>
    <w:rsid w:val="00A53681"/>
    <w:rsid w:val="00A537FA"/>
    <w:rsid w:val="00A54186"/>
    <w:rsid w:val="00A544C8"/>
    <w:rsid w:val="00A548A7"/>
    <w:rsid w:val="00A55140"/>
    <w:rsid w:val="00A551FE"/>
    <w:rsid w:val="00A55276"/>
    <w:rsid w:val="00A5564E"/>
    <w:rsid w:val="00A557D0"/>
    <w:rsid w:val="00A55DDC"/>
    <w:rsid w:val="00A560E6"/>
    <w:rsid w:val="00A56158"/>
    <w:rsid w:val="00A56295"/>
    <w:rsid w:val="00A56AA0"/>
    <w:rsid w:val="00A56C7F"/>
    <w:rsid w:val="00A57138"/>
    <w:rsid w:val="00A571F9"/>
    <w:rsid w:val="00A57515"/>
    <w:rsid w:val="00A57C6F"/>
    <w:rsid w:val="00A6008C"/>
    <w:rsid w:val="00A60ADA"/>
    <w:rsid w:val="00A60E1F"/>
    <w:rsid w:val="00A61065"/>
    <w:rsid w:val="00A61580"/>
    <w:rsid w:val="00A617E5"/>
    <w:rsid w:val="00A61DC5"/>
    <w:rsid w:val="00A6251F"/>
    <w:rsid w:val="00A62630"/>
    <w:rsid w:val="00A628CF"/>
    <w:rsid w:val="00A62944"/>
    <w:rsid w:val="00A62C87"/>
    <w:rsid w:val="00A63249"/>
    <w:rsid w:val="00A634A7"/>
    <w:rsid w:val="00A636C7"/>
    <w:rsid w:val="00A639EA"/>
    <w:rsid w:val="00A63B43"/>
    <w:rsid w:val="00A63C6F"/>
    <w:rsid w:val="00A64281"/>
    <w:rsid w:val="00A646B6"/>
    <w:rsid w:val="00A6472A"/>
    <w:rsid w:val="00A648C5"/>
    <w:rsid w:val="00A64DB1"/>
    <w:rsid w:val="00A651A9"/>
    <w:rsid w:val="00A65307"/>
    <w:rsid w:val="00A65456"/>
    <w:rsid w:val="00A6569C"/>
    <w:rsid w:val="00A66199"/>
    <w:rsid w:val="00A66333"/>
    <w:rsid w:val="00A66A5F"/>
    <w:rsid w:val="00A66D3D"/>
    <w:rsid w:val="00A66EE7"/>
    <w:rsid w:val="00A671BB"/>
    <w:rsid w:val="00A6778F"/>
    <w:rsid w:val="00A67834"/>
    <w:rsid w:val="00A67B8A"/>
    <w:rsid w:val="00A67D7A"/>
    <w:rsid w:val="00A67F9A"/>
    <w:rsid w:val="00A70184"/>
    <w:rsid w:val="00A70731"/>
    <w:rsid w:val="00A70822"/>
    <w:rsid w:val="00A7084E"/>
    <w:rsid w:val="00A70966"/>
    <w:rsid w:val="00A70A7F"/>
    <w:rsid w:val="00A70C1B"/>
    <w:rsid w:val="00A70F86"/>
    <w:rsid w:val="00A71444"/>
    <w:rsid w:val="00A717F1"/>
    <w:rsid w:val="00A71804"/>
    <w:rsid w:val="00A71E6B"/>
    <w:rsid w:val="00A72038"/>
    <w:rsid w:val="00A72599"/>
    <w:rsid w:val="00A72838"/>
    <w:rsid w:val="00A72986"/>
    <w:rsid w:val="00A72E85"/>
    <w:rsid w:val="00A73866"/>
    <w:rsid w:val="00A74699"/>
    <w:rsid w:val="00A74834"/>
    <w:rsid w:val="00A751D3"/>
    <w:rsid w:val="00A754F4"/>
    <w:rsid w:val="00A754FB"/>
    <w:rsid w:val="00A75C4D"/>
    <w:rsid w:val="00A76075"/>
    <w:rsid w:val="00A76088"/>
    <w:rsid w:val="00A762BF"/>
    <w:rsid w:val="00A76524"/>
    <w:rsid w:val="00A76557"/>
    <w:rsid w:val="00A766C9"/>
    <w:rsid w:val="00A76A25"/>
    <w:rsid w:val="00A772C3"/>
    <w:rsid w:val="00A7793D"/>
    <w:rsid w:val="00A77BC0"/>
    <w:rsid w:val="00A77FCA"/>
    <w:rsid w:val="00A81220"/>
    <w:rsid w:val="00A81641"/>
    <w:rsid w:val="00A81EB4"/>
    <w:rsid w:val="00A81F46"/>
    <w:rsid w:val="00A82164"/>
    <w:rsid w:val="00A823AB"/>
    <w:rsid w:val="00A8243E"/>
    <w:rsid w:val="00A82650"/>
    <w:rsid w:val="00A83155"/>
    <w:rsid w:val="00A839A5"/>
    <w:rsid w:val="00A83CEE"/>
    <w:rsid w:val="00A84003"/>
    <w:rsid w:val="00A84601"/>
    <w:rsid w:val="00A8462B"/>
    <w:rsid w:val="00A84672"/>
    <w:rsid w:val="00A84A31"/>
    <w:rsid w:val="00A84F63"/>
    <w:rsid w:val="00A85129"/>
    <w:rsid w:val="00A8548E"/>
    <w:rsid w:val="00A85AD6"/>
    <w:rsid w:val="00A863C8"/>
    <w:rsid w:val="00A8686C"/>
    <w:rsid w:val="00A86BB4"/>
    <w:rsid w:val="00A86E1E"/>
    <w:rsid w:val="00A86E56"/>
    <w:rsid w:val="00A873D6"/>
    <w:rsid w:val="00A87C92"/>
    <w:rsid w:val="00A87ECE"/>
    <w:rsid w:val="00A900DE"/>
    <w:rsid w:val="00A914B9"/>
    <w:rsid w:val="00A91C59"/>
    <w:rsid w:val="00A920F4"/>
    <w:rsid w:val="00A921B3"/>
    <w:rsid w:val="00A93296"/>
    <w:rsid w:val="00A93AB3"/>
    <w:rsid w:val="00A93B4E"/>
    <w:rsid w:val="00A93DD6"/>
    <w:rsid w:val="00A93ECF"/>
    <w:rsid w:val="00A9438D"/>
    <w:rsid w:val="00A94555"/>
    <w:rsid w:val="00A9488F"/>
    <w:rsid w:val="00A95158"/>
    <w:rsid w:val="00A95420"/>
    <w:rsid w:val="00A9567A"/>
    <w:rsid w:val="00A958B5"/>
    <w:rsid w:val="00A95974"/>
    <w:rsid w:val="00A96153"/>
    <w:rsid w:val="00A9622A"/>
    <w:rsid w:val="00A963A1"/>
    <w:rsid w:val="00A963D4"/>
    <w:rsid w:val="00A96479"/>
    <w:rsid w:val="00A967C6"/>
    <w:rsid w:val="00A969D9"/>
    <w:rsid w:val="00A96CB6"/>
    <w:rsid w:val="00A9740E"/>
    <w:rsid w:val="00A97610"/>
    <w:rsid w:val="00A97D72"/>
    <w:rsid w:val="00AA025C"/>
    <w:rsid w:val="00AA0A64"/>
    <w:rsid w:val="00AA0C04"/>
    <w:rsid w:val="00AA1033"/>
    <w:rsid w:val="00AA1710"/>
    <w:rsid w:val="00AA18C5"/>
    <w:rsid w:val="00AA2157"/>
    <w:rsid w:val="00AA22AF"/>
    <w:rsid w:val="00AA2382"/>
    <w:rsid w:val="00AA23C0"/>
    <w:rsid w:val="00AA250F"/>
    <w:rsid w:val="00AA263C"/>
    <w:rsid w:val="00AA2B62"/>
    <w:rsid w:val="00AA3619"/>
    <w:rsid w:val="00AA37E9"/>
    <w:rsid w:val="00AA3BBC"/>
    <w:rsid w:val="00AA4183"/>
    <w:rsid w:val="00AA4679"/>
    <w:rsid w:val="00AA47C6"/>
    <w:rsid w:val="00AA4AFE"/>
    <w:rsid w:val="00AA4F4E"/>
    <w:rsid w:val="00AA633B"/>
    <w:rsid w:val="00AA6714"/>
    <w:rsid w:val="00AA6E28"/>
    <w:rsid w:val="00AA6F08"/>
    <w:rsid w:val="00AA73F8"/>
    <w:rsid w:val="00AA7A42"/>
    <w:rsid w:val="00AB03CD"/>
    <w:rsid w:val="00AB05F9"/>
    <w:rsid w:val="00AB11E8"/>
    <w:rsid w:val="00AB17C3"/>
    <w:rsid w:val="00AB2605"/>
    <w:rsid w:val="00AB29C8"/>
    <w:rsid w:val="00AB2E9B"/>
    <w:rsid w:val="00AB2F0D"/>
    <w:rsid w:val="00AB313E"/>
    <w:rsid w:val="00AB3642"/>
    <w:rsid w:val="00AB37BC"/>
    <w:rsid w:val="00AB4065"/>
    <w:rsid w:val="00AB43B6"/>
    <w:rsid w:val="00AB458C"/>
    <w:rsid w:val="00AB4F5B"/>
    <w:rsid w:val="00AB593C"/>
    <w:rsid w:val="00AB595A"/>
    <w:rsid w:val="00AB5E65"/>
    <w:rsid w:val="00AB5E94"/>
    <w:rsid w:val="00AB646D"/>
    <w:rsid w:val="00AB655C"/>
    <w:rsid w:val="00AB689D"/>
    <w:rsid w:val="00AB6BF1"/>
    <w:rsid w:val="00AB71FA"/>
    <w:rsid w:val="00AB72E9"/>
    <w:rsid w:val="00AB7CFD"/>
    <w:rsid w:val="00AC021F"/>
    <w:rsid w:val="00AC08ED"/>
    <w:rsid w:val="00AC0A9C"/>
    <w:rsid w:val="00AC0CD2"/>
    <w:rsid w:val="00AC118B"/>
    <w:rsid w:val="00AC1403"/>
    <w:rsid w:val="00AC208A"/>
    <w:rsid w:val="00AC2853"/>
    <w:rsid w:val="00AC28AC"/>
    <w:rsid w:val="00AC2A02"/>
    <w:rsid w:val="00AC2F6D"/>
    <w:rsid w:val="00AC3008"/>
    <w:rsid w:val="00AC37F5"/>
    <w:rsid w:val="00AC3BF1"/>
    <w:rsid w:val="00AC3DA4"/>
    <w:rsid w:val="00AC3F3C"/>
    <w:rsid w:val="00AC3F74"/>
    <w:rsid w:val="00AC40D3"/>
    <w:rsid w:val="00AC452A"/>
    <w:rsid w:val="00AC497C"/>
    <w:rsid w:val="00AC5649"/>
    <w:rsid w:val="00AC5C0D"/>
    <w:rsid w:val="00AC5EBE"/>
    <w:rsid w:val="00AC610F"/>
    <w:rsid w:val="00AC620F"/>
    <w:rsid w:val="00AC666A"/>
    <w:rsid w:val="00AC6885"/>
    <w:rsid w:val="00AC69B2"/>
    <w:rsid w:val="00AC6A5D"/>
    <w:rsid w:val="00AC6C27"/>
    <w:rsid w:val="00AC6D67"/>
    <w:rsid w:val="00AC70D9"/>
    <w:rsid w:val="00AC7A31"/>
    <w:rsid w:val="00AC7CBB"/>
    <w:rsid w:val="00AC7D7D"/>
    <w:rsid w:val="00AC7E16"/>
    <w:rsid w:val="00AC7F5C"/>
    <w:rsid w:val="00AD0338"/>
    <w:rsid w:val="00AD1470"/>
    <w:rsid w:val="00AD150B"/>
    <w:rsid w:val="00AD217E"/>
    <w:rsid w:val="00AD2ABA"/>
    <w:rsid w:val="00AD2BF7"/>
    <w:rsid w:val="00AD2C82"/>
    <w:rsid w:val="00AD32E2"/>
    <w:rsid w:val="00AD36FE"/>
    <w:rsid w:val="00AD3EFD"/>
    <w:rsid w:val="00AD479F"/>
    <w:rsid w:val="00AD4827"/>
    <w:rsid w:val="00AD4947"/>
    <w:rsid w:val="00AD4DE8"/>
    <w:rsid w:val="00AD50B4"/>
    <w:rsid w:val="00AD5122"/>
    <w:rsid w:val="00AD53EF"/>
    <w:rsid w:val="00AD5AF4"/>
    <w:rsid w:val="00AD6130"/>
    <w:rsid w:val="00AD657D"/>
    <w:rsid w:val="00AD6C7F"/>
    <w:rsid w:val="00AD721D"/>
    <w:rsid w:val="00AD7B3F"/>
    <w:rsid w:val="00AD7DE7"/>
    <w:rsid w:val="00AE0B7D"/>
    <w:rsid w:val="00AE1327"/>
    <w:rsid w:val="00AE174F"/>
    <w:rsid w:val="00AE1FC4"/>
    <w:rsid w:val="00AE2221"/>
    <w:rsid w:val="00AE2324"/>
    <w:rsid w:val="00AE295D"/>
    <w:rsid w:val="00AE29D6"/>
    <w:rsid w:val="00AE3332"/>
    <w:rsid w:val="00AE436D"/>
    <w:rsid w:val="00AE44D0"/>
    <w:rsid w:val="00AE4BD6"/>
    <w:rsid w:val="00AE4D00"/>
    <w:rsid w:val="00AE4DF2"/>
    <w:rsid w:val="00AE5CBC"/>
    <w:rsid w:val="00AE693B"/>
    <w:rsid w:val="00AE6F2A"/>
    <w:rsid w:val="00AE751E"/>
    <w:rsid w:val="00AE7AAA"/>
    <w:rsid w:val="00AE7B35"/>
    <w:rsid w:val="00AF045C"/>
    <w:rsid w:val="00AF0787"/>
    <w:rsid w:val="00AF08F5"/>
    <w:rsid w:val="00AF0A3E"/>
    <w:rsid w:val="00AF13B0"/>
    <w:rsid w:val="00AF2BF2"/>
    <w:rsid w:val="00AF35CA"/>
    <w:rsid w:val="00AF5277"/>
    <w:rsid w:val="00AF534A"/>
    <w:rsid w:val="00AF5374"/>
    <w:rsid w:val="00AF597B"/>
    <w:rsid w:val="00AF5E2A"/>
    <w:rsid w:val="00AF6288"/>
    <w:rsid w:val="00AF640F"/>
    <w:rsid w:val="00AF6925"/>
    <w:rsid w:val="00AF6B1B"/>
    <w:rsid w:val="00AF6C96"/>
    <w:rsid w:val="00AF6F69"/>
    <w:rsid w:val="00AF7200"/>
    <w:rsid w:val="00AF7984"/>
    <w:rsid w:val="00B00123"/>
    <w:rsid w:val="00B0122E"/>
    <w:rsid w:val="00B012DF"/>
    <w:rsid w:val="00B0133A"/>
    <w:rsid w:val="00B01DA7"/>
    <w:rsid w:val="00B01F29"/>
    <w:rsid w:val="00B02172"/>
    <w:rsid w:val="00B023C6"/>
    <w:rsid w:val="00B025FB"/>
    <w:rsid w:val="00B02A06"/>
    <w:rsid w:val="00B02B8E"/>
    <w:rsid w:val="00B03138"/>
    <w:rsid w:val="00B0354A"/>
    <w:rsid w:val="00B035F2"/>
    <w:rsid w:val="00B0369B"/>
    <w:rsid w:val="00B0369D"/>
    <w:rsid w:val="00B037A8"/>
    <w:rsid w:val="00B038B7"/>
    <w:rsid w:val="00B03B7D"/>
    <w:rsid w:val="00B03C45"/>
    <w:rsid w:val="00B04112"/>
    <w:rsid w:val="00B04155"/>
    <w:rsid w:val="00B04473"/>
    <w:rsid w:val="00B04752"/>
    <w:rsid w:val="00B0478B"/>
    <w:rsid w:val="00B04838"/>
    <w:rsid w:val="00B0497C"/>
    <w:rsid w:val="00B05110"/>
    <w:rsid w:val="00B05A09"/>
    <w:rsid w:val="00B05DE0"/>
    <w:rsid w:val="00B06022"/>
    <w:rsid w:val="00B0626E"/>
    <w:rsid w:val="00B063B2"/>
    <w:rsid w:val="00B0687F"/>
    <w:rsid w:val="00B068D7"/>
    <w:rsid w:val="00B069DD"/>
    <w:rsid w:val="00B06ABC"/>
    <w:rsid w:val="00B07461"/>
    <w:rsid w:val="00B078AA"/>
    <w:rsid w:val="00B078C2"/>
    <w:rsid w:val="00B07E4B"/>
    <w:rsid w:val="00B101ED"/>
    <w:rsid w:val="00B10201"/>
    <w:rsid w:val="00B108F1"/>
    <w:rsid w:val="00B10F92"/>
    <w:rsid w:val="00B11044"/>
    <w:rsid w:val="00B11593"/>
    <w:rsid w:val="00B12163"/>
    <w:rsid w:val="00B127C5"/>
    <w:rsid w:val="00B12B53"/>
    <w:rsid w:val="00B12C73"/>
    <w:rsid w:val="00B136E3"/>
    <w:rsid w:val="00B13809"/>
    <w:rsid w:val="00B13B93"/>
    <w:rsid w:val="00B14209"/>
    <w:rsid w:val="00B14466"/>
    <w:rsid w:val="00B14883"/>
    <w:rsid w:val="00B14B16"/>
    <w:rsid w:val="00B14D5B"/>
    <w:rsid w:val="00B150A4"/>
    <w:rsid w:val="00B150C0"/>
    <w:rsid w:val="00B15152"/>
    <w:rsid w:val="00B154CD"/>
    <w:rsid w:val="00B157AF"/>
    <w:rsid w:val="00B16279"/>
    <w:rsid w:val="00B16DA0"/>
    <w:rsid w:val="00B17358"/>
    <w:rsid w:val="00B175CB"/>
    <w:rsid w:val="00B17D7E"/>
    <w:rsid w:val="00B20611"/>
    <w:rsid w:val="00B21872"/>
    <w:rsid w:val="00B21A7F"/>
    <w:rsid w:val="00B21CA9"/>
    <w:rsid w:val="00B22088"/>
    <w:rsid w:val="00B223B4"/>
    <w:rsid w:val="00B22B8E"/>
    <w:rsid w:val="00B22D6F"/>
    <w:rsid w:val="00B23420"/>
    <w:rsid w:val="00B23429"/>
    <w:rsid w:val="00B2347B"/>
    <w:rsid w:val="00B236D7"/>
    <w:rsid w:val="00B23F3F"/>
    <w:rsid w:val="00B2408B"/>
    <w:rsid w:val="00B2466A"/>
    <w:rsid w:val="00B246BF"/>
    <w:rsid w:val="00B249BF"/>
    <w:rsid w:val="00B25265"/>
    <w:rsid w:val="00B2536C"/>
    <w:rsid w:val="00B25F71"/>
    <w:rsid w:val="00B25F8B"/>
    <w:rsid w:val="00B260A4"/>
    <w:rsid w:val="00B262A2"/>
    <w:rsid w:val="00B26643"/>
    <w:rsid w:val="00B276EE"/>
    <w:rsid w:val="00B27B59"/>
    <w:rsid w:val="00B27E23"/>
    <w:rsid w:val="00B30632"/>
    <w:rsid w:val="00B311A6"/>
    <w:rsid w:val="00B3192B"/>
    <w:rsid w:val="00B31D41"/>
    <w:rsid w:val="00B3207E"/>
    <w:rsid w:val="00B32B0E"/>
    <w:rsid w:val="00B32B39"/>
    <w:rsid w:val="00B32F05"/>
    <w:rsid w:val="00B33104"/>
    <w:rsid w:val="00B34796"/>
    <w:rsid w:val="00B3526A"/>
    <w:rsid w:val="00B35398"/>
    <w:rsid w:val="00B353B6"/>
    <w:rsid w:val="00B356D2"/>
    <w:rsid w:val="00B35D08"/>
    <w:rsid w:val="00B36027"/>
    <w:rsid w:val="00B369E1"/>
    <w:rsid w:val="00B36C8C"/>
    <w:rsid w:val="00B36EF3"/>
    <w:rsid w:val="00B3705E"/>
    <w:rsid w:val="00B372F6"/>
    <w:rsid w:val="00B3750B"/>
    <w:rsid w:val="00B378E5"/>
    <w:rsid w:val="00B37CBE"/>
    <w:rsid w:val="00B40321"/>
    <w:rsid w:val="00B40660"/>
    <w:rsid w:val="00B40E7A"/>
    <w:rsid w:val="00B41065"/>
    <w:rsid w:val="00B4182C"/>
    <w:rsid w:val="00B41946"/>
    <w:rsid w:val="00B41A34"/>
    <w:rsid w:val="00B41A5D"/>
    <w:rsid w:val="00B41ABF"/>
    <w:rsid w:val="00B424E6"/>
    <w:rsid w:val="00B429B8"/>
    <w:rsid w:val="00B42B43"/>
    <w:rsid w:val="00B42C28"/>
    <w:rsid w:val="00B42CD3"/>
    <w:rsid w:val="00B42CEF"/>
    <w:rsid w:val="00B44A99"/>
    <w:rsid w:val="00B4512C"/>
    <w:rsid w:val="00B453A8"/>
    <w:rsid w:val="00B45429"/>
    <w:rsid w:val="00B45BCF"/>
    <w:rsid w:val="00B4605F"/>
    <w:rsid w:val="00B46060"/>
    <w:rsid w:val="00B464CD"/>
    <w:rsid w:val="00B467CB"/>
    <w:rsid w:val="00B4683D"/>
    <w:rsid w:val="00B46F5B"/>
    <w:rsid w:val="00B470C0"/>
    <w:rsid w:val="00B47136"/>
    <w:rsid w:val="00B47178"/>
    <w:rsid w:val="00B47732"/>
    <w:rsid w:val="00B4788C"/>
    <w:rsid w:val="00B478A0"/>
    <w:rsid w:val="00B500B7"/>
    <w:rsid w:val="00B50356"/>
    <w:rsid w:val="00B5105C"/>
    <w:rsid w:val="00B511EF"/>
    <w:rsid w:val="00B51553"/>
    <w:rsid w:val="00B515FB"/>
    <w:rsid w:val="00B522C1"/>
    <w:rsid w:val="00B53226"/>
    <w:rsid w:val="00B532E7"/>
    <w:rsid w:val="00B538A9"/>
    <w:rsid w:val="00B53A48"/>
    <w:rsid w:val="00B53E16"/>
    <w:rsid w:val="00B540B1"/>
    <w:rsid w:val="00B545A6"/>
    <w:rsid w:val="00B5460F"/>
    <w:rsid w:val="00B5488E"/>
    <w:rsid w:val="00B54990"/>
    <w:rsid w:val="00B54F46"/>
    <w:rsid w:val="00B55CBA"/>
    <w:rsid w:val="00B56150"/>
    <w:rsid w:val="00B562CD"/>
    <w:rsid w:val="00B56642"/>
    <w:rsid w:val="00B5666F"/>
    <w:rsid w:val="00B568C4"/>
    <w:rsid w:val="00B56A3E"/>
    <w:rsid w:val="00B56FF6"/>
    <w:rsid w:val="00B57063"/>
    <w:rsid w:val="00B5728C"/>
    <w:rsid w:val="00B5788C"/>
    <w:rsid w:val="00B5789C"/>
    <w:rsid w:val="00B6035C"/>
    <w:rsid w:val="00B607BA"/>
    <w:rsid w:val="00B60806"/>
    <w:rsid w:val="00B611E1"/>
    <w:rsid w:val="00B616DB"/>
    <w:rsid w:val="00B61C4C"/>
    <w:rsid w:val="00B61F15"/>
    <w:rsid w:val="00B62EA0"/>
    <w:rsid w:val="00B62F5F"/>
    <w:rsid w:val="00B63259"/>
    <w:rsid w:val="00B63C83"/>
    <w:rsid w:val="00B64092"/>
    <w:rsid w:val="00B65816"/>
    <w:rsid w:val="00B658C4"/>
    <w:rsid w:val="00B65ABD"/>
    <w:rsid w:val="00B65D6B"/>
    <w:rsid w:val="00B6694D"/>
    <w:rsid w:val="00B67A87"/>
    <w:rsid w:val="00B7017D"/>
    <w:rsid w:val="00B70198"/>
    <w:rsid w:val="00B7065D"/>
    <w:rsid w:val="00B70899"/>
    <w:rsid w:val="00B70CB6"/>
    <w:rsid w:val="00B71456"/>
    <w:rsid w:val="00B71709"/>
    <w:rsid w:val="00B71906"/>
    <w:rsid w:val="00B719A2"/>
    <w:rsid w:val="00B721C4"/>
    <w:rsid w:val="00B72784"/>
    <w:rsid w:val="00B735C1"/>
    <w:rsid w:val="00B73D75"/>
    <w:rsid w:val="00B73D79"/>
    <w:rsid w:val="00B74066"/>
    <w:rsid w:val="00B747D8"/>
    <w:rsid w:val="00B74AF7"/>
    <w:rsid w:val="00B74D58"/>
    <w:rsid w:val="00B75FF2"/>
    <w:rsid w:val="00B7643A"/>
    <w:rsid w:val="00B76761"/>
    <w:rsid w:val="00B770D1"/>
    <w:rsid w:val="00B7763A"/>
    <w:rsid w:val="00B776DE"/>
    <w:rsid w:val="00B777F3"/>
    <w:rsid w:val="00B803E5"/>
    <w:rsid w:val="00B80AC2"/>
    <w:rsid w:val="00B80DB8"/>
    <w:rsid w:val="00B810F4"/>
    <w:rsid w:val="00B828AD"/>
    <w:rsid w:val="00B82B04"/>
    <w:rsid w:val="00B82E06"/>
    <w:rsid w:val="00B830AE"/>
    <w:rsid w:val="00B8332A"/>
    <w:rsid w:val="00B833E0"/>
    <w:rsid w:val="00B83A50"/>
    <w:rsid w:val="00B847EF"/>
    <w:rsid w:val="00B84A64"/>
    <w:rsid w:val="00B84AE1"/>
    <w:rsid w:val="00B84C38"/>
    <w:rsid w:val="00B84C40"/>
    <w:rsid w:val="00B84E8F"/>
    <w:rsid w:val="00B84EE0"/>
    <w:rsid w:val="00B84EE7"/>
    <w:rsid w:val="00B84FF0"/>
    <w:rsid w:val="00B85431"/>
    <w:rsid w:val="00B855BF"/>
    <w:rsid w:val="00B85681"/>
    <w:rsid w:val="00B859BA"/>
    <w:rsid w:val="00B85BA2"/>
    <w:rsid w:val="00B85BA5"/>
    <w:rsid w:val="00B85D2C"/>
    <w:rsid w:val="00B85EE3"/>
    <w:rsid w:val="00B861A3"/>
    <w:rsid w:val="00B8659A"/>
    <w:rsid w:val="00B8669D"/>
    <w:rsid w:val="00B868E3"/>
    <w:rsid w:val="00B86E12"/>
    <w:rsid w:val="00B86F6C"/>
    <w:rsid w:val="00B872D4"/>
    <w:rsid w:val="00B873FB"/>
    <w:rsid w:val="00B87CD6"/>
    <w:rsid w:val="00B9008A"/>
    <w:rsid w:val="00B90892"/>
    <w:rsid w:val="00B90D6D"/>
    <w:rsid w:val="00B90F17"/>
    <w:rsid w:val="00B91527"/>
    <w:rsid w:val="00B91A24"/>
    <w:rsid w:val="00B91CE1"/>
    <w:rsid w:val="00B92451"/>
    <w:rsid w:val="00B925CB"/>
    <w:rsid w:val="00B926EA"/>
    <w:rsid w:val="00B92B50"/>
    <w:rsid w:val="00B92B83"/>
    <w:rsid w:val="00B93241"/>
    <w:rsid w:val="00B935B7"/>
    <w:rsid w:val="00B935DB"/>
    <w:rsid w:val="00B93C8A"/>
    <w:rsid w:val="00B93DB1"/>
    <w:rsid w:val="00B949DD"/>
    <w:rsid w:val="00B94FE8"/>
    <w:rsid w:val="00B951C2"/>
    <w:rsid w:val="00B95C59"/>
    <w:rsid w:val="00B95E89"/>
    <w:rsid w:val="00B9633C"/>
    <w:rsid w:val="00B96A2C"/>
    <w:rsid w:val="00B97213"/>
    <w:rsid w:val="00B97C0A"/>
    <w:rsid w:val="00B97C36"/>
    <w:rsid w:val="00BA0080"/>
    <w:rsid w:val="00BA0FD7"/>
    <w:rsid w:val="00BA112F"/>
    <w:rsid w:val="00BA13AD"/>
    <w:rsid w:val="00BA1DC3"/>
    <w:rsid w:val="00BA200F"/>
    <w:rsid w:val="00BA2332"/>
    <w:rsid w:val="00BA26EB"/>
    <w:rsid w:val="00BA2DEB"/>
    <w:rsid w:val="00BA3C20"/>
    <w:rsid w:val="00BA3E37"/>
    <w:rsid w:val="00BA3EAD"/>
    <w:rsid w:val="00BA3FAA"/>
    <w:rsid w:val="00BA48D9"/>
    <w:rsid w:val="00BA4FEB"/>
    <w:rsid w:val="00BA5682"/>
    <w:rsid w:val="00BA5806"/>
    <w:rsid w:val="00BA5A43"/>
    <w:rsid w:val="00BA5AF7"/>
    <w:rsid w:val="00BA5BC9"/>
    <w:rsid w:val="00BA5BEB"/>
    <w:rsid w:val="00BA5C8B"/>
    <w:rsid w:val="00BA61E3"/>
    <w:rsid w:val="00BA6BE5"/>
    <w:rsid w:val="00BA6EB5"/>
    <w:rsid w:val="00BA7312"/>
    <w:rsid w:val="00BA75A3"/>
    <w:rsid w:val="00BA78AC"/>
    <w:rsid w:val="00BB026B"/>
    <w:rsid w:val="00BB05F7"/>
    <w:rsid w:val="00BB07C1"/>
    <w:rsid w:val="00BB08FF"/>
    <w:rsid w:val="00BB0E40"/>
    <w:rsid w:val="00BB144A"/>
    <w:rsid w:val="00BB144E"/>
    <w:rsid w:val="00BB1592"/>
    <w:rsid w:val="00BB15EC"/>
    <w:rsid w:val="00BB1AC0"/>
    <w:rsid w:val="00BB1CCB"/>
    <w:rsid w:val="00BB1FDC"/>
    <w:rsid w:val="00BB22A2"/>
    <w:rsid w:val="00BB237E"/>
    <w:rsid w:val="00BB29A8"/>
    <w:rsid w:val="00BB2A99"/>
    <w:rsid w:val="00BB3EEF"/>
    <w:rsid w:val="00BB4153"/>
    <w:rsid w:val="00BB4505"/>
    <w:rsid w:val="00BB4589"/>
    <w:rsid w:val="00BB45C7"/>
    <w:rsid w:val="00BB50B0"/>
    <w:rsid w:val="00BB54D2"/>
    <w:rsid w:val="00BB5948"/>
    <w:rsid w:val="00BB5D31"/>
    <w:rsid w:val="00BB6064"/>
    <w:rsid w:val="00BB6342"/>
    <w:rsid w:val="00BB6668"/>
    <w:rsid w:val="00BB682E"/>
    <w:rsid w:val="00BB6903"/>
    <w:rsid w:val="00BB6EBB"/>
    <w:rsid w:val="00BB719E"/>
    <w:rsid w:val="00BB789E"/>
    <w:rsid w:val="00BB7931"/>
    <w:rsid w:val="00BB7945"/>
    <w:rsid w:val="00BC054F"/>
    <w:rsid w:val="00BC0719"/>
    <w:rsid w:val="00BC07A4"/>
    <w:rsid w:val="00BC0F40"/>
    <w:rsid w:val="00BC12EE"/>
    <w:rsid w:val="00BC17A8"/>
    <w:rsid w:val="00BC20CB"/>
    <w:rsid w:val="00BC2F13"/>
    <w:rsid w:val="00BC3184"/>
    <w:rsid w:val="00BC354E"/>
    <w:rsid w:val="00BC39E3"/>
    <w:rsid w:val="00BC4CBB"/>
    <w:rsid w:val="00BC4E1A"/>
    <w:rsid w:val="00BC58E0"/>
    <w:rsid w:val="00BC5A62"/>
    <w:rsid w:val="00BC5C3E"/>
    <w:rsid w:val="00BC5DD6"/>
    <w:rsid w:val="00BC5F79"/>
    <w:rsid w:val="00BC6170"/>
    <w:rsid w:val="00BC730B"/>
    <w:rsid w:val="00BC75C1"/>
    <w:rsid w:val="00BC7ECC"/>
    <w:rsid w:val="00BD06A4"/>
    <w:rsid w:val="00BD08E4"/>
    <w:rsid w:val="00BD0992"/>
    <w:rsid w:val="00BD0FDF"/>
    <w:rsid w:val="00BD1864"/>
    <w:rsid w:val="00BD1A37"/>
    <w:rsid w:val="00BD1A42"/>
    <w:rsid w:val="00BD1AE6"/>
    <w:rsid w:val="00BD1AEB"/>
    <w:rsid w:val="00BD1C3C"/>
    <w:rsid w:val="00BD2131"/>
    <w:rsid w:val="00BD2230"/>
    <w:rsid w:val="00BD22B1"/>
    <w:rsid w:val="00BD26CA"/>
    <w:rsid w:val="00BD28C4"/>
    <w:rsid w:val="00BD2A1B"/>
    <w:rsid w:val="00BD2BA0"/>
    <w:rsid w:val="00BD2E0A"/>
    <w:rsid w:val="00BD31C4"/>
    <w:rsid w:val="00BD32C3"/>
    <w:rsid w:val="00BD343B"/>
    <w:rsid w:val="00BD34C3"/>
    <w:rsid w:val="00BD35DF"/>
    <w:rsid w:val="00BD3B71"/>
    <w:rsid w:val="00BD3FBA"/>
    <w:rsid w:val="00BD408F"/>
    <w:rsid w:val="00BD4758"/>
    <w:rsid w:val="00BD54E2"/>
    <w:rsid w:val="00BD55E5"/>
    <w:rsid w:val="00BD574A"/>
    <w:rsid w:val="00BD6020"/>
    <w:rsid w:val="00BD6566"/>
    <w:rsid w:val="00BD6775"/>
    <w:rsid w:val="00BD69A7"/>
    <w:rsid w:val="00BD6D53"/>
    <w:rsid w:val="00BD6FBF"/>
    <w:rsid w:val="00BD768F"/>
    <w:rsid w:val="00BD7727"/>
    <w:rsid w:val="00BE0399"/>
    <w:rsid w:val="00BE0E55"/>
    <w:rsid w:val="00BE1063"/>
    <w:rsid w:val="00BE2187"/>
    <w:rsid w:val="00BE21F2"/>
    <w:rsid w:val="00BE2202"/>
    <w:rsid w:val="00BE232E"/>
    <w:rsid w:val="00BE2948"/>
    <w:rsid w:val="00BE3560"/>
    <w:rsid w:val="00BE4A0F"/>
    <w:rsid w:val="00BE4E0D"/>
    <w:rsid w:val="00BE5754"/>
    <w:rsid w:val="00BE58F6"/>
    <w:rsid w:val="00BE5F29"/>
    <w:rsid w:val="00BE66C9"/>
    <w:rsid w:val="00BE66DC"/>
    <w:rsid w:val="00BE68F6"/>
    <w:rsid w:val="00BE69BB"/>
    <w:rsid w:val="00BE6B4F"/>
    <w:rsid w:val="00BE6E4E"/>
    <w:rsid w:val="00BE73DC"/>
    <w:rsid w:val="00BE74CC"/>
    <w:rsid w:val="00BE7AB9"/>
    <w:rsid w:val="00BE7B4A"/>
    <w:rsid w:val="00BE7E1D"/>
    <w:rsid w:val="00BE7FA2"/>
    <w:rsid w:val="00BF0E2F"/>
    <w:rsid w:val="00BF0E49"/>
    <w:rsid w:val="00BF1090"/>
    <w:rsid w:val="00BF1341"/>
    <w:rsid w:val="00BF1A42"/>
    <w:rsid w:val="00BF1AB4"/>
    <w:rsid w:val="00BF2374"/>
    <w:rsid w:val="00BF23C2"/>
    <w:rsid w:val="00BF2753"/>
    <w:rsid w:val="00BF2897"/>
    <w:rsid w:val="00BF2BD5"/>
    <w:rsid w:val="00BF3048"/>
    <w:rsid w:val="00BF325F"/>
    <w:rsid w:val="00BF3C0A"/>
    <w:rsid w:val="00BF3EAA"/>
    <w:rsid w:val="00BF3FC4"/>
    <w:rsid w:val="00BF487A"/>
    <w:rsid w:val="00BF4E4B"/>
    <w:rsid w:val="00BF4F6E"/>
    <w:rsid w:val="00BF50F6"/>
    <w:rsid w:val="00BF56F6"/>
    <w:rsid w:val="00BF5954"/>
    <w:rsid w:val="00BF5C72"/>
    <w:rsid w:val="00BF6969"/>
    <w:rsid w:val="00BF6F74"/>
    <w:rsid w:val="00BF7226"/>
    <w:rsid w:val="00BF7801"/>
    <w:rsid w:val="00BF7E82"/>
    <w:rsid w:val="00C00046"/>
    <w:rsid w:val="00C0087A"/>
    <w:rsid w:val="00C00D6C"/>
    <w:rsid w:val="00C00FE8"/>
    <w:rsid w:val="00C01304"/>
    <w:rsid w:val="00C0174A"/>
    <w:rsid w:val="00C01B2C"/>
    <w:rsid w:val="00C02416"/>
    <w:rsid w:val="00C02579"/>
    <w:rsid w:val="00C02C7D"/>
    <w:rsid w:val="00C02EC0"/>
    <w:rsid w:val="00C03014"/>
    <w:rsid w:val="00C0311E"/>
    <w:rsid w:val="00C03786"/>
    <w:rsid w:val="00C03B07"/>
    <w:rsid w:val="00C03C70"/>
    <w:rsid w:val="00C04BC1"/>
    <w:rsid w:val="00C04BFF"/>
    <w:rsid w:val="00C04FF0"/>
    <w:rsid w:val="00C05391"/>
    <w:rsid w:val="00C05B44"/>
    <w:rsid w:val="00C0623B"/>
    <w:rsid w:val="00C062B7"/>
    <w:rsid w:val="00C069C6"/>
    <w:rsid w:val="00C06C82"/>
    <w:rsid w:val="00C06E8C"/>
    <w:rsid w:val="00C0733B"/>
    <w:rsid w:val="00C07632"/>
    <w:rsid w:val="00C076B1"/>
    <w:rsid w:val="00C07E78"/>
    <w:rsid w:val="00C10033"/>
    <w:rsid w:val="00C10118"/>
    <w:rsid w:val="00C10274"/>
    <w:rsid w:val="00C10633"/>
    <w:rsid w:val="00C106EC"/>
    <w:rsid w:val="00C1074F"/>
    <w:rsid w:val="00C1135F"/>
    <w:rsid w:val="00C114BF"/>
    <w:rsid w:val="00C11839"/>
    <w:rsid w:val="00C118D3"/>
    <w:rsid w:val="00C11F6F"/>
    <w:rsid w:val="00C122D4"/>
    <w:rsid w:val="00C12444"/>
    <w:rsid w:val="00C124F7"/>
    <w:rsid w:val="00C12639"/>
    <w:rsid w:val="00C13084"/>
    <w:rsid w:val="00C134CF"/>
    <w:rsid w:val="00C1358F"/>
    <w:rsid w:val="00C13E81"/>
    <w:rsid w:val="00C13F65"/>
    <w:rsid w:val="00C14058"/>
    <w:rsid w:val="00C1484D"/>
    <w:rsid w:val="00C149E2"/>
    <w:rsid w:val="00C14CF0"/>
    <w:rsid w:val="00C1534A"/>
    <w:rsid w:val="00C158AA"/>
    <w:rsid w:val="00C159DD"/>
    <w:rsid w:val="00C15A6D"/>
    <w:rsid w:val="00C15C2D"/>
    <w:rsid w:val="00C16E46"/>
    <w:rsid w:val="00C16EE3"/>
    <w:rsid w:val="00C179F7"/>
    <w:rsid w:val="00C20415"/>
    <w:rsid w:val="00C20734"/>
    <w:rsid w:val="00C2098B"/>
    <w:rsid w:val="00C211CB"/>
    <w:rsid w:val="00C218DA"/>
    <w:rsid w:val="00C21BA4"/>
    <w:rsid w:val="00C21F35"/>
    <w:rsid w:val="00C221D7"/>
    <w:rsid w:val="00C22763"/>
    <w:rsid w:val="00C22D67"/>
    <w:rsid w:val="00C22E91"/>
    <w:rsid w:val="00C2312F"/>
    <w:rsid w:val="00C2388A"/>
    <w:rsid w:val="00C23C97"/>
    <w:rsid w:val="00C23DB1"/>
    <w:rsid w:val="00C241FC"/>
    <w:rsid w:val="00C24446"/>
    <w:rsid w:val="00C24718"/>
    <w:rsid w:val="00C25004"/>
    <w:rsid w:val="00C25517"/>
    <w:rsid w:val="00C25612"/>
    <w:rsid w:val="00C25B3E"/>
    <w:rsid w:val="00C25B54"/>
    <w:rsid w:val="00C26011"/>
    <w:rsid w:val="00C26330"/>
    <w:rsid w:val="00C263C4"/>
    <w:rsid w:val="00C269B7"/>
    <w:rsid w:val="00C26C9A"/>
    <w:rsid w:val="00C26D53"/>
    <w:rsid w:val="00C26DAC"/>
    <w:rsid w:val="00C27205"/>
    <w:rsid w:val="00C2726B"/>
    <w:rsid w:val="00C27FA3"/>
    <w:rsid w:val="00C3003A"/>
    <w:rsid w:val="00C30408"/>
    <w:rsid w:val="00C31974"/>
    <w:rsid w:val="00C31DB5"/>
    <w:rsid w:val="00C31DF3"/>
    <w:rsid w:val="00C32613"/>
    <w:rsid w:val="00C32807"/>
    <w:rsid w:val="00C3293E"/>
    <w:rsid w:val="00C329E0"/>
    <w:rsid w:val="00C334D4"/>
    <w:rsid w:val="00C3396C"/>
    <w:rsid w:val="00C33A06"/>
    <w:rsid w:val="00C33A61"/>
    <w:rsid w:val="00C33F88"/>
    <w:rsid w:val="00C341E0"/>
    <w:rsid w:val="00C343FD"/>
    <w:rsid w:val="00C34929"/>
    <w:rsid w:val="00C34B72"/>
    <w:rsid w:val="00C34D9C"/>
    <w:rsid w:val="00C34E96"/>
    <w:rsid w:val="00C350F7"/>
    <w:rsid w:val="00C35621"/>
    <w:rsid w:val="00C35F68"/>
    <w:rsid w:val="00C36128"/>
    <w:rsid w:val="00C36788"/>
    <w:rsid w:val="00C368F9"/>
    <w:rsid w:val="00C36E4D"/>
    <w:rsid w:val="00C37500"/>
    <w:rsid w:val="00C37707"/>
    <w:rsid w:val="00C37833"/>
    <w:rsid w:val="00C378A1"/>
    <w:rsid w:val="00C37C07"/>
    <w:rsid w:val="00C4022C"/>
    <w:rsid w:val="00C41C16"/>
    <w:rsid w:val="00C42376"/>
    <w:rsid w:val="00C42539"/>
    <w:rsid w:val="00C427F4"/>
    <w:rsid w:val="00C42C6A"/>
    <w:rsid w:val="00C42F48"/>
    <w:rsid w:val="00C4323A"/>
    <w:rsid w:val="00C43337"/>
    <w:rsid w:val="00C4347A"/>
    <w:rsid w:val="00C436EF"/>
    <w:rsid w:val="00C437F2"/>
    <w:rsid w:val="00C43B12"/>
    <w:rsid w:val="00C44439"/>
    <w:rsid w:val="00C44718"/>
    <w:rsid w:val="00C4480E"/>
    <w:rsid w:val="00C44941"/>
    <w:rsid w:val="00C4494A"/>
    <w:rsid w:val="00C44A8D"/>
    <w:rsid w:val="00C44E0C"/>
    <w:rsid w:val="00C45173"/>
    <w:rsid w:val="00C4549B"/>
    <w:rsid w:val="00C455B5"/>
    <w:rsid w:val="00C46E79"/>
    <w:rsid w:val="00C471E0"/>
    <w:rsid w:val="00C477C8"/>
    <w:rsid w:val="00C479A0"/>
    <w:rsid w:val="00C47AF2"/>
    <w:rsid w:val="00C47CF9"/>
    <w:rsid w:val="00C50588"/>
    <w:rsid w:val="00C5073F"/>
    <w:rsid w:val="00C50F85"/>
    <w:rsid w:val="00C51068"/>
    <w:rsid w:val="00C51198"/>
    <w:rsid w:val="00C512C7"/>
    <w:rsid w:val="00C5138C"/>
    <w:rsid w:val="00C51537"/>
    <w:rsid w:val="00C51572"/>
    <w:rsid w:val="00C516CA"/>
    <w:rsid w:val="00C51C9B"/>
    <w:rsid w:val="00C51DD1"/>
    <w:rsid w:val="00C51F44"/>
    <w:rsid w:val="00C529EB"/>
    <w:rsid w:val="00C52BF6"/>
    <w:rsid w:val="00C52C94"/>
    <w:rsid w:val="00C52C9F"/>
    <w:rsid w:val="00C52E7F"/>
    <w:rsid w:val="00C53241"/>
    <w:rsid w:val="00C533A1"/>
    <w:rsid w:val="00C53747"/>
    <w:rsid w:val="00C539AC"/>
    <w:rsid w:val="00C53F8F"/>
    <w:rsid w:val="00C542F5"/>
    <w:rsid w:val="00C545B0"/>
    <w:rsid w:val="00C5462E"/>
    <w:rsid w:val="00C54940"/>
    <w:rsid w:val="00C552BA"/>
    <w:rsid w:val="00C554B5"/>
    <w:rsid w:val="00C55694"/>
    <w:rsid w:val="00C55C0A"/>
    <w:rsid w:val="00C55C35"/>
    <w:rsid w:val="00C55E26"/>
    <w:rsid w:val="00C560F6"/>
    <w:rsid w:val="00C56196"/>
    <w:rsid w:val="00C56EA8"/>
    <w:rsid w:val="00C57373"/>
    <w:rsid w:val="00C577CC"/>
    <w:rsid w:val="00C57D8A"/>
    <w:rsid w:val="00C57ED7"/>
    <w:rsid w:val="00C60257"/>
    <w:rsid w:val="00C60C39"/>
    <w:rsid w:val="00C61360"/>
    <w:rsid w:val="00C61F0F"/>
    <w:rsid w:val="00C61FD6"/>
    <w:rsid w:val="00C625E3"/>
    <w:rsid w:val="00C62FF8"/>
    <w:rsid w:val="00C63195"/>
    <w:rsid w:val="00C63364"/>
    <w:rsid w:val="00C633D7"/>
    <w:rsid w:val="00C6358A"/>
    <w:rsid w:val="00C63785"/>
    <w:rsid w:val="00C638AC"/>
    <w:rsid w:val="00C63E06"/>
    <w:rsid w:val="00C64204"/>
    <w:rsid w:val="00C644EB"/>
    <w:rsid w:val="00C645B4"/>
    <w:rsid w:val="00C6491F"/>
    <w:rsid w:val="00C64BC6"/>
    <w:rsid w:val="00C65101"/>
    <w:rsid w:val="00C65D46"/>
    <w:rsid w:val="00C65EE8"/>
    <w:rsid w:val="00C65F2F"/>
    <w:rsid w:val="00C65F45"/>
    <w:rsid w:val="00C666F4"/>
    <w:rsid w:val="00C667F0"/>
    <w:rsid w:val="00C66CE7"/>
    <w:rsid w:val="00C66F75"/>
    <w:rsid w:val="00C67007"/>
    <w:rsid w:val="00C67416"/>
    <w:rsid w:val="00C70109"/>
    <w:rsid w:val="00C7034B"/>
    <w:rsid w:val="00C704E0"/>
    <w:rsid w:val="00C7113D"/>
    <w:rsid w:val="00C71B0F"/>
    <w:rsid w:val="00C7200A"/>
    <w:rsid w:val="00C7234A"/>
    <w:rsid w:val="00C72655"/>
    <w:rsid w:val="00C728AA"/>
    <w:rsid w:val="00C7291C"/>
    <w:rsid w:val="00C737DD"/>
    <w:rsid w:val="00C73A35"/>
    <w:rsid w:val="00C7423D"/>
    <w:rsid w:val="00C7461C"/>
    <w:rsid w:val="00C74627"/>
    <w:rsid w:val="00C75168"/>
    <w:rsid w:val="00C755CC"/>
    <w:rsid w:val="00C75B60"/>
    <w:rsid w:val="00C75CEC"/>
    <w:rsid w:val="00C76168"/>
    <w:rsid w:val="00C77251"/>
    <w:rsid w:val="00C77A21"/>
    <w:rsid w:val="00C77FF7"/>
    <w:rsid w:val="00C8066B"/>
    <w:rsid w:val="00C80E90"/>
    <w:rsid w:val="00C81D17"/>
    <w:rsid w:val="00C81D1C"/>
    <w:rsid w:val="00C81F28"/>
    <w:rsid w:val="00C8200F"/>
    <w:rsid w:val="00C8228B"/>
    <w:rsid w:val="00C82419"/>
    <w:rsid w:val="00C82843"/>
    <w:rsid w:val="00C82B97"/>
    <w:rsid w:val="00C82BC3"/>
    <w:rsid w:val="00C831C9"/>
    <w:rsid w:val="00C83226"/>
    <w:rsid w:val="00C836F6"/>
    <w:rsid w:val="00C83955"/>
    <w:rsid w:val="00C83CB0"/>
    <w:rsid w:val="00C83D86"/>
    <w:rsid w:val="00C83F70"/>
    <w:rsid w:val="00C83FB2"/>
    <w:rsid w:val="00C84051"/>
    <w:rsid w:val="00C8423F"/>
    <w:rsid w:val="00C84ACA"/>
    <w:rsid w:val="00C84B10"/>
    <w:rsid w:val="00C856A1"/>
    <w:rsid w:val="00C859A1"/>
    <w:rsid w:val="00C85BEF"/>
    <w:rsid w:val="00C85E37"/>
    <w:rsid w:val="00C86306"/>
    <w:rsid w:val="00C864C3"/>
    <w:rsid w:val="00C86E4B"/>
    <w:rsid w:val="00C8706B"/>
    <w:rsid w:val="00C87549"/>
    <w:rsid w:val="00C87585"/>
    <w:rsid w:val="00C87C6E"/>
    <w:rsid w:val="00C9176E"/>
    <w:rsid w:val="00C91F0F"/>
    <w:rsid w:val="00C920B2"/>
    <w:rsid w:val="00C9267E"/>
    <w:rsid w:val="00C92C0C"/>
    <w:rsid w:val="00C92C67"/>
    <w:rsid w:val="00C93050"/>
    <w:rsid w:val="00C9359D"/>
    <w:rsid w:val="00C93973"/>
    <w:rsid w:val="00C93B0B"/>
    <w:rsid w:val="00C93B5C"/>
    <w:rsid w:val="00C93D47"/>
    <w:rsid w:val="00C93F7A"/>
    <w:rsid w:val="00C94668"/>
    <w:rsid w:val="00C947B1"/>
    <w:rsid w:val="00C94C28"/>
    <w:rsid w:val="00C95287"/>
    <w:rsid w:val="00C9533B"/>
    <w:rsid w:val="00C95938"/>
    <w:rsid w:val="00C95DC2"/>
    <w:rsid w:val="00C95E22"/>
    <w:rsid w:val="00C961A0"/>
    <w:rsid w:val="00C968C2"/>
    <w:rsid w:val="00C96C10"/>
    <w:rsid w:val="00C97971"/>
    <w:rsid w:val="00C97FA5"/>
    <w:rsid w:val="00CA0007"/>
    <w:rsid w:val="00CA0120"/>
    <w:rsid w:val="00CA0167"/>
    <w:rsid w:val="00CA01E9"/>
    <w:rsid w:val="00CA0510"/>
    <w:rsid w:val="00CA17D7"/>
    <w:rsid w:val="00CA2BB5"/>
    <w:rsid w:val="00CA2BF4"/>
    <w:rsid w:val="00CA2E3D"/>
    <w:rsid w:val="00CA2FE8"/>
    <w:rsid w:val="00CA350E"/>
    <w:rsid w:val="00CA3976"/>
    <w:rsid w:val="00CA3ABA"/>
    <w:rsid w:val="00CA3B29"/>
    <w:rsid w:val="00CA44C2"/>
    <w:rsid w:val="00CA44E9"/>
    <w:rsid w:val="00CA45D4"/>
    <w:rsid w:val="00CA48A7"/>
    <w:rsid w:val="00CA4A3F"/>
    <w:rsid w:val="00CA4B27"/>
    <w:rsid w:val="00CA4CB0"/>
    <w:rsid w:val="00CA5846"/>
    <w:rsid w:val="00CA584E"/>
    <w:rsid w:val="00CA5CEA"/>
    <w:rsid w:val="00CA646F"/>
    <w:rsid w:val="00CA6579"/>
    <w:rsid w:val="00CA6902"/>
    <w:rsid w:val="00CA73E9"/>
    <w:rsid w:val="00CA7957"/>
    <w:rsid w:val="00CA79F4"/>
    <w:rsid w:val="00CB01DA"/>
    <w:rsid w:val="00CB0507"/>
    <w:rsid w:val="00CB1060"/>
    <w:rsid w:val="00CB1152"/>
    <w:rsid w:val="00CB2FE5"/>
    <w:rsid w:val="00CB3273"/>
    <w:rsid w:val="00CB32B0"/>
    <w:rsid w:val="00CB35EA"/>
    <w:rsid w:val="00CB4070"/>
    <w:rsid w:val="00CB4403"/>
    <w:rsid w:val="00CB4C8A"/>
    <w:rsid w:val="00CB4FA2"/>
    <w:rsid w:val="00CB5A03"/>
    <w:rsid w:val="00CB5F8D"/>
    <w:rsid w:val="00CB665B"/>
    <w:rsid w:val="00CB67F2"/>
    <w:rsid w:val="00CB6874"/>
    <w:rsid w:val="00CB68E1"/>
    <w:rsid w:val="00CB6F86"/>
    <w:rsid w:val="00CB7246"/>
    <w:rsid w:val="00CB7300"/>
    <w:rsid w:val="00CB758A"/>
    <w:rsid w:val="00CB7AAF"/>
    <w:rsid w:val="00CB7DAA"/>
    <w:rsid w:val="00CC0110"/>
    <w:rsid w:val="00CC017E"/>
    <w:rsid w:val="00CC0478"/>
    <w:rsid w:val="00CC071A"/>
    <w:rsid w:val="00CC0821"/>
    <w:rsid w:val="00CC1A88"/>
    <w:rsid w:val="00CC1C85"/>
    <w:rsid w:val="00CC2150"/>
    <w:rsid w:val="00CC2CB8"/>
    <w:rsid w:val="00CC3851"/>
    <w:rsid w:val="00CC3897"/>
    <w:rsid w:val="00CC39B1"/>
    <w:rsid w:val="00CC39E6"/>
    <w:rsid w:val="00CC3F8C"/>
    <w:rsid w:val="00CC43EF"/>
    <w:rsid w:val="00CC447C"/>
    <w:rsid w:val="00CC45D4"/>
    <w:rsid w:val="00CC467C"/>
    <w:rsid w:val="00CC49FC"/>
    <w:rsid w:val="00CC4B8D"/>
    <w:rsid w:val="00CC5019"/>
    <w:rsid w:val="00CC526A"/>
    <w:rsid w:val="00CC54CF"/>
    <w:rsid w:val="00CC5730"/>
    <w:rsid w:val="00CC5760"/>
    <w:rsid w:val="00CC62C7"/>
    <w:rsid w:val="00CC669E"/>
    <w:rsid w:val="00CC6BD0"/>
    <w:rsid w:val="00CC6EAD"/>
    <w:rsid w:val="00CC753C"/>
    <w:rsid w:val="00CC7570"/>
    <w:rsid w:val="00CC77AE"/>
    <w:rsid w:val="00CC7918"/>
    <w:rsid w:val="00CD0242"/>
    <w:rsid w:val="00CD02A2"/>
    <w:rsid w:val="00CD0371"/>
    <w:rsid w:val="00CD087C"/>
    <w:rsid w:val="00CD0ED1"/>
    <w:rsid w:val="00CD20E6"/>
    <w:rsid w:val="00CD283E"/>
    <w:rsid w:val="00CD28A3"/>
    <w:rsid w:val="00CD2A94"/>
    <w:rsid w:val="00CD309C"/>
    <w:rsid w:val="00CD318E"/>
    <w:rsid w:val="00CD3883"/>
    <w:rsid w:val="00CD399F"/>
    <w:rsid w:val="00CD4C2C"/>
    <w:rsid w:val="00CD4F6E"/>
    <w:rsid w:val="00CD50E0"/>
    <w:rsid w:val="00CD531A"/>
    <w:rsid w:val="00CD54FF"/>
    <w:rsid w:val="00CD563F"/>
    <w:rsid w:val="00CD5E5C"/>
    <w:rsid w:val="00CD6500"/>
    <w:rsid w:val="00CD6521"/>
    <w:rsid w:val="00CD65DC"/>
    <w:rsid w:val="00CD7014"/>
    <w:rsid w:val="00CD7342"/>
    <w:rsid w:val="00CD7488"/>
    <w:rsid w:val="00CD7992"/>
    <w:rsid w:val="00CD7A1C"/>
    <w:rsid w:val="00CD7C53"/>
    <w:rsid w:val="00CE0191"/>
    <w:rsid w:val="00CE060B"/>
    <w:rsid w:val="00CE06E3"/>
    <w:rsid w:val="00CE070E"/>
    <w:rsid w:val="00CE0B70"/>
    <w:rsid w:val="00CE0D04"/>
    <w:rsid w:val="00CE0E02"/>
    <w:rsid w:val="00CE0F24"/>
    <w:rsid w:val="00CE116E"/>
    <w:rsid w:val="00CE15E7"/>
    <w:rsid w:val="00CE16C7"/>
    <w:rsid w:val="00CE18C5"/>
    <w:rsid w:val="00CE1E21"/>
    <w:rsid w:val="00CE21AB"/>
    <w:rsid w:val="00CE2722"/>
    <w:rsid w:val="00CE27EF"/>
    <w:rsid w:val="00CE2A6D"/>
    <w:rsid w:val="00CE2D41"/>
    <w:rsid w:val="00CE302B"/>
    <w:rsid w:val="00CE32D3"/>
    <w:rsid w:val="00CE36EE"/>
    <w:rsid w:val="00CE372D"/>
    <w:rsid w:val="00CE3807"/>
    <w:rsid w:val="00CE3A20"/>
    <w:rsid w:val="00CE4900"/>
    <w:rsid w:val="00CE4B31"/>
    <w:rsid w:val="00CE55FF"/>
    <w:rsid w:val="00CE58A4"/>
    <w:rsid w:val="00CE5934"/>
    <w:rsid w:val="00CE6418"/>
    <w:rsid w:val="00CE6C2F"/>
    <w:rsid w:val="00CE6C95"/>
    <w:rsid w:val="00CE710D"/>
    <w:rsid w:val="00CE786B"/>
    <w:rsid w:val="00CE7E44"/>
    <w:rsid w:val="00CF0077"/>
    <w:rsid w:val="00CF015B"/>
    <w:rsid w:val="00CF0172"/>
    <w:rsid w:val="00CF09E5"/>
    <w:rsid w:val="00CF0AA9"/>
    <w:rsid w:val="00CF13E5"/>
    <w:rsid w:val="00CF13FF"/>
    <w:rsid w:val="00CF1922"/>
    <w:rsid w:val="00CF19C8"/>
    <w:rsid w:val="00CF1B76"/>
    <w:rsid w:val="00CF1D6B"/>
    <w:rsid w:val="00CF2035"/>
    <w:rsid w:val="00CF222F"/>
    <w:rsid w:val="00CF2420"/>
    <w:rsid w:val="00CF2523"/>
    <w:rsid w:val="00CF2918"/>
    <w:rsid w:val="00CF2C39"/>
    <w:rsid w:val="00CF2DF9"/>
    <w:rsid w:val="00CF2FF6"/>
    <w:rsid w:val="00CF3007"/>
    <w:rsid w:val="00CF3273"/>
    <w:rsid w:val="00CF353D"/>
    <w:rsid w:val="00CF4384"/>
    <w:rsid w:val="00CF44D8"/>
    <w:rsid w:val="00CF4634"/>
    <w:rsid w:val="00CF468D"/>
    <w:rsid w:val="00CF4E2B"/>
    <w:rsid w:val="00CF4F23"/>
    <w:rsid w:val="00CF4F8E"/>
    <w:rsid w:val="00CF583A"/>
    <w:rsid w:val="00CF5A8C"/>
    <w:rsid w:val="00CF5E8E"/>
    <w:rsid w:val="00CF61E7"/>
    <w:rsid w:val="00CF624B"/>
    <w:rsid w:val="00CF6741"/>
    <w:rsid w:val="00CF6B96"/>
    <w:rsid w:val="00CF748E"/>
    <w:rsid w:val="00CF7790"/>
    <w:rsid w:val="00CF7DB5"/>
    <w:rsid w:val="00CF7ED5"/>
    <w:rsid w:val="00CF7F8B"/>
    <w:rsid w:val="00D00317"/>
    <w:rsid w:val="00D003DC"/>
    <w:rsid w:val="00D00462"/>
    <w:rsid w:val="00D0073B"/>
    <w:rsid w:val="00D00B0F"/>
    <w:rsid w:val="00D01464"/>
    <w:rsid w:val="00D014B8"/>
    <w:rsid w:val="00D01644"/>
    <w:rsid w:val="00D016AB"/>
    <w:rsid w:val="00D01D58"/>
    <w:rsid w:val="00D02269"/>
    <w:rsid w:val="00D02CD1"/>
    <w:rsid w:val="00D02F64"/>
    <w:rsid w:val="00D03685"/>
    <w:rsid w:val="00D03953"/>
    <w:rsid w:val="00D039F2"/>
    <w:rsid w:val="00D03B4A"/>
    <w:rsid w:val="00D03FF1"/>
    <w:rsid w:val="00D04254"/>
    <w:rsid w:val="00D04685"/>
    <w:rsid w:val="00D049F8"/>
    <w:rsid w:val="00D04CCA"/>
    <w:rsid w:val="00D04EB0"/>
    <w:rsid w:val="00D05336"/>
    <w:rsid w:val="00D060AF"/>
    <w:rsid w:val="00D06755"/>
    <w:rsid w:val="00D06A05"/>
    <w:rsid w:val="00D06F19"/>
    <w:rsid w:val="00D07C83"/>
    <w:rsid w:val="00D10F30"/>
    <w:rsid w:val="00D11E2E"/>
    <w:rsid w:val="00D120D1"/>
    <w:rsid w:val="00D1241B"/>
    <w:rsid w:val="00D12CF4"/>
    <w:rsid w:val="00D1365B"/>
    <w:rsid w:val="00D13AB7"/>
    <w:rsid w:val="00D141A9"/>
    <w:rsid w:val="00D14595"/>
    <w:rsid w:val="00D146DD"/>
    <w:rsid w:val="00D153E2"/>
    <w:rsid w:val="00D15FA4"/>
    <w:rsid w:val="00D1636E"/>
    <w:rsid w:val="00D165D5"/>
    <w:rsid w:val="00D1692C"/>
    <w:rsid w:val="00D16A32"/>
    <w:rsid w:val="00D16A56"/>
    <w:rsid w:val="00D16DE0"/>
    <w:rsid w:val="00D17161"/>
    <w:rsid w:val="00D174B3"/>
    <w:rsid w:val="00D17566"/>
    <w:rsid w:val="00D17622"/>
    <w:rsid w:val="00D1765B"/>
    <w:rsid w:val="00D200A7"/>
    <w:rsid w:val="00D20408"/>
    <w:rsid w:val="00D20C95"/>
    <w:rsid w:val="00D20DD0"/>
    <w:rsid w:val="00D20E90"/>
    <w:rsid w:val="00D21211"/>
    <w:rsid w:val="00D217D9"/>
    <w:rsid w:val="00D21AFB"/>
    <w:rsid w:val="00D21B30"/>
    <w:rsid w:val="00D21E7F"/>
    <w:rsid w:val="00D22655"/>
    <w:rsid w:val="00D22B14"/>
    <w:rsid w:val="00D22B4A"/>
    <w:rsid w:val="00D23278"/>
    <w:rsid w:val="00D2327D"/>
    <w:rsid w:val="00D234D3"/>
    <w:rsid w:val="00D2355B"/>
    <w:rsid w:val="00D236A0"/>
    <w:rsid w:val="00D23A61"/>
    <w:rsid w:val="00D23C72"/>
    <w:rsid w:val="00D23EE9"/>
    <w:rsid w:val="00D2437E"/>
    <w:rsid w:val="00D2447B"/>
    <w:rsid w:val="00D25904"/>
    <w:rsid w:val="00D268BB"/>
    <w:rsid w:val="00D2696B"/>
    <w:rsid w:val="00D26A64"/>
    <w:rsid w:val="00D26A96"/>
    <w:rsid w:val="00D26BBD"/>
    <w:rsid w:val="00D26DC4"/>
    <w:rsid w:val="00D271D0"/>
    <w:rsid w:val="00D27232"/>
    <w:rsid w:val="00D27461"/>
    <w:rsid w:val="00D2762F"/>
    <w:rsid w:val="00D27D64"/>
    <w:rsid w:val="00D30231"/>
    <w:rsid w:val="00D302EC"/>
    <w:rsid w:val="00D303D0"/>
    <w:rsid w:val="00D30B8A"/>
    <w:rsid w:val="00D31248"/>
    <w:rsid w:val="00D31D2E"/>
    <w:rsid w:val="00D32053"/>
    <w:rsid w:val="00D320DC"/>
    <w:rsid w:val="00D323C8"/>
    <w:rsid w:val="00D331D1"/>
    <w:rsid w:val="00D331F5"/>
    <w:rsid w:val="00D336D4"/>
    <w:rsid w:val="00D33770"/>
    <w:rsid w:val="00D33F7F"/>
    <w:rsid w:val="00D347F3"/>
    <w:rsid w:val="00D34810"/>
    <w:rsid w:val="00D34929"/>
    <w:rsid w:val="00D34AF7"/>
    <w:rsid w:val="00D3550D"/>
    <w:rsid w:val="00D3564D"/>
    <w:rsid w:val="00D3606F"/>
    <w:rsid w:val="00D3608B"/>
    <w:rsid w:val="00D36516"/>
    <w:rsid w:val="00D36586"/>
    <w:rsid w:val="00D36C95"/>
    <w:rsid w:val="00D375F6"/>
    <w:rsid w:val="00D37D82"/>
    <w:rsid w:val="00D40202"/>
    <w:rsid w:val="00D403C2"/>
    <w:rsid w:val="00D405BB"/>
    <w:rsid w:val="00D4073E"/>
    <w:rsid w:val="00D40982"/>
    <w:rsid w:val="00D40E2F"/>
    <w:rsid w:val="00D40E73"/>
    <w:rsid w:val="00D4124B"/>
    <w:rsid w:val="00D41472"/>
    <w:rsid w:val="00D41B8E"/>
    <w:rsid w:val="00D42149"/>
    <w:rsid w:val="00D4272C"/>
    <w:rsid w:val="00D42736"/>
    <w:rsid w:val="00D43382"/>
    <w:rsid w:val="00D43477"/>
    <w:rsid w:val="00D43640"/>
    <w:rsid w:val="00D4469C"/>
    <w:rsid w:val="00D44DFC"/>
    <w:rsid w:val="00D45230"/>
    <w:rsid w:val="00D454E5"/>
    <w:rsid w:val="00D45649"/>
    <w:rsid w:val="00D4591C"/>
    <w:rsid w:val="00D4630C"/>
    <w:rsid w:val="00D465B0"/>
    <w:rsid w:val="00D46658"/>
    <w:rsid w:val="00D46A70"/>
    <w:rsid w:val="00D46CA7"/>
    <w:rsid w:val="00D46F15"/>
    <w:rsid w:val="00D471FE"/>
    <w:rsid w:val="00D475F7"/>
    <w:rsid w:val="00D4797D"/>
    <w:rsid w:val="00D50E8D"/>
    <w:rsid w:val="00D51301"/>
    <w:rsid w:val="00D51866"/>
    <w:rsid w:val="00D51932"/>
    <w:rsid w:val="00D51949"/>
    <w:rsid w:val="00D51B67"/>
    <w:rsid w:val="00D51ED9"/>
    <w:rsid w:val="00D52F81"/>
    <w:rsid w:val="00D53BFE"/>
    <w:rsid w:val="00D53D9D"/>
    <w:rsid w:val="00D5440F"/>
    <w:rsid w:val="00D54804"/>
    <w:rsid w:val="00D54BA3"/>
    <w:rsid w:val="00D54E7C"/>
    <w:rsid w:val="00D54EA0"/>
    <w:rsid w:val="00D55086"/>
    <w:rsid w:val="00D5526A"/>
    <w:rsid w:val="00D55C0B"/>
    <w:rsid w:val="00D56575"/>
    <w:rsid w:val="00D56696"/>
    <w:rsid w:val="00D56890"/>
    <w:rsid w:val="00D56D47"/>
    <w:rsid w:val="00D56E66"/>
    <w:rsid w:val="00D57046"/>
    <w:rsid w:val="00D57586"/>
    <w:rsid w:val="00D575A3"/>
    <w:rsid w:val="00D5793A"/>
    <w:rsid w:val="00D57C1A"/>
    <w:rsid w:val="00D57D4B"/>
    <w:rsid w:val="00D57E16"/>
    <w:rsid w:val="00D60DEC"/>
    <w:rsid w:val="00D60F40"/>
    <w:rsid w:val="00D6144D"/>
    <w:rsid w:val="00D6180F"/>
    <w:rsid w:val="00D61D18"/>
    <w:rsid w:val="00D61D3D"/>
    <w:rsid w:val="00D6268E"/>
    <w:rsid w:val="00D627D7"/>
    <w:rsid w:val="00D62A19"/>
    <w:rsid w:val="00D62A5C"/>
    <w:rsid w:val="00D633BF"/>
    <w:rsid w:val="00D63924"/>
    <w:rsid w:val="00D63CEC"/>
    <w:rsid w:val="00D64631"/>
    <w:rsid w:val="00D646E4"/>
    <w:rsid w:val="00D64DB6"/>
    <w:rsid w:val="00D65B90"/>
    <w:rsid w:val="00D65B9B"/>
    <w:rsid w:val="00D65C9F"/>
    <w:rsid w:val="00D65CCD"/>
    <w:rsid w:val="00D6690F"/>
    <w:rsid w:val="00D670E1"/>
    <w:rsid w:val="00D6721F"/>
    <w:rsid w:val="00D67507"/>
    <w:rsid w:val="00D67C39"/>
    <w:rsid w:val="00D67CFC"/>
    <w:rsid w:val="00D704E2"/>
    <w:rsid w:val="00D711D5"/>
    <w:rsid w:val="00D71473"/>
    <w:rsid w:val="00D714C6"/>
    <w:rsid w:val="00D71BA3"/>
    <w:rsid w:val="00D721BE"/>
    <w:rsid w:val="00D72AC4"/>
    <w:rsid w:val="00D73C1B"/>
    <w:rsid w:val="00D7419D"/>
    <w:rsid w:val="00D74A8F"/>
    <w:rsid w:val="00D74A96"/>
    <w:rsid w:val="00D74B79"/>
    <w:rsid w:val="00D74D7E"/>
    <w:rsid w:val="00D75486"/>
    <w:rsid w:val="00D7569E"/>
    <w:rsid w:val="00D75894"/>
    <w:rsid w:val="00D75A89"/>
    <w:rsid w:val="00D75DE9"/>
    <w:rsid w:val="00D76199"/>
    <w:rsid w:val="00D7626C"/>
    <w:rsid w:val="00D76350"/>
    <w:rsid w:val="00D766E1"/>
    <w:rsid w:val="00D76986"/>
    <w:rsid w:val="00D76BEE"/>
    <w:rsid w:val="00D77322"/>
    <w:rsid w:val="00D778C1"/>
    <w:rsid w:val="00D8041F"/>
    <w:rsid w:val="00D8084B"/>
    <w:rsid w:val="00D809D8"/>
    <w:rsid w:val="00D80C88"/>
    <w:rsid w:val="00D80E71"/>
    <w:rsid w:val="00D8128B"/>
    <w:rsid w:val="00D81D14"/>
    <w:rsid w:val="00D82593"/>
    <w:rsid w:val="00D82812"/>
    <w:rsid w:val="00D82897"/>
    <w:rsid w:val="00D82D59"/>
    <w:rsid w:val="00D83056"/>
    <w:rsid w:val="00D8306B"/>
    <w:rsid w:val="00D838B8"/>
    <w:rsid w:val="00D8398E"/>
    <w:rsid w:val="00D839C2"/>
    <w:rsid w:val="00D83B6E"/>
    <w:rsid w:val="00D843AB"/>
    <w:rsid w:val="00D843FA"/>
    <w:rsid w:val="00D85036"/>
    <w:rsid w:val="00D85359"/>
    <w:rsid w:val="00D85865"/>
    <w:rsid w:val="00D85DA0"/>
    <w:rsid w:val="00D8605C"/>
    <w:rsid w:val="00D870E9"/>
    <w:rsid w:val="00D871DF"/>
    <w:rsid w:val="00D879B8"/>
    <w:rsid w:val="00D90ACD"/>
    <w:rsid w:val="00D92CFE"/>
    <w:rsid w:val="00D931C8"/>
    <w:rsid w:val="00D939D3"/>
    <w:rsid w:val="00D9451A"/>
    <w:rsid w:val="00D94648"/>
    <w:rsid w:val="00D949DB"/>
    <w:rsid w:val="00D94A56"/>
    <w:rsid w:val="00D951E6"/>
    <w:rsid w:val="00D95788"/>
    <w:rsid w:val="00D95D4A"/>
    <w:rsid w:val="00D95F51"/>
    <w:rsid w:val="00D96E2B"/>
    <w:rsid w:val="00D96E2D"/>
    <w:rsid w:val="00D97010"/>
    <w:rsid w:val="00D9790C"/>
    <w:rsid w:val="00D9799B"/>
    <w:rsid w:val="00D97EB1"/>
    <w:rsid w:val="00DA03A5"/>
    <w:rsid w:val="00DA08DC"/>
    <w:rsid w:val="00DA0921"/>
    <w:rsid w:val="00DA0DB2"/>
    <w:rsid w:val="00DA1755"/>
    <w:rsid w:val="00DA19AA"/>
    <w:rsid w:val="00DA1DAE"/>
    <w:rsid w:val="00DA2835"/>
    <w:rsid w:val="00DA2902"/>
    <w:rsid w:val="00DA2D2E"/>
    <w:rsid w:val="00DA306E"/>
    <w:rsid w:val="00DA32B6"/>
    <w:rsid w:val="00DA32DD"/>
    <w:rsid w:val="00DA3437"/>
    <w:rsid w:val="00DA371F"/>
    <w:rsid w:val="00DA3AD8"/>
    <w:rsid w:val="00DA3CFA"/>
    <w:rsid w:val="00DA3FE2"/>
    <w:rsid w:val="00DA3FF8"/>
    <w:rsid w:val="00DA46E3"/>
    <w:rsid w:val="00DA477B"/>
    <w:rsid w:val="00DA4841"/>
    <w:rsid w:val="00DA4E55"/>
    <w:rsid w:val="00DA589E"/>
    <w:rsid w:val="00DA5971"/>
    <w:rsid w:val="00DA5D5B"/>
    <w:rsid w:val="00DA6760"/>
    <w:rsid w:val="00DA75C2"/>
    <w:rsid w:val="00DA762B"/>
    <w:rsid w:val="00DA7FB4"/>
    <w:rsid w:val="00DB007C"/>
    <w:rsid w:val="00DB0195"/>
    <w:rsid w:val="00DB01DF"/>
    <w:rsid w:val="00DB082A"/>
    <w:rsid w:val="00DB0844"/>
    <w:rsid w:val="00DB093D"/>
    <w:rsid w:val="00DB09D6"/>
    <w:rsid w:val="00DB0E61"/>
    <w:rsid w:val="00DB0EB0"/>
    <w:rsid w:val="00DB1478"/>
    <w:rsid w:val="00DB15D5"/>
    <w:rsid w:val="00DB1CC0"/>
    <w:rsid w:val="00DB1DC3"/>
    <w:rsid w:val="00DB1E82"/>
    <w:rsid w:val="00DB1FA5"/>
    <w:rsid w:val="00DB332B"/>
    <w:rsid w:val="00DB3875"/>
    <w:rsid w:val="00DB3CBF"/>
    <w:rsid w:val="00DB46E5"/>
    <w:rsid w:val="00DB482A"/>
    <w:rsid w:val="00DB4F38"/>
    <w:rsid w:val="00DB52EC"/>
    <w:rsid w:val="00DB569E"/>
    <w:rsid w:val="00DB5724"/>
    <w:rsid w:val="00DB59E1"/>
    <w:rsid w:val="00DB673E"/>
    <w:rsid w:val="00DB6754"/>
    <w:rsid w:val="00DB697D"/>
    <w:rsid w:val="00DB6D5E"/>
    <w:rsid w:val="00DB71D3"/>
    <w:rsid w:val="00DB7434"/>
    <w:rsid w:val="00DB7460"/>
    <w:rsid w:val="00DC0049"/>
    <w:rsid w:val="00DC02DF"/>
    <w:rsid w:val="00DC159A"/>
    <w:rsid w:val="00DC1ABA"/>
    <w:rsid w:val="00DC1AE5"/>
    <w:rsid w:val="00DC20D0"/>
    <w:rsid w:val="00DC3802"/>
    <w:rsid w:val="00DC39E5"/>
    <w:rsid w:val="00DC4331"/>
    <w:rsid w:val="00DC43AE"/>
    <w:rsid w:val="00DC4722"/>
    <w:rsid w:val="00DC4857"/>
    <w:rsid w:val="00DC4998"/>
    <w:rsid w:val="00DC50BF"/>
    <w:rsid w:val="00DC5762"/>
    <w:rsid w:val="00DC5C50"/>
    <w:rsid w:val="00DC62D5"/>
    <w:rsid w:val="00DC6326"/>
    <w:rsid w:val="00DC6B0C"/>
    <w:rsid w:val="00DC6D5E"/>
    <w:rsid w:val="00DC6E6F"/>
    <w:rsid w:val="00DC77B3"/>
    <w:rsid w:val="00DC78ED"/>
    <w:rsid w:val="00DD05C1"/>
    <w:rsid w:val="00DD0792"/>
    <w:rsid w:val="00DD0CE0"/>
    <w:rsid w:val="00DD1013"/>
    <w:rsid w:val="00DD1BE2"/>
    <w:rsid w:val="00DD2371"/>
    <w:rsid w:val="00DD25B6"/>
    <w:rsid w:val="00DD27B6"/>
    <w:rsid w:val="00DD2CF7"/>
    <w:rsid w:val="00DD2F2C"/>
    <w:rsid w:val="00DD3599"/>
    <w:rsid w:val="00DD3F50"/>
    <w:rsid w:val="00DD4167"/>
    <w:rsid w:val="00DD447F"/>
    <w:rsid w:val="00DD4496"/>
    <w:rsid w:val="00DD4548"/>
    <w:rsid w:val="00DD4D42"/>
    <w:rsid w:val="00DD4DAC"/>
    <w:rsid w:val="00DD4DEC"/>
    <w:rsid w:val="00DD4FA3"/>
    <w:rsid w:val="00DD5912"/>
    <w:rsid w:val="00DD5AD1"/>
    <w:rsid w:val="00DD5CF7"/>
    <w:rsid w:val="00DD6C55"/>
    <w:rsid w:val="00DD791C"/>
    <w:rsid w:val="00DD7DBA"/>
    <w:rsid w:val="00DE002F"/>
    <w:rsid w:val="00DE0082"/>
    <w:rsid w:val="00DE01F9"/>
    <w:rsid w:val="00DE0268"/>
    <w:rsid w:val="00DE0468"/>
    <w:rsid w:val="00DE0665"/>
    <w:rsid w:val="00DE0E58"/>
    <w:rsid w:val="00DE108E"/>
    <w:rsid w:val="00DE1121"/>
    <w:rsid w:val="00DE185D"/>
    <w:rsid w:val="00DE19FB"/>
    <w:rsid w:val="00DE1B13"/>
    <w:rsid w:val="00DE1CA5"/>
    <w:rsid w:val="00DE24F0"/>
    <w:rsid w:val="00DE2926"/>
    <w:rsid w:val="00DE2E22"/>
    <w:rsid w:val="00DE4051"/>
    <w:rsid w:val="00DE41F7"/>
    <w:rsid w:val="00DE42A8"/>
    <w:rsid w:val="00DE454C"/>
    <w:rsid w:val="00DE482A"/>
    <w:rsid w:val="00DE4A68"/>
    <w:rsid w:val="00DE51B0"/>
    <w:rsid w:val="00DE54C9"/>
    <w:rsid w:val="00DE567E"/>
    <w:rsid w:val="00DE575B"/>
    <w:rsid w:val="00DE586B"/>
    <w:rsid w:val="00DE6FFD"/>
    <w:rsid w:val="00DE71CF"/>
    <w:rsid w:val="00DE756C"/>
    <w:rsid w:val="00DF06D3"/>
    <w:rsid w:val="00DF09CD"/>
    <w:rsid w:val="00DF11CF"/>
    <w:rsid w:val="00DF133D"/>
    <w:rsid w:val="00DF13A0"/>
    <w:rsid w:val="00DF1B38"/>
    <w:rsid w:val="00DF1C84"/>
    <w:rsid w:val="00DF1E5D"/>
    <w:rsid w:val="00DF2479"/>
    <w:rsid w:val="00DF275D"/>
    <w:rsid w:val="00DF2B00"/>
    <w:rsid w:val="00DF2B42"/>
    <w:rsid w:val="00DF2D7E"/>
    <w:rsid w:val="00DF3158"/>
    <w:rsid w:val="00DF3C94"/>
    <w:rsid w:val="00DF4774"/>
    <w:rsid w:val="00DF4C48"/>
    <w:rsid w:val="00DF5002"/>
    <w:rsid w:val="00DF55CB"/>
    <w:rsid w:val="00DF5605"/>
    <w:rsid w:val="00DF5707"/>
    <w:rsid w:val="00DF58E2"/>
    <w:rsid w:val="00DF59B5"/>
    <w:rsid w:val="00DF6155"/>
    <w:rsid w:val="00DF683E"/>
    <w:rsid w:val="00DF69A6"/>
    <w:rsid w:val="00DF6BC7"/>
    <w:rsid w:val="00DF724E"/>
    <w:rsid w:val="00DF7642"/>
    <w:rsid w:val="00DF7891"/>
    <w:rsid w:val="00DF7D56"/>
    <w:rsid w:val="00E003B3"/>
    <w:rsid w:val="00E018B2"/>
    <w:rsid w:val="00E01AE5"/>
    <w:rsid w:val="00E01E3E"/>
    <w:rsid w:val="00E01FB7"/>
    <w:rsid w:val="00E02322"/>
    <w:rsid w:val="00E0232F"/>
    <w:rsid w:val="00E023F5"/>
    <w:rsid w:val="00E024F6"/>
    <w:rsid w:val="00E025E0"/>
    <w:rsid w:val="00E02ED0"/>
    <w:rsid w:val="00E02FE8"/>
    <w:rsid w:val="00E03015"/>
    <w:rsid w:val="00E030AA"/>
    <w:rsid w:val="00E037BD"/>
    <w:rsid w:val="00E03ABF"/>
    <w:rsid w:val="00E03B22"/>
    <w:rsid w:val="00E03B4E"/>
    <w:rsid w:val="00E03B65"/>
    <w:rsid w:val="00E03E2A"/>
    <w:rsid w:val="00E0420A"/>
    <w:rsid w:val="00E0423A"/>
    <w:rsid w:val="00E0444C"/>
    <w:rsid w:val="00E04473"/>
    <w:rsid w:val="00E046A3"/>
    <w:rsid w:val="00E047FC"/>
    <w:rsid w:val="00E04A10"/>
    <w:rsid w:val="00E04D64"/>
    <w:rsid w:val="00E050AD"/>
    <w:rsid w:val="00E050FA"/>
    <w:rsid w:val="00E058F7"/>
    <w:rsid w:val="00E05B06"/>
    <w:rsid w:val="00E05C22"/>
    <w:rsid w:val="00E05D09"/>
    <w:rsid w:val="00E06142"/>
    <w:rsid w:val="00E06329"/>
    <w:rsid w:val="00E067B0"/>
    <w:rsid w:val="00E06C95"/>
    <w:rsid w:val="00E06FD2"/>
    <w:rsid w:val="00E07563"/>
    <w:rsid w:val="00E07E74"/>
    <w:rsid w:val="00E10B43"/>
    <w:rsid w:val="00E10E72"/>
    <w:rsid w:val="00E12079"/>
    <w:rsid w:val="00E121B3"/>
    <w:rsid w:val="00E128BB"/>
    <w:rsid w:val="00E12C8A"/>
    <w:rsid w:val="00E12F87"/>
    <w:rsid w:val="00E1308B"/>
    <w:rsid w:val="00E130F2"/>
    <w:rsid w:val="00E13583"/>
    <w:rsid w:val="00E13E53"/>
    <w:rsid w:val="00E14B1E"/>
    <w:rsid w:val="00E14C85"/>
    <w:rsid w:val="00E14E47"/>
    <w:rsid w:val="00E1516F"/>
    <w:rsid w:val="00E1520B"/>
    <w:rsid w:val="00E15480"/>
    <w:rsid w:val="00E15766"/>
    <w:rsid w:val="00E15A05"/>
    <w:rsid w:val="00E15E82"/>
    <w:rsid w:val="00E16463"/>
    <w:rsid w:val="00E16E61"/>
    <w:rsid w:val="00E17104"/>
    <w:rsid w:val="00E1788F"/>
    <w:rsid w:val="00E179B3"/>
    <w:rsid w:val="00E17E85"/>
    <w:rsid w:val="00E21991"/>
    <w:rsid w:val="00E21DD7"/>
    <w:rsid w:val="00E22141"/>
    <w:rsid w:val="00E221BF"/>
    <w:rsid w:val="00E222C9"/>
    <w:rsid w:val="00E22654"/>
    <w:rsid w:val="00E2267F"/>
    <w:rsid w:val="00E226FF"/>
    <w:rsid w:val="00E22B26"/>
    <w:rsid w:val="00E235D7"/>
    <w:rsid w:val="00E239D8"/>
    <w:rsid w:val="00E23FC5"/>
    <w:rsid w:val="00E249AE"/>
    <w:rsid w:val="00E24DE3"/>
    <w:rsid w:val="00E25100"/>
    <w:rsid w:val="00E2519E"/>
    <w:rsid w:val="00E251D6"/>
    <w:rsid w:val="00E2540E"/>
    <w:rsid w:val="00E254D8"/>
    <w:rsid w:val="00E25513"/>
    <w:rsid w:val="00E25E5D"/>
    <w:rsid w:val="00E26412"/>
    <w:rsid w:val="00E267EE"/>
    <w:rsid w:val="00E2764E"/>
    <w:rsid w:val="00E27A99"/>
    <w:rsid w:val="00E27CB5"/>
    <w:rsid w:val="00E27FA2"/>
    <w:rsid w:val="00E301A9"/>
    <w:rsid w:val="00E303F5"/>
    <w:rsid w:val="00E3086E"/>
    <w:rsid w:val="00E311D3"/>
    <w:rsid w:val="00E31A2E"/>
    <w:rsid w:val="00E322C5"/>
    <w:rsid w:val="00E323B9"/>
    <w:rsid w:val="00E32820"/>
    <w:rsid w:val="00E32E84"/>
    <w:rsid w:val="00E33900"/>
    <w:rsid w:val="00E339FB"/>
    <w:rsid w:val="00E33B71"/>
    <w:rsid w:val="00E33D66"/>
    <w:rsid w:val="00E34017"/>
    <w:rsid w:val="00E34543"/>
    <w:rsid w:val="00E347C3"/>
    <w:rsid w:val="00E34C27"/>
    <w:rsid w:val="00E34E0E"/>
    <w:rsid w:val="00E350C7"/>
    <w:rsid w:val="00E35B11"/>
    <w:rsid w:val="00E365AE"/>
    <w:rsid w:val="00E36823"/>
    <w:rsid w:val="00E36F2C"/>
    <w:rsid w:val="00E37194"/>
    <w:rsid w:val="00E376CB"/>
    <w:rsid w:val="00E37876"/>
    <w:rsid w:val="00E37FC9"/>
    <w:rsid w:val="00E400AF"/>
    <w:rsid w:val="00E407C2"/>
    <w:rsid w:val="00E407DE"/>
    <w:rsid w:val="00E408CC"/>
    <w:rsid w:val="00E41A3A"/>
    <w:rsid w:val="00E41B36"/>
    <w:rsid w:val="00E41E8F"/>
    <w:rsid w:val="00E42226"/>
    <w:rsid w:val="00E425CF"/>
    <w:rsid w:val="00E42B2A"/>
    <w:rsid w:val="00E42B52"/>
    <w:rsid w:val="00E43204"/>
    <w:rsid w:val="00E43A07"/>
    <w:rsid w:val="00E443DE"/>
    <w:rsid w:val="00E44471"/>
    <w:rsid w:val="00E44D84"/>
    <w:rsid w:val="00E4555F"/>
    <w:rsid w:val="00E45C27"/>
    <w:rsid w:val="00E4713D"/>
    <w:rsid w:val="00E475D1"/>
    <w:rsid w:val="00E50062"/>
    <w:rsid w:val="00E50171"/>
    <w:rsid w:val="00E50298"/>
    <w:rsid w:val="00E509D3"/>
    <w:rsid w:val="00E50CEA"/>
    <w:rsid w:val="00E50D94"/>
    <w:rsid w:val="00E51787"/>
    <w:rsid w:val="00E51EDD"/>
    <w:rsid w:val="00E524E2"/>
    <w:rsid w:val="00E5276A"/>
    <w:rsid w:val="00E52EAF"/>
    <w:rsid w:val="00E535F5"/>
    <w:rsid w:val="00E53604"/>
    <w:rsid w:val="00E53837"/>
    <w:rsid w:val="00E53851"/>
    <w:rsid w:val="00E5426C"/>
    <w:rsid w:val="00E5563B"/>
    <w:rsid w:val="00E55AEB"/>
    <w:rsid w:val="00E55B21"/>
    <w:rsid w:val="00E55EB3"/>
    <w:rsid w:val="00E5678D"/>
    <w:rsid w:val="00E568EF"/>
    <w:rsid w:val="00E569F8"/>
    <w:rsid w:val="00E56AD9"/>
    <w:rsid w:val="00E56F84"/>
    <w:rsid w:val="00E57152"/>
    <w:rsid w:val="00E57182"/>
    <w:rsid w:val="00E575C9"/>
    <w:rsid w:val="00E57E2F"/>
    <w:rsid w:val="00E57FBE"/>
    <w:rsid w:val="00E604FE"/>
    <w:rsid w:val="00E60872"/>
    <w:rsid w:val="00E60A73"/>
    <w:rsid w:val="00E6104D"/>
    <w:rsid w:val="00E616BE"/>
    <w:rsid w:val="00E61BA6"/>
    <w:rsid w:val="00E61F76"/>
    <w:rsid w:val="00E62536"/>
    <w:rsid w:val="00E6271B"/>
    <w:rsid w:val="00E62BC5"/>
    <w:rsid w:val="00E63B5B"/>
    <w:rsid w:val="00E64B63"/>
    <w:rsid w:val="00E652CF"/>
    <w:rsid w:val="00E664AB"/>
    <w:rsid w:val="00E67067"/>
    <w:rsid w:val="00E67242"/>
    <w:rsid w:val="00E6786F"/>
    <w:rsid w:val="00E67894"/>
    <w:rsid w:val="00E67D4A"/>
    <w:rsid w:val="00E70085"/>
    <w:rsid w:val="00E70E37"/>
    <w:rsid w:val="00E7117E"/>
    <w:rsid w:val="00E713F9"/>
    <w:rsid w:val="00E72110"/>
    <w:rsid w:val="00E7221F"/>
    <w:rsid w:val="00E7244C"/>
    <w:rsid w:val="00E724FF"/>
    <w:rsid w:val="00E72EEE"/>
    <w:rsid w:val="00E73055"/>
    <w:rsid w:val="00E733F5"/>
    <w:rsid w:val="00E73494"/>
    <w:rsid w:val="00E7351B"/>
    <w:rsid w:val="00E7484D"/>
    <w:rsid w:val="00E74851"/>
    <w:rsid w:val="00E75301"/>
    <w:rsid w:val="00E75811"/>
    <w:rsid w:val="00E75927"/>
    <w:rsid w:val="00E75A3B"/>
    <w:rsid w:val="00E75D4B"/>
    <w:rsid w:val="00E768CE"/>
    <w:rsid w:val="00E76A80"/>
    <w:rsid w:val="00E7789A"/>
    <w:rsid w:val="00E77942"/>
    <w:rsid w:val="00E8013A"/>
    <w:rsid w:val="00E80187"/>
    <w:rsid w:val="00E803F7"/>
    <w:rsid w:val="00E81676"/>
    <w:rsid w:val="00E81937"/>
    <w:rsid w:val="00E81A9D"/>
    <w:rsid w:val="00E81B27"/>
    <w:rsid w:val="00E81E4A"/>
    <w:rsid w:val="00E82237"/>
    <w:rsid w:val="00E82320"/>
    <w:rsid w:val="00E827E7"/>
    <w:rsid w:val="00E83CF8"/>
    <w:rsid w:val="00E84067"/>
    <w:rsid w:val="00E85CF8"/>
    <w:rsid w:val="00E8649D"/>
    <w:rsid w:val="00E864E6"/>
    <w:rsid w:val="00E86649"/>
    <w:rsid w:val="00E86EEC"/>
    <w:rsid w:val="00E87B07"/>
    <w:rsid w:val="00E87CB3"/>
    <w:rsid w:val="00E90144"/>
    <w:rsid w:val="00E907E2"/>
    <w:rsid w:val="00E90868"/>
    <w:rsid w:val="00E90E51"/>
    <w:rsid w:val="00E91051"/>
    <w:rsid w:val="00E916F6"/>
    <w:rsid w:val="00E9181B"/>
    <w:rsid w:val="00E91C1E"/>
    <w:rsid w:val="00E91D7A"/>
    <w:rsid w:val="00E92568"/>
    <w:rsid w:val="00E92690"/>
    <w:rsid w:val="00E939FE"/>
    <w:rsid w:val="00E93F2B"/>
    <w:rsid w:val="00E94095"/>
    <w:rsid w:val="00E9424E"/>
    <w:rsid w:val="00E94A04"/>
    <w:rsid w:val="00E95449"/>
    <w:rsid w:val="00E959A9"/>
    <w:rsid w:val="00E9630D"/>
    <w:rsid w:val="00E96526"/>
    <w:rsid w:val="00E97CA2"/>
    <w:rsid w:val="00E97D82"/>
    <w:rsid w:val="00EA00CE"/>
    <w:rsid w:val="00EA041B"/>
    <w:rsid w:val="00EA0B8B"/>
    <w:rsid w:val="00EA0BFE"/>
    <w:rsid w:val="00EA126C"/>
    <w:rsid w:val="00EA127C"/>
    <w:rsid w:val="00EA1334"/>
    <w:rsid w:val="00EA15C8"/>
    <w:rsid w:val="00EA225E"/>
    <w:rsid w:val="00EA2DA0"/>
    <w:rsid w:val="00EA30C0"/>
    <w:rsid w:val="00EA3314"/>
    <w:rsid w:val="00EA43B8"/>
    <w:rsid w:val="00EA4538"/>
    <w:rsid w:val="00EA4621"/>
    <w:rsid w:val="00EA4662"/>
    <w:rsid w:val="00EA4914"/>
    <w:rsid w:val="00EA4C10"/>
    <w:rsid w:val="00EA4D1D"/>
    <w:rsid w:val="00EA4F27"/>
    <w:rsid w:val="00EA5051"/>
    <w:rsid w:val="00EA537E"/>
    <w:rsid w:val="00EA5E9B"/>
    <w:rsid w:val="00EA6608"/>
    <w:rsid w:val="00EA6835"/>
    <w:rsid w:val="00EA6A37"/>
    <w:rsid w:val="00EA6FA9"/>
    <w:rsid w:val="00EA717D"/>
    <w:rsid w:val="00EA7C94"/>
    <w:rsid w:val="00EA7CCB"/>
    <w:rsid w:val="00EB05AF"/>
    <w:rsid w:val="00EB0842"/>
    <w:rsid w:val="00EB089C"/>
    <w:rsid w:val="00EB0DD7"/>
    <w:rsid w:val="00EB11A4"/>
    <w:rsid w:val="00EB13B7"/>
    <w:rsid w:val="00EB1452"/>
    <w:rsid w:val="00EB19B0"/>
    <w:rsid w:val="00EB1B25"/>
    <w:rsid w:val="00EB3A59"/>
    <w:rsid w:val="00EB4739"/>
    <w:rsid w:val="00EB4EA7"/>
    <w:rsid w:val="00EB523D"/>
    <w:rsid w:val="00EB63E8"/>
    <w:rsid w:val="00EB681F"/>
    <w:rsid w:val="00EB6C5B"/>
    <w:rsid w:val="00EB6FBD"/>
    <w:rsid w:val="00EB719E"/>
    <w:rsid w:val="00EB73D1"/>
    <w:rsid w:val="00EB7523"/>
    <w:rsid w:val="00EB7D44"/>
    <w:rsid w:val="00EC02EB"/>
    <w:rsid w:val="00EC044B"/>
    <w:rsid w:val="00EC10A9"/>
    <w:rsid w:val="00EC110E"/>
    <w:rsid w:val="00EC1796"/>
    <w:rsid w:val="00EC19EE"/>
    <w:rsid w:val="00EC1A23"/>
    <w:rsid w:val="00EC1DC8"/>
    <w:rsid w:val="00EC1E03"/>
    <w:rsid w:val="00EC1E6F"/>
    <w:rsid w:val="00EC2057"/>
    <w:rsid w:val="00EC24A2"/>
    <w:rsid w:val="00EC25AA"/>
    <w:rsid w:val="00EC2D3F"/>
    <w:rsid w:val="00EC3123"/>
    <w:rsid w:val="00EC326D"/>
    <w:rsid w:val="00EC399D"/>
    <w:rsid w:val="00EC41AD"/>
    <w:rsid w:val="00EC43F4"/>
    <w:rsid w:val="00EC50CA"/>
    <w:rsid w:val="00EC54A4"/>
    <w:rsid w:val="00EC5831"/>
    <w:rsid w:val="00EC6162"/>
    <w:rsid w:val="00EC65CD"/>
    <w:rsid w:val="00EC6E3C"/>
    <w:rsid w:val="00EC728D"/>
    <w:rsid w:val="00ED0B0E"/>
    <w:rsid w:val="00ED0C92"/>
    <w:rsid w:val="00ED0D90"/>
    <w:rsid w:val="00ED12C9"/>
    <w:rsid w:val="00ED1674"/>
    <w:rsid w:val="00ED16DC"/>
    <w:rsid w:val="00ED1D27"/>
    <w:rsid w:val="00ED1DB9"/>
    <w:rsid w:val="00ED2E0E"/>
    <w:rsid w:val="00ED3694"/>
    <w:rsid w:val="00ED37CA"/>
    <w:rsid w:val="00ED37CF"/>
    <w:rsid w:val="00ED37E3"/>
    <w:rsid w:val="00ED41EB"/>
    <w:rsid w:val="00ED58EA"/>
    <w:rsid w:val="00ED5B6B"/>
    <w:rsid w:val="00ED73A1"/>
    <w:rsid w:val="00ED75C1"/>
    <w:rsid w:val="00EE01A8"/>
    <w:rsid w:val="00EE10B9"/>
    <w:rsid w:val="00EE1443"/>
    <w:rsid w:val="00EE15F1"/>
    <w:rsid w:val="00EE182E"/>
    <w:rsid w:val="00EE1915"/>
    <w:rsid w:val="00EE2080"/>
    <w:rsid w:val="00EE2691"/>
    <w:rsid w:val="00EE29B7"/>
    <w:rsid w:val="00EE34B6"/>
    <w:rsid w:val="00EE3A88"/>
    <w:rsid w:val="00EE40E4"/>
    <w:rsid w:val="00EE4561"/>
    <w:rsid w:val="00EE46F0"/>
    <w:rsid w:val="00EE4AF4"/>
    <w:rsid w:val="00EE50CD"/>
    <w:rsid w:val="00EE572C"/>
    <w:rsid w:val="00EE5D38"/>
    <w:rsid w:val="00EE7F31"/>
    <w:rsid w:val="00EF00A0"/>
    <w:rsid w:val="00EF0513"/>
    <w:rsid w:val="00EF0D84"/>
    <w:rsid w:val="00EF0E69"/>
    <w:rsid w:val="00EF125A"/>
    <w:rsid w:val="00EF16B7"/>
    <w:rsid w:val="00EF189F"/>
    <w:rsid w:val="00EF1AF6"/>
    <w:rsid w:val="00EF1C64"/>
    <w:rsid w:val="00EF1F85"/>
    <w:rsid w:val="00EF20BE"/>
    <w:rsid w:val="00EF29AC"/>
    <w:rsid w:val="00EF2AF2"/>
    <w:rsid w:val="00EF2F6D"/>
    <w:rsid w:val="00EF3587"/>
    <w:rsid w:val="00EF48F3"/>
    <w:rsid w:val="00EF4A21"/>
    <w:rsid w:val="00EF4FBB"/>
    <w:rsid w:val="00EF4FF6"/>
    <w:rsid w:val="00EF5248"/>
    <w:rsid w:val="00EF53D9"/>
    <w:rsid w:val="00EF55ED"/>
    <w:rsid w:val="00EF5C3F"/>
    <w:rsid w:val="00EF69FE"/>
    <w:rsid w:val="00EF7419"/>
    <w:rsid w:val="00EF7983"/>
    <w:rsid w:val="00EF7BF7"/>
    <w:rsid w:val="00EF7E42"/>
    <w:rsid w:val="00F0033E"/>
    <w:rsid w:val="00F004A9"/>
    <w:rsid w:val="00F00720"/>
    <w:rsid w:val="00F0105C"/>
    <w:rsid w:val="00F01173"/>
    <w:rsid w:val="00F01577"/>
    <w:rsid w:val="00F01D2E"/>
    <w:rsid w:val="00F01DBB"/>
    <w:rsid w:val="00F01FC3"/>
    <w:rsid w:val="00F02202"/>
    <w:rsid w:val="00F02219"/>
    <w:rsid w:val="00F0243D"/>
    <w:rsid w:val="00F042A1"/>
    <w:rsid w:val="00F05251"/>
    <w:rsid w:val="00F0530D"/>
    <w:rsid w:val="00F053AA"/>
    <w:rsid w:val="00F0554C"/>
    <w:rsid w:val="00F05F83"/>
    <w:rsid w:val="00F060D9"/>
    <w:rsid w:val="00F06B67"/>
    <w:rsid w:val="00F06D35"/>
    <w:rsid w:val="00F07198"/>
    <w:rsid w:val="00F077A8"/>
    <w:rsid w:val="00F07B4A"/>
    <w:rsid w:val="00F07E78"/>
    <w:rsid w:val="00F10250"/>
    <w:rsid w:val="00F10663"/>
    <w:rsid w:val="00F10C46"/>
    <w:rsid w:val="00F110AA"/>
    <w:rsid w:val="00F115DD"/>
    <w:rsid w:val="00F11E84"/>
    <w:rsid w:val="00F11EB7"/>
    <w:rsid w:val="00F11F54"/>
    <w:rsid w:val="00F1200E"/>
    <w:rsid w:val="00F120B8"/>
    <w:rsid w:val="00F12552"/>
    <w:rsid w:val="00F12667"/>
    <w:rsid w:val="00F12AA9"/>
    <w:rsid w:val="00F13560"/>
    <w:rsid w:val="00F13648"/>
    <w:rsid w:val="00F13AD7"/>
    <w:rsid w:val="00F13BC8"/>
    <w:rsid w:val="00F13C41"/>
    <w:rsid w:val="00F1409E"/>
    <w:rsid w:val="00F14132"/>
    <w:rsid w:val="00F14604"/>
    <w:rsid w:val="00F14828"/>
    <w:rsid w:val="00F14E36"/>
    <w:rsid w:val="00F16B1E"/>
    <w:rsid w:val="00F16D4B"/>
    <w:rsid w:val="00F16FC3"/>
    <w:rsid w:val="00F17401"/>
    <w:rsid w:val="00F1771F"/>
    <w:rsid w:val="00F177F9"/>
    <w:rsid w:val="00F17CB8"/>
    <w:rsid w:val="00F2004B"/>
    <w:rsid w:val="00F2011F"/>
    <w:rsid w:val="00F20367"/>
    <w:rsid w:val="00F2143B"/>
    <w:rsid w:val="00F2165D"/>
    <w:rsid w:val="00F21978"/>
    <w:rsid w:val="00F21B10"/>
    <w:rsid w:val="00F21D2D"/>
    <w:rsid w:val="00F21E8E"/>
    <w:rsid w:val="00F224BC"/>
    <w:rsid w:val="00F22FA5"/>
    <w:rsid w:val="00F231C7"/>
    <w:rsid w:val="00F23301"/>
    <w:rsid w:val="00F239EC"/>
    <w:rsid w:val="00F2435B"/>
    <w:rsid w:val="00F243DC"/>
    <w:rsid w:val="00F24781"/>
    <w:rsid w:val="00F247E8"/>
    <w:rsid w:val="00F24A91"/>
    <w:rsid w:val="00F24C50"/>
    <w:rsid w:val="00F253A4"/>
    <w:rsid w:val="00F25421"/>
    <w:rsid w:val="00F25596"/>
    <w:rsid w:val="00F255F9"/>
    <w:rsid w:val="00F2569C"/>
    <w:rsid w:val="00F26950"/>
    <w:rsid w:val="00F26FE0"/>
    <w:rsid w:val="00F271B5"/>
    <w:rsid w:val="00F275DE"/>
    <w:rsid w:val="00F275EA"/>
    <w:rsid w:val="00F27CB5"/>
    <w:rsid w:val="00F27D23"/>
    <w:rsid w:val="00F3056E"/>
    <w:rsid w:val="00F30E9F"/>
    <w:rsid w:val="00F31048"/>
    <w:rsid w:val="00F310C0"/>
    <w:rsid w:val="00F3166B"/>
    <w:rsid w:val="00F317C9"/>
    <w:rsid w:val="00F32A32"/>
    <w:rsid w:val="00F32E12"/>
    <w:rsid w:val="00F333FF"/>
    <w:rsid w:val="00F3403E"/>
    <w:rsid w:val="00F34224"/>
    <w:rsid w:val="00F3432E"/>
    <w:rsid w:val="00F344D9"/>
    <w:rsid w:val="00F3497F"/>
    <w:rsid w:val="00F34985"/>
    <w:rsid w:val="00F3499F"/>
    <w:rsid w:val="00F34A14"/>
    <w:rsid w:val="00F35074"/>
    <w:rsid w:val="00F3582D"/>
    <w:rsid w:val="00F35B24"/>
    <w:rsid w:val="00F36170"/>
    <w:rsid w:val="00F36475"/>
    <w:rsid w:val="00F36852"/>
    <w:rsid w:val="00F36E82"/>
    <w:rsid w:val="00F36EB8"/>
    <w:rsid w:val="00F36F4E"/>
    <w:rsid w:val="00F3722D"/>
    <w:rsid w:val="00F3733E"/>
    <w:rsid w:val="00F374C2"/>
    <w:rsid w:val="00F376C2"/>
    <w:rsid w:val="00F378E5"/>
    <w:rsid w:val="00F37D40"/>
    <w:rsid w:val="00F409D6"/>
    <w:rsid w:val="00F40AEA"/>
    <w:rsid w:val="00F40B8F"/>
    <w:rsid w:val="00F40C1F"/>
    <w:rsid w:val="00F40EAE"/>
    <w:rsid w:val="00F40F6E"/>
    <w:rsid w:val="00F40FF0"/>
    <w:rsid w:val="00F41BAB"/>
    <w:rsid w:val="00F41C42"/>
    <w:rsid w:val="00F421F9"/>
    <w:rsid w:val="00F42260"/>
    <w:rsid w:val="00F424E4"/>
    <w:rsid w:val="00F425E0"/>
    <w:rsid w:val="00F4279F"/>
    <w:rsid w:val="00F4295D"/>
    <w:rsid w:val="00F42AE1"/>
    <w:rsid w:val="00F4306A"/>
    <w:rsid w:val="00F4376F"/>
    <w:rsid w:val="00F43A52"/>
    <w:rsid w:val="00F43E82"/>
    <w:rsid w:val="00F43EED"/>
    <w:rsid w:val="00F43F36"/>
    <w:rsid w:val="00F44778"/>
    <w:rsid w:val="00F45061"/>
    <w:rsid w:val="00F4530F"/>
    <w:rsid w:val="00F4608B"/>
    <w:rsid w:val="00F460BD"/>
    <w:rsid w:val="00F46382"/>
    <w:rsid w:val="00F463A8"/>
    <w:rsid w:val="00F46D6E"/>
    <w:rsid w:val="00F4766B"/>
    <w:rsid w:val="00F47AE3"/>
    <w:rsid w:val="00F501A4"/>
    <w:rsid w:val="00F50BEC"/>
    <w:rsid w:val="00F511A9"/>
    <w:rsid w:val="00F514E3"/>
    <w:rsid w:val="00F518D8"/>
    <w:rsid w:val="00F519BE"/>
    <w:rsid w:val="00F51A9F"/>
    <w:rsid w:val="00F51EF5"/>
    <w:rsid w:val="00F5259C"/>
    <w:rsid w:val="00F52776"/>
    <w:rsid w:val="00F52880"/>
    <w:rsid w:val="00F52A1A"/>
    <w:rsid w:val="00F530C1"/>
    <w:rsid w:val="00F538C9"/>
    <w:rsid w:val="00F54280"/>
    <w:rsid w:val="00F54386"/>
    <w:rsid w:val="00F5465E"/>
    <w:rsid w:val="00F5467D"/>
    <w:rsid w:val="00F54AA9"/>
    <w:rsid w:val="00F54BEC"/>
    <w:rsid w:val="00F54C89"/>
    <w:rsid w:val="00F5559F"/>
    <w:rsid w:val="00F559B3"/>
    <w:rsid w:val="00F55A67"/>
    <w:rsid w:val="00F55EBE"/>
    <w:rsid w:val="00F56061"/>
    <w:rsid w:val="00F56265"/>
    <w:rsid w:val="00F563F0"/>
    <w:rsid w:val="00F56432"/>
    <w:rsid w:val="00F566A4"/>
    <w:rsid w:val="00F56896"/>
    <w:rsid w:val="00F5695C"/>
    <w:rsid w:val="00F56980"/>
    <w:rsid w:val="00F56A0D"/>
    <w:rsid w:val="00F56F36"/>
    <w:rsid w:val="00F57333"/>
    <w:rsid w:val="00F575C2"/>
    <w:rsid w:val="00F57FE4"/>
    <w:rsid w:val="00F6031A"/>
    <w:rsid w:val="00F60A1D"/>
    <w:rsid w:val="00F6101F"/>
    <w:rsid w:val="00F610D6"/>
    <w:rsid w:val="00F61430"/>
    <w:rsid w:val="00F61612"/>
    <w:rsid w:val="00F62BD2"/>
    <w:rsid w:val="00F62C9C"/>
    <w:rsid w:val="00F62D66"/>
    <w:rsid w:val="00F63410"/>
    <w:rsid w:val="00F634E0"/>
    <w:rsid w:val="00F63A01"/>
    <w:rsid w:val="00F640EC"/>
    <w:rsid w:val="00F6414A"/>
    <w:rsid w:val="00F6446E"/>
    <w:rsid w:val="00F649AD"/>
    <w:rsid w:val="00F64FF7"/>
    <w:rsid w:val="00F651A8"/>
    <w:rsid w:val="00F6543E"/>
    <w:rsid w:val="00F65D6A"/>
    <w:rsid w:val="00F65F85"/>
    <w:rsid w:val="00F6627C"/>
    <w:rsid w:val="00F66326"/>
    <w:rsid w:val="00F663C9"/>
    <w:rsid w:val="00F67304"/>
    <w:rsid w:val="00F67CDD"/>
    <w:rsid w:val="00F67EE9"/>
    <w:rsid w:val="00F70906"/>
    <w:rsid w:val="00F70CEC"/>
    <w:rsid w:val="00F70F13"/>
    <w:rsid w:val="00F713F3"/>
    <w:rsid w:val="00F718A5"/>
    <w:rsid w:val="00F71BEA"/>
    <w:rsid w:val="00F71E89"/>
    <w:rsid w:val="00F71EE4"/>
    <w:rsid w:val="00F72D27"/>
    <w:rsid w:val="00F73392"/>
    <w:rsid w:val="00F73554"/>
    <w:rsid w:val="00F73889"/>
    <w:rsid w:val="00F73ED9"/>
    <w:rsid w:val="00F74028"/>
    <w:rsid w:val="00F745BF"/>
    <w:rsid w:val="00F74603"/>
    <w:rsid w:val="00F74C72"/>
    <w:rsid w:val="00F75646"/>
    <w:rsid w:val="00F756C1"/>
    <w:rsid w:val="00F756F7"/>
    <w:rsid w:val="00F75796"/>
    <w:rsid w:val="00F757C9"/>
    <w:rsid w:val="00F75BFF"/>
    <w:rsid w:val="00F75E6F"/>
    <w:rsid w:val="00F76509"/>
    <w:rsid w:val="00F76E3A"/>
    <w:rsid w:val="00F7717C"/>
    <w:rsid w:val="00F775D3"/>
    <w:rsid w:val="00F77CB2"/>
    <w:rsid w:val="00F80022"/>
    <w:rsid w:val="00F805A5"/>
    <w:rsid w:val="00F805F2"/>
    <w:rsid w:val="00F80892"/>
    <w:rsid w:val="00F81215"/>
    <w:rsid w:val="00F814A5"/>
    <w:rsid w:val="00F81A9C"/>
    <w:rsid w:val="00F825E6"/>
    <w:rsid w:val="00F82ADB"/>
    <w:rsid w:val="00F82CCA"/>
    <w:rsid w:val="00F82D23"/>
    <w:rsid w:val="00F82D3B"/>
    <w:rsid w:val="00F82EC9"/>
    <w:rsid w:val="00F82F96"/>
    <w:rsid w:val="00F83329"/>
    <w:rsid w:val="00F833EA"/>
    <w:rsid w:val="00F835AB"/>
    <w:rsid w:val="00F83BBA"/>
    <w:rsid w:val="00F8463A"/>
    <w:rsid w:val="00F84E82"/>
    <w:rsid w:val="00F859F8"/>
    <w:rsid w:val="00F85A04"/>
    <w:rsid w:val="00F85AC2"/>
    <w:rsid w:val="00F85DD2"/>
    <w:rsid w:val="00F861F9"/>
    <w:rsid w:val="00F86333"/>
    <w:rsid w:val="00F86FB4"/>
    <w:rsid w:val="00F8707B"/>
    <w:rsid w:val="00F871C6"/>
    <w:rsid w:val="00F874C1"/>
    <w:rsid w:val="00F876FD"/>
    <w:rsid w:val="00F8774C"/>
    <w:rsid w:val="00F87827"/>
    <w:rsid w:val="00F879B2"/>
    <w:rsid w:val="00F87FA3"/>
    <w:rsid w:val="00F90110"/>
    <w:rsid w:val="00F90381"/>
    <w:rsid w:val="00F909E8"/>
    <w:rsid w:val="00F91513"/>
    <w:rsid w:val="00F92029"/>
    <w:rsid w:val="00F924AD"/>
    <w:rsid w:val="00F924FB"/>
    <w:rsid w:val="00F92556"/>
    <w:rsid w:val="00F92742"/>
    <w:rsid w:val="00F9281B"/>
    <w:rsid w:val="00F92BE8"/>
    <w:rsid w:val="00F92CE1"/>
    <w:rsid w:val="00F93075"/>
    <w:rsid w:val="00F93544"/>
    <w:rsid w:val="00F9364F"/>
    <w:rsid w:val="00F936A0"/>
    <w:rsid w:val="00F93AF1"/>
    <w:rsid w:val="00F93E48"/>
    <w:rsid w:val="00F947B5"/>
    <w:rsid w:val="00F94D44"/>
    <w:rsid w:val="00F95D1B"/>
    <w:rsid w:val="00F95F18"/>
    <w:rsid w:val="00F960D2"/>
    <w:rsid w:val="00F9638F"/>
    <w:rsid w:val="00F968A8"/>
    <w:rsid w:val="00F96AAA"/>
    <w:rsid w:val="00F96AD0"/>
    <w:rsid w:val="00F96B8B"/>
    <w:rsid w:val="00F96C3F"/>
    <w:rsid w:val="00F96DB0"/>
    <w:rsid w:val="00F96DF3"/>
    <w:rsid w:val="00F96E11"/>
    <w:rsid w:val="00F96EC7"/>
    <w:rsid w:val="00F978AC"/>
    <w:rsid w:val="00F97D4A"/>
    <w:rsid w:val="00F97D4B"/>
    <w:rsid w:val="00FA0550"/>
    <w:rsid w:val="00FA0564"/>
    <w:rsid w:val="00FA1347"/>
    <w:rsid w:val="00FA14C7"/>
    <w:rsid w:val="00FA1597"/>
    <w:rsid w:val="00FA1E55"/>
    <w:rsid w:val="00FA20A6"/>
    <w:rsid w:val="00FA217A"/>
    <w:rsid w:val="00FA2266"/>
    <w:rsid w:val="00FA23EC"/>
    <w:rsid w:val="00FA2481"/>
    <w:rsid w:val="00FA2951"/>
    <w:rsid w:val="00FA2ACD"/>
    <w:rsid w:val="00FA35A0"/>
    <w:rsid w:val="00FA3A27"/>
    <w:rsid w:val="00FA3B32"/>
    <w:rsid w:val="00FA3B9B"/>
    <w:rsid w:val="00FA3EBA"/>
    <w:rsid w:val="00FA3F87"/>
    <w:rsid w:val="00FA4562"/>
    <w:rsid w:val="00FA468A"/>
    <w:rsid w:val="00FA49DC"/>
    <w:rsid w:val="00FA558A"/>
    <w:rsid w:val="00FA6397"/>
    <w:rsid w:val="00FA676D"/>
    <w:rsid w:val="00FA67D2"/>
    <w:rsid w:val="00FA6B90"/>
    <w:rsid w:val="00FA746B"/>
    <w:rsid w:val="00FA7B16"/>
    <w:rsid w:val="00FA7DC0"/>
    <w:rsid w:val="00FA7F81"/>
    <w:rsid w:val="00FB020F"/>
    <w:rsid w:val="00FB03DB"/>
    <w:rsid w:val="00FB08D9"/>
    <w:rsid w:val="00FB22CF"/>
    <w:rsid w:val="00FB2636"/>
    <w:rsid w:val="00FB29CF"/>
    <w:rsid w:val="00FB3438"/>
    <w:rsid w:val="00FB35F8"/>
    <w:rsid w:val="00FB3C75"/>
    <w:rsid w:val="00FB3E9F"/>
    <w:rsid w:val="00FB431D"/>
    <w:rsid w:val="00FB434E"/>
    <w:rsid w:val="00FB4385"/>
    <w:rsid w:val="00FB454D"/>
    <w:rsid w:val="00FB5395"/>
    <w:rsid w:val="00FB53C3"/>
    <w:rsid w:val="00FB575B"/>
    <w:rsid w:val="00FB584C"/>
    <w:rsid w:val="00FB6015"/>
    <w:rsid w:val="00FB64A2"/>
    <w:rsid w:val="00FB7240"/>
    <w:rsid w:val="00FB734A"/>
    <w:rsid w:val="00FB7A8F"/>
    <w:rsid w:val="00FB7C9F"/>
    <w:rsid w:val="00FB7DD3"/>
    <w:rsid w:val="00FC001D"/>
    <w:rsid w:val="00FC0143"/>
    <w:rsid w:val="00FC0166"/>
    <w:rsid w:val="00FC088A"/>
    <w:rsid w:val="00FC09B4"/>
    <w:rsid w:val="00FC0C5A"/>
    <w:rsid w:val="00FC1211"/>
    <w:rsid w:val="00FC1345"/>
    <w:rsid w:val="00FC1361"/>
    <w:rsid w:val="00FC140F"/>
    <w:rsid w:val="00FC16B0"/>
    <w:rsid w:val="00FC1B0A"/>
    <w:rsid w:val="00FC1C0F"/>
    <w:rsid w:val="00FC2445"/>
    <w:rsid w:val="00FC28F6"/>
    <w:rsid w:val="00FC2B2F"/>
    <w:rsid w:val="00FC2B92"/>
    <w:rsid w:val="00FC3478"/>
    <w:rsid w:val="00FC39CF"/>
    <w:rsid w:val="00FC39E7"/>
    <w:rsid w:val="00FC424F"/>
    <w:rsid w:val="00FC4268"/>
    <w:rsid w:val="00FC5069"/>
    <w:rsid w:val="00FC51FB"/>
    <w:rsid w:val="00FC5BF9"/>
    <w:rsid w:val="00FC5CBE"/>
    <w:rsid w:val="00FC6627"/>
    <w:rsid w:val="00FC69CC"/>
    <w:rsid w:val="00FC6D62"/>
    <w:rsid w:val="00FC707C"/>
    <w:rsid w:val="00FC7284"/>
    <w:rsid w:val="00FC7372"/>
    <w:rsid w:val="00FC741A"/>
    <w:rsid w:val="00FC7423"/>
    <w:rsid w:val="00FC7748"/>
    <w:rsid w:val="00FC7776"/>
    <w:rsid w:val="00FC7F27"/>
    <w:rsid w:val="00FD02D3"/>
    <w:rsid w:val="00FD05AC"/>
    <w:rsid w:val="00FD11A7"/>
    <w:rsid w:val="00FD169F"/>
    <w:rsid w:val="00FD170A"/>
    <w:rsid w:val="00FD195B"/>
    <w:rsid w:val="00FD19DE"/>
    <w:rsid w:val="00FD1D85"/>
    <w:rsid w:val="00FD1EC3"/>
    <w:rsid w:val="00FD1F5D"/>
    <w:rsid w:val="00FD21FB"/>
    <w:rsid w:val="00FD24A8"/>
    <w:rsid w:val="00FD295A"/>
    <w:rsid w:val="00FD2D8C"/>
    <w:rsid w:val="00FD2E66"/>
    <w:rsid w:val="00FD2F33"/>
    <w:rsid w:val="00FD32BE"/>
    <w:rsid w:val="00FD34FE"/>
    <w:rsid w:val="00FD3568"/>
    <w:rsid w:val="00FD3796"/>
    <w:rsid w:val="00FD3A0C"/>
    <w:rsid w:val="00FD3E60"/>
    <w:rsid w:val="00FD3FBC"/>
    <w:rsid w:val="00FD40D8"/>
    <w:rsid w:val="00FD4120"/>
    <w:rsid w:val="00FD43D7"/>
    <w:rsid w:val="00FD4A33"/>
    <w:rsid w:val="00FD5284"/>
    <w:rsid w:val="00FD52B4"/>
    <w:rsid w:val="00FD541D"/>
    <w:rsid w:val="00FD5827"/>
    <w:rsid w:val="00FD5A02"/>
    <w:rsid w:val="00FD6729"/>
    <w:rsid w:val="00FD6A5E"/>
    <w:rsid w:val="00FD703D"/>
    <w:rsid w:val="00FD72A6"/>
    <w:rsid w:val="00FE055A"/>
    <w:rsid w:val="00FE0654"/>
    <w:rsid w:val="00FE08A2"/>
    <w:rsid w:val="00FE103D"/>
    <w:rsid w:val="00FE138E"/>
    <w:rsid w:val="00FE1590"/>
    <w:rsid w:val="00FE15FD"/>
    <w:rsid w:val="00FE1798"/>
    <w:rsid w:val="00FE18F4"/>
    <w:rsid w:val="00FE225F"/>
    <w:rsid w:val="00FE2802"/>
    <w:rsid w:val="00FE2BEF"/>
    <w:rsid w:val="00FE2FEE"/>
    <w:rsid w:val="00FE358D"/>
    <w:rsid w:val="00FE379F"/>
    <w:rsid w:val="00FE3F49"/>
    <w:rsid w:val="00FE4048"/>
    <w:rsid w:val="00FE4942"/>
    <w:rsid w:val="00FE4EF5"/>
    <w:rsid w:val="00FE4F38"/>
    <w:rsid w:val="00FE591A"/>
    <w:rsid w:val="00FE5CBB"/>
    <w:rsid w:val="00FE5D31"/>
    <w:rsid w:val="00FE5F16"/>
    <w:rsid w:val="00FE5F47"/>
    <w:rsid w:val="00FE62F0"/>
    <w:rsid w:val="00FE657D"/>
    <w:rsid w:val="00FE69F3"/>
    <w:rsid w:val="00FE6A94"/>
    <w:rsid w:val="00FE6D63"/>
    <w:rsid w:val="00FE6E32"/>
    <w:rsid w:val="00FE7536"/>
    <w:rsid w:val="00FE76E3"/>
    <w:rsid w:val="00FF02B0"/>
    <w:rsid w:val="00FF02C1"/>
    <w:rsid w:val="00FF054F"/>
    <w:rsid w:val="00FF05C2"/>
    <w:rsid w:val="00FF0EA3"/>
    <w:rsid w:val="00FF0EB6"/>
    <w:rsid w:val="00FF137C"/>
    <w:rsid w:val="00FF18AC"/>
    <w:rsid w:val="00FF2889"/>
    <w:rsid w:val="00FF2B6D"/>
    <w:rsid w:val="00FF2C81"/>
    <w:rsid w:val="00FF327E"/>
    <w:rsid w:val="00FF33F5"/>
    <w:rsid w:val="00FF35A2"/>
    <w:rsid w:val="00FF3A7C"/>
    <w:rsid w:val="00FF3E87"/>
    <w:rsid w:val="00FF45B8"/>
    <w:rsid w:val="00FF47E3"/>
    <w:rsid w:val="00FF51C5"/>
    <w:rsid w:val="00FF5EC0"/>
    <w:rsid w:val="00FF5FAE"/>
    <w:rsid w:val="00FF6270"/>
    <w:rsid w:val="00FF6601"/>
    <w:rsid w:val="00FF6D27"/>
    <w:rsid w:val="00FF6EDB"/>
    <w:rsid w:val="00FF7349"/>
    <w:rsid w:val="00FF7A04"/>
    <w:rsid w:val="00FF7CF8"/>
    <w:rsid w:val="00FF7D68"/>
    <w:rsid w:val="00FF7F0B"/>
    <w:rsid w:val="03C76A45"/>
    <w:rsid w:val="03EC412B"/>
    <w:rsid w:val="04122CD0"/>
    <w:rsid w:val="043BB91D"/>
    <w:rsid w:val="055622B0"/>
    <w:rsid w:val="059D7C93"/>
    <w:rsid w:val="066C4730"/>
    <w:rsid w:val="08D072AC"/>
    <w:rsid w:val="09EC6231"/>
    <w:rsid w:val="0A4DDC99"/>
    <w:rsid w:val="0A5A3D4D"/>
    <w:rsid w:val="0A78CFCE"/>
    <w:rsid w:val="0B687897"/>
    <w:rsid w:val="0C338263"/>
    <w:rsid w:val="0C5B07DB"/>
    <w:rsid w:val="0CB07417"/>
    <w:rsid w:val="0D63EB89"/>
    <w:rsid w:val="0D799768"/>
    <w:rsid w:val="0E112F89"/>
    <w:rsid w:val="0E4AE3B2"/>
    <w:rsid w:val="0E5260FE"/>
    <w:rsid w:val="0EEC584C"/>
    <w:rsid w:val="0EF9DDC8"/>
    <w:rsid w:val="0FBBF987"/>
    <w:rsid w:val="0FD148B0"/>
    <w:rsid w:val="10C047F2"/>
    <w:rsid w:val="1216C0CA"/>
    <w:rsid w:val="12AD9BAF"/>
    <w:rsid w:val="14AC118D"/>
    <w:rsid w:val="14B60798"/>
    <w:rsid w:val="14CF0DA0"/>
    <w:rsid w:val="14E881D2"/>
    <w:rsid w:val="1512FFBE"/>
    <w:rsid w:val="15AD4BDE"/>
    <w:rsid w:val="1651B5A4"/>
    <w:rsid w:val="165DAA50"/>
    <w:rsid w:val="175A12D1"/>
    <w:rsid w:val="1764AF28"/>
    <w:rsid w:val="189B0308"/>
    <w:rsid w:val="19D9215D"/>
    <w:rsid w:val="1A347113"/>
    <w:rsid w:val="1A393670"/>
    <w:rsid w:val="1A53832F"/>
    <w:rsid w:val="1CABB88B"/>
    <w:rsid w:val="1DD561F2"/>
    <w:rsid w:val="1F42D7A4"/>
    <w:rsid w:val="1F58BCA8"/>
    <w:rsid w:val="1F5A2AC4"/>
    <w:rsid w:val="20CB5344"/>
    <w:rsid w:val="2104B432"/>
    <w:rsid w:val="24852AF3"/>
    <w:rsid w:val="2556A64A"/>
    <w:rsid w:val="262A2FDB"/>
    <w:rsid w:val="264C8D78"/>
    <w:rsid w:val="2663C370"/>
    <w:rsid w:val="26BC23B4"/>
    <w:rsid w:val="278A1ACF"/>
    <w:rsid w:val="28299820"/>
    <w:rsid w:val="28A8D02F"/>
    <w:rsid w:val="29F39876"/>
    <w:rsid w:val="2A1C47EE"/>
    <w:rsid w:val="2AD0C84B"/>
    <w:rsid w:val="2AE18AD6"/>
    <w:rsid w:val="2BD920EE"/>
    <w:rsid w:val="2C04B9B7"/>
    <w:rsid w:val="2E5B73A5"/>
    <w:rsid w:val="2F836BC9"/>
    <w:rsid w:val="31D27992"/>
    <w:rsid w:val="320DC2BA"/>
    <w:rsid w:val="322D8433"/>
    <w:rsid w:val="32B0296E"/>
    <w:rsid w:val="32D16ACC"/>
    <w:rsid w:val="332EE4C8"/>
    <w:rsid w:val="33DA2962"/>
    <w:rsid w:val="34341D41"/>
    <w:rsid w:val="348EA2AE"/>
    <w:rsid w:val="35B0B1F6"/>
    <w:rsid w:val="377E4AC9"/>
    <w:rsid w:val="38556083"/>
    <w:rsid w:val="386647AD"/>
    <w:rsid w:val="388B8782"/>
    <w:rsid w:val="38B68659"/>
    <w:rsid w:val="39946F23"/>
    <w:rsid w:val="3D3CA295"/>
    <w:rsid w:val="3DCC69BF"/>
    <w:rsid w:val="3E4773E9"/>
    <w:rsid w:val="3FE0CAB8"/>
    <w:rsid w:val="430146F5"/>
    <w:rsid w:val="430BBD5D"/>
    <w:rsid w:val="448E1091"/>
    <w:rsid w:val="457A27CE"/>
    <w:rsid w:val="45D2EB37"/>
    <w:rsid w:val="46322348"/>
    <w:rsid w:val="466D1A55"/>
    <w:rsid w:val="485A5AD7"/>
    <w:rsid w:val="4B20A8A7"/>
    <w:rsid w:val="4B71964F"/>
    <w:rsid w:val="4C14E0E8"/>
    <w:rsid w:val="4C5346CF"/>
    <w:rsid w:val="4D119655"/>
    <w:rsid w:val="4FC44F19"/>
    <w:rsid w:val="5080120C"/>
    <w:rsid w:val="55E24CA7"/>
    <w:rsid w:val="565FFFFF"/>
    <w:rsid w:val="576E89BF"/>
    <w:rsid w:val="58386493"/>
    <w:rsid w:val="58BB9854"/>
    <w:rsid w:val="58DCB12F"/>
    <w:rsid w:val="591704F5"/>
    <w:rsid w:val="5A57C9DE"/>
    <w:rsid w:val="5AC6C3E4"/>
    <w:rsid w:val="5AC8131A"/>
    <w:rsid w:val="5B3BDB0D"/>
    <w:rsid w:val="5C40C34D"/>
    <w:rsid w:val="5D0CC224"/>
    <w:rsid w:val="5D105B7E"/>
    <w:rsid w:val="60595106"/>
    <w:rsid w:val="606CE206"/>
    <w:rsid w:val="607592B6"/>
    <w:rsid w:val="610E3462"/>
    <w:rsid w:val="61840F6C"/>
    <w:rsid w:val="61955CD7"/>
    <w:rsid w:val="6197BE08"/>
    <w:rsid w:val="621D4D5C"/>
    <w:rsid w:val="626A6B18"/>
    <w:rsid w:val="63E8DE24"/>
    <w:rsid w:val="64B64C3F"/>
    <w:rsid w:val="64DBCD79"/>
    <w:rsid w:val="652BF34F"/>
    <w:rsid w:val="65CC6476"/>
    <w:rsid w:val="6618A5E0"/>
    <w:rsid w:val="66B898CE"/>
    <w:rsid w:val="66F113D3"/>
    <w:rsid w:val="670D314D"/>
    <w:rsid w:val="67920E8D"/>
    <w:rsid w:val="67A624C8"/>
    <w:rsid w:val="680135B8"/>
    <w:rsid w:val="695046A2"/>
    <w:rsid w:val="6A26E9E8"/>
    <w:rsid w:val="6AD26CFF"/>
    <w:rsid w:val="6B25268D"/>
    <w:rsid w:val="6B44469F"/>
    <w:rsid w:val="6BD7067C"/>
    <w:rsid w:val="6D7FAA2A"/>
    <w:rsid w:val="6DA214FE"/>
    <w:rsid w:val="6DE1922B"/>
    <w:rsid w:val="6F0CF88D"/>
    <w:rsid w:val="70393B10"/>
    <w:rsid w:val="708DA66E"/>
    <w:rsid w:val="70E359C8"/>
    <w:rsid w:val="710FAEBF"/>
    <w:rsid w:val="73BEFA3E"/>
    <w:rsid w:val="748C321C"/>
    <w:rsid w:val="75619AD1"/>
    <w:rsid w:val="766870BE"/>
    <w:rsid w:val="77BFBC1D"/>
    <w:rsid w:val="77C28547"/>
    <w:rsid w:val="77CD4730"/>
    <w:rsid w:val="781EBD68"/>
    <w:rsid w:val="78444CF5"/>
    <w:rsid w:val="78A00E02"/>
    <w:rsid w:val="7B0F88EC"/>
    <w:rsid w:val="7BE309D7"/>
    <w:rsid w:val="7BFDC635"/>
    <w:rsid w:val="7D45F15E"/>
    <w:rsid w:val="7D78A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55469"/>
  <w15:docId w15:val="{1E54AF3F-F045-4895-B36E-004B8F5D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C8"/>
    <w:rPr>
      <w:sz w:val="24"/>
      <w:szCs w:val="24"/>
      <w:lang w:eastAsia="en-US"/>
    </w:rPr>
  </w:style>
  <w:style w:type="paragraph" w:styleId="Heading1">
    <w:name w:val="heading 1"/>
    <w:aliases w:val="H1-Sec.Head"/>
    <w:basedOn w:val="Normal"/>
    <w:next w:val="Normal"/>
    <w:qFormat/>
    <w:rsid w:val="008054B3"/>
    <w:pPr>
      <w:keepNext/>
      <w:widowControl w:val="0"/>
      <w:overflowPunct w:val="0"/>
      <w:autoSpaceDE w:val="0"/>
      <w:autoSpaceDN w:val="0"/>
      <w:adjustRightInd w:val="0"/>
      <w:spacing w:before="120" w:after="120"/>
      <w:textAlignment w:val="baseline"/>
      <w:outlineLvl w:val="0"/>
    </w:pPr>
    <w:rPr>
      <w:b/>
      <w:bCs/>
      <w:sz w:val="28"/>
      <w:u w:val="single"/>
    </w:rPr>
  </w:style>
  <w:style w:type="paragraph" w:styleId="Heading2">
    <w:name w:val="heading 2"/>
    <w:aliases w:val="H2-Sec. Head"/>
    <w:basedOn w:val="Normal"/>
    <w:next w:val="Normal"/>
    <w:qFormat/>
    <w:rsid w:val="002065C9"/>
    <w:pPr>
      <w:keepNext/>
      <w:widowControl w:val="0"/>
      <w:tabs>
        <w:tab w:val="left" w:pos="630"/>
      </w:tabs>
      <w:overflowPunct w:val="0"/>
      <w:autoSpaceDE w:val="0"/>
      <w:autoSpaceDN w:val="0"/>
      <w:adjustRightInd w:val="0"/>
      <w:spacing w:before="120" w:after="120"/>
      <w:ind w:left="634" w:hanging="634"/>
      <w:textAlignment w:val="baseline"/>
      <w:outlineLvl w:val="1"/>
    </w:pPr>
    <w:rPr>
      <w:b/>
      <w:bCs/>
    </w:rPr>
  </w:style>
  <w:style w:type="paragraph" w:styleId="Heading3">
    <w:name w:val="heading 3"/>
    <w:aliases w:val="H3-Sec. Head"/>
    <w:basedOn w:val="Heading4"/>
    <w:next w:val="Normal"/>
    <w:qFormat/>
    <w:rsid w:val="00AA2382"/>
    <w:pPr>
      <w:outlineLvl w:val="2"/>
    </w:pPr>
    <w:rPr>
      <w:b w:val="0"/>
      <w:bCs/>
    </w:rPr>
  </w:style>
  <w:style w:type="paragraph" w:styleId="Heading4">
    <w:name w:val="heading 4"/>
    <w:aliases w:val="H4 Sec.Heading"/>
    <w:basedOn w:val="Normal"/>
    <w:next w:val="Normal"/>
    <w:qFormat/>
    <w:rsid w:val="003F3701"/>
    <w:pPr>
      <w:keepNext/>
      <w:widowControl w:val="0"/>
      <w:overflowPunct w:val="0"/>
      <w:autoSpaceDE w:val="0"/>
      <w:autoSpaceDN w:val="0"/>
      <w:adjustRightInd w:val="0"/>
      <w:spacing w:before="120" w:after="120"/>
      <w:ind w:left="1440" w:hanging="1440"/>
      <w:textAlignment w:val="baseline"/>
      <w:outlineLvl w:val="3"/>
    </w:pPr>
    <w:rPr>
      <w:b/>
      <w:i/>
    </w:rPr>
  </w:style>
  <w:style w:type="paragraph" w:styleId="Heading5">
    <w:name w:val="heading 5"/>
    <w:basedOn w:val="Normal"/>
    <w:next w:val="Normal"/>
    <w:link w:val="Heading5Char"/>
    <w:qFormat/>
    <w:rsid w:val="003841DE"/>
    <w:pPr>
      <w:overflowPunct w:val="0"/>
      <w:autoSpaceDE w:val="0"/>
      <w:autoSpaceDN w:val="0"/>
      <w:adjustRightInd w:val="0"/>
      <w:spacing w:before="240" w:after="60"/>
      <w:textAlignment w:val="baseline"/>
      <w:outlineLvl w:val="4"/>
    </w:pPr>
    <w:rPr>
      <w:bCs/>
      <w:iCs/>
      <w:szCs w:val="26"/>
      <w:u w:val="single"/>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rPr>
  </w:style>
  <w:style w:type="paragraph" w:styleId="Heading7">
    <w:name w:val="heading 7"/>
    <w:basedOn w:val="Normal"/>
    <w:next w:val="Normal"/>
    <w:qFormat/>
    <w:pPr>
      <w:keepNext/>
      <w:widowControl w:val="0"/>
      <w:overflowPunct w:val="0"/>
      <w:autoSpaceDE w:val="0"/>
      <w:autoSpaceDN w:val="0"/>
      <w:adjustRightInd w:val="0"/>
      <w:jc w:val="right"/>
      <w:textAlignment w:val="baseline"/>
      <w:outlineLvl w:val="6"/>
    </w:pPr>
    <w:rPr>
      <w:u w:val="single"/>
    </w:rPr>
  </w:style>
  <w:style w:type="paragraph" w:styleId="Heading8">
    <w:name w:val="heading 8"/>
    <w:basedOn w:val="Normal"/>
    <w:next w:val="Normal"/>
    <w:qFormat/>
    <w:pPr>
      <w:keepNext/>
      <w:widowControl w:val="0"/>
      <w:overflowPunct w:val="0"/>
      <w:autoSpaceDE w:val="0"/>
      <w:autoSpaceDN w:val="0"/>
      <w:adjustRightInd w:val="0"/>
      <w:jc w:val="center"/>
      <w:textAlignment w:val="baseline"/>
      <w:outlineLvl w:val="7"/>
    </w:pPr>
    <w:rPr>
      <w:b/>
      <w:bCs/>
      <w:sz w:val="20"/>
      <w:szCs w:val="20"/>
    </w:rPr>
  </w:style>
  <w:style w:type="paragraph" w:styleId="Heading9">
    <w:name w:val="heading 9"/>
    <w:basedOn w:val="Normal"/>
    <w:next w:val="Normal"/>
    <w:qFormat/>
    <w:pPr>
      <w:keepNext/>
      <w:widowControl w:val="0"/>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60" w:lineRule="auto"/>
      <w:textAlignment w:val="baseline"/>
      <w:outlineLvl w:val="8"/>
    </w:pPr>
    <w:rPr>
      <w:rFonts w:ascii="Univers" w:hAnsi="Univers" w:cs="Univers"/>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widowControl w:val="0"/>
      <w:overflowPunct w:val="0"/>
      <w:autoSpaceDE w:val="0"/>
      <w:autoSpaceDN w:val="0"/>
      <w:adjustRightInd w:val="0"/>
      <w:textAlignment w:val="baseline"/>
    </w:p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semiHidden/>
    <w:rPr>
      <w:sz w:val="20"/>
      <w:szCs w:val="20"/>
    </w:rPr>
  </w:style>
  <w:style w:type="paragraph" w:customStyle="1" w:styleId="BHLevel6">
    <w:name w:val="BHLevel6"/>
    <w:basedOn w:val="Normal"/>
    <w:next w:val="Normal"/>
    <w:pPr>
      <w:widowControl w:val="0"/>
      <w:overflowPunct w:val="0"/>
      <w:autoSpaceDE w:val="0"/>
      <w:autoSpaceDN w:val="0"/>
      <w:adjustRightInd w:val="0"/>
      <w:spacing w:before="480" w:after="240"/>
      <w:textAlignment w:val="baseline"/>
    </w:pPr>
    <w:rPr>
      <w:b/>
      <w:bCs/>
      <w:smallCaps/>
    </w:rPr>
  </w:style>
  <w:style w:type="paragraph" w:customStyle="1" w:styleId="BodyText22">
    <w:name w:val="Body Text 22"/>
    <w:basedOn w:val="Normal"/>
    <w:pPr>
      <w:widowControl w:val="0"/>
      <w:tabs>
        <w:tab w:val="left" w:pos="0"/>
        <w:tab w:val="left" w:pos="72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rFonts w:ascii="Univers" w:hAnsi="Univers" w:cs="Univers"/>
      <w:b/>
      <w:bCs/>
      <w:sz w:val="22"/>
      <w:szCs w:val="22"/>
    </w:rPr>
  </w:style>
  <w:style w:type="paragraph" w:customStyle="1" w:styleId="1AutoList1">
    <w:name w:val="1AutoList1"/>
    <w:pPr>
      <w:widowControl w:val="0"/>
      <w:tabs>
        <w:tab w:val="left" w:pos="720"/>
      </w:tabs>
      <w:overflowPunct w:val="0"/>
      <w:autoSpaceDE w:val="0"/>
      <w:autoSpaceDN w:val="0"/>
      <w:adjustRightInd w:val="0"/>
      <w:ind w:left="720" w:hanging="720"/>
      <w:textAlignment w:val="baseline"/>
    </w:pPr>
    <w:rPr>
      <w:sz w:val="24"/>
      <w:szCs w:val="24"/>
      <w:lang w:eastAsia="en-US"/>
    </w:rPr>
  </w:style>
  <w:style w:type="paragraph" w:styleId="BodyTextIndent3">
    <w:name w:val="Body Text Indent 3"/>
    <w:basedOn w:val="Normal"/>
    <w:link w:val="BodyTextIndent3Char"/>
    <w:semiHidden/>
    <w:pPr>
      <w:widowControl w:val="0"/>
      <w:overflowPunct w:val="0"/>
      <w:autoSpaceDE w:val="0"/>
      <w:autoSpaceDN w:val="0"/>
      <w:adjustRightInd w:val="0"/>
      <w:ind w:left="360"/>
      <w:textAlignment w:val="baseline"/>
    </w:pPr>
  </w:style>
  <w:style w:type="paragraph" w:styleId="BodyText2">
    <w:name w:val="Body Text 2"/>
    <w:basedOn w:val="Normal"/>
    <w:semiHidden/>
    <w:pPr>
      <w:overflowPunct w:val="0"/>
      <w:autoSpaceDE w:val="0"/>
      <w:autoSpaceDN w:val="0"/>
      <w:adjustRightInd w:val="0"/>
      <w:spacing w:after="120"/>
      <w:ind w:left="360"/>
      <w:textAlignment w:val="baseline"/>
    </w:pPr>
    <w:rPr>
      <w:sz w:val="20"/>
      <w:szCs w:val="20"/>
    </w:rPr>
  </w:style>
  <w:style w:type="paragraph" w:styleId="FootnoteText">
    <w:name w:val="footnote text"/>
    <w:aliases w:val="F1"/>
    <w:basedOn w:val="Normal"/>
    <w:link w:val="FootnoteTextChar"/>
    <w:uiPriority w:val="99"/>
    <w:semiHidden/>
    <w:pPr>
      <w:widowControl w:val="0"/>
      <w:overflowPunct w:val="0"/>
      <w:autoSpaceDE w:val="0"/>
      <w:autoSpaceDN w:val="0"/>
      <w:adjustRightInd w:val="0"/>
      <w:textAlignment w:val="baseline"/>
    </w:pPr>
    <w:rPr>
      <w:sz w:val="20"/>
      <w:szCs w:val="20"/>
    </w:rPr>
  </w:style>
  <w:style w:type="character" w:styleId="FootnoteReference">
    <w:name w:val="footnote reference"/>
    <w:rPr>
      <w:sz w:val="20"/>
      <w:szCs w:val="20"/>
      <w:vertAlign w:val="superscript"/>
    </w:rPr>
  </w:style>
  <w:style w:type="paragraph" w:styleId="BlockText">
    <w:name w:val="Block Text"/>
    <w:basedOn w:val="Normal"/>
    <w:semiHidden/>
    <w:pPr>
      <w:widowControl w:val="0"/>
      <w:tabs>
        <w:tab w:val="left" w:pos="1170"/>
        <w:tab w:val="left" w:pos="1710"/>
        <w:tab w:val="left" w:pos="3168"/>
        <w:tab w:val="left" w:pos="4224"/>
        <w:tab w:val="left" w:pos="5280"/>
        <w:tab w:val="left" w:pos="6336"/>
        <w:tab w:val="left" w:pos="7392"/>
        <w:tab w:val="left" w:pos="8448"/>
        <w:tab w:val="left" w:pos="9504"/>
        <w:tab w:val="left" w:pos="10560"/>
        <w:tab w:val="left" w:pos="11616"/>
        <w:tab w:val="left" w:pos="12672"/>
        <w:tab w:val="left" w:pos="13728"/>
        <w:tab w:val="left" w:pos="14784"/>
        <w:tab w:val="left" w:pos="15840"/>
        <w:tab w:val="left" w:pos="16896"/>
        <w:tab w:val="left" w:pos="17952"/>
        <w:tab w:val="left" w:pos="19008"/>
        <w:tab w:val="left" w:pos="20064"/>
      </w:tabs>
      <w:overflowPunct w:val="0"/>
      <w:autoSpaceDE w:val="0"/>
      <w:autoSpaceDN w:val="0"/>
      <w:adjustRightInd w:val="0"/>
      <w:ind w:left="1710" w:right="720" w:hanging="990"/>
      <w:textAlignment w:val="baseline"/>
    </w:pPr>
    <w:rPr>
      <w:sz w:val="22"/>
      <w:szCs w:val="22"/>
    </w:rPr>
  </w:style>
  <w:style w:type="paragraph" w:customStyle="1" w:styleId="BodyText21">
    <w:name w:val="Body Text 21"/>
    <w:basedOn w:val="Normal"/>
    <w:pPr>
      <w:widowControl w:val="0"/>
      <w:overflowPunct w:val="0"/>
      <w:autoSpaceDE w:val="0"/>
      <w:autoSpaceDN w:val="0"/>
      <w:adjustRightInd w:val="0"/>
      <w:ind w:left="1440" w:hanging="1440"/>
      <w:textAlignment w:val="baseline"/>
    </w:pPr>
    <w:rPr>
      <w:b/>
      <w:bCs/>
    </w:rPr>
  </w:style>
  <w:style w:type="paragraph" w:styleId="BodyText3">
    <w:name w:val="Body Text 3"/>
    <w:basedOn w:val="Normal"/>
    <w:semiHidden/>
    <w:pPr>
      <w:widowControl w:val="0"/>
      <w:overflowPunct w:val="0"/>
      <w:autoSpaceDE w:val="0"/>
      <w:autoSpaceDN w:val="0"/>
      <w:adjustRightInd w:val="0"/>
      <w:textAlignment w:val="baseline"/>
    </w:pPr>
    <w:rPr>
      <w:i/>
      <w:iCs/>
    </w:rPr>
  </w:style>
  <w:style w:type="paragraph" w:styleId="BodyTextIndent2">
    <w:name w:val="Body Text Indent 2"/>
    <w:basedOn w:val="Normal"/>
    <w:semiHidden/>
    <w:pPr>
      <w:widowControl w:val="0"/>
      <w:overflowPunct w:val="0"/>
      <w:autoSpaceDE w:val="0"/>
      <w:autoSpaceDN w:val="0"/>
      <w:adjustRightInd w:val="0"/>
      <w:ind w:left="720"/>
      <w:textAlignment w:val="baseline"/>
    </w:pPr>
  </w:style>
  <w:style w:type="paragraph" w:styleId="Title">
    <w:name w:val="Title"/>
    <w:basedOn w:val="Normal"/>
    <w:qFormat/>
    <w:rsid w:val="001357C0"/>
    <w:pPr>
      <w:widowControl w:val="0"/>
      <w:overflowPunct w:val="0"/>
      <w:autoSpaceDE w:val="0"/>
      <w:autoSpaceDN w:val="0"/>
      <w:adjustRightInd w:val="0"/>
      <w:jc w:val="center"/>
      <w:textAlignment w:val="baseline"/>
    </w:pPr>
    <w:rPr>
      <w:rFonts w:cs="Univers"/>
      <w:b/>
      <w:bCs/>
      <w:caps/>
      <w:sz w:val="28"/>
    </w:rPr>
  </w:style>
  <w:style w:type="paragraph" w:styleId="BalloonText">
    <w:name w:val="Balloon Text"/>
    <w:basedOn w:val="Normal"/>
    <w:link w:val="BalloonTextChar"/>
    <w:uiPriority w:val="99"/>
    <w:pPr>
      <w:overflowPunct w:val="0"/>
      <w:autoSpaceDE w:val="0"/>
      <w:autoSpaceDN w:val="0"/>
      <w:adjustRightInd w:val="0"/>
      <w:textAlignment w:val="baseline"/>
    </w:pPr>
    <w:rPr>
      <w:rFonts w:ascii="Tahoma" w:hAnsi="Tahoma" w:cs="Tahoma"/>
      <w:sz w:val="16"/>
      <w:szCs w:val="16"/>
    </w:rPr>
  </w:style>
  <w:style w:type="character" w:customStyle="1" w:styleId="MemoBody">
    <w:name w:val="Memo Body"/>
    <w:rPr>
      <w:rFonts w:ascii="Times New Roman" w:hAnsi="Times New Roman" w:cs="Times New Roman"/>
      <w:sz w:val="24"/>
      <w:szCs w:val="24"/>
    </w:rPr>
  </w:style>
  <w:style w:type="character" w:styleId="Hyperlink">
    <w:name w:val="Hyperlink"/>
    <w:uiPriority w:val="99"/>
    <w:rPr>
      <w:color w:val="0000FF"/>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Pr>
      <w:b/>
      <w:bCs/>
    </w:rPr>
  </w:style>
  <w:style w:type="paragraph" w:customStyle="1" w:styleId="P1-StandPara">
    <w:name w:val="P1-Stand Para"/>
    <w:pPr>
      <w:spacing w:line="360" w:lineRule="atLeast"/>
      <w:ind w:firstLine="1152"/>
      <w:jc w:val="both"/>
    </w:pPr>
    <w:rPr>
      <w:sz w:val="22"/>
      <w:szCs w:val="22"/>
      <w:lang w:eastAsia="en-US"/>
    </w:rPr>
  </w:style>
  <w:style w:type="paragraph" w:customStyle="1" w:styleId="TT-TableTitle">
    <w:name w:val="TT-Table Title"/>
    <w:uiPriority w:val="99"/>
    <w:pPr>
      <w:tabs>
        <w:tab w:val="left" w:pos="1152"/>
      </w:tabs>
      <w:spacing w:line="240" w:lineRule="atLeast"/>
      <w:ind w:left="1152" w:hanging="1152"/>
    </w:pPr>
    <w:rPr>
      <w:sz w:val="22"/>
      <w:szCs w:val="22"/>
      <w:lang w:eastAsia="en-US"/>
    </w:rPr>
  </w:style>
  <w:style w:type="character" w:styleId="FollowedHyperlink">
    <w:name w:val="FollowedHyperlink"/>
    <w:semiHidden/>
    <w:rPr>
      <w:color w:val="800080"/>
      <w:u w:val="single"/>
    </w:rPr>
  </w:style>
  <w:style w:type="paragraph" w:customStyle="1" w:styleId="N2-2ndBullet">
    <w:name w:val="N2-2nd Bullet"/>
    <w:basedOn w:val="Normal"/>
    <w:pPr>
      <w:numPr>
        <w:numId w:val="2"/>
      </w:numPr>
      <w:spacing w:after="240"/>
      <w:ind w:left="1440" w:hanging="720"/>
      <w:jc w:val="both"/>
    </w:pPr>
  </w:style>
  <w:style w:type="paragraph" w:customStyle="1" w:styleId="NormalOMB">
    <w:name w:val="Normal OMB"/>
    <w:basedOn w:val="Normal"/>
    <w:pPr>
      <w:overflowPunct w:val="0"/>
      <w:autoSpaceDE w:val="0"/>
      <w:autoSpaceDN w:val="0"/>
      <w:adjustRightInd w:val="0"/>
      <w:ind w:firstLine="720"/>
      <w:textAlignment w:val="baseline"/>
    </w:pPr>
  </w:style>
  <w:style w:type="character" w:customStyle="1" w:styleId="NormalOMBChar">
    <w:name w:val="Normal OMB Char"/>
    <w:rPr>
      <w:sz w:val="24"/>
      <w:szCs w:val="24"/>
      <w:lang w:val="en-US" w:eastAsia="en-US"/>
    </w:rPr>
  </w:style>
  <w:style w:type="paragraph" w:customStyle="1" w:styleId="FootnoteTex">
    <w:name w:val="Footnote Tex"/>
    <w:uiPriority w:val="99"/>
    <w:rsid w:val="007D453E"/>
    <w:pPr>
      <w:keepNext/>
      <w:keepLines/>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20" w:line="199" w:lineRule="atLeast"/>
      <w:ind w:left="115" w:hanging="115"/>
    </w:pPr>
    <w:rPr>
      <w:sz w:val="16"/>
      <w:szCs w:val="16"/>
      <w:lang w:eastAsia="en-US"/>
    </w:rPr>
  </w:style>
  <w:style w:type="paragraph" w:customStyle="1" w:styleId="P1-StandPar">
    <w:name w:val="P1-Stand Par"/>
    <w:basedOn w:val="Normal"/>
    <w:pPr>
      <w:widowControl w:val="0"/>
      <w:autoSpaceDE w:val="0"/>
      <w:autoSpaceDN w:val="0"/>
      <w:adjustRightInd w:val="0"/>
      <w:ind w:firstLine="1152"/>
    </w:pPr>
    <w:rPr>
      <w:sz w:val="22"/>
      <w:szCs w:val="22"/>
    </w:rPr>
  </w:style>
  <w:style w:type="character" w:customStyle="1" w:styleId="Hypertext">
    <w:name w:val="Hypertext"/>
    <w:rPr>
      <w:color w:val="0000FF"/>
      <w:u w:val="single"/>
    </w:rPr>
  </w:style>
  <w:style w:type="paragraph" w:customStyle="1" w:styleId="N3-bullet">
    <w:name w:val="N3-bullet"/>
    <w:basedOn w:val="N2-2ndBullet"/>
    <w:pPr>
      <w:numPr>
        <w:numId w:val="3"/>
      </w:numPr>
      <w:tabs>
        <w:tab w:val="left" w:pos="2160"/>
      </w:tabs>
      <w:spacing w:after="120"/>
    </w:pPr>
  </w:style>
  <w:style w:type="paragraph" w:customStyle="1" w:styleId="Heading3OMB">
    <w:name w:val="Heading 3 (OMB)"/>
    <w:basedOn w:val="Heading1"/>
    <w:next w:val="NormalOMB"/>
    <w:rPr>
      <w:rFonts w:ascii="Arial" w:hAnsi="Arial" w:cs="Arial"/>
      <w:i/>
      <w:iCs/>
      <w:u w:val="none"/>
    </w:rPr>
  </w:style>
  <w:style w:type="paragraph" w:customStyle="1" w:styleId="SL-FlLftSgl">
    <w:name w:val="SL-Fl Lft Sgl"/>
    <w:pPr>
      <w:spacing w:line="240" w:lineRule="atLeast"/>
      <w:jc w:val="both"/>
    </w:pPr>
    <w:rPr>
      <w:sz w:val="22"/>
      <w:szCs w:val="22"/>
      <w:lang w:eastAsia="en-US"/>
    </w:rPr>
  </w:style>
  <w:style w:type="paragraph" w:styleId="TOC4">
    <w:name w:val="toc 4"/>
    <w:basedOn w:val="Normal"/>
    <w:autoRedefine/>
    <w:uiPriority w:val="39"/>
    <w:pPr>
      <w:tabs>
        <w:tab w:val="left" w:pos="3888"/>
        <w:tab w:val="right" w:leader="dot" w:pos="8208"/>
        <w:tab w:val="left" w:pos="8640"/>
      </w:tabs>
      <w:spacing w:line="240" w:lineRule="atLeast"/>
      <w:ind w:left="3888" w:hanging="864"/>
    </w:pPr>
    <w:rPr>
      <w:sz w:val="22"/>
      <w:szCs w:val="22"/>
    </w:rPr>
  </w:style>
  <w:style w:type="paragraph" w:customStyle="1" w:styleId="N3-3rdBullet">
    <w:name w:val="N3-3rd Bullet"/>
    <w:basedOn w:val="Normal"/>
    <w:pPr>
      <w:tabs>
        <w:tab w:val="left" w:pos="2304"/>
      </w:tabs>
      <w:spacing w:after="240" w:line="240" w:lineRule="atLeast"/>
      <w:ind w:left="2304" w:hanging="576"/>
      <w:jc w:val="both"/>
    </w:pPr>
    <w:rPr>
      <w:sz w:val="22"/>
      <w:szCs w:val="22"/>
    </w:rPr>
  </w:style>
  <w:style w:type="paragraph" w:customStyle="1" w:styleId="Heading2UOMB">
    <w:name w:val="Heading 2U (OMB)"/>
    <w:basedOn w:val="Normal"/>
    <w:next w:val="NormalOMB"/>
    <w:pPr>
      <w:overflowPunct w:val="0"/>
      <w:autoSpaceDE w:val="0"/>
      <w:autoSpaceDN w:val="0"/>
      <w:adjustRightInd w:val="0"/>
      <w:textAlignment w:val="baseline"/>
    </w:pPr>
    <w:rPr>
      <w:rFonts w:ascii="Univers" w:hAnsi="Univers" w:cs="Univers"/>
      <w:b/>
      <w:bCs/>
      <w:u w:val="single"/>
    </w:rPr>
  </w:style>
  <w:style w:type="paragraph" w:customStyle="1" w:styleId="Num-SL">
    <w:name w:val="Num - SL"/>
    <w:basedOn w:val="SL-FlLftSgl"/>
    <w:pPr>
      <w:keepNext/>
      <w:numPr>
        <w:numId w:val="4"/>
      </w:numPr>
      <w:tabs>
        <w:tab w:val="left" w:pos="360"/>
        <w:tab w:val="left" w:pos="720"/>
        <w:tab w:val="left" w:pos="1080"/>
        <w:tab w:val="left" w:pos="1440"/>
      </w:tabs>
      <w:outlineLvl w:val="0"/>
    </w:pPr>
    <w:rPr>
      <w:b/>
      <w:b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aliases w:val="F1 Char"/>
    <w:link w:val="FootnoteText"/>
    <w:uiPriority w:val="99"/>
    <w:semiHidden/>
    <w:rsid w:val="00E16463"/>
  </w:style>
  <w:style w:type="paragraph" w:customStyle="1" w:styleId="StyleHeading2UOMBNounderline">
    <w:name w:val="Style Heading 2U (OMB) + No underline"/>
    <w:basedOn w:val="Heading2UOMB"/>
    <w:rsid w:val="00E16463"/>
    <w:pPr>
      <w:keepNext/>
    </w:pPr>
    <w:rPr>
      <w:rFonts w:cs="Times New Roman"/>
      <w:u w:val="none"/>
    </w:rPr>
  </w:style>
  <w:style w:type="character" w:styleId="IntenseReference">
    <w:name w:val="Intense Reference"/>
    <w:uiPriority w:val="32"/>
    <w:qFormat/>
    <w:rsid w:val="00B037A8"/>
    <w:rPr>
      <w:b/>
      <w:bCs/>
      <w:color w:val="76923C"/>
      <w:u w:val="single" w:color="9BBB59"/>
    </w:rPr>
  </w:style>
  <w:style w:type="paragraph" w:customStyle="1" w:styleId="yiv8742907490msonormal">
    <w:name w:val="yiv8742907490msonormal"/>
    <w:basedOn w:val="Normal"/>
    <w:rsid w:val="005E51C6"/>
    <w:pPr>
      <w:spacing w:before="100" w:beforeAutospacing="1" w:after="100" w:afterAutospacing="1"/>
    </w:pPr>
  </w:style>
  <w:style w:type="paragraph" w:styleId="ListParagraph">
    <w:name w:val="List Paragraph"/>
    <w:basedOn w:val="Normal"/>
    <w:link w:val="ListParagraphChar"/>
    <w:uiPriority w:val="34"/>
    <w:qFormat/>
    <w:rsid w:val="00000D64"/>
    <w:pPr>
      <w:ind w:left="720"/>
    </w:pPr>
  </w:style>
  <w:style w:type="paragraph" w:customStyle="1" w:styleId="yiv6721985681msonormal">
    <w:name w:val="yiv6721985681msonormal"/>
    <w:basedOn w:val="Normal"/>
    <w:rsid w:val="00247284"/>
    <w:pPr>
      <w:spacing w:before="100" w:beforeAutospacing="1" w:after="100" w:afterAutospacing="1"/>
    </w:pPr>
  </w:style>
  <w:style w:type="table" w:styleId="TableGrid">
    <w:name w:val="Table Grid"/>
    <w:basedOn w:val="TableNormal"/>
    <w:uiPriority w:val="39"/>
    <w:rsid w:val="00FF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E4A"/>
    <w:rPr>
      <w:sz w:val="24"/>
      <w:szCs w:val="24"/>
      <w:lang w:eastAsia="en-US"/>
    </w:rPr>
  </w:style>
  <w:style w:type="character" w:customStyle="1" w:styleId="CommentTextChar">
    <w:name w:val="Comment Text Char"/>
    <w:link w:val="CommentText"/>
    <w:uiPriority w:val="99"/>
    <w:rsid w:val="00470F08"/>
  </w:style>
  <w:style w:type="character" w:customStyle="1" w:styleId="BodyTextChar">
    <w:name w:val="Body Text Char"/>
    <w:link w:val="BodyText"/>
    <w:semiHidden/>
    <w:rsid w:val="007465C7"/>
    <w:rPr>
      <w:sz w:val="24"/>
      <w:szCs w:val="24"/>
    </w:rPr>
  </w:style>
  <w:style w:type="paragraph" w:customStyle="1" w:styleId="yiv3496205743msonormal">
    <w:name w:val="yiv3496205743msonormal"/>
    <w:basedOn w:val="Normal"/>
    <w:rsid w:val="0071623C"/>
    <w:pPr>
      <w:spacing w:before="100" w:beforeAutospacing="1" w:after="100" w:afterAutospacing="1"/>
    </w:pPr>
  </w:style>
  <w:style w:type="character" w:customStyle="1" w:styleId="BodyTextIndent3Char">
    <w:name w:val="Body Text Indent 3 Char"/>
    <w:link w:val="BodyTextIndent3"/>
    <w:semiHidden/>
    <w:rsid w:val="002937CA"/>
    <w:rPr>
      <w:sz w:val="24"/>
      <w:szCs w:val="24"/>
    </w:rPr>
  </w:style>
  <w:style w:type="paragraph" w:customStyle="1" w:styleId="Default">
    <w:name w:val="Default"/>
    <w:rsid w:val="00015749"/>
    <w:pPr>
      <w:autoSpaceDE w:val="0"/>
      <w:autoSpaceDN w:val="0"/>
      <w:adjustRightInd w:val="0"/>
    </w:pPr>
    <w:rPr>
      <w:rFonts w:eastAsia="Calibri"/>
      <w:color w:val="000000"/>
      <w:sz w:val="24"/>
      <w:szCs w:val="24"/>
      <w:lang w:eastAsia="en-US"/>
    </w:rPr>
  </w:style>
  <w:style w:type="character" w:customStyle="1" w:styleId="Heading5Char">
    <w:name w:val="Heading 5 Char"/>
    <w:link w:val="Heading5"/>
    <w:rsid w:val="003841DE"/>
    <w:rPr>
      <w:bCs/>
      <w:iCs/>
      <w:sz w:val="24"/>
      <w:szCs w:val="26"/>
      <w:u w:val="single"/>
      <w:lang w:eastAsia="en-US"/>
    </w:rPr>
  </w:style>
  <w:style w:type="paragraph" w:customStyle="1" w:styleId="yiv7766864819msonormal">
    <w:name w:val="yiv7766864819msonormal"/>
    <w:basedOn w:val="Normal"/>
    <w:rsid w:val="008E1A66"/>
    <w:pPr>
      <w:spacing w:before="100" w:beforeAutospacing="1" w:after="100" w:afterAutospacing="1"/>
    </w:pPr>
  </w:style>
  <w:style w:type="paragraph" w:customStyle="1" w:styleId="yiv2052853482msonormal">
    <w:name w:val="yiv2052853482msonormal"/>
    <w:basedOn w:val="Normal"/>
    <w:rsid w:val="008E1A66"/>
    <w:pPr>
      <w:spacing w:before="100" w:beforeAutospacing="1" w:after="100" w:afterAutospacing="1"/>
    </w:pPr>
  </w:style>
  <w:style w:type="paragraph" w:customStyle="1" w:styleId="yiv4530927745msonormal">
    <w:name w:val="yiv4530927745msonormal"/>
    <w:basedOn w:val="Normal"/>
    <w:rsid w:val="00D331F5"/>
    <w:pPr>
      <w:spacing w:before="100" w:beforeAutospacing="1" w:after="100" w:afterAutospacing="1"/>
    </w:pPr>
  </w:style>
  <w:style w:type="paragraph" w:styleId="NormalWeb">
    <w:name w:val="Normal (Web)"/>
    <w:basedOn w:val="Normal"/>
    <w:uiPriority w:val="99"/>
    <w:unhideWhenUsed/>
    <w:rsid w:val="00D41B8E"/>
    <w:rPr>
      <w:rFonts w:eastAsia="Calibri"/>
    </w:rPr>
  </w:style>
  <w:style w:type="character" w:styleId="Emphasis">
    <w:name w:val="Emphasis"/>
    <w:uiPriority w:val="20"/>
    <w:qFormat/>
    <w:rsid w:val="00BD408F"/>
    <w:rPr>
      <w:b/>
      <w:bCs/>
      <w:i w:val="0"/>
      <w:iCs w:val="0"/>
    </w:rPr>
  </w:style>
  <w:style w:type="character" w:customStyle="1" w:styleId="st1">
    <w:name w:val="st1"/>
    <w:rsid w:val="00BD408F"/>
  </w:style>
  <w:style w:type="paragraph" w:customStyle="1" w:styleId="xmsonormal">
    <w:name w:val="x_msonormal"/>
    <w:basedOn w:val="Normal"/>
    <w:rsid w:val="00754741"/>
    <w:rPr>
      <w:rFonts w:ascii="Calibri" w:eastAsia="Calibri" w:hAnsi="Calibri" w:cs="Calibri"/>
      <w:sz w:val="22"/>
      <w:szCs w:val="22"/>
    </w:rPr>
  </w:style>
  <w:style w:type="paragraph" w:customStyle="1" w:styleId="xxmsonormal0">
    <w:name w:val="x_xmsonormal0"/>
    <w:basedOn w:val="Normal"/>
    <w:rsid w:val="00AC5649"/>
    <w:rPr>
      <w:rFonts w:ascii="Calibri" w:eastAsia="Calibri" w:hAnsi="Calibri" w:cs="Calibri"/>
      <w:sz w:val="22"/>
      <w:szCs w:val="22"/>
    </w:rPr>
  </w:style>
  <w:style w:type="paragraph" w:styleId="List">
    <w:name w:val="List"/>
    <w:basedOn w:val="Normal"/>
    <w:uiPriority w:val="99"/>
    <w:rsid w:val="008A1C64"/>
    <w:pPr>
      <w:widowControl w:val="0"/>
      <w:overflowPunct w:val="0"/>
      <w:autoSpaceDE w:val="0"/>
      <w:autoSpaceDN w:val="0"/>
      <w:adjustRightInd w:val="0"/>
      <w:ind w:left="360" w:hanging="360"/>
      <w:textAlignment w:val="baseline"/>
    </w:pPr>
    <w:rPr>
      <w:rFonts w:ascii="Courier New" w:hAnsi="Courier New"/>
      <w:sz w:val="20"/>
      <w:szCs w:val="20"/>
    </w:rPr>
  </w:style>
  <w:style w:type="paragraph" w:styleId="TOCHeading">
    <w:name w:val="TOC Heading"/>
    <w:basedOn w:val="Heading1"/>
    <w:next w:val="Normal"/>
    <w:uiPriority w:val="39"/>
    <w:unhideWhenUsed/>
    <w:qFormat/>
    <w:rsid w:val="002443E2"/>
    <w:pPr>
      <w:keepLines/>
      <w:widowControl/>
      <w:overflowPunct/>
      <w:autoSpaceDE/>
      <w:autoSpaceDN/>
      <w:adjustRightInd/>
      <w:spacing w:before="240" w:line="259" w:lineRule="auto"/>
      <w:textAlignment w:val="auto"/>
      <w:outlineLvl w:val="9"/>
    </w:pPr>
    <w:rPr>
      <w:rFonts w:ascii="Calibri Light" w:hAnsi="Calibri Light"/>
      <w:b w:val="0"/>
      <w:bCs w:val="0"/>
      <w:color w:val="2F5496"/>
      <w:sz w:val="32"/>
      <w:szCs w:val="32"/>
      <w:u w:val="none"/>
    </w:rPr>
  </w:style>
  <w:style w:type="paragraph" w:styleId="TOC1">
    <w:name w:val="toc 1"/>
    <w:basedOn w:val="Normal"/>
    <w:next w:val="Normal"/>
    <w:autoRedefine/>
    <w:uiPriority w:val="39"/>
    <w:unhideWhenUsed/>
    <w:rsid w:val="00F861F9"/>
    <w:pPr>
      <w:tabs>
        <w:tab w:val="right" w:leader="dot" w:pos="9350"/>
      </w:tabs>
    </w:pPr>
  </w:style>
  <w:style w:type="paragraph" w:styleId="TOC2">
    <w:name w:val="toc 2"/>
    <w:basedOn w:val="Normal"/>
    <w:next w:val="Normal"/>
    <w:autoRedefine/>
    <w:uiPriority w:val="39"/>
    <w:unhideWhenUsed/>
    <w:rsid w:val="00030AA1"/>
    <w:pPr>
      <w:tabs>
        <w:tab w:val="left" w:pos="720"/>
        <w:tab w:val="right" w:leader="dot" w:pos="9350"/>
      </w:tabs>
      <w:ind w:left="240"/>
    </w:pPr>
  </w:style>
  <w:style w:type="character" w:customStyle="1" w:styleId="ListParagraphChar">
    <w:name w:val="List Paragraph Char"/>
    <w:link w:val="ListParagraph"/>
    <w:uiPriority w:val="34"/>
    <w:rsid w:val="00E34543"/>
    <w:rPr>
      <w:sz w:val="24"/>
      <w:szCs w:val="24"/>
    </w:rPr>
  </w:style>
  <w:style w:type="character" w:customStyle="1" w:styleId="OMBNumberBulletsChar">
    <w:name w:val="OMB Number Bullets Char"/>
    <w:link w:val="OMBNumberBullets"/>
    <w:locked/>
    <w:rsid w:val="00AE4D00"/>
    <w:rPr>
      <w:rFonts w:ascii="Helvetica" w:eastAsia="Calibri" w:hAnsi="Helvetica" w:cs="Helvetica"/>
      <w:b/>
      <w:sz w:val="24"/>
      <w:szCs w:val="24"/>
      <w:lang w:eastAsia="en-US"/>
    </w:rPr>
  </w:style>
  <w:style w:type="paragraph" w:customStyle="1" w:styleId="OMBNumberBullets">
    <w:name w:val="OMB Number Bullets"/>
    <w:basedOn w:val="ListParagraph"/>
    <w:link w:val="OMBNumberBulletsChar"/>
    <w:autoRedefine/>
    <w:qFormat/>
    <w:rsid w:val="00AE4D00"/>
    <w:pPr>
      <w:numPr>
        <w:numId w:val="6"/>
      </w:numPr>
      <w:spacing w:after="200"/>
      <w:ind w:left="540" w:hanging="540"/>
      <w:contextualSpacing/>
    </w:pPr>
    <w:rPr>
      <w:rFonts w:ascii="Helvetica" w:eastAsia="Calibri" w:hAnsi="Helvetica" w:cs="Helvetica"/>
      <w:b/>
    </w:rPr>
  </w:style>
  <w:style w:type="paragraph" w:styleId="EndnoteText">
    <w:name w:val="endnote text"/>
    <w:basedOn w:val="Normal"/>
    <w:link w:val="EndnoteTextChar"/>
    <w:uiPriority w:val="99"/>
    <w:unhideWhenUsed/>
    <w:rsid w:val="004D6474"/>
    <w:rPr>
      <w:sz w:val="20"/>
      <w:szCs w:val="20"/>
    </w:rPr>
  </w:style>
  <w:style w:type="character" w:customStyle="1" w:styleId="EndnoteTextChar">
    <w:name w:val="Endnote Text Char"/>
    <w:basedOn w:val="DefaultParagraphFont"/>
    <w:link w:val="EndnoteText"/>
    <w:uiPriority w:val="99"/>
    <w:rsid w:val="004D6474"/>
  </w:style>
  <w:style w:type="character" w:styleId="EndnoteReference">
    <w:name w:val="endnote reference"/>
    <w:uiPriority w:val="99"/>
    <w:semiHidden/>
    <w:unhideWhenUsed/>
    <w:rsid w:val="004D6474"/>
    <w:rPr>
      <w:vertAlign w:val="superscript"/>
    </w:rPr>
  </w:style>
  <w:style w:type="paragraph" w:styleId="TOC3">
    <w:name w:val="toc 3"/>
    <w:basedOn w:val="Normal"/>
    <w:next w:val="Normal"/>
    <w:autoRedefine/>
    <w:uiPriority w:val="39"/>
    <w:unhideWhenUsed/>
    <w:rsid w:val="000D4C18"/>
    <w:pPr>
      <w:tabs>
        <w:tab w:val="left" w:pos="1080"/>
        <w:tab w:val="right" w:leader="dot" w:pos="9350"/>
      </w:tabs>
      <w:ind w:left="480"/>
    </w:pPr>
  </w:style>
  <w:style w:type="paragraph" w:customStyle="1" w:styleId="paragraph">
    <w:name w:val="paragraph"/>
    <w:basedOn w:val="Normal"/>
    <w:rsid w:val="009C37CE"/>
    <w:pPr>
      <w:spacing w:before="100" w:beforeAutospacing="1" w:after="100" w:afterAutospacing="1"/>
    </w:pPr>
  </w:style>
  <w:style w:type="character" w:customStyle="1" w:styleId="normaltextrun">
    <w:name w:val="normaltextrun"/>
    <w:basedOn w:val="DefaultParagraphFont"/>
    <w:rsid w:val="009C37CE"/>
  </w:style>
  <w:style w:type="character" w:customStyle="1" w:styleId="eop">
    <w:name w:val="eop"/>
    <w:basedOn w:val="DefaultParagraphFont"/>
    <w:rsid w:val="009C37CE"/>
  </w:style>
  <w:style w:type="character" w:customStyle="1" w:styleId="scxw243922414">
    <w:name w:val="scxw243922414"/>
    <w:basedOn w:val="DefaultParagraphFont"/>
    <w:rsid w:val="009C37CE"/>
  </w:style>
  <w:style w:type="paragraph" w:customStyle="1" w:styleId="TableTitle">
    <w:name w:val="Table Title"/>
    <w:basedOn w:val="Normal"/>
    <w:link w:val="TableTitleChar"/>
    <w:qFormat/>
    <w:rsid w:val="007D3651"/>
    <w:pPr>
      <w:keepNext/>
    </w:pPr>
    <w:rPr>
      <w:rFonts w:eastAsia="Calibri"/>
      <w:b/>
      <w:bCs/>
      <w:sz w:val="22"/>
      <w:szCs w:val="22"/>
    </w:rPr>
  </w:style>
  <w:style w:type="character" w:customStyle="1" w:styleId="TableTitleChar">
    <w:name w:val="Table Title Char"/>
    <w:link w:val="TableTitle"/>
    <w:rsid w:val="007D3651"/>
    <w:rPr>
      <w:rFonts w:eastAsia="Calibri"/>
      <w:b/>
      <w:bCs/>
      <w:sz w:val="22"/>
      <w:szCs w:val="22"/>
      <w:lang w:eastAsia="en-US"/>
    </w:rPr>
  </w:style>
  <w:style w:type="character" w:customStyle="1" w:styleId="spellingerrorsuperscript">
    <w:name w:val="spellingerrorsuperscript"/>
    <w:basedOn w:val="DefaultParagraphFont"/>
    <w:rsid w:val="00815652"/>
  </w:style>
  <w:style w:type="character" w:customStyle="1" w:styleId="UnresolvedMention1">
    <w:name w:val="Unresolved Mention1"/>
    <w:uiPriority w:val="99"/>
    <w:semiHidden/>
    <w:unhideWhenUsed/>
    <w:rsid w:val="00456A7E"/>
    <w:rPr>
      <w:color w:val="605E5C"/>
      <w:shd w:val="clear" w:color="auto" w:fill="E1DFDD"/>
    </w:rPr>
  </w:style>
  <w:style w:type="paragraph" w:styleId="Caption">
    <w:name w:val="caption"/>
    <w:basedOn w:val="Normal"/>
    <w:next w:val="Normal"/>
    <w:uiPriority w:val="35"/>
    <w:unhideWhenUsed/>
    <w:qFormat/>
    <w:rsid w:val="005532BA"/>
    <w:pPr>
      <w:spacing w:after="60"/>
    </w:pPr>
    <w:rPr>
      <w:b/>
      <w:iCs/>
      <w:color w:val="000000" w:themeColor="text1"/>
      <w:sz w:val="22"/>
      <w:szCs w:val="18"/>
    </w:rPr>
  </w:style>
  <w:style w:type="paragraph" w:styleId="TableofFigures">
    <w:name w:val="table of figures"/>
    <w:basedOn w:val="Normal"/>
    <w:next w:val="Normal"/>
    <w:uiPriority w:val="99"/>
    <w:unhideWhenUsed/>
    <w:rsid w:val="00B53A48"/>
  </w:style>
  <w:style w:type="character" w:customStyle="1" w:styleId="FooterChar">
    <w:name w:val="Footer Char"/>
    <w:basedOn w:val="DefaultParagraphFont"/>
    <w:link w:val="Footer"/>
    <w:uiPriority w:val="99"/>
    <w:rsid w:val="004D2FB2"/>
    <w:rPr>
      <w:lang w:eastAsia="en-US"/>
    </w:rPr>
  </w:style>
  <w:style w:type="character" w:customStyle="1" w:styleId="UnresolvedMention2">
    <w:name w:val="Unresolved Mention2"/>
    <w:basedOn w:val="DefaultParagraphFont"/>
    <w:uiPriority w:val="99"/>
    <w:semiHidden/>
    <w:unhideWhenUsed/>
    <w:rsid w:val="0059227B"/>
    <w:rPr>
      <w:color w:val="605E5C"/>
      <w:shd w:val="clear" w:color="auto" w:fill="E1DFDD"/>
    </w:rPr>
  </w:style>
  <w:style w:type="character" w:customStyle="1" w:styleId="UnresolvedMention3">
    <w:name w:val="Unresolved Mention3"/>
    <w:basedOn w:val="DefaultParagraphFont"/>
    <w:uiPriority w:val="99"/>
    <w:semiHidden/>
    <w:unhideWhenUsed/>
    <w:rsid w:val="00F72D27"/>
    <w:rPr>
      <w:color w:val="605E5C"/>
      <w:shd w:val="clear" w:color="auto" w:fill="E1DFDD"/>
    </w:rPr>
  </w:style>
  <w:style w:type="table" w:customStyle="1" w:styleId="TableGrid1">
    <w:name w:val="Table Grid1"/>
    <w:basedOn w:val="TableNormal"/>
    <w:next w:val="TableGrid"/>
    <w:rsid w:val="00E41A3A"/>
    <w:pPr>
      <w:jc w:val="both"/>
    </w:pPr>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463F6"/>
    <w:rPr>
      <w:color w:val="605E5C"/>
      <w:shd w:val="clear" w:color="auto" w:fill="E1DFDD"/>
    </w:rPr>
  </w:style>
  <w:style w:type="character" w:customStyle="1" w:styleId="UnresolvedMention5">
    <w:name w:val="Unresolved Mention5"/>
    <w:basedOn w:val="DefaultParagraphFont"/>
    <w:uiPriority w:val="99"/>
    <w:semiHidden/>
    <w:unhideWhenUsed/>
    <w:rsid w:val="00370B1A"/>
    <w:rPr>
      <w:color w:val="605E5C"/>
      <w:shd w:val="clear" w:color="auto" w:fill="E1DFDD"/>
    </w:rPr>
  </w:style>
  <w:style w:type="character" w:customStyle="1" w:styleId="UnresolvedMention50">
    <w:name w:val="Unresolved Mention50"/>
    <w:basedOn w:val="DefaultParagraphFont"/>
    <w:uiPriority w:val="99"/>
    <w:semiHidden/>
    <w:unhideWhenUsed/>
    <w:rsid w:val="000B58EA"/>
    <w:rPr>
      <w:color w:val="605E5C"/>
      <w:shd w:val="clear" w:color="auto" w:fill="E1DFDD"/>
    </w:rPr>
  </w:style>
  <w:style w:type="character" w:customStyle="1" w:styleId="BalloonTextChar">
    <w:name w:val="Balloon Text Char"/>
    <w:basedOn w:val="DefaultParagraphFont"/>
    <w:link w:val="BalloonText"/>
    <w:uiPriority w:val="99"/>
    <w:rsid w:val="000B58EA"/>
    <w:rPr>
      <w:rFonts w:ascii="Tahoma" w:hAnsi="Tahoma" w:cs="Tahoma"/>
      <w:sz w:val="16"/>
      <w:szCs w:val="16"/>
      <w:lang w:eastAsia="en-US"/>
    </w:rPr>
  </w:style>
  <w:style w:type="paragraph" w:customStyle="1" w:styleId="Title2">
    <w:name w:val="Title 2"/>
    <w:basedOn w:val="Title"/>
    <w:qFormat/>
    <w:rsid w:val="002A2E67"/>
    <w:rPr>
      <w:caps w:val="0"/>
    </w:rPr>
  </w:style>
  <w:style w:type="character" w:customStyle="1" w:styleId="UnresolvedMention6">
    <w:name w:val="Unresolved Mention6"/>
    <w:basedOn w:val="DefaultParagraphFont"/>
    <w:uiPriority w:val="99"/>
    <w:semiHidden/>
    <w:unhideWhenUsed/>
    <w:rsid w:val="002A2E67"/>
    <w:rPr>
      <w:color w:val="605E5C"/>
      <w:shd w:val="clear" w:color="auto" w:fill="E1DFDD"/>
    </w:rPr>
  </w:style>
  <w:style w:type="character" w:customStyle="1" w:styleId="HeaderChar">
    <w:name w:val="Header Char"/>
    <w:basedOn w:val="DefaultParagraphFont"/>
    <w:link w:val="Header"/>
    <w:uiPriority w:val="99"/>
    <w:rsid w:val="009972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75">
      <w:bodyDiv w:val="1"/>
      <w:marLeft w:val="0"/>
      <w:marRight w:val="0"/>
      <w:marTop w:val="0"/>
      <w:marBottom w:val="0"/>
      <w:divBdr>
        <w:top w:val="none" w:sz="0" w:space="0" w:color="auto"/>
        <w:left w:val="none" w:sz="0" w:space="0" w:color="auto"/>
        <w:bottom w:val="none" w:sz="0" w:space="0" w:color="auto"/>
        <w:right w:val="none" w:sz="0" w:space="0" w:color="auto"/>
      </w:divBdr>
    </w:div>
    <w:div w:id="47262488">
      <w:bodyDiv w:val="1"/>
      <w:marLeft w:val="0"/>
      <w:marRight w:val="0"/>
      <w:marTop w:val="0"/>
      <w:marBottom w:val="0"/>
      <w:divBdr>
        <w:top w:val="none" w:sz="0" w:space="0" w:color="auto"/>
        <w:left w:val="none" w:sz="0" w:space="0" w:color="auto"/>
        <w:bottom w:val="none" w:sz="0" w:space="0" w:color="auto"/>
        <w:right w:val="none" w:sz="0" w:space="0" w:color="auto"/>
      </w:divBdr>
    </w:div>
    <w:div w:id="76489367">
      <w:bodyDiv w:val="1"/>
      <w:marLeft w:val="0"/>
      <w:marRight w:val="0"/>
      <w:marTop w:val="0"/>
      <w:marBottom w:val="0"/>
      <w:divBdr>
        <w:top w:val="none" w:sz="0" w:space="0" w:color="auto"/>
        <w:left w:val="none" w:sz="0" w:space="0" w:color="auto"/>
        <w:bottom w:val="none" w:sz="0" w:space="0" w:color="auto"/>
        <w:right w:val="none" w:sz="0" w:space="0" w:color="auto"/>
      </w:divBdr>
    </w:div>
    <w:div w:id="169764003">
      <w:bodyDiv w:val="1"/>
      <w:marLeft w:val="0"/>
      <w:marRight w:val="0"/>
      <w:marTop w:val="0"/>
      <w:marBottom w:val="0"/>
      <w:divBdr>
        <w:top w:val="none" w:sz="0" w:space="0" w:color="auto"/>
        <w:left w:val="none" w:sz="0" w:space="0" w:color="auto"/>
        <w:bottom w:val="none" w:sz="0" w:space="0" w:color="auto"/>
        <w:right w:val="none" w:sz="0" w:space="0" w:color="auto"/>
      </w:divBdr>
    </w:div>
    <w:div w:id="198208031">
      <w:bodyDiv w:val="1"/>
      <w:marLeft w:val="0"/>
      <w:marRight w:val="0"/>
      <w:marTop w:val="0"/>
      <w:marBottom w:val="0"/>
      <w:divBdr>
        <w:top w:val="none" w:sz="0" w:space="0" w:color="auto"/>
        <w:left w:val="none" w:sz="0" w:space="0" w:color="auto"/>
        <w:bottom w:val="none" w:sz="0" w:space="0" w:color="auto"/>
        <w:right w:val="none" w:sz="0" w:space="0" w:color="auto"/>
      </w:divBdr>
    </w:div>
    <w:div w:id="248583094">
      <w:bodyDiv w:val="1"/>
      <w:marLeft w:val="0"/>
      <w:marRight w:val="0"/>
      <w:marTop w:val="0"/>
      <w:marBottom w:val="0"/>
      <w:divBdr>
        <w:top w:val="none" w:sz="0" w:space="0" w:color="auto"/>
        <w:left w:val="none" w:sz="0" w:space="0" w:color="auto"/>
        <w:bottom w:val="none" w:sz="0" w:space="0" w:color="auto"/>
        <w:right w:val="none" w:sz="0" w:space="0" w:color="auto"/>
      </w:divBdr>
      <w:divsChild>
        <w:div w:id="1593776387">
          <w:marLeft w:val="0"/>
          <w:marRight w:val="0"/>
          <w:marTop w:val="0"/>
          <w:marBottom w:val="0"/>
          <w:divBdr>
            <w:top w:val="none" w:sz="0" w:space="0" w:color="auto"/>
            <w:left w:val="none" w:sz="0" w:space="0" w:color="auto"/>
            <w:bottom w:val="none" w:sz="0" w:space="0" w:color="auto"/>
            <w:right w:val="none" w:sz="0" w:space="0" w:color="auto"/>
          </w:divBdr>
          <w:divsChild>
            <w:div w:id="537938248">
              <w:marLeft w:val="0"/>
              <w:marRight w:val="0"/>
              <w:marTop w:val="0"/>
              <w:marBottom w:val="0"/>
              <w:divBdr>
                <w:top w:val="none" w:sz="0" w:space="0" w:color="auto"/>
                <w:left w:val="none" w:sz="0" w:space="0" w:color="auto"/>
                <w:bottom w:val="none" w:sz="0" w:space="0" w:color="auto"/>
                <w:right w:val="none" w:sz="0" w:space="0" w:color="auto"/>
              </w:divBdr>
              <w:divsChild>
                <w:div w:id="2092385666">
                  <w:marLeft w:val="0"/>
                  <w:marRight w:val="0"/>
                  <w:marTop w:val="0"/>
                  <w:marBottom w:val="0"/>
                  <w:divBdr>
                    <w:top w:val="none" w:sz="0" w:space="0" w:color="auto"/>
                    <w:left w:val="none" w:sz="0" w:space="0" w:color="auto"/>
                    <w:bottom w:val="none" w:sz="0" w:space="0" w:color="auto"/>
                    <w:right w:val="none" w:sz="0" w:space="0" w:color="auto"/>
                  </w:divBdr>
                  <w:divsChild>
                    <w:div w:id="722943794">
                      <w:marLeft w:val="0"/>
                      <w:marRight w:val="0"/>
                      <w:marTop w:val="0"/>
                      <w:marBottom w:val="0"/>
                      <w:divBdr>
                        <w:top w:val="none" w:sz="0" w:space="0" w:color="auto"/>
                        <w:left w:val="none" w:sz="0" w:space="0" w:color="auto"/>
                        <w:bottom w:val="none" w:sz="0" w:space="0" w:color="auto"/>
                        <w:right w:val="none" w:sz="0" w:space="0" w:color="auto"/>
                      </w:divBdr>
                      <w:divsChild>
                        <w:div w:id="1236818795">
                          <w:marLeft w:val="0"/>
                          <w:marRight w:val="0"/>
                          <w:marTop w:val="0"/>
                          <w:marBottom w:val="0"/>
                          <w:divBdr>
                            <w:top w:val="none" w:sz="0" w:space="0" w:color="auto"/>
                            <w:left w:val="none" w:sz="0" w:space="0" w:color="auto"/>
                            <w:bottom w:val="none" w:sz="0" w:space="0" w:color="auto"/>
                            <w:right w:val="none" w:sz="0" w:space="0" w:color="auto"/>
                          </w:divBdr>
                          <w:divsChild>
                            <w:div w:id="1048384725">
                              <w:marLeft w:val="0"/>
                              <w:marRight w:val="0"/>
                              <w:marTop w:val="0"/>
                              <w:marBottom w:val="0"/>
                              <w:divBdr>
                                <w:top w:val="none" w:sz="0" w:space="0" w:color="auto"/>
                                <w:left w:val="none" w:sz="0" w:space="0" w:color="auto"/>
                                <w:bottom w:val="none" w:sz="0" w:space="0" w:color="auto"/>
                                <w:right w:val="none" w:sz="0" w:space="0" w:color="auto"/>
                              </w:divBdr>
                              <w:divsChild>
                                <w:div w:id="1606814772">
                                  <w:marLeft w:val="0"/>
                                  <w:marRight w:val="0"/>
                                  <w:marTop w:val="0"/>
                                  <w:marBottom w:val="0"/>
                                  <w:divBdr>
                                    <w:top w:val="none" w:sz="0" w:space="0" w:color="auto"/>
                                    <w:left w:val="none" w:sz="0" w:space="0" w:color="auto"/>
                                    <w:bottom w:val="none" w:sz="0" w:space="0" w:color="auto"/>
                                    <w:right w:val="none" w:sz="0" w:space="0" w:color="auto"/>
                                  </w:divBdr>
                                  <w:divsChild>
                                    <w:div w:id="1108812011">
                                      <w:marLeft w:val="0"/>
                                      <w:marRight w:val="0"/>
                                      <w:marTop w:val="0"/>
                                      <w:marBottom w:val="0"/>
                                      <w:divBdr>
                                        <w:top w:val="none" w:sz="0" w:space="0" w:color="auto"/>
                                        <w:left w:val="none" w:sz="0" w:space="0" w:color="auto"/>
                                        <w:bottom w:val="none" w:sz="0" w:space="0" w:color="auto"/>
                                        <w:right w:val="none" w:sz="0" w:space="0" w:color="auto"/>
                                      </w:divBdr>
                                      <w:divsChild>
                                        <w:div w:id="1276326327">
                                          <w:marLeft w:val="0"/>
                                          <w:marRight w:val="0"/>
                                          <w:marTop w:val="0"/>
                                          <w:marBottom w:val="0"/>
                                          <w:divBdr>
                                            <w:top w:val="none" w:sz="0" w:space="0" w:color="auto"/>
                                            <w:left w:val="none" w:sz="0" w:space="0" w:color="auto"/>
                                            <w:bottom w:val="none" w:sz="0" w:space="0" w:color="auto"/>
                                            <w:right w:val="none" w:sz="0" w:space="0" w:color="auto"/>
                                          </w:divBdr>
                                          <w:divsChild>
                                            <w:div w:id="792596983">
                                              <w:marLeft w:val="0"/>
                                              <w:marRight w:val="0"/>
                                              <w:marTop w:val="0"/>
                                              <w:marBottom w:val="0"/>
                                              <w:divBdr>
                                                <w:top w:val="none" w:sz="0" w:space="0" w:color="auto"/>
                                                <w:left w:val="none" w:sz="0" w:space="0" w:color="auto"/>
                                                <w:bottom w:val="none" w:sz="0" w:space="0" w:color="auto"/>
                                                <w:right w:val="none" w:sz="0" w:space="0" w:color="auto"/>
                                              </w:divBdr>
                                              <w:divsChild>
                                                <w:div w:id="597373720">
                                                  <w:marLeft w:val="0"/>
                                                  <w:marRight w:val="0"/>
                                                  <w:marTop w:val="0"/>
                                                  <w:marBottom w:val="0"/>
                                                  <w:divBdr>
                                                    <w:top w:val="none" w:sz="0" w:space="0" w:color="auto"/>
                                                    <w:left w:val="none" w:sz="0" w:space="0" w:color="auto"/>
                                                    <w:bottom w:val="none" w:sz="0" w:space="0" w:color="auto"/>
                                                    <w:right w:val="none" w:sz="0" w:space="0" w:color="auto"/>
                                                  </w:divBdr>
                                                  <w:divsChild>
                                                    <w:div w:id="1518275182">
                                                      <w:marLeft w:val="0"/>
                                                      <w:marRight w:val="0"/>
                                                      <w:marTop w:val="0"/>
                                                      <w:marBottom w:val="0"/>
                                                      <w:divBdr>
                                                        <w:top w:val="none" w:sz="0" w:space="0" w:color="auto"/>
                                                        <w:left w:val="none" w:sz="0" w:space="0" w:color="auto"/>
                                                        <w:bottom w:val="none" w:sz="0" w:space="0" w:color="auto"/>
                                                        <w:right w:val="none" w:sz="0" w:space="0" w:color="auto"/>
                                                      </w:divBdr>
                                                      <w:divsChild>
                                                        <w:div w:id="1488402939">
                                                          <w:marLeft w:val="0"/>
                                                          <w:marRight w:val="0"/>
                                                          <w:marTop w:val="0"/>
                                                          <w:marBottom w:val="0"/>
                                                          <w:divBdr>
                                                            <w:top w:val="none" w:sz="0" w:space="0" w:color="auto"/>
                                                            <w:left w:val="none" w:sz="0" w:space="0" w:color="auto"/>
                                                            <w:bottom w:val="none" w:sz="0" w:space="0" w:color="auto"/>
                                                            <w:right w:val="none" w:sz="0" w:space="0" w:color="auto"/>
                                                          </w:divBdr>
                                                          <w:divsChild>
                                                            <w:div w:id="13497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524796">
      <w:bodyDiv w:val="1"/>
      <w:marLeft w:val="0"/>
      <w:marRight w:val="0"/>
      <w:marTop w:val="0"/>
      <w:marBottom w:val="0"/>
      <w:divBdr>
        <w:top w:val="none" w:sz="0" w:space="0" w:color="auto"/>
        <w:left w:val="none" w:sz="0" w:space="0" w:color="auto"/>
        <w:bottom w:val="none" w:sz="0" w:space="0" w:color="auto"/>
        <w:right w:val="none" w:sz="0" w:space="0" w:color="auto"/>
      </w:divBdr>
    </w:div>
    <w:div w:id="333343799">
      <w:bodyDiv w:val="1"/>
      <w:marLeft w:val="0"/>
      <w:marRight w:val="0"/>
      <w:marTop w:val="0"/>
      <w:marBottom w:val="0"/>
      <w:divBdr>
        <w:top w:val="none" w:sz="0" w:space="0" w:color="auto"/>
        <w:left w:val="none" w:sz="0" w:space="0" w:color="auto"/>
        <w:bottom w:val="none" w:sz="0" w:space="0" w:color="auto"/>
        <w:right w:val="none" w:sz="0" w:space="0" w:color="auto"/>
      </w:divBdr>
    </w:div>
    <w:div w:id="344671958">
      <w:bodyDiv w:val="1"/>
      <w:marLeft w:val="0"/>
      <w:marRight w:val="0"/>
      <w:marTop w:val="0"/>
      <w:marBottom w:val="0"/>
      <w:divBdr>
        <w:top w:val="none" w:sz="0" w:space="0" w:color="auto"/>
        <w:left w:val="none" w:sz="0" w:space="0" w:color="auto"/>
        <w:bottom w:val="none" w:sz="0" w:space="0" w:color="auto"/>
        <w:right w:val="none" w:sz="0" w:space="0" w:color="auto"/>
      </w:divBdr>
    </w:div>
    <w:div w:id="365523744">
      <w:bodyDiv w:val="1"/>
      <w:marLeft w:val="0"/>
      <w:marRight w:val="0"/>
      <w:marTop w:val="0"/>
      <w:marBottom w:val="0"/>
      <w:divBdr>
        <w:top w:val="none" w:sz="0" w:space="0" w:color="auto"/>
        <w:left w:val="none" w:sz="0" w:space="0" w:color="auto"/>
        <w:bottom w:val="none" w:sz="0" w:space="0" w:color="auto"/>
        <w:right w:val="none" w:sz="0" w:space="0" w:color="auto"/>
      </w:divBdr>
      <w:divsChild>
        <w:div w:id="1005474220">
          <w:marLeft w:val="0"/>
          <w:marRight w:val="0"/>
          <w:marTop w:val="0"/>
          <w:marBottom w:val="0"/>
          <w:divBdr>
            <w:top w:val="none" w:sz="0" w:space="0" w:color="auto"/>
            <w:left w:val="none" w:sz="0" w:space="0" w:color="auto"/>
            <w:bottom w:val="none" w:sz="0" w:space="0" w:color="auto"/>
            <w:right w:val="none" w:sz="0" w:space="0" w:color="auto"/>
          </w:divBdr>
          <w:divsChild>
            <w:div w:id="761803965">
              <w:marLeft w:val="-75"/>
              <w:marRight w:val="0"/>
              <w:marTop w:val="30"/>
              <w:marBottom w:val="30"/>
              <w:divBdr>
                <w:top w:val="none" w:sz="0" w:space="0" w:color="auto"/>
                <w:left w:val="none" w:sz="0" w:space="0" w:color="auto"/>
                <w:bottom w:val="none" w:sz="0" w:space="0" w:color="auto"/>
                <w:right w:val="none" w:sz="0" w:space="0" w:color="auto"/>
              </w:divBdr>
              <w:divsChild>
                <w:div w:id="7027157">
                  <w:marLeft w:val="0"/>
                  <w:marRight w:val="0"/>
                  <w:marTop w:val="0"/>
                  <w:marBottom w:val="0"/>
                  <w:divBdr>
                    <w:top w:val="none" w:sz="0" w:space="0" w:color="auto"/>
                    <w:left w:val="none" w:sz="0" w:space="0" w:color="auto"/>
                    <w:bottom w:val="none" w:sz="0" w:space="0" w:color="auto"/>
                    <w:right w:val="none" w:sz="0" w:space="0" w:color="auto"/>
                  </w:divBdr>
                  <w:divsChild>
                    <w:div w:id="1181430651">
                      <w:marLeft w:val="0"/>
                      <w:marRight w:val="0"/>
                      <w:marTop w:val="0"/>
                      <w:marBottom w:val="0"/>
                      <w:divBdr>
                        <w:top w:val="none" w:sz="0" w:space="0" w:color="auto"/>
                        <w:left w:val="none" w:sz="0" w:space="0" w:color="auto"/>
                        <w:bottom w:val="none" w:sz="0" w:space="0" w:color="auto"/>
                        <w:right w:val="none" w:sz="0" w:space="0" w:color="auto"/>
                      </w:divBdr>
                    </w:div>
                  </w:divsChild>
                </w:div>
                <w:div w:id="8526719">
                  <w:marLeft w:val="0"/>
                  <w:marRight w:val="0"/>
                  <w:marTop w:val="0"/>
                  <w:marBottom w:val="0"/>
                  <w:divBdr>
                    <w:top w:val="none" w:sz="0" w:space="0" w:color="auto"/>
                    <w:left w:val="none" w:sz="0" w:space="0" w:color="auto"/>
                    <w:bottom w:val="none" w:sz="0" w:space="0" w:color="auto"/>
                    <w:right w:val="none" w:sz="0" w:space="0" w:color="auto"/>
                  </w:divBdr>
                  <w:divsChild>
                    <w:div w:id="1255557645">
                      <w:marLeft w:val="0"/>
                      <w:marRight w:val="0"/>
                      <w:marTop w:val="0"/>
                      <w:marBottom w:val="0"/>
                      <w:divBdr>
                        <w:top w:val="none" w:sz="0" w:space="0" w:color="auto"/>
                        <w:left w:val="none" w:sz="0" w:space="0" w:color="auto"/>
                        <w:bottom w:val="none" w:sz="0" w:space="0" w:color="auto"/>
                        <w:right w:val="none" w:sz="0" w:space="0" w:color="auto"/>
                      </w:divBdr>
                    </w:div>
                  </w:divsChild>
                </w:div>
                <w:div w:id="25064133">
                  <w:marLeft w:val="0"/>
                  <w:marRight w:val="0"/>
                  <w:marTop w:val="0"/>
                  <w:marBottom w:val="0"/>
                  <w:divBdr>
                    <w:top w:val="none" w:sz="0" w:space="0" w:color="auto"/>
                    <w:left w:val="none" w:sz="0" w:space="0" w:color="auto"/>
                    <w:bottom w:val="none" w:sz="0" w:space="0" w:color="auto"/>
                    <w:right w:val="none" w:sz="0" w:space="0" w:color="auto"/>
                  </w:divBdr>
                  <w:divsChild>
                    <w:div w:id="1857185015">
                      <w:marLeft w:val="0"/>
                      <w:marRight w:val="0"/>
                      <w:marTop w:val="0"/>
                      <w:marBottom w:val="0"/>
                      <w:divBdr>
                        <w:top w:val="none" w:sz="0" w:space="0" w:color="auto"/>
                        <w:left w:val="none" w:sz="0" w:space="0" w:color="auto"/>
                        <w:bottom w:val="none" w:sz="0" w:space="0" w:color="auto"/>
                        <w:right w:val="none" w:sz="0" w:space="0" w:color="auto"/>
                      </w:divBdr>
                    </w:div>
                  </w:divsChild>
                </w:div>
                <w:div w:id="43214623">
                  <w:marLeft w:val="0"/>
                  <w:marRight w:val="0"/>
                  <w:marTop w:val="0"/>
                  <w:marBottom w:val="0"/>
                  <w:divBdr>
                    <w:top w:val="none" w:sz="0" w:space="0" w:color="auto"/>
                    <w:left w:val="none" w:sz="0" w:space="0" w:color="auto"/>
                    <w:bottom w:val="none" w:sz="0" w:space="0" w:color="auto"/>
                    <w:right w:val="none" w:sz="0" w:space="0" w:color="auto"/>
                  </w:divBdr>
                  <w:divsChild>
                    <w:div w:id="261306202">
                      <w:marLeft w:val="0"/>
                      <w:marRight w:val="0"/>
                      <w:marTop w:val="0"/>
                      <w:marBottom w:val="0"/>
                      <w:divBdr>
                        <w:top w:val="none" w:sz="0" w:space="0" w:color="auto"/>
                        <w:left w:val="none" w:sz="0" w:space="0" w:color="auto"/>
                        <w:bottom w:val="none" w:sz="0" w:space="0" w:color="auto"/>
                        <w:right w:val="none" w:sz="0" w:space="0" w:color="auto"/>
                      </w:divBdr>
                    </w:div>
                  </w:divsChild>
                </w:div>
                <w:div w:id="45643097">
                  <w:marLeft w:val="0"/>
                  <w:marRight w:val="0"/>
                  <w:marTop w:val="0"/>
                  <w:marBottom w:val="0"/>
                  <w:divBdr>
                    <w:top w:val="none" w:sz="0" w:space="0" w:color="auto"/>
                    <w:left w:val="none" w:sz="0" w:space="0" w:color="auto"/>
                    <w:bottom w:val="none" w:sz="0" w:space="0" w:color="auto"/>
                    <w:right w:val="none" w:sz="0" w:space="0" w:color="auto"/>
                  </w:divBdr>
                  <w:divsChild>
                    <w:div w:id="1305814956">
                      <w:marLeft w:val="0"/>
                      <w:marRight w:val="0"/>
                      <w:marTop w:val="0"/>
                      <w:marBottom w:val="0"/>
                      <w:divBdr>
                        <w:top w:val="none" w:sz="0" w:space="0" w:color="auto"/>
                        <w:left w:val="none" w:sz="0" w:space="0" w:color="auto"/>
                        <w:bottom w:val="none" w:sz="0" w:space="0" w:color="auto"/>
                        <w:right w:val="none" w:sz="0" w:space="0" w:color="auto"/>
                      </w:divBdr>
                    </w:div>
                  </w:divsChild>
                </w:div>
                <w:div w:id="56367767">
                  <w:marLeft w:val="0"/>
                  <w:marRight w:val="0"/>
                  <w:marTop w:val="0"/>
                  <w:marBottom w:val="0"/>
                  <w:divBdr>
                    <w:top w:val="none" w:sz="0" w:space="0" w:color="auto"/>
                    <w:left w:val="none" w:sz="0" w:space="0" w:color="auto"/>
                    <w:bottom w:val="none" w:sz="0" w:space="0" w:color="auto"/>
                    <w:right w:val="none" w:sz="0" w:space="0" w:color="auto"/>
                  </w:divBdr>
                  <w:divsChild>
                    <w:div w:id="570819060">
                      <w:marLeft w:val="0"/>
                      <w:marRight w:val="0"/>
                      <w:marTop w:val="0"/>
                      <w:marBottom w:val="0"/>
                      <w:divBdr>
                        <w:top w:val="none" w:sz="0" w:space="0" w:color="auto"/>
                        <w:left w:val="none" w:sz="0" w:space="0" w:color="auto"/>
                        <w:bottom w:val="none" w:sz="0" w:space="0" w:color="auto"/>
                        <w:right w:val="none" w:sz="0" w:space="0" w:color="auto"/>
                      </w:divBdr>
                    </w:div>
                  </w:divsChild>
                </w:div>
                <w:div w:id="65496652">
                  <w:marLeft w:val="0"/>
                  <w:marRight w:val="0"/>
                  <w:marTop w:val="0"/>
                  <w:marBottom w:val="0"/>
                  <w:divBdr>
                    <w:top w:val="none" w:sz="0" w:space="0" w:color="auto"/>
                    <w:left w:val="none" w:sz="0" w:space="0" w:color="auto"/>
                    <w:bottom w:val="none" w:sz="0" w:space="0" w:color="auto"/>
                    <w:right w:val="none" w:sz="0" w:space="0" w:color="auto"/>
                  </w:divBdr>
                  <w:divsChild>
                    <w:div w:id="1702197046">
                      <w:marLeft w:val="0"/>
                      <w:marRight w:val="0"/>
                      <w:marTop w:val="0"/>
                      <w:marBottom w:val="0"/>
                      <w:divBdr>
                        <w:top w:val="none" w:sz="0" w:space="0" w:color="auto"/>
                        <w:left w:val="none" w:sz="0" w:space="0" w:color="auto"/>
                        <w:bottom w:val="none" w:sz="0" w:space="0" w:color="auto"/>
                        <w:right w:val="none" w:sz="0" w:space="0" w:color="auto"/>
                      </w:divBdr>
                    </w:div>
                  </w:divsChild>
                </w:div>
                <w:div w:id="82267026">
                  <w:marLeft w:val="0"/>
                  <w:marRight w:val="0"/>
                  <w:marTop w:val="0"/>
                  <w:marBottom w:val="0"/>
                  <w:divBdr>
                    <w:top w:val="none" w:sz="0" w:space="0" w:color="auto"/>
                    <w:left w:val="none" w:sz="0" w:space="0" w:color="auto"/>
                    <w:bottom w:val="none" w:sz="0" w:space="0" w:color="auto"/>
                    <w:right w:val="none" w:sz="0" w:space="0" w:color="auto"/>
                  </w:divBdr>
                  <w:divsChild>
                    <w:div w:id="2109806120">
                      <w:marLeft w:val="0"/>
                      <w:marRight w:val="0"/>
                      <w:marTop w:val="0"/>
                      <w:marBottom w:val="0"/>
                      <w:divBdr>
                        <w:top w:val="none" w:sz="0" w:space="0" w:color="auto"/>
                        <w:left w:val="none" w:sz="0" w:space="0" w:color="auto"/>
                        <w:bottom w:val="none" w:sz="0" w:space="0" w:color="auto"/>
                        <w:right w:val="none" w:sz="0" w:space="0" w:color="auto"/>
                      </w:divBdr>
                    </w:div>
                  </w:divsChild>
                </w:div>
                <w:div w:id="92285144">
                  <w:marLeft w:val="0"/>
                  <w:marRight w:val="0"/>
                  <w:marTop w:val="0"/>
                  <w:marBottom w:val="0"/>
                  <w:divBdr>
                    <w:top w:val="none" w:sz="0" w:space="0" w:color="auto"/>
                    <w:left w:val="none" w:sz="0" w:space="0" w:color="auto"/>
                    <w:bottom w:val="none" w:sz="0" w:space="0" w:color="auto"/>
                    <w:right w:val="none" w:sz="0" w:space="0" w:color="auto"/>
                  </w:divBdr>
                  <w:divsChild>
                    <w:div w:id="1726755530">
                      <w:marLeft w:val="0"/>
                      <w:marRight w:val="0"/>
                      <w:marTop w:val="0"/>
                      <w:marBottom w:val="0"/>
                      <w:divBdr>
                        <w:top w:val="none" w:sz="0" w:space="0" w:color="auto"/>
                        <w:left w:val="none" w:sz="0" w:space="0" w:color="auto"/>
                        <w:bottom w:val="none" w:sz="0" w:space="0" w:color="auto"/>
                        <w:right w:val="none" w:sz="0" w:space="0" w:color="auto"/>
                      </w:divBdr>
                    </w:div>
                  </w:divsChild>
                </w:div>
                <w:div w:id="155192958">
                  <w:marLeft w:val="0"/>
                  <w:marRight w:val="0"/>
                  <w:marTop w:val="0"/>
                  <w:marBottom w:val="0"/>
                  <w:divBdr>
                    <w:top w:val="none" w:sz="0" w:space="0" w:color="auto"/>
                    <w:left w:val="none" w:sz="0" w:space="0" w:color="auto"/>
                    <w:bottom w:val="none" w:sz="0" w:space="0" w:color="auto"/>
                    <w:right w:val="none" w:sz="0" w:space="0" w:color="auto"/>
                  </w:divBdr>
                  <w:divsChild>
                    <w:div w:id="494418201">
                      <w:marLeft w:val="0"/>
                      <w:marRight w:val="0"/>
                      <w:marTop w:val="0"/>
                      <w:marBottom w:val="0"/>
                      <w:divBdr>
                        <w:top w:val="none" w:sz="0" w:space="0" w:color="auto"/>
                        <w:left w:val="none" w:sz="0" w:space="0" w:color="auto"/>
                        <w:bottom w:val="none" w:sz="0" w:space="0" w:color="auto"/>
                        <w:right w:val="none" w:sz="0" w:space="0" w:color="auto"/>
                      </w:divBdr>
                    </w:div>
                  </w:divsChild>
                </w:div>
                <w:div w:id="162668694">
                  <w:marLeft w:val="0"/>
                  <w:marRight w:val="0"/>
                  <w:marTop w:val="0"/>
                  <w:marBottom w:val="0"/>
                  <w:divBdr>
                    <w:top w:val="none" w:sz="0" w:space="0" w:color="auto"/>
                    <w:left w:val="none" w:sz="0" w:space="0" w:color="auto"/>
                    <w:bottom w:val="none" w:sz="0" w:space="0" w:color="auto"/>
                    <w:right w:val="none" w:sz="0" w:space="0" w:color="auto"/>
                  </w:divBdr>
                  <w:divsChild>
                    <w:div w:id="1715227153">
                      <w:marLeft w:val="0"/>
                      <w:marRight w:val="0"/>
                      <w:marTop w:val="0"/>
                      <w:marBottom w:val="0"/>
                      <w:divBdr>
                        <w:top w:val="none" w:sz="0" w:space="0" w:color="auto"/>
                        <w:left w:val="none" w:sz="0" w:space="0" w:color="auto"/>
                        <w:bottom w:val="none" w:sz="0" w:space="0" w:color="auto"/>
                        <w:right w:val="none" w:sz="0" w:space="0" w:color="auto"/>
                      </w:divBdr>
                    </w:div>
                  </w:divsChild>
                </w:div>
                <w:div w:id="171526977">
                  <w:marLeft w:val="0"/>
                  <w:marRight w:val="0"/>
                  <w:marTop w:val="0"/>
                  <w:marBottom w:val="0"/>
                  <w:divBdr>
                    <w:top w:val="none" w:sz="0" w:space="0" w:color="auto"/>
                    <w:left w:val="none" w:sz="0" w:space="0" w:color="auto"/>
                    <w:bottom w:val="none" w:sz="0" w:space="0" w:color="auto"/>
                    <w:right w:val="none" w:sz="0" w:space="0" w:color="auto"/>
                  </w:divBdr>
                  <w:divsChild>
                    <w:div w:id="137698093">
                      <w:marLeft w:val="0"/>
                      <w:marRight w:val="0"/>
                      <w:marTop w:val="0"/>
                      <w:marBottom w:val="0"/>
                      <w:divBdr>
                        <w:top w:val="none" w:sz="0" w:space="0" w:color="auto"/>
                        <w:left w:val="none" w:sz="0" w:space="0" w:color="auto"/>
                        <w:bottom w:val="none" w:sz="0" w:space="0" w:color="auto"/>
                        <w:right w:val="none" w:sz="0" w:space="0" w:color="auto"/>
                      </w:divBdr>
                    </w:div>
                  </w:divsChild>
                </w:div>
                <w:div w:id="187527331">
                  <w:marLeft w:val="0"/>
                  <w:marRight w:val="0"/>
                  <w:marTop w:val="0"/>
                  <w:marBottom w:val="0"/>
                  <w:divBdr>
                    <w:top w:val="none" w:sz="0" w:space="0" w:color="auto"/>
                    <w:left w:val="none" w:sz="0" w:space="0" w:color="auto"/>
                    <w:bottom w:val="none" w:sz="0" w:space="0" w:color="auto"/>
                    <w:right w:val="none" w:sz="0" w:space="0" w:color="auto"/>
                  </w:divBdr>
                  <w:divsChild>
                    <w:div w:id="1878658486">
                      <w:marLeft w:val="0"/>
                      <w:marRight w:val="0"/>
                      <w:marTop w:val="0"/>
                      <w:marBottom w:val="0"/>
                      <w:divBdr>
                        <w:top w:val="none" w:sz="0" w:space="0" w:color="auto"/>
                        <w:left w:val="none" w:sz="0" w:space="0" w:color="auto"/>
                        <w:bottom w:val="none" w:sz="0" w:space="0" w:color="auto"/>
                        <w:right w:val="none" w:sz="0" w:space="0" w:color="auto"/>
                      </w:divBdr>
                    </w:div>
                  </w:divsChild>
                </w:div>
                <w:div w:id="205677787">
                  <w:marLeft w:val="0"/>
                  <w:marRight w:val="0"/>
                  <w:marTop w:val="0"/>
                  <w:marBottom w:val="0"/>
                  <w:divBdr>
                    <w:top w:val="none" w:sz="0" w:space="0" w:color="auto"/>
                    <w:left w:val="none" w:sz="0" w:space="0" w:color="auto"/>
                    <w:bottom w:val="none" w:sz="0" w:space="0" w:color="auto"/>
                    <w:right w:val="none" w:sz="0" w:space="0" w:color="auto"/>
                  </w:divBdr>
                  <w:divsChild>
                    <w:div w:id="613827042">
                      <w:marLeft w:val="0"/>
                      <w:marRight w:val="0"/>
                      <w:marTop w:val="0"/>
                      <w:marBottom w:val="0"/>
                      <w:divBdr>
                        <w:top w:val="none" w:sz="0" w:space="0" w:color="auto"/>
                        <w:left w:val="none" w:sz="0" w:space="0" w:color="auto"/>
                        <w:bottom w:val="none" w:sz="0" w:space="0" w:color="auto"/>
                        <w:right w:val="none" w:sz="0" w:space="0" w:color="auto"/>
                      </w:divBdr>
                    </w:div>
                  </w:divsChild>
                </w:div>
                <w:div w:id="208810270">
                  <w:marLeft w:val="0"/>
                  <w:marRight w:val="0"/>
                  <w:marTop w:val="0"/>
                  <w:marBottom w:val="0"/>
                  <w:divBdr>
                    <w:top w:val="none" w:sz="0" w:space="0" w:color="auto"/>
                    <w:left w:val="none" w:sz="0" w:space="0" w:color="auto"/>
                    <w:bottom w:val="none" w:sz="0" w:space="0" w:color="auto"/>
                    <w:right w:val="none" w:sz="0" w:space="0" w:color="auto"/>
                  </w:divBdr>
                  <w:divsChild>
                    <w:div w:id="690373217">
                      <w:marLeft w:val="0"/>
                      <w:marRight w:val="0"/>
                      <w:marTop w:val="0"/>
                      <w:marBottom w:val="0"/>
                      <w:divBdr>
                        <w:top w:val="none" w:sz="0" w:space="0" w:color="auto"/>
                        <w:left w:val="none" w:sz="0" w:space="0" w:color="auto"/>
                        <w:bottom w:val="none" w:sz="0" w:space="0" w:color="auto"/>
                        <w:right w:val="none" w:sz="0" w:space="0" w:color="auto"/>
                      </w:divBdr>
                    </w:div>
                  </w:divsChild>
                </w:div>
                <w:div w:id="241065663">
                  <w:marLeft w:val="0"/>
                  <w:marRight w:val="0"/>
                  <w:marTop w:val="0"/>
                  <w:marBottom w:val="0"/>
                  <w:divBdr>
                    <w:top w:val="none" w:sz="0" w:space="0" w:color="auto"/>
                    <w:left w:val="none" w:sz="0" w:space="0" w:color="auto"/>
                    <w:bottom w:val="none" w:sz="0" w:space="0" w:color="auto"/>
                    <w:right w:val="none" w:sz="0" w:space="0" w:color="auto"/>
                  </w:divBdr>
                  <w:divsChild>
                    <w:div w:id="2110736990">
                      <w:marLeft w:val="0"/>
                      <w:marRight w:val="0"/>
                      <w:marTop w:val="0"/>
                      <w:marBottom w:val="0"/>
                      <w:divBdr>
                        <w:top w:val="none" w:sz="0" w:space="0" w:color="auto"/>
                        <w:left w:val="none" w:sz="0" w:space="0" w:color="auto"/>
                        <w:bottom w:val="none" w:sz="0" w:space="0" w:color="auto"/>
                        <w:right w:val="none" w:sz="0" w:space="0" w:color="auto"/>
                      </w:divBdr>
                    </w:div>
                  </w:divsChild>
                </w:div>
                <w:div w:id="245892845">
                  <w:marLeft w:val="0"/>
                  <w:marRight w:val="0"/>
                  <w:marTop w:val="0"/>
                  <w:marBottom w:val="0"/>
                  <w:divBdr>
                    <w:top w:val="none" w:sz="0" w:space="0" w:color="auto"/>
                    <w:left w:val="none" w:sz="0" w:space="0" w:color="auto"/>
                    <w:bottom w:val="none" w:sz="0" w:space="0" w:color="auto"/>
                    <w:right w:val="none" w:sz="0" w:space="0" w:color="auto"/>
                  </w:divBdr>
                  <w:divsChild>
                    <w:div w:id="1763836071">
                      <w:marLeft w:val="0"/>
                      <w:marRight w:val="0"/>
                      <w:marTop w:val="0"/>
                      <w:marBottom w:val="0"/>
                      <w:divBdr>
                        <w:top w:val="none" w:sz="0" w:space="0" w:color="auto"/>
                        <w:left w:val="none" w:sz="0" w:space="0" w:color="auto"/>
                        <w:bottom w:val="none" w:sz="0" w:space="0" w:color="auto"/>
                        <w:right w:val="none" w:sz="0" w:space="0" w:color="auto"/>
                      </w:divBdr>
                    </w:div>
                  </w:divsChild>
                </w:div>
                <w:div w:id="303511643">
                  <w:marLeft w:val="0"/>
                  <w:marRight w:val="0"/>
                  <w:marTop w:val="0"/>
                  <w:marBottom w:val="0"/>
                  <w:divBdr>
                    <w:top w:val="none" w:sz="0" w:space="0" w:color="auto"/>
                    <w:left w:val="none" w:sz="0" w:space="0" w:color="auto"/>
                    <w:bottom w:val="none" w:sz="0" w:space="0" w:color="auto"/>
                    <w:right w:val="none" w:sz="0" w:space="0" w:color="auto"/>
                  </w:divBdr>
                  <w:divsChild>
                    <w:div w:id="978461866">
                      <w:marLeft w:val="0"/>
                      <w:marRight w:val="0"/>
                      <w:marTop w:val="0"/>
                      <w:marBottom w:val="0"/>
                      <w:divBdr>
                        <w:top w:val="none" w:sz="0" w:space="0" w:color="auto"/>
                        <w:left w:val="none" w:sz="0" w:space="0" w:color="auto"/>
                        <w:bottom w:val="none" w:sz="0" w:space="0" w:color="auto"/>
                        <w:right w:val="none" w:sz="0" w:space="0" w:color="auto"/>
                      </w:divBdr>
                    </w:div>
                  </w:divsChild>
                </w:div>
                <w:div w:id="308754034">
                  <w:marLeft w:val="0"/>
                  <w:marRight w:val="0"/>
                  <w:marTop w:val="0"/>
                  <w:marBottom w:val="0"/>
                  <w:divBdr>
                    <w:top w:val="none" w:sz="0" w:space="0" w:color="auto"/>
                    <w:left w:val="none" w:sz="0" w:space="0" w:color="auto"/>
                    <w:bottom w:val="none" w:sz="0" w:space="0" w:color="auto"/>
                    <w:right w:val="none" w:sz="0" w:space="0" w:color="auto"/>
                  </w:divBdr>
                  <w:divsChild>
                    <w:div w:id="2023968927">
                      <w:marLeft w:val="0"/>
                      <w:marRight w:val="0"/>
                      <w:marTop w:val="0"/>
                      <w:marBottom w:val="0"/>
                      <w:divBdr>
                        <w:top w:val="none" w:sz="0" w:space="0" w:color="auto"/>
                        <w:left w:val="none" w:sz="0" w:space="0" w:color="auto"/>
                        <w:bottom w:val="none" w:sz="0" w:space="0" w:color="auto"/>
                        <w:right w:val="none" w:sz="0" w:space="0" w:color="auto"/>
                      </w:divBdr>
                    </w:div>
                  </w:divsChild>
                </w:div>
                <w:div w:id="311714703">
                  <w:marLeft w:val="0"/>
                  <w:marRight w:val="0"/>
                  <w:marTop w:val="0"/>
                  <w:marBottom w:val="0"/>
                  <w:divBdr>
                    <w:top w:val="none" w:sz="0" w:space="0" w:color="auto"/>
                    <w:left w:val="none" w:sz="0" w:space="0" w:color="auto"/>
                    <w:bottom w:val="none" w:sz="0" w:space="0" w:color="auto"/>
                    <w:right w:val="none" w:sz="0" w:space="0" w:color="auto"/>
                  </w:divBdr>
                  <w:divsChild>
                    <w:div w:id="943614143">
                      <w:marLeft w:val="0"/>
                      <w:marRight w:val="0"/>
                      <w:marTop w:val="0"/>
                      <w:marBottom w:val="0"/>
                      <w:divBdr>
                        <w:top w:val="none" w:sz="0" w:space="0" w:color="auto"/>
                        <w:left w:val="none" w:sz="0" w:space="0" w:color="auto"/>
                        <w:bottom w:val="none" w:sz="0" w:space="0" w:color="auto"/>
                        <w:right w:val="none" w:sz="0" w:space="0" w:color="auto"/>
                      </w:divBdr>
                    </w:div>
                  </w:divsChild>
                </w:div>
                <w:div w:id="355738233">
                  <w:marLeft w:val="0"/>
                  <w:marRight w:val="0"/>
                  <w:marTop w:val="0"/>
                  <w:marBottom w:val="0"/>
                  <w:divBdr>
                    <w:top w:val="none" w:sz="0" w:space="0" w:color="auto"/>
                    <w:left w:val="none" w:sz="0" w:space="0" w:color="auto"/>
                    <w:bottom w:val="none" w:sz="0" w:space="0" w:color="auto"/>
                    <w:right w:val="none" w:sz="0" w:space="0" w:color="auto"/>
                  </w:divBdr>
                  <w:divsChild>
                    <w:div w:id="1126855061">
                      <w:marLeft w:val="0"/>
                      <w:marRight w:val="0"/>
                      <w:marTop w:val="0"/>
                      <w:marBottom w:val="0"/>
                      <w:divBdr>
                        <w:top w:val="none" w:sz="0" w:space="0" w:color="auto"/>
                        <w:left w:val="none" w:sz="0" w:space="0" w:color="auto"/>
                        <w:bottom w:val="none" w:sz="0" w:space="0" w:color="auto"/>
                        <w:right w:val="none" w:sz="0" w:space="0" w:color="auto"/>
                      </w:divBdr>
                    </w:div>
                  </w:divsChild>
                </w:div>
                <w:div w:id="367335807">
                  <w:marLeft w:val="0"/>
                  <w:marRight w:val="0"/>
                  <w:marTop w:val="0"/>
                  <w:marBottom w:val="0"/>
                  <w:divBdr>
                    <w:top w:val="none" w:sz="0" w:space="0" w:color="auto"/>
                    <w:left w:val="none" w:sz="0" w:space="0" w:color="auto"/>
                    <w:bottom w:val="none" w:sz="0" w:space="0" w:color="auto"/>
                    <w:right w:val="none" w:sz="0" w:space="0" w:color="auto"/>
                  </w:divBdr>
                  <w:divsChild>
                    <w:div w:id="2071345343">
                      <w:marLeft w:val="0"/>
                      <w:marRight w:val="0"/>
                      <w:marTop w:val="0"/>
                      <w:marBottom w:val="0"/>
                      <w:divBdr>
                        <w:top w:val="none" w:sz="0" w:space="0" w:color="auto"/>
                        <w:left w:val="none" w:sz="0" w:space="0" w:color="auto"/>
                        <w:bottom w:val="none" w:sz="0" w:space="0" w:color="auto"/>
                        <w:right w:val="none" w:sz="0" w:space="0" w:color="auto"/>
                      </w:divBdr>
                    </w:div>
                  </w:divsChild>
                </w:div>
                <w:div w:id="407459991">
                  <w:marLeft w:val="0"/>
                  <w:marRight w:val="0"/>
                  <w:marTop w:val="0"/>
                  <w:marBottom w:val="0"/>
                  <w:divBdr>
                    <w:top w:val="none" w:sz="0" w:space="0" w:color="auto"/>
                    <w:left w:val="none" w:sz="0" w:space="0" w:color="auto"/>
                    <w:bottom w:val="none" w:sz="0" w:space="0" w:color="auto"/>
                    <w:right w:val="none" w:sz="0" w:space="0" w:color="auto"/>
                  </w:divBdr>
                  <w:divsChild>
                    <w:div w:id="1217428666">
                      <w:marLeft w:val="0"/>
                      <w:marRight w:val="0"/>
                      <w:marTop w:val="0"/>
                      <w:marBottom w:val="0"/>
                      <w:divBdr>
                        <w:top w:val="none" w:sz="0" w:space="0" w:color="auto"/>
                        <w:left w:val="none" w:sz="0" w:space="0" w:color="auto"/>
                        <w:bottom w:val="none" w:sz="0" w:space="0" w:color="auto"/>
                        <w:right w:val="none" w:sz="0" w:space="0" w:color="auto"/>
                      </w:divBdr>
                    </w:div>
                  </w:divsChild>
                </w:div>
                <w:div w:id="408229735">
                  <w:marLeft w:val="0"/>
                  <w:marRight w:val="0"/>
                  <w:marTop w:val="0"/>
                  <w:marBottom w:val="0"/>
                  <w:divBdr>
                    <w:top w:val="none" w:sz="0" w:space="0" w:color="auto"/>
                    <w:left w:val="none" w:sz="0" w:space="0" w:color="auto"/>
                    <w:bottom w:val="none" w:sz="0" w:space="0" w:color="auto"/>
                    <w:right w:val="none" w:sz="0" w:space="0" w:color="auto"/>
                  </w:divBdr>
                  <w:divsChild>
                    <w:div w:id="1842887391">
                      <w:marLeft w:val="0"/>
                      <w:marRight w:val="0"/>
                      <w:marTop w:val="0"/>
                      <w:marBottom w:val="0"/>
                      <w:divBdr>
                        <w:top w:val="none" w:sz="0" w:space="0" w:color="auto"/>
                        <w:left w:val="none" w:sz="0" w:space="0" w:color="auto"/>
                        <w:bottom w:val="none" w:sz="0" w:space="0" w:color="auto"/>
                        <w:right w:val="none" w:sz="0" w:space="0" w:color="auto"/>
                      </w:divBdr>
                    </w:div>
                  </w:divsChild>
                </w:div>
                <w:div w:id="423112084">
                  <w:marLeft w:val="0"/>
                  <w:marRight w:val="0"/>
                  <w:marTop w:val="0"/>
                  <w:marBottom w:val="0"/>
                  <w:divBdr>
                    <w:top w:val="none" w:sz="0" w:space="0" w:color="auto"/>
                    <w:left w:val="none" w:sz="0" w:space="0" w:color="auto"/>
                    <w:bottom w:val="none" w:sz="0" w:space="0" w:color="auto"/>
                    <w:right w:val="none" w:sz="0" w:space="0" w:color="auto"/>
                  </w:divBdr>
                  <w:divsChild>
                    <w:div w:id="1032878753">
                      <w:marLeft w:val="0"/>
                      <w:marRight w:val="0"/>
                      <w:marTop w:val="0"/>
                      <w:marBottom w:val="0"/>
                      <w:divBdr>
                        <w:top w:val="none" w:sz="0" w:space="0" w:color="auto"/>
                        <w:left w:val="none" w:sz="0" w:space="0" w:color="auto"/>
                        <w:bottom w:val="none" w:sz="0" w:space="0" w:color="auto"/>
                        <w:right w:val="none" w:sz="0" w:space="0" w:color="auto"/>
                      </w:divBdr>
                    </w:div>
                  </w:divsChild>
                </w:div>
                <w:div w:id="441997330">
                  <w:marLeft w:val="0"/>
                  <w:marRight w:val="0"/>
                  <w:marTop w:val="0"/>
                  <w:marBottom w:val="0"/>
                  <w:divBdr>
                    <w:top w:val="none" w:sz="0" w:space="0" w:color="auto"/>
                    <w:left w:val="none" w:sz="0" w:space="0" w:color="auto"/>
                    <w:bottom w:val="none" w:sz="0" w:space="0" w:color="auto"/>
                    <w:right w:val="none" w:sz="0" w:space="0" w:color="auto"/>
                  </w:divBdr>
                  <w:divsChild>
                    <w:div w:id="298146363">
                      <w:marLeft w:val="0"/>
                      <w:marRight w:val="0"/>
                      <w:marTop w:val="0"/>
                      <w:marBottom w:val="0"/>
                      <w:divBdr>
                        <w:top w:val="none" w:sz="0" w:space="0" w:color="auto"/>
                        <w:left w:val="none" w:sz="0" w:space="0" w:color="auto"/>
                        <w:bottom w:val="none" w:sz="0" w:space="0" w:color="auto"/>
                        <w:right w:val="none" w:sz="0" w:space="0" w:color="auto"/>
                      </w:divBdr>
                    </w:div>
                  </w:divsChild>
                </w:div>
                <w:div w:id="450976100">
                  <w:marLeft w:val="0"/>
                  <w:marRight w:val="0"/>
                  <w:marTop w:val="0"/>
                  <w:marBottom w:val="0"/>
                  <w:divBdr>
                    <w:top w:val="none" w:sz="0" w:space="0" w:color="auto"/>
                    <w:left w:val="none" w:sz="0" w:space="0" w:color="auto"/>
                    <w:bottom w:val="none" w:sz="0" w:space="0" w:color="auto"/>
                    <w:right w:val="none" w:sz="0" w:space="0" w:color="auto"/>
                  </w:divBdr>
                  <w:divsChild>
                    <w:div w:id="131141086">
                      <w:marLeft w:val="0"/>
                      <w:marRight w:val="0"/>
                      <w:marTop w:val="0"/>
                      <w:marBottom w:val="0"/>
                      <w:divBdr>
                        <w:top w:val="none" w:sz="0" w:space="0" w:color="auto"/>
                        <w:left w:val="none" w:sz="0" w:space="0" w:color="auto"/>
                        <w:bottom w:val="none" w:sz="0" w:space="0" w:color="auto"/>
                        <w:right w:val="none" w:sz="0" w:space="0" w:color="auto"/>
                      </w:divBdr>
                    </w:div>
                  </w:divsChild>
                </w:div>
                <w:div w:id="457188929">
                  <w:marLeft w:val="0"/>
                  <w:marRight w:val="0"/>
                  <w:marTop w:val="0"/>
                  <w:marBottom w:val="0"/>
                  <w:divBdr>
                    <w:top w:val="none" w:sz="0" w:space="0" w:color="auto"/>
                    <w:left w:val="none" w:sz="0" w:space="0" w:color="auto"/>
                    <w:bottom w:val="none" w:sz="0" w:space="0" w:color="auto"/>
                    <w:right w:val="none" w:sz="0" w:space="0" w:color="auto"/>
                  </w:divBdr>
                  <w:divsChild>
                    <w:div w:id="1892645687">
                      <w:marLeft w:val="0"/>
                      <w:marRight w:val="0"/>
                      <w:marTop w:val="0"/>
                      <w:marBottom w:val="0"/>
                      <w:divBdr>
                        <w:top w:val="none" w:sz="0" w:space="0" w:color="auto"/>
                        <w:left w:val="none" w:sz="0" w:space="0" w:color="auto"/>
                        <w:bottom w:val="none" w:sz="0" w:space="0" w:color="auto"/>
                        <w:right w:val="none" w:sz="0" w:space="0" w:color="auto"/>
                      </w:divBdr>
                    </w:div>
                  </w:divsChild>
                </w:div>
                <w:div w:id="460154773">
                  <w:marLeft w:val="0"/>
                  <w:marRight w:val="0"/>
                  <w:marTop w:val="0"/>
                  <w:marBottom w:val="0"/>
                  <w:divBdr>
                    <w:top w:val="none" w:sz="0" w:space="0" w:color="auto"/>
                    <w:left w:val="none" w:sz="0" w:space="0" w:color="auto"/>
                    <w:bottom w:val="none" w:sz="0" w:space="0" w:color="auto"/>
                    <w:right w:val="none" w:sz="0" w:space="0" w:color="auto"/>
                  </w:divBdr>
                  <w:divsChild>
                    <w:div w:id="22633883">
                      <w:marLeft w:val="0"/>
                      <w:marRight w:val="0"/>
                      <w:marTop w:val="0"/>
                      <w:marBottom w:val="0"/>
                      <w:divBdr>
                        <w:top w:val="none" w:sz="0" w:space="0" w:color="auto"/>
                        <w:left w:val="none" w:sz="0" w:space="0" w:color="auto"/>
                        <w:bottom w:val="none" w:sz="0" w:space="0" w:color="auto"/>
                        <w:right w:val="none" w:sz="0" w:space="0" w:color="auto"/>
                      </w:divBdr>
                    </w:div>
                  </w:divsChild>
                </w:div>
                <w:div w:id="494339449">
                  <w:marLeft w:val="0"/>
                  <w:marRight w:val="0"/>
                  <w:marTop w:val="0"/>
                  <w:marBottom w:val="0"/>
                  <w:divBdr>
                    <w:top w:val="none" w:sz="0" w:space="0" w:color="auto"/>
                    <w:left w:val="none" w:sz="0" w:space="0" w:color="auto"/>
                    <w:bottom w:val="none" w:sz="0" w:space="0" w:color="auto"/>
                    <w:right w:val="none" w:sz="0" w:space="0" w:color="auto"/>
                  </w:divBdr>
                  <w:divsChild>
                    <w:div w:id="1923248570">
                      <w:marLeft w:val="0"/>
                      <w:marRight w:val="0"/>
                      <w:marTop w:val="0"/>
                      <w:marBottom w:val="0"/>
                      <w:divBdr>
                        <w:top w:val="none" w:sz="0" w:space="0" w:color="auto"/>
                        <w:left w:val="none" w:sz="0" w:space="0" w:color="auto"/>
                        <w:bottom w:val="none" w:sz="0" w:space="0" w:color="auto"/>
                        <w:right w:val="none" w:sz="0" w:space="0" w:color="auto"/>
                      </w:divBdr>
                    </w:div>
                  </w:divsChild>
                </w:div>
                <w:div w:id="496504269">
                  <w:marLeft w:val="0"/>
                  <w:marRight w:val="0"/>
                  <w:marTop w:val="0"/>
                  <w:marBottom w:val="0"/>
                  <w:divBdr>
                    <w:top w:val="none" w:sz="0" w:space="0" w:color="auto"/>
                    <w:left w:val="none" w:sz="0" w:space="0" w:color="auto"/>
                    <w:bottom w:val="none" w:sz="0" w:space="0" w:color="auto"/>
                    <w:right w:val="none" w:sz="0" w:space="0" w:color="auto"/>
                  </w:divBdr>
                  <w:divsChild>
                    <w:div w:id="668825606">
                      <w:marLeft w:val="0"/>
                      <w:marRight w:val="0"/>
                      <w:marTop w:val="0"/>
                      <w:marBottom w:val="0"/>
                      <w:divBdr>
                        <w:top w:val="none" w:sz="0" w:space="0" w:color="auto"/>
                        <w:left w:val="none" w:sz="0" w:space="0" w:color="auto"/>
                        <w:bottom w:val="none" w:sz="0" w:space="0" w:color="auto"/>
                        <w:right w:val="none" w:sz="0" w:space="0" w:color="auto"/>
                      </w:divBdr>
                    </w:div>
                  </w:divsChild>
                </w:div>
                <w:div w:id="527261779">
                  <w:marLeft w:val="0"/>
                  <w:marRight w:val="0"/>
                  <w:marTop w:val="0"/>
                  <w:marBottom w:val="0"/>
                  <w:divBdr>
                    <w:top w:val="none" w:sz="0" w:space="0" w:color="auto"/>
                    <w:left w:val="none" w:sz="0" w:space="0" w:color="auto"/>
                    <w:bottom w:val="none" w:sz="0" w:space="0" w:color="auto"/>
                    <w:right w:val="none" w:sz="0" w:space="0" w:color="auto"/>
                  </w:divBdr>
                  <w:divsChild>
                    <w:div w:id="2097239507">
                      <w:marLeft w:val="0"/>
                      <w:marRight w:val="0"/>
                      <w:marTop w:val="0"/>
                      <w:marBottom w:val="0"/>
                      <w:divBdr>
                        <w:top w:val="none" w:sz="0" w:space="0" w:color="auto"/>
                        <w:left w:val="none" w:sz="0" w:space="0" w:color="auto"/>
                        <w:bottom w:val="none" w:sz="0" w:space="0" w:color="auto"/>
                        <w:right w:val="none" w:sz="0" w:space="0" w:color="auto"/>
                      </w:divBdr>
                    </w:div>
                  </w:divsChild>
                </w:div>
                <w:div w:id="529419753">
                  <w:marLeft w:val="0"/>
                  <w:marRight w:val="0"/>
                  <w:marTop w:val="0"/>
                  <w:marBottom w:val="0"/>
                  <w:divBdr>
                    <w:top w:val="none" w:sz="0" w:space="0" w:color="auto"/>
                    <w:left w:val="none" w:sz="0" w:space="0" w:color="auto"/>
                    <w:bottom w:val="none" w:sz="0" w:space="0" w:color="auto"/>
                    <w:right w:val="none" w:sz="0" w:space="0" w:color="auto"/>
                  </w:divBdr>
                  <w:divsChild>
                    <w:div w:id="127821969">
                      <w:marLeft w:val="0"/>
                      <w:marRight w:val="0"/>
                      <w:marTop w:val="0"/>
                      <w:marBottom w:val="0"/>
                      <w:divBdr>
                        <w:top w:val="none" w:sz="0" w:space="0" w:color="auto"/>
                        <w:left w:val="none" w:sz="0" w:space="0" w:color="auto"/>
                        <w:bottom w:val="none" w:sz="0" w:space="0" w:color="auto"/>
                        <w:right w:val="none" w:sz="0" w:space="0" w:color="auto"/>
                      </w:divBdr>
                    </w:div>
                  </w:divsChild>
                </w:div>
                <w:div w:id="533689173">
                  <w:marLeft w:val="0"/>
                  <w:marRight w:val="0"/>
                  <w:marTop w:val="0"/>
                  <w:marBottom w:val="0"/>
                  <w:divBdr>
                    <w:top w:val="none" w:sz="0" w:space="0" w:color="auto"/>
                    <w:left w:val="none" w:sz="0" w:space="0" w:color="auto"/>
                    <w:bottom w:val="none" w:sz="0" w:space="0" w:color="auto"/>
                    <w:right w:val="none" w:sz="0" w:space="0" w:color="auto"/>
                  </w:divBdr>
                  <w:divsChild>
                    <w:div w:id="2067683315">
                      <w:marLeft w:val="0"/>
                      <w:marRight w:val="0"/>
                      <w:marTop w:val="0"/>
                      <w:marBottom w:val="0"/>
                      <w:divBdr>
                        <w:top w:val="none" w:sz="0" w:space="0" w:color="auto"/>
                        <w:left w:val="none" w:sz="0" w:space="0" w:color="auto"/>
                        <w:bottom w:val="none" w:sz="0" w:space="0" w:color="auto"/>
                        <w:right w:val="none" w:sz="0" w:space="0" w:color="auto"/>
                      </w:divBdr>
                    </w:div>
                  </w:divsChild>
                </w:div>
                <w:div w:id="568880232">
                  <w:marLeft w:val="0"/>
                  <w:marRight w:val="0"/>
                  <w:marTop w:val="0"/>
                  <w:marBottom w:val="0"/>
                  <w:divBdr>
                    <w:top w:val="none" w:sz="0" w:space="0" w:color="auto"/>
                    <w:left w:val="none" w:sz="0" w:space="0" w:color="auto"/>
                    <w:bottom w:val="none" w:sz="0" w:space="0" w:color="auto"/>
                    <w:right w:val="none" w:sz="0" w:space="0" w:color="auto"/>
                  </w:divBdr>
                  <w:divsChild>
                    <w:div w:id="977370592">
                      <w:marLeft w:val="0"/>
                      <w:marRight w:val="0"/>
                      <w:marTop w:val="0"/>
                      <w:marBottom w:val="0"/>
                      <w:divBdr>
                        <w:top w:val="none" w:sz="0" w:space="0" w:color="auto"/>
                        <w:left w:val="none" w:sz="0" w:space="0" w:color="auto"/>
                        <w:bottom w:val="none" w:sz="0" w:space="0" w:color="auto"/>
                        <w:right w:val="none" w:sz="0" w:space="0" w:color="auto"/>
                      </w:divBdr>
                    </w:div>
                  </w:divsChild>
                </w:div>
                <w:div w:id="576593649">
                  <w:marLeft w:val="0"/>
                  <w:marRight w:val="0"/>
                  <w:marTop w:val="0"/>
                  <w:marBottom w:val="0"/>
                  <w:divBdr>
                    <w:top w:val="none" w:sz="0" w:space="0" w:color="auto"/>
                    <w:left w:val="none" w:sz="0" w:space="0" w:color="auto"/>
                    <w:bottom w:val="none" w:sz="0" w:space="0" w:color="auto"/>
                    <w:right w:val="none" w:sz="0" w:space="0" w:color="auto"/>
                  </w:divBdr>
                  <w:divsChild>
                    <w:div w:id="1221330845">
                      <w:marLeft w:val="0"/>
                      <w:marRight w:val="0"/>
                      <w:marTop w:val="0"/>
                      <w:marBottom w:val="0"/>
                      <w:divBdr>
                        <w:top w:val="none" w:sz="0" w:space="0" w:color="auto"/>
                        <w:left w:val="none" w:sz="0" w:space="0" w:color="auto"/>
                        <w:bottom w:val="none" w:sz="0" w:space="0" w:color="auto"/>
                        <w:right w:val="none" w:sz="0" w:space="0" w:color="auto"/>
                      </w:divBdr>
                    </w:div>
                  </w:divsChild>
                </w:div>
                <w:div w:id="590045508">
                  <w:marLeft w:val="0"/>
                  <w:marRight w:val="0"/>
                  <w:marTop w:val="0"/>
                  <w:marBottom w:val="0"/>
                  <w:divBdr>
                    <w:top w:val="none" w:sz="0" w:space="0" w:color="auto"/>
                    <w:left w:val="none" w:sz="0" w:space="0" w:color="auto"/>
                    <w:bottom w:val="none" w:sz="0" w:space="0" w:color="auto"/>
                    <w:right w:val="none" w:sz="0" w:space="0" w:color="auto"/>
                  </w:divBdr>
                  <w:divsChild>
                    <w:div w:id="939070309">
                      <w:marLeft w:val="0"/>
                      <w:marRight w:val="0"/>
                      <w:marTop w:val="0"/>
                      <w:marBottom w:val="0"/>
                      <w:divBdr>
                        <w:top w:val="none" w:sz="0" w:space="0" w:color="auto"/>
                        <w:left w:val="none" w:sz="0" w:space="0" w:color="auto"/>
                        <w:bottom w:val="none" w:sz="0" w:space="0" w:color="auto"/>
                        <w:right w:val="none" w:sz="0" w:space="0" w:color="auto"/>
                      </w:divBdr>
                    </w:div>
                  </w:divsChild>
                </w:div>
                <w:div w:id="613170353">
                  <w:marLeft w:val="0"/>
                  <w:marRight w:val="0"/>
                  <w:marTop w:val="0"/>
                  <w:marBottom w:val="0"/>
                  <w:divBdr>
                    <w:top w:val="none" w:sz="0" w:space="0" w:color="auto"/>
                    <w:left w:val="none" w:sz="0" w:space="0" w:color="auto"/>
                    <w:bottom w:val="none" w:sz="0" w:space="0" w:color="auto"/>
                    <w:right w:val="none" w:sz="0" w:space="0" w:color="auto"/>
                  </w:divBdr>
                  <w:divsChild>
                    <w:div w:id="1507673394">
                      <w:marLeft w:val="0"/>
                      <w:marRight w:val="0"/>
                      <w:marTop w:val="0"/>
                      <w:marBottom w:val="0"/>
                      <w:divBdr>
                        <w:top w:val="none" w:sz="0" w:space="0" w:color="auto"/>
                        <w:left w:val="none" w:sz="0" w:space="0" w:color="auto"/>
                        <w:bottom w:val="none" w:sz="0" w:space="0" w:color="auto"/>
                        <w:right w:val="none" w:sz="0" w:space="0" w:color="auto"/>
                      </w:divBdr>
                    </w:div>
                  </w:divsChild>
                </w:div>
                <w:div w:id="618151655">
                  <w:marLeft w:val="0"/>
                  <w:marRight w:val="0"/>
                  <w:marTop w:val="0"/>
                  <w:marBottom w:val="0"/>
                  <w:divBdr>
                    <w:top w:val="none" w:sz="0" w:space="0" w:color="auto"/>
                    <w:left w:val="none" w:sz="0" w:space="0" w:color="auto"/>
                    <w:bottom w:val="none" w:sz="0" w:space="0" w:color="auto"/>
                    <w:right w:val="none" w:sz="0" w:space="0" w:color="auto"/>
                  </w:divBdr>
                  <w:divsChild>
                    <w:div w:id="1315797318">
                      <w:marLeft w:val="0"/>
                      <w:marRight w:val="0"/>
                      <w:marTop w:val="0"/>
                      <w:marBottom w:val="0"/>
                      <w:divBdr>
                        <w:top w:val="none" w:sz="0" w:space="0" w:color="auto"/>
                        <w:left w:val="none" w:sz="0" w:space="0" w:color="auto"/>
                        <w:bottom w:val="none" w:sz="0" w:space="0" w:color="auto"/>
                        <w:right w:val="none" w:sz="0" w:space="0" w:color="auto"/>
                      </w:divBdr>
                    </w:div>
                  </w:divsChild>
                </w:div>
                <w:div w:id="646782124">
                  <w:marLeft w:val="0"/>
                  <w:marRight w:val="0"/>
                  <w:marTop w:val="0"/>
                  <w:marBottom w:val="0"/>
                  <w:divBdr>
                    <w:top w:val="none" w:sz="0" w:space="0" w:color="auto"/>
                    <w:left w:val="none" w:sz="0" w:space="0" w:color="auto"/>
                    <w:bottom w:val="none" w:sz="0" w:space="0" w:color="auto"/>
                    <w:right w:val="none" w:sz="0" w:space="0" w:color="auto"/>
                  </w:divBdr>
                  <w:divsChild>
                    <w:div w:id="1647052711">
                      <w:marLeft w:val="0"/>
                      <w:marRight w:val="0"/>
                      <w:marTop w:val="0"/>
                      <w:marBottom w:val="0"/>
                      <w:divBdr>
                        <w:top w:val="none" w:sz="0" w:space="0" w:color="auto"/>
                        <w:left w:val="none" w:sz="0" w:space="0" w:color="auto"/>
                        <w:bottom w:val="none" w:sz="0" w:space="0" w:color="auto"/>
                        <w:right w:val="none" w:sz="0" w:space="0" w:color="auto"/>
                      </w:divBdr>
                    </w:div>
                  </w:divsChild>
                </w:div>
                <w:div w:id="667488293">
                  <w:marLeft w:val="0"/>
                  <w:marRight w:val="0"/>
                  <w:marTop w:val="0"/>
                  <w:marBottom w:val="0"/>
                  <w:divBdr>
                    <w:top w:val="none" w:sz="0" w:space="0" w:color="auto"/>
                    <w:left w:val="none" w:sz="0" w:space="0" w:color="auto"/>
                    <w:bottom w:val="none" w:sz="0" w:space="0" w:color="auto"/>
                    <w:right w:val="none" w:sz="0" w:space="0" w:color="auto"/>
                  </w:divBdr>
                  <w:divsChild>
                    <w:div w:id="720909617">
                      <w:marLeft w:val="0"/>
                      <w:marRight w:val="0"/>
                      <w:marTop w:val="0"/>
                      <w:marBottom w:val="0"/>
                      <w:divBdr>
                        <w:top w:val="none" w:sz="0" w:space="0" w:color="auto"/>
                        <w:left w:val="none" w:sz="0" w:space="0" w:color="auto"/>
                        <w:bottom w:val="none" w:sz="0" w:space="0" w:color="auto"/>
                        <w:right w:val="none" w:sz="0" w:space="0" w:color="auto"/>
                      </w:divBdr>
                    </w:div>
                  </w:divsChild>
                </w:div>
                <w:div w:id="691608124">
                  <w:marLeft w:val="0"/>
                  <w:marRight w:val="0"/>
                  <w:marTop w:val="0"/>
                  <w:marBottom w:val="0"/>
                  <w:divBdr>
                    <w:top w:val="none" w:sz="0" w:space="0" w:color="auto"/>
                    <w:left w:val="none" w:sz="0" w:space="0" w:color="auto"/>
                    <w:bottom w:val="none" w:sz="0" w:space="0" w:color="auto"/>
                    <w:right w:val="none" w:sz="0" w:space="0" w:color="auto"/>
                  </w:divBdr>
                  <w:divsChild>
                    <w:div w:id="135611788">
                      <w:marLeft w:val="0"/>
                      <w:marRight w:val="0"/>
                      <w:marTop w:val="0"/>
                      <w:marBottom w:val="0"/>
                      <w:divBdr>
                        <w:top w:val="none" w:sz="0" w:space="0" w:color="auto"/>
                        <w:left w:val="none" w:sz="0" w:space="0" w:color="auto"/>
                        <w:bottom w:val="none" w:sz="0" w:space="0" w:color="auto"/>
                        <w:right w:val="none" w:sz="0" w:space="0" w:color="auto"/>
                      </w:divBdr>
                    </w:div>
                  </w:divsChild>
                </w:div>
                <w:div w:id="691880546">
                  <w:marLeft w:val="0"/>
                  <w:marRight w:val="0"/>
                  <w:marTop w:val="0"/>
                  <w:marBottom w:val="0"/>
                  <w:divBdr>
                    <w:top w:val="none" w:sz="0" w:space="0" w:color="auto"/>
                    <w:left w:val="none" w:sz="0" w:space="0" w:color="auto"/>
                    <w:bottom w:val="none" w:sz="0" w:space="0" w:color="auto"/>
                    <w:right w:val="none" w:sz="0" w:space="0" w:color="auto"/>
                  </w:divBdr>
                  <w:divsChild>
                    <w:div w:id="61562257">
                      <w:marLeft w:val="0"/>
                      <w:marRight w:val="0"/>
                      <w:marTop w:val="0"/>
                      <w:marBottom w:val="0"/>
                      <w:divBdr>
                        <w:top w:val="none" w:sz="0" w:space="0" w:color="auto"/>
                        <w:left w:val="none" w:sz="0" w:space="0" w:color="auto"/>
                        <w:bottom w:val="none" w:sz="0" w:space="0" w:color="auto"/>
                        <w:right w:val="none" w:sz="0" w:space="0" w:color="auto"/>
                      </w:divBdr>
                    </w:div>
                  </w:divsChild>
                </w:div>
                <w:div w:id="706181861">
                  <w:marLeft w:val="0"/>
                  <w:marRight w:val="0"/>
                  <w:marTop w:val="0"/>
                  <w:marBottom w:val="0"/>
                  <w:divBdr>
                    <w:top w:val="none" w:sz="0" w:space="0" w:color="auto"/>
                    <w:left w:val="none" w:sz="0" w:space="0" w:color="auto"/>
                    <w:bottom w:val="none" w:sz="0" w:space="0" w:color="auto"/>
                    <w:right w:val="none" w:sz="0" w:space="0" w:color="auto"/>
                  </w:divBdr>
                  <w:divsChild>
                    <w:div w:id="2002007662">
                      <w:marLeft w:val="0"/>
                      <w:marRight w:val="0"/>
                      <w:marTop w:val="0"/>
                      <w:marBottom w:val="0"/>
                      <w:divBdr>
                        <w:top w:val="none" w:sz="0" w:space="0" w:color="auto"/>
                        <w:left w:val="none" w:sz="0" w:space="0" w:color="auto"/>
                        <w:bottom w:val="none" w:sz="0" w:space="0" w:color="auto"/>
                        <w:right w:val="none" w:sz="0" w:space="0" w:color="auto"/>
                      </w:divBdr>
                    </w:div>
                  </w:divsChild>
                </w:div>
                <w:div w:id="733353090">
                  <w:marLeft w:val="0"/>
                  <w:marRight w:val="0"/>
                  <w:marTop w:val="0"/>
                  <w:marBottom w:val="0"/>
                  <w:divBdr>
                    <w:top w:val="none" w:sz="0" w:space="0" w:color="auto"/>
                    <w:left w:val="none" w:sz="0" w:space="0" w:color="auto"/>
                    <w:bottom w:val="none" w:sz="0" w:space="0" w:color="auto"/>
                    <w:right w:val="none" w:sz="0" w:space="0" w:color="auto"/>
                  </w:divBdr>
                  <w:divsChild>
                    <w:div w:id="1612130451">
                      <w:marLeft w:val="0"/>
                      <w:marRight w:val="0"/>
                      <w:marTop w:val="0"/>
                      <w:marBottom w:val="0"/>
                      <w:divBdr>
                        <w:top w:val="none" w:sz="0" w:space="0" w:color="auto"/>
                        <w:left w:val="none" w:sz="0" w:space="0" w:color="auto"/>
                        <w:bottom w:val="none" w:sz="0" w:space="0" w:color="auto"/>
                        <w:right w:val="none" w:sz="0" w:space="0" w:color="auto"/>
                      </w:divBdr>
                    </w:div>
                  </w:divsChild>
                </w:div>
                <w:div w:id="739641548">
                  <w:marLeft w:val="0"/>
                  <w:marRight w:val="0"/>
                  <w:marTop w:val="0"/>
                  <w:marBottom w:val="0"/>
                  <w:divBdr>
                    <w:top w:val="none" w:sz="0" w:space="0" w:color="auto"/>
                    <w:left w:val="none" w:sz="0" w:space="0" w:color="auto"/>
                    <w:bottom w:val="none" w:sz="0" w:space="0" w:color="auto"/>
                    <w:right w:val="none" w:sz="0" w:space="0" w:color="auto"/>
                  </w:divBdr>
                  <w:divsChild>
                    <w:div w:id="737705574">
                      <w:marLeft w:val="0"/>
                      <w:marRight w:val="0"/>
                      <w:marTop w:val="0"/>
                      <w:marBottom w:val="0"/>
                      <w:divBdr>
                        <w:top w:val="none" w:sz="0" w:space="0" w:color="auto"/>
                        <w:left w:val="none" w:sz="0" w:space="0" w:color="auto"/>
                        <w:bottom w:val="none" w:sz="0" w:space="0" w:color="auto"/>
                        <w:right w:val="none" w:sz="0" w:space="0" w:color="auto"/>
                      </w:divBdr>
                    </w:div>
                  </w:divsChild>
                </w:div>
                <w:div w:id="758795992">
                  <w:marLeft w:val="0"/>
                  <w:marRight w:val="0"/>
                  <w:marTop w:val="0"/>
                  <w:marBottom w:val="0"/>
                  <w:divBdr>
                    <w:top w:val="none" w:sz="0" w:space="0" w:color="auto"/>
                    <w:left w:val="none" w:sz="0" w:space="0" w:color="auto"/>
                    <w:bottom w:val="none" w:sz="0" w:space="0" w:color="auto"/>
                    <w:right w:val="none" w:sz="0" w:space="0" w:color="auto"/>
                  </w:divBdr>
                  <w:divsChild>
                    <w:div w:id="2047369387">
                      <w:marLeft w:val="0"/>
                      <w:marRight w:val="0"/>
                      <w:marTop w:val="0"/>
                      <w:marBottom w:val="0"/>
                      <w:divBdr>
                        <w:top w:val="none" w:sz="0" w:space="0" w:color="auto"/>
                        <w:left w:val="none" w:sz="0" w:space="0" w:color="auto"/>
                        <w:bottom w:val="none" w:sz="0" w:space="0" w:color="auto"/>
                        <w:right w:val="none" w:sz="0" w:space="0" w:color="auto"/>
                      </w:divBdr>
                    </w:div>
                  </w:divsChild>
                </w:div>
                <w:div w:id="760565848">
                  <w:marLeft w:val="0"/>
                  <w:marRight w:val="0"/>
                  <w:marTop w:val="0"/>
                  <w:marBottom w:val="0"/>
                  <w:divBdr>
                    <w:top w:val="none" w:sz="0" w:space="0" w:color="auto"/>
                    <w:left w:val="none" w:sz="0" w:space="0" w:color="auto"/>
                    <w:bottom w:val="none" w:sz="0" w:space="0" w:color="auto"/>
                    <w:right w:val="none" w:sz="0" w:space="0" w:color="auto"/>
                  </w:divBdr>
                  <w:divsChild>
                    <w:div w:id="671103038">
                      <w:marLeft w:val="0"/>
                      <w:marRight w:val="0"/>
                      <w:marTop w:val="0"/>
                      <w:marBottom w:val="0"/>
                      <w:divBdr>
                        <w:top w:val="none" w:sz="0" w:space="0" w:color="auto"/>
                        <w:left w:val="none" w:sz="0" w:space="0" w:color="auto"/>
                        <w:bottom w:val="none" w:sz="0" w:space="0" w:color="auto"/>
                        <w:right w:val="none" w:sz="0" w:space="0" w:color="auto"/>
                      </w:divBdr>
                    </w:div>
                  </w:divsChild>
                </w:div>
                <w:div w:id="761489731">
                  <w:marLeft w:val="0"/>
                  <w:marRight w:val="0"/>
                  <w:marTop w:val="0"/>
                  <w:marBottom w:val="0"/>
                  <w:divBdr>
                    <w:top w:val="none" w:sz="0" w:space="0" w:color="auto"/>
                    <w:left w:val="none" w:sz="0" w:space="0" w:color="auto"/>
                    <w:bottom w:val="none" w:sz="0" w:space="0" w:color="auto"/>
                    <w:right w:val="none" w:sz="0" w:space="0" w:color="auto"/>
                  </w:divBdr>
                  <w:divsChild>
                    <w:div w:id="430510352">
                      <w:marLeft w:val="0"/>
                      <w:marRight w:val="0"/>
                      <w:marTop w:val="0"/>
                      <w:marBottom w:val="0"/>
                      <w:divBdr>
                        <w:top w:val="none" w:sz="0" w:space="0" w:color="auto"/>
                        <w:left w:val="none" w:sz="0" w:space="0" w:color="auto"/>
                        <w:bottom w:val="none" w:sz="0" w:space="0" w:color="auto"/>
                        <w:right w:val="none" w:sz="0" w:space="0" w:color="auto"/>
                      </w:divBdr>
                    </w:div>
                  </w:divsChild>
                </w:div>
                <w:div w:id="806583743">
                  <w:marLeft w:val="0"/>
                  <w:marRight w:val="0"/>
                  <w:marTop w:val="0"/>
                  <w:marBottom w:val="0"/>
                  <w:divBdr>
                    <w:top w:val="none" w:sz="0" w:space="0" w:color="auto"/>
                    <w:left w:val="none" w:sz="0" w:space="0" w:color="auto"/>
                    <w:bottom w:val="none" w:sz="0" w:space="0" w:color="auto"/>
                    <w:right w:val="none" w:sz="0" w:space="0" w:color="auto"/>
                  </w:divBdr>
                  <w:divsChild>
                    <w:div w:id="567155775">
                      <w:marLeft w:val="0"/>
                      <w:marRight w:val="0"/>
                      <w:marTop w:val="0"/>
                      <w:marBottom w:val="0"/>
                      <w:divBdr>
                        <w:top w:val="none" w:sz="0" w:space="0" w:color="auto"/>
                        <w:left w:val="none" w:sz="0" w:space="0" w:color="auto"/>
                        <w:bottom w:val="none" w:sz="0" w:space="0" w:color="auto"/>
                        <w:right w:val="none" w:sz="0" w:space="0" w:color="auto"/>
                      </w:divBdr>
                    </w:div>
                  </w:divsChild>
                </w:div>
                <w:div w:id="807556841">
                  <w:marLeft w:val="0"/>
                  <w:marRight w:val="0"/>
                  <w:marTop w:val="0"/>
                  <w:marBottom w:val="0"/>
                  <w:divBdr>
                    <w:top w:val="none" w:sz="0" w:space="0" w:color="auto"/>
                    <w:left w:val="none" w:sz="0" w:space="0" w:color="auto"/>
                    <w:bottom w:val="none" w:sz="0" w:space="0" w:color="auto"/>
                    <w:right w:val="none" w:sz="0" w:space="0" w:color="auto"/>
                  </w:divBdr>
                  <w:divsChild>
                    <w:div w:id="418598688">
                      <w:marLeft w:val="0"/>
                      <w:marRight w:val="0"/>
                      <w:marTop w:val="0"/>
                      <w:marBottom w:val="0"/>
                      <w:divBdr>
                        <w:top w:val="none" w:sz="0" w:space="0" w:color="auto"/>
                        <w:left w:val="none" w:sz="0" w:space="0" w:color="auto"/>
                        <w:bottom w:val="none" w:sz="0" w:space="0" w:color="auto"/>
                        <w:right w:val="none" w:sz="0" w:space="0" w:color="auto"/>
                      </w:divBdr>
                    </w:div>
                  </w:divsChild>
                </w:div>
                <w:div w:id="863710003">
                  <w:marLeft w:val="0"/>
                  <w:marRight w:val="0"/>
                  <w:marTop w:val="0"/>
                  <w:marBottom w:val="0"/>
                  <w:divBdr>
                    <w:top w:val="none" w:sz="0" w:space="0" w:color="auto"/>
                    <w:left w:val="none" w:sz="0" w:space="0" w:color="auto"/>
                    <w:bottom w:val="none" w:sz="0" w:space="0" w:color="auto"/>
                    <w:right w:val="none" w:sz="0" w:space="0" w:color="auto"/>
                  </w:divBdr>
                  <w:divsChild>
                    <w:div w:id="958149333">
                      <w:marLeft w:val="0"/>
                      <w:marRight w:val="0"/>
                      <w:marTop w:val="0"/>
                      <w:marBottom w:val="0"/>
                      <w:divBdr>
                        <w:top w:val="none" w:sz="0" w:space="0" w:color="auto"/>
                        <w:left w:val="none" w:sz="0" w:space="0" w:color="auto"/>
                        <w:bottom w:val="none" w:sz="0" w:space="0" w:color="auto"/>
                        <w:right w:val="none" w:sz="0" w:space="0" w:color="auto"/>
                      </w:divBdr>
                    </w:div>
                  </w:divsChild>
                </w:div>
                <w:div w:id="869951456">
                  <w:marLeft w:val="0"/>
                  <w:marRight w:val="0"/>
                  <w:marTop w:val="0"/>
                  <w:marBottom w:val="0"/>
                  <w:divBdr>
                    <w:top w:val="none" w:sz="0" w:space="0" w:color="auto"/>
                    <w:left w:val="none" w:sz="0" w:space="0" w:color="auto"/>
                    <w:bottom w:val="none" w:sz="0" w:space="0" w:color="auto"/>
                    <w:right w:val="none" w:sz="0" w:space="0" w:color="auto"/>
                  </w:divBdr>
                  <w:divsChild>
                    <w:div w:id="1791119577">
                      <w:marLeft w:val="0"/>
                      <w:marRight w:val="0"/>
                      <w:marTop w:val="0"/>
                      <w:marBottom w:val="0"/>
                      <w:divBdr>
                        <w:top w:val="none" w:sz="0" w:space="0" w:color="auto"/>
                        <w:left w:val="none" w:sz="0" w:space="0" w:color="auto"/>
                        <w:bottom w:val="none" w:sz="0" w:space="0" w:color="auto"/>
                        <w:right w:val="none" w:sz="0" w:space="0" w:color="auto"/>
                      </w:divBdr>
                    </w:div>
                  </w:divsChild>
                </w:div>
                <w:div w:id="893656524">
                  <w:marLeft w:val="0"/>
                  <w:marRight w:val="0"/>
                  <w:marTop w:val="0"/>
                  <w:marBottom w:val="0"/>
                  <w:divBdr>
                    <w:top w:val="none" w:sz="0" w:space="0" w:color="auto"/>
                    <w:left w:val="none" w:sz="0" w:space="0" w:color="auto"/>
                    <w:bottom w:val="none" w:sz="0" w:space="0" w:color="auto"/>
                    <w:right w:val="none" w:sz="0" w:space="0" w:color="auto"/>
                  </w:divBdr>
                  <w:divsChild>
                    <w:div w:id="329061325">
                      <w:marLeft w:val="0"/>
                      <w:marRight w:val="0"/>
                      <w:marTop w:val="0"/>
                      <w:marBottom w:val="0"/>
                      <w:divBdr>
                        <w:top w:val="none" w:sz="0" w:space="0" w:color="auto"/>
                        <w:left w:val="none" w:sz="0" w:space="0" w:color="auto"/>
                        <w:bottom w:val="none" w:sz="0" w:space="0" w:color="auto"/>
                        <w:right w:val="none" w:sz="0" w:space="0" w:color="auto"/>
                      </w:divBdr>
                    </w:div>
                  </w:divsChild>
                </w:div>
                <w:div w:id="894584478">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
                  </w:divsChild>
                </w:div>
                <w:div w:id="921262575">
                  <w:marLeft w:val="0"/>
                  <w:marRight w:val="0"/>
                  <w:marTop w:val="0"/>
                  <w:marBottom w:val="0"/>
                  <w:divBdr>
                    <w:top w:val="none" w:sz="0" w:space="0" w:color="auto"/>
                    <w:left w:val="none" w:sz="0" w:space="0" w:color="auto"/>
                    <w:bottom w:val="none" w:sz="0" w:space="0" w:color="auto"/>
                    <w:right w:val="none" w:sz="0" w:space="0" w:color="auto"/>
                  </w:divBdr>
                  <w:divsChild>
                    <w:div w:id="168297690">
                      <w:marLeft w:val="0"/>
                      <w:marRight w:val="0"/>
                      <w:marTop w:val="0"/>
                      <w:marBottom w:val="0"/>
                      <w:divBdr>
                        <w:top w:val="none" w:sz="0" w:space="0" w:color="auto"/>
                        <w:left w:val="none" w:sz="0" w:space="0" w:color="auto"/>
                        <w:bottom w:val="none" w:sz="0" w:space="0" w:color="auto"/>
                        <w:right w:val="none" w:sz="0" w:space="0" w:color="auto"/>
                      </w:divBdr>
                    </w:div>
                  </w:divsChild>
                </w:div>
                <w:div w:id="955135668">
                  <w:marLeft w:val="0"/>
                  <w:marRight w:val="0"/>
                  <w:marTop w:val="0"/>
                  <w:marBottom w:val="0"/>
                  <w:divBdr>
                    <w:top w:val="none" w:sz="0" w:space="0" w:color="auto"/>
                    <w:left w:val="none" w:sz="0" w:space="0" w:color="auto"/>
                    <w:bottom w:val="none" w:sz="0" w:space="0" w:color="auto"/>
                    <w:right w:val="none" w:sz="0" w:space="0" w:color="auto"/>
                  </w:divBdr>
                  <w:divsChild>
                    <w:div w:id="481506739">
                      <w:marLeft w:val="0"/>
                      <w:marRight w:val="0"/>
                      <w:marTop w:val="0"/>
                      <w:marBottom w:val="0"/>
                      <w:divBdr>
                        <w:top w:val="none" w:sz="0" w:space="0" w:color="auto"/>
                        <w:left w:val="none" w:sz="0" w:space="0" w:color="auto"/>
                        <w:bottom w:val="none" w:sz="0" w:space="0" w:color="auto"/>
                        <w:right w:val="none" w:sz="0" w:space="0" w:color="auto"/>
                      </w:divBdr>
                    </w:div>
                  </w:divsChild>
                </w:div>
                <w:div w:id="969164551">
                  <w:marLeft w:val="0"/>
                  <w:marRight w:val="0"/>
                  <w:marTop w:val="0"/>
                  <w:marBottom w:val="0"/>
                  <w:divBdr>
                    <w:top w:val="none" w:sz="0" w:space="0" w:color="auto"/>
                    <w:left w:val="none" w:sz="0" w:space="0" w:color="auto"/>
                    <w:bottom w:val="none" w:sz="0" w:space="0" w:color="auto"/>
                    <w:right w:val="none" w:sz="0" w:space="0" w:color="auto"/>
                  </w:divBdr>
                  <w:divsChild>
                    <w:div w:id="728919479">
                      <w:marLeft w:val="0"/>
                      <w:marRight w:val="0"/>
                      <w:marTop w:val="0"/>
                      <w:marBottom w:val="0"/>
                      <w:divBdr>
                        <w:top w:val="none" w:sz="0" w:space="0" w:color="auto"/>
                        <w:left w:val="none" w:sz="0" w:space="0" w:color="auto"/>
                        <w:bottom w:val="none" w:sz="0" w:space="0" w:color="auto"/>
                        <w:right w:val="none" w:sz="0" w:space="0" w:color="auto"/>
                      </w:divBdr>
                    </w:div>
                  </w:divsChild>
                </w:div>
                <w:div w:id="970743896">
                  <w:marLeft w:val="0"/>
                  <w:marRight w:val="0"/>
                  <w:marTop w:val="0"/>
                  <w:marBottom w:val="0"/>
                  <w:divBdr>
                    <w:top w:val="none" w:sz="0" w:space="0" w:color="auto"/>
                    <w:left w:val="none" w:sz="0" w:space="0" w:color="auto"/>
                    <w:bottom w:val="none" w:sz="0" w:space="0" w:color="auto"/>
                    <w:right w:val="none" w:sz="0" w:space="0" w:color="auto"/>
                  </w:divBdr>
                  <w:divsChild>
                    <w:div w:id="98840717">
                      <w:marLeft w:val="0"/>
                      <w:marRight w:val="0"/>
                      <w:marTop w:val="0"/>
                      <w:marBottom w:val="0"/>
                      <w:divBdr>
                        <w:top w:val="none" w:sz="0" w:space="0" w:color="auto"/>
                        <w:left w:val="none" w:sz="0" w:space="0" w:color="auto"/>
                        <w:bottom w:val="none" w:sz="0" w:space="0" w:color="auto"/>
                        <w:right w:val="none" w:sz="0" w:space="0" w:color="auto"/>
                      </w:divBdr>
                    </w:div>
                  </w:divsChild>
                </w:div>
                <w:div w:id="970940116">
                  <w:marLeft w:val="0"/>
                  <w:marRight w:val="0"/>
                  <w:marTop w:val="0"/>
                  <w:marBottom w:val="0"/>
                  <w:divBdr>
                    <w:top w:val="none" w:sz="0" w:space="0" w:color="auto"/>
                    <w:left w:val="none" w:sz="0" w:space="0" w:color="auto"/>
                    <w:bottom w:val="none" w:sz="0" w:space="0" w:color="auto"/>
                    <w:right w:val="none" w:sz="0" w:space="0" w:color="auto"/>
                  </w:divBdr>
                  <w:divsChild>
                    <w:div w:id="1176574579">
                      <w:marLeft w:val="0"/>
                      <w:marRight w:val="0"/>
                      <w:marTop w:val="0"/>
                      <w:marBottom w:val="0"/>
                      <w:divBdr>
                        <w:top w:val="none" w:sz="0" w:space="0" w:color="auto"/>
                        <w:left w:val="none" w:sz="0" w:space="0" w:color="auto"/>
                        <w:bottom w:val="none" w:sz="0" w:space="0" w:color="auto"/>
                        <w:right w:val="none" w:sz="0" w:space="0" w:color="auto"/>
                      </w:divBdr>
                    </w:div>
                  </w:divsChild>
                </w:div>
                <w:div w:id="1021929028">
                  <w:marLeft w:val="0"/>
                  <w:marRight w:val="0"/>
                  <w:marTop w:val="0"/>
                  <w:marBottom w:val="0"/>
                  <w:divBdr>
                    <w:top w:val="none" w:sz="0" w:space="0" w:color="auto"/>
                    <w:left w:val="none" w:sz="0" w:space="0" w:color="auto"/>
                    <w:bottom w:val="none" w:sz="0" w:space="0" w:color="auto"/>
                    <w:right w:val="none" w:sz="0" w:space="0" w:color="auto"/>
                  </w:divBdr>
                  <w:divsChild>
                    <w:div w:id="156070952">
                      <w:marLeft w:val="0"/>
                      <w:marRight w:val="0"/>
                      <w:marTop w:val="0"/>
                      <w:marBottom w:val="0"/>
                      <w:divBdr>
                        <w:top w:val="none" w:sz="0" w:space="0" w:color="auto"/>
                        <w:left w:val="none" w:sz="0" w:space="0" w:color="auto"/>
                        <w:bottom w:val="none" w:sz="0" w:space="0" w:color="auto"/>
                        <w:right w:val="none" w:sz="0" w:space="0" w:color="auto"/>
                      </w:divBdr>
                    </w:div>
                  </w:divsChild>
                </w:div>
                <w:div w:id="1051617193">
                  <w:marLeft w:val="0"/>
                  <w:marRight w:val="0"/>
                  <w:marTop w:val="0"/>
                  <w:marBottom w:val="0"/>
                  <w:divBdr>
                    <w:top w:val="none" w:sz="0" w:space="0" w:color="auto"/>
                    <w:left w:val="none" w:sz="0" w:space="0" w:color="auto"/>
                    <w:bottom w:val="none" w:sz="0" w:space="0" w:color="auto"/>
                    <w:right w:val="none" w:sz="0" w:space="0" w:color="auto"/>
                  </w:divBdr>
                  <w:divsChild>
                    <w:div w:id="1295602182">
                      <w:marLeft w:val="0"/>
                      <w:marRight w:val="0"/>
                      <w:marTop w:val="0"/>
                      <w:marBottom w:val="0"/>
                      <w:divBdr>
                        <w:top w:val="none" w:sz="0" w:space="0" w:color="auto"/>
                        <w:left w:val="none" w:sz="0" w:space="0" w:color="auto"/>
                        <w:bottom w:val="none" w:sz="0" w:space="0" w:color="auto"/>
                        <w:right w:val="none" w:sz="0" w:space="0" w:color="auto"/>
                      </w:divBdr>
                    </w:div>
                  </w:divsChild>
                </w:div>
                <w:div w:id="1092815515">
                  <w:marLeft w:val="0"/>
                  <w:marRight w:val="0"/>
                  <w:marTop w:val="0"/>
                  <w:marBottom w:val="0"/>
                  <w:divBdr>
                    <w:top w:val="none" w:sz="0" w:space="0" w:color="auto"/>
                    <w:left w:val="none" w:sz="0" w:space="0" w:color="auto"/>
                    <w:bottom w:val="none" w:sz="0" w:space="0" w:color="auto"/>
                    <w:right w:val="none" w:sz="0" w:space="0" w:color="auto"/>
                  </w:divBdr>
                  <w:divsChild>
                    <w:div w:id="1800226215">
                      <w:marLeft w:val="0"/>
                      <w:marRight w:val="0"/>
                      <w:marTop w:val="0"/>
                      <w:marBottom w:val="0"/>
                      <w:divBdr>
                        <w:top w:val="none" w:sz="0" w:space="0" w:color="auto"/>
                        <w:left w:val="none" w:sz="0" w:space="0" w:color="auto"/>
                        <w:bottom w:val="none" w:sz="0" w:space="0" w:color="auto"/>
                        <w:right w:val="none" w:sz="0" w:space="0" w:color="auto"/>
                      </w:divBdr>
                    </w:div>
                  </w:divsChild>
                </w:div>
                <w:div w:id="1106390615">
                  <w:marLeft w:val="0"/>
                  <w:marRight w:val="0"/>
                  <w:marTop w:val="0"/>
                  <w:marBottom w:val="0"/>
                  <w:divBdr>
                    <w:top w:val="none" w:sz="0" w:space="0" w:color="auto"/>
                    <w:left w:val="none" w:sz="0" w:space="0" w:color="auto"/>
                    <w:bottom w:val="none" w:sz="0" w:space="0" w:color="auto"/>
                    <w:right w:val="none" w:sz="0" w:space="0" w:color="auto"/>
                  </w:divBdr>
                  <w:divsChild>
                    <w:div w:id="5526796">
                      <w:marLeft w:val="0"/>
                      <w:marRight w:val="0"/>
                      <w:marTop w:val="0"/>
                      <w:marBottom w:val="0"/>
                      <w:divBdr>
                        <w:top w:val="none" w:sz="0" w:space="0" w:color="auto"/>
                        <w:left w:val="none" w:sz="0" w:space="0" w:color="auto"/>
                        <w:bottom w:val="none" w:sz="0" w:space="0" w:color="auto"/>
                        <w:right w:val="none" w:sz="0" w:space="0" w:color="auto"/>
                      </w:divBdr>
                    </w:div>
                  </w:divsChild>
                </w:div>
                <w:div w:id="1149050796">
                  <w:marLeft w:val="0"/>
                  <w:marRight w:val="0"/>
                  <w:marTop w:val="0"/>
                  <w:marBottom w:val="0"/>
                  <w:divBdr>
                    <w:top w:val="none" w:sz="0" w:space="0" w:color="auto"/>
                    <w:left w:val="none" w:sz="0" w:space="0" w:color="auto"/>
                    <w:bottom w:val="none" w:sz="0" w:space="0" w:color="auto"/>
                    <w:right w:val="none" w:sz="0" w:space="0" w:color="auto"/>
                  </w:divBdr>
                  <w:divsChild>
                    <w:div w:id="624778388">
                      <w:marLeft w:val="0"/>
                      <w:marRight w:val="0"/>
                      <w:marTop w:val="0"/>
                      <w:marBottom w:val="0"/>
                      <w:divBdr>
                        <w:top w:val="none" w:sz="0" w:space="0" w:color="auto"/>
                        <w:left w:val="none" w:sz="0" w:space="0" w:color="auto"/>
                        <w:bottom w:val="none" w:sz="0" w:space="0" w:color="auto"/>
                        <w:right w:val="none" w:sz="0" w:space="0" w:color="auto"/>
                      </w:divBdr>
                    </w:div>
                  </w:divsChild>
                </w:div>
                <w:div w:id="1158613166">
                  <w:marLeft w:val="0"/>
                  <w:marRight w:val="0"/>
                  <w:marTop w:val="0"/>
                  <w:marBottom w:val="0"/>
                  <w:divBdr>
                    <w:top w:val="none" w:sz="0" w:space="0" w:color="auto"/>
                    <w:left w:val="none" w:sz="0" w:space="0" w:color="auto"/>
                    <w:bottom w:val="none" w:sz="0" w:space="0" w:color="auto"/>
                    <w:right w:val="none" w:sz="0" w:space="0" w:color="auto"/>
                  </w:divBdr>
                  <w:divsChild>
                    <w:div w:id="778724511">
                      <w:marLeft w:val="0"/>
                      <w:marRight w:val="0"/>
                      <w:marTop w:val="0"/>
                      <w:marBottom w:val="0"/>
                      <w:divBdr>
                        <w:top w:val="none" w:sz="0" w:space="0" w:color="auto"/>
                        <w:left w:val="none" w:sz="0" w:space="0" w:color="auto"/>
                        <w:bottom w:val="none" w:sz="0" w:space="0" w:color="auto"/>
                        <w:right w:val="none" w:sz="0" w:space="0" w:color="auto"/>
                      </w:divBdr>
                    </w:div>
                  </w:divsChild>
                </w:div>
                <w:div w:id="1167599549">
                  <w:marLeft w:val="0"/>
                  <w:marRight w:val="0"/>
                  <w:marTop w:val="0"/>
                  <w:marBottom w:val="0"/>
                  <w:divBdr>
                    <w:top w:val="none" w:sz="0" w:space="0" w:color="auto"/>
                    <w:left w:val="none" w:sz="0" w:space="0" w:color="auto"/>
                    <w:bottom w:val="none" w:sz="0" w:space="0" w:color="auto"/>
                    <w:right w:val="none" w:sz="0" w:space="0" w:color="auto"/>
                  </w:divBdr>
                  <w:divsChild>
                    <w:div w:id="2056391649">
                      <w:marLeft w:val="0"/>
                      <w:marRight w:val="0"/>
                      <w:marTop w:val="0"/>
                      <w:marBottom w:val="0"/>
                      <w:divBdr>
                        <w:top w:val="none" w:sz="0" w:space="0" w:color="auto"/>
                        <w:left w:val="none" w:sz="0" w:space="0" w:color="auto"/>
                        <w:bottom w:val="none" w:sz="0" w:space="0" w:color="auto"/>
                        <w:right w:val="none" w:sz="0" w:space="0" w:color="auto"/>
                      </w:divBdr>
                    </w:div>
                  </w:divsChild>
                </w:div>
                <w:div w:id="1167750802">
                  <w:marLeft w:val="0"/>
                  <w:marRight w:val="0"/>
                  <w:marTop w:val="0"/>
                  <w:marBottom w:val="0"/>
                  <w:divBdr>
                    <w:top w:val="none" w:sz="0" w:space="0" w:color="auto"/>
                    <w:left w:val="none" w:sz="0" w:space="0" w:color="auto"/>
                    <w:bottom w:val="none" w:sz="0" w:space="0" w:color="auto"/>
                    <w:right w:val="none" w:sz="0" w:space="0" w:color="auto"/>
                  </w:divBdr>
                  <w:divsChild>
                    <w:div w:id="1349911304">
                      <w:marLeft w:val="0"/>
                      <w:marRight w:val="0"/>
                      <w:marTop w:val="0"/>
                      <w:marBottom w:val="0"/>
                      <w:divBdr>
                        <w:top w:val="none" w:sz="0" w:space="0" w:color="auto"/>
                        <w:left w:val="none" w:sz="0" w:space="0" w:color="auto"/>
                        <w:bottom w:val="none" w:sz="0" w:space="0" w:color="auto"/>
                        <w:right w:val="none" w:sz="0" w:space="0" w:color="auto"/>
                      </w:divBdr>
                    </w:div>
                  </w:divsChild>
                </w:div>
                <w:div w:id="1221818530">
                  <w:marLeft w:val="0"/>
                  <w:marRight w:val="0"/>
                  <w:marTop w:val="0"/>
                  <w:marBottom w:val="0"/>
                  <w:divBdr>
                    <w:top w:val="none" w:sz="0" w:space="0" w:color="auto"/>
                    <w:left w:val="none" w:sz="0" w:space="0" w:color="auto"/>
                    <w:bottom w:val="none" w:sz="0" w:space="0" w:color="auto"/>
                    <w:right w:val="none" w:sz="0" w:space="0" w:color="auto"/>
                  </w:divBdr>
                  <w:divsChild>
                    <w:div w:id="821000379">
                      <w:marLeft w:val="0"/>
                      <w:marRight w:val="0"/>
                      <w:marTop w:val="0"/>
                      <w:marBottom w:val="0"/>
                      <w:divBdr>
                        <w:top w:val="none" w:sz="0" w:space="0" w:color="auto"/>
                        <w:left w:val="none" w:sz="0" w:space="0" w:color="auto"/>
                        <w:bottom w:val="none" w:sz="0" w:space="0" w:color="auto"/>
                        <w:right w:val="none" w:sz="0" w:space="0" w:color="auto"/>
                      </w:divBdr>
                    </w:div>
                  </w:divsChild>
                </w:div>
                <w:div w:id="1232156445">
                  <w:marLeft w:val="0"/>
                  <w:marRight w:val="0"/>
                  <w:marTop w:val="0"/>
                  <w:marBottom w:val="0"/>
                  <w:divBdr>
                    <w:top w:val="none" w:sz="0" w:space="0" w:color="auto"/>
                    <w:left w:val="none" w:sz="0" w:space="0" w:color="auto"/>
                    <w:bottom w:val="none" w:sz="0" w:space="0" w:color="auto"/>
                    <w:right w:val="none" w:sz="0" w:space="0" w:color="auto"/>
                  </w:divBdr>
                  <w:divsChild>
                    <w:div w:id="678847914">
                      <w:marLeft w:val="0"/>
                      <w:marRight w:val="0"/>
                      <w:marTop w:val="0"/>
                      <w:marBottom w:val="0"/>
                      <w:divBdr>
                        <w:top w:val="none" w:sz="0" w:space="0" w:color="auto"/>
                        <w:left w:val="none" w:sz="0" w:space="0" w:color="auto"/>
                        <w:bottom w:val="none" w:sz="0" w:space="0" w:color="auto"/>
                        <w:right w:val="none" w:sz="0" w:space="0" w:color="auto"/>
                      </w:divBdr>
                    </w:div>
                  </w:divsChild>
                </w:div>
                <w:div w:id="1232429492">
                  <w:marLeft w:val="0"/>
                  <w:marRight w:val="0"/>
                  <w:marTop w:val="0"/>
                  <w:marBottom w:val="0"/>
                  <w:divBdr>
                    <w:top w:val="none" w:sz="0" w:space="0" w:color="auto"/>
                    <w:left w:val="none" w:sz="0" w:space="0" w:color="auto"/>
                    <w:bottom w:val="none" w:sz="0" w:space="0" w:color="auto"/>
                    <w:right w:val="none" w:sz="0" w:space="0" w:color="auto"/>
                  </w:divBdr>
                  <w:divsChild>
                    <w:div w:id="591938857">
                      <w:marLeft w:val="0"/>
                      <w:marRight w:val="0"/>
                      <w:marTop w:val="0"/>
                      <w:marBottom w:val="0"/>
                      <w:divBdr>
                        <w:top w:val="none" w:sz="0" w:space="0" w:color="auto"/>
                        <w:left w:val="none" w:sz="0" w:space="0" w:color="auto"/>
                        <w:bottom w:val="none" w:sz="0" w:space="0" w:color="auto"/>
                        <w:right w:val="none" w:sz="0" w:space="0" w:color="auto"/>
                      </w:divBdr>
                    </w:div>
                  </w:divsChild>
                </w:div>
                <w:div w:id="1248687244">
                  <w:marLeft w:val="0"/>
                  <w:marRight w:val="0"/>
                  <w:marTop w:val="0"/>
                  <w:marBottom w:val="0"/>
                  <w:divBdr>
                    <w:top w:val="none" w:sz="0" w:space="0" w:color="auto"/>
                    <w:left w:val="none" w:sz="0" w:space="0" w:color="auto"/>
                    <w:bottom w:val="none" w:sz="0" w:space="0" w:color="auto"/>
                    <w:right w:val="none" w:sz="0" w:space="0" w:color="auto"/>
                  </w:divBdr>
                  <w:divsChild>
                    <w:div w:id="320431393">
                      <w:marLeft w:val="0"/>
                      <w:marRight w:val="0"/>
                      <w:marTop w:val="0"/>
                      <w:marBottom w:val="0"/>
                      <w:divBdr>
                        <w:top w:val="none" w:sz="0" w:space="0" w:color="auto"/>
                        <w:left w:val="none" w:sz="0" w:space="0" w:color="auto"/>
                        <w:bottom w:val="none" w:sz="0" w:space="0" w:color="auto"/>
                        <w:right w:val="none" w:sz="0" w:space="0" w:color="auto"/>
                      </w:divBdr>
                    </w:div>
                  </w:divsChild>
                </w:div>
                <w:div w:id="1263680741">
                  <w:marLeft w:val="0"/>
                  <w:marRight w:val="0"/>
                  <w:marTop w:val="0"/>
                  <w:marBottom w:val="0"/>
                  <w:divBdr>
                    <w:top w:val="none" w:sz="0" w:space="0" w:color="auto"/>
                    <w:left w:val="none" w:sz="0" w:space="0" w:color="auto"/>
                    <w:bottom w:val="none" w:sz="0" w:space="0" w:color="auto"/>
                    <w:right w:val="none" w:sz="0" w:space="0" w:color="auto"/>
                  </w:divBdr>
                  <w:divsChild>
                    <w:div w:id="1278105121">
                      <w:marLeft w:val="0"/>
                      <w:marRight w:val="0"/>
                      <w:marTop w:val="0"/>
                      <w:marBottom w:val="0"/>
                      <w:divBdr>
                        <w:top w:val="none" w:sz="0" w:space="0" w:color="auto"/>
                        <w:left w:val="none" w:sz="0" w:space="0" w:color="auto"/>
                        <w:bottom w:val="none" w:sz="0" w:space="0" w:color="auto"/>
                        <w:right w:val="none" w:sz="0" w:space="0" w:color="auto"/>
                      </w:divBdr>
                    </w:div>
                  </w:divsChild>
                </w:div>
                <w:div w:id="1303194417">
                  <w:marLeft w:val="0"/>
                  <w:marRight w:val="0"/>
                  <w:marTop w:val="0"/>
                  <w:marBottom w:val="0"/>
                  <w:divBdr>
                    <w:top w:val="none" w:sz="0" w:space="0" w:color="auto"/>
                    <w:left w:val="none" w:sz="0" w:space="0" w:color="auto"/>
                    <w:bottom w:val="none" w:sz="0" w:space="0" w:color="auto"/>
                    <w:right w:val="none" w:sz="0" w:space="0" w:color="auto"/>
                  </w:divBdr>
                  <w:divsChild>
                    <w:div w:id="1873685482">
                      <w:marLeft w:val="0"/>
                      <w:marRight w:val="0"/>
                      <w:marTop w:val="0"/>
                      <w:marBottom w:val="0"/>
                      <w:divBdr>
                        <w:top w:val="none" w:sz="0" w:space="0" w:color="auto"/>
                        <w:left w:val="none" w:sz="0" w:space="0" w:color="auto"/>
                        <w:bottom w:val="none" w:sz="0" w:space="0" w:color="auto"/>
                        <w:right w:val="none" w:sz="0" w:space="0" w:color="auto"/>
                      </w:divBdr>
                    </w:div>
                  </w:divsChild>
                </w:div>
                <w:div w:id="1309363945">
                  <w:marLeft w:val="0"/>
                  <w:marRight w:val="0"/>
                  <w:marTop w:val="0"/>
                  <w:marBottom w:val="0"/>
                  <w:divBdr>
                    <w:top w:val="none" w:sz="0" w:space="0" w:color="auto"/>
                    <w:left w:val="none" w:sz="0" w:space="0" w:color="auto"/>
                    <w:bottom w:val="none" w:sz="0" w:space="0" w:color="auto"/>
                    <w:right w:val="none" w:sz="0" w:space="0" w:color="auto"/>
                  </w:divBdr>
                  <w:divsChild>
                    <w:div w:id="1834908366">
                      <w:marLeft w:val="0"/>
                      <w:marRight w:val="0"/>
                      <w:marTop w:val="0"/>
                      <w:marBottom w:val="0"/>
                      <w:divBdr>
                        <w:top w:val="none" w:sz="0" w:space="0" w:color="auto"/>
                        <w:left w:val="none" w:sz="0" w:space="0" w:color="auto"/>
                        <w:bottom w:val="none" w:sz="0" w:space="0" w:color="auto"/>
                        <w:right w:val="none" w:sz="0" w:space="0" w:color="auto"/>
                      </w:divBdr>
                    </w:div>
                  </w:divsChild>
                </w:div>
                <w:div w:id="1324705000">
                  <w:marLeft w:val="0"/>
                  <w:marRight w:val="0"/>
                  <w:marTop w:val="0"/>
                  <w:marBottom w:val="0"/>
                  <w:divBdr>
                    <w:top w:val="none" w:sz="0" w:space="0" w:color="auto"/>
                    <w:left w:val="none" w:sz="0" w:space="0" w:color="auto"/>
                    <w:bottom w:val="none" w:sz="0" w:space="0" w:color="auto"/>
                    <w:right w:val="none" w:sz="0" w:space="0" w:color="auto"/>
                  </w:divBdr>
                  <w:divsChild>
                    <w:div w:id="1391223176">
                      <w:marLeft w:val="0"/>
                      <w:marRight w:val="0"/>
                      <w:marTop w:val="0"/>
                      <w:marBottom w:val="0"/>
                      <w:divBdr>
                        <w:top w:val="none" w:sz="0" w:space="0" w:color="auto"/>
                        <w:left w:val="none" w:sz="0" w:space="0" w:color="auto"/>
                        <w:bottom w:val="none" w:sz="0" w:space="0" w:color="auto"/>
                        <w:right w:val="none" w:sz="0" w:space="0" w:color="auto"/>
                      </w:divBdr>
                    </w:div>
                  </w:divsChild>
                </w:div>
                <w:div w:id="1332444492">
                  <w:marLeft w:val="0"/>
                  <w:marRight w:val="0"/>
                  <w:marTop w:val="0"/>
                  <w:marBottom w:val="0"/>
                  <w:divBdr>
                    <w:top w:val="none" w:sz="0" w:space="0" w:color="auto"/>
                    <w:left w:val="none" w:sz="0" w:space="0" w:color="auto"/>
                    <w:bottom w:val="none" w:sz="0" w:space="0" w:color="auto"/>
                    <w:right w:val="none" w:sz="0" w:space="0" w:color="auto"/>
                  </w:divBdr>
                  <w:divsChild>
                    <w:div w:id="1382755163">
                      <w:marLeft w:val="0"/>
                      <w:marRight w:val="0"/>
                      <w:marTop w:val="0"/>
                      <w:marBottom w:val="0"/>
                      <w:divBdr>
                        <w:top w:val="none" w:sz="0" w:space="0" w:color="auto"/>
                        <w:left w:val="none" w:sz="0" w:space="0" w:color="auto"/>
                        <w:bottom w:val="none" w:sz="0" w:space="0" w:color="auto"/>
                        <w:right w:val="none" w:sz="0" w:space="0" w:color="auto"/>
                      </w:divBdr>
                    </w:div>
                  </w:divsChild>
                </w:div>
                <w:div w:id="1340885498">
                  <w:marLeft w:val="0"/>
                  <w:marRight w:val="0"/>
                  <w:marTop w:val="0"/>
                  <w:marBottom w:val="0"/>
                  <w:divBdr>
                    <w:top w:val="none" w:sz="0" w:space="0" w:color="auto"/>
                    <w:left w:val="none" w:sz="0" w:space="0" w:color="auto"/>
                    <w:bottom w:val="none" w:sz="0" w:space="0" w:color="auto"/>
                    <w:right w:val="none" w:sz="0" w:space="0" w:color="auto"/>
                  </w:divBdr>
                  <w:divsChild>
                    <w:div w:id="522322272">
                      <w:marLeft w:val="0"/>
                      <w:marRight w:val="0"/>
                      <w:marTop w:val="0"/>
                      <w:marBottom w:val="0"/>
                      <w:divBdr>
                        <w:top w:val="none" w:sz="0" w:space="0" w:color="auto"/>
                        <w:left w:val="none" w:sz="0" w:space="0" w:color="auto"/>
                        <w:bottom w:val="none" w:sz="0" w:space="0" w:color="auto"/>
                        <w:right w:val="none" w:sz="0" w:space="0" w:color="auto"/>
                      </w:divBdr>
                    </w:div>
                  </w:divsChild>
                </w:div>
                <w:div w:id="1346441745">
                  <w:marLeft w:val="0"/>
                  <w:marRight w:val="0"/>
                  <w:marTop w:val="0"/>
                  <w:marBottom w:val="0"/>
                  <w:divBdr>
                    <w:top w:val="none" w:sz="0" w:space="0" w:color="auto"/>
                    <w:left w:val="none" w:sz="0" w:space="0" w:color="auto"/>
                    <w:bottom w:val="none" w:sz="0" w:space="0" w:color="auto"/>
                    <w:right w:val="none" w:sz="0" w:space="0" w:color="auto"/>
                  </w:divBdr>
                  <w:divsChild>
                    <w:div w:id="1453330201">
                      <w:marLeft w:val="0"/>
                      <w:marRight w:val="0"/>
                      <w:marTop w:val="0"/>
                      <w:marBottom w:val="0"/>
                      <w:divBdr>
                        <w:top w:val="none" w:sz="0" w:space="0" w:color="auto"/>
                        <w:left w:val="none" w:sz="0" w:space="0" w:color="auto"/>
                        <w:bottom w:val="none" w:sz="0" w:space="0" w:color="auto"/>
                        <w:right w:val="none" w:sz="0" w:space="0" w:color="auto"/>
                      </w:divBdr>
                    </w:div>
                  </w:divsChild>
                </w:div>
                <w:div w:id="1404914427">
                  <w:marLeft w:val="0"/>
                  <w:marRight w:val="0"/>
                  <w:marTop w:val="0"/>
                  <w:marBottom w:val="0"/>
                  <w:divBdr>
                    <w:top w:val="none" w:sz="0" w:space="0" w:color="auto"/>
                    <w:left w:val="none" w:sz="0" w:space="0" w:color="auto"/>
                    <w:bottom w:val="none" w:sz="0" w:space="0" w:color="auto"/>
                    <w:right w:val="none" w:sz="0" w:space="0" w:color="auto"/>
                  </w:divBdr>
                  <w:divsChild>
                    <w:div w:id="167987888">
                      <w:marLeft w:val="0"/>
                      <w:marRight w:val="0"/>
                      <w:marTop w:val="0"/>
                      <w:marBottom w:val="0"/>
                      <w:divBdr>
                        <w:top w:val="none" w:sz="0" w:space="0" w:color="auto"/>
                        <w:left w:val="none" w:sz="0" w:space="0" w:color="auto"/>
                        <w:bottom w:val="none" w:sz="0" w:space="0" w:color="auto"/>
                        <w:right w:val="none" w:sz="0" w:space="0" w:color="auto"/>
                      </w:divBdr>
                    </w:div>
                  </w:divsChild>
                </w:div>
                <w:div w:id="1455323484">
                  <w:marLeft w:val="0"/>
                  <w:marRight w:val="0"/>
                  <w:marTop w:val="0"/>
                  <w:marBottom w:val="0"/>
                  <w:divBdr>
                    <w:top w:val="none" w:sz="0" w:space="0" w:color="auto"/>
                    <w:left w:val="none" w:sz="0" w:space="0" w:color="auto"/>
                    <w:bottom w:val="none" w:sz="0" w:space="0" w:color="auto"/>
                    <w:right w:val="none" w:sz="0" w:space="0" w:color="auto"/>
                  </w:divBdr>
                  <w:divsChild>
                    <w:div w:id="1448963192">
                      <w:marLeft w:val="0"/>
                      <w:marRight w:val="0"/>
                      <w:marTop w:val="0"/>
                      <w:marBottom w:val="0"/>
                      <w:divBdr>
                        <w:top w:val="none" w:sz="0" w:space="0" w:color="auto"/>
                        <w:left w:val="none" w:sz="0" w:space="0" w:color="auto"/>
                        <w:bottom w:val="none" w:sz="0" w:space="0" w:color="auto"/>
                        <w:right w:val="none" w:sz="0" w:space="0" w:color="auto"/>
                      </w:divBdr>
                    </w:div>
                  </w:divsChild>
                </w:div>
                <w:div w:id="1501507222">
                  <w:marLeft w:val="0"/>
                  <w:marRight w:val="0"/>
                  <w:marTop w:val="0"/>
                  <w:marBottom w:val="0"/>
                  <w:divBdr>
                    <w:top w:val="none" w:sz="0" w:space="0" w:color="auto"/>
                    <w:left w:val="none" w:sz="0" w:space="0" w:color="auto"/>
                    <w:bottom w:val="none" w:sz="0" w:space="0" w:color="auto"/>
                    <w:right w:val="none" w:sz="0" w:space="0" w:color="auto"/>
                  </w:divBdr>
                  <w:divsChild>
                    <w:div w:id="1363895519">
                      <w:marLeft w:val="0"/>
                      <w:marRight w:val="0"/>
                      <w:marTop w:val="0"/>
                      <w:marBottom w:val="0"/>
                      <w:divBdr>
                        <w:top w:val="none" w:sz="0" w:space="0" w:color="auto"/>
                        <w:left w:val="none" w:sz="0" w:space="0" w:color="auto"/>
                        <w:bottom w:val="none" w:sz="0" w:space="0" w:color="auto"/>
                        <w:right w:val="none" w:sz="0" w:space="0" w:color="auto"/>
                      </w:divBdr>
                    </w:div>
                  </w:divsChild>
                </w:div>
                <w:div w:id="1530529320">
                  <w:marLeft w:val="0"/>
                  <w:marRight w:val="0"/>
                  <w:marTop w:val="0"/>
                  <w:marBottom w:val="0"/>
                  <w:divBdr>
                    <w:top w:val="none" w:sz="0" w:space="0" w:color="auto"/>
                    <w:left w:val="none" w:sz="0" w:space="0" w:color="auto"/>
                    <w:bottom w:val="none" w:sz="0" w:space="0" w:color="auto"/>
                    <w:right w:val="none" w:sz="0" w:space="0" w:color="auto"/>
                  </w:divBdr>
                  <w:divsChild>
                    <w:div w:id="240481574">
                      <w:marLeft w:val="0"/>
                      <w:marRight w:val="0"/>
                      <w:marTop w:val="0"/>
                      <w:marBottom w:val="0"/>
                      <w:divBdr>
                        <w:top w:val="none" w:sz="0" w:space="0" w:color="auto"/>
                        <w:left w:val="none" w:sz="0" w:space="0" w:color="auto"/>
                        <w:bottom w:val="none" w:sz="0" w:space="0" w:color="auto"/>
                        <w:right w:val="none" w:sz="0" w:space="0" w:color="auto"/>
                      </w:divBdr>
                    </w:div>
                  </w:divsChild>
                </w:div>
                <w:div w:id="1573738566">
                  <w:marLeft w:val="0"/>
                  <w:marRight w:val="0"/>
                  <w:marTop w:val="0"/>
                  <w:marBottom w:val="0"/>
                  <w:divBdr>
                    <w:top w:val="none" w:sz="0" w:space="0" w:color="auto"/>
                    <w:left w:val="none" w:sz="0" w:space="0" w:color="auto"/>
                    <w:bottom w:val="none" w:sz="0" w:space="0" w:color="auto"/>
                    <w:right w:val="none" w:sz="0" w:space="0" w:color="auto"/>
                  </w:divBdr>
                  <w:divsChild>
                    <w:div w:id="1081222059">
                      <w:marLeft w:val="0"/>
                      <w:marRight w:val="0"/>
                      <w:marTop w:val="0"/>
                      <w:marBottom w:val="0"/>
                      <w:divBdr>
                        <w:top w:val="none" w:sz="0" w:space="0" w:color="auto"/>
                        <w:left w:val="none" w:sz="0" w:space="0" w:color="auto"/>
                        <w:bottom w:val="none" w:sz="0" w:space="0" w:color="auto"/>
                        <w:right w:val="none" w:sz="0" w:space="0" w:color="auto"/>
                      </w:divBdr>
                    </w:div>
                  </w:divsChild>
                </w:div>
                <w:div w:id="1576861961">
                  <w:marLeft w:val="0"/>
                  <w:marRight w:val="0"/>
                  <w:marTop w:val="0"/>
                  <w:marBottom w:val="0"/>
                  <w:divBdr>
                    <w:top w:val="none" w:sz="0" w:space="0" w:color="auto"/>
                    <w:left w:val="none" w:sz="0" w:space="0" w:color="auto"/>
                    <w:bottom w:val="none" w:sz="0" w:space="0" w:color="auto"/>
                    <w:right w:val="none" w:sz="0" w:space="0" w:color="auto"/>
                  </w:divBdr>
                  <w:divsChild>
                    <w:div w:id="887300901">
                      <w:marLeft w:val="0"/>
                      <w:marRight w:val="0"/>
                      <w:marTop w:val="0"/>
                      <w:marBottom w:val="0"/>
                      <w:divBdr>
                        <w:top w:val="none" w:sz="0" w:space="0" w:color="auto"/>
                        <w:left w:val="none" w:sz="0" w:space="0" w:color="auto"/>
                        <w:bottom w:val="none" w:sz="0" w:space="0" w:color="auto"/>
                        <w:right w:val="none" w:sz="0" w:space="0" w:color="auto"/>
                      </w:divBdr>
                    </w:div>
                  </w:divsChild>
                </w:div>
                <w:div w:id="1605991081">
                  <w:marLeft w:val="0"/>
                  <w:marRight w:val="0"/>
                  <w:marTop w:val="0"/>
                  <w:marBottom w:val="0"/>
                  <w:divBdr>
                    <w:top w:val="none" w:sz="0" w:space="0" w:color="auto"/>
                    <w:left w:val="none" w:sz="0" w:space="0" w:color="auto"/>
                    <w:bottom w:val="none" w:sz="0" w:space="0" w:color="auto"/>
                    <w:right w:val="none" w:sz="0" w:space="0" w:color="auto"/>
                  </w:divBdr>
                  <w:divsChild>
                    <w:div w:id="1311712981">
                      <w:marLeft w:val="0"/>
                      <w:marRight w:val="0"/>
                      <w:marTop w:val="0"/>
                      <w:marBottom w:val="0"/>
                      <w:divBdr>
                        <w:top w:val="none" w:sz="0" w:space="0" w:color="auto"/>
                        <w:left w:val="none" w:sz="0" w:space="0" w:color="auto"/>
                        <w:bottom w:val="none" w:sz="0" w:space="0" w:color="auto"/>
                        <w:right w:val="none" w:sz="0" w:space="0" w:color="auto"/>
                      </w:divBdr>
                    </w:div>
                  </w:divsChild>
                </w:div>
                <w:div w:id="1606422555">
                  <w:marLeft w:val="0"/>
                  <w:marRight w:val="0"/>
                  <w:marTop w:val="0"/>
                  <w:marBottom w:val="0"/>
                  <w:divBdr>
                    <w:top w:val="none" w:sz="0" w:space="0" w:color="auto"/>
                    <w:left w:val="none" w:sz="0" w:space="0" w:color="auto"/>
                    <w:bottom w:val="none" w:sz="0" w:space="0" w:color="auto"/>
                    <w:right w:val="none" w:sz="0" w:space="0" w:color="auto"/>
                  </w:divBdr>
                  <w:divsChild>
                    <w:div w:id="1714192262">
                      <w:marLeft w:val="0"/>
                      <w:marRight w:val="0"/>
                      <w:marTop w:val="0"/>
                      <w:marBottom w:val="0"/>
                      <w:divBdr>
                        <w:top w:val="none" w:sz="0" w:space="0" w:color="auto"/>
                        <w:left w:val="none" w:sz="0" w:space="0" w:color="auto"/>
                        <w:bottom w:val="none" w:sz="0" w:space="0" w:color="auto"/>
                        <w:right w:val="none" w:sz="0" w:space="0" w:color="auto"/>
                      </w:divBdr>
                    </w:div>
                  </w:divsChild>
                </w:div>
                <w:div w:id="1646545352">
                  <w:marLeft w:val="0"/>
                  <w:marRight w:val="0"/>
                  <w:marTop w:val="0"/>
                  <w:marBottom w:val="0"/>
                  <w:divBdr>
                    <w:top w:val="none" w:sz="0" w:space="0" w:color="auto"/>
                    <w:left w:val="none" w:sz="0" w:space="0" w:color="auto"/>
                    <w:bottom w:val="none" w:sz="0" w:space="0" w:color="auto"/>
                    <w:right w:val="none" w:sz="0" w:space="0" w:color="auto"/>
                  </w:divBdr>
                  <w:divsChild>
                    <w:div w:id="1208566114">
                      <w:marLeft w:val="0"/>
                      <w:marRight w:val="0"/>
                      <w:marTop w:val="0"/>
                      <w:marBottom w:val="0"/>
                      <w:divBdr>
                        <w:top w:val="none" w:sz="0" w:space="0" w:color="auto"/>
                        <w:left w:val="none" w:sz="0" w:space="0" w:color="auto"/>
                        <w:bottom w:val="none" w:sz="0" w:space="0" w:color="auto"/>
                        <w:right w:val="none" w:sz="0" w:space="0" w:color="auto"/>
                      </w:divBdr>
                    </w:div>
                  </w:divsChild>
                </w:div>
                <w:div w:id="1664122698">
                  <w:marLeft w:val="0"/>
                  <w:marRight w:val="0"/>
                  <w:marTop w:val="0"/>
                  <w:marBottom w:val="0"/>
                  <w:divBdr>
                    <w:top w:val="none" w:sz="0" w:space="0" w:color="auto"/>
                    <w:left w:val="none" w:sz="0" w:space="0" w:color="auto"/>
                    <w:bottom w:val="none" w:sz="0" w:space="0" w:color="auto"/>
                    <w:right w:val="none" w:sz="0" w:space="0" w:color="auto"/>
                  </w:divBdr>
                  <w:divsChild>
                    <w:div w:id="1839955739">
                      <w:marLeft w:val="0"/>
                      <w:marRight w:val="0"/>
                      <w:marTop w:val="0"/>
                      <w:marBottom w:val="0"/>
                      <w:divBdr>
                        <w:top w:val="none" w:sz="0" w:space="0" w:color="auto"/>
                        <w:left w:val="none" w:sz="0" w:space="0" w:color="auto"/>
                        <w:bottom w:val="none" w:sz="0" w:space="0" w:color="auto"/>
                        <w:right w:val="none" w:sz="0" w:space="0" w:color="auto"/>
                      </w:divBdr>
                    </w:div>
                  </w:divsChild>
                </w:div>
                <w:div w:id="1704405775">
                  <w:marLeft w:val="0"/>
                  <w:marRight w:val="0"/>
                  <w:marTop w:val="0"/>
                  <w:marBottom w:val="0"/>
                  <w:divBdr>
                    <w:top w:val="none" w:sz="0" w:space="0" w:color="auto"/>
                    <w:left w:val="none" w:sz="0" w:space="0" w:color="auto"/>
                    <w:bottom w:val="none" w:sz="0" w:space="0" w:color="auto"/>
                    <w:right w:val="none" w:sz="0" w:space="0" w:color="auto"/>
                  </w:divBdr>
                  <w:divsChild>
                    <w:div w:id="1628780067">
                      <w:marLeft w:val="0"/>
                      <w:marRight w:val="0"/>
                      <w:marTop w:val="0"/>
                      <w:marBottom w:val="0"/>
                      <w:divBdr>
                        <w:top w:val="none" w:sz="0" w:space="0" w:color="auto"/>
                        <w:left w:val="none" w:sz="0" w:space="0" w:color="auto"/>
                        <w:bottom w:val="none" w:sz="0" w:space="0" w:color="auto"/>
                        <w:right w:val="none" w:sz="0" w:space="0" w:color="auto"/>
                      </w:divBdr>
                    </w:div>
                  </w:divsChild>
                </w:div>
                <w:div w:id="1721173657">
                  <w:marLeft w:val="0"/>
                  <w:marRight w:val="0"/>
                  <w:marTop w:val="0"/>
                  <w:marBottom w:val="0"/>
                  <w:divBdr>
                    <w:top w:val="none" w:sz="0" w:space="0" w:color="auto"/>
                    <w:left w:val="none" w:sz="0" w:space="0" w:color="auto"/>
                    <w:bottom w:val="none" w:sz="0" w:space="0" w:color="auto"/>
                    <w:right w:val="none" w:sz="0" w:space="0" w:color="auto"/>
                  </w:divBdr>
                  <w:divsChild>
                    <w:div w:id="688455806">
                      <w:marLeft w:val="0"/>
                      <w:marRight w:val="0"/>
                      <w:marTop w:val="0"/>
                      <w:marBottom w:val="0"/>
                      <w:divBdr>
                        <w:top w:val="none" w:sz="0" w:space="0" w:color="auto"/>
                        <w:left w:val="none" w:sz="0" w:space="0" w:color="auto"/>
                        <w:bottom w:val="none" w:sz="0" w:space="0" w:color="auto"/>
                        <w:right w:val="none" w:sz="0" w:space="0" w:color="auto"/>
                      </w:divBdr>
                    </w:div>
                  </w:divsChild>
                </w:div>
                <w:div w:id="1729915426">
                  <w:marLeft w:val="0"/>
                  <w:marRight w:val="0"/>
                  <w:marTop w:val="0"/>
                  <w:marBottom w:val="0"/>
                  <w:divBdr>
                    <w:top w:val="none" w:sz="0" w:space="0" w:color="auto"/>
                    <w:left w:val="none" w:sz="0" w:space="0" w:color="auto"/>
                    <w:bottom w:val="none" w:sz="0" w:space="0" w:color="auto"/>
                    <w:right w:val="none" w:sz="0" w:space="0" w:color="auto"/>
                  </w:divBdr>
                  <w:divsChild>
                    <w:div w:id="713428095">
                      <w:marLeft w:val="0"/>
                      <w:marRight w:val="0"/>
                      <w:marTop w:val="0"/>
                      <w:marBottom w:val="0"/>
                      <w:divBdr>
                        <w:top w:val="none" w:sz="0" w:space="0" w:color="auto"/>
                        <w:left w:val="none" w:sz="0" w:space="0" w:color="auto"/>
                        <w:bottom w:val="none" w:sz="0" w:space="0" w:color="auto"/>
                        <w:right w:val="none" w:sz="0" w:space="0" w:color="auto"/>
                      </w:divBdr>
                    </w:div>
                  </w:divsChild>
                </w:div>
                <w:div w:id="1733195721">
                  <w:marLeft w:val="0"/>
                  <w:marRight w:val="0"/>
                  <w:marTop w:val="0"/>
                  <w:marBottom w:val="0"/>
                  <w:divBdr>
                    <w:top w:val="none" w:sz="0" w:space="0" w:color="auto"/>
                    <w:left w:val="none" w:sz="0" w:space="0" w:color="auto"/>
                    <w:bottom w:val="none" w:sz="0" w:space="0" w:color="auto"/>
                    <w:right w:val="none" w:sz="0" w:space="0" w:color="auto"/>
                  </w:divBdr>
                  <w:divsChild>
                    <w:div w:id="553470794">
                      <w:marLeft w:val="0"/>
                      <w:marRight w:val="0"/>
                      <w:marTop w:val="0"/>
                      <w:marBottom w:val="0"/>
                      <w:divBdr>
                        <w:top w:val="none" w:sz="0" w:space="0" w:color="auto"/>
                        <w:left w:val="none" w:sz="0" w:space="0" w:color="auto"/>
                        <w:bottom w:val="none" w:sz="0" w:space="0" w:color="auto"/>
                        <w:right w:val="none" w:sz="0" w:space="0" w:color="auto"/>
                      </w:divBdr>
                    </w:div>
                  </w:divsChild>
                </w:div>
                <w:div w:id="1785348897">
                  <w:marLeft w:val="0"/>
                  <w:marRight w:val="0"/>
                  <w:marTop w:val="0"/>
                  <w:marBottom w:val="0"/>
                  <w:divBdr>
                    <w:top w:val="none" w:sz="0" w:space="0" w:color="auto"/>
                    <w:left w:val="none" w:sz="0" w:space="0" w:color="auto"/>
                    <w:bottom w:val="none" w:sz="0" w:space="0" w:color="auto"/>
                    <w:right w:val="none" w:sz="0" w:space="0" w:color="auto"/>
                  </w:divBdr>
                  <w:divsChild>
                    <w:div w:id="1159081723">
                      <w:marLeft w:val="0"/>
                      <w:marRight w:val="0"/>
                      <w:marTop w:val="0"/>
                      <w:marBottom w:val="0"/>
                      <w:divBdr>
                        <w:top w:val="none" w:sz="0" w:space="0" w:color="auto"/>
                        <w:left w:val="none" w:sz="0" w:space="0" w:color="auto"/>
                        <w:bottom w:val="none" w:sz="0" w:space="0" w:color="auto"/>
                        <w:right w:val="none" w:sz="0" w:space="0" w:color="auto"/>
                      </w:divBdr>
                    </w:div>
                  </w:divsChild>
                </w:div>
                <w:div w:id="1792286339">
                  <w:marLeft w:val="0"/>
                  <w:marRight w:val="0"/>
                  <w:marTop w:val="0"/>
                  <w:marBottom w:val="0"/>
                  <w:divBdr>
                    <w:top w:val="none" w:sz="0" w:space="0" w:color="auto"/>
                    <w:left w:val="none" w:sz="0" w:space="0" w:color="auto"/>
                    <w:bottom w:val="none" w:sz="0" w:space="0" w:color="auto"/>
                    <w:right w:val="none" w:sz="0" w:space="0" w:color="auto"/>
                  </w:divBdr>
                  <w:divsChild>
                    <w:div w:id="1931234672">
                      <w:marLeft w:val="0"/>
                      <w:marRight w:val="0"/>
                      <w:marTop w:val="0"/>
                      <w:marBottom w:val="0"/>
                      <w:divBdr>
                        <w:top w:val="none" w:sz="0" w:space="0" w:color="auto"/>
                        <w:left w:val="none" w:sz="0" w:space="0" w:color="auto"/>
                        <w:bottom w:val="none" w:sz="0" w:space="0" w:color="auto"/>
                        <w:right w:val="none" w:sz="0" w:space="0" w:color="auto"/>
                      </w:divBdr>
                    </w:div>
                  </w:divsChild>
                </w:div>
                <w:div w:id="1809780121">
                  <w:marLeft w:val="0"/>
                  <w:marRight w:val="0"/>
                  <w:marTop w:val="0"/>
                  <w:marBottom w:val="0"/>
                  <w:divBdr>
                    <w:top w:val="none" w:sz="0" w:space="0" w:color="auto"/>
                    <w:left w:val="none" w:sz="0" w:space="0" w:color="auto"/>
                    <w:bottom w:val="none" w:sz="0" w:space="0" w:color="auto"/>
                    <w:right w:val="none" w:sz="0" w:space="0" w:color="auto"/>
                  </w:divBdr>
                  <w:divsChild>
                    <w:div w:id="1634631535">
                      <w:marLeft w:val="0"/>
                      <w:marRight w:val="0"/>
                      <w:marTop w:val="0"/>
                      <w:marBottom w:val="0"/>
                      <w:divBdr>
                        <w:top w:val="none" w:sz="0" w:space="0" w:color="auto"/>
                        <w:left w:val="none" w:sz="0" w:space="0" w:color="auto"/>
                        <w:bottom w:val="none" w:sz="0" w:space="0" w:color="auto"/>
                        <w:right w:val="none" w:sz="0" w:space="0" w:color="auto"/>
                      </w:divBdr>
                    </w:div>
                  </w:divsChild>
                </w:div>
                <w:div w:id="1830438763">
                  <w:marLeft w:val="0"/>
                  <w:marRight w:val="0"/>
                  <w:marTop w:val="0"/>
                  <w:marBottom w:val="0"/>
                  <w:divBdr>
                    <w:top w:val="none" w:sz="0" w:space="0" w:color="auto"/>
                    <w:left w:val="none" w:sz="0" w:space="0" w:color="auto"/>
                    <w:bottom w:val="none" w:sz="0" w:space="0" w:color="auto"/>
                    <w:right w:val="none" w:sz="0" w:space="0" w:color="auto"/>
                  </w:divBdr>
                  <w:divsChild>
                    <w:div w:id="1779447371">
                      <w:marLeft w:val="0"/>
                      <w:marRight w:val="0"/>
                      <w:marTop w:val="0"/>
                      <w:marBottom w:val="0"/>
                      <w:divBdr>
                        <w:top w:val="none" w:sz="0" w:space="0" w:color="auto"/>
                        <w:left w:val="none" w:sz="0" w:space="0" w:color="auto"/>
                        <w:bottom w:val="none" w:sz="0" w:space="0" w:color="auto"/>
                        <w:right w:val="none" w:sz="0" w:space="0" w:color="auto"/>
                      </w:divBdr>
                    </w:div>
                  </w:divsChild>
                </w:div>
                <w:div w:id="1833789651">
                  <w:marLeft w:val="0"/>
                  <w:marRight w:val="0"/>
                  <w:marTop w:val="0"/>
                  <w:marBottom w:val="0"/>
                  <w:divBdr>
                    <w:top w:val="none" w:sz="0" w:space="0" w:color="auto"/>
                    <w:left w:val="none" w:sz="0" w:space="0" w:color="auto"/>
                    <w:bottom w:val="none" w:sz="0" w:space="0" w:color="auto"/>
                    <w:right w:val="none" w:sz="0" w:space="0" w:color="auto"/>
                  </w:divBdr>
                  <w:divsChild>
                    <w:div w:id="1740249006">
                      <w:marLeft w:val="0"/>
                      <w:marRight w:val="0"/>
                      <w:marTop w:val="0"/>
                      <w:marBottom w:val="0"/>
                      <w:divBdr>
                        <w:top w:val="none" w:sz="0" w:space="0" w:color="auto"/>
                        <w:left w:val="none" w:sz="0" w:space="0" w:color="auto"/>
                        <w:bottom w:val="none" w:sz="0" w:space="0" w:color="auto"/>
                        <w:right w:val="none" w:sz="0" w:space="0" w:color="auto"/>
                      </w:divBdr>
                    </w:div>
                  </w:divsChild>
                </w:div>
                <w:div w:id="1839423237">
                  <w:marLeft w:val="0"/>
                  <w:marRight w:val="0"/>
                  <w:marTop w:val="0"/>
                  <w:marBottom w:val="0"/>
                  <w:divBdr>
                    <w:top w:val="none" w:sz="0" w:space="0" w:color="auto"/>
                    <w:left w:val="none" w:sz="0" w:space="0" w:color="auto"/>
                    <w:bottom w:val="none" w:sz="0" w:space="0" w:color="auto"/>
                    <w:right w:val="none" w:sz="0" w:space="0" w:color="auto"/>
                  </w:divBdr>
                  <w:divsChild>
                    <w:div w:id="967206051">
                      <w:marLeft w:val="0"/>
                      <w:marRight w:val="0"/>
                      <w:marTop w:val="0"/>
                      <w:marBottom w:val="0"/>
                      <w:divBdr>
                        <w:top w:val="none" w:sz="0" w:space="0" w:color="auto"/>
                        <w:left w:val="none" w:sz="0" w:space="0" w:color="auto"/>
                        <w:bottom w:val="none" w:sz="0" w:space="0" w:color="auto"/>
                        <w:right w:val="none" w:sz="0" w:space="0" w:color="auto"/>
                      </w:divBdr>
                    </w:div>
                  </w:divsChild>
                </w:div>
                <w:div w:id="1853571848">
                  <w:marLeft w:val="0"/>
                  <w:marRight w:val="0"/>
                  <w:marTop w:val="0"/>
                  <w:marBottom w:val="0"/>
                  <w:divBdr>
                    <w:top w:val="none" w:sz="0" w:space="0" w:color="auto"/>
                    <w:left w:val="none" w:sz="0" w:space="0" w:color="auto"/>
                    <w:bottom w:val="none" w:sz="0" w:space="0" w:color="auto"/>
                    <w:right w:val="none" w:sz="0" w:space="0" w:color="auto"/>
                  </w:divBdr>
                  <w:divsChild>
                    <w:div w:id="1869685408">
                      <w:marLeft w:val="0"/>
                      <w:marRight w:val="0"/>
                      <w:marTop w:val="0"/>
                      <w:marBottom w:val="0"/>
                      <w:divBdr>
                        <w:top w:val="none" w:sz="0" w:space="0" w:color="auto"/>
                        <w:left w:val="none" w:sz="0" w:space="0" w:color="auto"/>
                        <w:bottom w:val="none" w:sz="0" w:space="0" w:color="auto"/>
                        <w:right w:val="none" w:sz="0" w:space="0" w:color="auto"/>
                      </w:divBdr>
                    </w:div>
                  </w:divsChild>
                </w:div>
                <w:div w:id="1856924310">
                  <w:marLeft w:val="0"/>
                  <w:marRight w:val="0"/>
                  <w:marTop w:val="0"/>
                  <w:marBottom w:val="0"/>
                  <w:divBdr>
                    <w:top w:val="none" w:sz="0" w:space="0" w:color="auto"/>
                    <w:left w:val="none" w:sz="0" w:space="0" w:color="auto"/>
                    <w:bottom w:val="none" w:sz="0" w:space="0" w:color="auto"/>
                    <w:right w:val="none" w:sz="0" w:space="0" w:color="auto"/>
                  </w:divBdr>
                  <w:divsChild>
                    <w:div w:id="62141056">
                      <w:marLeft w:val="0"/>
                      <w:marRight w:val="0"/>
                      <w:marTop w:val="0"/>
                      <w:marBottom w:val="0"/>
                      <w:divBdr>
                        <w:top w:val="none" w:sz="0" w:space="0" w:color="auto"/>
                        <w:left w:val="none" w:sz="0" w:space="0" w:color="auto"/>
                        <w:bottom w:val="none" w:sz="0" w:space="0" w:color="auto"/>
                        <w:right w:val="none" w:sz="0" w:space="0" w:color="auto"/>
                      </w:divBdr>
                    </w:div>
                  </w:divsChild>
                </w:div>
                <w:div w:id="1874734496">
                  <w:marLeft w:val="0"/>
                  <w:marRight w:val="0"/>
                  <w:marTop w:val="0"/>
                  <w:marBottom w:val="0"/>
                  <w:divBdr>
                    <w:top w:val="none" w:sz="0" w:space="0" w:color="auto"/>
                    <w:left w:val="none" w:sz="0" w:space="0" w:color="auto"/>
                    <w:bottom w:val="none" w:sz="0" w:space="0" w:color="auto"/>
                    <w:right w:val="none" w:sz="0" w:space="0" w:color="auto"/>
                  </w:divBdr>
                  <w:divsChild>
                    <w:div w:id="1166894941">
                      <w:marLeft w:val="0"/>
                      <w:marRight w:val="0"/>
                      <w:marTop w:val="0"/>
                      <w:marBottom w:val="0"/>
                      <w:divBdr>
                        <w:top w:val="none" w:sz="0" w:space="0" w:color="auto"/>
                        <w:left w:val="none" w:sz="0" w:space="0" w:color="auto"/>
                        <w:bottom w:val="none" w:sz="0" w:space="0" w:color="auto"/>
                        <w:right w:val="none" w:sz="0" w:space="0" w:color="auto"/>
                      </w:divBdr>
                    </w:div>
                  </w:divsChild>
                </w:div>
                <w:div w:id="1887402691">
                  <w:marLeft w:val="0"/>
                  <w:marRight w:val="0"/>
                  <w:marTop w:val="0"/>
                  <w:marBottom w:val="0"/>
                  <w:divBdr>
                    <w:top w:val="none" w:sz="0" w:space="0" w:color="auto"/>
                    <w:left w:val="none" w:sz="0" w:space="0" w:color="auto"/>
                    <w:bottom w:val="none" w:sz="0" w:space="0" w:color="auto"/>
                    <w:right w:val="none" w:sz="0" w:space="0" w:color="auto"/>
                  </w:divBdr>
                  <w:divsChild>
                    <w:div w:id="1218777946">
                      <w:marLeft w:val="0"/>
                      <w:marRight w:val="0"/>
                      <w:marTop w:val="0"/>
                      <w:marBottom w:val="0"/>
                      <w:divBdr>
                        <w:top w:val="none" w:sz="0" w:space="0" w:color="auto"/>
                        <w:left w:val="none" w:sz="0" w:space="0" w:color="auto"/>
                        <w:bottom w:val="none" w:sz="0" w:space="0" w:color="auto"/>
                        <w:right w:val="none" w:sz="0" w:space="0" w:color="auto"/>
                      </w:divBdr>
                    </w:div>
                  </w:divsChild>
                </w:div>
                <w:div w:id="1890410486">
                  <w:marLeft w:val="0"/>
                  <w:marRight w:val="0"/>
                  <w:marTop w:val="0"/>
                  <w:marBottom w:val="0"/>
                  <w:divBdr>
                    <w:top w:val="none" w:sz="0" w:space="0" w:color="auto"/>
                    <w:left w:val="none" w:sz="0" w:space="0" w:color="auto"/>
                    <w:bottom w:val="none" w:sz="0" w:space="0" w:color="auto"/>
                    <w:right w:val="none" w:sz="0" w:space="0" w:color="auto"/>
                  </w:divBdr>
                  <w:divsChild>
                    <w:div w:id="2141222349">
                      <w:marLeft w:val="0"/>
                      <w:marRight w:val="0"/>
                      <w:marTop w:val="0"/>
                      <w:marBottom w:val="0"/>
                      <w:divBdr>
                        <w:top w:val="none" w:sz="0" w:space="0" w:color="auto"/>
                        <w:left w:val="none" w:sz="0" w:space="0" w:color="auto"/>
                        <w:bottom w:val="none" w:sz="0" w:space="0" w:color="auto"/>
                        <w:right w:val="none" w:sz="0" w:space="0" w:color="auto"/>
                      </w:divBdr>
                    </w:div>
                  </w:divsChild>
                </w:div>
                <w:div w:id="1890651566">
                  <w:marLeft w:val="0"/>
                  <w:marRight w:val="0"/>
                  <w:marTop w:val="0"/>
                  <w:marBottom w:val="0"/>
                  <w:divBdr>
                    <w:top w:val="none" w:sz="0" w:space="0" w:color="auto"/>
                    <w:left w:val="none" w:sz="0" w:space="0" w:color="auto"/>
                    <w:bottom w:val="none" w:sz="0" w:space="0" w:color="auto"/>
                    <w:right w:val="none" w:sz="0" w:space="0" w:color="auto"/>
                  </w:divBdr>
                  <w:divsChild>
                    <w:div w:id="311833987">
                      <w:marLeft w:val="0"/>
                      <w:marRight w:val="0"/>
                      <w:marTop w:val="0"/>
                      <w:marBottom w:val="0"/>
                      <w:divBdr>
                        <w:top w:val="none" w:sz="0" w:space="0" w:color="auto"/>
                        <w:left w:val="none" w:sz="0" w:space="0" w:color="auto"/>
                        <w:bottom w:val="none" w:sz="0" w:space="0" w:color="auto"/>
                        <w:right w:val="none" w:sz="0" w:space="0" w:color="auto"/>
                      </w:divBdr>
                    </w:div>
                  </w:divsChild>
                </w:div>
                <w:div w:id="1950624556">
                  <w:marLeft w:val="0"/>
                  <w:marRight w:val="0"/>
                  <w:marTop w:val="0"/>
                  <w:marBottom w:val="0"/>
                  <w:divBdr>
                    <w:top w:val="none" w:sz="0" w:space="0" w:color="auto"/>
                    <w:left w:val="none" w:sz="0" w:space="0" w:color="auto"/>
                    <w:bottom w:val="none" w:sz="0" w:space="0" w:color="auto"/>
                    <w:right w:val="none" w:sz="0" w:space="0" w:color="auto"/>
                  </w:divBdr>
                  <w:divsChild>
                    <w:div w:id="389043349">
                      <w:marLeft w:val="0"/>
                      <w:marRight w:val="0"/>
                      <w:marTop w:val="0"/>
                      <w:marBottom w:val="0"/>
                      <w:divBdr>
                        <w:top w:val="none" w:sz="0" w:space="0" w:color="auto"/>
                        <w:left w:val="none" w:sz="0" w:space="0" w:color="auto"/>
                        <w:bottom w:val="none" w:sz="0" w:space="0" w:color="auto"/>
                        <w:right w:val="none" w:sz="0" w:space="0" w:color="auto"/>
                      </w:divBdr>
                    </w:div>
                  </w:divsChild>
                </w:div>
                <w:div w:id="1997176620">
                  <w:marLeft w:val="0"/>
                  <w:marRight w:val="0"/>
                  <w:marTop w:val="0"/>
                  <w:marBottom w:val="0"/>
                  <w:divBdr>
                    <w:top w:val="none" w:sz="0" w:space="0" w:color="auto"/>
                    <w:left w:val="none" w:sz="0" w:space="0" w:color="auto"/>
                    <w:bottom w:val="none" w:sz="0" w:space="0" w:color="auto"/>
                    <w:right w:val="none" w:sz="0" w:space="0" w:color="auto"/>
                  </w:divBdr>
                  <w:divsChild>
                    <w:div w:id="1196430194">
                      <w:marLeft w:val="0"/>
                      <w:marRight w:val="0"/>
                      <w:marTop w:val="0"/>
                      <w:marBottom w:val="0"/>
                      <w:divBdr>
                        <w:top w:val="none" w:sz="0" w:space="0" w:color="auto"/>
                        <w:left w:val="none" w:sz="0" w:space="0" w:color="auto"/>
                        <w:bottom w:val="none" w:sz="0" w:space="0" w:color="auto"/>
                        <w:right w:val="none" w:sz="0" w:space="0" w:color="auto"/>
                      </w:divBdr>
                    </w:div>
                  </w:divsChild>
                </w:div>
                <w:div w:id="2010281192">
                  <w:marLeft w:val="0"/>
                  <w:marRight w:val="0"/>
                  <w:marTop w:val="0"/>
                  <w:marBottom w:val="0"/>
                  <w:divBdr>
                    <w:top w:val="none" w:sz="0" w:space="0" w:color="auto"/>
                    <w:left w:val="none" w:sz="0" w:space="0" w:color="auto"/>
                    <w:bottom w:val="none" w:sz="0" w:space="0" w:color="auto"/>
                    <w:right w:val="none" w:sz="0" w:space="0" w:color="auto"/>
                  </w:divBdr>
                  <w:divsChild>
                    <w:div w:id="248778526">
                      <w:marLeft w:val="0"/>
                      <w:marRight w:val="0"/>
                      <w:marTop w:val="0"/>
                      <w:marBottom w:val="0"/>
                      <w:divBdr>
                        <w:top w:val="none" w:sz="0" w:space="0" w:color="auto"/>
                        <w:left w:val="none" w:sz="0" w:space="0" w:color="auto"/>
                        <w:bottom w:val="none" w:sz="0" w:space="0" w:color="auto"/>
                        <w:right w:val="none" w:sz="0" w:space="0" w:color="auto"/>
                      </w:divBdr>
                    </w:div>
                  </w:divsChild>
                </w:div>
                <w:div w:id="2016230154">
                  <w:marLeft w:val="0"/>
                  <w:marRight w:val="0"/>
                  <w:marTop w:val="0"/>
                  <w:marBottom w:val="0"/>
                  <w:divBdr>
                    <w:top w:val="none" w:sz="0" w:space="0" w:color="auto"/>
                    <w:left w:val="none" w:sz="0" w:space="0" w:color="auto"/>
                    <w:bottom w:val="none" w:sz="0" w:space="0" w:color="auto"/>
                    <w:right w:val="none" w:sz="0" w:space="0" w:color="auto"/>
                  </w:divBdr>
                  <w:divsChild>
                    <w:div w:id="1306859168">
                      <w:marLeft w:val="0"/>
                      <w:marRight w:val="0"/>
                      <w:marTop w:val="0"/>
                      <w:marBottom w:val="0"/>
                      <w:divBdr>
                        <w:top w:val="none" w:sz="0" w:space="0" w:color="auto"/>
                        <w:left w:val="none" w:sz="0" w:space="0" w:color="auto"/>
                        <w:bottom w:val="none" w:sz="0" w:space="0" w:color="auto"/>
                        <w:right w:val="none" w:sz="0" w:space="0" w:color="auto"/>
                      </w:divBdr>
                    </w:div>
                  </w:divsChild>
                </w:div>
                <w:div w:id="2056542707">
                  <w:marLeft w:val="0"/>
                  <w:marRight w:val="0"/>
                  <w:marTop w:val="0"/>
                  <w:marBottom w:val="0"/>
                  <w:divBdr>
                    <w:top w:val="none" w:sz="0" w:space="0" w:color="auto"/>
                    <w:left w:val="none" w:sz="0" w:space="0" w:color="auto"/>
                    <w:bottom w:val="none" w:sz="0" w:space="0" w:color="auto"/>
                    <w:right w:val="none" w:sz="0" w:space="0" w:color="auto"/>
                  </w:divBdr>
                  <w:divsChild>
                    <w:div w:id="1377044577">
                      <w:marLeft w:val="0"/>
                      <w:marRight w:val="0"/>
                      <w:marTop w:val="0"/>
                      <w:marBottom w:val="0"/>
                      <w:divBdr>
                        <w:top w:val="none" w:sz="0" w:space="0" w:color="auto"/>
                        <w:left w:val="none" w:sz="0" w:space="0" w:color="auto"/>
                        <w:bottom w:val="none" w:sz="0" w:space="0" w:color="auto"/>
                        <w:right w:val="none" w:sz="0" w:space="0" w:color="auto"/>
                      </w:divBdr>
                    </w:div>
                  </w:divsChild>
                </w:div>
                <w:div w:id="2064132863">
                  <w:marLeft w:val="0"/>
                  <w:marRight w:val="0"/>
                  <w:marTop w:val="0"/>
                  <w:marBottom w:val="0"/>
                  <w:divBdr>
                    <w:top w:val="none" w:sz="0" w:space="0" w:color="auto"/>
                    <w:left w:val="none" w:sz="0" w:space="0" w:color="auto"/>
                    <w:bottom w:val="none" w:sz="0" w:space="0" w:color="auto"/>
                    <w:right w:val="none" w:sz="0" w:space="0" w:color="auto"/>
                  </w:divBdr>
                  <w:divsChild>
                    <w:div w:id="2035381806">
                      <w:marLeft w:val="0"/>
                      <w:marRight w:val="0"/>
                      <w:marTop w:val="0"/>
                      <w:marBottom w:val="0"/>
                      <w:divBdr>
                        <w:top w:val="none" w:sz="0" w:space="0" w:color="auto"/>
                        <w:left w:val="none" w:sz="0" w:space="0" w:color="auto"/>
                        <w:bottom w:val="none" w:sz="0" w:space="0" w:color="auto"/>
                        <w:right w:val="none" w:sz="0" w:space="0" w:color="auto"/>
                      </w:divBdr>
                    </w:div>
                  </w:divsChild>
                </w:div>
                <w:div w:id="2065057459">
                  <w:marLeft w:val="0"/>
                  <w:marRight w:val="0"/>
                  <w:marTop w:val="0"/>
                  <w:marBottom w:val="0"/>
                  <w:divBdr>
                    <w:top w:val="none" w:sz="0" w:space="0" w:color="auto"/>
                    <w:left w:val="none" w:sz="0" w:space="0" w:color="auto"/>
                    <w:bottom w:val="none" w:sz="0" w:space="0" w:color="auto"/>
                    <w:right w:val="none" w:sz="0" w:space="0" w:color="auto"/>
                  </w:divBdr>
                  <w:divsChild>
                    <w:div w:id="432555466">
                      <w:marLeft w:val="0"/>
                      <w:marRight w:val="0"/>
                      <w:marTop w:val="0"/>
                      <w:marBottom w:val="0"/>
                      <w:divBdr>
                        <w:top w:val="none" w:sz="0" w:space="0" w:color="auto"/>
                        <w:left w:val="none" w:sz="0" w:space="0" w:color="auto"/>
                        <w:bottom w:val="none" w:sz="0" w:space="0" w:color="auto"/>
                        <w:right w:val="none" w:sz="0" w:space="0" w:color="auto"/>
                      </w:divBdr>
                    </w:div>
                  </w:divsChild>
                </w:div>
                <w:div w:id="2102606316">
                  <w:marLeft w:val="0"/>
                  <w:marRight w:val="0"/>
                  <w:marTop w:val="0"/>
                  <w:marBottom w:val="0"/>
                  <w:divBdr>
                    <w:top w:val="none" w:sz="0" w:space="0" w:color="auto"/>
                    <w:left w:val="none" w:sz="0" w:space="0" w:color="auto"/>
                    <w:bottom w:val="none" w:sz="0" w:space="0" w:color="auto"/>
                    <w:right w:val="none" w:sz="0" w:space="0" w:color="auto"/>
                  </w:divBdr>
                  <w:divsChild>
                    <w:div w:id="1915235641">
                      <w:marLeft w:val="0"/>
                      <w:marRight w:val="0"/>
                      <w:marTop w:val="0"/>
                      <w:marBottom w:val="0"/>
                      <w:divBdr>
                        <w:top w:val="none" w:sz="0" w:space="0" w:color="auto"/>
                        <w:left w:val="none" w:sz="0" w:space="0" w:color="auto"/>
                        <w:bottom w:val="none" w:sz="0" w:space="0" w:color="auto"/>
                        <w:right w:val="none" w:sz="0" w:space="0" w:color="auto"/>
                      </w:divBdr>
                    </w:div>
                  </w:divsChild>
                </w:div>
                <w:div w:id="2103911516">
                  <w:marLeft w:val="0"/>
                  <w:marRight w:val="0"/>
                  <w:marTop w:val="0"/>
                  <w:marBottom w:val="0"/>
                  <w:divBdr>
                    <w:top w:val="none" w:sz="0" w:space="0" w:color="auto"/>
                    <w:left w:val="none" w:sz="0" w:space="0" w:color="auto"/>
                    <w:bottom w:val="none" w:sz="0" w:space="0" w:color="auto"/>
                    <w:right w:val="none" w:sz="0" w:space="0" w:color="auto"/>
                  </w:divBdr>
                  <w:divsChild>
                    <w:div w:id="954754372">
                      <w:marLeft w:val="0"/>
                      <w:marRight w:val="0"/>
                      <w:marTop w:val="0"/>
                      <w:marBottom w:val="0"/>
                      <w:divBdr>
                        <w:top w:val="none" w:sz="0" w:space="0" w:color="auto"/>
                        <w:left w:val="none" w:sz="0" w:space="0" w:color="auto"/>
                        <w:bottom w:val="none" w:sz="0" w:space="0" w:color="auto"/>
                        <w:right w:val="none" w:sz="0" w:space="0" w:color="auto"/>
                      </w:divBdr>
                    </w:div>
                  </w:divsChild>
                </w:div>
                <w:div w:id="2106992514">
                  <w:marLeft w:val="0"/>
                  <w:marRight w:val="0"/>
                  <w:marTop w:val="0"/>
                  <w:marBottom w:val="0"/>
                  <w:divBdr>
                    <w:top w:val="none" w:sz="0" w:space="0" w:color="auto"/>
                    <w:left w:val="none" w:sz="0" w:space="0" w:color="auto"/>
                    <w:bottom w:val="none" w:sz="0" w:space="0" w:color="auto"/>
                    <w:right w:val="none" w:sz="0" w:space="0" w:color="auto"/>
                  </w:divBdr>
                  <w:divsChild>
                    <w:div w:id="351996648">
                      <w:marLeft w:val="0"/>
                      <w:marRight w:val="0"/>
                      <w:marTop w:val="0"/>
                      <w:marBottom w:val="0"/>
                      <w:divBdr>
                        <w:top w:val="none" w:sz="0" w:space="0" w:color="auto"/>
                        <w:left w:val="none" w:sz="0" w:space="0" w:color="auto"/>
                        <w:bottom w:val="none" w:sz="0" w:space="0" w:color="auto"/>
                        <w:right w:val="none" w:sz="0" w:space="0" w:color="auto"/>
                      </w:divBdr>
                    </w:div>
                  </w:divsChild>
                </w:div>
                <w:div w:id="2123375944">
                  <w:marLeft w:val="0"/>
                  <w:marRight w:val="0"/>
                  <w:marTop w:val="0"/>
                  <w:marBottom w:val="0"/>
                  <w:divBdr>
                    <w:top w:val="none" w:sz="0" w:space="0" w:color="auto"/>
                    <w:left w:val="none" w:sz="0" w:space="0" w:color="auto"/>
                    <w:bottom w:val="none" w:sz="0" w:space="0" w:color="auto"/>
                    <w:right w:val="none" w:sz="0" w:space="0" w:color="auto"/>
                  </w:divBdr>
                  <w:divsChild>
                    <w:div w:id="89470676">
                      <w:marLeft w:val="0"/>
                      <w:marRight w:val="0"/>
                      <w:marTop w:val="0"/>
                      <w:marBottom w:val="0"/>
                      <w:divBdr>
                        <w:top w:val="none" w:sz="0" w:space="0" w:color="auto"/>
                        <w:left w:val="none" w:sz="0" w:space="0" w:color="auto"/>
                        <w:bottom w:val="none" w:sz="0" w:space="0" w:color="auto"/>
                        <w:right w:val="none" w:sz="0" w:space="0" w:color="auto"/>
                      </w:divBdr>
                    </w:div>
                  </w:divsChild>
                </w:div>
                <w:div w:id="2127193051">
                  <w:marLeft w:val="0"/>
                  <w:marRight w:val="0"/>
                  <w:marTop w:val="0"/>
                  <w:marBottom w:val="0"/>
                  <w:divBdr>
                    <w:top w:val="none" w:sz="0" w:space="0" w:color="auto"/>
                    <w:left w:val="none" w:sz="0" w:space="0" w:color="auto"/>
                    <w:bottom w:val="none" w:sz="0" w:space="0" w:color="auto"/>
                    <w:right w:val="none" w:sz="0" w:space="0" w:color="auto"/>
                  </w:divBdr>
                  <w:divsChild>
                    <w:div w:id="1293826679">
                      <w:marLeft w:val="0"/>
                      <w:marRight w:val="0"/>
                      <w:marTop w:val="0"/>
                      <w:marBottom w:val="0"/>
                      <w:divBdr>
                        <w:top w:val="none" w:sz="0" w:space="0" w:color="auto"/>
                        <w:left w:val="none" w:sz="0" w:space="0" w:color="auto"/>
                        <w:bottom w:val="none" w:sz="0" w:space="0" w:color="auto"/>
                        <w:right w:val="none" w:sz="0" w:space="0" w:color="auto"/>
                      </w:divBdr>
                    </w:div>
                  </w:divsChild>
                </w:div>
                <w:div w:id="2142727787">
                  <w:marLeft w:val="0"/>
                  <w:marRight w:val="0"/>
                  <w:marTop w:val="0"/>
                  <w:marBottom w:val="0"/>
                  <w:divBdr>
                    <w:top w:val="none" w:sz="0" w:space="0" w:color="auto"/>
                    <w:left w:val="none" w:sz="0" w:space="0" w:color="auto"/>
                    <w:bottom w:val="none" w:sz="0" w:space="0" w:color="auto"/>
                    <w:right w:val="none" w:sz="0" w:space="0" w:color="auto"/>
                  </w:divBdr>
                  <w:divsChild>
                    <w:div w:id="1046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0132">
          <w:marLeft w:val="0"/>
          <w:marRight w:val="0"/>
          <w:marTop w:val="0"/>
          <w:marBottom w:val="0"/>
          <w:divBdr>
            <w:top w:val="none" w:sz="0" w:space="0" w:color="auto"/>
            <w:left w:val="none" w:sz="0" w:space="0" w:color="auto"/>
            <w:bottom w:val="none" w:sz="0" w:space="0" w:color="auto"/>
            <w:right w:val="none" w:sz="0" w:space="0" w:color="auto"/>
          </w:divBdr>
        </w:div>
        <w:div w:id="1688096477">
          <w:marLeft w:val="0"/>
          <w:marRight w:val="0"/>
          <w:marTop w:val="0"/>
          <w:marBottom w:val="0"/>
          <w:divBdr>
            <w:top w:val="none" w:sz="0" w:space="0" w:color="auto"/>
            <w:left w:val="none" w:sz="0" w:space="0" w:color="auto"/>
            <w:bottom w:val="none" w:sz="0" w:space="0" w:color="auto"/>
            <w:right w:val="none" w:sz="0" w:space="0" w:color="auto"/>
          </w:divBdr>
        </w:div>
      </w:divsChild>
    </w:div>
    <w:div w:id="399910246">
      <w:bodyDiv w:val="1"/>
      <w:marLeft w:val="0"/>
      <w:marRight w:val="0"/>
      <w:marTop w:val="0"/>
      <w:marBottom w:val="0"/>
      <w:divBdr>
        <w:top w:val="none" w:sz="0" w:space="0" w:color="auto"/>
        <w:left w:val="none" w:sz="0" w:space="0" w:color="auto"/>
        <w:bottom w:val="none" w:sz="0" w:space="0" w:color="auto"/>
        <w:right w:val="none" w:sz="0" w:space="0" w:color="auto"/>
      </w:divBdr>
    </w:div>
    <w:div w:id="511531407">
      <w:bodyDiv w:val="1"/>
      <w:marLeft w:val="0"/>
      <w:marRight w:val="0"/>
      <w:marTop w:val="0"/>
      <w:marBottom w:val="0"/>
      <w:divBdr>
        <w:top w:val="none" w:sz="0" w:space="0" w:color="auto"/>
        <w:left w:val="none" w:sz="0" w:space="0" w:color="auto"/>
        <w:bottom w:val="none" w:sz="0" w:space="0" w:color="auto"/>
        <w:right w:val="none" w:sz="0" w:space="0" w:color="auto"/>
      </w:divBdr>
      <w:divsChild>
        <w:div w:id="16467166">
          <w:marLeft w:val="0"/>
          <w:marRight w:val="0"/>
          <w:marTop w:val="0"/>
          <w:marBottom w:val="0"/>
          <w:divBdr>
            <w:top w:val="none" w:sz="0" w:space="0" w:color="auto"/>
            <w:left w:val="none" w:sz="0" w:space="0" w:color="auto"/>
            <w:bottom w:val="none" w:sz="0" w:space="0" w:color="auto"/>
            <w:right w:val="none" w:sz="0" w:space="0" w:color="auto"/>
          </w:divBdr>
          <w:divsChild>
            <w:div w:id="953559009">
              <w:marLeft w:val="0"/>
              <w:marRight w:val="0"/>
              <w:marTop w:val="0"/>
              <w:marBottom w:val="0"/>
              <w:divBdr>
                <w:top w:val="none" w:sz="0" w:space="0" w:color="auto"/>
                <w:left w:val="none" w:sz="0" w:space="0" w:color="auto"/>
                <w:bottom w:val="none" w:sz="0" w:space="0" w:color="auto"/>
                <w:right w:val="none" w:sz="0" w:space="0" w:color="auto"/>
              </w:divBdr>
              <w:divsChild>
                <w:div w:id="552813731">
                  <w:marLeft w:val="0"/>
                  <w:marRight w:val="0"/>
                  <w:marTop w:val="0"/>
                  <w:marBottom w:val="0"/>
                  <w:divBdr>
                    <w:top w:val="none" w:sz="0" w:space="0" w:color="auto"/>
                    <w:left w:val="none" w:sz="0" w:space="0" w:color="auto"/>
                    <w:bottom w:val="none" w:sz="0" w:space="0" w:color="auto"/>
                    <w:right w:val="none" w:sz="0" w:space="0" w:color="auto"/>
                  </w:divBdr>
                  <w:divsChild>
                    <w:div w:id="70779918">
                      <w:marLeft w:val="0"/>
                      <w:marRight w:val="0"/>
                      <w:marTop w:val="0"/>
                      <w:marBottom w:val="0"/>
                      <w:divBdr>
                        <w:top w:val="none" w:sz="0" w:space="0" w:color="auto"/>
                        <w:left w:val="none" w:sz="0" w:space="0" w:color="auto"/>
                        <w:bottom w:val="none" w:sz="0" w:space="0" w:color="auto"/>
                        <w:right w:val="none" w:sz="0" w:space="0" w:color="auto"/>
                      </w:divBdr>
                      <w:divsChild>
                        <w:div w:id="539437252">
                          <w:marLeft w:val="0"/>
                          <w:marRight w:val="0"/>
                          <w:marTop w:val="0"/>
                          <w:marBottom w:val="0"/>
                          <w:divBdr>
                            <w:top w:val="none" w:sz="0" w:space="0" w:color="auto"/>
                            <w:left w:val="none" w:sz="0" w:space="0" w:color="auto"/>
                            <w:bottom w:val="none" w:sz="0" w:space="0" w:color="auto"/>
                            <w:right w:val="none" w:sz="0" w:space="0" w:color="auto"/>
                          </w:divBdr>
                          <w:divsChild>
                            <w:div w:id="595871469">
                              <w:marLeft w:val="0"/>
                              <w:marRight w:val="0"/>
                              <w:marTop w:val="0"/>
                              <w:marBottom w:val="0"/>
                              <w:divBdr>
                                <w:top w:val="none" w:sz="0" w:space="0" w:color="auto"/>
                                <w:left w:val="none" w:sz="0" w:space="0" w:color="auto"/>
                                <w:bottom w:val="none" w:sz="0" w:space="0" w:color="auto"/>
                                <w:right w:val="none" w:sz="0" w:space="0" w:color="auto"/>
                              </w:divBdr>
                              <w:divsChild>
                                <w:div w:id="1074204090">
                                  <w:marLeft w:val="0"/>
                                  <w:marRight w:val="0"/>
                                  <w:marTop w:val="0"/>
                                  <w:marBottom w:val="0"/>
                                  <w:divBdr>
                                    <w:top w:val="none" w:sz="0" w:space="0" w:color="auto"/>
                                    <w:left w:val="none" w:sz="0" w:space="0" w:color="auto"/>
                                    <w:bottom w:val="none" w:sz="0" w:space="0" w:color="auto"/>
                                    <w:right w:val="none" w:sz="0" w:space="0" w:color="auto"/>
                                  </w:divBdr>
                                  <w:divsChild>
                                    <w:div w:id="415519087">
                                      <w:marLeft w:val="0"/>
                                      <w:marRight w:val="0"/>
                                      <w:marTop w:val="0"/>
                                      <w:marBottom w:val="0"/>
                                      <w:divBdr>
                                        <w:top w:val="none" w:sz="0" w:space="0" w:color="auto"/>
                                        <w:left w:val="none" w:sz="0" w:space="0" w:color="auto"/>
                                        <w:bottom w:val="none" w:sz="0" w:space="0" w:color="auto"/>
                                        <w:right w:val="none" w:sz="0" w:space="0" w:color="auto"/>
                                      </w:divBdr>
                                      <w:divsChild>
                                        <w:div w:id="37511419">
                                          <w:marLeft w:val="0"/>
                                          <w:marRight w:val="0"/>
                                          <w:marTop w:val="0"/>
                                          <w:marBottom w:val="0"/>
                                          <w:divBdr>
                                            <w:top w:val="none" w:sz="0" w:space="0" w:color="auto"/>
                                            <w:left w:val="none" w:sz="0" w:space="0" w:color="auto"/>
                                            <w:bottom w:val="none" w:sz="0" w:space="0" w:color="auto"/>
                                            <w:right w:val="none" w:sz="0" w:space="0" w:color="auto"/>
                                          </w:divBdr>
                                          <w:divsChild>
                                            <w:div w:id="1181163936">
                                              <w:marLeft w:val="0"/>
                                              <w:marRight w:val="0"/>
                                              <w:marTop w:val="0"/>
                                              <w:marBottom w:val="0"/>
                                              <w:divBdr>
                                                <w:top w:val="none" w:sz="0" w:space="0" w:color="auto"/>
                                                <w:left w:val="none" w:sz="0" w:space="0" w:color="auto"/>
                                                <w:bottom w:val="none" w:sz="0" w:space="0" w:color="auto"/>
                                                <w:right w:val="none" w:sz="0" w:space="0" w:color="auto"/>
                                              </w:divBdr>
                                              <w:divsChild>
                                                <w:div w:id="398285202">
                                                  <w:marLeft w:val="0"/>
                                                  <w:marRight w:val="0"/>
                                                  <w:marTop w:val="0"/>
                                                  <w:marBottom w:val="0"/>
                                                  <w:divBdr>
                                                    <w:top w:val="none" w:sz="0" w:space="0" w:color="auto"/>
                                                    <w:left w:val="none" w:sz="0" w:space="0" w:color="auto"/>
                                                    <w:bottom w:val="none" w:sz="0" w:space="0" w:color="auto"/>
                                                    <w:right w:val="none" w:sz="0" w:space="0" w:color="auto"/>
                                                  </w:divBdr>
                                                  <w:divsChild>
                                                    <w:div w:id="358819143">
                                                      <w:marLeft w:val="0"/>
                                                      <w:marRight w:val="0"/>
                                                      <w:marTop w:val="0"/>
                                                      <w:marBottom w:val="0"/>
                                                      <w:divBdr>
                                                        <w:top w:val="none" w:sz="0" w:space="0" w:color="auto"/>
                                                        <w:left w:val="none" w:sz="0" w:space="0" w:color="auto"/>
                                                        <w:bottom w:val="none" w:sz="0" w:space="0" w:color="auto"/>
                                                        <w:right w:val="none" w:sz="0" w:space="0" w:color="auto"/>
                                                      </w:divBdr>
                                                      <w:divsChild>
                                                        <w:div w:id="208035410">
                                                          <w:marLeft w:val="0"/>
                                                          <w:marRight w:val="0"/>
                                                          <w:marTop w:val="0"/>
                                                          <w:marBottom w:val="0"/>
                                                          <w:divBdr>
                                                            <w:top w:val="none" w:sz="0" w:space="0" w:color="auto"/>
                                                            <w:left w:val="none" w:sz="0" w:space="0" w:color="auto"/>
                                                            <w:bottom w:val="none" w:sz="0" w:space="0" w:color="auto"/>
                                                            <w:right w:val="none" w:sz="0" w:space="0" w:color="auto"/>
                                                          </w:divBdr>
                                                          <w:divsChild>
                                                            <w:div w:id="4228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9012066">
      <w:bodyDiv w:val="1"/>
      <w:marLeft w:val="0"/>
      <w:marRight w:val="0"/>
      <w:marTop w:val="0"/>
      <w:marBottom w:val="0"/>
      <w:divBdr>
        <w:top w:val="none" w:sz="0" w:space="0" w:color="auto"/>
        <w:left w:val="none" w:sz="0" w:space="0" w:color="auto"/>
        <w:bottom w:val="none" w:sz="0" w:space="0" w:color="auto"/>
        <w:right w:val="none" w:sz="0" w:space="0" w:color="auto"/>
      </w:divBdr>
    </w:div>
    <w:div w:id="541669116">
      <w:bodyDiv w:val="1"/>
      <w:marLeft w:val="0"/>
      <w:marRight w:val="0"/>
      <w:marTop w:val="0"/>
      <w:marBottom w:val="0"/>
      <w:divBdr>
        <w:top w:val="none" w:sz="0" w:space="0" w:color="auto"/>
        <w:left w:val="none" w:sz="0" w:space="0" w:color="auto"/>
        <w:bottom w:val="none" w:sz="0" w:space="0" w:color="auto"/>
        <w:right w:val="none" w:sz="0" w:space="0" w:color="auto"/>
      </w:divBdr>
      <w:divsChild>
        <w:div w:id="17319455">
          <w:marLeft w:val="0"/>
          <w:marRight w:val="0"/>
          <w:marTop w:val="0"/>
          <w:marBottom w:val="0"/>
          <w:divBdr>
            <w:top w:val="none" w:sz="0" w:space="0" w:color="auto"/>
            <w:left w:val="none" w:sz="0" w:space="0" w:color="auto"/>
            <w:bottom w:val="none" w:sz="0" w:space="0" w:color="auto"/>
            <w:right w:val="none" w:sz="0" w:space="0" w:color="auto"/>
          </w:divBdr>
          <w:divsChild>
            <w:div w:id="579291181">
              <w:marLeft w:val="0"/>
              <w:marRight w:val="0"/>
              <w:marTop w:val="0"/>
              <w:marBottom w:val="0"/>
              <w:divBdr>
                <w:top w:val="none" w:sz="0" w:space="0" w:color="auto"/>
                <w:left w:val="none" w:sz="0" w:space="0" w:color="auto"/>
                <w:bottom w:val="none" w:sz="0" w:space="0" w:color="auto"/>
                <w:right w:val="none" w:sz="0" w:space="0" w:color="auto"/>
              </w:divBdr>
              <w:divsChild>
                <w:div w:id="274989794">
                  <w:marLeft w:val="0"/>
                  <w:marRight w:val="0"/>
                  <w:marTop w:val="0"/>
                  <w:marBottom w:val="0"/>
                  <w:divBdr>
                    <w:top w:val="none" w:sz="0" w:space="0" w:color="auto"/>
                    <w:left w:val="none" w:sz="0" w:space="0" w:color="auto"/>
                    <w:bottom w:val="none" w:sz="0" w:space="0" w:color="auto"/>
                    <w:right w:val="none" w:sz="0" w:space="0" w:color="auto"/>
                  </w:divBdr>
                  <w:divsChild>
                    <w:div w:id="99302051">
                      <w:marLeft w:val="0"/>
                      <w:marRight w:val="0"/>
                      <w:marTop w:val="0"/>
                      <w:marBottom w:val="0"/>
                      <w:divBdr>
                        <w:top w:val="none" w:sz="0" w:space="0" w:color="auto"/>
                        <w:left w:val="none" w:sz="0" w:space="0" w:color="auto"/>
                        <w:bottom w:val="none" w:sz="0" w:space="0" w:color="auto"/>
                        <w:right w:val="none" w:sz="0" w:space="0" w:color="auto"/>
                      </w:divBdr>
                      <w:divsChild>
                        <w:div w:id="1263301397">
                          <w:marLeft w:val="0"/>
                          <w:marRight w:val="0"/>
                          <w:marTop w:val="0"/>
                          <w:marBottom w:val="0"/>
                          <w:divBdr>
                            <w:top w:val="none" w:sz="0" w:space="0" w:color="auto"/>
                            <w:left w:val="none" w:sz="0" w:space="0" w:color="auto"/>
                            <w:bottom w:val="none" w:sz="0" w:space="0" w:color="auto"/>
                            <w:right w:val="none" w:sz="0" w:space="0" w:color="auto"/>
                          </w:divBdr>
                          <w:divsChild>
                            <w:div w:id="591740237">
                              <w:marLeft w:val="0"/>
                              <w:marRight w:val="0"/>
                              <w:marTop w:val="0"/>
                              <w:marBottom w:val="0"/>
                              <w:divBdr>
                                <w:top w:val="none" w:sz="0" w:space="0" w:color="auto"/>
                                <w:left w:val="none" w:sz="0" w:space="0" w:color="auto"/>
                                <w:bottom w:val="none" w:sz="0" w:space="0" w:color="auto"/>
                                <w:right w:val="none" w:sz="0" w:space="0" w:color="auto"/>
                              </w:divBdr>
                              <w:divsChild>
                                <w:div w:id="1268197967">
                                  <w:marLeft w:val="0"/>
                                  <w:marRight w:val="0"/>
                                  <w:marTop w:val="0"/>
                                  <w:marBottom w:val="0"/>
                                  <w:divBdr>
                                    <w:top w:val="none" w:sz="0" w:space="0" w:color="auto"/>
                                    <w:left w:val="none" w:sz="0" w:space="0" w:color="auto"/>
                                    <w:bottom w:val="none" w:sz="0" w:space="0" w:color="auto"/>
                                    <w:right w:val="none" w:sz="0" w:space="0" w:color="auto"/>
                                  </w:divBdr>
                                  <w:divsChild>
                                    <w:div w:id="2131435968">
                                      <w:marLeft w:val="0"/>
                                      <w:marRight w:val="0"/>
                                      <w:marTop w:val="0"/>
                                      <w:marBottom w:val="0"/>
                                      <w:divBdr>
                                        <w:top w:val="none" w:sz="0" w:space="0" w:color="auto"/>
                                        <w:left w:val="none" w:sz="0" w:space="0" w:color="auto"/>
                                        <w:bottom w:val="none" w:sz="0" w:space="0" w:color="auto"/>
                                        <w:right w:val="none" w:sz="0" w:space="0" w:color="auto"/>
                                      </w:divBdr>
                                      <w:divsChild>
                                        <w:div w:id="1008018751">
                                          <w:marLeft w:val="0"/>
                                          <w:marRight w:val="0"/>
                                          <w:marTop w:val="0"/>
                                          <w:marBottom w:val="0"/>
                                          <w:divBdr>
                                            <w:top w:val="none" w:sz="0" w:space="0" w:color="auto"/>
                                            <w:left w:val="none" w:sz="0" w:space="0" w:color="auto"/>
                                            <w:bottom w:val="none" w:sz="0" w:space="0" w:color="auto"/>
                                            <w:right w:val="none" w:sz="0" w:space="0" w:color="auto"/>
                                          </w:divBdr>
                                          <w:divsChild>
                                            <w:div w:id="426510331">
                                              <w:marLeft w:val="0"/>
                                              <w:marRight w:val="0"/>
                                              <w:marTop w:val="0"/>
                                              <w:marBottom w:val="0"/>
                                              <w:divBdr>
                                                <w:top w:val="none" w:sz="0" w:space="0" w:color="auto"/>
                                                <w:left w:val="none" w:sz="0" w:space="0" w:color="auto"/>
                                                <w:bottom w:val="none" w:sz="0" w:space="0" w:color="auto"/>
                                                <w:right w:val="none" w:sz="0" w:space="0" w:color="auto"/>
                                              </w:divBdr>
                                              <w:divsChild>
                                                <w:div w:id="1983267852">
                                                  <w:marLeft w:val="0"/>
                                                  <w:marRight w:val="0"/>
                                                  <w:marTop w:val="0"/>
                                                  <w:marBottom w:val="0"/>
                                                  <w:divBdr>
                                                    <w:top w:val="none" w:sz="0" w:space="0" w:color="auto"/>
                                                    <w:left w:val="none" w:sz="0" w:space="0" w:color="auto"/>
                                                    <w:bottom w:val="none" w:sz="0" w:space="0" w:color="auto"/>
                                                    <w:right w:val="none" w:sz="0" w:space="0" w:color="auto"/>
                                                  </w:divBdr>
                                                  <w:divsChild>
                                                    <w:div w:id="776289904">
                                                      <w:marLeft w:val="0"/>
                                                      <w:marRight w:val="0"/>
                                                      <w:marTop w:val="0"/>
                                                      <w:marBottom w:val="0"/>
                                                      <w:divBdr>
                                                        <w:top w:val="none" w:sz="0" w:space="0" w:color="auto"/>
                                                        <w:left w:val="none" w:sz="0" w:space="0" w:color="auto"/>
                                                        <w:bottom w:val="none" w:sz="0" w:space="0" w:color="auto"/>
                                                        <w:right w:val="none" w:sz="0" w:space="0" w:color="auto"/>
                                                      </w:divBdr>
                                                      <w:divsChild>
                                                        <w:div w:id="1780294813">
                                                          <w:marLeft w:val="0"/>
                                                          <w:marRight w:val="0"/>
                                                          <w:marTop w:val="0"/>
                                                          <w:marBottom w:val="0"/>
                                                          <w:divBdr>
                                                            <w:top w:val="none" w:sz="0" w:space="0" w:color="auto"/>
                                                            <w:left w:val="none" w:sz="0" w:space="0" w:color="auto"/>
                                                            <w:bottom w:val="none" w:sz="0" w:space="0" w:color="auto"/>
                                                            <w:right w:val="none" w:sz="0" w:space="0" w:color="auto"/>
                                                          </w:divBdr>
                                                          <w:divsChild>
                                                            <w:div w:id="4279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287945">
      <w:bodyDiv w:val="1"/>
      <w:marLeft w:val="0"/>
      <w:marRight w:val="0"/>
      <w:marTop w:val="0"/>
      <w:marBottom w:val="0"/>
      <w:divBdr>
        <w:top w:val="none" w:sz="0" w:space="0" w:color="auto"/>
        <w:left w:val="none" w:sz="0" w:space="0" w:color="auto"/>
        <w:bottom w:val="none" w:sz="0" w:space="0" w:color="auto"/>
        <w:right w:val="none" w:sz="0" w:space="0" w:color="auto"/>
      </w:divBdr>
    </w:div>
    <w:div w:id="622615418">
      <w:bodyDiv w:val="1"/>
      <w:marLeft w:val="0"/>
      <w:marRight w:val="0"/>
      <w:marTop w:val="0"/>
      <w:marBottom w:val="0"/>
      <w:divBdr>
        <w:top w:val="none" w:sz="0" w:space="0" w:color="auto"/>
        <w:left w:val="none" w:sz="0" w:space="0" w:color="auto"/>
        <w:bottom w:val="none" w:sz="0" w:space="0" w:color="auto"/>
        <w:right w:val="none" w:sz="0" w:space="0" w:color="auto"/>
      </w:divBdr>
    </w:div>
    <w:div w:id="716667668">
      <w:bodyDiv w:val="1"/>
      <w:marLeft w:val="0"/>
      <w:marRight w:val="0"/>
      <w:marTop w:val="0"/>
      <w:marBottom w:val="0"/>
      <w:divBdr>
        <w:top w:val="none" w:sz="0" w:space="0" w:color="auto"/>
        <w:left w:val="none" w:sz="0" w:space="0" w:color="auto"/>
        <w:bottom w:val="none" w:sz="0" w:space="0" w:color="auto"/>
        <w:right w:val="none" w:sz="0" w:space="0" w:color="auto"/>
      </w:divBdr>
    </w:div>
    <w:div w:id="737283381">
      <w:bodyDiv w:val="1"/>
      <w:marLeft w:val="0"/>
      <w:marRight w:val="0"/>
      <w:marTop w:val="0"/>
      <w:marBottom w:val="0"/>
      <w:divBdr>
        <w:top w:val="none" w:sz="0" w:space="0" w:color="auto"/>
        <w:left w:val="none" w:sz="0" w:space="0" w:color="auto"/>
        <w:bottom w:val="none" w:sz="0" w:space="0" w:color="auto"/>
        <w:right w:val="none" w:sz="0" w:space="0" w:color="auto"/>
      </w:divBdr>
    </w:div>
    <w:div w:id="772944435">
      <w:bodyDiv w:val="1"/>
      <w:marLeft w:val="0"/>
      <w:marRight w:val="0"/>
      <w:marTop w:val="0"/>
      <w:marBottom w:val="0"/>
      <w:divBdr>
        <w:top w:val="none" w:sz="0" w:space="0" w:color="auto"/>
        <w:left w:val="none" w:sz="0" w:space="0" w:color="auto"/>
        <w:bottom w:val="none" w:sz="0" w:space="0" w:color="auto"/>
        <w:right w:val="none" w:sz="0" w:space="0" w:color="auto"/>
      </w:divBdr>
    </w:div>
    <w:div w:id="845052490">
      <w:bodyDiv w:val="1"/>
      <w:marLeft w:val="0"/>
      <w:marRight w:val="0"/>
      <w:marTop w:val="0"/>
      <w:marBottom w:val="0"/>
      <w:divBdr>
        <w:top w:val="none" w:sz="0" w:space="0" w:color="auto"/>
        <w:left w:val="none" w:sz="0" w:space="0" w:color="auto"/>
        <w:bottom w:val="none" w:sz="0" w:space="0" w:color="auto"/>
        <w:right w:val="none" w:sz="0" w:space="0" w:color="auto"/>
      </w:divBdr>
    </w:div>
    <w:div w:id="898246399">
      <w:bodyDiv w:val="1"/>
      <w:marLeft w:val="0"/>
      <w:marRight w:val="0"/>
      <w:marTop w:val="0"/>
      <w:marBottom w:val="0"/>
      <w:divBdr>
        <w:top w:val="none" w:sz="0" w:space="0" w:color="auto"/>
        <w:left w:val="none" w:sz="0" w:space="0" w:color="auto"/>
        <w:bottom w:val="none" w:sz="0" w:space="0" w:color="auto"/>
        <w:right w:val="none" w:sz="0" w:space="0" w:color="auto"/>
      </w:divBdr>
    </w:div>
    <w:div w:id="921991676">
      <w:bodyDiv w:val="1"/>
      <w:marLeft w:val="0"/>
      <w:marRight w:val="0"/>
      <w:marTop w:val="0"/>
      <w:marBottom w:val="0"/>
      <w:divBdr>
        <w:top w:val="none" w:sz="0" w:space="0" w:color="auto"/>
        <w:left w:val="none" w:sz="0" w:space="0" w:color="auto"/>
        <w:bottom w:val="none" w:sz="0" w:space="0" w:color="auto"/>
        <w:right w:val="none" w:sz="0" w:space="0" w:color="auto"/>
      </w:divBdr>
    </w:div>
    <w:div w:id="928542935">
      <w:bodyDiv w:val="1"/>
      <w:marLeft w:val="0"/>
      <w:marRight w:val="0"/>
      <w:marTop w:val="0"/>
      <w:marBottom w:val="0"/>
      <w:divBdr>
        <w:top w:val="none" w:sz="0" w:space="0" w:color="auto"/>
        <w:left w:val="none" w:sz="0" w:space="0" w:color="auto"/>
        <w:bottom w:val="none" w:sz="0" w:space="0" w:color="auto"/>
        <w:right w:val="none" w:sz="0" w:space="0" w:color="auto"/>
      </w:divBdr>
    </w:div>
    <w:div w:id="929318219">
      <w:bodyDiv w:val="1"/>
      <w:marLeft w:val="0"/>
      <w:marRight w:val="0"/>
      <w:marTop w:val="0"/>
      <w:marBottom w:val="0"/>
      <w:divBdr>
        <w:top w:val="none" w:sz="0" w:space="0" w:color="auto"/>
        <w:left w:val="none" w:sz="0" w:space="0" w:color="auto"/>
        <w:bottom w:val="none" w:sz="0" w:space="0" w:color="auto"/>
        <w:right w:val="none" w:sz="0" w:space="0" w:color="auto"/>
      </w:divBdr>
    </w:div>
    <w:div w:id="957032568">
      <w:bodyDiv w:val="1"/>
      <w:marLeft w:val="0"/>
      <w:marRight w:val="0"/>
      <w:marTop w:val="0"/>
      <w:marBottom w:val="0"/>
      <w:divBdr>
        <w:top w:val="none" w:sz="0" w:space="0" w:color="auto"/>
        <w:left w:val="none" w:sz="0" w:space="0" w:color="auto"/>
        <w:bottom w:val="none" w:sz="0" w:space="0" w:color="auto"/>
        <w:right w:val="none" w:sz="0" w:space="0" w:color="auto"/>
      </w:divBdr>
    </w:div>
    <w:div w:id="990601363">
      <w:bodyDiv w:val="1"/>
      <w:marLeft w:val="0"/>
      <w:marRight w:val="0"/>
      <w:marTop w:val="0"/>
      <w:marBottom w:val="0"/>
      <w:divBdr>
        <w:top w:val="none" w:sz="0" w:space="0" w:color="auto"/>
        <w:left w:val="none" w:sz="0" w:space="0" w:color="auto"/>
        <w:bottom w:val="none" w:sz="0" w:space="0" w:color="auto"/>
        <w:right w:val="none" w:sz="0" w:space="0" w:color="auto"/>
      </w:divBdr>
    </w:div>
    <w:div w:id="1021011363">
      <w:bodyDiv w:val="1"/>
      <w:marLeft w:val="0"/>
      <w:marRight w:val="0"/>
      <w:marTop w:val="0"/>
      <w:marBottom w:val="0"/>
      <w:divBdr>
        <w:top w:val="none" w:sz="0" w:space="0" w:color="auto"/>
        <w:left w:val="none" w:sz="0" w:space="0" w:color="auto"/>
        <w:bottom w:val="none" w:sz="0" w:space="0" w:color="auto"/>
        <w:right w:val="none" w:sz="0" w:space="0" w:color="auto"/>
      </w:divBdr>
    </w:div>
    <w:div w:id="1028065135">
      <w:bodyDiv w:val="1"/>
      <w:marLeft w:val="0"/>
      <w:marRight w:val="0"/>
      <w:marTop w:val="0"/>
      <w:marBottom w:val="0"/>
      <w:divBdr>
        <w:top w:val="none" w:sz="0" w:space="0" w:color="auto"/>
        <w:left w:val="none" w:sz="0" w:space="0" w:color="auto"/>
        <w:bottom w:val="none" w:sz="0" w:space="0" w:color="auto"/>
        <w:right w:val="none" w:sz="0" w:space="0" w:color="auto"/>
      </w:divBdr>
      <w:divsChild>
        <w:div w:id="517044591">
          <w:marLeft w:val="0"/>
          <w:marRight w:val="0"/>
          <w:marTop w:val="0"/>
          <w:marBottom w:val="0"/>
          <w:divBdr>
            <w:top w:val="none" w:sz="0" w:space="0" w:color="auto"/>
            <w:left w:val="none" w:sz="0" w:space="0" w:color="auto"/>
            <w:bottom w:val="none" w:sz="0" w:space="0" w:color="auto"/>
            <w:right w:val="none" w:sz="0" w:space="0" w:color="auto"/>
          </w:divBdr>
          <w:divsChild>
            <w:div w:id="689258157">
              <w:marLeft w:val="0"/>
              <w:marRight w:val="0"/>
              <w:marTop w:val="0"/>
              <w:marBottom w:val="0"/>
              <w:divBdr>
                <w:top w:val="none" w:sz="0" w:space="0" w:color="auto"/>
                <w:left w:val="none" w:sz="0" w:space="0" w:color="auto"/>
                <w:bottom w:val="none" w:sz="0" w:space="0" w:color="auto"/>
                <w:right w:val="none" w:sz="0" w:space="0" w:color="auto"/>
              </w:divBdr>
              <w:divsChild>
                <w:div w:id="1569456289">
                  <w:marLeft w:val="0"/>
                  <w:marRight w:val="0"/>
                  <w:marTop w:val="0"/>
                  <w:marBottom w:val="0"/>
                  <w:divBdr>
                    <w:top w:val="none" w:sz="0" w:space="0" w:color="auto"/>
                    <w:left w:val="none" w:sz="0" w:space="0" w:color="auto"/>
                    <w:bottom w:val="none" w:sz="0" w:space="0" w:color="auto"/>
                    <w:right w:val="none" w:sz="0" w:space="0" w:color="auto"/>
                  </w:divBdr>
                  <w:divsChild>
                    <w:div w:id="1709064776">
                      <w:marLeft w:val="0"/>
                      <w:marRight w:val="0"/>
                      <w:marTop w:val="0"/>
                      <w:marBottom w:val="0"/>
                      <w:divBdr>
                        <w:top w:val="none" w:sz="0" w:space="0" w:color="auto"/>
                        <w:left w:val="none" w:sz="0" w:space="0" w:color="auto"/>
                        <w:bottom w:val="none" w:sz="0" w:space="0" w:color="auto"/>
                        <w:right w:val="none" w:sz="0" w:space="0" w:color="auto"/>
                      </w:divBdr>
                      <w:divsChild>
                        <w:div w:id="1382560961">
                          <w:marLeft w:val="0"/>
                          <w:marRight w:val="0"/>
                          <w:marTop w:val="0"/>
                          <w:marBottom w:val="0"/>
                          <w:divBdr>
                            <w:top w:val="none" w:sz="0" w:space="0" w:color="auto"/>
                            <w:left w:val="none" w:sz="0" w:space="0" w:color="auto"/>
                            <w:bottom w:val="none" w:sz="0" w:space="0" w:color="auto"/>
                            <w:right w:val="none" w:sz="0" w:space="0" w:color="auto"/>
                          </w:divBdr>
                          <w:divsChild>
                            <w:div w:id="208957226">
                              <w:marLeft w:val="0"/>
                              <w:marRight w:val="0"/>
                              <w:marTop w:val="0"/>
                              <w:marBottom w:val="0"/>
                              <w:divBdr>
                                <w:top w:val="none" w:sz="0" w:space="0" w:color="auto"/>
                                <w:left w:val="none" w:sz="0" w:space="0" w:color="auto"/>
                                <w:bottom w:val="none" w:sz="0" w:space="0" w:color="auto"/>
                                <w:right w:val="none" w:sz="0" w:space="0" w:color="auto"/>
                              </w:divBdr>
                              <w:divsChild>
                                <w:div w:id="919215620">
                                  <w:marLeft w:val="0"/>
                                  <w:marRight w:val="0"/>
                                  <w:marTop w:val="0"/>
                                  <w:marBottom w:val="0"/>
                                  <w:divBdr>
                                    <w:top w:val="none" w:sz="0" w:space="0" w:color="auto"/>
                                    <w:left w:val="none" w:sz="0" w:space="0" w:color="auto"/>
                                    <w:bottom w:val="none" w:sz="0" w:space="0" w:color="auto"/>
                                    <w:right w:val="none" w:sz="0" w:space="0" w:color="auto"/>
                                  </w:divBdr>
                                  <w:divsChild>
                                    <w:div w:id="664867165">
                                      <w:marLeft w:val="0"/>
                                      <w:marRight w:val="0"/>
                                      <w:marTop w:val="0"/>
                                      <w:marBottom w:val="0"/>
                                      <w:divBdr>
                                        <w:top w:val="none" w:sz="0" w:space="0" w:color="auto"/>
                                        <w:left w:val="none" w:sz="0" w:space="0" w:color="auto"/>
                                        <w:bottom w:val="none" w:sz="0" w:space="0" w:color="auto"/>
                                        <w:right w:val="none" w:sz="0" w:space="0" w:color="auto"/>
                                      </w:divBdr>
                                      <w:divsChild>
                                        <w:div w:id="1352219623">
                                          <w:marLeft w:val="0"/>
                                          <w:marRight w:val="0"/>
                                          <w:marTop w:val="0"/>
                                          <w:marBottom w:val="0"/>
                                          <w:divBdr>
                                            <w:top w:val="none" w:sz="0" w:space="0" w:color="auto"/>
                                            <w:left w:val="none" w:sz="0" w:space="0" w:color="auto"/>
                                            <w:bottom w:val="none" w:sz="0" w:space="0" w:color="auto"/>
                                            <w:right w:val="none" w:sz="0" w:space="0" w:color="auto"/>
                                          </w:divBdr>
                                          <w:divsChild>
                                            <w:div w:id="65882126">
                                              <w:marLeft w:val="0"/>
                                              <w:marRight w:val="0"/>
                                              <w:marTop w:val="0"/>
                                              <w:marBottom w:val="0"/>
                                              <w:divBdr>
                                                <w:top w:val="none" w:sz="0" w:space="0" w:color="auto"/>
                                                <w:left w:val="none" w:sz="0" w:space="0" w:color="auto"/>
                                                <w:bottom w:val="none" w:sz="0" w:space="0" w:color="auto"/>
                                                <w:right w:val="none" w:sz="0" w:space="0" w:color="auto"/>
                                              </w:divBdr>
                                              <w:divsChild>
                                                <w:div w:id="1033768684">
                                                  <w:marLeft w:val="0"/>
                                                  <w:marRight w:val="0"/>
                                                  <w:marTop w:val="0"/>
                                                  <w:marBottom w:val="0"/>
                                                  <w:divBdr>
                                                    <w:top w:val="none" w:sz="0" w:space="0" w:color="auto"/>
                                                    <w:left w:val="none" w:sz="0" w:space="0" w:color="auto"/>
                                                    <w:bottom w:val="none" w:sz="0" w:space="0" w:color="auto"/>
                                                    <w:right w:val="none" w:sz="0" w:space="0" w:color="auto"/>
                                                  </w:divBdr>
                                                  <w:divsChild>
                                                    <w:div w:id="1739471751">
                                                      <w:marLeft w:val="0"/>
                                                      <w:marRight w:val="0"/>
                                                      <w:marTop w:val="0"/>
                                                      <w:marBottom w:val="0"/>
                                                      <w:divBdr>
                                                        <w:top w:val="none" w:sz="0" w:space="0" w:color="auto"/>
                                                        <w:left w:val="none" w:sz="0" w:space="0" w:color="auto"/>
                                                        <w:bottom w:val="none" w:sz="0" w:space="0" w:color="auto"/>
                                                        <w:right w:val="none" w:sz="0" w:space="0" w:color="auto"/>
                                                      </w:divBdr>
                                                      <w:divsChild>
                                                        <w:div w:id="765074974">
                                                          <w:marLeft w:val="0"/>
                                                          <w:marRight w:val="0"/>
                                                          <w:marTop w:val="0"/>
                                                          <w:marBottom w:val="0"/>
                                                          <w:divBdr>
                                                            <w:top w:val="none" w:sz="0" w:space="0" w:color="auto"/>
                                                            <w:left w:val="none" w:sz="0" w:space="0" w:color="auto"/>
                                                            <w:bottom w:val="none" w:sz="0" w:space="0" w:color="auto"/>
                                                            <w:right w:val="none" w:sz="0" w:space="0" w:color="auto"/>
                                                          </w:divBdr>
                                                          <w:divsChild>
                                                            <w:div w:id="12716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301684">
      <w:bodyDiv w:val="1"/>
      <w:marLeft w:val="0"/>
      <w:marRight w:val="0"/>
      <w:marTop w:val="0"/>
      <w:marBottom w:val="0"/>
      <w:divBdr>
        <w:top w:val="none" w:sz="0" w:space="0" w:color="auto"/>
        <w:left w:val="none" w:sz="0" w:space="0" w:color="auto"/>
        <w:bottom w:val="none" w:sz="0" w:space="0" w:color="auto"/>
        <w:right w:val="none" w:sz="0" w:space="0" w:color="auto"/>
      </w:divBdr>
      <w:divsChild>
        <w:div w:id="402263850">
          <w:marLeft w:val="0"/>
          <w:marRight w:val="0"/>
          <w:marTop w:val="0"/>
          <w:marBottom w:val="0"/>
          <w:divBdr>
            <w:top w:val="none" w:sz="0" w:space="0" w:color="auto"/>
            <w:left w:val="none" w:sz="0" w:space="0" w:color="auto"/>
            <w:bottom w:val="none" w:sz="0" w:space="0" w:color="auto"/>
            <w:right w:val="none" w:sz="0" w:space="0" w:color="auto"/>
          </w:divBdr>
          <w:divsChild>
            <w:div w:id="417361925">
              <w:marLeft w:val="0"/>
              <w:marRight w:val="0"/>
              <w:marTop w:val="0"/>
              <w:marBottom w:val="0"/>
              <w:divBdr>
                <w:top w:val="none" w:sz="0" w:space="0" w:color="auto"/>
                <w:left w:val="none" w:sz="0" w:space="0" w:color="auto"/>
                <w:bottom w:val="none" w:sz="0" w:space="0" w:color="auto"/>
                <w:right w:val="none" w:sz="0" w:space="0" w:color="auto"/>
              </w:divBdr>
              <w:divsChild>
                <w:div w:id="1319917635">
                  <w:marLeft w:val="0"/>
                  <w:marRight w:val="0"/>
                  <w:marTop w:val="0"/>
                  <w:marBottom w:val="0"/>
                  <w:divBdr>
                    <w:top w:val="none" w:sz="0" w:space="0" w:color="auto"/>
                    <w:left w:val="none" w:sz="0" w:space="0" w:color="auto"/>
                    <w:bottom w:val="none" w:sz="0" w:space="0" w:color="auto"/>
                    <w:right w:val="none" w:sz="0" w:space="0" w:color="auto"/>
                  </w:divBdr>
                  <w:divsChild>
                    <w:div w:id="1937638315">
                      <w:marLeft w:val="0"/>
                      <w:marRight w:val="0"/>
                      <w:marTop w:val="0"/>
                      <w:marBottom w:val="0"/>
                      <w:divBdr>
                        <w:top w:val="none" w:sz="0" w:space="0" w:color="auto"/>
                        <w:left w:val="none" w:sz="0" w:space="0" w:color="auto"/>
                        <w:bottom w:val="none" w:sz="0" w:space="0" w:color="auto"/>
                        <w:right w:val="none" w:sz="0" w:space="0" w:color="auto"/>
                      </w:divBdr>
                      <w:divsChild>
                        <w:div w:id="228925752">
                          <w:marLeft w:val="0"/>
                          <w:marRight w:val="0"/>
                          <w:marTop w:val="0"/>
                          <w:marBottom w:val="0"/>
                          <w:divBdr>
                            <w:top w:val="none" w:sz="0" w:space="0" w:color="auto"/>
                            <w:left w:val="none" w:sz="0" w:space="0" w:color="auto"/>
                            <w:bottom w:val="none" w:sz="0" w:space="0" w:color="auto"/>
                            <w:right w:val="none" w:sz="0" w:space="0" w:color="auto"/>
                          </w:divBdr>
                          <w:divsChild>
                            <w:div w:id="415127605">
                              <w:marLeft w:val="0"/>
                              <w:marRight w:val="0"/>
                              <w:marTop w:val="0"/>
                              <w:marBottom w:val="0"/>
                              <w:divBdr>
                                <w:top w:val="none" w:sz="0" w:space="0" w:color="auto"/>
                                <w:left w:val="none" w:sz="0" w:space="0" w:color="auto"/>
                                <w:bottom w:val="none" w:sz="0" w:space="0" w:color="auto"/>
                                <w:right w:val="none" w:sz="0" w:space="0" w:color="auto"/>
                              </w:divBdr>
                              <w:divsChild>
                                <w:div w:id="1679039814">
                                  <w:marLeft w:val="0"/>
                                  <w:marRight w:val="0"/>
                                  <w:marTop w:val="0"/>
                                  <w:marBottom w:val="0"/>
                                  <w:divBdr>
                                    <w:top w:val="none" w:sz="0" w:space="0" w:color="auto"/>
                                    <w:left w:val="none" w:sz="0" w:space="0" w:color="auto"/>
                                    <w:bottom w:val="none" w:sz="0" w:space="0" w:color="auto"/>
                                    <w:right w:val="none" w:sz="0" w:space="0" w:color="auto"/>
                                  </w:divBdr>
                                  <w:divsChild>
                                    <w:div w:id="801996484">
                                      <w:marLeft w:val="0"/>
                                      <w:marRight w:val="0"/>
                                      <w:marTop w:val="0"/>
                                      <w:marBottom w:val="0"/>
                                      <w:divBdr>
                                        <w:top w:val="none" w:sz="0" w:space="0" w:color="auto"/>
                                        <w:left w:val="none" w:sz="0" w:space="0" w:color="auto"/>
                                        <w:bottom w:val="none" w:sz="0" w:space="0" w:color="auto"/>
                                        <w:right w:val="none" w:sz="0" w:space="0" w:color="auto"/>
                                      </w:divBdr>
                                      <w:divsChild>
                                        <w:div w:id="1311060670">
                                          <w:marLeft w:val="0"/>
                                          <w:marRight w:val="0"/>
                                          <w:marTop w:val="0"/>
                                          <w:marBottom w:val="0"/>
                                          <w:divBdr>
                                            <w:top w:val="none" w:sz="0" w:space="0" w:color="auto"/>
                                            <w:left w:val="none" w:sz="0" w:space="0" w:color="auto"/>
                                            <w:bottom w:val="none" w:sz="0" w:space="0" w:color="auto"/>
                                            <w:right w:val="none" w:sz="0" w:space="0" w:color="auto"/>
                                          </w:divBdr>
                                          <w:divsChild>
                                            <w:div w:id="366301065">
                                              <w:marLeft w:val="0"/>
                                              <w:marRight w:val="0"/>
                                              <w:marTop w:val="0"/>
                                              <w:marBottom w:val="0"/>
                                              <w:divBdr>
                                                <w:top w:val="none" w:sz="0" w:space="0" w:color="auto"/>
                                                <w:left w:val="none" w:sz="0" w:space="0" w:color="auto"/>
                                                <w:bottom w:val="none" w:sz="0" w:space="0" w:color="auto"/>
                                                <w:right w:val="none" w:sz="0" w:space="0" w:color="auto"/>
                                              </w:divBdr>
                                              <w:divsChild>
                                                <w:div w:id="896554140">
                                                  <w:marLeft w:val="0"/>
                                                  <w:marRight w:val="0"/>
                                                  <w:marTop w:val="0"/>
                                                  <w:marBottom w:val="0"/>
                                                  <w:divBdr>
                                                    <w:top w:val="none" w:sz="0" w:space="0" w:color="auto"/>
                                                    <w:left w:val="none" w:sz="0" w:space="0" w:color="auto"/>
                                                    <w:bottom w:val="none" w:sz="0" w:space="0" w:color="auto"/>
                                                    <w:right w:val="none" w:sz="0" w:space="0" w:color="auto"/>
                                                  </w:divBdr>
                                                  <w:divsChild>
                                                    <w:div w:id="1376081811">
                                                      <w:marLeft w:val="0"/>
                                                      <w:marRight w:val="0"/>
                                                      <w:marTop w:val="0"/>
                                                      <w:marBottom w:val="0"/>
                                                      <w:divBdr>
                                                        <w:top w:val="none" w:sz="0" w:space="0" w:color="auto"/>
                                                        <w:left w:val="none" w:sz="0" w:space="0" w:color="auto"/>
                                                        <w:bottom w:val="none" w:sz="0" w:space="0" w:color="auto"/>
                                                        <w:right w:val="none" w:sz="0" w:space="0" w:color="auto"/>
                                                      </w:divBdr>
                                                      <w:divsChild>
                                                        <w:div w:id="1754857861">
                                                          <w:marLeft w:val="0"/>
                                                          <w:marRight w:val="0"/>
                                                          <w:marTop w:val="0"/>
                                                          <w:marBottom w:val="0"/>
                                                          <w:divBdr>
                                                            <w:top w:val="none" w:sz="0" w:space="0" w:color="auto"/>
                                                            <w:left w:val="none" w:sz="0" w:space="0" w:color="auto"/>
                                                            <w:bottom w:val="none" w:sz="0" w:space="0" w:color="auto"/>
                                                            <w:right w:val="none" w:sz="0" w:space="0" w:color="auto"/>
                                                          </w:divBdr>
                                                          <w:divsChild>
                                                            <w:div w:id="537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893010">
      <w:bodyDiv w:val="1"/>
      <w:marLeft w:val="0"/>
      <w:marRight w:val="0"/>
      <w:marTop w:val="0"/>
      <w:marBottom w:val="0"/>
      <w:divBdr>
        <w:top w:val="none" w:sz="0" w:space="0" w:color="auto"/>
        <w:left w:val="none" w:sz="0" w:space="0" w:color="auto"/>
        <w:bottom w:val="none" w:sz="0" w:space="0" w:color="auto"/>
        <w:right w:val="none" w:sz="0" w:space="0" w:color="auto"/>
      </w:divBdr>
    </w:div>
    <w:div w:id="1112941102">
      <w:bodyDiv w:val="1"/>
      <w:marLeft w:val="0"/>
      <w:marRight w:val="0"/>
      <w:marTop w:val="0"/>
      <w:marBottom w:val="0"/>
      <w:divBdr>
        <w:top w:val="none" w:sz="0" w:space="0" w:color="auto"/>
        <w:left w:val="none" w:sz="0" w:space="0" w:color="auto"/>
        <w:bottom w:val="none" w:sz="0" w:space="0" w:color="auto"/>
        <w:right w:val="none" w:sz="0" w:space="0" w:color="auto"/>
      </w:divBdr>
    </w:div>
    <w:div w:id="1185052437">
      <w:bodyDiv w:val="1"/>
      <w:marLeft w:val="0"/>
      <w:marRight w:val="0"/>
      <w:marTop w:val="0"/>
      <w:marBottom w:val="0"/>
      <w:divBdr>
        <w:top w:val="none" w:sz="0" w:space="0" w:color="auto"/>
        <w:left w:val="none" w:sz="0" w:space="0" w:color="auto"/>
        <w:bottom w:val="none" w:sz="0" w:space="0" w:color="auto"/>
        <w:right w:val="none" w:sz="0" w:space="0" w:color="auto"/>
      </w:divBdr>
    </w:div>
    <w:div w:id="1187868725">
      <w:bodyDiv w:val="1"/>
      <w:marLeft w:val="0"/>
      <w:marRight w:val="0"/>
      <w:marTop w:val="0"/>
      <w:marBottom w:val="0"/>
      <w:divBdr>
        <w:top w:val="none" w:sz="0" w:space="0" w:color="auto"/>
        <w:left w:val="none" w:sz="0" w:space="0" w:color="auto"/>
        <w:bottom w:val="none" w:sz="0" w:space="0" w:color="auto"/>
        <w:right w:val="none" w:sz="0" w:space="0" w:color="auto"/>
      </w:divBdr>
    </w:div>
    <w:div w:id="1209562100">
      <w:bodyDiv w:val="1"/>
      <w:marLeft w:val="0"/>
      <w:marRight w:val="0"/>
      <w:marTop w:val="0"/>
      <w:marBottom w:val="0"/>
      <w:divBdr>
        <w:top w:val="none" w:sz="0" w:space="0" w:color="auto"/>
        <w:left w:val="none" w:sz="0" w:space="0" w:color="auto"/>
        <w:bottom w:val="none" w:sz="0" w:space="0" w:color="auto"/>
        <w:right w:val="none" w:sz="0" w:space="0" w:color="auto"/>
      </w:divBdr>
    </w:div>
    <w:div w:id="1223559053">
      <w:bodyDiv w:val="1"/>
      <w:marLeft w:val="0"/>
      <w:marRight w:val="0"/>
      <w:marTop w:val="0"/>
      <w:marBottom w:val="0"/>
      <w:divBdr>
        <w:top w:val="none" w:sz="0" w:space="0" w:color="auto"/>
        <w:left w:val="none" w:sz="0" w:space="0" w:color="auto"/>
        <w:bottom w:val="none" w:sz="0" w:space="0" w:color="auto"/>
        <w:right w:val="none" w:sz="0" w:space="0" w:color="auto"/>
      </w:divBdr>
    </w:div>
    <w:div w:id="1234242148">
      <w:bodyDiv w:val="1"/>
      <w:marLeft w:val="0"/>
      <w:marRight w:val="0"/>
      <w:marTop w:val="0"/>
      <w:marBottom w:val="0"/>
      <w:divBdr>
        <w:top w:val="none" w:sz="0" w:space="0" w:color="auto"/>
        <w:left w:val="none" w:sz="0" w:space="0" w:color="auto"/>
        <w:bottom w:val="none" w:sz="0" w:space="0" w:color="auto"/>
        <w:right w:val="none" w:sz="0" w:space="0" w:color="auto"/>
      </w:divBdr>
      <w:divsChild>
        <w:div w:id="61680439">
          <w:marLeft w:val="0"/>
          <w:marRight w:val="0"/>
          <w:marTop w:val="0"/>
          <w:marBottom w:val="0"/>
          <w:divBdr>
            <w:top w:val="none" w:sz="0" w:space="0" w:color="auto"/>
            <w:left w:val="none" w:sz="0" w:space="0" w:color="auto"/>
            <w:bottom w:val="none" w:sz="0" w:space="0" w:color="auto"/>
            <w:right w:val="none" w:sz="0" w:space="0" w:color="auto"/>
          </w:divBdr>
        </w:div>
        <w:div w:id="357632890">
          <w:marLeft w:val="0"/>
          <w:marRight w:val="0"/>
          <w:marTop w:val="0"/>
          <w:marBottom w:val="0"/>
          <w:divBdr>
            <w:top w:val="none" w:sz="0" w:space="0" w:color="auto"/>
            <w:left w:val="none" w:sz="0" w:space="0" w:color="auto"/>
            <w:bottom w:val="none" w:sz="0" w:space="0" w:color="auto"/>
            <w:right w:val="none" w:sz="0" w:space="0" w:color="auto"/>
          </w:divBdr>
        </w:div>
        <w:div w:id="975719073">
          <w:marLeft w:val="0"/>
          <w:marRight w:val="0"/>
          <w:marTop w:val="0"/>
          <w:marBottom w:val="0"/>
          <w:divBdr>
            <w:top w:val="none" w:sz="0" w:space="0" w:color="auto"/>
            <w:left w:val="none" w:sz="0" w:space="0" w:color="auto"/>
            <w:bottom w:val="none" w:sz="0" w:space="0" w:color="auto"/>
            <w:right w:val="none" w:sz="0" w:space="0" w:color="auto"/>
          </w:divBdr>
          <w:divsChild>
            <w:div w:id="1636445842">
              <w:marLeft w:val="-75"/>
              <w:marRight w:val="0"/>
              <w:marTop w:val="30"/>
              <w:marBottom w:val="30"/>
              <w:divBdr>
                <w:top w:val="none" w:sz="0" w:space="0" w:color="auto"/>
                <w:left w:val="none" w:sz="0" w:space="0" w:color="auto"/>
                <w:bottom w:val="none" w:sz="0" w:space="0" w:color="auto"/>
                <w:right w:val="none" w:sz="0" w:space="0" w:color="auto"/>
              </w:divBdr>
              <w:divsChild>
                <w:div w:id="26953922">
                  <w:marLeft w:val="0"/>
                  <w:marRight w:val="0"/>
                  <w:marTop w:val="0"/>
                  <w:marBottom w:val="0"/>
                  <w:divBdr>
                    <w:top w:val="none" w:sz="0" w:space="0" w:color="auto"/>
                    <w:left w:val="none" w:sz="0" w:space="0" w:color="auto"/>
                    <w:bottom w:val="none" w:sz="0" w:space="0" w:color="auto"/>
                    <w:right w:val="none" w:sz="0" w:space="0" w:color="auto"/>
                  </w:divBdr>
                  <w:divsChild>
                    <w:div w:id="213196372">
                      <w:marLeft w:val="0"/>
                      <w:marRight w:val="0"/>
                      <w:marTop w:val="0"/>
                      <w:marBottom w:val="0"/>
                      <w:divBdr>
                        <w:top w:val="none" w:sz="0" w:space="0" w:color="auto"/>
                        <w:left w:val="none" w:sz="0" w:space="0" w:color="auto"/>
                        <w:bottom w:val="none" w:sz="0" w:space="0" w:color="auto"/>
                        <w:right w:val="none" w:sz="0" w:space="0" w:color="auto"/>
                      </w:divBdr>
                    </w:div>
                  </w:divsChild>
                </w:div>
                <w:div w:id="167983484">
                  <w:marLeft w:val="0"/>
                  <w:marRight w:val="0"/>
                  <w:marTop w:val="0"/>
                  <w:marBottom w:val="0"/>
                  <w:divBdr>
                    <w:top w:val="none" w:sz="0" w:space="0" w:color="auto"/>
                    <w:left w:val="none" w:sz="0" w:space="0" w:color="auto"/>
                    <w:bottom w:val="none" w:sz="0" w:space="0" w:color="auto"/>
                    <w:right w:val="none" w:sz="0" w:space="0" w:color="auto"/>
                  </w:divBdr>
                  <w:divsChild>
                    <w:div w:id="837379166">
                      <w:marLeft w:val="0"/>
                      <w:marRight w:val="0"/>
                      <w:marTop w:val="0"/>
                      <w:marBottom w:val="0"/>
                      <w:divBdr>
                        <w:top w:val="none" w:sz="0" w:space="0" w:color="auto"/>
                        <w:left w:val="none" w:sz="0" w:space="0" w:color="auto"/>
                        <w:bottom w:val="none" w:sz="0" w:space="0" w:color="auto"/>
                        <w:right w:val="none" w:sz="0" w:space="0" w:color="auto"/>
                      </w:divBdr>
                    </w:div>
                  </w:divsChild>
                </w:div>
                <w:div w:id="557939568">
                  <w:marLeft w:val="0"/>
                  <w:marRight w:val="0"/>
                  <w:marTop w:val="0"/>
                  <w:marBottom w:val="0"/>
                  <w:divBdr>
                    <w:top w:val="none" w:sz="0" w:space="0" w:color="auto"/>
                    <w:left w:val="none" w:sz="0" w:space="0" w:color="auto"/>
                    <w:bottom w:val="none" w:sz="0" w:space="0" w:color="auto"/>
                    <w:right w:val="none" w:sz="0" w:space="0" w:color="auto"/>
                  </w:divBdr>
                  <w:divsChild>
                    <w:div w:id="2008557995">
                      <w:marLeft w:val="0"/>
                      <w:marRight w:val="0"/>
                      <w:marTop w:val="0"/>
                      <w:marBottom w:val="0"/>
                      <w:divBdr>
                        <w:top w:val="none" w:sz="0" w:space="0" w:color="auto"/>
                        <w:left w:val="none" w:sz="0" w:space="0" w:color="auto"/>
                        <w:bottom w:val="none" w:sz="0" w:space="0" w:color="auto"/>
                        <w:right w:val="none" w:sz="0" w:space="0" w:color="auto"/>
                      </w:divBdr>
                    </w:div>
                  </w:divsChild>
                </w:div>
                <w:div w:id="611590813">
                  <w:marLeft w:val="0"/>
                  <w:marRight w:val="0"/>
                  <w:marTop w:val="0"/>
                  <w:marBottom w:val="0"/>
                  <w:divBdr>
                    <w:top w:val="none" w:sz="0" w:space="0" w:color="auto"/>
                    <w:left w:val="none" w:sz="0" w:space="0" w:color="auto"/>
                    <w:bottom w:val="none" w:sz="0" w:space="0" w:color="auto"/>
                    <w:right w:val="none" w:sz="0" w:space="0" w:color="auto"/>
                  </w:divBdr>
                  <w:divsChild>
                    <w:div w:id="166754593">
                      <w:marLeft w:val="0"/>
                      <w:marRight w:val="0"/>
                      <w:marTop w:val="0"/>
                      <w:marBottom w:val="0"/>
                      <w:divBdr>
                        <w:top w:val="none" w:sz="0" w:space="0" w:color="auto"/>
                        <w:left w:val="none" w:sz="0" w:space="0" w:color="auto"/>
                        <w:bottom w:val="none" w:sz="0" w:space="0" w:color="auto"/>
                        <w:right w:val="none" w:sz="0" w:space="0" w:color="auto"/>
                      </w:divBdr>
                    </w:div>
                  </w:divsChild>
                </w:div>
                <w:div w:id="802037004">
                  <w:marLeft w:val="0"/>
                  <w:marRight w:val="0"/>
                  <w:marTop w:val="0"/>
                  <w:marBottom w:val="0"/>
                  <w:divBdr>
                    <w:top w:val="none" w:sz="0" w:space="0" w:color="auto"/>
                    <w:left w:val="none" w:sz="0" w:space="0" w:color="auto"/>
                    <w:bottom w:val="none" w:sz="0" w:space="0" w:color="auto"/>
                    <w:right w:val="none" w:sz="0" w:space="0" w:color="auto"/>
                  </w:divBdr>
                  <w:divsChild>
                    <w:div w:id="333344330">
                      <w:marLeft w:val="0"/>
                      <w:marRight w:val="0"/>
                      <w:marTop w:val="0"/>
                      <w:marBottom w:val="0"/>
                      <w:divBdr>
                        <w:top w:val="none" w:sz="0" w:space="0" w:color="auto"/>
                        <w:left w:val="none" w:sz="0" w:space="0" w:color="auto"/>
                        <w:bottom w:val="none" w:sz="0" w:space="0" w:color="auto"/>
                        <w:right w:val="none" w:sz="0" w:space="0" w:color="auto"/>
                      </w:divBdr>
                    </w:div>
                  </w:divsChild>
                </w:div>
                <w:div w:id="845362505">
                  <w:marLeft w:val="0"/>
                  <w:marRight w:val="0"/>
                  <w:marTop w:val="0"/>
                  <w:marBottom w:val="0"/>
                  <w:divBdr>
                    <w:top w:val="none" w:sz="0" w:space="0" w:color="auto"/>
                    <w:left w:val="none" w:sz="0" w:space="0" w:color="auto"/>
                    <w:bottom w:val="none" w:sz="0" w:space="0" w:color="auto"/>
                    <w:right w:val="none" w:sz="0" w:space="0" w:color="auto"/>
                  </w:divBdr>
                  <w:divsChild>
                    <w:div w:id="1605915285">
                      <w:marLeft w:val="0"/>
                      <w:marRight w:val="0"/>
                      <w:marTop w:val="0"/>
                      <w:marBottom w:val="0"/>
                      <w:divBdr>
                        <w:top w:val="none" w:sz="0" w:space="0" w:color="auto"/>
                        <w:left w:val="none" w:sz="0" w:space="0" w:color="auto"/>
                        <w:bottom w:val="none" w:sz="0" w:space="0" w:color="auto"/>
                        <w:right w:val="none" w:sz="0" w:space="0" w:color="auto"/>
                      </w:divBdr>
                    </w:div>
                  </w:divsChild>
                </w:div>
                <w:div w:id="849375793">
                  <w:marLeft w:val="0"/>
                  <w:marRight w:val="0"/>
                  <w:marTop w:val="0"/>
                  <w:marBottom w:val="0"/>
                  <w:divBdr>
                    <w:top w:val="none" w:sz="0" w:space="0" w:color="auto"/>
                    <w:left w:val="none" w:sz="0" w:space="0" w:color="auto"/>
                    <w:bottom w:val="none" w:sz="0" w:space="0" w:color="auto"/>
                    <w:right w:val="none" w:sz="0" w:space="0" w:color="auto"/>
                  </w:divBdr>
                  <w:divsChild>
                    <w:div w:id="714348877">
                      <w:marLeft w:val="0"/>
                      <w:marRight w:val="0"/>
                      <w:marTop w:val="0"/>
                      <w:marBottom w:val="0"/>
                      <w:divBdr>
                        <w:top w:val="none" w:sz="0" w:space="0" w:color="auto"/>
                        <w:left w:val="none" w:sz="0" w:space="0" w:color="auto"/>
                        <w:bottom w:val="none" w:sz="0" w:space="0" w:color="auto"/>
                        <w:right w:val="none" w:sz="0" w:space="0" w:color="auto"/>
                      </w:divBdr>
                    </w:div>
                  </w:divsChild>
                </w:div>
                <w:div w:id="949433921">
                  <w:marLeft w:val="0"/>
                  <w:marRight w:val="0"/>
                  <w:marTop w:val="0"/>
                  <w:marBottom w:val="0"/>
                  <w:divBdr>
                    <w:top w:val="none" w:sz="0" w:space="0" w:color="auto"/>
                    <w:left w:val="none" w:sz="0" w:space="0" w:color="auto"/>
                    <w:bottom w:val="none" w:sz="0" w:space="0" w:color="auto"/>
                    <w:right w:val="none" w:sz="0" w:space="0" w:color="auto"/>
                  </w:divBdr>
                  <w:divsChild>
                    <w:div w:id="940644548">
                      <w:marLeft w:val="0"/>
                      <w:marRight w:val="0"/>
                      <w:marTop w:val="0"/>
                      <w:marBottom w:val="0"/>
                      <w:divBdr>
                        <w:top w:val="none" w:sz="0" w:space="0" w:color="auto"/>
                        <w:left w:val="none" w:sz="0" w:space="0" w:color="auto"/>
                        <w:bottom w:val="none" w:sz="0" w:space="0" w:color="auto"/>
                        <w:right w:val="none" w:sz="0" w:space="0" w:color="auto"/>
                      </w:divBdr>
                    </w:div>
                  </w:divsChild>
                </w:div>
                <w:div w:id="983701846">
                  <w:marLeft w:val="0"/>
                  <w:marRight w:val="0"/>
                  <w:marTop w:val="0"/>
                  <w:marBottom w:val="0"/>
                  <w:divBdr>
                    <w:top w:val="none" w:sz="0" w:space="0" w:color="auto"/>
                    <w:left w:val="none" w:sz="0" w:space="0" w:color="auto"/>
                    <w:bottom w:val="none" w:sz="0" w:space="0" w:color="auto"/>
                    <w:right w:val="none" w:sz="0" w:space="0" w:color="auto"/>
                  </w:divBdr>
                  <w:divsChild>
                    <w:div w:id="1465201222">
                      <w:marLeft w:val="0"/>
                      <w:marRight w:val="0"/>
                      <w:marTop w:val="0"/>
                      <w:marBottom w:val="0"/>
                      <w:divBdr>
                        <w:top w:val="none" w:sz="0" w:space="0" w:color="auto"/>
                        <w:left w:val="none" w:sz="0" w:space="0" w:color="auto"/>
                        <w:bottom w:val="none" w:sz="0" w:space="0" w:color="auto"/>
                        <w:right w:val="none" w:sz="0" w:space="0" w:color="auto"/>
                      </w:divBdr>
                    </w:div>
                  </w:divsChild>
                </w:div>
                <w:div w:id="1170145691">
                  <w:marLeft w:val="0"/>
                  <w:marRight w:val="0"/>
                  <w:marTop w:val="0"/>
                  <w:marBottom w:val="0"/>
                  <w:divBdr>
                    <w:top w:val="none" w:sz="0" w:space="0" w:color="auto"/>
                    <w:left w:val="none" w:sz="0" w:space="0" w:color="auto"/>
                    <w:bottom w:val="none" w:sz="0" w:space="0" w:color="auto"/>
                    <w:right w:val="none" w:sz="0" w:space="0" w:color="auto"/>
                  </w:divBdr>
                  <w:divsChild>
                    <w:div w:id="1731996236">
                      <w:marLeft w:val="0"/>
                      <w:marRight w:val="0"/>
                      <w:marTop w:val="0"/>
                      <w:marBottom w:val="0"/>
                      <w:divBdr>
                        <w:top w:val="none" w:sz="0" w:space="0" w:color="auto"/>
                        <w:left w:val="none" w:sz="0" w:space="0" w:color="auto"/>
                        <w:bottom w:val="none" w:sz="0" w:space="0" w:color="auto"/>
                        <w:right w:val="none" w:sz="0" w:space="0" w:color="auto"/>
                      </w:divBdr>
                    </w:div>
                  </w:divsChild>
                </w:div>
                <w:div w:id="1238634576">
                  <w:marLeft w:val="0"/>
                  <w:marRight w:val="0"/>
                  <w:marTop w:val="0"/>
                  <w:marBottom w:val="0"/>
                  <w:divBdr>
                    <w:top w:val="none" w:sz="0" w:space="0" w:color="auto"/>
                    <w:left w:val="none" w:sz="0" w:space="0" w:color="auto"/>
                    <w:bottom w:val="none" w:sz="0" w:space="0" w:color="auto"/>
                    <w:right w:val="none" w:sz="0" w:space="0" w:color="auto"/>
                  </w:divBdr>
                  <w:divsChild>
                    <w:div w:id="1394036440">
                      <w:marLeft w:val="0"/>
                      <w:marRight w:val="0"/>
                      <w:marTop w:val="0"/>
                      <w:marBottom w:val="0"/>
                      <w:divBdr>
                        <w:top w:val="none" w:sz="0" w:space="0" w:color="auto"/>
                        <w:left w:val="none" w:sz="0" w:space="0" w:color="auto"/>
                        <w:bottom w:val="none" w:sz="0" w:space="0" w:color="auto"/>
                        <w:right w:val="none" w:sz="0" w:space="0" w:color="auto"/>
                      </w:divBdr>
                    </w:div>
                  </w:divsChild>
                </w:div>
                <w:div w:id="1522665256">
                  <w:marLeft w:val="0"/>
                  <w:marRight w:val="0"/>
                  <w:marTop w:val="0"/>
                  <w:marBottom w:val="0"/>
                  <w:divBdr>
                    <w:top w:val="none" w:sz="0" w:space="0" w:color="auto"/>
                    <w:left w:val="none" w:sz="0" w:space="0" w:color="auto"/>
                    <w:bottom w:val="none" w:sz="0" w:space="0" w:color="auto"/>
                    <w:right w:val="none" w:sz="0" w:space="0" w:color="auto"/>
                  </w:divBdr>
                  <w:divsChild>
                    <w:div w:id="2120755569">
                      <w:marLeft w:val="0"/>
                      <w:marRight w:val="0"/>
                      <w:marTop w:val="0"/>
                      <w:marBottom w:val="0"/>
                      <w:divBdr>
                        <w:top w:val="none" w:sz="0" w:space="0" w:color="auto"/>
                        <w:left w:val="none" w:sz="0" w:space="0" w:color="auto"/>
                        <w:bottom w:val="none" w:sz="0" w:space="0" w:color="auto"/>
                        <w:right w:val="none" w:sz="0" w:space="0" w:color="auto"/>
                      </w:divBdr>
                    </w:div>
                  </w:divsChild>
                </w:div>
                <w:div w:id="1560281243">
                  <w:marLeft w:val="0"/>
                  <w:marRight w:val="0"/>
                  <w:marTop w:val="0"/>
                  <w:marBottom w:val="0"/>
                  <w:divBdr>
                    <w:top w:val="none" w:sz="0" w:space="0" w:color="auto"/>
                    <w:left w:val="none" w:sz="0" w:space="0" w:color="auto"/>
                    <w:bottom w:val="none" w:sz="0" w:space="0" w:color="auto"/>
                    <w:right w:val="none" w:sz="0" w:space="0" w:color="auto"/>
                  </w:divBdr>
                  <w:divsChild>
                    <w:div w:id="1485274697">
                      <w:marLeft w:val="0"/>
                      <w:marRight w:val="0"/>
                      <w:marTop w:val="0"/>
                      <w:marBottom w:val="0"/>
                      <w:divBdr>
                        <w:top w:val="none" w:sz="0" w:space="0" w:color="auto"/>
                        <w:left w:val="none" w:sz="0" w:space="0" w:color="auto"/>
                        <w:bottom w:val="none" w:sz="0" w:space="0" w:color="auto"/>
                        <w:right w:val="none" w:sz="0" w:space="0" w:color="auto"/>
                      </w:divBdr>
                    </w:div>
                  </w:divsChild>
                </w:div>
                <w:div w:id="1576548264">
                  <w:marLeft w:val="0"/>
                  <w:marRight w:val="0"/>
                  <w:marTop w:val="0"/>
                  <w:marBottom w:val="0"/>
                  <w:divBdr>
                    <w:top w:val="none" w:sz="0" w:space="0" w:color="auto"/>
                    <w:left w:val="none" w:sz="0" w:space="0" w:color="auto"/>
                    <w:bottom w:val="none" w:sz="0" w:space="0" w:color="auto"/>
                    <w:right w:val="none" w:sz="0" w:space="0" w:color="auto"/>
                  </w:divBdr>
                  <w:divsChild>
                    <w:div w:id="493759730">
                      <w:marLeft w:val="0"/>
                      <w:marRight w:val="0"/>
                      <w:marTop w:val="0"/>
                      <w:marBottom w:val="0"/>
                      <w:divBdr>
                        <w:top w:val="none" w:sz="0" w:space="0" w:color="auto"/>
                        <w:left w:val="none" w:sz="0" w:space="0" w:color="auto"/>
                        <w:bottom w:val="none" w:sz="0" w:space="0" w:color="auto"/>
                        <w:right w:val="none" w:sz="0" w:space="0" w:color="auto"/>
                      </w:divBdr>
                    </w:div>
                  </w:divsChild>
                </w:div>
                <w:div w:id="1591818168">
                  <w:marLeft w:val="0"/>
                  <w:marRight w:val="0"/>
                  <w:marTop w:val="0"/>
                  <w:marBottom w:val="0"/>
                  <w:divBdr>
                    <w:top w:val="none" w:sz="0" w:space="0" w:color="auto"/>
                    <w:left w:val="none" w:sz="0" w:space="0" w:color="auto"/>
                    <w:bottom w:val="none" w:sz="0" w:space="0" w:color="auto"/>
                    <w:right w:val="none" w:sz="0" w:space="0" w:color="auto"/>
                  </w:divBdr>
                  <w:divsChild>
                    <w:div w:id="1770657522">
                      <w:marLeft w:val="0"/>
                      <w:marRight w:val="0"/>
                      <w:marTop w:val="0"/>
                      <w:marBottom w:val="0"/>
                      <w:divBdr>
                        <w:top w:val="none" w:sz="0" w:space="0" w:color="auto"/>
                        <w:left w:val="none" w:sz="0" w:space="0" w:color="auto"/>
                        <w:bottom w:val="none" w:sz="0" w:space="0" w:color="auto"/>
                        <w:right w:val="none" w:sz="0" w:space="0" w:color="auto"/>
                      </w:divBdr>
                    </w:div>
                  </w:divsChild>
                </w:div>
                <w:div w:id="1633707228">
                  <w:marLeft w:val="0"/>
                  <w:marRight w:val="0"/>
                  <w:marTop w:val="0"/>
                  <w:marBottom w:val="0"/>
                  <w:divBdr>
                    <w:top w:val="none" w:sz="0" w:space="0" w:color="auto"/>
                    <w:left w:val="none" w:sz="0" w:space="0" w:color="auto"/>
                    <w:bottom w:val="none" w:sz="0" w:space="0" w:color="auto"/>
                    <w:right w:val="none" w:sz="0" w:space="0" w:color="auto"/>
                  </w:divBdr>
                  <w:divsChild>
                    <w:div w:id="1831942991">
                      <w:marLeft w:val="0"/>
                      <w:marRight w:val="0"/>
                      <w:marTop w:val="0"/>
                      <w:marBottom w:val="0"/>
                      <w:divBdr>
                        <w:top w:val="none" w:sz="0" w:space="0" w:color="auto"/>
                        <w:left w:val="none" w:sz="0" w:space="0" w:color="auto"/>
                        <w:bottom w:val="none" w:sz="0" w:space="0" w:color="auto"/>
                        <w:right w:val="none" w:sz="0" w:space="0" w:color="auto"/>
                      </w:divBdr>
                    </w:div>
                  </w:divsChild>
                </w:div>
                <w:div w:id="1663269225">
                  <w:marLeft w:val="0"/>
                  <w:marRight w:val="0"/>
                  <w:marTop w:val="0"/>
                  <w:marBottom w:val="0"/>
                  <w:divBdr>
                    <w:top w:val="none" w:sz="0" w:space="0" w:color="auto"/>
                    <w:left w:val="none" w:sz="0" w:space="0" w:color="auto"/>
                    <w:bottom w:val="none" w:sz="0" w:space="0" w:color="auto"/>
                    <w:right w:val="none" w:sz="0" w:space="0" w:color="auto"/>
                  </w:divBdr>
                  <w:divsChild>
                    <w:div w:id="1699625897">
                      <w:marLeft w:val="0"/>
                      <w:marRight w:val="0"/>
                      <w:marTop w:val="0"/>
                      <w:marBottom w:val="0"/>
                      <w:divBdr>
                        <w:top w:val="none" w:sz="0" w:space="0" w:color="auto"/>
                        <w:left w:val="none" w:sz="0" w:space="0" w:color="auto"/>
                        <w:bottom w:val="none" w:sz="0" w:space="0" w:color="auto"/>
                        <w:right w:val="none" w:sz="0" w:space="0" w:color="auto"/>
                      </w:divBdr>
                    </w:div>
                  </w:divsChild>
                </w:div>
                <w:div w:id="1712684544">
                  <w:marLeft w:val="0"/>
                  <w:marRight w:val="0"/>
                  <w:marTop w:val="0"/>
                  <w:marBottom w:val="0"/>
                  <w:divBdr>
                    <w:top w:val="none" w:sz="0" w:space="0" w:color="auto"/>
                    <w:left w:val="none" w:sz="0" w:space="0" w:color="auto"/>
                    <w:bottom w:val="none" w:sz="0" w:space="0" w:color="auto"/>
                    <w:right w:val="none" w:sz="0" w:space="0" w:color="auto"/>
                  </w:divBdr>
                  <w:divsChild>
                    <w:div w:id="1451506761">
                      <w:marLeft w:val="0"/>
                      <w:marRight w:val="0"/>
                      <w:marTop w:val="0"/>
                      <w:marBottom w:val="0"/>
                      <w:divBdr>
                        <w:top w:val="none" w:sz="0" w:space="0" w:color="auto"/>
                        <w:left w:val="none" w:sz="0" w:space="0" w:color="auto"/>
                        <w:bottom w:val="none" w:sz="0" w:space="0" w:color="auto"/>
                        <w:right w:val="none" w:sz="0" w:space="0" w:color="auto"/>
                      </w:divBdr>
                    </w:div>
                  </w:divsChild>
                </w:div>
                <w:div w:id="1850362166">
                  <w:marLeft w:val="0"/>
                  <w:marRight w:val="0"/>
                  <w:marTop w:val="0"/>
                  <w:marBottom w:val="0"/>
                  <w:divBdr>
                    <w:top w:val="none" w:sz="0" w:space="0" w:color="auto"/>
                    <w:left w:val="none" w:sz="0" w:space="0" w:color="auto"/>
                    <w:bottom w:val="none" w:sz="0" w:space="0" w:color="auto"/>
                    <w:right w:val="none" w:sz="0" w:space="0" w:color="auto"/>
                  </w:divBdr>
                  <w:divsChild>
                    <w:div w:id="558441854">
                      <w:marLeft w:val="0"/>
                      <w:marRight w:val="0"/>
                      <w:marTop w:val="0"/>
                      <w:marBottom w:val="0"/>
                      <w:divBdr>
                        <w:top w:val="none" w:sz="0" w:space="0" w:color="auto"/>
                        <w:left w:val="none" w:sz="0" w:space="0" w:color="auto"/>
                        <w:bottom w:val="none" w:sz="0" w:space="0" w:color="auto"/>
                        <w:right w:val="none" w:sz="0" w:space="0" w:color="auto"/>
                      </w:divBdr>
                    </w:div>
                  </w:divsChild>
                </w:div>
                <w:div w:id="1908295408">
                  <w:marLeft w:val="0"/>
                  <w:marRight w:val="0"/>
                  <w:marTop w:val="0"/>
                  <w:marBottom w:val="0"/>
                  <w:divBdr>
                    <w:top w:val="none" w:sz="0" w:space="0" w:color="auto"/>
                    <w:left w:val="none" w:sz="0" w:space="0" w:color="auto"/>
                    <w:bottom w:val="none" w:sz="0" w:space="0" w:color="auto"/>
                    <w:right w:val="none" w:sz="0" w:space="0" w:color="auto"/>
                  </w:divBdr>
                  <w:divsChild>
                    <w:div w:id="1036735020">
                      <w:marLeft w:val="0"/>
                      <w:marRight w:val="0"/>
                      <w:marTop w:val="0"/>
                      <w:marBottom w:val="0"/>
                      <w:divBdr>
                        <w:top w:val="none" w:sz="0" w:space="0" w:color="auto"/>
                        <w:left w:val="none" w:sz="0" w:space="0" w:color="auto"/>
                        <w:bottom w:val="none" w:sz="0" w:space="0" w:color="auto"/>
                        <w:right w:val="none" w:sz="0" w:space="0" w:color="auto"/>
                      </w:divBdr>
                    </w:div>
                  </w:divsChild>
                </w:div>
                <w:div w:id="1957128416">
                  <w:marLeft w:val="0"/>
                  <w:marRight w:val="0"/>
                  <w:marTop w:val="0"/>
                  <w:marBottom w:val="0"/>
                  <w:divBdr>
                    <w:top w:val="none" w:sz="0" w:space="0" w:color="auto"/>
                    <w:left w:val="none" w:sz="0" w:space="0" w:color="auto"/>
                    <w:bottom w:val="none" w:sz="0" w:space="0" w:color="auto"/>
                    <w:right w:val="none" w:sz="0" w:space="0" w:color="auto"/>
                  </w:divBdr>
                  <w:divsChild>
                    <w:div w:id="2106462065">
                      <w:marLeft w:val="0"/>
                      <w:marRight w:val="0"/>
                      <w:marTop w:val="0"/>
                      <w:marBottom w:val="0"/>
                      <w:divBdr>
                        <w:top w:val="none" w:sz="0" w:space="0" w:color="auto"/>
                        <w:left w:val="none" w:sz="0" w:space="0" w:color="auto"/>
                        <w:bottom w:val="none" w:sz="0" w:space="0" w:color="auto"/>
                        <w:right w:val="none" w:sz="0" w:space="0" w:color="auto"/>
                      </w:divBdr>
                    </w:div>
                  </w:divsChild>
                </w:div>
                <w:div w:id="1960910264">
                  <w:marLeft w:val="0"/>
                  <w:marRight w:val="0"/>
                  <w:marTop w:val="0"/>
                  <w:marBottom w:val="0"/>
                  <w:divBdr>
                    <w:top w:val="none" w:sz="0" w:space="0" w:color="auto"/>
                    <w:left w:val="none" w:sz="0" w:space="0" w:color="auto"/>
                    <w:bottom w:val="none" w:sz="0" w:space="0" w:color="auto"/>
                    <w:right w:val="none" w:sz="0" w:space="0" w:color="auto"/>
                  </w:divBdr>
                  <w:divsChild>
                    <w:div w:id="1548687421">
                      <w:marLeft w:val="0"/>
                      <w:marRight w:val="0"/>
                      <w:marTop w:val="0"/>
                      <w:marBottom w:val="0"/>
                      <w:divBdr>
                        <w:top w:val="none" w:sz="0" w:space="0" w:color="auto"/>
                        <w:left w:val="none" w:sz="0" w:space="0" w:color="auto"/>
                        <w:bottom w:val="none" w:sz="0" w:space="0" w:color="auto"/>
                        <w:right w:val="none" w:sz="0" w:space="0" w:color="auto"/>
                      </w:divBdr>
                    </w:div>
                  </w:divsChild>
                </w:div>
                <w:div w:id="2085029742">
                  <w:marLeft w:val="0"/>
                  <w:marRight w:val="0"/>
                  <w:marTop w:val="0"/>
                  <w:marBottom w:val="0"/>
                  <w:divBdr>
                    <w:top w:val="none" w:sz="0" w:space="0" w:color="auto"/>
                    <w:left w:val="none" w:sz="0" w:space="0" w:color="auto"/>
                    <w:bottom w:val="none" w:sz="0" w:space="0" w:color="auto"/>
                    <w:right w:val="none" w:sz="0" w:space="0" w:color="auto"/>
                  </w:divBdr>
                  <w:divsChild>
                    <w:div w:id="197741426">
                      <w:marLeft w:val="0"/>
                      <w:marRight w:val="0"/>
                      <w:marTop w:val="0"/>
                      <w:marBottom w:val="0"/>
                      <w:divBdr>
                        <w:top w:val="none" w:sz="0" w:space="0" w:color="auto"/>
                        <w:left w:val="none" w:sz="0" w:space="0" w:color="auto"/>
                        <w:bottom w:val="none" w:sz="0" w:space="0" w:color="auto"/>
                        <w:right w:val="none" w:sz="0" w:space="0" w:color="auto"/>
                      </w:divBdr>
                    </w:div>
                  </w:divsChild>
                </w:div>
                <w:div w:id="2130004179">
                  <w:marLeft w:val="0"/>
                  <w:marRight w:val="0"/>
                  <w:marTop w:val="0"/>
                  <w:marBottom w:val="0"/>
                  <w:divBdr>
                    <w:top w:val="none" w:sz="0" w:space="0" w:color="auto"/>
                    <w:left w:val="none" w:sz="0" w:space="0" w:color="auto"/>
                    <w:bottom w:val="none" w:sz="0" w:space="0" w:color="auto"/>
                    <w:right w:val="none" w:sz="0" w:space="0" w:color="auto"/>
                  </w:divBdr>
                  <w:divsChild>
                    <w:div w:id="14068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00885">
      <w:bodyDiv w:val="1"/>
      <w:marLeft w:val="0"/>
      <w:marRight w:val="0"/>
      <w:marTop w:val="0"/>
      <w:marBottom w:val="0"/>
      <w:divBdr>
        <w:top w:val="none" w:sz="0" w:space="0" w:color="auto"/>
        <w:left w:val="none" w:sz="0" w:space="0" w:color="auto"/>
        <w:bottom w:val="none" w:sz="0" w:space="0" w:color="auto"/>
        <w:right w:val="none" w:sz="0" w:space="0" w:color="auto"/>
      </w:divBdr>
    </w:div>
    <w:div w:id="1364869474">
      <w:bodyDiv w:val="1"/>
      <w:marLeft w:val="0"/>
      <w:marRight w:val="0"/>
      <w:marTop w:val="0"/>
      <w:marBottom w:val="0"/>
      <w:divBdr>
        <w:top w:val="none" w:sz="0" w:space="0" w:color="auto"/>
        <w:left w:val="none" w:sz="0" w:space="0" w:color="auto"/>
        <w:bottom w:val="none" w:sz="0" w:space="0" w:color="auto"/>
        <w:right w:val="none" w:sz="0" w:space="0" w:color="auto"/>
      </w:divBdr>
    </w:div>
    <w:div w:id="1425419053">
      <w:bodyDiv w:val="1"/>
      <w:marLeft w:val="0"/>
      <w:marRight w:val="0"/>
      <w:marTop w:val="0"/>
      <w:marBottom w:val="0"/>
      <w:divBdr>
        <w:top w:val="none" w:sz="0" w:space="0" w:color="auto"/>
        <w:left w:val="none" w:sz="0" w:space="0" w:color="auto"/>
        <w:bottom w:val="none" w:sz="0" w:space="0" w:color="auto"/>
        <w:right w:val="none" w:sz="0" w:space="0" w:color="auto"/>
      </w:divBdr>
    </w:div>
    <w:div w:id="1543983012">
      <w:bodyDiv w:val="1"/>
      <w:marLeft w:val="0"/>
      <w:marRight w:val="0"/>
      <w:marTop w:val="0"/>
      <w:marBottom w:val="0"/>
      <w:divBdr>
        <w:top w:val="none" w:sz="0" w:space="0" w:color="auto"/>
        <w:left w:val="none" w:sz="0" w:space="0" w:color="auto"/>
        <w:bottom w:val="none" w:sz="0" w:space="0" w:color="auto"/>
        <w:right w:val="none" w:sz="0" w:space="0" w:color="auto"/>
      </w:divBdr>
      <w:divsChild>
        <w:div w:id="768742647">
          <w:marLeft w:val="0"/>
          <w:marRight w:val="0"/>
          <w:marTop w:val="0"/>
          <w:marBottom w:val="0"/>
          <w:divBdr>
            <w:top w:val="none" w:sz="0" w:space="0" w:color="auto"/>
            <w:left w:val="none" w:sz="0" w:space="0" w:color="auto"/>
            <w:bottom w:val="none" w:sz="0" w:space="0" w:color="auto"/>
            <w:right w:val="none" w:sz="0" w:space="0" w:color="auto"/>
          </w:divBdr>
          <w:divsChild>
            <w:div w:id="484203781">
              <w:marLeft w:val="0"/>
              <w:marRight w:val="0"/>
              <w:marTop w:val="0"/>
              <w:marBottom w:val="0"/>
              <w:divBdr>
                <w:top w:val="none" w:sz="0" w:space="0" w:color="auto"/>
                <w:left w:val="none" w:sz="0" w:space="0" w:color="auto"/>
                <w:bottom w:val="none" w:sz="0" w:space="0" w:color="auto"/>
                <w:right w:val="none" w:sz="0" w:space="0" w:color="auto"/>
              </w:divBdr>
              <w:divsChild>
                <w:div w:id="582032613">
                  <w:marLeft w:val="0"/>
                  <w:marRight w:val="0"/>
                  <w:marTop w:val="0"/>
                  <w:marBottom w:val="0"/>
                  <w:divBdr>
                    <w:top w:val="none" w:sz="0" w:space="0" w:color="auto"/>
                    <w:left w:val="none" w:sz="0" w:space="0" w:color="auto"/>
                    <w:bottom w:val="none" w:sz="0" w:space="0" w:color="auto"/>
                    <w:right w:val="none" w:sz="0" w:space="0" w:color="auto"/>
                  </w:divBdr>
                </w:div>
                <w:div w:id="6803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90">
          <w:marLeft w:val="0"/>
          <w:marRight w:val="0"/>
          <w:marTop w:val="0"/>
          <w:marBottom w:val="0"/>
          <w:divBdr>
            <w:top w:val="none" w:sz="0" w:space="0" w:color="auto"/>
            <w:left w:val="none" w:sz="0" w:space="0" w:color="auto"/>
            <w:bottom w:val="none" w:sz="0" w:space="0" w:color="auto"/>
            <w:right w:val="none" w:sz="0" w:space="0" w:color="auto"/>
          </w:divBdr>
          <w:divsChild>
            <w:div w:id="14758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8017">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sChild>
        <w:div w:id="1168907148">
          <w:marLeft w:val="0"/>
          <w:marRight w:val="0"/>
          <w:marTop w:val="0"/>
          <w:marBottom w:val="0"/>
          <w:divBdr>
            <w:top w:val="none" w:sz="0" w:space="0" w:color="auto"/>
            <w:left w:val="none" w:sz="0" w:space="0" w:color="auto"/>
            <w:bottom w:val="none" w:sz="0" w:space="0" w:color="auto"/>
            <w:right w:val="none" w:sz="0" w:space="0" w:color="auto"/>
          </w:divBdr>
          <w:divsChild>
            <w:div w:id="1857231922">
              <w:marLeft w:val="0"/>
              <w:marRight w:val="0"/>
              <w:marTop w:val="0"/>
              <w:marBottom w:val="0"/>
              <w:divBdr>
                <w:top w:val="none" w:sz="0" w:space="0" w:color="auto"/>
                <w:left w:val="none" w:sz="0" w:space="0" w:color="auto"/>
                <w:bottom w:val="none" w:sz="0" w:space="0" w:color="auto"/>
                <w:right w:val="none" w:sz="0" w:space="0" w:color="auto"/>
              </w:divBdr>
              <w:divsChild>
                <w:div w:id="407116324">
                  <w:marLeft w:val="0"/>
                  <w:marRight w:val="0"/>
                  <w:marTop w:val="0"/>
                  <w:marBottom w:val="0"/>
                  <w:divBdr>
                    <w:top w:val="none" w:sz="0" w:space="0" w:color="auto"/>
                    <w:left w:val="none" w:sz="0" w:space="0" w:color="auto"/>
                    <w:bottom w:val="none" w:sz="0" w:space="0" w:color="auto"/>
                    <w:right w:val="none" w:sz="0" w:space="0" w:color="auto"/>
                  </w:divBdr>
                  <w:divsChild>
                    <w:div w:id="2023311973">
                      <w:marLeft w:val="0"/>
                      <w:marRight w:val="0"/>
                      <w:marTop w:val="0"/>
                      <w:marBottom w:val="0"/>
                      <w:divBdr>
                        <w:top w:val="none" w:sz="0" w:space="0" w:color="auto"/>
                        <w:left w:val="none" w:sz="0" w:space="0" w:color="auto"/>
                        <w:bottom w:val="none" w:sz="0" w:space="0" w:color="auto"/>
                        <w:right w:val="none" w:sz="0" w:space="0" w:color="auto"/>
                      </w:divBdr>
                      <w:divsChild>
                        <w:div w:id="696194886">
                          <w:marLeft w:val="0"/>
                          <w:marRight w:val="0"/>
                          <w:marTop w:val="0"/>
                          <w:marBottom w:val="0"/>
                          <w:divBdr>
                            <w:top w:val="none" w:sz="0" w:space="0" w:color="auto"/>
                            <w:left w:val="none" w:sz="0" w:space="0" w:color="auto"/>
                            <w:bottom w:val="none" w:sz="0" w:space="0" w:color="auto"/>
                            <w:right w:val="none" w:sz="0" w:space="0" w:color="auto"/>
                          </w:divBdr>
                          <w:divsChild>
                            <w:div w:id="464278221">
                              <w:marLeft w:val="0"/>
                              <w:marRight w:val="0"/>
                              <w:marTop w:val="0"/>
                              <w:marBottom w:val="0"/>
                              <w:divBdr>
                                <w:top w:val="none" w:sz="0" w:space="0" w:color="auto"/>
                                <w:left w:val="none" w:sz="0" w:space="0" w:color="auto"/>
                                <w:bottom w:val="none" w:sz="0" w:space="0" w:color="auto"/>
                                <w:right w:val="none" w:sz="0" w:space="0" w:color="auto"/>
                              </w:divBdr>
                              <w:divsChild>
                                <w:div w:id="1781534198">
                                  <w:marLeft w:val="0"/>
                                  <w:marRight w:val="0"/>
                                  <w:marTop w:val="0"/>
                                  <w:marBottom w:val="0"/>
                                  <w:divBdr>
                                    <w:top w:val="none" w:sz="0" w:space="0" w:color="auto"/>
                                    <w:left w:val="none" w:sz="0" w:space="0" w:color="auto"/>
                                    <w:bottom w:val="none" w:sz="0" w:space="0" w:color="auto"/>
                                    <w:right w:val="none" w:sz="0" w:space="0" w:color="auto"/>
                                  </w:divBdr>
                                  <w:divsChild>
                                    <w:div w:id="443772088">
                                      <w:marLeft w:val="0"/>
                                      <w:marRight w:val="0"/>
                                      <w:marTop w:val="0"/>
                                      <w:marBottom w:val="0"/>
                                      <w:divBdr>
                                        <w:top w:val="none" w:sz="0" w:space="0" w:color="auto"/>
                                        <w:left w:val="none" w:sz="0" w:space="0" w:color="auto"/>
                                        <w:bottom w:val="none" w:sz="0" w:space="0" w:color="auto"/>
                                        <w:right w:val="none" w:sz="0" w:space="0" w:color="auto"/>
                                      </w:divBdr>
                                      <w:divsChild>
                                        <w:div w:id="1944221214">
                                          <w:marLeft w:val="0"/>
                                          <w:marRight w:val="0"/>
                                          <w:marTop w:val="0"/>
                                          <w:marBottom w:val="0"/>
                                          <w:divBdr>
                                            <w:top w:val="none" w:sz="0" w:space="0" w:color="auto"/>
                                            <w:left w:val="none" w:sz="0" w:space="0" w:color="auto"/>
                                            <w:bottom w:val="none" w:sz="0" w:space="0" w:color="auto"/>
                                            <w:right w:val="none" w:sz="0" w:space="0" w:color="auto"/>
                                          </w:divBdr>
                                          <w:divsChild>
                                            <w:div w:id="1120492617">
                                              <w:marLeft w:val="0"/>
                                              <w:marRight w:val="0"/>
                                              <w:marTop w:val="0"/>
                                              <w:marBottom w:val="0"/>
                                              <w:divBdr>
                                                <w:top w:val="none" w:sz="0" w:space="0" w:color="auto"/>
                                                <w:left w:val="none" w:sz="0" w:space="0" w:color="auto"/>
                                                <w:bottom w:val="none" w:sz="0" w:space="0" w:color="auto"/>
                                                <w:right w:val="none" w:sz="0" w:space="0" w:color="auto"/>
                                              </w:divBdr>
                                              <w:divsChild>
                                                <w:div w:id="549727574">
                                                  <w:marLeft w:val="0"/>
                                                  <w:marRight w:val="0"/>
                                                  <w:marTop w:val="0"/>
                                                  <w:marBottom w:val="0"/>
                                                  <w:divBdr>
                                                    <w:top w:val="none" w:sz="0" w:space="0" w:color="auto"/>
                                                    <w:left w:val="none" w:sz="0" w:space="0" w:color="auto"/>
                                                    <w:bottom w:val="none" w:sz="0" w:space="0" w:color="auto"/>
                                                    <w:right w:val="none" w:sz="0" w:space="0" w:color="auto"/>
                                                  </w:divBdr>
                                                  <w:divsChild>
                                                    <w:div w:id="1556238269">
                                                      <w:marLeft w:val="0"/>
                                                      <w:marRight w:val="0"/>
                                                      <w:marTop w:val="0"/>
                                                      <w:marBottom w:val="0"/>
                                                      <w:divBdr>
                                                        <w:top w:val="none" w:sz="0" w:space="0" w:color="auto"/>
                                                        <w:left w:val="none" w:sz="0" w:space="0" w:color="auto"/>
                                                        <w:bottom w:val="none" w:sz="0" w:space="0" w:color="auto"/>
                                                        <w:right w:val="none" w:sz="0" w:space="0" w:color="auto"/>
                                                      </w:divBdr>
                                                      <w:divsChild>
                                                        <w:div w:id="997881643">
                                                          <w:marLeft w:val="0"/>
                                                          <w:marRight w:val="0"/>
                                                          <w:marTop w:val="0"/>
                                                          <w:marBottom w:val="0"/>
                                                          <w:divBdr>
                                                            <w:top w:val="none" w:sz="0" w:space="0" w:color="auto"/>
                                                            <w:left w:val="none" w:sz="0" w:space="0" w:color="auto"/>
                                                            <w:bottom w:val="none" w:sz="0" w:space="0" w:color="auto"/>
                                                            <w:right w:val="none" w:sz="0" w:space="0" w:color="auto"/>
                                                          </w:divBdr>
                                                          <w:divsChild>
                                                            <w:div w:id="12737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004751">
      <w:bodyDiv w:val="1"/>
      <w:marLeft w:val="0"/>
      <w:marRight w:val="0"/>
      <w:marTop w:val="0"/>
      <w:marBottom w:val="0"/>
      <w:divBdr>
        <w:top w:val="none" w:sz="0" w:space="0" w:color="auto"/>
        <w:left w:val="none" w:sz="0" w:space="0" w:color="auto"/>
        <w:bottom w:val="none" w:sz="0" w:space="0" w:color="auto"/>
        <w:right w:val="none" w:sz="0" w:space="0" w:color="auto"/>
      </w:divBdr>
    </w:div>
    <w:div w:id="1632176541">
      <w:bodyDiv w:val="1"/>
      <w:marLeft w:val="0"/>
      <w:marRight w:val="0"/>
      <w:marTop w:val="0"/>
      <w:marBottom w:val="0"/>
      <w:divBdr>
        <w:top w:val="none" w:sz="0" w:space="0" w:color="auto"/>
        <w:left w:val="none" w:sz="0" w:space="0" w:color="auto"/>
        <w:bottom w:val="none" w:sz="0" w:space="0" w:color="auto"/>
        <w:right w:val="none" w:sz="0" w:space="0" w:color="auto"/>
      </w:divBdr>
      <w:divsChild>
        <w:div w:id="909579675">
          <w:marLeft w:val="0"/>
          <w:marRight w:val="0"/>
          <w:marTop w:val="0"/>
          <w:marBottom w:val="0"/>
          <w:divBdr>
            <w:top w:val="none" w:sz="0" w:space="0" w:color="auto"/>
            <w:left w:val="none" w:sz="0" w:space="0" w:color="auto"/>
            <w:bottom w:val="none" w:sz="0" w:space="0" w:color="auto"/>
            <w:right w:val="none" w:sz="0" w:space="0" w:color="auto"/>
          </w:divBdr>
          <w:divsChild>
            <w:div w:id="1180853153">
              <w:marLeft w:val="0"/>
              <w:marRight w:val="0"/>
              <w:marTop w:val="0"/>
              <w:marBottom w:val="0"/>
              <w:divBdr>
                <w:top w:val="none" w:sz="0" w:space="0" w:color="auto"/>
                <w:left w:val="none" w:sz="0" w:space="0" w:color="auto"/>
                <w:bottom w:val="none" w:sz="0" w:space="0" w:color="auto"/>
                <w:right w:val="none" w:sz="0" w:space="0" w:color="auto"/>
              </w:divBdr>
              <w:divsChild>
                <w:div w:id="843398857">
                  <w:marLeft w:val="0"/>
                  <w:marRight w:val="0"/>
                  <w:marTop w:val="0"/>
                  <w:marBottom w:val="0"/>
                  <w:divBdr>
                    <w:top w:val="none" w:sz="0" w:space="0" w:color="auto"/>
                    <w:left w:val="none" w:sz="0" w:space="0" w:color="auto"/>
                    <w:bottom w:val="none" w:sz="0" w:space="0" w:color="auto"/>
                    <w:right w:val="none" w:sz="0" w:space="0" w:color="auto"/>
                  </w:divBdr>
                  <w:divsChild>
                    <w:div w:id="49235417">
                      <w:marLeft w:val="0"/>
                      <w:marRight w:val="0"/>
                      <w:marTop w:val="0"/>
                      <w:marBottom w:val="0"/>
                      <w:divBdr>
                        <w:top w:val="none" w:sz="0" w:space="0" w:color="auto"/>
                        <w:left w:val="none" w:sz="0" w:space="0" w:color="auto"/>
                        <w:bottom w:val="none" w:sz="0" w:space="0" w:color="auto"/>
                        <w:right w:val="none" w:sz="0" w:space="0" w:color="auto"/>
                      </w:divBdr>
                      <w:divsChild>
                        <w:div w:id="1604533015">
                          <w:marLeft w:val="0"/>
                          <w:marRight w:val="0"/>
                          <w:marTop w:val="0"/>
                          <w:marBottom w:val="0"/>
                          <w:divBdr>
                            <w:top w:val="none" w:sz="0" w:space="0" w:color="auto"/>
                            <w:left w:val="none" w:sz="0" w:space="0" w:color="auto"/>
                            <w:bottom w:val="none" w:sz="0" w:space="0" w:color="auto"/>
                            <w:right w:val="none" w:sz="0" w:space="0" w:color="auto"/>
                          </w:divBdr>
                          <w:divsChild>
                            <w:div w:id="551159811">
                              <w:marLeft w:val="0"/>
                              <w:marRight w:val="0"/>
                              <w:marTop w:val="0"/>
                              <w:marBottom w:val="0"/>
                              <w:divBdr>
                                <w:top w:val="none" w:sz="0" w:space="0" w:color="auto"/>
                                <w:left w:val="none" w:sz="0" w:space="0" w:color="auto"/>
                                <w:bottom w:val="none" w:sz="0" w:space="0" w:color="auto"/>
                                <w:right w:val="none" w:sz="0" w:space="0" w:color="auto"/>
                              </w:divBdr>
                              <w:divsChild>
                                <w:div w:id="2063409388">
                                  <w:marLeft w:val="0"/>
                                  <w:marRight w:val="0"/>
                                  <w:marTop w:val="0"/>
                                  <w:marBottom w:val="0"/>
                                  <w:divBdr>
                                    <w:top w:val="none" w:sz="0" w:space="0" w:color="auto"/>
                                    <w:left w:val="none" w:sz="0" w:space="0" w:color="auto"/>
                                    <w:bottom w:val="none" w:sz="0" w:space="0" w:color="auto"/>
                                    <w:right w:val="none" w:sz="0" w:space="0" w:color="auto"/>
                                  </w:divBdr>
                                  <w:divsChild>
                                    <w:div w:id="711003750">
                                      <w:marLeft w:val="0"/>
                                      <w:marRight w:val="0"/>
                                      <w:marTop w:val="0"/>
                                      <w:marBottom w:val="0"/>
                                      <w:divBdr>
                                        <w:top w:val="none" w:sz="0" w:space="0" w:color="auto"/>
                                        <w:left w:val="none" w:sz="0" w:space="0" w:color="auto"/>
                                        <w:bottom w:val="none" w:sz="0" w:space="0" w:color="auto"/>
                                        <w:right w:val="none" w:sz="0" w:space="0" w:color="auto"/>
                                      </w:divBdr>
                                      <w:divsChild>
                                        <w:div w:id="2039504960">
                                          <w:marLeft w:val="0"/>
                                          <w:marRight w:val="0"/>
                                          <w:marTop w:val="0"/>
                                          <w:marBottom w:val="0"/>
                                          <w:divBdr>
                                            <w:top w:val="none" w:sz="0" w:space="0" w:color="auto"/>
                                            <w:left w:val="none" w:sz="0" w:space="0" w:color="auto"/>
                                            <w:bottom w:val="none" w:sz="0" w:space="0" w:color="auto"/>
                                            <w:right w:val="none" w:sz="0" w:space="0" w:color="auto"/>
                                          </w:divBdr>
                                          <w:divsChild>
                                            <w:div w:id="1220090254">
                                              <w:marLeft w:val="0"/>
                                              <w:marRight w:val="0"/>
                                              <w:marTop w:val="0"/>
                                              <w:marBottom w:val="0"/>
                                              <w:divBdr>
                                                <w:top w:val="none" w:sz="0" w:space="0" w:color="auto"/>
                                                <w:left w:val="none" w:sz="0" w:space="0" w:color="auto"/>
                                                <w:bottom w:val="none" w:sz="0" w:space="0" w:color="auto"/>
                                                <w:right w:val="none" w:sz="0" w:space="0" w:color="auto"/>
                                              </w:divBdr>
                                              <w:divsChild>
                                                <w:div w:id="558202377">
                                                  <w:marLeft w:val="0"/>
                                                  <w:marRight w:val="0"/>
                                                  <w:marTop w:val="0"/>
                                                  <w:marBottom w:val="0"/>
                                                  <w:divBdr>
                                                    <w:top w:val="none" w:sz="0" w:space="0" w:color="auto"/>
                                                    <w:left w:val="none" w:sz="0" w:space="0" w:color="auto"/>
                                                    <w:bottom w:val="none" w:sz="0" w:space="0" w:color="auto"/>
                                                    <w:right w:val="none" w:sz="0" w:space="0" w:color="auto"/>
                                                  </w:divBdr>
                                                  <w:divsChild>
                                                    <w:div w:id="777457275">
                                                      <w:marLeft w:val="0"/>
                                                      <w:marRight w:val="0"/>
                                                      <w:marTop w:val="0"/>
                                                      <w:marBottom w:val="0"/>
                                                      <w:divBdr>
                                                        <w:top w:val="none" w:sz="0" w:space="0" w:color="auto"/>
                                                        <w:left w:val="none" w:sz="0" w:space="0" w:color="auto"/>
                                                        <w:bottom w:val="none" w:sz="0" w:space="0" w:color="auto"/>
                                                        <w:right w:val="none" w:sz="0" w:space="0" w:color="auto"/>
                                                      </w:divBdr>
                                                      <w:divsChild>
                                                        <w:div w:id="1902523380">
                                                          <w:marLeft w:val="0"/>
                                                          <w:marRight w:val="0"/>
                                                          <w:marTop w:val="0"/>
                                                          <w:marBottom w:val="0"/>
                                                          <w:divBdr>
                                                            <w:top w:val="none" w:sz="0" w:space="0" w:color="auto"/>
                                                            <w:left w:val="none" w:sz="0" w:space="0" w:color="auto"/>
                                                            <w:bottom w:val="none" w:sz="0" w:space="0" w:color="auto"/>
                                                            <w:right w:val="none" w:sz="0" w:space="0" w:color="auto"/>
                                                          </w:divBdr>
                                                          <w:divsChild>
                                                            <w:div w:id="11629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717028">
      <w:bodyDiv w:val="1"/>
      <w:marLeft w:val="0"/>
      <w:marRight w:val="0"/>
      <w:marTop w:val="0"/>
      <w:marBottom w:val="0"/>
      <w:divBdr>
        <w:top w:val="none" w:sz="0" w:space="0" w:color="auto"/>
        <w:left w:val="none" w:sz="0" w:space="0" w:color="auto"/>
        <w:bottom w:val="none" w:sz="0" w:space="0" w:color="auto"/>
        <w:right w:val="none" w:sz="0" w:space="0" w:color="auto"/>
      </w:divBdr>
    </w:div>
    <w:div w:id="1686664441">
      <w:bodyDiv w:val="1"/>
      <w:marLeft w:val="0"/>
      <w:marRight w:val="0"/>
      <w:marTop w:val="0"/>
      <w:marBottom w:val="0"/>
      <w:divBdr>
        <w:top w:val="none" w:sz="0" w:space="0" w:color="auto"/>
        <w:left w:val="none" w:sz="0" w:space="0" w:color="auto"/>
        <w:bottom w:val="none" w:sz="0" w:space="0" w:color="auto"/>
        <w:right w:val="none" w:sz="0" w:space="0" w:color="auto"/>
      </w:divBdr>
    </w:div>
    <w:div w:id="1694720237">
      <w:bodyDiv w:val="1"/>
      <w:marLeft w:val="0"/>
      <w:marRight w:val="0"/>
      <w:marTop w:val="0"/>
      <w:marBottom w:val="0"/>
      <w:divBdr>
        <w:top w:val="none" w:sz="0" w:space="0" w:color="auto"/>
        <w:left w:val="none" w:sz="0" w:space="0" w:color="auto"/>
        <w:bottom w:val="none" w:sz="0" w:space="0" w:color="auto"/>
        <w:right w:val="none" w:sz="0" w:space="0" w:color="auto"/>
      </w:divBdr>
    </w:div>
    <w:div w:id="1743527188">
      <w:bodyDiv w:val="1"/>
      <w:marLeft w:val="0"/>
      <w:marRight w:val="0"/>
      <w:marTop w:val="0"/>
      <w:marBottom w:val="0"/>
      <w:divBdr>
        <w:top w:val="none" w:sz="0" w:space="0" w:color="auto"/>
        <w:left w:val="none" w:sz="0" w:space="0" w:color="auto"/>
        <w:bottom w:val="none" w:sz="0" w:space="0" w:color="auto"/>
        <w:right w:val="none" w:sz="0" w:space="0" w:color="auto"/>
      </w:divBdr>
    </w:div>
    <w:div w:id="1860660090">
      <w:bodyDiv w:val="1"/>
      <w:marLeft w:val="0"/>
      <w:marRight w:val="0"/>
      <w:marTop w:val="0"/>
      <w:marBottom w:val="0"/>
      <w:divBdr>
        <w:top w:val="none" w:sz="0" w:space="0" w:color="auto"/>
        <w:left w:val="none" w:sz="0" w:space="0" w:color="auto"/>
        <w:bottom w:val="none" w:sz="0" w:space="0" w:color="auto"/>
        <w:right w:val="none" w:sz="0" w:space="0" w:color="auto"/>
      </w:divBdr>
    </w:div>
    <w:div w:id="1878545267">
      <w:bodyDiv w:val="1"/>
      <w:marLeft w:val="0"/>
      <w:marRight w:val="0"/>
      <w:marTop w:val="0"/>
      <w:marBottom w:val="0"/>
      <w:divBdr>
        <w:top w:val="none" w:sz="0" w:space="0" w:color="auto"/>
        <w:left w:val="none" w:sz="0" w:space="0" w:color="auto"/>
        <w:bottom w:val="none" w:sz="0" w:space="0" w:color="auto"/>
        <w:right w:val="none" w:sz="0" w:space="0" w:color="auto"/>
      </w:divBdr>
    </w:div>
    <w:div w:id="1965042500">
      <w:bodyDiv w:val="1"/>
      <w:marLeft w:val="0"/>
      <w:marRight w:val="0"/>
      <w:marTop w:val="0"/>
      <w:marBottom w:val="0"/>
      <w:divBdr>
        <w:top w:val="none" w:sz="0" w:space="0" w:color="auto"/>
        <w:left w:val="none" w:sz="0" w:space="0" w:color="auto"/>
        <w:bottom w:val="none" w:sz="0" w:space="0" w:color="auto"/>
        <w:right w:val="none" w:sz="0" w:space="0" w:color="auto"/>
      </w:divBdr>
    </w:div>
    <w:div w:id="1993634457">
      <w:bodyDiv w:val="1"/>
      <w:marLeft w:val="0"/>
      <w:marRight w:val="0"/>
      <w:marTop w:val="0"/>
      <w:marBottom w:val="0"/>
      <w:divBdr>
        <w:top w:val="none" w:sz="0" w:space="0" w:color="auto"/>
        <w:left w:val="none" w:sz="0" w:space="0" w:color="auto"/>
        <w:bottom w:val="none" w:sz="0" w:space="0" w:color="auto"/>
        <w:right w:val="none" w:sz="0" w:space="0" w:color="auto"/>
      </w:divBdr>
    </w:div>
    <w:div w:id="1998612371">
      <w:bodyDiv w:val="1"/>
      <w:marLeft w:val="0"/>
      <w:marRight w:val="0"/>
      <w:marTop w:val="0"/>
      <w:marBottom w:val="0"/>
      <w:divBdr>
        <w:top w:val="none" w:sz="0" w:space="0" w:color="auto"/>
        <w:left w:val="none" w:sz="0" w:space="0" w:color="auto"/>
        <w:bottom w:val="none" w:sz="0" w:space="0" w:color="auto"/>
        <w:right w:val="none" w:sz="0" w:space="0" w:color="auto"/>
      </w:divBdr>
    </w:div>
    <w:div w:id="205260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content/pkg/USCODE-2019-title12/html/USCODE-2019-title12-chap13-sec1701z-6.htm" TargetMode="External"/><Relationship Id="rId18" Type="http://schemas.openxmlformats.org/officeDocument/2006/relationships/hyperlink" Target="https://www.aarp.org/content/dam/aarp/livable-communities/livable-documents/2020/2020%20AARP%20Age-Friendly%20Community%20Survey%20Paper%20Pencil%20Version%20Final.pdf" TargetMode="External"/><Relationship Id="rId26" Type="http://schemas.openxmlformats.org/officeDocument/2006/relationships/hyperlink" Target="https://www.phqscreeners.com/images/sites/g/files/g10016261/f/201412/instructions.pdf" TargetMode="External"/><Relationship Id="rId3" Type="http://schemas.openxmlformats.org/officeDocument/2006/relationships/customXml" Target="../customXml/item3.xml"/><Relationship Id="rId21" Type="http://schemas.openxmlformats.org/officeDocument/2006/relationships/hyperlink" Target="https://www.sralab.org/rehabilitation-measures/tinetti-falls-efficacy-scal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info.gov/content/pkg/USCODE-2019-title12/html/USCODE-2019-title12-chap13-sec1701z-1.htm" TargetMode="External"/><Relationship Id="rId17" Type="http://schemas.openxmlformats.org/officeDocument/2006/relationships/hyperlink" Target="https://www.hosonline.org/globalassets/hos-online/survey-instruments/hos_2020_survey_English.pdf" TargetMode="External"/><Relationship Id="rId25" Type="http://schemas.openxmlformats.org/officeDocument/2006/relationships/hyperlink" Target="https://meps.ahrq.gov/survey_comp/hc_survey/2018/EE-2018.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hyperlink" Target="https://euroqol.org/eq-5d-instruments/sample-demo/" TargetMode="External"/><Relationship Id="rId29" Type="http://schemas.openxmlformats.org/officeDocument/2006/relationships/hyperlink" Target="https://www.aota.org/~/media/Corporate/Files/Practice/Aging/rebuilding-together/RT-Aging-in-Place-Safe-at-Home-Checklis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brfss/questionnaires/pdf-ques/2014_BRFSS.pdf" TargetMode="External"/><Relationship Id="rId32" Type="http://schemas.openxmlformats.org/officeDocument/2006/relationships/hyperlink" Target="https://www.huduser.gov/portal/home.html"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tp.cdc.gov/pub/Health_Statistics/NCHS/Survey_Questionnaires/NHIS/2008/English/qadult.pdf" TargetMode="External"/><Relationship Id="rId28" Type="http://schemas.openxmlformats.org/officeDocument/2006/relationships/hyperlink" Target="https://www.cpsc.gov/s3fs-public/701.pdf" TargetMode="External"/><Relationship Id="rId10" Type="http://schemas.openxmlformats.org/officeDocument/2006/relationships/footnotes" Target="footnotes.xml"/><Relationship Id="rId19" Type="http://schemas.openxmlformats.org/officeDocument/2006/relationships/hyperlink" Target="https://www.hosonline.org/globalassets/hos-online/survey-instruments/hos_2020_survey_English.pdf" TargetMode="External"/><Relationship Id="rId31" Type="http://schemas.openxmlformats.org/officeDocument/2006/relationships/hyperlink" Target="https://www.bls.gov/news.release/pdf/reale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info.gov/public/do/PRAOMBHistory?ombControlNumber=2539-0008" TargetMode="External"/><Relationship Id="rId22" Type="http://schemas.openxmlformats.org/officeDocument/2006/relationships/hyperlink" Target="https://academic.oup.com/view-large/figure/190877851/ptj1008-fig002.jpeg" TargetMode="External"/><Relationship Id="rId27" Type="http://schemas.openxmlformats.org/officeDocument/2006/relationships/hyperlink" Target="https://www.cdc.gov/steadi/pdf/check_for_safety_brochure-a.pdf" TargetMode="External"/><Relationship Id="rId30" Type="http://schemas.openxmlformats.org/officeDocument/2006/relationships/hyperlink" Target="https://www.bls.gov/ooh/management/social-and-community-service-managers.ht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d.gov/sites/dfiles/SPM/documents/HUDSTRATEGICPLAN2018-2022.pdf" TargetMode="External"/><Relationship Id="rId13" Type="http://schemas.openxmlformats.org/officeDocument/2006/relationships/hyperlink" Target="https://projectredcap.org/wp-content/resources/REDCapTechnicalOverview.pdf" TargetMode="External"/><Relationship Id="rId3" Type="http://schemas.openxmlformats.org/officeDocument/2006/relationships/hyperlink" Target="https://www.cms.gov/files/document/2018-mcbs-methodology-report.pdf" TargetMode="External"/><Relationship Id="rId7" Type="http://schemas.openxmlformats.org/officeDocument/2006/relationships/hyperlink" Target="https://uscode.house.gov/view.xhtml?req=(title:12%20section:1701z-6%20edition:prelim)" TargetMode="External"/><Relationship Id="rId12" Type="http://schemas.openxmlformats.org/officeDocument/2006/relationships/hyperlink" Target="https://meps.ahrq.gov/mepsweb/data_stats/download_data_files_codebook.jsp?PUFId=H201&amp;varName=IPTEXP17" TargetMode="External"/><Relationship Id="rId17" Type="http://schemas.openxmlformats.org/officeDocument/2006/relationships/hyperlink" Target="file:///H:/www.federalregister.gov/d/2016-29215" TargetMode="External"/><Relationship Id="rId2" Type="http://schemas.openxmlformats.org/officeDocument/2006/relationships/hyperlink" Target="https://fas.org/sgp/crs/misc/IF10343.pdf" TargetMode="External"/><Relationship Id="rId16" Type="http://schemas.openxmlformats.org/officeDocument/2006/relationships/hyperlink" Target="https://uscode.house.gov/view.xhtml?req=granuleid:USC-prelim-title5-section552a&amp;num=0&amp;edition=prelim" TargetMode="External"/><Relationship Id="rId1" Type="http://schemas.openxmlformats.org/officeDocument/2006/relationships/hyperlink" Target="https://www.cms.gov/Research-Statistics-Data-and-Systems/Statistics-Trends-and-Reports/NationalHealthExpendData/NationalHealthAccountsHistorical" TargetMode="External"/><Relationship Id="rId6" Type="http://schemas.openxmlformats.org/officeDocument/2006/relationships/hyperlink" Target="https://uscode.house.gov/view.xhtml?req=(title:12%20section:1701z-1%20edition:prelim)" TargetMode="External"/><Relationship Id="rId11" Type="http://schemas.openxmlformats.org/officeDocument/2006/relationships/hyperlink" Target="https://data.census.gov/cedsci/table?q=language&amp;tid=ACSST1Y2019.S1601" TargetMode="External"/><Relationship Id="rId5" Type="http://schemas.openxmlformats.org/officeDocument/2006/relationships/hyperlink" Target="https://www.hud.gov/about/mission" TargetMode="External"/><Relationship Id="rId15" Type="http://schemas.openxmlformats.org/officeDocument/2006/relationships/hyperlink" Target="https://www.hhs.gov/sites/default/files/ocr/privacy/hipaa/administrative/combined/hipaa-simplification-201303.pdf?language=es" TargetMode="External"/><Relationship Id="rId10" Type="http://schemas.openxmlformats.org/officeDocument/2006/relationships/hyperlink" Target="https://www.census.gov/programs-surveys/ahs/data/2019/ahs-2019-public-use-file--puf-.html" TargetMode="External"/><Relationship Id="rId4" Type="http://schemas.openxmlformats.org/officeDocument/2006/relationships/hyperlink" Target="https://www.hud.gov/sites/dfiles/SPM/documents/OlderAdultModificationProgramupdated4.12.21_FR-6400-N-69%2819%29.pdf" TargetMode="External"/><Relationship Id="rId9" Type="http://schemas.openxmlformats.org/officeDocument/2006/relationships/hyperlink" Target="https://sam.gov/opp/3d953aca9f88435faf816f314d870707/view" TargetMode="External"/><Relationship Id="rId14" Type="http://schemas.openxmlformats.org/officeDocument/2006/relationships/hyperlink" Target="https://data.census.gov/cedsci/table?q=language&amp;tid=ACSST1Y2019.S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Sherry Dixon</DisplayName>
        <AccountId>24</AccountId>
        <AccountType/>
      </UserInfo>
      <UserInfo>
        <DisplayName>Noreen Beatley</DisplayName>
        <AccountId>10</AccountId>
        <AccountType/>
      </UserInfo>
      <UserInfo>
        <DisplayName>Carolyn Kawecki</DisplayName>
        <AccountId>14</AccountId>
        <AccountType/>
      </UserInfo>
      <UserInfo>
        <DisplayName>Jonathan Wilson</DisplayName>
        <AccountId>12</AccountId>
        <AccountType/>
      </UserInfo>
      <UserInfo>
        <DisplayName>Jill Breysse</DisplayName>
        <AccountId>13</AccountId>
        <AccountType/>
      </UserInfo>
    </SharedWithUsers>
  </documentManagement>
</p:properties>
</file>

<file path=customXml/itemProps1.xml><?xml version="1.0" encoding="utf-8"?>
<ds:datastoreItem xmlns:ds="http://schemas.openxmlformats.org/officeDocument/2006/customXml" ds:itemID="{817DB3C8-5C4E-49E9-9E9E-C4B365B4A593}">
  <ds:schemaRefs>
    <ds:schemaRef ds:uri="http://schemas.openxmlformats.org/officeDocument/2006/bibliography"/>
  </ds:schemaRefs>
</ds:datastoreItem>
</file>

<file path=customXml/itemProps2.xml><?xml version="1.0" encoding="utf-8"?>
<ds:datastoreItem xmlns:ds="http://schemas.openxmlformats.org/officeDocument/2006/customXml" ds:itemID="{1AA0655D-EB66-4DC6-8D6E-B31AE69AAFCA}">
  <ds:schemaRefs>
    <ds:schemaRef ds:uri="http://schemas.microsoft.com/office/2006/metadata/longProperties"/>
  </ds:schemaRefs>
</ds:datastoreItem>
</file>

<file path=customXml/itemProps3.xml><?xml version="1.0" encoding="utf-8"?>
<ds:datastoreItem xmlns:ds="http://schemas.openxmlformats.org/officeDocument/2006/customXml" ds:itemID="{D5869390-D140-490D-80A9-8AE3E0318404}">
  <ds:schemaRefs>
    <ds:schemaRef ds:uri="http://schemas.microsoft.com/sharepoint/v3/contenttype/forms"/>
  </ds:schemaRefs>
</ds:datastoreItem>
</file>

<file path=customXml/itemProps4.xml><?xml version="1.0" encoding="utf-8"?>
<ds:datastoreItem xmlns:ds="http://schemas.openxmlformats.org/officeDocument/2006/customXml" ds:itemID="{2B6CA995-9149-443C-B0C1-5AFEC838F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084C7E-1912-462F-8E9C-BA4AA2108EC1}">
  <ds:schemaRefs>
    <ds:schemaRef ds:uri="http://schemas.microsoft.com/office/2006/metadata/properties"/>
    <ds:schemaRef ds:uri="http://schemas.microsoft.com/office/infopath/2007/PartnerControls"/>
    <ds:schemaRef ds:uri="1099e814-9c7c-433d-9741-17d18e98c6e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11630</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77766</CharactersWithSpaces>
  <SharedDoc>false</SharedDoc>
  <HLinks>
    <vt:vector size="300" baseType="variant">
      <vt:variant>
        <vt:i4>8126512</vt:i4>
      </vt:variant>
      <vt:variant>
        <vt:i4>120</vt:i4>
      </vt:variant>
      <vt:variant>
        <vt:i4>0</vt:i4>
      </vt:variant>
      <vt:variant>
        <vt:i4>5</vt:i4>
      </vt:variant>
      <vt:variant>
        <vt:lpwstr>https://data.census.gov/cedsci/table?q=S1810&amp;tid=ACSST1Y2019.S1810</vt:lpwstr>
      </vt:variant>
      <vt:variant>
        <vt:lpwstr/>
      </vt:variant>
      <vt:variant>
        <vt:i4>8126512</vt:i4>
      </vt:variant>
      <vt:variant>
        <vt:i4>117</vt:i4>
      </vt:variant>
      <vt:variant>
        <vt:i4>0</vt:i4>
      </vt:variant>
      <vt:variant>
        <vt:i4>5</vt:i4>
      </vt:variant>
      <vt:variant>
        <vt:lpwstr>https://data.census.gov/cedsci/table?q=S1810&amp;tid=ACSST1Y2019.S1810</vt:lpwstr>
      </vt:variant>
      <vt:variant>
        <vt:lpwstr/>
      </vt:variant>
      <vt:variant>
        <vt:i4>524294</vt:i4>
      </vt:variant>
      <vt:variant>
        <vt:i4>114</vt:i4>
      </vt:variant>
      <vt:variant>
        <vt:i4>0</vt:i4>
      </vt:variant>
      <vt:variant>
        <vt:i4>5</vt:i4>
      </vt:variant>
      <vt:variant>
        <vt:lpwstr>https://nchh.sharepoint.com/Cloud Server/Healthy Housing Solutions/PD&amp;R Eval of Older Adult Home Mod Grant/OMB ICR Draft 12.22.20/Language Spoken at Home American Community Survey S1601</vt:lpwstr>
      </vt:variant>
      <vt:variant>
        <vt:lpwstr/>
      </vt:variant>
      <vt:variant>
        <vt:i4>8126512</vt:i4>
      </vt:variant>
      <vt:variant>
        <vt:i4>111</vt:i4>
      </vt:variant>
      <vt:variant>
        <vt:i4>0</vt:i4>
      </vt:variant>
      <vt:variant>
        <vt:i4>5</vt:i4>
      </vt:variant>
      <vt:variant>
        <vt:lpwstr>https://data.census.gov/cedsci/table?q=S0103&amp;tid=ACSST1Y2019.S0103</vt:lpwstr>
      </vt:variant>
      <vt:variant>
        <vt:lpwstr/>
      </vt:variant>
      <vt:variant>
        <vt:i4>8126512</vt:i4>
      </vt:variant>
      <vt:variant>
        <vt:i4>108</vt:i4>
      </vt:variant>
      <vt:variant>
        <vt:i4>0</vt:i4>
      </vt:variant>
      <vt:variant>
        <vt:i4>5</vt:i4>
      </vt:variant>
      <vt:variant>
        <vt:lpwstr>https://data.census.gov/cedsci/table?q=S0103&amp;tid=ACSST1Y2019.S0103</vt:lpwstr>
      </vt:variant>
      <vt:variant>
        <vt:lpwstr/>
      </vt:variant>
      <vt:variant>
        <vt:i4>458783</vt:i4>
      </vt:variant>
      <vt:variant>
        <vt:i4>102</vt:i4>
      </vt:variant>
      <vt:variant>
        <vt:i4>0</vt:i4>
      </vt:variant>
      <vt:variant>
        <vt:i4>5</vt:i4>
      </vt:variant>
      <vt:variant>
        <vt:lpwstr>https://www.huduser.gov/portal/home.html</vt:lpwstr>
      </vt:variant>
      <vt:variant>
        <vt:lpwstr/>
      </vt:variant>
      <vt:variant>
        <vt:i4>7077995</vt:i4>
      </vt:variant>
      <vt:variant>
        <vt:i4>93</vt:i4>
      </vt:variant>
      <vt:variant>
        <vt:i4>0</vt:i4>
      </vt:variant>
      <vt:variant>
        <vt:i4>5</vt:i4>
      </vt:variant>
      <vt:variant>
        <vt:lpwstr>https://www.bls.gov/news.release/pdf/realer.pdf</vt:lpwstr>
      </vt:variant>
      <vt:variant>
        <vt:lpwstr/>
      </vt:variant>
      <vt:variant>
        <vt:i4>5636188</vt:i4>
      </vt:variant>
      <vt:variant>
        <vt:i4>90</vt:i4>
      </vt:variant>
      <vt:variant>
        <vt:i4>0</vt:i4>
      </vt:variant>
      <vt:variant>
        <vt:i4>5</vt:i4>
      </vt:variant>
      <vt:variant>
        <vt:lpwstr>https://www.bls.gov/ooh/management/social-and-community-service-managers.htm</vt:lpwstr>
      </vt:variant>
      <vt:variant>
        <vt:lpwstr>tab-5</vt:lpwstr>
      </vt:variant>
      <vt:variant>
        <vt:i4>5374040</vt:i4>
      </vt:variant>
      <vt:variant>
        <vt:i4>81</vt:i4>
      </vt:variant>
      <vt:variant>
        <vt:i4>0</vt:i4>
      </vt:variant>
      <vt:variant>
        <vt:i4>5</vt:i4>
      </vt:variant>
      <vt:variant>
        <vt:lpwstr>https://www.aota.org/~/media/Corporate/Files/Practice/Aging/rebuilding-together/RT-Aging-in-Place-Safe-at-Home-Checklist.pdf</vt:lpwstr>
      </vt:variant>
      <vt:variant>
        <vt:lpwstr/>
      </vt:variant>
      <vt:variant>
        <vt:i4>983066</vt:i4>
      </vt:variant>
      <vt:variant>
        <vt:i4>78</vt:i4>
      </vt:variant>
      <vt:variant>
        <vt:i4>0</vt:i4>
      </vt:variant>
      <vt:variant>
        <vt:i4>5</vt:i4>
      </vt:variant>
      <vt:variant>
        <vt:lpwstr>https://www.huduser.gov/portal/sites/default/files/pdf/accessibility-america-housingStock.pdf</vt:lpwstr>
      </vt:variant>
      <vt:variant>
        <vt:lpwstr/>
      </vt:variant>
      <vt:variant>
        <vt:i4>1572944</vt:i4>
      </vt:variant>
      <vt:variant>
        <vt:i4>75</vt:i4>
      </vt:variant>
      <vt:variant>
        <vt:i4>0</vt:i4>
      </vt:variant>
      <vt:variant>
        <vt:i4>5</vt:i4>
      </vt:variant>
      <vt:variant>
        <vt:lpwstr>https://www.cpsc.gov/s3fs-public/701.pdf</vt:lpwstr>
      </vt:variant>
      <vt:variant>
        <vt:lpwstr/>
      </vt:variant>
      <vt:variant>
        <vt:i4>1638446</vt:i4>
      </vt:variant>
      <vt:variant>
        <vt:i4>72</vt:i4>
      </vt:variant>
      <vt:variant>
        <vt:i4>0</vt:i4>
      </vt:variant>
      <vt:variant>
        <vt:i4>5</vt:i4>
      </vt:variant>
      <vt:variant>
        <vt:lpwstr>https://www.cdc.gov/steadi/pdf/check_for_safety_brochure-a.pdf</vt:lpwstr>
      </vt:variant>
      <vt:variant>
        <vt:lpwstr/>
      </vt:variant>
      <vt:variant>
        <vt:i4>4194383</vt:i4>
      </vt:variant>
      <vt:variant>
        <vt:i4>69</vt:i4>
      </vt:variant>
      <vt:variant>
        <vt:i4>0</vt:i4>
      </vt:variant>
      <vt:variant>
        <vt:i4>5</vt:i4>
      </vt:variant>
      <vt:variant>
        <vt:lpwstr>https://www.phqscreeners.com/images/sites/g/files/g10016261/f/201412/instructions.pdf</vt:lpwstr>
      </vt:variant>
      <vt:variant>
        <vt:lpwstr/>
      </vt:variant>
      <vt:variant>
        <vt:i4>5701650</vt:i4>
      </vt:variant>
      <vt:variant>
        <vt:i4>66</vt:i4>
      </vt:variant>
      <vt:variant>
        <vt:i4>0</vt:i4>
      </vt:variant>
      <vt:variant>
        <vt:i4>5</vt:i4>
      </vt:variant>
      <vt:variant>
        <vt:lpwstr>https://meps.ahrq.gov/survey_comp/hc_survey/2018/EE-2018.pdf</vt:lpwstr>
      </vt:variant>
      <vt:variant>
        <vt:lpwstr/>
      </vt:variant>
      <vt:variant>
        <vt:i4>4522044</vt:i4>
      </vt:variant>
      <vt:variant>
        <vt:i4>63</vt:i4>
      </vt:variant>
      <vt:variant>
        <vt:i4>0</vt:i4>
      </vt:variant>
      <vt:variant>
        <vt:i4>5</vt:i4>
      </vt:variant>
      <vt:variant>
        <vt:lpwstr>https://www.cdc.gov/brfss/questionnaires/pdf-ques/2014_BRFSS.pdf</vt:lpwstr>
      </vt:variant>
      <vt:variant>
        <vt:lpwstr/>
      </vt:variant>
      <vt:variant>
        <vt:i4>6488183</vt:i4>
      </vt:variant>
      <vt:variant>
        <vt:i4>60</vt:i4>
      </vt:variant>
      <vt:variant>
        <vt:i4>0</vt:i4>
      </vt:variant>
      <vt:variant>
        <vt:i4>5</vt:i4>
      </vt:variant>
      <vt:variant>
        <vt:lpwstr>https://ftp.cdc.gov/pub/Health_Statistics/NCHS/Survey_Questionnaires/NHIS/2008/English/qadult.pdf</vt:lpwstr>
      </vt:variant>
      <vt:variant>
        <vt:lpwstr/>
      </vt:variant>
      <vt:variant>
        <vt:i4>4325456</vt:i4>
      </vt:variant>
      <vt:variant>
        <vt:i4>57</vt:i4>
      </vt:variant>
      <vt:variant>
        <vt:i4>0</vt:i4>
      </vt:variant>
      <vt:variant>
        <vt:i4>5</vt:i4>
      </vt:variant>
      <vt:variant>
        <vt:lpwstr>https://academic.oup.com/view-large/figure/190877851/ptj1008-fig002.jpeg</vt:lpwstr>
      </vt:variant>
      <vt:variant>
        <vt:lpwstr/>
      </vt:variant>
      <vt:variant>
        <vt:i4>2228321</vt:i4>
      </vt:variant>
      <vt:variant>
        <vt:i4>54</vt:i4>
      </vt:variant>
      <vt:variant>
        <vt:i4>0</vt:i4>
      </vt:variant>
      <vt:variant>
        <vt:i4>5</vt:i4>
      </vt:variant>
      <vt:variant>
        <vt:lpwstr>https://www.sralab.org/rehabilitation-measures/tinetti-falls-efficacy-scale</vt:lpwstr>
      </vt:variant>
      <vt:variant>
        <vt:lpwstr/>
      </vt:variant>
      <vt:variant>
        <vt:i4>8192035</vt:i4>
      </vt:variant>
      <vt:variant>
        <vt:i4>51</vt:i4>
      </vt:variant>
      <vt:variant>
        <vt:i4>0</vt:i4>
      </vt:variant>
      <vt:variant>
        <vt:i4>5</vt:i4>
      </vt:variant>
      <vt:variant>
        <vt:lpwstr>https://euroqol.org/eq-5d-instruments/sample-demo/</vt:lpwstr>
      </vt:variant>
      <vt:variant>
        <vt:lpwstr/>
      </vt:variant>
      <vt:variant>
        <vt:i4>3014681</vt:i4>
      </vt:variant>
      <vt:variant>
        <vt:i4>48</vt:i4>
      </vt:variant>
      <vt:variant>
        <vt:i4>0</vt:i4>
      </vt:variant>
      <vt:variant>
        <vt:i4>5</vt:i4>
      </vt:variant>
      <vt:variant>
        <vt:lpwstr>https://www.hosonline.org/globalassets/hos-online/survey-instruments/hos_2020_survey_English.pdf</vt:lpwstr>
      </vt:variant>
      <vt:variant>
        <vt:lpwstr/>
      </vt:variant>
      <vt:variant>
        <vt:i4>6946928</vt:i4>
      </vt:variant>
      <vt:variant>
        <vt:i4>45</vt:i4>
      </vt:variant>
      <vt:variant>
        <vt:i4>0</vt:i4>
      </vt:variant>
      <vt:variant>
        <vt:i4>5</vt:i4>
      </vt:variant>
      <vt:variant>
        <vt:lpwstr>https://www.aarp.org/content/dam/aarp/livable-communities/livable-documents/2020/2020 AARP Age-Friendly Community Survey Paper Pencil Version Final.pdf</vt:lpwstr>
      </vt:variant>
      <vt:variant>
        <vt:lpwstr/>
      </vt:variant>
      <vt:variant>
        <vt:i4>3014681</vt:i4>
      </vt:variant>
      <vt:variant>
        <vt:i4>42</vt:i4>
      </vt:variant>
      <vt:variant>
        <vt:i4>0</vt:i4>
      </vt:variant>
      <vt:variant>
        <vt:i4>5</vt:i4>
      </vt:variant>
      <vt:variant>
        <vt:lpwstr>https://www.hosonline.org/globalassets/hos-online/survey-instruments/hos_2020_survey_English.pdf</vt:lpwstr>
      </vt:variant>
      <vt:variant>
        <vt:lpwstr/>
      </vt:variant>
      <vt:variant>
        <vt:i4>7143457</vt:i4>
      </vt:variant>
      <vt:variant>
        <vt:i4>6</vt:i4>
      </vt:variant>
      <vt:variant>
        <vt:i4>0</vt:i4>
      </vt:variant>
      <vt:variant>
        <vt:i4>5</vt:i4>
      </vt:variant>
      <vt:variant>
        <vt:lpwstr>https://www.reginfo.gov/public/do/PRAOMBHistory?ombControlNumber=2539-0008</vt:lpwstr>
      </vt:variant>
      <vt:variant>
        <vt:lpwstr/>
      </vt:variant>
      <vt:variant>
        <vt:i4>4063333</vt:i4>
      </vt:variant>
      <vt:variant>
        <vt:i4>3</vt:i4>
      </vt:variant>
      <vt:variant>
        <vt:i4>0</vt:i4>
      </vt:variant>
      <vt:variant>
        <vt:i4>5</vt:i4>
      </vt:variant>
      <vt:variant>
        <vt:lpwstr>https://www.govinfo.gov/content/pkg/USCODE-2019-title12/html/USCODE-2019-title12-chap13-sec1701z-6.htm</vt:lpwstr>
      </vt:variant>
      <vt:variant>
        <vt:lpwstr/>
      </vt:variant>
      <vt:variant>
        <vt:i4>3735653</vt:i4>
      </vt:variant>
      <vt:variant>
        <vt:i4>0</vt:i4>
      </vt:variant>
      <vt:variant>
        <vt:i4>0</vt:i4>
      </vt:variant>
      <vt:variant>
        <vt:i4>5</vt:i4>
      </vt:variant>
      <vt:variant>
        <vt:lpwstr>https://www.govinfo.gov/content/pkg/USCODE-2019-title12/html/USCODE-2019-title12-chap13-sec1701z-1.htm</vt:lpwstr>
      </vt:variant>
      <vt:variant>
        <vt:lpwstr/>
      </vt:variant>
      <vt:variant>
        <vt:i4>5046290</vt:i4>
      </vt:variant>
      <vt:variant>
        <vt:i4>60</vt:i4>
      </vt:variant>
      <vt:variant>
        <vt:i4>0</vt:i4>
      </vt:variant>
      <vt:variant>
        <vt:i4>5</vt:i4>
      </vt:variant>
      <vt:variant>
        <vt:lpwstr>http://aspe.hhs.gov/sites/default/files/pdf/75961/closerlook.pdf</vt:lpwstr>
      </vt:variant>
      <vt:variant>
        <vt:lpwstr/>
      </vt:variant>
      <vt:variant>
        <vt:i4>1835024</vt:i4>
      </vt:variant>
      <vt:variant>
        <vt:i4>57</vt:i4>
      </vt:variant>
      <vt:variant>
        <vt:i4>0</vt:i4>
      </vt:variant>
      <vt:variant>
        <vt:i4>5</vt:i4>
      </vt:variant>
      <vt:variant>
        <vt:lpwstr>https://www.cms.gov/Research-Statistics-Data-and-Systems/Statistics-Trends-and-Reports/NationalHealthExpendData/NationalHealthAccountsHistorical</vt:lpwstr>
      </vt:variant>
      <vt:variant>
        <vt:lpwstr/>
      </vt:variant>
      <vt:variant>
        <vt:i4>3932216</vt:i4>
      </vt:variant>
      <vt:variant>
        <vt:i4>54</vt:i4>
      </vt:variant>
      <vt:variant>
        <vt:i4>0</vt:i4>
      </vt:variant>
      <vt:variant>
        <vt:i4>5</vt:i4>
      </vt:variant>
      <vt:variant>
        <vt:lpwstr>https://www.hhs.gov/civil-rights/for-providers/laws-regulations-guidance/guidance-federal-financial-assistance-title-vi/index.html</vt:lpwstr>
      </vt:variant>
      <vt:variant>
        <vt:lpwstr/>
      </vt:variant>
      <vt:variant>
        <vt:i4>6619189</vt:i4>
      </vt:variant>
      <vt:variant>
        <vt:i4>51</vt:i4>
      </vt:variant>
      <vt:variant>
        <vt:i4>0</vt:i4>
      </vt:variant>
      <vt:variant>
        <vt:i4>5</vt:i4>
      </vt:variant>
      <vt:variant>
        <vt:lpwstr>https://www.huduser.gov/portal/datasets/il.html</vt:lpwstr>
      </vt:variant>
      <vt:variant>
        <vt:lpwstr/>
      </vt:variant>
      <vt:variant>
        <vt:i4>8323144</vt:i4>
      </vt:variant>
      <vt:variant>
        <vt:i4>48</vt:i4>
      </vt:variant>
      <vt:variant>
        <vt:i4>0</vt:i4>
      </vt:variant>
      <vt:variant>
        <vt:i4>5</vt:i4>
      </vt:variant>
      <vt:variant>
        <vt:lpwstr>H:\www.federalregister.gov\d\2016-29215</vt:lpwstr>
      </vt:variant>
      <vt:variant>
        <vt:lpwstr/>
      </vt:variant>
      <vt:variant>
        <vt:i4>1572881</vt:i4>
      </vt:variant>
      <vt:variant>
        <vt:i4>45</vt:i4>
      </vt:variant>
      <vt:variant>
        <vt:i4>0</vt:i4>
      </vt:variant>
      <vt:variant>
        <vt:i4>5</vt:i4>
      </vt:variant>
      <vt:variant>
        <vt:lpwstr>https://uscode.house.gov/view.xhtml?req=granuleid:USC-prelim-title5-section552a&amp;num=0&amp;edition=prelim</vt:lpwstr>
      </vt:variant>
      <vt:variant>
        <vt:lpwstr/>
      </vt:variant>
      <vt:variant>
        <vt:i4>65627</vt:i4>
      </vt:variant>
      <vt:variant>
        <vt:i4>42</vt:i4>
      </vt:variant>
      <vt:variant>
        <vt:i4>0</vt:i4>
      </vt:variant>
      <vt:variant>
        <vt:i4>5</vt:i4>
      </vt:variant>
      <vt:variant>
        <vt:lpwstr>https://www.hhs.gov/sites/default/files/ocr/privacy/hipaa/administrative/combined/hipaa-simplification-201303.pdf?language=es</vt:lpwstr>
      </vt:variant>
      <vt:variant>
        <vt:lpwstr/>
      </vt:variant>
      <vt:variant>
        <vt:i4>1376271</vt:i4>
      </vt:variant>
      <vt:variant>
        <vt:i4>39</vt:i4>
      </vt:variant>
      <vt:variant>
        <vt:i4>0</vt:i4>
      </vt:variant>
      <vt:variant>
        <vt:i4>5</vt:i4>
      </vt:variant>
      <vt:variant>
        <vt:lpwstr>https://data.census.gov/cedsci/table?q=language&amp;tid=ACSST1Y2019.S1601</vt:lpwstr>
      </vt:variant>
      <vt:variant>
        <vt:lpwstr/>
      </vt:variant>
      <vt:variant>
        <vt:i4>7012386</vt:i4>
      </vt:variant>
      <vt:variant>
        <vt:i4>36</vt:i4>
      </vt:variant>
      <vt:variant>
        <vt:i4>0</vt:i4>
      </vt:variant>
      <vt:variant>
        <vt:i4>5</vt:i4>
      </vt:variant>
      <vt:variant>
        <vt:lpwstr>https://projectredcap.org/wp-content/resources/REDCapTechnicalOverview.pdf</vt:lpwstr>
      </vt:variant>
      <vt:variant>
        <vt:lpwstr/>
      </vt:variant>
      <vt:variant>
        <vt:i4>6357031</vt:i4>
      </vt:variant>
      <vt:variant>
        <vt:i4>33</vt:i4>
      </vt:variant>
      <vt:variant>
        <vt:i4>0</vt:i4>
      </vt:variant>
      <vt:variant>
        <vt:i4>5</vt:i4>
      </vt:variant>
      <vt:variant>
        <vt:lpwstr>https://meps.ahrq.gov/mepsweb/data_stats/download_data_files_codebook.jsp?PUFId=H201&amp;varName=IPTEXP17</vt:lpwstr>
      </vt:variant>
      <vt:variant>
        <vt:lpwstr/>
      </vt:variant>
      <vt:variant>
        <vt:i4>1507423</vt:i4>
      </vt:variant>
      <vt:variant>
        <vt:i4>30</vt:i4>
      </vt:variant>
      <vt:variant>
        <vt:i4>0</vt:i4>
      </vt:variant>
      <vt:variant>
        <vt:i4>5</vt:i4>
      </vt:variant>
      <vt:variant>
        <vt:lpwstr>https://www.census.gov/programs-surveys/ahs/data/2019/ahs-2019-public-use-file--puf-.html</vt:lpwstr>
      </vt:variant>
      <vt:variant>
        <vt:lpwstr/>
      </vt:variant>
      <vt:variant>
        <vt:i4>2556013</vt:i4>
      </vt:variant>
      <vt:variant>
        <vt:i4>27</vt:i4>
      </vt:variant>
      <vt:variant>
        <vt:i4>0</vt:i4>
      </vt:variant>
      <vt:variant>
        <vt:i4>5</vt:i4>
      </vt:variant>
      <vt:variant>
        <vt:lpwstr>https://nchh.org/resource-library/report_aging-gracefully-in-place_an-evaluation-of-the-capability-of-the-capable-approach.pdf</vt:lpwstr>
      </vt:variant>
      <vt:variant>
        <vt:lpwstr/>
      </vt:variant>
      <vt:variant>
        <vt:i4>5963804</vt:i4>
      </vt:variant>
      <vt:variant>
        <vt:i4>24</vt:i4>
      </vt:variant>
      <vt:variant>
        <vt:i4>0</vt:i4>
      </vt:variant>
      <vt:variant>
        <vt:i4>5</vt:i4>
      </vt:variant>
      <vt:variant>
        <vt:lpwstr>https://sam.gov/opp/3d953aca9f88435faf816f314d870707/view</vt:lpwstr>
      </vt:variant>
      <vt:variant>
        <vt:lpwstr/>
      </vt:variant>
      <vt:variant>
        <vt:i4>6160465</vt:i4>
      </vt:variant>
      <vt:variant>
        <vt:i4>21</vt:i4>
      </vt:variant>
      <vt:variant>
        <vt:i4>0</vt:i4>
      </vt:variant>
      <vt:variant>
        <vt:i4>5</vt:i4>
      </vt:variant>
      <vt:variant>
        <vt:lpwstr>https://www.hud.gov/sites/dfiles/SPM/documents/HUDSTRATEGICPLAN2018-2022.pdf</vt:lpwstr>
      </vt:variant>
      <vt:variant>
        <vt:lpwstr/>
      </vt:variant>
      <vt:variant>
        <vt:i4>5439515</vt:i4>
      </vt:variant>
      <vt:variant>
        <vt:i4>18</vt:i4>
      </vt:variant>
      <vt:variant>
        <vt:i4>0</vt:i4>
      </vt:variant>
      <vt:variant>
        <vt:i4>5</vt:i4>
      </vt:variant>
      <vt:variant>
        <vt:lpwstr>https://uscode.house.gov/view.xhtml?req=(title:12%20section:1701z-6%20edition:prelim)</vt:lpwstr>
      </vt:variant>
      <vt:variant>
        <vt:lpwstr/>
      </vt:variant>
      <vt:variant>
        <vt:i4>5439516</vt:i4>
      </vt:variant>
      <vt:variant>
        <vt:i4>15</vt:i4>
      </vt:variant>
      <vt:variant>
        <vt:i4>0</vt:i4>
      </vt:variant>
      <vt:variant>
        <vt:i4>5</vt:i4>
      </vt:variant>
      <vt:variant>
        <vt:lpwstr>https://uscode.house.gov/view.xhtml?req=(title:12%20section:1701z-1%20edition:prelim)</vt:lpwstr>
      </vt:variant>
      <vt:variant>
        <vt:lpwstr/>
      </vt:variant>
      <vt:variant>
        <vt:i4>1966160</vt:i4>
      </vt:variant>
      <vt:variant>
        <vt:i4>12</vt:i4>
      </vt:variant>
      <vt:variant>
        <vt:i4>0</vt:i4>
      </vt:variant>
      <vt:variant>
        <vt:i4>5</vt:i4>
      </vt:variant>
      <vt:variant>
        <vt:lpwstr>https://www.hud.gov/about/mission</vt:lpwstr>
      </vt:variant>
      <vt:variant>
        <vt:lpwstr/>
      </vt:variant>
      <vt:variant>
        <vt:i4>2293843</vt:i4>
      </vt:variant>
      <vt:variant>
        <vt:i4>9</vt:i4>
      </vt:variant>
      <vt:variant>
        <vt:i4>0</vt:i4>
      </vt:variant>
      <vt:variant>
        <vt:i4>5</vt:i4>
      </vt:variant>
      <vt:variant>
        <vt:lpwstr>https://www.hud.gov/sites/dfiles/SPM/documents/OlderAdultModificationProgramupdated4.12.21_FR-6400-N-69%2819%29.pdf</vt:lpwstr>
      </vt:variant>
      <vt:variant>
        <vt:lpwstr/>
      </vt:variant>
      <vt:variant>
        <vt:i4>6815864</vt:i4>
      </vt:variant>
      <vt:variant>
        <vt:i4>6</vt:i4>
      </vt:variant>
      <vt:variant>
        <vt:i4>0</vt:i4>
      </vt:variant>
      <vt:variant>
        <vt:i4>5</vt:i4>
      </vt:variant>
      <vt:variant>
        <vt:lpwstr>https://www.cms.gov/files/document/2018-mcbs-methodology-report.pdf</vt:lpwstr>
      </vt:variant>
      <vt:variant>
        <vt:lpwstr/>
      </vt:variant>
      <vt:variant>
        <vt:i4>5374039</vt:i4>
      </vt:variant>
      <vt:variant>
        <vt:i4>3</vt:i4>
      </vt:variant>
      <vt:variant>
        <vt:i4>0</vt:i4>
      </vt:variant>
      <vt:variant>
        <vt:i4>5</vt:i4>
      </vt:variant>
      <vt:variant>
        <vt:lpwstr>https://fas.org/sgp/crs/misc/IF10343.pdf</vt:lpwstr>
      </vt:variant>
      <vt:variant>
        <vt:lpwstr/>
      </vt:variant>
      <vt:variant>
        <vt:i4>1835024</vt:i4>
      </vt:variant>
      <vt:variant>
        <vt:i4>0</vt:i4>
      </vt:variant>
      <vt:variant>
        <vt:i4>0</vt:i4>
      </vt:variant>
      <vt:variant>
        <vt:i4>5</vt:i4>
      </vt:variant>
      <vt:variant>
        <vt:lpwstr>https://www.cms.gov/Research-Statistics-Data-and-Systems/Statistics-Trends-and-Reports/NationalHealthExpendData/NationalHealthAccountsHistorical</vt:lpwstr>
      </vt:variant>
      <vt:variant>
        <vt:lpwstr/>
      </vt:variant>
      <vt:variant>
        <vt:i4>1376266</vt:i4>
      </vt:variant>
      <vt:variant>
        <vt:i4>9</vt:i4>
      </vt:variant>
      <vt:variant>
        <vt:i4>0</vt:i4>
      </vt:variant>
      <vt:variant>
        <vt:i4>5</vt:i4>
      </vt:variant>
      <vt:variant>
        <vt:lpwstr>https://www.fcc.gov/consumers/guides/711-telecommunications-relay-service</vt:lpwstr>
      </vt:variant>
      <vt:variant>
        <vt:lpwstr/>
      </vt:variant>
      <vt:variant>
        <vt:i4>65562</vt:i4>
      </vt:variant>
      <vt:variant>
        <vt:i4>6</vt:i4>
      </vt:variant>
      <vt:variant>
        <vt:i4>0</vt:i4>
      </vt:variant>
      <vt:variant>
        <vt:i4>5</vt:i4>
      </vt:variant>
      <vt:variant>
        <vt:lpwstr>https://www.legallanguage.com/legal-articles/family-interpreter/</vt:lpwstr>
      </vt:variant>
      <vt:variant>
        <vt:lpwstr/>
      </vt:variant>
      <vt:variant>
        <vt:i4>6422655</vt:i4>
      </vt:variant>
      <vt:variant>
        <vt:i4>3</vt:i4>
      </vt:variant>
      <vt:variant>
        <vt:i4>0</vt:i4>
      </vt:variant>
      <vt:variant>
        <vt:i4>5</vt:i4>
      </vt:variant>
      <vt:variant>
        <vt:lpwstr>https://www.affordablelanguageservices.com/why-medical-interpreting-shouldnt-be-left-to-family-members/</vt:lpwstr>
      </vt:variant>
      <vt:variant>
        <vt:lpwstr/>
      </vt:variant>
      <vt:variant>
        <vt:i4>7209077</vt:i4>
      </vt:variant>
      <vt:variant>
        <vt:i4>0</vt:i4>
      </vt:variant>
      <vt:variant>
        <vt:i4>0</vt:i4>
      </vt:variant>
      <vt:variant>
        <vt:i4>5</vt:i4>
      </vt:variant>
      <vt:variant>
        <vt:lpwstr>http://www.federalregister.gov/d/2016-29215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Kawecki</dc:creator>
  <cp:keywords/>
  <dc:description/>
  <cp:lastModifiedBy>Guido, Anna P</cp:lastModifiedBy>
  <cp:revision>2</cp:revision>
  <cp:lastPrinted>2021-06-16T14:59:00Z</cp:lastPrinted>
  <dcterms:created xsi:type="dcterms:W3CDTF">2022-01-03T18:08:00Z</dcterms:created>
  <dcterms:modified xsi:type="dcterms:W3CDTF">2022-01-03T18:08:00Z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