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2F52FFFA" w14:textId="77777777">
      <w:pPr>
        <w:jc w:val="center"/>
        <w:rPr>
          <w:b/>
          <w:sz w:val="24"/>
          <w:szCs w:val="24"/>
        </w:rPr>
      </w:pPr>
      <w:r w:rsidRPr="00167E53">
        <w:rPr>
          <w:b/>
          <w:sz w:val="24"/>
          <w:szCs w:val="24"/>
        </w:rPr>
        <w:t>Supporting Statement for Paperwork Reduction Act Submissions</w:t>
      </w:r>
    </w:p>
    <w:p w:rsidR="00167E53" w:rsidRPr="00167E53" w:rsidP="00364EEF" w14:paraId="1E32EF9E" w14:textId="77777777">
      <w:pPr>
        <w:jc w:val="center"/>
        <w:rPr>
          <w:b/>
          <w:sz w:val="24"/>
          <w:szCs w:val="24"/>
        </w:rPr>
      </w:pPr>
      <w:r>
        <w:rPr>
          <w:b/>
          <w:sz w:val="24"/>
          <w:szCs w:val="24"/>
        </w:rPr>
        <w:t>(</w:t>
      </w:r>
      <w:r w:rsidRPr="00364EEF" w:rsidR="00364EEF">
        <w:rPr>
          <w:b/>
          <w:sz w:val="24"/>
          <w:szCs w:val="24"/>
        </w:rPr>
        <w:t>Fair Housing Initiatives Program and Grant Application and Monitoring Reports</w:t>
      </w:r>
      <w:r w:rsidR="00364EEF">
        <w:rPr>
          <w:b/>
          <w:sz w:val="24"/>
          <w:szCs w:val="24"/>
        </w:rPr>
        <w:t>)</w:t>
      </w:r>
    </w:p>
    <w:p w:rsidR="00167E53" w:rsidRPr="00167E53" w14:paraId="231F33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 xml:space="preserve">(OMB# </w:t>
      </w:r>
      <w:r w:rsidR="002B257F">
        <w:rPr>
          <w:b/>
          <w:sz w:val="24"/>
          <w:szCs w:val="24"/>
        </w:rPr>
        <w:t>2529-0033</w:t>
      </w:r>
      <w:r w:rsidRPr="00167E53">
        <w:rPr>
          <w:b/>
          <w:sz w:val="24"/>
          <w:szCs w:val="24"/>
        </w:rPr>
        <w:t>)</w:t>
      </w:r>
    </w:p>
    <w:p w:rsidR="009E13B1" w:rsidRPr="00167E53" w:rsidP="006C7FAE" w14:paraId="7EF64B77" w14:textId="77777777">
      <w:pPr>
        <w:rPr>
          <w:b/>
          <w:sz w:val="24"/>
          <w:szCs w:val="24"/>
        </w:rPr>
      </w:pPr>
    </w:p>
    <w:p w:rsidR="009E13B1" w:rsidRPr="006C7FAE" w14:paraId="49BA1AF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03A8CC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14:paraId="7DC94740"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B557F9">
        <w:rPr>
          <w:sz w:val="24"/>
          <w:szCs w:val="24"/>
        </w:rPr>
        <w:t xml:space="preserve"> </w:t>
      </w:r>
    </w:p>
    <w:p w:rsidR="00953989" w:rsidP="00B557F9" w14:paraId="2DBF6F31" w14:textId="77777777">
      <w:pPr>
        <w:keepLines/>
        <w:tabs>
          <w:tab w:val="left" w:pos="360"/>
        </w:tabs>
        <w:spacing w:after="80"/>
        <w:ind w:left="360" w:hanging="360"/>
        <w:rPr>
          <w:sz w:val="24"/>
          <w:szCs w:val="24"/>
        </w:rPr>
      </w:pPr>
      <w:r>
        <w:rPr>
          <w:sz w:val="24"/>
          <w:szCs w:val="24"/>
        </w:rPr>
        <w:tab/>
      </w:r>
    </w:p>
    <w:p w:rsidR="00B557F9" w:rsidRPr="00B557F9" w:rsidP="00B557F9" w14:paraId="241977E7" w14:textId="77777777">
      <w:pPr>
        <w:keepLines/>
        <w:tabs>
          <w:tab w:val="left" w:pos="360"/>
        </w:tabs>
        <w:spacing w:after="80"/>
        <w:ind w:left="360" w:hanging="360"/>
        <w:rPr>
          <w:sz w:val="24"/>
          <w:szCs w:val="24"/>
        </w:rPr>
      </w:pPr>
      <w:r>
        <w:rPr>
          <w:sz w:val="24"/>
          <w:szCs w:val="24"/>
        </w:rPr>
        <w:tab/>
      </w:r>
      <w:r w:rsidRPr="00B557F9">
        <w:rPr>
          <w:sz w:val="24"/>
          <w:szCs w:val="24"/>
        </w:rPr>
        <w:t xml:space="preserve">The Fair Housing Initiatives Program Division in HUD Headquarters will use the information provided in FHIP grant applications to objectively evaluate applicants on how well they meet the selection criteria set out in the Notice of Funding Opportunity (NOFO), and rate/rank the highest quality applicants for funding.  </w:t>
      </w:r>
      <w:r w:rsidR="00E9066E">
        <w:rPr>
          <w:sz w:val="24"/>
          <w:szCs w:val="24"/>
        </w:rPr>
        <w:t>I</w:t>
      </w:r>
      <w:r w:rsidRPr="00B557F9">
        <w:rPr>
          <w:sz w:val="24"/>
          <w:szCs w:val="24"/>
        </w:rPr>
        <w:t>nformation collection is also necessary to monitor selected grantees for compliance and effectiveness and to measure performance.</w:t>
      </w:r>
      <w:r w:rsidR="0062710B">
        <w:rPr>
          <w:sz w:val="24"/>
          <w:szCs w:val="24"/>
        </w:rPr>
        <w:t xml:space="preserve">  </w:t>
      </w:r>
      <w:r w:rsidRPr="00B557F9">
        <w:rPr>
          <w:sz w:val="24"/>
          <w:szCs w:val="24"/>
        </w:rPr>
        <w:t>This P</w:t>
      </w:r>
      <w:r w:rsidR="005523E2">
        <w:rPr>
          <w:sz w:val="24"/>
          <w:szCs w:val="24"/>
        </w:rPr>
        <w:t>aperwork Reduction Act (P</w:t>
      </w:r>
      <w:r w:rsidRPr="00B557F9">
        <w:rPr>
          <w:sz w:val="24"/>
          <w:szCs w:val="24"/>
        </w:rPr>
        <w:t>RA</w:t>
      </w:r>
      <w:r w:rsidR="005523E2">
        <w:rPr>
          <w:sz w:val="24"/>
          <w:szCs w:val="24"/>
        </w:rPr>
        <w:t>)</w:t>
      </w:r>
      <w:r w:rsidRPr="00B557F9">
        <w:rPr>
          <w:sz w:val="24"/>
          <w:szCs w:val="24"/>
        </w:rPr>
        <w:t xml:space="preserve"> submission is an extension to an existing approved collection that allows the Fair Housing Initiatives Program (FHIP) to collect grant applications from organizations who are applying for grant awards under the FHIP. (see 24 CFR 125.105). The collection is used to assist the Department in selecting the highest ranked applications for funding awards to carry out fair housing enforcement and/or education and outreach activities in support of the Office of Fair Housing and Equal Opportunity (FHEO) mission. The collection also allows the FHIP </w:t>
      </w:r>
      <w:r w:rsidR="00E9066E">
        <w:rPr>
          <w:sz w:val="24"/>
          <w:szCs w:val="24"/>
        </w:rPr>
        <w:t xml:space="preserve">staff </w:t>
      </w:r>
      <w:r w:rsidRPr="00B557F9">
        <w:rPr>
          <w:sz w:val="24"/>
          <w:szCs w:val="24"/>
        </w:rPr>
        <w:t>to monitor grantee performance through the collection requirement of quarterly performance report submissions and a final report.</w:t>
      </w:r>
    </w:p>
    <w:p w:rsidR="009E13B1" w:rsidRPr="00B557F9" w14:paraId="0019AF3D" w14:textId="77777777">
      <w:pPr>
        <w:tabs>
          <w:tab w:val="left" w:pos="360"/>
        </w:tabs>
        <w:ind w:left="360" w:hanging="360"/>
        <w:rPr>
          <w:sz w:val="24"/>
          <w:szCs w:val="24"/>
        </w:rPr>
      </w:pPr>
    </w:p>
    <w:p w:rsidR="009E13B1" w:rsidRPr="006C7FAE" w14:paraId="74647439"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953989" w:rsidP="0062710B" w14:paraId="4CCBB055" w14:textId="77777777">
      <w:pPr>
        <w:tabs>
          <w:tab w:val="left" w:pos="739"/>
          <w:tab w:val="right" w:pos="6337"/>
        </w:tabs>
        <w:overflowPunct/>
        <w:ind w:left="360"/>
        <w:textAlignment w:val="auto"/>
        <w:rPr>
          <w:sz w:val="24"/>
          <w:szCs w:val="24"/>
        </w:rPr>
      </w:pPr>
    </w:p>
    <w:p w:rsidR="0062710B" w:rsidRPr="0062710B" w:rsidP="0062710B" w14:paraId="3D389DA5" w14:textId="77777777">
      <w:pPr>
        <w:tabs>
          <w:tab w:val="left" w:pos="739"/>
          <w:tab w:val="right" w:pos="6337"/>
        </w:tabs>
        <w:overflowPunct/>
        <w:ind w:left="360"/>
        <w:textAlignment w:val="auto"/>
        <w:rPr>
          <w:sz w:val="24"/>
          <w:szCs w:val="24"/>
        </w:rPr>
      </w:pPr>
      <w:r w:rsidRPr="0062710B">
        <w:rPr>
          <w:sz w:val="24"/>
          <w:szCs w:val="24"/>
        </w:rPr>
        <w:t xml:space="preserve">The information collection is used to assess the qualifications of applicants for funding under the FHIP to carry out fair housing enforcement and/or education and outreach activities under the following initiatives: Education and Outreach, the Private Enforcement Initiatives, and the Fair Housing Organizations Initiative, or as further determined under the appropriate notices of funding </w:t>
      </w:r>
      <w:r w:rsidR="005523E2">
        <w:rPr>
          <w:sz w:val="24"/>
          <w:szCs w:val="24"/>
        </w:rPr>
        <w:t>opportunity</w:t>
      </w:r>
      <w:r w:rsidRPr="0062710B">
        <w:rPr>
          <w:sz w:val="24"/>
          <w:szCs w:val="24"/>
        </w:rPr>
        <w:t xml:space="preserve">.  Information is also collected to monitor grants and grant funds through the requirement of quarterly and final annual reporting. </w:t>
      </w:r>
    </w:p>
    <w:p w:rsidR="0062710B" w:rsidRPr="0062710B" w:rsidP="0062710B" w14:paraId="4004AAF1" w14:textId="77777777">
      <w:pPr>
        <w:tabs>
          <w:tab w:val="left" w:pos="739"/>
          <w:tab w:val="right" w:pos="6337"/>
        </w:tabs>
        <w:overflowPunct/>
        <w:textAlignment w:val="auto"/>
        <w:rPr>
          <w:sz w:val="24"/>
          <w:szCs w:val="24"/>
        </w:rPr>
      </w:pPr>
    </w:p>
    <w:p w:rsidR="009E13B1" w:rsidP="0062710B" w14:paraId="0E1EBDE4" w14:textId="77777777">
      <w:pPr>
        <w:keepLines/>
        <w:tabs>
          <w:tab w:val="left" w:pos="360"/>
          <w:tab w:val="left" w:pos="720"/>
        </w:tabs>
        <w:ind w:left="360"/>
        <w:rPr>
          <w:sz w:val="24"/>
        </w:rPr>
      </w:pPr>
      <w:r w:rsidRPr="0062710B">
        <w:rPr>
          <w:sz w:val="24"/>
        </w:rPr>
        <w:t>The collected data is used by a Technical Evaluation Panel (TEP) and other HUD officials assigned to evaluate FHIP NOFO applications, as well as Senior Management officials tasked with making final funding decisions.  Eligible applicants submit electronic applications (unless waived in accordance with established NOFO procedures) to the Department of Housing and Urban Development, Office of Fair Housing and Equal Opportunity, Fair Housing Initiatives Program Division in accordance with the requirements described in the NOFO, for which applicants are rated and ranked, and selections made accordingly.  Additionally, the data will be used by Headquarters to assess performance measures of awarded grantees.</w:t>
      </w:r>
    </w:p>
    <w:p w:rsidR="0062710B" w:rsidRPr="006C7FAE" w:rsidP="0062710B" w14:paraId="4C677B3D" w14:textId="77777777">
      <w:pPr>
        <w:keepLines/>
        <w:tabs>
          <w:tab w:val="left" w:pos="360"/>
          <w:tab w:val="left" w:pos="720"/>
        </w:tabs>
        <w:ind w:left="360"/>
        <w:rPr>
          <w:sz w:val="24"/>
          <w:szCs w:val="24"/>
        </w:rPr>
      </w:pPr>
    </w:p>
    <w:p w:rsidR="009E13B1" w:rsidRPr="006C7FAE" w14:paraId="38EFC1D4"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53989" w14:paraId="60EBC6B8" w14:textId="77777777">
      <w:pPr>
        <w:tabs>
          <w:tab w:val="left" w:pos="360"/>
        </w:tabs>
        <w:ind w:left="360" w:hanging="360"/>
        <w:rPr>
          <w:sz w:val="24"/>
          <w:szCs w:val="24"/>
        </w:rPr>
      </w:pPr>
      <w:r>
        <w:rPr>
          <w:sz w:val="24"/>
          <w:szCs w:val="24"/>
        </w:rPr>
        <w:tab/>
      </w:r>
    </w:p>
    <w:p w:rsidR="009E13B1" w14:paraId="50335F7A" w14:textId="77777777">
      <w:pPr>
        <w:tabs>
          <w:tab w:val="left" w:pos="360"/>
        </w:tabs>
        <w:ind w:left="360" w:hanging="360"/>
        <w:rPr>
          <w:sz w:val="24"/>
        </w:rPr>
      </w:pPr>
      <w:r>
        <w:rPr>
          <w:sz w:val="24"/>
          <w:szCs w:val="24"/>
        </w:rPr>
        <w:tab/>
      </w:r>
      <w:r w:rsidR="0062710B">
        <w:rPr>
          <w:sz w:val="24"/>
          <w:szCs w:val="24"/>
        </w:rPr>
        <w:t>E</w:t>
      </w:r>
      <w:r w:rsidR="0062710B">
        <w:rPr>
          <w:sz w:val="24"/>
        </w:rPr>
        <w:t xml:space="preserve">lectronic forms were implemented for the 2005 fiscal year under the E-Grants initiatives and will be continued, as this electronic application submission process is used throughout most agencies in the Federal Government.  The FHIP developed supplemental </w:t>
      </w:r>
      <w:r w:rsidR="00E9066E">
        <w:rPr>
          <w:sz w:val="24"/>
        </w:rPr>
        <w:t xml:space="preserve">report </w:t>
      </w:r>
      <w:r w:rsidR="0062710B">
        <w:rPr>
          <w:sz w:val="24"/>
        </w:rPr>
        <w:t>forms to capture enforcement activity outcomes that happen outside of the general reporting.  These forms cover outcomes of grant activity when the FHIP</w:t>
      </w:r>
      <w:r w:rsidR="005523E2">
        <w:rPr>
          <w:sz w:val="24"/>
        </w:rPr>
        <w:t xml:space="preserve"> agencies</w:t>
      </w:r>
      <w:r w:rsidR="0062710B">
        <w:rPr>
          <w:sz w:val="24"/>
        </w:rPr>
        <w:t xml:space="preserve"> settle, conciliate, or reach some other type of outcome.  This information allows FHIP to monitor activities associated with the grant.</w:t>
      </w:r>
    </w:p>
    <w:p w:rsidR="0062710B" w:rsidRPr="006C7FAE" w14:paraId="5DE2B4F8" w14:textId="77777777">
      <w:pPr>
        <w:tabs>
          <w:tab w:val="left" w:pos="360"/>
        </w:tabs>
        <w:ind w:left="360" w:hanging="360"/>
        <w:rPr>
          <w:sz w:val="24"/>
          <w:szCs w:val="24"/>
        </w:rPr>
      </w:pPr>
    </w:p>
    <w:p w:rsidR="009E13B1" w:rsidRPr="006C7FAE" w14:paraId="5D456C47"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953989" w14:paraId="4B57C5FF" w14:textId="77777777">
      <w:pPr>
        <w:keepLines/>
        <w:tabs>
          <w:tab w:val="left" w:pos="360"/>
          <w:tab w:val="left" w:pos="720"/>
        </w:tabs>
        <w:ind w:left="360"/>
        <w:rPr>
          <w:sz w:val="24"/>
        </w:rPr>
      </w:pPr>
    </w:p>
    <w:p w:rsidR="009E13B1" w14:paraId="01539830" w14:textId="77777777">
      <w:pPr>
        <w:keepLines/>
        <w:tabs>
          <w:tab w:val="left" w:pos="360"/>
          <w:tab w:val="left" w:pos="720"/>
        </w:tabs>
        <w:ind w:left="360"/>
        <w:rPr>
          <w:sz w:val="24"/>
        </w:rPr>
      </w:pPr>
      <w:r>
        <w:rPr>
          <w:sz w:val="24"/>
        </w:rPr>
        <w:t>There is no duplication of information. FHIP used various methods to assure that there is no duplication for this information collection</w:t>
      </w:r>
      <w:r w:rsidR="003F26F1">
        <w:rPr>
          <w:sz w:val="24"/>
        </w:rPr>
        <w:t>.  Included in this duplication process is the</w:t>
      </w:r>
      <w:r>
        <w:rPr>
          <w:sz w:val="24"/>
        </w:rPr>
        <w:t xml:space="preserve"> Departmental Clearance process; a 2023 Federal Register Notice seeking comments from the public including prospective FHIP NOFO applicants and grantees</w:t>
      </w:r>
      <w:r w:rsidR="003F26F1">
        <w:rPr>
          <w:sz w:val="24"/>
        </w:rPr>
        <w:t>;</w:t>
      </w:r>
      <w:r>
        <w:rPr>
          <w:sz w:val="24"/>
        </w:rPr>
        <w:t xml:space="preserve"> and </w:t>
      </w:r>
      <w:r w:rsidR="003F26F1">
        <w:rPr>
          <w:sz w:val="24"/>
        </w:rPr>
        <w:t xml:space="preserve">how the </w:t>
      </w:r>
      <w:r>
        <w:rPr>
          <w:sz w:val="24"/>
        </w:rPr>
        <w:t>FHIP works closely with the Grants Management and Oversight Division to improve NOFO processes including streamlining duplication.</w:t>
      </w:r>
    </w:p>
    <w:p w:rsidR="003F26F1" w:rsidRPr="006C7FAE" w14:paraId="7F022706" w14:textId="77777777">
      <w:pPr>
        <w:keepLines/>
        <w:tabs>
          <w:tab w:val="left" w:pos="360"/>
          <w:tab w:val="left" w:pos="720"/>
        </w:tabs>
        <w:ind w:left="360"/>
        <w:rPr>
          <w:sz w:val="24"/>
          <w:szCs w:val="24"/>
        </w:rPr>
      </w:pPr>
    </w:p>
    <w:p w:rsidR="009E13B1" w:rsidRPr="006C7FAE" w14:paraId="10A01D3A"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953989" w14:paraId="698DE574" w14:textId="77777777">
      <w:pPr>
        <w:tabs>
          <w:tab w:val="left" w:pos="360"/>
        </w:tabs>
        <w:ind w:left="360" w:hanging="360"/>
        <w:rPr>
          <w:sz w:val="24"/>
          <w:szCs w:val="24"/>
        </w:rPr>
      </w:pPr>
      <w:r>
        <w:rPr>
          <w:sz w:val="24"/>
          <w:szCs w:val="24"/>
        </w:rPr>
        <w:tab/>
      </w:r>
    </w:p>
    <w:p w:rsidR="009E13B1" w14:paraId="03A87381" w14:textId="77777777">
      <w:pPr>
        <w:tabs>
          <w:tab w:val="left" w:pos="360"/>
        </w:tabs>
        <w:ind w:left="360" w:hanging="360"/>
        <w:rPr>
          <w:sz w:val="24"/>
          <w:szCs w:val="24"/>
        </w:rPr>
      </w:pPr>
      <w:r>
        <w:rPr>
          <w:sz w:val="24"/>
          <w:szCs w:val="24"/>
        </w:rPr>
        <w:tab/>
      </w:r>
      <w:r w:rsidRPr="003F26F1" w:rsidR="003F26F1">
        <w:rPr>
          <w:sz w:val="24"/>
          <w:szCs w:val="24"/>
        </w:rPr>
        <w:t>The collection of information involves Qualified Fair Housing Organizations (QFHOs); Fair Housing Organizations (FHOs); public or private non-profit organizations or institutions and other public or private entities that are working to prevent or eliminate discriminatory housing practices; State and local governments; and Fair Housing Assistance Program agencies.  Typically, public and private non-profit fair housing organizations are small entities. Therefore, we have attempted to minimize the burden by limiting the information requested necessary for evaluating and certifying that FHIP funds will not be used to settle a claim, satisfy a judgment, or fulfill a court order in any defensive litigation</w:t>
      </w:r>
      <w:r w:rsidRPr="003F26F1" w:rsidR="003F26F1">
        <w:rPr>
          <w:b/>
          <w:bCs/>
          <w:sz w:val="24"/>
          <w:szCs w:val="24"/>
        </w:rPr>
        <w:t xml:space="preserve">.  </w:t>
      </w:r>
      <w:r w:rsidRPr="003F26F1" w:rsidR="003F26F1">
        <w:rPr>
          <w:bCs/>
          <w:sz w:val="24"/>
          <w:szCs w:val="24"/>
        </w:rPr>
        <w:t xml:space="preserve">In addition, applicants may provide up to a 10-page Rating Factor response (requested by the applicants); HUD has eliminated one rating factor to minimize the burden on small entities however, the minimum page limit for the rating factors is at the applicant’s discretion.  </w:t>
      </w:r>
      <w:r w:rsidRPr="003F26F1" w:rsidR="003F26F1">
        <w:rPr>
          <w:b/>
          <w:bCs/>
          <w:sz w:val="24"/>
          <w:szCs w:val="24"/>
        </w:rPr>
        <w:t xml:space="preserve"> </w:t>
      </w:r>
      <w:r w:rsidRPr="003F26F1" w:rsidR="003F26F1">
        <w:rPr>
          <w:sz w:val="24"/>
          <w:szCs w:val="24"/>
        </w:rPr>
        <w:t>The suggested formats for quarterly and/or final reports, enforcement logs, and supplemental outcome information continues the reduction of the amount of narrative information, and the reduction of the duplication of previous submissions.</w:t>
      </w:r>
    </w:p>
    <w:p w:rsidR="003F26F1" w:rsidRPr="003F26F1" w14:paraId="7063BF9A" w14:textId="77777777">
      <w:pPr>
        <w:tabs>
          <w:tab w:val="left" w:pos="360"/>
        </w:tabs>
        <w:ind w:left="360" w:hanging="360"/>
        <w:rPr>
          <w:sz w:val="24"/>
          <w:szCs w:val="24"/>
        </w:rPr>
      </w:pPr>
    </w:p>
    <w:p w:rsidR="009E13B1" w:rsidRPr="006C7FAE" w14:paraId="3DBA6970" w14:textId="77777777">
      <w:pPr>
        <w:keepLines/>
        <w:tabs>
          <w:tab w:val="left" w:pos="360"/>
        </w:tabs>
        <w:spacing w:after="80"/>
        <w:ind w:left="360" w:hanging="360"/>
        <w:rPr>
          <w:sz w:val="24"/>
          <w:szCs w:val="24"/>
        </w:rPr>
      </w:pPr>
      <w:r w:rsidRPr="003F26F1">
        <w:rPr>
          <w:sz w:val="24"/>
          <w:szCs w:val="24"/>
        </w:rPr>
        <w:t>6.</w:t>
      </w:r>
      <w:r w:rsidRPr="003F26F1">
        <w:rPr>
          <w:sz w:val="24"/>
          <w:szCs w:val="24"/>
        </w:rPr>
        <w:tab/>
      </w:r>
      <w:r w:rsidRPr="006C7FAE">
        <w:rPr>
          <w:sz w:val="24"/>
          <w:szCs w:val="24"/>
        </w:rPr>
        <w:t>Describe the consequence to Federal program or policy activities if the collection is not conducted or is conducted less frequently, as well as any technical or legal obstacles to reducing burden.</w:t>
      </w:r>
    </w:p>
    <w:p w:rsidR="00953989" w:rsidP="003F26F1" w14:paraId="336BB625" w14:textId="77777777">
      <w:pPr>
        <w:overflowPunct/>
        <w:ind w:left="360"/>
        <w:textAlignment w:val="auto"/>
        <w:rPr>
          <w:sz w:val="24"/>
        </w:rPr>
      </w:pPr>
    </w:p>
    <w:p w:rsidR="003F26F1" w:rsidRPr="003F26F1" w:rsidP="003F26F1" w14:paraId="463775B8" w14:textId="77777777">
      <w:pPr>
        <w:overflowPunct/>
        <w:ind w:left="360"/>
        <w:textAlignment w:val="auto"/>
        <w:rPr>
          <w:sz w:val="24"/>
        </w:rPr>
      </w:pPr>
      <w:r w:rsidRPr="003F26F1">
        <w:rPr>
          <w:sz w:val="24"/>
        </w:rPr>
        <w:t xml:space="preserve">Without benefit of the information requested and certified from applicants, the Department would have no means for distinguishing proposals with a high probability for success in carrying out </w:t>
      </w:r>
      <w:r w:rsidRPr="003F26F1">
        <w:rPr>
          <w:sz w:val="24"/>
        </w:rPr>
        <w:t>projects, activities and tasks to increase compliance with the Fair Housing Act and with substantially equivalent State and local fair housing laws from those which may prove to be troublesome.  In addition, the Department could not ensure a fair competition for funding or certify that FHIP funds are used in accordance with statutes and regulation.</w:t>
      </w:r>
    </w:p>
    <w:p w:rsidR="003F26F1" w:rsidRPr="003F26F1" w:rsidP="003F26F1" w14:paraId="58ABEA3C" w14:textId="77777777">
      <w:pPr>
        <w:overflowPunct/>
        <w:ind w:firstLine="734"/>
        <w:textAlignment w:val="auto"/>
        <w:rPr>
          <w:sz w:val="24"/>
        </w:rPr>
      </w:pPr>
    </w:p>
    <w:p w:rsidR="003F26F1" w:rsidRPr="003F26F1" w:rsidP="003F26F1" w14:paraId="5645EA32" w14:textId="77777777">
      <w:pPr>
        <w:overflowPunct/>
        <w:ind w:left="360"/>
        <w:textAlignment w:val="auto"/>
        <w:rPr>
          <w:sz w:val="24"/>
        </w:rPr>
      </w:pPr>
      <w:r w:rsidRPr="003F26F1">
        <w:rPr>
          <w:sz w:val="24"/>
        </w:rPr>
        <w:t>Without record-keeping, progress and financial reports, the Department would have no means to measure how successful individual organizations are in carrying out their projects and managing FHIP funds.  In addition, without record-keeping, the Department would not be able to assess the performance of the program overall in delivering services to enforce fair housing law and provide education and outreach on fair housing rights and responsibilities and to ensure transparency of the program’s activities.</w:t>
      </w:r>
    </w:p>
    <w:p w:rsidR="009E13B1" w:rsidRPr="006C7FAE" w14:paraId="5336574E" w14:textId="77777777">
      <w:pPr>
        <w:keepLines/>
        <w:tabs>
          <w:tab w:val="left" w:pos="360"/>
          <w:tab w:val="left" w:pos="720"/>
        </w:tabs>
        <w:ind w:left="360"/>
        <w:rPr>
          <w:sz w:val="24"/>
          <w:szCs w:val="24"/>
        </w:rPr>
      </w:pPr>
    </w:p>
    <w:p w:rsidR="009E13B1" w:rsidRPr="006C7FAE" w14:paraId="66C02EB0"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009E13B1" w:rsidRPr="006C7FAE" w14:paraId="75CC1098"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bookmarkStart w:id="0" w:name="_Hlk119998144"/>
      <w:r w:rsidRPr="002B257F" w:rsidR="003F26F1">
        <w:rPr>
          <w:b/>
          <w:bCs/>
          <w:sz w:val="24"/>
          <w:szCs w:val="24"/>
        </w:rPr>
        <w:t>Not Applicable</w:t>
      </w:r>
      <w:bookmarkEnd w:id="0"/>
    </w:p>
    <w:p w:rsidR="009E13B1" w:rsidRPr="006C7FAE" w14:paraId="30A57E52"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2B257F" w:rsidR="003F26F1">
        <w:rPr>
          <w:b/>
          <w:bCs/>
          <w:sz w:val="24"/>
          <w:szCs w:val="24"/>
        </w:rPr>
        <w:t>Not Applicable</w:t>
      </w:r>
    </w:p>
    <w:p w:rsidR="009E13B1" w:rsidRPr="002B257F" w14:paraId="57EBE73B" w14:textId="77777777">
      <w:pPr>
        <w:numPr>
          <w:ilvl w:val="0"/>
          <w:numId w:val="14"/>
        </w:numPr>
        <w:tabs>
          <w:tab w:val="left" w:pos="600"/>
        </w:tabs>
        <w:rPr>
          <w:b/>
          <w:bCs/>
          <w:sz w:val="24"/>
          <w:szCs w:val="24"/>
        </w:rPr>
      </w:pPr>
      <w:r w:rsidRPr="006C7FAE">
        <w:rPr>
          <w:sz w:val="24"/>
          <w:szCs w:val="24"/>
        </w:rPr>
        <w:t xml:space="preserve">requiring respondents to submit more than an original and two copies of any document; </w:t>
      </w:r>
      <w:r w:rsidRPr="002B257F" w:rsidR="003F26F1">
        <w:rPr>
          <w:b/>
          <w:bCs/>
          <w:sz w:val="24"/>
          <w:szCs w:val="24"/>
        </w:rPr>
        <w:t>Not Applicable</w:t>
      </w:r>
    </w:p>
    <w:p w:rsidR="009E13B1" w:rsidRPr="006C7FAE" w14:paraId="10129B4D"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2B257F" w:rsidR="003F26F1">
        <w:rPr>
          <w:b/>
          <w:bCs/>
          <w:sz w:val="24"/>
          <w:szCs w:val="24"/>
        </w:rPr>
        <w:t>Not Applicable</w:t>
      </w:r>
    </w:p>
    <w:p w:rsidR="009E13B1" w:rsidRPr="006C7FAE" w14:paraId="34DC9CC9"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2B257F" w:rsidR="003F26F1">
        <w:rPr>
          <w:b/>
          <w:bCs/>
          <w:sz w:val="24"/>
          <w:szCs w:val="24"/>
        </w:rPr>
        <w:t>Not Applicable</w:t>
      </w:r>
    </w:p>
    <w:p w:rsidR="009E13B1" w:rsidRPr="006C7FAE" w14:paraId="0E778D42"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Pr="002B257F" w:rsidR="002B257F">
        <w:rPr>
          <w:b/>
          <w:bCs/>
          <w:sz w:val="24"/>
          <w:szCs w:val="24"/>
        </w:rPr>
        <w:t>Not Applicable</w:t>
      </w:r>
    </w:p>
    <w:p w:rsidR="009E13B1" w:rsidRPr="006C7FAE" w14:paraId="1B72E655"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E13B1" w:rsidRPr="006C7FAE" w14:paraId="21FB1E0D"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2B257F" w:rsidR="002B257F">
        <w:rPr>
          <w:sz w:val="24"/>
          <w:szCs w:val="24"/>
        </w:rPr>
        <w:t xml:space="preserve"> </w:t>
      </w:r>
      <w:r w:rsidRPr="002B257F" w:rsidR="002B257F">
        <w:rPr>
          <w:b/>
          <w:bCs/>
          <w:sz w:val="24"/>
          <w:szCs w:val="24"/>
        </w:rPr>
        <w:t>Not Applicable</w:t>
      </w:r>
    </w:p>
    <w:p w:rsidR="00953989" w:rsidP="00953989" w14:paraId="39BCA407" w14:textId="77777777">
      <w:pPr>
        <w:pStyle w:val="BodyTextIndent2"/>
        <w:spacing w:after="120"/>
        <w:ind w:left="540" w:firstLine="0"/>
        <w:rPr>
          <w:sz w:val="24"/>
          <w:szCs w:val="24"/>
        </w:rPr>
      </w:pPr>
    </w:p>
    <w:p w:rsidR="00364EEF" w:rsidRPr="005C1E6E" w:rsidP="00953989" w14:paraId="14ED6914" w14:textId="77777777">
      <w:pPr>
        <w:pStyle w:val="BodyTextIndent2"/>
        <w:spacing w:after="120"/>
        <w:ind w:left="540" w:firstLine="0"/>
        <w:rPr>
          <w:sz w:val="24"/>
          <w:szCs w:val="24"/>
        </w:rPr>
      </w:pPr>
      <w:r w:rsidRPr="005C1E6E">
        <w:rPr>
          <w:sz w:val="24"/>
          <w:szCs w:val="24"/>
        </w:rPr>
        <w:t>There are no special circumstances that would cause these information collections to be conducted inappropriately.</w:t>
      </w:r>
    </w:p>
    <w:p w:rsidR="009E13B1" w:rsidRPr="006C7FAE" w14:paraId="72E4D125" w14:textId="77777777">
      <w:pPr>
        <w:tabs>
          <w:tab w:val="left" w:pos="360"/>
        </w:tabs>
        <w:ind w:left="360" w:hanging="360"/>
        <w:rPr>
          <w:sz w:val="24"/>
          <w:szCs w:val="24"/>
        </w:rPr>
      </w:pPr>
    </w:p>
    <w:p w:rsidR="009E13B1" w:rsidRPr="006C7FAE" w14:paraId="4F387113"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w:t>
      </w:r>
      <w:r w:rsidRPr="006C7FAE" w:rsidR="00A60F6A">
        <w:rPr>
          <w:sz w:val="24"/>
          <w:szCs w:val="24"/>
        </w:rPr>
        <w:t>publications</w:t>
      </w:r>
      <w:r w:rsidRPr="006C7FAE">
        <w:rPr>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E13B1" w:rsidRPr="006C7FAE" w14:paraId="4356D0D3"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9E13B1" w:rsidRPr="006C7FAE" w14:paraId="74961035"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w:t>
      </w:r>
      <w:r w:rsidRPr="006C7FAE">
        <w:rPr>
          <w:sz w:val="24"/>
          <w:szCs w:val="24"/>
        </w:rPr>
        <w:t>explained</w:t>
      </w:r>
      <w:r w:rsidRPr="006C7FAE">
        <w:rPr>
          <w:sz w:val="24"/>
          <w:szCs w:val="24"/>
        </w:rPr>
        <w:t xml:space="preserve">. </w:t>
      </w:r>
    </w:p>
    <w:p w:rsidR="009E13B1" w14:paraId="3BF8AE20" w14:textId="77777777">
      <w:pPr>
        <w:tabs>
          <w:tab w:val="left" w:pos="360"/>
        </w:tabs>
        <w:ind w:left="360" w:hanging="360"/>
        <w:rPr>
          <w:sz w:val="24"/>
          <w:szCs w:val="24"/>
        </w:rPr>
      </w:pPr>
    </w:p>
    <w:p w:rsidR="00DB7313" w14:paraId="4E3CD89E" w14:textId="77777777">
      <w:pPr>
        <w:tabs>
          <w:tab w:val="left" w:pos="360"/>
        </w:tabs>
        <w:ind w:left="360" w:hanging="360"/>
        <w:rPr>
          <w:sz w:val="24"/>
          <w:szCs w:val="24"/>
        </w:rPr>
      </w:pPr>
      <w:r>
        <w:rPr>
          <w:sz w:val="24"/>
          <w:szCs w:val="24"/>
        </w:rPr>
        <w:tab/>
        <w:t xml:space="preserve">A </w:t>
      </w:r>
      <w:r w:rsidRPr="00DB7313">
        <w:rPr>
          <w:sz w:val="24"/>
          <w:szCs w:val="24"/>
        </w:rPr>
        <w:t>60-Day Notice of Proposed Information Collection Comment Request Fair Housing Initiatives Program Grant Application and Monitoring Reports</w:t>
      </w:r>
      <w:r>
        <w:rPr>
          <w:sz w:val="24"/>
          <w:szCs w:val="24"/>
        </w:rPr>
        <w:t xml:space="preserve"> (</w:t>
      </w:r>
      <w:r w:rsidRPr="00DB7313">
        <w:rPr>
          <w:sz w:val="24"/>
          <w:szCs w:val="24"/>
        </w:rPr>
        <w:t>Docket No. FR–7067–N–0</w:t>
      </w:r>
      <w:r>
        <w:rPr>
          <w:sz w:val="24"/>
          <w:szCs w:val="24"/>
        </w:rPr>
        <w:t>1) was issued in the Federal Register on April 3, 2023.  No comments were received regarding this information request.</w:t>
      </w:r>
    </w:p>
    <w:p w:rsidR="00DB7313" w:rsidRPr="006C7FAE" w14:paraId="0F4EFAD2" w14:textId="77777777">
      <w:pPr>
        <w:tabs>
          <w:tab w:val="left" w:pos="360"/>
        </w:tabs>
        <w:ind w:left="360" w:hanging="360"/>
        <w:rPr>
          <w:sz w:val="24"/>
          <w:szCs w:val="24"/>
        </w:rPr>
      </w:pPr>
    </w:p>
    <w:p w:rsidR="009E13B1" w:rsidRPr="006C7FAE" w14:paraId="63F90076"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w:t>
      </w:r>
      <w:r w:rsidR="00980A31">
        <w:rPr>
          <w:sz w:val="24"/>
          <w:szCs w:val="24"/>
        </w:rPr>
        <w:t>n</w:t>
      </w:r>
      <w:r w:rsidRPr="006C7FAE">
        <w:rPr>
          <w:sz w:val="24"/>
          <w:szCs w:val="24"/>
        </w:rPr>
        <w:t>umeration of contractors or grantees.</w:t>
      </w:r>
    </w:p>
    <w:p w:rsidR="00953989" w:rsidP="00364EEF" w14:paraId="62939538" w14:textId="77777777">
      <w:pPr>
        <w:tabs>
          <w:tab w:val="left" w:pos="360"/>
        </w:tabs>
        <w:ind w:left="360" w:hanging="360"/>
        <w:rPr>
          <w:sz w:val="24"/>
          <w:szCs w:val="24"/>
        </w:rPr>
      </w:pPr>
      <w:r>
        <w:rPr>
          <w:sz w:val="24"/>
          <w:szCs w:val="24"/>
        </w:rPr>
        <w:tab/>
      </w:r>
    </w:p>
    <w:p w:rsidR="00364EEF" w:rsidRPr="00364EEF" w:rsidP="00364EEF" w14:paraId="52D063D4" w14:textId="77777777">
      <w:pPr>
        <w:tabs>
          <w:tab w:val="left" w:pos="360"/>
        </w:tabs>
        <w:ind w:left="360" w:hanging="360"/>
        <w:rPr>
          <w:sz w:val="24"/>
          <w:szCs w:val="24"/>
        </w:rPr>
      </w:pPr>
      <w:r>
        <w:rPr>
          <w:sz w:val="24"/>
          <w:szCs w:val="24"/>
        </w:rPr>
        <w:tab/>
      </w:r>
      <w:r w:rsidRPr="00364EEF">
        <w:rPr>
          <w:sz w:val="24"/>
          <w:szCs w:val="24"/>
        </w:rPr>
        <w:t xml:space="preserve">This information collection does not involve any payment or gift to respondents. </w:t>
      </w:r>
    </w:p>
    <w:p w:rsidR="009E13B1" w:rsidRPr="006C7FAE" w14:paraId="1F9297BB" w14:textId="77777777">
      <w:pPr>
        <w:tabs>
          <w:tab w:val="left" w:pos="360"/>
        </w:tabs>
        <w:ind w:left="360" w:hanging="360"/>
        <w:rPr>
          <w:sz w:val="24"/>
          <w:szCs w:val="24"/>
        </w:rPr>
      </w:pPr>
    </w:p>
    <w:p w:rsidR="009E13B1" w:rsidRPr="006C7FAE" w14:paraId="55D3A0FF"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p>
    <w:p w:rsidR="00953989" w14:paraId="32D43C17" w14:textId="77777777">
      <w:pPr>
        <w:tabs>
          <w:tab w:val="left" w:pos="360"/>
        </w:tabs>
        <w:ind w:left="360" w:hanging="360"/>
        <w:rPr>
          <w:sz w:val="24"/>
          <w:szCs w:val="24"/>
        </w:rPr>
      </w:pPr>
      <w:r>
        <w:rPr>
          <w:sz w:val="24"/>
          <w:szCs w:val="24"/>
        </w:rPr>
        <w:tab/>
      </w:r>
    </w:p>
    <w:p w:rsidR="009E13B1" w14:paraId="131215F3" w14:textId="77777777">
      <w:pPr>
        <w:tabs>
          <w:tab w:val="left" w:pos="360"/>
        </w:tabs>
        <w:ind w:left="360" w:hanging="360"/>
      </w:pPr>
      <w:r>
        <w:rPr>
          <w:sz w:val="24"/>
          <w:szCs w:val="24"/>
        </w:rPr>
        <w:tab/>
      </w:r>
      <w:r w:rsidRPr="00364EEF" w:rsidR="00364EEF">
        <w:rPr>
          <w:sz w:val="24"/>
          <w:szCs w:val="24"/>
        </w:rPr>
        <w:t>Applicants are advised in the Notice of Funding Opportunity that their proposals are subject to disclosure under the provisions of the Freedom of Information Act (FOIA), and as such may be released in whole or in part, depending on the Department's determination of what information must be released. Applicants are permitted to indicate which portions of an application they believe should not be released and the basis for that belief, but the Department retains the right to make an independent evaluation as to releasing the requested information</w:t>
      </w:r>
      <w:r w:rsidR="00364EEF">
        <w:t>.</w:t>
      </w:r>
    </w:p>
    <w:p w:rsidR="00364EEF" w:rsidRPr="006C7FAE" w14:paraId="37E0CBB7" w14:textId="77777777">
      <w:pPr>
        <w:tabs>
          <w:tab w:val="left" w:pos="360"/>
        </w:tabs>
        <w:ind w:left="360" w:hanging="360"/>
        <w:rPr>
          <w:sz w:val="24"/>
          <w:szCs w:val="24"/>
        </w:rPr>
      </w:pPr>
    </w:p>
    <w:p w:rsidR="009E13B1" w:rsidRPr="006C7FAE" w14:paraId="45F40D69"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3989" w:rsidP="00010036" w14:paraId="3EB35E7E" w14:textId="77777777">
      <w:pPr>
        <w:tabs>
          <w:tab w:val="left" w:pos="360"/>
        </w:tabs>
        <w:ind w:left="360" w:hanging="360"/>
        <w:rPr>
          <w:sz w:val="24"/>
          <w:szCs w:val="24"/>
        </w:rPr>
      </w:pPr>
      <w:r>
        <w:rPr>
          <w:sz w:val="24"/>
          <w:szCs w:val="24"/>
        </w:rPr>
        <w:tab/>
      </w:r>
    </w:p>
    <w:p w:rsidR="00010036" w:rsidRPr="00010036" w:rsidP="00010036" w14:paraId="023CF074" w14:textId="77777777">
      <w:pPr>
        <w:tabs>
          <w:tab w:val="left" w:pos="360"/>
        </w:tabs>
        <w:ind w:left="360" w:hanging="360"/>
        <w:rPr>
          <w:sz w:val="24"/>
          <w:szCs w:val="24"/>
        </w:rPr>
      </w:pPr>
      <w:r>
        <w:rPr>
          <w:sz w:val="24"/>
          <w:szCs w:val="24"/>
        </w:rPr>
        <w:tab/>
      </w:r>
      <w:r w:rsidRPr="00010036">
        <w:rPr>
          <w:sz w:val="24"/>
          <w:szCs w:val="24"/>
        </w:rPr>
        <w:t>This information collection does not contain requests for information of a sensitive nature.</w:t>
      </w:r>
    </w:p>
    <w:p w:rsidR="00010036" w:rsidRPr="00010036" w:rsidP="00010036" w14:paraId="76E13C19" w14:textId="77777777">
      <w:pPr>
        <w:tabs>
          <w:tab w:val="left" w:pos="360"/>
        </w:tabs>
        <w:ind w:left="360" w:hanging="360"/>
        <w:rPr>
          <w:sz w:val="24"/>
          <w:szCs w:val="24"/>
        </w:rPr>
      </w:pPr>
    </w:p>
    <w:p w:rsidR="009E13B1" w:rsidRPr="006C7FAE" w14:paraId="39CB807F"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009E13B1" w:rsidRPr="006C7FAE" w14:paraId="4F0D6AD1"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50C7B63B" w14:textId="77777777">
      <w:pPr>
        <w:numPr>
          <w:ilvl w:val="0"/>
          <w:numId w:val="14"/>
        </w:numPr>
        <w:tabs>
          <w:tab w:val="left" w:pos="480"/>
        </w:tabs>
        <w:ind w:left="480"/>
        <w:rPr>
          <w:sz w:val="24"/>
          <w:szCs w:val="24"/>
        </w:rPr>
      </w:pPr>
      <w:r w:rsidRPr="006C7FAE">
        <w:rPr>
          <w:sz w:val="24"/>
          <w:szCs w:val="24"/>
        </w:rPr>
        <w:t xml:space="preserve">if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r w:rsidR="0067393E">
        <w:rPr>
          <w:sz w:val="24"/>
          <w:szCs w:val="24"/>
        </w:rPr>
        <w:tab/>
      </w:r>
    </w:p>
    <w:p w:rsidR="009E13B1" w14:paraId="18A6DB44" w14:textId="77777777">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BC50C0" w:rsidP="00BC50C0" w14:paraId="54366D69" w14:textId="77777777">
      <w:pPr>
        <w:keepLines/>
        <w:tabs>
          <w:tab w:val="left" w:pos="480"/>
        </w:tabs>
        <w:spacing w:after="80"/>
        <w:ind w:left="480"/>
        <w:rPr>
          <w:sz w:val="24"/>
          <w:szCs w:val="24"/>
        </w:rPr>
      </w:pPr>
    </w:p>
    <w:p w:rsidR="005C6FE4" w:rsidP="00BC50C0" w14:paraId="47102757" w14:textId="77777777">
      <w:pPr>
        <w:keepLines/>
        <w:tabs>
          <w:tab w:val="left" w:pos="480"/>
        </w:tabs>
        <w:spacing w:after="80"/>
        <w:ind w:left="480"/>
        <w:rPr>
          <w:sz w:val="24"/>
          <w:szCs w:val="24"/>
        </w:rPr>
      </w:pPr>
    </w:p>
    <w:tbl>
      <w:tblPr>
        <w:tblW w:w="9868" w:type="dxa"/>
        <w:tblInd w:w="113" w:type="dxa"/>
        <w:tblLayout w:type="fixed"/>
        <w:tblCellMar>
          <w:left w:w="0" w:type="dxa"/>
          <w:right w:w="0" w:type="dxa"/>
        </w:tblCellMar>
        <w:tblLook w:val="04A0"/>
      </w:tblPr>
      <w:tblGrid>
        <w:gridCol w:w="1588"/>
        <w:gridCol w:w="1530"/>
        <w:gridCol w:w="1170"/>
        <w:gridCol w:w="1170"/>
        <w:gridCol w:w="1080"/>
        <w:gridCol w:w="900"/>
        <w:gridCol w:w="1080"/>
        <w:gridCol w:w="1350"/>
      </w:tblGrid>
      <w:tr w14:paraId="2BD1401F" w14:textId="77777777" w:rsidTr="004F102B">
        <w:tblPrEx>
          <w:tblW w:w="9868" w:type="dxa"/>
          <w:tblInd w:w="113" w:type="dxa"/>
          <w:tblLayout w:type="fixed"/>
          <w:tblCellMar>
            <w:left w:w="0" w:type="dxa"/>
            <w:right w:w="0" w:type="dxa"/>
          </w:tblCellMar>
          <w:tblLook w:val="04A0"/>
        </w:tblPrEx>
        <w:trPr>
          <w:trHeight w:hRule="exact" w:val="1402"/>
        </w:trPr>
        <w:tc>
          <w:tcPr>
            <w:tcW w:w="1588" w:type="dxa"/>
            <w:tcBorders>
              <w:top w:val="single" w:sz="7" w:space="0" w:color="000000"/>
              <w:left w:val="single" w:sz="7" w:space="0" w:color="000000"/>
              <w:bottom w:val="single" w:sz="7" w:space="0" w:color="000000"/>
              <w:right w:val="single" w:sz="7" w:space="0" w:color="000000"/>
            </w:tcBorders>
          </w:tcPr>
          <w:p w:rsidR="005C6FE4" w:rsidRPr="005C6FE4" w:rsidP="005C6FE4" w14:paraId="51C21869" w14:textId="77777777">
            <w:pPr>
              <w:overflowPunct/>
              <w:autoSpaceDE/>
              <w:autoSpaceDN/>
              <w:adjustRightInd/>
              <w:spacing w:after="823" w:line="275" w:lineRule="exact"/>
              <w:ind w:left="288" w:hanging="144"/>
              <w:rPr>
                <w:b/>
                <w:color w:val="000000"/>
                <w:sz w:val="24"/>
                <w:szCs w:val="22"/>
              </w:rPr>
            </w:pPr>
            <w:r w:rsidRPr="005C6FE4">
              <w:rPr>
                <w:b/>
                <w:color w:val="000000"/>
                <w:sz w:val="24"/>
                <w:szCs w:val="22"/>
              </w:rPr>
              <w:t>Information Collection</w:t>
            </w:r>
          </w:p>
        </w:tc>
        <w:tc>
          <w:tcPr>
            <w:tcW w:w="1530" w:type="dxa"/>
            <w:tcBorders>
              <w:top w:val="single" w:sz="7" w:space="0" w:color="000000"/>
              <w:left w:val="single" w:sz="7" w:space="0" w:color="000000"/>
              <w:bottom w:val="single" w:sz="7" w:space="0" w:color="000000"/>
              <w:right w:val="single" w:sz="7" w:space="0" w:color="000000"/>
            </w:tcBorders>
          </w:tcPr>
          <w:p w:rsidR="005C6FE4" w:rsidRPr="005C6FE4" w:rsidP="005C6FE4" w14:paraId="1E2F4BE3" w14:textId="77777777">
            <w:pPr>
              <w:overflowPunct/>
              <w:autoSpaceDE/>
              <w:autoSpaceDN/>
              <w:adjustRightInd/>
              <w:spacing w:line="275" w:lineRule="exact"/>
              <w:ind w:left="144"/>
              <w:rPr>
                <w:b/>
                <w:color w:val="000000"/>
                <w:sz w:val="24"/>
                <w:szCs w:val="22"/>
              </w:rPr>
            </w:pPr>
            <w:r w:rsidRPr="005C6FE4">
              <w:rPr>
                <w:b/>
                <w:color w:val="000000"/>
                <w:sz w:val="24"/>
                <w:szCs w:val="22"/>
              </w:rPr>
              <w:t>Number of Respondents</w:t>
            </w:r>
          </w:p>
          <w:p w:rsidR="005C6FE4" w:rsidRPr="005C6FE4" w:rsidP="005C6FE4" w14:paraId="177F11D8" w14:textId="77777777">
            <w:pPr>
              <w:overflowPunct/>
              <w:autoSpaceDE/>
              <w:autoSpaceDN/>
              <w:adjustRightInd/>
              <w:spacing w:before="4" w:after="544" w:line="275" w:lineRule="exact"/>
              <w:jc w:val="center"/>
              <w:rPr>
                <w:b/>
                <w:color w:val="000000"/>
                <w:sz w:val="24"/>
                <w:szCs w:val="22"/>
              </w:rPr>
            </w:pP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00DC3ECC" w14:textId="77777777">
            <w:pPr>
              <w:overflowPunct/>
              <w:autoSpaceDE/>
              <w:autoSpaceDN/>
              <w:adjustRightInd/>
              <w:spacing w:after="544" w:line="275" w:lineRule="exact"/>
              <w:jc w:val="center"/>
              <w:rPr>
                <w:b/>
                <w:color w:val="000000"/>
                <w:sz w:val="24"/>
                <w:szCs w:val="22"/>
              </w:rPr>
            </w:pPr>
            <w:r w:rsidRPr="005C6FE4">
              <w:rPr>
                <w:b/>
                <w:color w:val="000000"/>
                <w:sz w:val="24"/>
                <w:szCs w:val="22"/>
              </w:rPr>
              <w:t xml:space="preserve">Frequency  of </w:t>
            </w:r>
            <w:r w:rsidRPr="005C6FE4">
              <w:rPr>
                <w:b/>
                <w:color w:val="000000"/>
                <w:sz w:val="24"/>
                <w:szCs w:val="22"/>
              </w:rPr>
              <w:br/>
              <w:t>Response</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1C61DBD9" w14:textId="77777777">
            <w:pPr>
              <w:overflowPunct/>
              <w:autoSpaceDE/>
              <w:autoSpaceDN/>
              <w:adjustRightInd/>
              <w:spacing w:after="271" w:line="275" w:lineRule="exact"/>
              <w:jc w:val="center"/>
              <w:rPr>
                <w:b/>
                <w:color w:val="000000"/>
                <w:sz w:val="24"/>
                <w:szCs w:val="22"/>
              </w:rPr>
            </w:pPr>
            <w:r w:rsidRPr="005C6FE4">
              <w:rPr>
                <w:b/>
                <w:color w:val="000000"/>
                <w:sz w:val="24"/>
                <w:szCs w:val="22"/>
              </w:rPr>
              <w:t xml:space="preserve">Responses </w:t>
            </w:r>
            <w:r w:rsidRPr="005C6FE4">
              <w:rPr>
                <w:b/>
                <w:color w:val="000000"/>
                <w:sz w:val="24"/>
                <w:szCs w:val="22"/>
              </w:rPr>
              <w:br/>
              <w:t xml:space="preserve">Per </w:t>
            </w:r>
            <w:r w:rsidRPr="005C6FE4">
              <w:rPr>
                <w:b/>
                <w:color w:val="000000"/>
                <w:sz w:val="24"/>
                <w:szCs w:val="22"/>
              </w:rPr>
              <w:br/>
              <w:t>Annum</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713BCF19" w14:textId="77777777">
            <w:pPr>
              <w:overflowPunct/>
              <w:autoSpaceDE/>
              <w:autoSpaceDN/>
              <w:adjustRightInd/>
              <w:spacing w:line="273" w:lineRule="exact"/>
              <w:jc w:val="center"/>
              <w:rPr>
                <w:b/>
                <w:color w:val="000000"/>
                <w:sz w:val="24"/>
                <w:szCs w:val="22"/>
              </w:rPr>
            </w:pPr>
            <w:r w:rsidRPr="005C6FE4">
              <w:rPr>
                <w:b/>
                <w:color w:val="000000"/>
                <w:sz w:val="24"/>
                <w:szCs w:val="22"/>
              </w:rPr>
              <w:t xml:space="preserve">Burden </w:t>
            </w:r>
            <w:r w:rsidRPr="005C6FE4">
              <w:rPr>
                <w:b/>
                <w:color w:val="000000"/>
                <w:sz w:val="24"/>
                <w:szCs w:val="22"/>
              </w:rPr>
              <w:br/>
              <w:t xml:space="preserve">Hour </w:t>
            </w:r>
            <w:r w:rsidRPr="005C6FE4">
              <w:rPr>
                <w:b/>
                <w:color w:val="000000"/>
                <w:sz w:val="24"/>
                <w:szCs w:val="22"/>
              </w:rPr>
              <w:br/>
              <w:t xml:space="preserve">Per </w:t>
            </w:r>
            <w:r w:rsidRPr="005C6FE4">
              <w:rPr>
                <w:b/>
                <w:color w:val="000000"/>
                <w:sz w:val="24"/>
                <w:szCs w:val="22"/>
              </w:rPr>
              <w:br/>
              <w:t xml:space="preserve">Response </w:t>
            </w:r>
          </w:p>
        </w:tc>
        <w:tc>
          <w:tcPr>
            <w:tcW w:w="900" w:type="dxa"/>
            <w:tcBorders>
              <w:top w:val="single" w:sz="7" w:space="0" w:color="000000"/>
              <w:left w:val="single" w:sz="7" w:space="0" w:color="000000"/>
              <w:bottom w:val="single" w:sz="7" w:space="0" w:color="000000"/>
              <w:right w:val="single" w:sz="7" w:space="0" w:color="000000"/>
            </w:tcBorders>
          </w:tcPr>
          <w:p w:rsidR="005C6FE4" w:rsidRPr="005C6FE4" w:rsidP="005C6FE4" w14:paraId="1E84F16D" w14:textId="77777777">
            <w:pPr>
              <w:overflowPunct/>
              <w:autoSpaceDE/>
              <w:autoSpaceDN/>
              <w:adjustRightInd/>
              <w:spacing w:line="275" w:lineRule="exact"/>
              <w:jc w:val="center"/>
              <w:rPr>
                <w:b/>
                <w:color w:val="000000"/>
                <w:sz w:val="24"/>
                <w:szCs w:val="22"/>
              </w:rPr>
            </w:pPr>
            <w:r w:rsidRPr="005C6FE4">
              <w:rPr>
                <w:b/>
                <w:color w:val="000000"/>
                <w:sz w:val="24"/>
                <w:szCs w:val="22"/>
              </w:rPr>
              <w:t>Annual</w:t>
            </w:r>
          </w:p>
          <w:p w:rsidR="005C6FE4" w:rsidRPr="005C6FE4" w:rsidP="005C6FE4" w14:paraId="6D2E9DB7" w14:textId="77777777">
            <w:pPr>
              <w:overflowPunct/>
              <w:autoSpaceDE/>
              <w:autoSpaceDN/>
              <w:adjustRightInd/>
              <w:spacing w:before="4" w:line="275" w:lineRule="exact"/>
              <w:jc w:val="center"/>
              <w:rPr>
                <w:b/>
                <w:color w:val="000000"/>
                <w:sz w:val="24"/>
                <w:szCs w:val="22"/>
              </w:rPr>
            </w:pPr>
            <w:r w:rsidRPr="005C6FE4">
              <w:rPr>
                <w:b/>
                <w:color w:val="000000"/>
                <w:sz w:val="24"/>
                <w:szCs w:val="22"/>
              </w:rPr>
              <w:t>Burden</w:t>
            </w:r>
          </w:p>
          <w:p w:rsidR="005C6FE4" w:rsidRPr="005C6FE4" w:rsidP="005C6FE4" w14:paraId="30655B62" w14:textId="77777777">
            <w:pPr>
              <w:overflowPunct/>
              <w:autoSpaceDE/>
              <w:autoSpaceDN/>
              <w:adjustRightInd/>
              <w:spacing w:before="2" w:line="269" w:lineRule="exact"/>
              <w:jc w:val="center"/>
              <w:rPr>
                <w:b/>
                <w:color w:val="000000"/>
                <w:sz w:val="24"/>
                <w:szCs w:val="22"/>
              </w:rPr>
            </w:pPr>
            <w:r w:rsidRPr="005C6FE4">
              <w:rPr>
                <w:b/>
                <w:color w:val="000000"/>
                <w:sz w:val="24"/>
                <w:szCs w:val="22"/>
              </w:rPr>
              <w:t>Hours</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3B6F99A4" w14:textId="77777777">
            <w:pPr>
              <w:overflowPunct/>
              <w:autoSpaceDE/>
              <w:autoSpaceDN/>
              <w:adjustRightInd/>
              <w:spacing w:line="275" w:lineRule="exact"/>
              <w:ind w:right="111"/>
              <w:jc w:val="right"/>
              <w:rPr>
                <w:b/>
                <w:color w:val="000000"/>
                <w:sz w:val="24"/>
                <w:szCs w:val="22"/>
              </w:rPr>
            </w:pPr>
            <w:r w:rsidRPr="005C6FE4">
              <w:rPr>
                <w:b/>
                <w:color w:val="000000"/>
                <w:sz w:val="24"/>
                <w:szCs w:val="22"/>
              </w:rPr>
              <w:t>Hourly</w:t>
            </w:r>
          </w:p>
          <w:p w:rsidR="005C6FE4" w:rsidRPr="005C6FE4" w:rsidP="005C6FE4" w14:paraId="4365F6A7" w14:textId="77777777">
            <w:pPr>
              <w:overflowPunct/>
              <w:autoSpaceDE/>
              <w:autoSpaceDN/>
              <w:adjustRightInd/>
              <w:spacing w:line="273" w:lineRule="exact"/>
              <w:jc w:val="center"/>
              <w:rPr>
                <w:b/>
                <w:color w:val="000000"/>
                <w:sz w:val="24"/>
                <w:szCs w:val="22"/>
              </w:rPr>
            </w:pPr>
            <w:r w:rsidRPr="005C6FE4">
              <w:rPr>
                <w:b/>
                <w:color w:val="000000"/>
                <w:sz w:val="24"/>
                <w:szCs w:val="22"/>
              </w:rPr>
              <w:t>Cost</w:t>
            </w:r>
          </w:p>
          <w:p w:rsidR="005C6FE4" w:rsidRPr="005C6FE4" w:rsidP="005C6FE4" w14:paraId="39B448D9" w14:textId="77777777">
            <w:pPr>
              <w:overflowPunct/>
              <w:autoSpaceDE/>
              <w:autoSpaceDN/>
              <w:adjustRightInd/>
              <w:spacing w:before="2" w:line="275" w:lineRule="exact"/>
              <w:jc w:val="center"/>
              <w:rPr>
                <w:b/>
                <w:color w:val="000000"/>
                <w:sz w:val="24"/>
                <w:szCs w:val="22"/>
              </w:rPr>
            </w:pPr>
            <w:r w:rsidRPr="005C6FE4">
              <w:rPr>
                <w:b/>
                <w:color w:val="000000"/>
                <w:sz w:val="24"/>
                <w:szCs w:val="22"/>
              </w:rPr>
              <w:t xml:space="preserve">Per </w:t>
            </w:r>
            <w:r w:rsidRPr="005C6FE4">
              <w:rPr>
                <w:b/>
                <w:color w:val="000000"/>
                <w:sz w:val="24"/>
                <w:szCs w:val="22"/>
              </w:rPr>
              <w:br/>
              <w:t>Response</w:t>
            </w:r>
          </w:p>
          <w:p w:rsidR="005C6FE4" w:rsidRPr="005C6FE4" w:rsidP="005C6FE4" w14:paraId="545B810D" w14:textId="77777777">
            <w:pPr>
              <w:overflowPunct/>
              <w:autoSpaceDE/>
              <w:autoSpaceDN/>
              <w:adjustRightInd/>
              <w:spacing w:before="2" w:line="269" w:lineRule="exact"/>
              <w:rPr>
                <w:b/>
                <w:color w:val="000000"/>
                <w:sz w:val="24"/>
                <w:szCs w:val="22"/>
              </w:rPr>
            </w:pPr>
          </w:p>
        </w:tc>
        <w:tc>
          <w:tcPr>
            <w:tcW w:w="1350" w:type="dxa"/>
            <w:tcBorders>
              <w:top w:val="single" w:sz="7" w:space="0" w:color="000000"/>
              <w:left w:val="single" w:sz="7" w:space="0" w:color="000000"/>
              <w:bottom w:val="single" w:sz="7" w:space="0" w:color="000000"/>
              <w:right w:val="single" w:sz="7" w:space="0" w:color="000000"/>
            </w:tcBorders>
          </w:tcPr>
          <w:p w:rsidR="005C6FE4" w:rsidRPr="005C6FE4" w:rsidP="005C6FE4" w14:paraId="5572AFDB" w14:textId="77777777">
            <w:pPr>
              <w:overflowPunct/>
              <w:autoSpaceDE/>
              <w:autoSpaceDN/>
              <w:adjustRightInd/>
              <w:spacing w:after="823" w:line="275" w:lineRule="exact"/>
              <w:jc w:val="center"/>
              <w:rPr>
                <w:b/>
                <w:color w:val="000000"/>
                <w:sz w:val="24"/>
                <w:szCs w:val="22"/>
              </w:rPr>
            </w:pPr>
            <w:r w:rsidRPr="005C6FE4">
              <w:rPr>
                <w:b/>
                <w:color w:val="000000"/>
                <w:sz w:val="24"/>
                <w:szCs w:val="22"/>
              </w:rPr>
              <w:t xml:space="preserve">Annual </w:t>
            </w:r>
            <w:r w:rsidRPr="005C6FE4">
              <w:rPr>
                <w:b/>
                <w:color w:val="000000"/>
                <w:sz w:val="24"/>
                <w:szCs w:val="22"/>
              </w:rPr>
              <w:br/>
              <w:t>Cost</w:t>
            </w:r>
          </w:p>
        </w:tc>
      </w:tr>
      <w:tr w14:paraId="39F7BB6A" w14:textId="77777777" w:rsidTr="004F102B">
        <w:tblPrEx>
          <w:tblW w:w="9868" w:type="dxa"/>
          <w:tblInd w:w="113" w:type="dxa"/>
          <w:tblLayout w:type="fixed"/>
          <w:tblCellMar>
            <w:left w:w="0" w:type="dxa"/>
            <w:right w:w="0" w:type="dxa"/>
          </w:tblCellMar>
          <w:tblLook w:val="04A0"/>
        </w:tblPrEx>
        <w:trPr>
          <w:trHeight w:hRule="exact" w:val="840"/>
        </w:trPr>
        <w:tc>
          <w:tcPr>
            <w:tcW w:w="1588" w:type="dxa"/>
            <w:tcBorders>
              <w:top w:val="single" w:sz="7" w:space="0" w:color="000000"/>
              <w:left w:val="single" w:sz="7" w:space="0" w:color="000000"/>
              <w:bottom w:val="single" w:sz="7" w:space="0" w:color="000000"/>
              <w:right w:val="single" w:sz="7" w:space="0" w:color="000000"/>
            </w:tcBorders>
          </w:tcPr>
          <w:p w:rsidR="005C6FE4" w:rsidRPr="005C6FE4" w:rsidP="005C6FE4" w14:paraId="1595BDC1" w14:textId="77777777">
            <w:pPr>
              <w:overflowPunct/>
              <w:autoSpaceDE/>
              <w:autoSpaceDN/>
              <w:adjustRightInd/>
              <w:spacing w:line="273" w:lineRule="exact"/>
              <w:ind w:left="108" w:right="144"/>
              <w:rPr>
                <w:color w:val="000000"/>
                <w:spacing w:val="-1"/>
                <w:sz w:val="24"/>
                <w:szCs w:val="22"/>
              </w:rPr>
            </w:pPr>
            <w:r w:rsidRPr="005C6FE4">
              <w:rPr>
                <w:color w:val="000000"/>
                <w:spacing w:val="-1"/>
                <w:sz w:val="24"/>
                <w:szCs w:val="22"/>
              </w:rPr>
              <w:t xml:space="preserve">Application Development </w:t>
            </w:r>
          </w:p>
        </w:tc>
        <w:tc>
          <w:tcPr>
            <w:tcW w:w="1530" w:type="dxa"/>
            <w:tcBorders>
              <w:top w:val="single" w:sz="7" w:space="0" w:color="000000"/>
              <w:left w:val="single" w:sz="7" w:space="0" w:color="000000"/>
              <w:bottom w:val="single" w:sz="7" w:space="0" w:color="000000"/>
              <w:right w:val="single" w:sz="7" w:space="0" w:color="000000"/>
            </w:tcBorders>
          </w:tcPr>
          <w:p w:rsidR="005C6FE4" w:rsidRPr="005C6FE4" w:rsidP="005C6FE4" w14:paraId="2C9D5C72" w14:textId="77777777">
            <w:pPr>
              <w:overflowPunct/>
              <w:autoSpaceDE/>
              <w:autoSpaceDN/>
              <w:adjustRightInd/>
              <w:spacing w:after="545" w:line="275" w:lineRule="exact"/>
              <w:jc w:val="center"/>
              <w:rPr>
                <w:b/>
                <w:color w:val="000000"/>
                <w:sz w:val="24"/>
                <w:szCs w:val="22"/>
              </w:rPr>
            </w:pPr>
            <w:r w:rsidRPr="005C6FE4">
              <w:rPr>
                <w:b/>
                <w:color w:val="000000"/>
                <w:sz w:val="24"/>
                <w:szCs w:val="22"/>
              </w:rPr>
              <w:t>400</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2BF05842" w14:textId="77777777">
            <w:pPr>
              <w:overflowPunct/>
              <w:autoSpaceDE/>
              <w:autoSpaceDN/>
              <w:adjustRightInd/>
              <w:spacing w:after="545" w:line="275" w:lineRule="exact"/>
              <w:jc w:val="center"/>
              <w:rPr>
                <w:b/>
                <w:color w:val="000000"/>
                <w:sz w:val="24"/>
                <w:szCs w:val="22"/>
              </w:rPr>
            </w:pPr>
            <w:r w:rsidRPr="005C6FE4">
              <w:rPr>
                <w:b/>
                <w:color w:val="000000"/>
                <w:sz w:val="24"/>
                <w:szCs w:val="22"/>
              </w:rPr>
              <w:t>1</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3E76A375" w14:textId="77777777">
            <w:pPr>
              <w:overflowPunct/>
              <w:autoSpaceDE/>
              <w:autoSpaceDN/>
              <w:adjustRightInd/>
              <w:spacing w:after="545" w:line="275" w:lineRule="exact"/>
              <w:jc w:val="center"/>
              <w:rPr>
                <w:b/>
                <w:color w:val="000000"/>
                <w:sz w:val="24"/>
                <w:szCs w:val="22"/>
              </w:rPr>
            </w:pPr>
            <w:r w:rsidRPr="005C6FE4">
              <w:rPr>
                <w:b/>
                <w:color w:val="000000"/>
                <w:sz w:val="24"/>
                <w:szCs w:val="22"/>
              </w:rPr>
              <w:t>400</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6869A448" w14:textId="77777777">
            <w:pPr>
              <w:overflowPunct/>
              <w:autoSpaceDE/>
              <w:autoSpaceDN/>
              <w:adjustRightInd/>
              <w:spacing w:after="545" w:line="275" w:lineRule="exact"/>
              <w:jc w:val="center"/>
              <w:rPr>
                <w:b/>
                <w:color w:val="000000"/>
                <w:sz w:val="24"/>
                <w:szCs w:val="22"/>
              </w:rPr>
            </w:pPr>
            <w:r w:rsidRPr="005C6FE4">
              <w:rPr>
                <w:b/>
                <w:color w:val="000000"/>
                <w:sz w:val="24"/>
                <w:szCs w:val="22"/>
              </w:rPr>
              <w:t>71.20</w:t>
            </w:r>
          </w:p>
        </w:tc>
        <w:tc>
          <w:tcPr>
            <w:tcW w:w="900" w:type="dxa"/>
            <w:tcBorders>
              <w:top w:val="single" w:sz="7" w:space="0" w:color="000000"/>
              <w:left w:val="single" w:sz="7" w:space="0" w:color="000000"/>
              <w:bottom w:val="single" w:sz="7" w:space="0" w:color="000000"/>
              <w:right w:val="single" w:sz="7" w:space="0" w:color="000000"/>
            </w:tcBorders>
          </w:tcPr>
          <w:p w:rsidR="005C6FE4" w:rsidRPr="005C6FE4" w:rsidP="005C6FE4" w14:paraId="37D043C3" w14:textId="77777777">
            <w:pPr>
              <w:overflowPunct/>
              <w:autoSpaceDE/>
              <w:autoSpaceDN/>
              <w:adjustRightInd/>
              <w:spacing w:after="545" w:line="275" w:lineRule="exact"/>
              <w:jc w:val="center"/>
              <w:rPr>
                <w:b/>
                <w:color w:val="000000"/>
                <w:sz w:val="24"/>
                <w:szCs w:val="22"/>
              </w:rPr>
            </w:pPr>
            <w:r w:rsidRPr="005C6FE4">
              <w:rPr>
                <w:b/>
                <w:color w:val="000000"/>
                <w:sz w:val="24"/>
                <w:szCs w:val="22"/>
              </w:rPr>
              <w:t>28,480</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4BC44F01" w14:textId="77777777">
            <w:pPr>
              <w:tabs>
                <w:tab w:val="decimal" w:pos="720"/>
              </w:tabs>
              <w:overflowPunct/>
              <w:autoSpaceDE/>
              <w:autoSpaceDN/>
              <w:adjustRightInd/>
              <w:spacing w:after="545" w:line="275" w:lineRule="exact"/>
              <w:rPr>
                <w:b/>
                <w:color w:val="000000"/>
                <w:sz w:val="24"/>
                <w:szCs w:val="22"/>
              </w:rPr>
            </w:pPr>
            <w:r w:rsidRPr="005C6FE4">
              <w:rPr>
                <w:b/>
                <w:color w:val="000000"/>
                <w:sz w:val="24"/>
                <w:szCs w:val="22"/>
              </w:rPr>
              <w:t>$30.00</w:t>
            </w:r>
          </w:p>
        </w:tc>
        <w:tc>
          <w:tcPr>
            <w:tcW w:w="1350" w:type="dxa"/>
            <w:tcBorders>
              <w:top w:val="single" w:sz="7" w:space="0" w:color="000000"/>
              <w:left w:val="single" w:sz="7" w:space="0" w:color="000000"/>
              <w:bottom w:val="single" w:sz="7" w:space="0" w:color="000000"/>
              <w:right w:val="single" w:sz="7" w:space="0" w:color="000000"/>
            </w:tcBorders>
          </w:tcPr>
          <w:p w:rsidR="005C6FE4" w:rsidRPr="005C6FE4" w:rsidP="005C6FE4" w14:paraId="4517B7EC" w14:textId="77777777">
            <w:pPr>
              <w:overflowPunct/>
              <w:autoSpaceDE/>
              <w:autoSpaceDN/>
              <w:adjustRightInd/>
              <w:spacing w:after="545" w:line="275" w:lineRule="exact"/>
              <w:ind w:right="115"/>
              <w:jc w:val="right"/>
              <w:rPr>
                <w:b/>
                <w:color w:val="000000"/>
                <w:sz w:val="24"/>
                <w:szCs w:val="22"/>
              </w:rPr>
            </w:pPr>
            <w:r w:rsidRPr="005C6FE4">
              <w:rPr>
                <w:b/>
                <w:color w:val="000000"/>
                <w:sz w:val="24"/>
                <w:szCs w:val="22"/>
              </w:rPr>
              <w:t>$854,400</w:t>
            </w:r>
          </w:p>
        </w:tc>
      </w:tr>
      <w:tr w14:paraId="660DCEDB" w14:textId="77777777" w:rsidTr="004F102B">
        <w:tblPrEx>
          <w:tblW w:w="9868" w:type="dxa"/>
          <w:tblInd w:w="113" w:type="dxa"/>
          <w:tblLayout w:type="fixed"/>
          <w:tblCellMar>
            <w:left w:w="0" w:type="dxa"/>
            <w:right w:w="0" w:type="dxa"/>
          </w:tblCellMar>
          <w:tblLook w:val="04A0"/>
        </w:tblPrEx>
        <w:trPr>
          <w:trHeight w:hRule="exact" w:val="561"/>
        </w:trPr>
        <w:tc>
          <w:tcPr>
            <w:tcW w:w="1588" w:type="dxa"/>
            <w:tcBorders>
              <w:top w:val="single" w:sz="7" w:space="0" w:color="000000"/>
              <w:left w:val="single" w:sz="7" w:space="0" w:color="000000"/>
              <w:bottom w:val="single" w:sz="7" w:space="0" w:color="000000"/>
              <w:right w:val="single" w:sz="7" w:space="0" w:color="000000"/>
            </w:tcBorders>
          </w:tcPr>
          <w:p w:rsidR="005C6FE4" w:rsidRPr="005C6FE4" w:rsidP="005C6FE4" w14:paraId="6FDDB3D0" w14:textId="77777777">
            <w:pPr>
              <w:overflowPunct/>
              <w:autoSpaceDE/>
              <w:autoSpaceDN/>
              <w:adjustRightInd/>
              <w:spacing w:line="269" w:lineRule="exact"/>
              <w:ind w:left="108"/>
              <w:rPr>
                <w:color w:val="000000"/>
                <w:sz w:val="24"/>
                <w:szCs w:val="22"/>
              </w:rPr>
            </w:pPr>
            <w:r w:rsidRPr="005C6FE4">
              <w:rPr>
                <w:color w:val="000000"/>
                <w:sz w:val="24"/>
                <w:szCs w:val="22"/>
              </w:rPr>
              <w:t>Quarterly Report</w:t>
            </w:r>
          </w:p>
        </w:tc>
        <w:tc>
          <w:tcPr>
            <w:tcW w:w="1530" w:type="dxa"/>
            <w:tcBorders>
              <w:top w:val="single" w:sz="7" w:space="0" w:color="000000"/>
              <w:left w:val="single" w:sz="7" w:space="0" w:color="000000"/>
              <w:bottom w:val="single" w:sz="7" w:space="0" w:color="000000"/>
              <w:right w:val="single" w:sz="7" w:space="0" w:color="000000"/>
            </w:tcBorders>
          </w:tcPr>
          <w:p w:rsidR="005C6FE4" w:rsidRPr="005C6FE4" w:rsidP="005C6FE4" w14:paraId="27481864" w14:textId="77777777">
            <w:pPr>
              <w:overflowPunct/>
              <w:autoSpaceDE/>
              <w:autoSpaceDN/>
              <w:adjustRightInd/>
              <w:spacing w:after="266" w:line="275" w:lineRule="exact"/>
              <w:jc w:val="center"/>
              <w:rPr>
                <w:b/>
                <w:color w:val="000000"/>
                <w:sz w:val="24"/>
                <w:szCs w:val="22"/>
              </w:rPr>
            </w:pPr>
            <w:r w:rsidRPr="005C6FE4">
              <w:rPr>
                <w:b/>
                <w:color w:val="000000"/>
                <w:sz w:val="24"/>
                <w:szCs w:val="22"/>
              </w:rPr>
              <w:t>142</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13DC887A" w14:textId="77777777">
            <w:pPr>
              <w:overflowPunct/>
              <w:autoSpaceDE/>
              <w:autoSpaceDN/>
              <w:adjustRightInd/>
              <w:spacing w:after="266" w:line="275" w:lineRule="exact"/>
              <w:jc w:val="center"/>
              <w:rPr>
                <w:b/>
                <w:color w:val="000000"/>
                <w:sz w:val="24"/>
                <w:szCs w:val="22"/>
              </w:rPr>
            </w:pPr>
            <w:r w:rsidRPr="005C6FE4">
              <w:rPr>
                <w:b/>
                <w:color w:val="000000"/>
                <w:sz w:val="24"/>
                <w:szCs w:val="22"/>
              </w:rPr>
              <w:t>4</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0E6C6320" w14:textId="77777777">
            <w:pPr>
              <w:overflowPunct/>
              <w:autoSpaceDE/>
              <w:autoSpaceDN/>
              <w:adjustRightInd/>
              <w:spacing w:after="266" w:line="275" w:lineRule="exact"/>
              <w:jc w:val="center"/>
              <w:rPr>
                <w:b/>
                <w:color w:val="000000"/>
                <w:sz w:val="24"/>
                <w:szCs w:val="22"/>
              </w:rPr>
            </w:pPr>
            <w:r w:rsidRPr="005C6FE4">
              <w:rPr>
                <w:b/>
                <w:color w:val="000000"/>
                <w:sz w:val="24"/>
                <w:szCs w:val="22"/>
              </w:rPr>
              <w:t>568</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6F237BF1" w14:textId="77777777">
            <w:pPr>
              <w:overflowPunct/>
              <w:autoSpaceDE/>
              <w:autoSpaceDN/>
              <w:adjustRightInd/>
              <w:spacing w:after="266" w:line="275" w:lineRule="exact"/>
              <w:jc w:val="center"/>
              <w:rPr>
                <w:b/>
                <w:color w:val="000000"/>
                <w:sz w:val="24"/>
                <w:szCs w:val="22"/>
              </w:rPr>
            </w:pPr>
            <w:r w:rsidRPr="005C6FE4">
              <w:rPr>
                <w:b/>
                <w:color w:val="000000"/>
                <w:sz w:val="24"/>
                <w:szCs w:val="22"/>
              </w:rPr>
              <w:t>19</w:t>
            </w:r>
          </w:p>
        </w:tc>
        <w:tc>
          <w:tcPr>
            <w:tcW w:w="900" w:type="dxa"/>
            <w:tcBorders>
              <w:top w:val="single" w:sz="7" w:space="0" w:color="000000"/>
              <w:left w:val="single" w:sz="7" w:space="0" w:color="000000"/>
              <w:bottom w:val="single" w:sz="7" w:space="0" w:color="000000"/>
              <w:right w:val="single" w:sz="7" w:space="0" w:color="000000"/>
            </w:tcBorders>
          </w:tcPr>
          <w:p w:rsidR="005C6FE4" w:rsidRPr="005C6FE4" w:rsidP="005C6FE4" w14:paraId="3F56CB08" w14:textId="77777777">
            <w:pPr>
              <w:overflowPunct/>
              <w:autoSpaceDE/>
              <w:autoSpaceDN/>
              <w:adjustRightInd/>
              <w:spacing w:after="266" w:line="275" w:lineRule="exact"/>
              <w:jc w:val="center"/>
              <w:rPr>
                <w:b/>
                <w:color w:val="000000"/>
                <w:sz w:val="24"/>
                <w:szCs w:val="22"/>
              </w:rPr>
            </w:pPr>
            <w:r w:rsidRPr="005C6FE4">
              <w:rPr>
                <w:b/>
                <w:color w:val="000000"/>
                <w:sz w:val="24"/>
                <w:szCs w:val="22"/>
              </w:rPr>
              <w:t>10,792</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7FB7BCC2" w14:textId="77777777">
            <w:pPr>
              <w:tabs>
                <w:tab w:val="decimal" w:pos="720"/>
              </w:tabs>
              <w:overflowPunct/>
              <w:autoSpaceDE/>
              <w:autoSpaceDN/>
              <w:adjustRightInd/>
              <w:spacing w:after="266" w:line="275" w:lineRule="exact"/>
              <w:rPr>
                <w:b/>
                <w:color w:val="000000"/>
                <w:sz w:val="24"/>
                <w:szCs w:val="22"/>
              </w:rPr>
            </w:pPr>
            <w:r w:rsidRPr="005C6FE4">
              <w:rPr>
                <w:b/>
                <w:color w:val="000000"/>
                <w:sz w:val="24"/>
                <w:szCs w:val="22"/>
              </w:rPr>
              <w:t>$30.00</w:t>
            </w:r>
          </w:p>
        </w:tc>
        <w:tc>
          <w:tcPr>
            <w:tcW w:w="1350" w:type="dxa"/>
            <w:tcBorders>
              <w:top w:val="single" w:sz="7" w:space="0" w:color="000000"/>
              <w:left w:val="single" w:sz="7" w:space="0" w:color="000000"/>
              <w:bottom w:val="single" w:sz="7" w:space="0" w:color="000000"/>
              <w:right w:val="single" w:sz="7" w:space="0" w:color="000000"/>
            </w:tcBorders>
          </w:tcPr>
          <w:p w:rsidR="005C6FE4" w:rsidRPr="005C6FE4" w:rsidP="005C6FE4" w14:paraId="46D149EC" w14:textId="77777777">
            <w:pPr>
              <w:overflowPunct/>
              <w:autoSpaceDE/>
              <w:autoSpaceDN/>
              <w:adjustRightInd/>
              <w:spacing w:after="266" w:line="275" w:lineRule="exact"/>
              <w:ind w:right="115"/>
              <w:jc w:val="right"/>
              <w:rPr>
                <w:b/>
                <w:color w:val="000000"/>
                <w:sz w:val="24"/>
                <w:szCs w:val="22"/>
              </w:rPr>
            </w:pPr>
            <w:r w:rsidRPr="005C6FE4">
              <w:rPr>
                <w:b/>
                <w:color w:val="000000"/>
                <w:sz w:val="24"/>
                <w:szCs w:val="22"/>
              </w:rPr>
              <w:t>$323,760</w:t>
            </w:r>
          </w:p>
        </w:tc>
      </w:tr>
      <w:tr w14:paraId="10B99EC1" w14:textId="77777777" w:rsidTr="004F102B">
        <w:tblPrEx>
          <w:tblW w:w="9868" w:type="dxa"/>
          <w:tblInd w:w="113" w:type="dxa"/>
          <w:tblLayout w:type="fixed"/>
          <w:tblCellMar>
            <w:left w:w="0" w:type="dxa"/>
            <w:right w:w="0" w:type="dxa"/>
          </w:tblCellMar>
          <w:tblLook w:val="04A0"/>
        </w:tblPrEx>
        <w:trPr>
          <w:trHeight w:hRule="exact" w:val="840"/>
        </w:trPr>
        <w:tc>
          <w:tcPr>
            <w:tcW w:w="1588" w:type="dxa"/>
            <w:tcBorders>
              <w:top w:val="single" w:sz="7" w:space="0" w:color="000000"/>
              <w:left w:val="single" w:sz="7" w:space="0" w:color="000000"/>
              <w:bottom w:val="single" w:sz="7" w:space="0" w:color="000000"/>
              <w:right w:val="single" w:sz="7" w:space="0" w:color="000000"/>
            </w:tcBorders>
          </w:tcPr>
          <w:p w:rsidR="005C6FE4" w:rsidRPr="005C6FE4" w:rsidP="005C6FE4" w14:paraId="3AC58585" w14:textId="77777777">
            <w:pPr>
              <w:overflowPunct/>
              <w:autoSpaceDE/>
              <w:autoSpaceDN/>
              <w:adjustRightInd/>
              <w:spacing w:line="271" w:lineRule="exact"/>
              <w:ind w:left="108" w:right="144"/>
              <w:rPr>
                <w:color w:val="000000"/>
                <w:spacing w:val="-4"/>
                <w:sz w:val="24"/>
                <w:szCs w:val="22"/>
              </w:rPr>
            </w:pPr>
            <w:r w:rsidRPr="005C6FE4">
              <w:rPr>
                <w:color w:val="000000"/>
                <w:spacing w:val="-4"/>
                <w:sz w:val="24"/>
                <w:szCs w:val="22"/>
              </w:rPr>
              <w:t>Supplemental Outcome Report</w:t>
            </w:r>
          </w:p>
        </w:tc>
        <w:tc>
          <w:tcPr>
            <w:tcW w:w="1530" w:type="dxa"/>
            <w:tcBorders>
              <w:top w:val="single" w:sz="7" w:space="0" w:color="000000"/>
              <w:left w:val="single" w:sz="7" w:space="0" w:color="000000"/>
              <w:bottom w:val="single" w:sz="7" w:space="0" w:color="000000"/>
              <w:right w:val="single" w:sz="7" w:space="0" w:color="000000"/>
            </w:tcBorders>
          </w:tcPr>
          <w:p w:rsidR="005C6FE4" w:rsidRPr="005C6FE4" w:rsidP="005C6FE4" w14:paraId="46A0109D" w14:textId="77777777">
            <w:pPr>
              <w:overflowPunct/>
              <w:autoSpaceDE/>
              <w:autoSpaceDN/>
              <w:adjustRightInd/>
              <w:spacing w:after="539" w:line="275" w:lineRule="exact"/>
              <w:jc w:val="center"/>
              <w:rPr>
                <w:b/>
                <w:color w:val="000000"/>
                <w:sz w:val="24"/>
                <w:szCs w:val="22"/>
              </w:rPr>
            </w:pPr>
            <w:r w:rsidRPr="005C6FE4">
              <w:rPr>
                <w:b/>
                <w:color w:val="000000"/>
                <w:sz w:val="24"/>
                <w:szCs w:val="22"/>
              </w:rPr>
              <w:t>142</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05AA33F3" w14:textId="77777777">
            <w:pPr>
              <w:overflowPunct/>
              <w:autoSpaceDE/>
              <w:autoSpaceDN/>
              <w:adjustRightInd/>
              <w:spacing w:after="539" w:line="275" w:lineRule="exact"/>
              <w:jc w:val="center"/>
              <w:rPr>
                <w:b/>
                <w:color w:val="000000"/>
                <w:sz w:val="24"/>
                <w:szCs w:val="22"/>
              </w:rPr>
            </w:pPr>
            <w:r w:rsidRPr="005C6FE4">
              <w:rPr>
                <w:b/>
                <w:color w:val="000000"/>
                <w:sz w:val="24"/>
                <w:szCs w:val="22"/>
              </w:rPr>
              <w:t>1</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6D97ADBE" w14:textId="77777777">
            <w:pPr>
              <w:overflowPunct/>
              <w:autoSpaceDE/>
              <w:autoSpaceDN/>
              <w:adjustRightInd/>
              <w:spacing w:after="539" w:line="275" w:lineRule="exact"/>
              <w:jc w:val="center"/>
              <w:rPr>
                <w:b/>
                <w:color w:val="000000"/>
                <w:sz w:val="24"/>
                <w:szCs w:val="22"/>
              </w:rPr>
            </w:pPr>
            <w:r w:rsidRPr="005C6FE4">
              <w:rPr>
                <w:b/>
                <w:color w:val="000000"/>
                <w:sz w:val="24"/>
                <w:szCs w:val="22"/>
              </w:rPr>
              <w:t>142</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6EF14243" w14:textId="77777777">
            <w:pPr>
              <w:overflowPunct/>
              <w:autoSpaceDE/>
              <w:autoSpaceDN/>
              <w:adjustRightInd/>
              <w:spacing w:after="539" w:line="275" w:lineRule="exact"/>
              <w:jc w:val="center"/>
              <w:rPr>
                <w:b/>
                <w:color w:val="000000"/>
                <w:sz w:val="24"/>
                <w:szCs w:val="22"/>
              </w:rPr>
            </w:pPr>
            <w:r w:rsidRPr="005C6FE4">
              <w:rPr>
                <w:b/>
                <w:color w:val="000000"/>
                <w:sz w:val="24"/>
                <w:szCs w:val="22"/>
              </w:rPr>
              <w:t>19</w:t>
            </w:r>
          </w:p>
        </w:tc>
        <w:tc>
          <w:tcPr>
            <w:tcW w:w="900" w:type="dxa"/>
            <w:tcBorders>
              <w:top w:val="single" w:sz="7" w:space="0" w:color="000000"/>
              <w:left w:val="single" w:sz="7" w:space="0" w:color="000000"/>
              <w:bottom w:val="single" w:sz="7" w:space="0" w:color="000000"/>
              <w:right w:val="single" w:sz="7" w:space="0" w:color="000000"/>
            </w:tcBorders>
          </w:tcPr>
          <w:p w:rsidR="005C6FE4" w:rsidRPr="005C6FE4" w:rsidP="005C6FE4" w14:paraId="38880870" w14:textId="77777777">
            <w:pPr>
              <w:overflowPunct/>
              <w:autoSpaceDE/>
              <w:autoSpaceDN/>
              <w:adjustRightInd/>
              <w:spacing w:after="539" w:line="275" w:lineRule="exact"/>
              <w:jc w:val="center"/>
              <w:rPr>
                <w:b/>
                <w:color w:val="000000"/>
                <w:sz w:val="24"/>
                <w:szCs w:val="22"/>
              </w:rPr>
            </w:pPr>
            <w:r w:rsidRPr="005C6FE4">
              <w:rPr>
                <w:b/>
                <w:color w:val="000000"/>
                <w:sz w:val="24"/>
                <w:szCs w:val="22"/>
              </w:rPr>
              <w:t>2,698</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55B89384" w14:textId="77777777">
            <w:pPr>
              <w:tabs>
                <w:tab w:val="decimal" w:pos="720"/>
              </w:tabs>
              <w:overflowPunct/>
              <w:autoSpaceDE/>
              <w:autoSpaceDN/>
              <w:adjustRightInd/>
              <w:spacing w:after="539" w:line="275" w:lineRule="exact"/>
              <w:rPr>
                <w:b/>
                <w:color w:val="000000"/>
                <w:sz w:val="24"/>
                <w:szCs w:val="22"/>
              </w:rPr>
            </w:pPr>
            <w:r w:rsidRPr="005C6FE4">
              <w:rPr>
                <w:b/>
                <w:color w:val="000000"/>
                <w:sz w:val="24"/>
                <w:szCs w:val="22"/>
              </w:rPr>
              <w:t>$30.00</w:t>
            </w:r>
          </w:p>
        </w:tc>
        <w:tc>
          <w:tcPr>
            <w:tcW w:w="1350" w:type="dxa"/>
            <w:tcBorders>
              <w:top w:val="single" w:sz="7" w:space="0" w:color="000000"/>
              <w:left w:val="single" w:sz="7" w:space="0" w:color="000000"/>
              <w:bottom w:val="single" w:sz="7" w:space="0" w:color="000000"/>
              <w:right w:val="single" w:sz="7" w:space="0" w:color="000000"/>
            </w:tcBorders>
          </w:tcPr>
          <w:p w:rsidR="005C6FE4" w:rsidRPr="005C6FE4" w:rsidP="005C6FE4" w14:paraId="25001F33" w14:textId="77777777">
            <w:pPr>
              <w:overflowPunct/>
              <w:autoSpaceDE/>
              <w:autoSpaceDN/>
              <w:adjustRightInd/>
              <w:spacing w:after="539" w:line="275" w:lineRule="exact"/>
              <w:ind w:right="115"/>
              <w:jc w:val="right"/>
              <w:rPr>
                <w:b/>
                <w:color w:val="000000"/>
                <w:sz w:val="24"/>
                <w:szCs w:val="22"/>
              </w:rPr>
            </w:pPr>
            <w:r w:rsidRPr="005C6FE4">
              <w:rPr>
                <w:b/>
                <w:color w:val="000000"/>
                <w:sz w:val="24"/>
                <w:szCs w:val="22"/>
              </w:rPr>
              <w:t>$80,940</w:t>
            </w:r>
          </w:p>
        </w:tc>
      </w:tr>
      <w:tr w14:paraId="30864BAD" w14:textId="77777777" w:rsidTr="004F102B">
        <w:tblPrEx>
          <w:tblW w:w="9868" w:type="dxa"/>
          <w:tblInd w:w="113" w:type="dxa"/>
          <w:tblLayout w:type="fixed"/>
          <w:tblCellMar>
            <w:left w:w="0" w:type="dxa"/>
            <w:right w:w="0" w:type="dxa"/>
          </w:tblCellMar>
          <w:tblLook w:val="04A0"/>
        </w:tblPrEx>
        <w:trPr>
          <w:trHeight w:hRule="exact" w:val="562"/>
        </w:trPr>
        <w:tc>
          <w:tcPr>
            <w:tcW w:w="1588" w:type="dxa"/>
            <w:tcBorders>
              <w:top w:val="single" w:sz="7" w:space="0" w:color="000000"/>
              <w:left w:val="single" w:sz="7" w:space="0" w:color="000000"/>
              <w:bottom w:val="single" w:sz="7" w:space="0" w:color="000000"/>
              <w:right w:val="single" w:sz="7" w:space="0" w:color="000000"/>
            </w:tcBorders>
          </w:tcPr>
          <w:p w:rsidR="005C6FE4" w:rsidRPr="005C6FE4" w:rsidP="005C6FE4" w14:paraId="3C0C0092" w14:textId="77777777">
            <w:pPr>
              <w:overflowPunct/>
              <w:autoSpaceDE/>
              <w:autoSpaceDN/>
              <w:adjustRightInd/>
              <w:spacing w:line="273" w:lineRule="exact"/>
              <w:ind w:left="108"/>
              <w:rPr>
                <w:color w:val="000000"/>
                <w:sz w:val="24"/>
                <w:szCs w:val="22"/>
              </w:rPr>
            </w:pPr>
            <w:r w:rsidRPr="005C6FE4">
              <w:rPr>
                <w:color w:val="000000"/>
                <w:sz w:val="24"/>
                <w:szCs w:val="22"/>
              </w:rPr>
              <w:t>Enforcement Log</w:t>
            </w:r>
          </w:p>
        </w:tc>
        <w:tc>
          <w:tcPr>
            <w:tcW w:w="1530" w:type="dxa"/>
            <w:tcBorders>
              <w:top w:val="single" w:sz="7" w:space="0" w:color="000000"/>
              <w:left w:val="single" w:sz="7" w:space="0" w:color="000000"/>
              <w:bottom w:val="single" w:sz="7" w:space="0" w:color="000000"/>
              <w:right w:val="single" w:sz="7" w:space="0" w:color="000000"/>
            </w:tcBorders>
          </w:tcPr>
          <w:p w:rsidR="005C6FE4" w:rsidRPr="005C6FE4" w:rsidP="005C6FE4" w14:paraId="337EAC31" w14:textId="77777777">
            <w:pPr>
              <w:overflowPunct/>
              <w:autoSpaceDE/>
              <w:autoSpaceDN/>
              <w:adjustRightInd/>
              <w:spacing w:after="275" w:line="275" w:lineRule="exact"/>
              <w:jc w:val="center"/>
              <w:rPr>
                <w:b/>
                <w:color w:val="000000"/>
                <w:sz w:val="24"/>
                <w:szCs w:val="22"/>
              </w:rPr>
            </w:pPr>
            <w:r w:rsidRPr="005C6FE4">
              <w:rPr>
                <w:b/>
                <w:color w:val="000000"/>
                <w:sz w:val="24"/>
                <w:szCs w:val="22"/>
              </w:rPr>
              <w:t>98</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1DA0B4C3" w14:textId="77777777">
            <w:pPr>
              <w:overflowPunct/>
              <w:autoSpaceDE/>
              <w:autoSpaceDN/>
              <w:adjustRightInd/>
              <w:spacing w:after="275" w:line="275" w:lineRule="exact"/>
              <w:jc w:val="center"/>
              <w:rPr>
                <w:b/>
                <w:color w:val="000000"/>
                <w:sz w:val="24"/>
                <w:szCs w:val="22"/>
              </w:rPr>
            </w:pPr>
            <w:r w:rsidRPr="005C6FE4">
              <w:rPr>
                <w:b/>
                <w:color w:val="000000"/>
                <w:sz w:val="24"/>
                <w:szCs w:val="22"/>
              </w:rPr>
              <w:t>4</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394351F7" w14:textId="77777777">
            <w:pPr>
              <w:overflowPunct/>
              <w:autoSpaceDE/>
              <w:autoSpaceDN/>
              <w:adjustRightInd/>
              <w:spacing w:after="275" w:line="275" w:lineRule="exact"/>
              <w:jc w:val="center"/>
              <w:rPr>
                <w:b/>
                <w:color w:val="000000"/>
                <w:sz w:val="24"/>
                <w:szCs w:val="22"/>
              </w:rPr>
            </w:pPr>
            <w:r w:rsidRPr="005C6FE4">
              <w:rPr>
                <w:b/>
                <w:color w:val="000000"/>
                <w:sz w:val="24"/>
                <w:szCs w:val="22"/>
              </w:rPr>
              <w:t>392</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66AC4240" w14:textId="77777777">
            <w:pPr>
              <w:overflowPunct/>
              <w:autoSpaceDE/>
              <w:autoSpaceDN/>
              <w:adjustRightInd/>
              <w:spacing w:after="275" w:line="275" w:lineRule="exact"/>
              <w:jc w:val="center"/>
              <w:rPr>
                <w:b/>
                <w:color w:val="000000"/>
                <w:sz w:val="24"/>
                <w:szCs w:val="22"/>
              </w:rPr>
            </w:pPr>
            <w:r w:rsidRPr="005C6FE4">
              <w:rPr>
                <w:b/>
                <w:color w:val="000000"/>
                <w:sz w:val="24"/>
                <w:szCs w:val="22"/>
              </w:rPr>
              <w:t>7</w:t>
            </w:r>
          </w:p>
        </w:tc>
        <w:tc>
          <w:tcPr>
            <w:tcW w:w="900" w:type="dxa"/>
            <w:tcBorders>
              <w:top w:val="single" w:sz="7" w:space="0" w:color="000000"/>
              <w:left w:val="single" w:sz="7" w:space="0" w:color="000000"/>
              <w:bottom w:val="single" w:sz="7" w:space="0" w:color="000000"/>
              <w:right w:val="single" w:sz="7" w:space="0" w:color="000000"/>
            </w:tcBorders>
          </w:tcPr>
          <w:p w:rsidR="005C6FE4" w:rsidRPr="005C6FE4" w:rsidP="005C6FE4" w14:paraId="79768310" w14:textId="77777777">
            <w:pPr>
              <w:overflowPunct/>
              <w:autoSpaceDE/>
              <w:autoSpaceDN/>
              <w:adjustRightInd/>
              <w:spacing w:after="275" w:line="275" w:lineRule="exact"/>
              <w:jc w:val="center"/>
              <w:rPr>
                <w:b/>
                <w:color w:val="000000"/>
                <w:sz w:val="24"/>
                <w:szCs w:val="22"/>
              </w:rPr>
            </w:pPr>
            <w:r w:rsidRPr="005C6FE4">
              <w:rPr>
                <w:b/>
                <w:color w:val="000000"/>
                <w:sz w:val="24"/>
                <w:szCs w:val="22"/>
              </w:rPr>
              <w:t>2,744</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528EF9A4" w14:textId="77777777">
            <w:pPr>
              <w:tabs>
                <w:tab w:val="decimal" w:pos="720"/>
              </w:tabs>
              <w:overflowPunct/>
              <w:autoSpaceDE/>
              <w:autoSpaceDN/>
              <w:adjustRightInd/>
              <w:spacing w:after="275" w:line="275" w:lineRule="exact"/>
              <w:rPr>
                <w:b/>
                <w:color w:val="000000"/>
                <w:sz w:val="24"/>
                <w:szCs w:val="22"/>
              </w:rPr>
            </w:pPr>
            <w:r w:rsidRPr="005C6FE4">
              <w:rPr>
                <w:b/>
                <w:color w:val="000000"/>
                <w:sz w:val="24"/>
                <w:szCs w:val="22"/>
              </w:rPr>
              <w:t>$30.00</w:t>
            </w:r>
          </w:p>
        </w:tc>
        <w:tc>
          <w:tcPr>
            <w:tcW w:w="1350" w:type="dxa"/>
            <w:tcBorders>
              <w:top w:val="single" w:sz="7" w:space="0" w:color="000000"/>
              <w:left w:val="single" w:sz="7" w:space="0" w:color="000000"/>
              <w:bottom w:val="single" w:sz="7" w:space="0" w:color="000000"/>
              <w:right w:val="single" w:sz="7" w:space="0" w:color="000000"/>
            </w:tcBorders>
          </w:tcPr>
          <w:p w:rsidR="005C6FE4" w:rsidRPr="005C6FE4" w:rsidP="005C6FE4" w14:paraId="520BFA18" w14:textId="77777777">
            <w:pPr>
              <w:overflowPunct/>
              <w:autoSpaceDE/>
              <w:autoSpaceDN/>
              <w:adjustRightInd/>
              <w:spacing w:after="275" w:line="275" w:lineRule="exact"/>
              <w:ind w:right="115"/>
              <w:jc w:val="right"/>
              <w:rPr>
                <w:b/>
                <w:color w:val="000000"/>
                <w:sz w:val="24"/>
                <w:szCs w:val="22"/>
              </w:rPr>
            </w:pPr>
            <w:r w:rsidRPr="005C6FE4">
              <w:rPr>
                <w:b/>
                <w:color w:val="000000"/>
                <w:sz w:val="24"/>
                <w:szCs w:val="22"/>
              </w:rPr>
              <w:t>$82,320</w:t>
            </w:r>
          </w:p>
        </w:tc>
      </w:tr>
      <w:tr w14:paraId="6A577AF9" w14:textId="77777777" w:rsidTr="004F102B">
        <w:tblPrEx>
          <w:tblW w:w="9868" w:type="dxa"/>
          <w:tblInd w:w="113" w:type="dxa"/>
          <w:tblLayout w:type="fixed"/>
          <w:tblCellMar>
            <w:left w:w="0" w:type="dxa"/>
            <w:right w:w="0" w:type="dxa"/>
          </w:tblCellMar>
          <w:tblLook w:val="04A0"/>
        </w:tblPrEx>
        <w:trPr>
          <w:trHeight w:hRule="exact" w:val="283"/>
        </w:trPr>
        <w:tc>
          <w:tcPr>
            <w:tcW w:w="1588" w:type="dxa"/>
            <w:tcBorders>
              <w:top w:val="single" w:sz="7" w:space="0" w:color="000000"/>
              <w:left w:val="single" w:sz="7" w:space="0" w:color="000000"/>
              <w:bottom w:val="single" w:sz="7" w:space="0" w:color="000000"/>
              <w:right w:val="single" w:sz="7" w:space="0" w:color="000000"/>
            </w:tcBorders>
            <w:vAlign w:val="center"/>
          </w:tcPr>
          <w:p w:rsidR="005C6FE4" w:rsidRPr="005C6FE4" w:rsidP="005C6FE4" w14:paraId="2B120756" w14:textId="77777777">
            <w:pPr>
              <w:overflowPunct/>
              <w:autoSpaceDE/>
              <w:autoSpaceDN/>
              <w:adjustRightInd/>
              <w:spacing w:line="259" w:lineRule="exact"/>
              <w:ind w:left="120"/>
              <w:rPr>
                <w:color w:val="000000"/>
                <w:sz w:val="24"/>
                <w:szCs w:val="22"/>
              </w:rPr>
            </w:pPr>
            <w:r w:rsidRPr="005C6FE4">
              <w:rPr>
                <w:color w:val="000000"/>
                <w:sz w:val="24"/>
                <w:szCs w:val="22"/>
              </w:rPr>
              <w:t>Final Report</w:t>
            </w:r>
          </w:p>
        </w:tc>
        <w:tc>
          <w:tcPr>
            <w:tcW w:w="1530" w:type="dxa"/>
            <w:tcBorders>
              <w:top w:val="single" w:sz="7" w:space="0" w:color="000000"/>
              <w:left w:val="single" w:sz="7" w:space="0" w:color="000000"/>
              <w:bottom w:val="single" w:sz="7" w:space="0" w:color="000000"/>
              <w:right w:val="single" w:sz="7" w:space="0" w:color="000000"/>
            </w:tcBorders>
            <w:vAlign w:val="center"/>
          </w:tcPr>
          <w:p w:rsidR="005C6FE4" w:rsidRPr="005C6FE4" w:rsidP="005C6FE4" w14:paraId="6DB03FC3" w14:textId="77777777">
            <w:pPr>
              <w:overflowPunct/>
              <w:autoSpaceDE/>
              <w:autoSpaceDN/>
              <w:adjustRightInd/>
              <w:spacing w:line="265" w:lineRule="exact"/>
              <w:jc w:val="center"/>
              <w:rPr>
                <w:b/>
                <w:color w:val="000000"/>
                <w:sz w:val="24"/>
                <w:szCs w:val="22"/>
              </w:rPr>
            </w:pPr>
            <w:r w:rsidRPr="005C6FE4">
              <w:rPr>
                <w:b/>
                <w:color w:val="000000"/>
                <w:sz w:val="24"/>
                <w:szCs w:val="22"/>
              </w:rPr>
              <w:t>142</w:t>
            </w:r>
          </w:p>
        </w:tc>
        <w:tc>
          <w:tcPr>
            <w:tcW w:w="1170" w:type="dxa"/>
            <w:tcBorders>
              <w:top w:val="single" w:sz="7" w:space="0" w:color="000000"/>
              <w:left w:val="single" w:sz="7" w:space="0" w:color="000000"/>
              <w:bottom w:val="single" w:sz="7" w:space="0" w:color="000000"/>
              <w:right w:val="single" w:sz="7" w:space="0" w:color="000000"/>
            </w:tcBorders>
            <w:vAlign w:val="center"/>
          </w:tcPr>
          <w:p w:rsidR="005C6FE4" w:rsidRPr="005C6FE4" w:rsidP="005C6FE4" w14:paraId="1D8B0DA9" w14:textId="77777777">
            <w:pPr>
              <w:overflowPunct/>
              <w:autoSpaceDE/>
              <w:autoSpaceDN/>
              <w:adjustRightInd/>
              <w:spacing w:line="265" w:lineRule="exact"/>
              <w:jc w:val="center"/>
              <w:rPr>
                <w:b/>
                <w:color w:val="000000"/>
                <w:sz w:val="24"/>
                <w:szCs w:val="22"/>
              </w:rPr>
            </w:pPr>
            <w:r w:rsidRPr="005C6FE4">
              <w:rPr>
                <w:b/>
                <w:color w:val="000000"/>
                <w:sz w:val="24"/>
                <w:szCs w:val="22"/>
              </w:rPr>
              <w:t>1</w:t>
            </w:r>
          </w:p>
        </w:tc>
        <w:tc>
          <w:tcPr>
            <w:tcW w:w="1170" w:type="dxa"/>
            <w:tcBorders>
              <w:top w:val="single" w:sz="7" w:space="0" w:color="000000"/>
              <w:left w:val="single" w:sz="7" w:space="0" w:color="000000"/>
              <w:bottom w:val="single" w:sz="7" w:space="0" w:color="000000"/>
              <w:right w:val="single" w:sz="7" w:space="0" w:color="000000"/>
            </w:tcBorders>
            <w:vAlign w:val="center"/>
          </w:tcPr>
          <w:p w:rsidR="005C6FE4" w:rsidRPr="005C6FE4" w:rsidP="005C6FE4" w14:paraId="7A97BC92" w14:textId="77777777">
            <w:pPr>
              <w:overflowPunct/>
              <w:autoSpaceDE/>
              <w:autoSpaceDN/>
              <w:adjustRightInd/>
              <w:spacing w:line="265" w:lineRule="exact"/>
              <w:jc w:val="center"/>
              <w:rPr>
                <w:b/>
                <w:color w:val="000000"/>
                <w:sz w:val="24"/>
                <w:szCs w:val="22"/>
              </w:rPr>
            </w:pPr>
            <w:r w:rsidRPr="005C6FE4">
              <w:rPr>
                <w:b/>
                <w:color w:val="000000"/>
                <w:sz w:val="24"/>
                <w:szCs w:val="22"/>
              </w:rPr>
              <w:t>142</w:t>
            </w:r>
          </w:p>
        </w:tc>
        <w:tc>
          <w:tcPr>
            <w:tcW w:w="1080" w:type="dxa"/>
            <w:tcBorders>
              <w:top w:val="single" w:sz="7" w:space="0" w:color="000000"/>
              <w:left w:val="single" w:sz="7" w:space="0" w:color="000000"/>
              <w:bottom w:val="single" w:sz="7" w:space="0" w:color="000000"/>
              <w:right w:val="single" w:sz="7" w:space="0" w:color="000000"/>
            </w:tcBorders>
            <w:vAlign w:val="center"/>
          </w:tcPr>
          <w:p w:rsidR="005C6FE4" w:rsidRPr="005C6FE4" w:rsidP="005C6FE4" w14:paraId="2A2A2560" w14:textId="77777777">
            <w:pPr>
              <w:overflowPunct/>
              <w:autoSpaceDE/>
              <w:autoSpaceDN/>
              <w:adjustRightInd/>
              <w:spacing w:line="265" w:lineRule="exact"/>
              <w:jc w:val="center"/>
              <w:rPr>
                <w:b/>
                <w:color w:val="000000"/>
                <w:sz w:val="24"/>
                <w:szCs w:val="22"/>
              </w:rPr>
            </w:pPr>
            <w:r w:rsidRPr="005C6FE4">
              <w:rPr>
                <w:b/>
                <w:color w:val="000000"/>
                <w:sz w:val="24"/>
                <w:szCs w:val="22"/>
              </w:rPr>
              <w:t>20</w:t>
            </w:r>
          </w:p>
        </w:tc>
        <w:tc>
          <w:tcPr>
            <w:tcW w:w="900" w:type="dxa"/>
            <w:tcBorders>
              <w:top w:val="single" w:sz="7" w:space="0" w:color="000000"/>
              <w:left w:val="single" w:sz="7" w:space="0" w:color="000000"/>
              <w:bottom w:val="single" w:sz="7" w:space="0" w:color="000000"/>
              <w:right w:val="single" w:sz="7" w:space="0" w:color="000000"/>
            </w:tcBorders>
            <w:vAlign w:val="center"/>
          </w:tcPr>
          <w:p w:rsidR="005C6FE4" w:rsidRPr="005C6FE4" w:rsidP="005C6FE4" w14:paraId="2DE8A2ED" w14:textId="77777777">
            <w:pPr>
              <w:overflowPunct/>
              <w:autoSpaceDE/>
              <w:autoSpaceDN/>
              <w:adjustRightInd/>
              <w:spacing w:line="265" w:lineRule="exact"/>
              <w:jc w:val="center"/>
              <w:rPr>
                <w:b/>
                <w:color w:val="000000"/>
                <w:sz w:val="24"/>
                <w:szCs w:val="22"/>
              </w:rPr>
            </w:pPr>
            <w:r w:rsidRPr="005C6FE4">
              <w:rPr>
                <w:b/>
                <w:color w:val="000000"/>
                <w:sz w:val="24"/>
                <w:szCs w:val="22"/>
              </w:rPr>
              <w:t>2,840</w:t>
            </w:r>
          </w:p>
        </w:tc>
        <w:tc>
          <w:tcPr>
            <w:tcW w:w="1080" w:type="dxa"/>
            <w:tcBorders>
              <w:top w:val="single" w:sz="7" w:space="0" w:color="000000"/>
              <w:left w:val="single" w:sz="7" w:space="0" w:color="000000"/>
              <w:bottom w:val="single" w:sz="7" w:space="0" w:color="000000"/>
              <w:right w:val="single" w:sz="7" w:space="0" w:color="000000"/>
            </w:tcBorders>
            <w:vAlign w:val="center"/>
          </w:tcPr>
          <w:p w:rsidR="005C6FE4" w:rsidRPr="005C6FE4" w:rsidP="005C6FE4" w14:paraId="50BF29C6" w14:textId="77777777">
            <w:pPr>
              <w:tabs>
                <w:tab w:val="decimal" w:pos="720"/>
              </w:tabs>
              <w:overflowPunct/>
              <w:autoSpaceDE/>
              <w:autoSpaceDN/>
              <w:adjustRightInd/>
              <w:spacing w:line="265" w:lineRule="exact"/>
              <w:rPr>
                <w:b/>
                <w:color w:val="000000"/>
                <w:sz w:val="24"/>
                <w:szCs w:val="22"/>
              </w:rPr>
            </w:pPr>
            <w:r w:rsidRPr="005C6FE4">
              <w:rPr>
                <w:b/>
                <w:color w:val="000000"/>
                <w:sz w:val="24"/>
                <w:szCs w:val="22"/>
              </w:rPr>
              <w:t>$30.00</w:t>
            </w:r>
          </w:p>
        </w:tc>
        <w:tc>
          <w:tcPr>
            <w:tcW w:w="1350" w:type="dxa"/>
            <w:tcBorders>
              <w:top w:val="single" w:sz="7" w:space="0" w:color="000000"/>
              <w:left w:val="single" w:sz="7" w:space="0" w:color="000000"/>
              <w:bottom w:val="single" w:sz="7" w:space="0" w:color="000000"/>
              <w:right w:val="single" w:sz="7" w:space="0" w:color="000000"/>
            </w:tcBorders>
            <w:vAlign w:val="center"/>
          </w:tcPr>
          <w:p w:rsidR="005C6FE4" w:rsidRPr="005C6FE4" w:rsidP="005C6FE4" w14:paraId="50B27C4D" w14:textId="77777777">
            <w:pPr>
              <w:overflowPunct/>
              <w:autoSpaceDE/>
              <w:autoSpaceDN/>
              <w:adjustRightInd/>
              <w:spacing w:line="265" w:lineRule="exact"/>
              <w:ind w:right="115"/>
              <w:jc w:val="right"/>
              <w:rPr>
                <w:b/>
                <w:color w:val="000000"/>
                <w:sz w:val="24"/>
                <w:szCs w:val="22"/>
              </w:rPr>
            </w:pPr>
            <w:r w:rsidRPr="005C6FE4">
              <w:rPr>
                <w:b/>
                <w:color w:val="000000"/>
                <w:sz w:val="24"/>
                <w:szCs w:val="22"/>
              </w:rPr>
              <w:t>$85,200</w:t>
            </w:r>
          </w:p>
        </w:tc>
      </w:tr>
      <w:tr w14:paraId="3A9E4402" w14:textId="77777777" w:rsidTr="004F102B">
        <w:tblPrEx>
          <w:tblW w:w="9868" w:type="dxa"/>
          <w:tblInd w:w="113" w:type="dxa"/>
          <w:tblLayout w:type="fixed"/>
          <w:tblCellMar>
            <w:left w:w="0" w:type="dxa"/>
            <w:right w:w="0" w:type="dxa"/>
          </w:tblCellMar>
          <w:tblLook w:val="04A0"/>
        </w:tblPrEx>
        <w:trPr>
          <w:trHeight w:hRule="exact" w:val="562"/>
        </w:trPr>
        <w:tc>
          <w:tcPr>
            <w:tcW w:w="1588" w:type="dxa"/>
            <w:tcBorders>
              <w:top w:val="single" w:sz="7" w:space="0" w:color="000000"/>
              <w:left w:val="single" w:sz="7" w:space="0" w:color="000000"/>
              <w:bottom w:val="single" w:sz="7" w:space="0" w:color="000000"/>
              <w:right w:val="single" w:sz="7" w:space="0" w:color="000000"/>
            </w:tcBorders>
          </w:tcPr>
          <w:p w:rsidR="005C6FE4" w:rsidRPr="005C6FE4" w:rsidP="005C6FE4" w14:paraId="39159CF7" w14:textId="77777777">
            <w:pPr>
              <w:overflowPunct/>
              <w:autoSpaceDE/>
              <w:autoSpaceDN/>
              <w:adjustRightInd/>
              <w:spacing w:line="273" w:lineRule="exact"/>
              <w:ind w:left="108"/>
              <w:rPr>
                <w:color w:val="000000"/>
                <w:sz w:val="24"/>
                <w:szCs w:val="22"/>
              </w:rPr>
            </w:pPr>
            <w:r w:rsidRPr="005C6FE4">
              <w:rPr>
                <w:color w:val="000000"/>
                <w:sz w:val="24"/>
                <w:szCs w:val="22"/>
              </w:rPr>
              <w:t xml:space="preserve">Recordkeeping </w:t>
            </w:r>
          </w:p>
        </w:tc>
        <w:tc>
          <w:tcPr>
            <w:tcW w:w="1530" w:type="dxa"/>
            <w:tcBorders>
              <w:top w:val="single" w:sz="7" w:space="0" w:color="000000"/>
              <w:left w:val="single" w:sz="7" w:space="0" w:color="000000"/>
              <w:bottom w:val="single" w:sz="7" w:space="0" w:color="000000"/>
              <w:right w:val="single" w:sz="7" w:space="0" w:color="000000"/>
            </w:tcBorders>
          </w:tcPr>
          <w:p w:rsidR="005C6FE4" w:rsidRPr="005C6FE4" w:rsidP="005C6FE4" w14:paraId="0D3388E6" w14:textId="77777777">
            <w:pPr>
              <w:overflowPunct/>
              <w:autoSpaceDE/>
              <w:autoSpaceDN/>
              <w:adjustRightInd/>
              <w:spacing w:after="267" w:line="275" w:lineRule="exact"/>
              <w:jc w:val="center"/>
              <w:rPr>
                <w:b/>
                <w:color w:val="000000"/>
                <w:sz w:val="24"/>
                <w:szCs w:val="22"/>
              </w:rPr>
            </w:pPr>
            <w:r w:rsidRPr="005C6FE4">
              <w:rPr>
                <w:b/>
                <w:color w:val="000000"/>
                <w:sz w:val="24"/>
                <w:szCs w:val="22"/>
              </w:rPr>
              <w:t>142</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0D1798E1" w14:textId="77777777">
            <w:pPr>
              <w:overflowPunct/>
              <w:autoSpaceDE/>
              <w:autoSpaceDN/>
              <w:adjustRightInd/>
              <w:spacing w:after="267" w:line="275" w:lineRule="exact"/>
              <w:jc w:val="center"/>
              <w:rPr>
                <w:b/>
                <w:color w:val="000000"/>
                <w:sz w:val="24"/>
                <w:szCs w:val="22"/>
              </w:rPr>
            </w:pPr>
            <w:r w:rsidRPr="005C6FE4">
              <w:rPr>
                <w:b/>
                <w:color w:val="000000"/>
                <w:sz w:val="24"/>
                <w:szCs w:val="22"/>
              </w:rPr>
              <w:t>1</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5D50A17D" w14:textId="77777777">
            <w:pPr>
              <w:overflowPunct/>
              <w:autoSpaceDE/>
              <w:autoSpaceDN/>
              <w:adjustRightInd/>
              <w:spacing w:after="267" w:line="275" w:lineRule="exact"/>
              <w:jc w:val="center"/>
              <w:rPr>
                <w:b/>
                <w:color w:val="000000"/>
                <w:sz w:val="24"/>
                <w:szCs w:val="22"/>
              </w:rPr>
            </w:pPr>
            <w:r w:rsidRPr="005C6FE4">
              <w:rPr>
                <w:b/>
                <w:color w:val="000000"/>
                <w:sz w:val="24"/>
                <w:szCs w:val="22"/>
              </w:rPr>
              <w:t>142</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795029A0" w14:textId="77777777">
            <w:pPr>
              <w:overflowPunct/>
              <w:autoSpaceDE/>
              <w:autoSpaceDN/>
              <w:adjustRightInd/>
              <w:spacing w:after="267" w:line="275" w:lineRule="exact"/>
              <w:jc w:val="center"/>
              <w:rPr>
                <w:b/>
                <w:color w:val="000000"/>
                <w:sz w:val="24"/>
                <w:szCs w:val="22"/>
              </w:rPr>
            </w:pPr>
            <w:r w:rsidRPr="005C6FE4">
              <w:rPr>
                <w:b/>
                <w:color w:val="000000"/>
                <w:sz w:val="24"/>
                <w:szCs w:val="22"/>
              </w:rPr>
              <w:t>21</w:t>
            </w:r>
          </w:p>
        </w:tc>
        <w:tc>
          <w:tcPr>
            <w:tcW w:w="900" w:type="dxa"/>
            <w:tcBorders>
              <w:top w:val="single" w:sz="7" w:space="0" w:color="000000"/>
              <w:left w:val="single" w:sz="7" w:space="0" w:color="000000"/>
              <w:bottom w:val="single" w:sz="7" w:space="0" w:color="000000"/>
              <w:right w:val="single" w:sz="7" w:space="0" w:color="000000"/>
            </w:tcBorders>
          </w:tcPr>
          <w:p w:rsidR="005C6FE4" w:rsidRPr="005C6FE4" w:rsidP="005C6FE4" w14:paraId="1359CA93" w14:textId="77777777">
            <w:pPr>
              <w:overflowPunct/>
              <w:autoSpaceDE/>
              <w:autoSpaceDN/>
              <w:adjustRightInd/>
              <w:spacing w:after="267" w:line="275" w:lineRule="exact"/>
              <w:jc w:val="center"/>
              <w:rPr>
                <w:b/>
                <w:color w:val="000000"/>
                <w:sz w:val="24"/>
                <w:szCs w:val="22"/>
              </w:rPr>
            </w:pPr>
            <w:r w:rsidRPr="005C6FE4">
              <w:rPr>
                <w:b/>
                <w:color w:val="000000"/>
                <w:sz w:val="24"/>
                <w:szCs w:val="22"/>
              </w:rPr>
              <w:t>2,982</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76BD2F28" w14:textId="77777777">
            <w:pPr>
              <w:tabs>
                <w:tab w:val="decimal" w:pos="720"/>
              </w:tabs>
              <w:overflowPunct/>
              <w:autoSpaceDE/>
              <w:autoSpaceDN/>
              <w:adjustRightInd/>
              <w:spacing w:after="267" w:line="275" w:lineRule="exact"/>
              <w:rPr>
                <w:b/>
                <w:color w:val="000000"/>
                <w:sz w:val="24"/>
                <w:szCs w:val="22"/>
              </w:rPr>
            </w:pPr>
            <w:r w:rsidRPr="005C6FE4">
              <w:rPr>
                <w:b/>
                <w:color w:val="000000"/>
                <w:sz w:val="24"/>
                <w:szCs w:val="22"/>
              </w:rPr>
              <w:t>$30.00</w:t>
            </w:r>
          </w:p>
        </w:tc>
        <w:tc>
          <w:tcPr>
            <w:tcW w:w="1350" w:type="dxa"/>
            <w:tcBorders>
              <w:top w:val="single" w:sz="7" w:space="0" w:color="000000"/>
              <w:left w:val="single" w:sz="7" w:space="0" w:color="000000"/>
              <w:bottom w:val="single" w:sz="7" w:space="0" w:color="000000"/>
              <w:right w:val="single" w:sz="7" w:space="0" w:color="000000"/>
            </w:tcBorders>
          </w:tcPr>
          <w:p w:rsidR="005C6FE4" w:rsidRPr="005C6FE4" w:rsidP="005C6FE4" w14:paraId="52C715DB" w14:textId="77777777">
            <w:pPr>
              <w:overflowPunct/>
              <w:autoSpaceDE/>
              <w:autoSpaceDN/>
              <w:adjustRightInd/>
              <w:spacing w:after="267" w:line="275" w:lineRule="exact"/>
              <w:ind w:right="115"/>
              <w:jc w:val="right"/>
              <w:rPr>
                <w:b/>
                <w:color w:val="000000"/>
                <w:sz w:val="24"/>
                <w:szCs w:val="22"/>
              </w:rPr>
            </w:pPr>
            <w:r w:rsidRPr="005C6FE4">
              <w:rPr>
                <w:b/>
                <w:color w:val="000000"/>
                <w:sz w:val="24"/>
                <w:szCs w:val="22"/>
              </w:rPr>
              <w:t>$89,460</w:t>
            </w:r>
          </w:p>
        </w:tc>
      </w:tr>
      <w:tr w14:paraId="1294C4E5" w14:textId="77777777" w:rsidTr="004F102B">
        <w:tblPrEx>
          <w:tblW w:w="9868" w:type="dxa"/>
          <w:tblInd w:w="113" w:type="dxa"/>
          <w:tblLayout w:type="fixed"/>
          <w:tblCellMar>
            <w:left w:w="0" w:type="dxa"/>
            <w:right w:w="0" w:type="dxa"/>
          </w:tblCellMar>
          <w:tblLook w:val="04A0"/>
        </w:tblPrEx>
        <w:trPr>
          <w:trHeight w:hRule="exact" w:val="571"/>
        </w:trPr>
        <w:tc>
          <w:tcPr>
            <w:tcW w:w="1588" w:type="dxa"/>
            <w:tcBorders>
              <w:top w:val="single" w:sz="7" w:space="0" w:color="000000"/>
              <w:left w:val="single" w:sz="7" w:space="0" w:color="000000"/>
              <w:bottom w:val="single" w:sz="7" w:space="0" w:color="000000"/>
              <w:right w:val="single" w:sz="7" w:space="0" w:color="000000"/>
            </w:tcBorders>
          </w:tcPr>
          <w:p w:rsidR="005C6FE4" w:rsidRPr="005C6FE4" w:rsidP="005C6FE4" w14:paraId="64A3C536" w14:textId="77777777">
            <w:pPr>
              <w:overflowPunct/>
              <w:autoSpaceDE/>
              <w:autoSpaceDN/>
              <w:adjustRightInd/>
              <w:spacing w:after="281" w:line="275" w:lineRule="exact"/>
              <w:ind w:left="120"/>
              <w:rPr>
                <w:b/>
                <w:color w:val="000000"/>
                <w:sz w:val="24"/>
                <w:szCs w:val="22"/>
              </w:rPr>
            </w:pPr>
            <w:r w:rsidRPr="005C6FE4">
              <w:rPr>
                <w:b/>
                <w:color w:val="000000"/>
                <w:sz w:val="24"/>
                <w:szCs w:val="22"/>
              </w:rPr>
              <w:t>Total</w:t>
            </w:r>
          </w:p>
        </w:tc>
        <w:tc>
          <w:tcPr>
            <w:tcW w:w="1530" w:type="dxa"/>
            <w:tcBorders>
              <w:top w:val="single" w:sz="7" w:space="0" w:color="000000"/>
              <w:left w:val="single" w:sz="7" w:space="0" w:color="000000"/>
              <w:bottom w:val="single" w:sz="7" w:space="0" w:color="000000"/>
              <w:right w:val="single" w:sz="7" w:space="0" w:color="000000"/>
            </w:tcBorders>
          </w:tcPr>
          <w:p w:rsidR="005C6FE4" w:rsidRPr="005C6FE4" w:rsidP="005C6FE4" w14:paraId="79D18334" w14:textId="77777777">
            <w:pPr>
              <w:overflowPunct/>
              <w:autoSpaceDE/>
              <w:autoSpaceDN/>
              <w:adjustRightInd/>
              <w:spacing w:after="281" w:line="275" w:lineRule="exact"/>
              <w:jc w:val="center"/>
              <w:rPr>
                <w:b/>
                <w:color w:val="000000"/>
                <w:sz w:val="24"/>
                <w:szCs w:val="22"/>
              </w:rPr>
            </w:pPr>
            <w:r w:rsidRPr="005C6FE4">
              <w:rPr>
                <w:b/>
                <w:color w:val="000000"/>
                <w:sz w:val="24"/>
                <w:szCs w:val="22"/>
              </w:rPr>
              <w:t>1066</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75A352E1" w14:textId="77777777">
            <w:pPr>
              <w:overflowPunct/>
              <w:autoSpaceDE/>
              <w:autoSpaceDN/>
              <w:adjustRightInd/>
              <w:spacing w:after="281" w:line="275" w:lineRule="exact"/>
              <w:jc w:val="center"/>
              <w:rPr>
                <w:b/>
                <w:color w:val="000000"/>
                <w:sz w:val="24"/>
                <w:szCs w:val="22"/>
              </w:rPr>
            </w:pPr>
            <w:r w:rsidRPr="005C6FE4">
              <w:rPr>
                <w:b/>
                <w:color w:val="000000"/>
                <w:sz w:val="24"/>
                <w:szCs w:val="22"/>
              </w:rPr>
              <w:t>12</w:t>
            </w:r>
          </w:p>
        </w:tc>
        <w:tc>
          <w:tcPr>
            <w:tcW w:w="1170" w:type="dxa"/>
            <w:tcBorders>
              <w:top w:val="single" w:sz="7" w:space="0" w:color="000000"/>
              <w:left w:val="single" w:sz="7" w:space="0" w:color="000000"/>
              <w:bottom w:val="single" w:sz="7" w:space="0" w:color="000000"/>
              <w:right w:val="single" w:sz="7" w:space="0" w:color="000000"/>
            </w:tcBorders>
          </w:tcPr>
          <w:p w:rsidR="005C6FE4" w:rsidRPr="005C6FE4" w:rsidP="005C6FE4" w14:paraId="15AF7EA6" w14:textId="77777777">
            <w:pPr>
              <w:overflowPunct/>
              <w:autoSpaceDE/>
              <w:autoSpaceDN/>
              <w:adjustRightInd/>
              <w:spacing w:after="281" w:line="275" w:lineRule="exact"/>
              <w:jc w:val="center"/>
              <w:rPr>
                <w:b/>
                <w:color w:val="000000"/>
                <w:sz w:val="24"/>
                <w:szCs w:val="22"/>
              </w:rPr>
            </w:pPr>
            <w:r w:rsidRPr="005C6FE4">
              <w:rPr>
                <w:b/>
                <w:color w:val="000000"/>
                <w:sz w:val="24"/>
                <w:szCs w:val="22"/>
              </w:rPr>
              <w:t>1,786</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089A51FE" w14:textId="77777777">
            <w:pPr>
              <w:overflowPunct/>
              <w:autoSpaceDE/>
              <w:autoSpaceDN/>
              <w:adjustRightInd/>
              <w:spacing w:after="281" w:line="275" w:lineRule="exact"/>
              <w:jc w:val="center"/>
              <w:rPr>
                <w:b/>
                <w:color w:val="000000"/>
                <w:sz w:val="24"/>
                <w:szCs w:val="22"/>
              </w:rPr>
            </w:pPr>
            <w:r w:rsidRPr="005C6FE4">
              <w:rPr>
                <w:b/>
                <w:color w:val="000000"/>
                <w:sz w:val="24"/>
                <w:szCs w:val="22"/>
              </w:rPr>
              <w:t>157.20</w:t>
            </w:r>
          </w:p>
        </w:tc>
        <w:tc>
          <w:tcPr>
            <w:tcW w:w="900" w:type="dxa"/>
            <w:tcBorders>
              <w:top w:val="single" w:sz="7" w:space="0" w:color="000000"/>
              <w:left w:val="single" w:sz="7" w:space="0" w:color="000000"/>
              <w:bottom w:val="single" w:sz="7" w:space="0" w:color="000000"/>
              <w:right w:val="single" w:sz="7" w:space="0" w:color="000000"/>
            </w:tcBorders>
          </w:tcPr>
          <w:p w:rsidR="005C6FE4" w:rsidRPr="005C6FE4" w:rsidP="005C6FE4" w14:paraId="23482CC8" w14:textId="77777777">
            <w:pPr>
              <w:overflowPunct/>
              <w:autoSpaceDE/>
              <w:autoSpaceDN/>
              <w:adjustRightInd/>
              <w:spacing w:after="281" w:line="275" w:lineRule="exact"/>
              <w:jc w:val="center"/>
              <w:rPr>
                <w:b/>
                <w:color w:val="000000"/>
                <w:sz w:val="24"/>
                <w:szCs w:val="22"/>
              </w:rPr>
            </w:pPr>
            <w:r w:rsidRPr="005C6FE4">
              <w:rPr>
                <w:b/>
                <w:color w:val="000000"/>
                <w:sz w:val="24"/>
                <w:szCs w:val="22"/>
              </w:rPr>
              <w:t>50,536</w:t>
            </w:r>
          </w:p>
        </w:tc>
        <w:tc>
          <w:tcPr>
            <w:tcW w:w="1080" w:type="dxa"/>
            <w:tcBorders>
              <w:top w:val="single" w:sz="7" w:space="0" w:color="000000"/>
              <w:left w:val="single" w:sz="7" w:space="0" w:color="000000"/>
              <w:bottom w:val="single" w:sz="7" w:space="0" w:color="000000"/>
              <w:right w:val="single" w:sz="7" w:space="0" w:color="000000"/>
            </w:tcBorders>
          </w:tcPr>
          <w:p w:rsidR="005C6FE4" w:rsidRPr="005C6FE4" w:rsidP="005C6FE4" w14:paraId="22EAAE47" w14:textId="77777777">
            <w:pPr>
              <w:tabs>
                <w:tab w:val="decimal" w:pos="720"/>
              </w:tabs>
              <w:overflowPunct/>
              <w:autoSpaceDE/>
              <w:autoSpaceDN/>
              <w:adjustRightInd/>
              <w:spacing w:after="281" w:line="275" w:lineRule="exact"/>
              <w:rPr>
                <w:b/>
                <w:color w:val="000000"/>
                <w:sz w:val="24"/>
                <w:szCs w:val="22"/>
              </w:rPr>
            </w:pPr>
            <w:r w:rsidRPr="005C6FE4">
              <w:rPr>
                <w:b/>
                <w:color w:val="000000"/>
                <w:sz w:val="24"/>
                <w:szCs w:val="22"/>
              </w:rPr>
              <w:t>$30.00</w:t>
            </w:r>
          </w:p>
        </w:tc>
        <w:tc>
          <w:tcPr>
            <w:tcW w:w="1350" w:type="dxa"/>
            <w:tcBorders>
              <w:top w:val="single" w:sz="7" w:space="0" w:color="000000"/>
              <w:left w:val="single" w:sz="7" w:space="0" w:color="000000"/>
              <w:bottom w:val="single" w:sz="7" w:space="0" w:color="000000"/>
              <w:right w:val="single" w:sz="7" w:space="0" w:color="000000"/>
            </w:tcBorders>
          </w:tcPr>
          <w:p w:rsidR="005C6FE4" w:rsidRPr="005C6FE4" w:rsidP="005C6FE4" w14:paraId="202CA76C" w14:textId="77777777">
            <w:pPr>
              <w:overflowPunct/>
              <w:autoSpaceDE/>
              <w:autoSpaceDN/>
              <w:adjustRightInd/>
              <w:spacing w:line="275" w:lineRule="exact"/>
              <w:ind w:right="108"/>
              <w:jc w:val="right"/>
              <w:rPr>
                <w:b/>
                <w:color w:val="000000"/>
                <w:sz w:val="24"/>
                <w:szCs w:val="22"/>
              </w:rPr>
            </w:pPr>
            <w:r w:rsidRPr="005C6FE4">
              <w:rPr>
                <w:b/>
                <w:color w:val="000000"/>
                <w:sz w:val="24"/>
                <w:szCs w:val="22"/>
              </w:rPr>
              <w:t>$1,516,080</w:t>
            </w:r>
          </w:p>
          <w:p w:rsidR="005C6FE4" w:rsidRPr="005C6FE4" w:rsidP="005C6FE4" w14:paraId="6C1F949A" w14:textId="77777777">
            <w:pPr>
              <w:overflowPunct/>
              <w:autoSpaceDE/>
              <w:autoSpaceDN/>
              <w:adjustRightInd/>
              <w:spacing w:before="3" w:after="3" w:line="275" w:lineRule="exact"/>
              <w:ind w:right="108"/>
              <w:jc w:val="right"/>
              <w:rPr>
                <w:b/>
                <w:color w:val="000000"/>
                <w:sz w:val="24"/>
                <w:szCs w:val="22"/>
              </w:rPr>
            </w:pPr>
          </w:p>
        </w:tc>
      </w:tr>
    </w:tbl>
    <w:p w:rsidR="00167E53" w:rsidP="005C6FE4" w14:paraId="70523CDC" w14:textId="77777777">
      <w:pPr>
        <w:keepLines/>
        <w:tabs>
          <w:tab w:val="left" w:pos="360"/>
          <w:tab w:val="left" w:pos="720"/>
          <w:tab w:val="center" w:pos="1680"/>
          <w:tab w:val="center" w:pos="3120"/>
          <w:tab w:val="center" w:pos="4560"/>
          <w:tab w:val="center" w:pos="6000"/>
          <w:tab w:val="center" w:pos="7440"/>
          <w:tab w:val="center" w:pos="8880"/>
        </w:tabs>
        <w:rPr>
          <w:sz w:val="24"/>
          <w:szCs w:val="24"/>
        </w:rPr>
      </w:pPr>
    </w:p>
    <w:p w:rsidR="00F77A7F" w:rsidRPr="00F77A7F" w:rsidP="00F77A7F" w14:paraId="1DF5C28E" w14:textId="77777777">
      <w:pPr>
        <w:overflowPunct/>
        <w:ind w:left="720"/>
        <w:textAlignment w:val="auto"/>
        <w:rPr>
          <w:sz w:val="24"/>
        </w:rPr>
      </w:pPr>
      <w:r w:rsidRPr="00F77A7F">
        <w:rPr>
          <w:sz w:val="24"/>
        </w:rPr>
        <w:t>Estimates are for quarterly and annual reports, enforcement logs, and record-keeping. Supplemental outcome reports, and final reports are based on approximately one hundred four (142) applications, estimate based upon the average of the number of submissions for NOFO</w:t>
      </w:r>
      <w:r>
        <w:rPr>
          <w:sz w:val="24"/>
        </w:rPr>
        <w:t xml:space="preserve"> </w:t>
      </w:r>
      <w:r w:rsidRPr="00F77A7F">
        <w:rPr>
          <w:sz w:val="24"/>
        </w:rPr>
        <w:t>years 20</w:t>
      </w:r>
      <w:r>
        <w:rPr>
          <w:sz w:val="24"/>
        </w:rPr>
        <w:t>1</w:t>
      </w:r>
      <w:r w:rsidRPr="00F77A7F">
        <w:rPr>
          <w:sz w:val="24"/>
        </w:rPr>
        <w:t>9 to current and given that this number fluctuated from a low of 135 to a high of 149 applications.  The 142 average respondents are required to report 4 times annually (or quarterly reports) on program performance and financial status.</w:t>
      </w:r>
    </w:p>
    <w:p w:rsidR="00F77A7F" w:rsidRPr="00F77A7F" w:rsidP="00F77A7F" w14:paraId="78357429" w14:textId="77777777">
      <w:pPr>
        <w:overflowPunct/>
        <w:ind w:firstLine="724"/>
        <w:textAlignment w:val="auto"/>
        <w:rPr>
          <w:sz w:val="24"/>
        </w:rPr>
      </w:pPr>
      <w:r w:rsidRPr="00F77A7F">
        <w:rPr>
          <w:sz w:val="24"/>
        </w:rPr>
        <w:t xml:space="preserve">   </w:t>
      </w:r>
    </w:p>
    <w:p w:rsidR="00F77A7F" w:rsidRPr="00F77A7F" w:rsidP="00F77A7F" w14:paraId="35B63A0A" w14:textId="77777777">
      <w:pPr>
        <w:overflowPunct/>
        <w:ind w:left="720"/>
        <w:textAlignment w:val="auto"/>
        <w:rPr>
          <w:sz w:val="24"/>
        </w:rPr>
      </w:pPr>
      <w:r>
        <w:rPr>
          <w:sz w:val="24"/>
        </w:rPr>
        <w:t>Ninety-eight (98</w:t>
      </w:r>
      <w:r w:rsidRPr="00F77A7F">
        <w:rPr>
          <w:sz w:val="24"/>
        </w:rPr>
        <w:t xml:space="preserve">) of the 142 applicants are projected to be funded under the Private Enforcement Initiative under future funding rounds and require completion and submission of an enforcement log.  In addition to the Enforcement Log, the Department also requires supplemental input into HEMS using (Forms HUD-904A (Types of Closures), B (Bases and Issues in Tests) and C (Bases and Issues of Reports of Discrimination) which are used to collect complaint information, which provides data on the complainants’ and the respondents’ vital statistics, basis of discrimination, date of violation and outcomes outside of those referred to the Department.  This data is used by the Fair Housing Initiative Program agencies to track the number of complaints and assist HUD in determining whether grantees are honoring the mandatory referral requirement as prescribed in the NOFO.  </w:t>
      </w:r>
    </w:p>
    <w:p w:rsidR="00F77A7F" w:rsidRPr="00F77A7F" w:rsidP="00F77A7F" w14:paraId="2ADD4FE6" w14:textId="77777777">
      <w:pPr>
        <w:overflowPunct/>
        <w:ind w:firstLine="724"/>
        <w:textAlignment w:val="auto"/>
        <w:rPr>
          <w:sz w:val="24"/>
        </w:rPr>
      </w:pPr>
    </w:p>
    <w:p w:rsidR="00F77A7F" w:rsidRPr="00F77A7F" w:rsidP="00F77A7F" w14:paraId="074F0239" w14:textId="77777777">
      <w:pPr>
        <w:overflowPunct/>
        <w:ind w:left="720"/>
        <w:textAlignment w:val="auto"/>
        <w:rPr>
          <w:sz w:val="24"/>
        </w:rPr>
      </w:pPr>
      <w:r w:rsidRPr="00F77A7F">
        <w:rPr>
          <w:sz w:val="24"/>
        </w:rPr>
        <w:t xml:space="preserve">The Quarterly Reports are required of approximately 142 applicants.  The Quarterly Reports provide the Department with grid reporting and narrative reporting of the status of program tasks and deliverables. These outcomes of activity require grantee information on Types of Closures, Bases and Issues of Tests and Bases and Issues of Discrimination on settlements, conciliations, and judgments not reported on the Enforcement Logs.  The report process assists HUD in evaluating performance and providing early intervention to grantees if needed.  The Final Report is a compilation of activities for the prescribed grant period and is required within 90 days of the close of grant activities for each grant.  It provides HUD with a summary that includes objectives, accomplishments, and results; complaint and testing activities that summarize the number of complaints filed by basis and issue, relief and/or complaint outcomes, and filing status. </w:t>
      </w:r>
    </w:p>
    <w:p w:rsidR="00F77A7F" w:rsidRPr="00F77A7F" w:rsidP="00F77A7F" w14:paraId="7D150C1C" w14:textId="77777777">
      <w:pPr>
        <w:overflowPunct/>
        <w:ind w:firstLine="724"/>
        <w:textAlignment w:val="auto"/>
        <w:rPr>
          <w:sz w:val="24"/>
        </w:rPr>
      </w:pPr>
      <w:r w:rsidRPr="00F77A7F">
        <w:rPr>
          <w:sz w:val="24"/>
        </w:rPr>
        <w:t xml:space="preserve">  </w:t>
      </w:r>
    </w:p>
    <w:p w:rsidR="00F77A7F" w:rsidP="00F77A7F" w14:paraId="2B7E9259" w14:textId="77777777">
      <w:pPr>
        <w:keepLines/>
        <w:tabs>
          <w:tab w:val="left" w:pos="360"/>
          <w:tab w:val="left" w:pos="720"/>
          <w:tab w:val="center" w:pos="1680"/>
          <w:tab w:val="center" w:pos="3120"/>
          <w:tab w:val="center" w:pos="4560"/>
          <w:tab w:val="center" w:pos="6000"/>
          <w:tab w:val="center" w:pos="7440"/>
          <w:tab w:val="center" w:pos="8880"/>
        </w:tabs>
        <w:ind w:left="840"/>
        <w:rPr>
          <w:bCs/>
          <w:iCs/>
          <w:sz w:val="24"/>
        </w:rPr>
      </w:pPr>
      <w:r w:rsidRPr="00F77A7F">
        <w:rPr>
          <w:sz w:val="24"/>
        </w:rPr>
        <w:t xml:space="preserve">Hours per response are averages based on grantee estimates of time to review instructions, search existing data sources, gather and maintain the data needed, and complete or respond to and review the collection of information. Actual time will vary because of differences in activity, size, or complexity of grant, and depending on whether grantee automates format.  Total costs are calculated (rounded to the nearest dollar): </w:t>
      </w:r>
      <w:r w:rsidRPr="00F77A7F">
        <w:rPr>
          <w:bCs/>
          <w:iCs/>
          <w:sz w:val="24"/>
        </w:rPr>
        <w:t xml:space="preserve">Total Burden Hours = </w:t>
      </w:r>
      <w:r w:rsidR="001E09DD">
        <w:rPr>
          <w:bCs/>
          <w:iCs/>
          <w:sz w:val="24"/>
        </w:rPr>
        <w:t>50,536</w:t>
      </w:r>
      <w:r w:rsidRPr="00F77A7F">
        <w:rPr>
          <w:bCs/>
          <w:iCs/>
          <w:sz w:val="24"/>
        </w:rPr>
        <w:t xml:space="preserve"> x professional hourly rate of $30.00.</w:t>
      </w:r>
    </w:p>
    <w:p w:rsidR="00F77A7F" w:rsidRPr="006C7FAE" w:rsidP="00F77A7F" w14:paraId="31C123B2"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9E13B1" w:rsidRPr="006C7FAE" w14:paraId="59832274" w14:textId="77777777">
      <w:pPr>
        <w:tabs>
          <w:tab w:val="left" w:pos="360"/>
        </w:tabs>
        <w:ind w:left="360" w:hanging="360"/>
        <w:rPr>
          <w:sz w:val="24"/>
          <w:szCs w:val="24"/>
        </w:rPr>
      </w:pPr>
      <w:r w:rsidRPr="006C7FAE">
        <w:rPr>
          <w:sz w:val="24"/>
          <w:szCs w:val="24"/>
        </w:rPr>
        <w:t>13.</w:t>
      </w:r>
      <w:r w:rsidRPr="006C7FAE">
        <w:rPr>
          <w:sz w:val="24"/>
          <w:szCs w:val="24"/>
        </w:rPr>
        <w:tab/>
        <w:t xml:space="preserve">Provide an estimate of the total annual cost burden to respondents </w:t>
      </w:r>
      <w:r w:rsidR="00CD670C">
        <w:rPr>
          <w:sz w:val="24"/>
          <w:szCs w:val="24"/>
        </w:rPr>
        <w:t>for</w:t>
      </w:r>
      <w:r w:rsidRPr="006C7FAE">
        <w:rPr>
          <w:sz w:val="24"/>
          <w:szCs w:val="24"/>
        </w:rPr>
        <w:t xml:space="preserve"> recordkeepers resulting from the collection of information (do not include the cost of any hour burden shown in Items 12 and 14). </w:t>
      </w:r>
    </w:p>
    <w:p w:rsidR="009E13B1" w:rsidRPr="006C7FAE" w14:paraId="16CD9E39"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14:paraId="693BC1A1"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6C7FAE" w14:paraId="34801DEC"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w:t>
      </w:r>
      <w:r w:rsidR="00F77A7F">
        <w:rPr>
          <w:sz w:val="24"/>
          <w:szCs w:val="24"/>
        </w:rPr>
        <w:t xml:space="preserve"> </w:t>
      </w:r>
      <w:r w:rsidRPr="006C7FAE">
        <w:rPr>
          <w:sz w:val="24"/>
          <w:szCs w:val="24"/>
        </w:rPr>
        <w:t>records for the government, or (4) as part of customary and usual business or private practices.</w:t>
      </w:r>
    </w:p>
    <w:p w:rsidR="00953989" w:rsidP="00F77A7F" w14:paraId="3208B7CF" w14:textId="77777777">
      <w:pPr>
        <w:ind w:firstLine="480"/>
        <w:rPr>
          <w:sz w:val="24"/>
          <w:szCs w:val="24"/>
        </w:rPr>
      </w:pPr>
    </w:p>
    <w:p w:rsidR="00F77A7F" w:rsidRPr="00F77A7F" w:rsidP="00F77A7F" w14:paraId="13804835" w14:textId="77777777">
      <w:pPr>
        <w:ind w:firstLine="480"/>
        <w:rPr>
          <w:sz w:val="24"/>
          <w:szCs w:val="24"/>
        </w:rPr>
      </w:pPr>
      <w:r w:rsidRPr="00F77A7F">
        <w:rPr>
          <w:sz w:val="24"/>
          <w:szCs w:val="24"/>
        </w:rPr>
        <w:t xml:space="preserve">This information collection does not result in an additional </w:t>
      </w:r>
      <w:r>
        <w:rPr>
          <w:sz w:val="24"/>
          <w:szCs w:val="24"/>
        </w:rPr>
        <w:t xml:space="preserve">annual </w:t>
      </w:r>
      <w:r w:rsidRPr="00F77A7F">
        <w:rPr>
          <w:sz w:val="24"/>
          <w:szCs w:val="24"/>
        </w:rPr>
        <w:t>cost burden to respondents.</w:t>
      </w:r>
    </w:p>
    <w:p w:rsidR="009E13B1" w:rsidRPr="00CD670C" w14:paraId="3B5EE216" w14:textId="77777777">
      <w:pPr>
        <w:keepLines/>
        <w:tabs>
          <w:tab w:val="left" w:pos="360"/>
          <w:tab w:val="left" w:pos="720"/>
        </w:tabs>
        <w:ind w:left="360"/>
        <w:rPr>
          <w:sz w:val="24"/>
          <w:szCs w:val="24"/>
        </w:rPr>
      </w:pPr>
    </w:p>
    <w:p w:rsidR="009E13B1" w:rsidRPr="006C7FAE" w14:paraId="42142EBF"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RPr="006C7FAE" w:rsidP="00167E53" w14:paraId="1B523D8A" w14:textId="77777777">
      <w:pPr>
        <w:overflowPunct/>
        <w:autoSpaceDE/>
        <w:autoSpaceDN/>
        <w:adjustRightInd/>
        <w:spacing w:after="80"/>
        <w:ind w:left="360"/>
        <w:textAlignment w:val="auto"/>
        <w:rPr>
          <w:rFonts w:eastAsia="Calibri"/>
          <w:color w:val="000000"/>
        </w:rPr>
      </w:pPr>
    </w:p>
    <w:p w:rsidR="00F77A7F" w:rsidRPr="00F77A7F" w:rsidP="00F77A7F" w14:paraId="3D0F9D0B" w14:textId="77777777">
      <w:pPr>
        <w:overflowPunct/>
        <w:ind w:left="360"/>
        <w:textAlignment w:val="auto"/>
        <w:rPr>
          <w:sz w:val="24"/>
        </w:rPr>
      </w:pPr>
      <w:r w:rsidRPr="00F77A7F">
        <w:rPr>
          <w:sz w:val="24"/>
        </w:rPr>
        <w:t>There will not be any additional cost to the Federal Government as a result of this information collection beyond the usual personnel costs to review and select applications, award funding, and monitor performance of grantees.</w:t>
      </w:r>
    </w:p>
    <w:p w:rsidR="009E13B1" w14:paraId="1B087488" w14:textId="77777777">
      <w:pPr>
        <w:tabs>
          <w:tab w:val="left" w:pos="360"/>
        </w:tabs>
        <w:ind w:left="360" w:hanging="360"/>
        <w:rPr>
          <w:sz w:val="24"/>
          <w:szCs w:val="24"/>
        </w:rPr>
      </w:pPr>
    </w:p>
    <w:p w:rsidR="009E13B1" w14:paraId="2E6B4E76" w14:textId="77777777">
      <w:pPr>
        <w:keepLines/>
        <w:tabs>
          <w:tab w:val="left" w:pos="360"/>
        </w:tabs>
        <w:spacing w:after="80"/>
        <w:ind w:left="360" w:hanging="360"/>
        <w:rPr>
          <w:sz w:val="24"/>
          <w:szCs w:val="24"/>
        </w:rPr>
      </w:pPr>
      <w:r w:rsidRPr="006C7FAE">
        <w:rPr>
          <w:sz w:val="24"/>
          <w:szCs w:val="24"/>
        </w:rPr>
        <w:t>15.</w:t>
      </w:r>
      <w:r w:rsidRPr="006C7FAE">
        <w:rPr>
          <w:sz w:val="24"/>
          <w:szCs w:val="24"/>
        </w:rPr>
        <w:tab/>
        <w:t xml:space="preserve">Explain the reasons for any program changes or adjustments reported in Items 13 and 14 of the </w:t>
      </w:r>
      <w:r w:rsidR="00CA06CC">
        <w:rPr>
          <w:sz w:val="24"/>
          <w:szCs w:val="24"/>
        </w:rPr>
        <w:t>Supporting Statement</w:t>
      </w:r>
      <w:r w:rsidRPr="006C7FAE">
        <w:rPr>
          <w:sz w:val="24"/>
          <w:szCs w:val="24"/>
        </w:rPr>
        <w:t>.</w:t>
      </w:r>
    </w:p>
    <w:p w:rsidR="00953989" w14:paraId="65ADE287" w14:textId="77777777">
      <w:pPr>
        <w:keepLines/>
        <w:tabs>
          <w:tab w:val="left" w:pos="360"/>
        </w:tabs>
        <w:spacing w:after="80"/>
        <w:ind w:left="360" w:hanging="360"/>
        <w:rPr>
          <w:sz w:val="24"/>
          <w:szCs w:val="24"/>
        </w:rPr>
      </w:pPr>
      <w:r>
        <w:rPr>
          <w:sz w:val="24"/>
          <w:szCs w:val="24"/>
        </w:rPr>
        <w:tab/>
      </w:r>
    </w:p>
    <w:p w:rsidR="00AF44B3" w:rsidRPr="00AF44B3" w14:paraId="5AD830D4" w14:textId="77777777">
      <w:pPr>
        <w:keepLines/>
        <w:tabs>
          <w:tab w:val="left" w:pos="360"/>
        </w:tabs>
        <w:spacing w:after="80"/>
        <w:ind w:left="360" w:hanging="360"/>
        <w:rPr>
          <w:sz w:val="24"/>
          <w:szCs w:val="24"/>
        </w:rPr>
      </w:pPr>
      <w:r>
        <w:rPr>
          <w:sz w:val="24"/>
          <w:szCs w:val="24"/>
        </w:rPr>
        <w:tab/>
      </w:r>
      <w:r w:rsidRPr="00AF44B3">
        <w:rPr>
          <w:sz w:val="24"/>
          <w:szCs w:val="24"/>
        </w:rPr>
        <w:t>This proposed collection is an extension to a currently approved collection, OMB Control Number 2529-0033, and reflects a burden change from the 2019 approval to reflect an abstract reporting function, and the elimination of one rating factor.</w:t>
      </w:r>
    </w:p>
    <w:p w:rsidR="009E13B1" w:rsidRPr="006C7FAE" w14:paraId="32D62269" w14:textId="77777777">
      <w:pPr>
        <w:keepLines/>
        <w:tabs>
          <w:tab w:val="left" w:pos="360"/>
          <w:tab w:val="left" w:pos="720"/>
        </w:tabs>
        <w:ind w:left="360"/>
        <w:rPr>
          <w:sz w:val="24"/>
          <w:szCs w:val="24"/>
        </w:rPr>
      </w:pPr>
    </w:p>
    <w:p w:rsidR="009E13B1" w:rsidRPr="006C7FAE" w14:paraId="5BF2F77A"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989" w:rsidP="00AF44B3" w14:paraId="130CDB4A" w14:textId="77777777">
      <w:pPr>
        <w:overflowPunct/>
        <w:ind w:left="360"/>
        <w:textAlignment w:val="auto"/>
        <w:rPr>
          <w:sz w:val="24"/>
        </w:rPr>
      </w:pPr>
    </w:p>
    <w:p w:rsidR="00AF44B3" w:rsidRPr="00AF44B3" w:rsidP="00AF44B3" w14:paraId="6F4562CC" w14:textId="77777777">
      <w:pPr>
        <w:overflowPunct/>
        <w:ind w:left="360"/>
        <w:textAlignment w:val="auto"/>
        <w:rPr>
          <w:sz w:val="24"/>
        </w:rPr>
      </w:pPr>
      <w:r w:rsidRPr="00AF44B3">
        <w:rPr>
          <w:sz w:val="24"/>
        </w:rPr>
        <w:t xml:space="preserve">The Department will publish an annual Notice of Funding Opportunity (NOFO) for which applicants submit application proposals for funding in accordance with this collection.  The NOFO publication date is dependent upon the publication date of the Department’s General Section to HUD’s Fiscal Year NOFO for Discretionary Program.  Therefore, the publication date varies annually.  Grant award durations ranged from 12-36 months.  Funded applicants are required to complete quarterly reports throughout the duration of individual grant, and grant start and closure dates vary.  Quarterly reports are used to extract information to support future funding, grantee achievements and other information as part of the Department’s Annual Report to Congress and under the Transparency requirements. All dates vary annually. </w:t>
      </w:r>
    </w:p>
    <w:p w:rsidR="009E13B1" w:rsidRPr="006C7FAE" w14:paraId="53EC1FCC" w14:textId="77777777">
      <w:pPr>
        <w:tabs>
          <w:tab w:val="left" w:pos="360"/>
        </w:tabs>
        <w:ind w:left="360" w:hanging="360"/>
        <w:rPr>
          <w:sz w:val="24"/>
          <w:szCs w:val="24"/>
        </w:rPr>
      </w:pPr>
    </w:p>
    <w:p w:rsidR="009E13B1" w:rsidRPr="006C7FAE" w14:paraId="248CC055"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953989" w14:paraId="46BB53F2" w14:textId="77777777">
      <w:pPr>
        <w:keepLines/>
        <w:tabs>
          <w:tab w:val="left" w:pos="360"/>
          <w:tab w:val="left" w:pos="720"/>
        </w:tabs>
        <w:ind w:left="360"/>
        <w:rPr>
          <w:sz w:val="24"/>
          <w:szCs w:val="24"/>
        </w:rPr>
      </w:pPr>
    </w:p>
    <w:p w:rsidR="009E13B1" w14:paraId="1B90474E" w14:textId="77777777">
      <w:pPr>
        <w:keepLines/>
        <w:tabs>
          <w:tab w:val="left" w:pos="360"/>
          <w:tab w:val="left" w:pos="720"/>
        </w:tabs>
        <w:ind w:left="360"/>
        <w:rPr>
          <w:sz w:val="24"/>
          <w:szCs w:val="24"/>
        </w:rPr>
      </w:pPr>
      <w:r w:rsidRPr="00AF44B3">
        <w:rPr>
          <w:sz w:val="24"/>
          <w:szCs w:val="24"/>
        </w:rPr>
        <w:t>There is no request seeking approval to not display the expiration date for OMB approval of the information collection.</w:t>
      </w:r>
    </w:p>
    <w:p w:rsidR="00AF44B3" w:rsidRPr="00AF44B3" w14:paraId="090C2D64" w14:textId="77777777">
      <w:pPr>
        <w:keepLines/>
        <w:tabs>
          <w:tab w:val="left" w:pos="360"/>
          <w:tab w:val="left" w:pos="720"/>
        </w:tabs>
        <w:ind w:left="360"/>
        <w:rPr>
          <w:sz w:val="24"/>
          <w:szCs w:val="24"/>
        </w:rPr>
      </w:pPr>
    </w:p>
    <w:p w:rsidR="009E13B1" w:rsidRPr="006C7FAE" w14:paraId="333615B1"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953989" w14:paraId="3CEB0244" w14:textId="77777777">
      <w:pPr>
        <w:keepLines/>
        <w:tabs>
          <w:tab w:val="left" w:pos="360"/>
          <w:tab w:val="left" w:pos="720"/>
        </w:tabs>
        <w:ind w:left="360"/>
        <w:rPr>
          <w:sz w:val="24"/>
          <w:szCs w:val="24"/>
        </w:rPr>
      </w:pPr>
    </w:p>
    <w:p w:rsidR="009E13B1" w:rsidRPr="00B40F9F" w14:paraId="1EC2B1D0" w14:textId="77777777">
      <w:pPr>
        <w:keepLines/>
        <w:tabs>
          <w:tab w:val="left" w:pos="360"/>
          <w:tab w:val="left" w:pos="720"/>
        </w:tabs>
        <w:ind w:left="360"/>
        <w:rPr>
          <w:sz w:val="24"/>
          <w:szCs w:val="24"/>
        </w:rPr>
      </w:pPr>
      <w:r w:rsidRPr="00B40F9F">
        <w:rPr>
          <w:sz w:val="24"/>
          <w:szCs w:val="24"/>
        </w:rPr>
        <w:t>There are no exceptions to the certification statement identified in Item 19</w:t>
      </w:r>
    </w:p>
    <w:p w:rsidR="009E13B1" w:rsidRPr="006C7FAE" w14:paraId="2E2C3A80" w14:textId="77777777">
      <w:pPr>
        <w:tabs>
          <w:tab w:val="left" w:pos="360"/>
          <w:tab w:val="left" w:pos="720"/>
        </w:tabs>
        <w:rPr>
          <w:sz w:val="24"/>
          <w:szCs w:val="24"/>
        </w:rPr>
      </w:pPr>
    </w:p>
    <w:p w:rsidR="009E13B1" w:rsidRPr="006C7FAE" w:rsidP="00167E53" w14:paraId="71CD1458"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sectPr w:rsidSect="006C7FAE">
      <w:headerReference w:type="default" r:id="rId7"/>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1F32C31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082486885">
    <w:abstractNumId w:val="4"/>
  </w:num>
  <w:num w:numId="2" w16cid:durableId="699932952">
    <w:abstractNumId w:val="2"/>
  </w:num>
  <w:num w:numId="3" w16cid:durableId="1488862914">
    <w:abstractNumId w:val="8"/>
  </w:num>
  <w:num w:numId="4" w16cid:durableId="1731541599">
    <w:abstractNumId w:val="5"/>
  </w:num>
  <w:num w:numId="5" w16cid:durableId="2126532332">
    <w:abstractNumId w:val="6"/>
  </w:num>
  <w:num w:numId="6" w16cid:durableId="1729842718">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441800806">
    <w:abstractNumId w:val="3"/>
  </w:num>
  <w:num w:numId="8" w16cid:durableId="2132552879">
    <w:abstractNumId w:val="11"/>
  </w:num>
  <w:num w:numId="9" w16cid:durableId="1995255645">
    <w:abstractNumId w:val="1"/>
  </w:num>
  <w:num w:numId="10" w16cid:durableId="802700490">
    <w:abstractNumId w:val="10"/>
  </w:num>
  <w:num w:numId="11" w16cid:durableId="1133329524">
    <w:abstractNumId w:val="9"/>
  </w:num>
  <w:num w:numId="12" w16cid:durableId="1916358894">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40393837">
    <w:abstractNumId w:val="7"/>
  </w:num>
  <w:num w:numId="14" w16cid:durableId="1234661106">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ollard, Colette">
    <w15:presenceInfo w15:providerId="AD" w15:userId="S::Colette.Pollard@hud.gov::082b7022-5d05-4d57-baf7-f8c5caf028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10036"/>
    <w:rsid w:val="0008332E"/>
    <w:rsid w:val="000A1639"/>
    <w:rsid w:val="000C117C"/>
    <w:rsid w:val="000C38FD"/>
    <w:rsid w:val="000E00A8"/>
    <w:rsid w:val="000E2A89"/>
    <w:rsid w:val="000E4F12"/>
    <w:rsid w:val="00112F17"/>
    <w:rsid w:val="00167E53"/>
    <w:rsid w:val="001C7E8B"/>
    <w:rsid w:val="001D60B9"/>
    <w:rsid w:val="001E09DD"/>
    <w:rsid w:val="0023256B"/>
    <w:rsid w:val="002A34EB"/>
    <w:rsid w:val="002B257F"/>
    <w:rsid w:val="002F6CE8"/>
    <w:rsid w:val="00360090"/>
    <w:rsid w:val="00364EEF"/>
    <w:rsid w:val="003F26F1"/>
    <w:rsid w:val="00426C51"/>
    <w:rsid w:val="00450591"/>
    <w:rsid w:val="004B65D0"/>
    <w:rsid w:val="004F102B"/>
    <w:rsid w:val="004F7A36"/>
    <w:rsid w:val="005523E2"/>
    <w:rsid w:val="0058747D"/>
    <w:rsid w:val="005C1E6E"/>
    <w:rsid w:val="005C6FE4"/>
    <w:rsid w:val="0062710B"/>
    <w:rsid w:val="0063558D"/>
    <w:rsid w:val="0067393E"/>
    <w:rsid w:val="006B7674"/>
    <w:rsid w:val="006C4830"/>
    <w:rsid w:val="006C7FAE"/>
    <w:rsid w:val="00741953"/>
    <w:rsid w:val="0079348A"/>
    <w:rsid w:val="007B4A33"/>
    <w:rsid w:val="00852D40"/>
    <w:rsid w:val="00854A5E"/>
    <w:rsid w:val="008A7175"/>
    <w:rsid w:val="009358BE"/>
    <w:rsid w:val="009455D5"/>
    <w:rsid w:val="00953989"/>
    <w:rsid w:val="00980A31"/>
    <w:rsid w:val="009E0C3E"/>
    <w:rsid w:val="009E13B1"/>
    <w:rsid w:val="00A60F6A"/>
    <w:rsid w:val="00A83E46"/>
    <w:rsid w:val="00AB0034"/>
    <w:rsid w:val="00AF44B3"/>
    <w:rsid w:val="00B01940"/>
    <w:rsid w:val="00B03398"/>
    <w:rsid w:val="00B04BA6"/>
    <w:rsid w:val="00B40F9F"/>
    <w:rsid w:val="00B557F9"/>
    <w:rsid w:val="00B55998"/>
    <w:rsid w:val="00B877DC"/>
    <w:rsid w:val="00B94401"/>
    <w:rsid w:val="00BB0BA2"/>
    <w:rsid w:val="00BC10AF"/>
    <w:rsid w:val="00BC50C0"/>
    <w:rsid w:val="00CA06CC"/>
    <w:rsid w:val="00CB608E"/>
    <w:rsid w:val="00CD670C"/>
    <w:rsid w:val="00CE1567"/>
    <w:rsid w:val="00CF1252"/>
    <w:rsid w:val="00D717DB"/>
    <w:rsid w:val="00D97F95"/>
    <w:rsid w:val="00DB7313"/>
    <w:rsid w:val="00E9066E"/>
    <w:rsid w:val="00EA785D"/>
    <w:rsid w:val="00F27C8F"/>
    <w:rsid w:val="00F50476"/>
    <w:rsid w:val="00F5145B"/>
    <w:rsid w:val="00F77A7F"/>
    <w:rsid w:val="00FB63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182C7F"/>
  <w15:chartTrackingRefBased/>
  <w15:docId w15:val="{B5FE86FA-063B-4C6C-A0F5-0DF53176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customStyle="1" w:styleId="Details">
    <w:name w:val="Details"/>
    <w:basedOn w:val="Normal"/>
    <w:link w:val="DetailsChar"/>
    <w:qFormat/>
    <w:rsid w:val="00B557F9"/>
    <w:pPr>
      <w:overflowPunct/>
      <w:autoSpaceDE/>
      <w:autoSpaceDN/>
      <w:adjustRightInd/>
      <w:spacing w:before="60" w:after="20"/>
      <w:textAlignment w:val="auto"/>
    </w:pPr>
    <w:rPr>
      <w:rFonts w:ascii="Calibri" w:eastAsia="Calibri" w:hAnsi="Calibri"/>
      <w:color w:val="262626"/>
      <w:szCs w:val="22"/>
    </w:rPr>
  </w:style>
  <w:style w:type="character" w:customStyle="1" w:styleId="DetailsChar">
    <w:name w:val="Details Char"/>
    <w:link w:val="Details"/>
    <w:rsid w:val="00B557F9"/>
    <w:rPr>
      <w:rFonts w:ascii="Calibri" w:eastAsia="Calibri" w:hAnsi="Calibri"/>
      <w:color w:val="262626"/>
      <w:szCs w:val="22"/>
    </w:rPr>
  </w:style>
  <w:style w:type="paragraph" w:styleId="BodyTextIndent2">
    <w:name w:val="Body Text Indent 2"/>
    <w:basedOn w:val="Normal"/>
    <w:link w:val="BodyTextIndent2Char"/>
    <w:semiHidden/>
    <w:rsid w:val="00364EEF"/>
    <w:pPr>
      <w:overflowPunct/>
      <w:ind w:firstLine="738"/>
      <w:textAlignment w:val="auto"/>
    </w:pPr>
  </w:style>
  <w:style w:type="character" w:customStyle="1" w:styleId="BodyTextIndent2Char">
    <w:name w:val="Body Text Indent 2 Char"/>
    <w:basedOn w:val="DefaultParagraphFont"/>
    <w:link w:val="BodyTextIndent2"/>
    <w:semiHidden/>
    <w:rsid w:val="00364EEF"/>
  </w:style>
  <w:style w:type="character" w:styleId="CommentReference">
    <w:name w:val="annotation reference"/>
    <w:uiPriority w:val="99"/>
    <w:semiHidden/>
    <w:unhideWhenUsed/>
    <w:rsid w:val="00B55998"/>
    <w:rPr>
      <w:sz w:val="16"/>
      <w:szCs w:val="16"/>
    </w:rPr>
  </w:style>
  <w:style w:type="paragraph" w:styleId="CommentText">
    <w:name w:val="annotation text"/>
    <w:basedOn w:val="Normal"/>
    <w:link w:val="CommentTextChar"/>
    <w:uiPriority w:val="99"/>
    <w:unhideWhenUsed/>
    <w:rsid w:val="00B55998"/>
  </w:style>
  <w:style w:type="character" w:customStyle="1" w:styleId="CommentTextChar">
    <w:name w:val="Comment Text Char"/>
    <w:basedOn w:val="DefaultParagraphFont"/>
    <w:link w:val="CommentText"/>
    <w:uiPriority w:val="99"/>
    <w:rsid w:val="00B55998"/>
  </w:style>
  <w:style w:type="paragraph" w:styleId="CommentSubject">
    <w:name w:val="annotation subject"/>
    <w:basedOn w:val="CommentText"/>
    <w:next w:val="CommentText"/>
    <w:link w:val="CommentSubjectChar"/>
    <w:uiPriority w:val="99"/>
    <w:semiHidden/>
    <w:unhideWhenUsed/>
    <w:rsid w:val="00B55998"/>
    <w:rPr>
      <w:b/>
      <w:bCs/>
    </w:rPr>
  </w:style>
  <w:style w:type="character" w:customStyle="1" w:styleId="CommentSubjectChar">
    <w:name w:val="Comment Subject Char"/>
    <w:link w:val="CommentSubject"/>
    <w:uiPriority w:val="99"/>
    <w:semiHidden/>
    <w:rsid w:val="00B559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H:\AII.OLD\FORMS\Reports_Mgmt\83-I-O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FC3FE-CE3C-4EE8-8E3F-0F9792F4B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83-I-OMB.DOT</Template>
  <TotalTime>1</TotalTime>
  <Pages>7</Pages>
  <Words>3152</Words>
  <Characters>17972</Characters>
  <Application>Microsoft Office Word</Application>
  <DocSecurity>2</DocSecurity>
  <Lines>149</Lines>
  <Paragraphs>42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Pollard, Colette</cp:lastModifiedBy>
  <cp:revision>2</cp:revision>
  <cp:lastPrinted>2022-11-28T12:21:00Z</cp:lastPrinted>
  <dcterms:created xsi:type="dcterms:W3CDTF">2023-09-27T18:57:00Z</dcterms:created>
  <dcterms:modified xsi:type="dcterms:W3CDTF">2023-09-27T18:57:00Z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