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74390" w:rsidRPr="00AB74A8" w:rsidP="00674390" w14:paraId="6B1BE145" w14:textId="5DD7ABAE">
      <w:pPr>
        <w:rPr>
          <w:b/>
        </w:rPr>
      </w:pPr>
      <w:r w:rsidRPr="00AB74A8">
        <w:rPr>
          <w:b/>
        </w:rPr>
        <w:t xml:space="preserve">REQUEST FOR APPROVAL under the Generic Clearance for </w:t>
      </w:r>
      <w:r w:rsidR="00B8562A">
        <w:rPr>
          <w:b/>
        </w:rPr>
        <w:t>NASA STEM Engagement</w:t>
      </w:r>
      <w:r w:rsidRPr="00AB74A8">
        <w:rPr>
          <w:b/>
        </w:rPr>
        <w:t xml:space="preserve"> Performance Measurement and Evaluation, </w:t>
      </w:r>
      <w:r w:rsidRPr="00AB74A8" w:rsidR="00A67BEF">
        <w:rPr>
          <w:b/>
        </w:rPr>
        <w:t xml:space="preserve">OMB Control Number </w:t>
      </w:r>
      <w:r w:rsidRPr="00AB74A8">
        <w:rPr>
          <w:b/>
        </w:rPr>
        <w:t>2700-0159</w:t>
      </w:r>
      <w:r w:rsidR="009F0C65">
        <w:rPr>
          <w:b/>
        </w:rPr>
        <w:t>, expiration 0</w:t>
      </w:r>
      <w:r w:rsidR="0040717D">
        <w:rPr>
          <w:b/>
        </w:rPr>
        <w:t>9</w:t>
      </w:r>
      <w:r w:rsidR="009F0C65">
        <w:rPr>
          <w:b/>
        </w:rPr>
        <w:t>/30</w:t>
      </w:r>
      <w:r w:rsidR="00546DEB">
        <w:rPr>
          <w:b/>
        </w:rPr>
        <w:t>/20</w:t>
      </w:r>
      <w:r w:rsidR="009F0C65">
        <w:rPr>
          <w:b/>
        </w:rPr>
        <w:t>2</w:t>
      </w:r>
      <w:r w:rsidR="0040717D">
        <w:rPr>
          <w:b/>
        </w:rPr>
        <w:t>4</w:t>
      </w:r>
    </w:p>
    <w:p w:rsidR="00674390" w:rsidRPr="00AB74A8" w:rsidP="00674390" w14:paraId="279E14CC" w14:textId="77777777">
      <w:r w:rsidRPr="00AB74A8">
        <w:t>_____________________________________________________________________________________</w:t>
      </w:r>
    </w:p>
    <w:p w:rsidR="002B2B85" w:rsidRPr="002B2B85" w:rsidP="002B2B85" w14:paraId="76908BFB" w14:textId="77777777">
      <w:pPr>
        <w:pStyle w:val="ListParagraph"/>
        <w:ind w:left="288"/>
        <w:rPr>
          <w:rFonts w:ascii="ArialMT" w:hAnsi="ArialMT" w:cs="ArialMT"/>
          <w:sz w:val="17"/>
          <w:szCs w:val="17"/>
        </w:rPr>
      </w:pPr>
    </w:p>
    <w:p w:rsidR="00CB2B53" w:rsidRPr="00CB2B53" w:rsidP="00BF134E" w14:paraId="22570D07" w14:textId="77777777">
      <w:pPr>
        <w:pStyle w:val="ListParagraph"/>
        <w:numPr>
          <w:ilvl w:val="0"/>
          <w:numId w:val="3"/>
        </w:numPr>
        <w:rPr>
          <w:rFonts w:asciiTheme="minorHAnsi" w:hAnsiTheme="minorHAnsi" w:cs="ArialMT"/>
        </w:rPr>
      </w:pPr>
      <w:r w:rsidRPr="007C21DC">
        <w:rPr>
          <w:b/>
        </w:rPr>
        <w:t>TITLE OF INFORMATION COLLECTION:</w:t>
      </w:r>
      <w:r w:rsidR="0088545C">
        <w:rPr>
          <w:b/>
        </w:rPr>
        <w:t xml:space="preserve"> </w:t>
      </w:r>
    </w:p>
    <w:p w:rsidR="0073262B" w:rsidP="00CB2B53" w14:paraId="009B8E4D" w14:textId="188AD38A">
      <w:pPr>
        <w:pStyle w:val="ListParagraph"/>
        <w:ind w:left="288"/>
        <w:rPr>
          <w:rFonts w:asciiTheme="minorHAnsi" w:hAnsiTheme="minorHAnsi" w:cs="ArialMT"/>
        </w:rPr>
      </w:pPr>
      <w:r w:rsidRPr="007F37B8">
        <w:rPr>
          <w:rFonts w:asciiTheme="minorHAnsi" w:hAnsiTheme="minorHAnsi"/>
        </w:rPr>
        <w:t xml:space="preserve">NASA </w:t>
      </w:r>
      <w:r w:rsidR="00B74D69">
        <w:rPr>
          <w:rFonts w:asciiTheme="minorHAnsi" w:hAnsiTheme="minorHAnsi" w:cs="ArialMT"/>
        </w:rPr>
        <w:t xml:space="preserve">Institutional Research Capacity (IRC) </w:t>
      </w:r>
      <w:r w:rsidR="00BF2BF1">
        <w:rPr>
          <w:rFonts w:asciiTheme="minorHAnsi" w:hAnsiTheme="minorHAnsi" w:cs="ArialMT"/>
        </w:rPr>
        <w:t xml:space="preserve">Evaluation </w:t>
      </w:r>
      <w:r w:rsidR="00744CA7">
        <w:rPr>
          <w:rFonts w:asciiTheme="minorHAnsi" w:hAnsiTheme="minorHAnsi" w:cs="ArialMT"/>
        </w:rPr>
        <w:t>Survey</w:t>
      </w:r>
      <w:r w:rsidR="00336C7C">
        <w:rPr>
          <w:rFonts w:asciiTheme="minorHAnsi" w:hAnsiTheme="minorHAnsi" w:cs="ArialMT"/>
        </w:rPr>
        <w:t xml:space="preserve"> and </w:t>
      </w:r>
      <w:r w:rsidR="00F70E2D">
        <w:rPr>
          <w:rFonts w:asciiTheme="minorHAnsi" w:hAnsiTheme="minorHAnsi" w:cs="ArialMT"/>
        </w:rPr>
        <w:t>Interview</w:t>
      </w:r>
      <w:r w:rsidR="00336C7C">
        <w:rPr>
          <w:rFonts w:asciiTheme="minorHAnsi" w:hAnsiTheme="minorHAnsi" w:cs="ArialMT"/>
        </w:rPr>
        <w:t xml:space="preserve"> Protocol</w:t>
      </w:r>
    </w:p>
    <w:p w:rsidR="00674390" w:rsidRPr="00C5766E" w:rsidP="00C5766E" w14:paraId="6AAEE1C2" w14:textId="77777777">
      <w:pPr>
        <w:rPr>
          <w:b/>
        </w:rPr>
      </w:pPr>
    </w:p>
    <w:p w:rsidR="00674390" w:rsidRPr="00AB74A8" w:rsidP="00BF134E" w14:paraId="5217BBC0" w14:textId="77777777">
      <w:pPr>
        <w:pStyle w:val="ListParagraph"/>
        <w:numPr>
          <w:ilvl w:val="0"/>
          <w:numId w:val="3"/>
        </w:numPr>
      </w:pPr>
      <w:r w:rsidRPr="007C21DC">
        <w:rPr>
          <w:b/>
        </w:rPr>
        <w:t>TYPE OF COLLECTION</w:t>
      </w:r>
      <w:r w:rsidRPr="00AB74A8">
        <w:t>:</w:t>
      </w:r>
      <w:r w:rsidRPr="00AB74A8">
        <w:t xml:space="preserve">  </w:t>
      </w:r>
    </w:p>
    <w:tbl>
      <w:tblPr>
        <w:tblStyle w:val="TableGrid"/>
        <w:tblW w:w="0" w:type="auto"/>
        <w:jc w:val="center"/>
        <w:tblLook w:val="04A0"/>
      </w:tblPr>
      <w:tblGrid>
        <w:gridCol w:w="450"/>
        <w:gridCol w:w="8550"/>
      </w:tblGrid>
      <w:tr w14:paraId="5A182D55" w14:textId="77777777" w:rsidTr="00062EC4">
        <w:tblPrEx>
          <w:tblW w:w="0" w:type="auto"/>
          <w:jc w:val="center"/>
          <w:tblLook w:val="04A0"/>
        </w:tblPrEx>
        <w:trPr>
          <w:jc w:val="center"/>
        </w:trPr>
        <w:tc>
          <w:tcPr>
            <w:tcW w:w="450" w:type="dxa"/>
            <w:tcBorders>
              <w:top w:val="single" w:sz="12" w:space="0" w:color="auto"/>
              <w:left w:val="nil"/>
              <w:bottom w:val="nil"/>
              <w:right w:val="nil"/>
            </w:tcBorders>
          </w:tcPr>
          <w:p w:rsidR="002C2DEA" w:rsidRPr="00AB74A8" w:rsidP="00674390" w14:paraId="738A85BF" w14:textId="3572AE6B">
            <w:pPr>
              <w:pStyle w:val="ListParagraph"/>
              <w:ind w:left="0"/>
            </w:pPr>
            <w:r>
              <w:rPr>
                <w:rFonts w:ascii="Wingdings" w:eastAsia="Wingdings" w:hAnsi="Wingdings" w:cs="Wingdings"/>
              </w:rPr>
              <w:t>þ</w:t>
            </w:r>
          </w:p>
        </w:tc>
        <w:tc>
          <w:tcPr>
            <w:tcW w:w="8550" w:type="dxa"/>
            <w:tcBorders>
              <w:top w:val="single" w:sz="12" w:space="0" w:color="auto"/>
              <w:left w:val="nil"/>
              <w:bottom w:val="nil"/>
              <w:right w:val="nil"/>
            </w:tcBorders>
          </w:tcPr>
          <w:p w:rsidR="002C2DEA" w:rsidRPr="00ED2ADA" w:rsidP="00062EC4" w14:paraId="2439D7CA" w14:textId="77777777">
            <w:pPr>
              <w:pStyle w:val="ListParagraph"/>
              <w:ind w:left="0"/>
            </w:pPr>
            <w:r w:rsidRPr="00062EC4">
              <w:t xml:space="preserve">Attitude/Behavior Scale </w:t>
            </w:r>
          </w:p>
        </w:tc>
      </w:tr>
      <w:tr w14:paraId="77D803E9" w14:textId="77777777" w:rsidTr="00062EC4">
        <w:tblPrEx>
          <w:tblW w:w="0" w:type="auto"/>
          <w:jc w:val="center"/>
          <w:tblLook w:val="04A0"/>
        </w:tblPrEx>
        <w:trPr>
          <w:jc w:val="center"/>
        </w:trPr>
        <w:tc>
          <w:tcPr>
            <w:tcW w:w="450" w:type="dxa"/>
            <w:tcBorders>
              <w:top w:val="nil"/>
              <w:left w:val="nil"/>
              <w:bottom w:val="nil"/>
              <w:right w:val="nil"/>
            </w:tcBorders>
          </w:tcPr>
          <w:p w:rsidR="00062EC4" w:rsidP="00062EC4" w14:paraId="6C90049F" w14:textId="77777777">
            <w:pPr>
              <w:pStyle w:val="ListParagraph"/>
              <w:ind w:left="0"/>
            </w:pPr>
            <w:r>
              <w:rPr>
                <w:rFonts w:ascii="Wingdings" w:eastAsia="Wingdings" w:hAnsi="Wingdings" w:cs="Wingdings"/>
              </w:rPr>
              <w:t>o</w:t>
            </w:r>
          </w:p>
        </w:tc>
        <w:tc>
          <w:tcPr>
            <w:tcW w:w="8550" w:type="dxa"/>
            <w:tcBorders>
              <w:top w:val="nil"/>
              <w:left w:val="nil"/>
              <w:bottom w:val="nil"/>
              <w:right w:val="nil"/>
            </w:tcBorders>
          </w:tcPr>
          <w:p w:rsidR="00062EC4" w:rsidRPr="00062EC4" w:rsidP="00062EC4" w14:paraId="6C0E336E" w14:textId="77777777">
            <w:pPr>
              <w:pStyle w:val="ListParagraph"/>
              <w:ind w:left="0"/>
            </w:pPr>
            <w:r w:rsidRPr="00E92329">
              <w:t>Baseline Survey</w:t>
            </w:r>
          </w:p>
        </w:tc>
      </w:tr>
      <w:tr w14:paraId="12C08736" w14:textId="77777777" w:rsidTr="00062EC4">
        <w:tblPrEx>
          <w:tblW w:w="0" w:type="auto"/>
          <w:jc w:val="center"/>
          <w:tblLook w:val="04A0"/>
        </w:tblPrEx>
        <w:trPr>
          <w:jc w:val="center"/>
        </w:trPr>
        <w:tc>
          <w:tcPr>
            <w:tcW w:w="450" w:type="dxa"/>
            <w:tcBorders>
              <w:top w:val="nil"/>
              <w:left w:val="nil"/>
              <w:bottom w:val="nil"/>
              <w:right w:val="nil"/>
            </w:tcBorders>
          </w:tcPr>
          <w:p w:rsidR="00062EC4" w:rsidP="00062EC4" w14:paraId="351AF2B6" w14:textId="77777777">
            <w:pPr>
              <w:pStyle w:val="ListParagraph"/>
              <w:ind w:left="0"/>
            </w:pPr>
            <w:r>
              <w:rPr>
                <w:rFonts w:ascii="Wingdings" w:eastAsia="Wingdings" w:hAnsi="Wingdings" w:cs="Wingdings"/>
              </w:rPr>
              <w:t>o</w:t>
            </w:r>
          </w:p>
        </w:tc>
        <w:tc>
          <w:tcPr>
            <w:tcW w:w="8550" w:type="dxa"/>
            <w:tcBorders>
              <w:top w:val="nil"/>
              <w:left w:val="nil"/>
              <w:bottom w:val="nil"/>
              <w:right w:val="nil"/>
            </w:tcBorders>
          </w:tcPr>
          <w:p w:rsidR="00062EC4" w:rsidRPr="00062EC4" w:rsidP="00062EC4" w14:paraId="65DE0DB3" w14:textId="77777777">
            <w:pPr>
              <w:pStyle w:val="ListParagraph"/>
              <w:ind w:left="0"/>
            </w:pPr>
            <w:r w:rsidRPr="00ED2ADA">
              <w:t>Cognitive Interview Protocol</w:t>
            </w:r>
          </w:p>
        </w:tc>
      </w:tr>
      <w:tr w14:paraId="1D261352" w14:textId="77777777" w:rsidTr="00062EC4">
        <w:tblPrEx>
          <w:tblW w:w="0" w:type="auto"/>
          <w:jc w:val="center"/>
          <w:tblLook w:val="04A0"/>
        </w:tblPrEx>
        <w:trPr>
          <w:jc w:val="center"/>
        </w:trPr>
        <w:tc>
          <w:tcPr>
            <w:tcW w:w="450" w:type="dxa"/>
            <w:tcBorders>
              <w:top w:val="nil"/>
              <w:left w:val="nil"/>
              <w:bottom w:val="nil"/>
              <w:right w:val="nil"/>
            </w:tcBorders>
          </w:tcPr>
          <w:p w:rsidR="00062EC4" w:rsidP="00062EC4" w14:paraId="7F0FEDC4" w14:textId="1AC7B726">
            <w:pPr>
              <w:pStyle w:val="ListParagraph"/>
              <w:ind w:left="0"/>
            </w:pPr>
            <w:r>
              <w:rPr>
                <w:rFonts w:ascii="Wingdings" w:eastAsia="Wingdings" w:hAnsi="Wingdings" w:cs="Wingdings"/>
              </w:rPr>
              <w:t>o</w:t>
            </w:r>
          </w:p>
        </w:tc>
        <w:tc>
          <w:tcPr>
            <w:tcW w:w="8550" w:type="dxa"/>
            <w:tcBorders>
              <w:top w:val="nil"/>
              <w:left w:val="nil"/>
              <w:bottom w:val="nil"/>
              <w:right w:val="nil"/>
            </w:tcBorders>
          </w:tcPr>
          <w:p w:rsidR="00062EC4" w:rsidRPr="00062EC4" w:rsidP="00062EC4" w14:paraId="21217F87" w14:textId="77777777">
            <w:pPr>
              <w:pStyle w:val="ListParagraph"/>
              <w:ind w:left="0"/>
            </w:pPr>
            <w:r w:rsidRPr="0043348E">
              <w:t>Consent Form</w:t>
            </w:r>
          </w:p>
        </w:tc>
      </w:tr>
      <w:tr w14:paraId="21620011" w14:textId="77777777" w:rsidTr="005C6E95">
        <w:tblPrEx>
          <w:tblW w:w="0" w:type="auto"/>
          <w:jc w:val="center"/>
          <w:tblLook w:val="04A0"/>
        </w:tblPrEx>
        <w:trPr>
          <w:jc w:val="center"/>
        </w:trPr>
        <w:tc>
          <w:tcPr>
            <w:tcW w:w="450" w:type="dxa"/>
            <w:tcBorders>
              <w:top w:val="nil"/>
              <w:left w:val="nil"/>
              <w:bottom w:val="nil"/>
              <w:right w:val="nil"/>
            </w:tcBorders>
          </w:tcPr>
          <w:p w:rsidR="00062EC4" w:rsidP="00062EC4" w14:paraId="58BFE9E2" w14:textId="59D89684">
            <w:pPr>
              <w:pStyle w:val="ListParagraph"/>
              <w:ind w:left="0"/>
            </w:pPr>
            <w:r>
              <w:rPr>
                <w:rFonts w:ascii="Wingdings" w:eastAsia="Wingdings" w:hAnsi="Wingdings" w:cs="Wingdings"/>
              </w:rPr>
              <w:t>þ</w:t>
            </w:r>
          </w:p>
        </w:tc>
        <w:tc>
          <w:tcPr>
            <w:tcW w:w="8550" w:type="dxa"/>
            <w:tcBorders>
              <w:top w:val="nil"/>
              <w:left w:val="nil"/>
              <w:bottom w:val="nil"/>
              <w:right w:val="nil"/>
            </w:tcBorders>
          </w:tcPr>
          <w:p w:rsidR="00062EC4" w:rsidRPr="00062EC4" w:rsidP="00062EC4" w14:paraId="557C6CAD" w14:textId="77777777">
            <w:pPr>
              <w:pStyle w:val="ListParagraph"/>
              <w:ind w:left="0"/>
            </w:pPr>
            <w:r w:rsidRPr="00062EC4">
              <w:t>Focus Group Protocol</w:t>
            </w:r>
          </w:p>
        </w:tc>
      </w:tr>
      <w:tr w14:paraId="12D1D1F2" w14:textId="77777777" w:rsidTr="00062EC4">
        <w:tblPrEx>
          <w:tblW w:w="0" w:type="auto"/>
          <w:jc w:val="center"/>
          <w:tblLook w:val="04A0"/>
        </w:tblPrEx>
        <w:trPr>
          <w:jc w:val="center"/>
        </w:trPr>
        <w:tc>
          <w:tcPr>
            <w:tcW w:w="450" w:type="dxa"/>
            <w:tcBorders>
              <w:top w:val="nil"/>
              <w:left w:val="nil"/>
              <w:bottom w:val="nil"/>
              <w:right w:val="nil"/>
            </w:tcBorders>
          </w:tcPr>
          <w:p w:rsidR="00062EC4" w:rsidP="00062EC4" w14:paraId="47A95023" w14:textId="77777777">
            <w:pPr>
              <w:pStyle w:val="ListParagraph"/>
              <w:ind w:left="0"/>
            </w:pPr>
            <w:r>
              <w:rPr>
                <w:rFonts w:ascii="Wingdings" w:eastAsia="Wingdings" w:hAnsi="Wingdings" w:cs="Wingdings"/>
              </w:rPr>
              <w:t>o</w:t>
            </w:r>
          </w:p>
        </w:tc>
        <w:tc>
          <w:tcPr>
            <w:tcW w:w="8550" w:type="dxa"/>
            <w:tcBorders>
              <w:top w:val="nil"/>
              <w:left w:val="nil"/>
              <w:bottom w:val="nil"/>
              <w:right w:val="nil"/>
            </w:tcBorders>
          </w:tcPr>
          <w:p w:rsidR="00062EC4" w:rsidRPr="00062EC4" w:rsidP="00062EC4" w14:paraId="45741EE3" w14:textId="77777777">
            <w:pPr>
              <w:pStyle w:val="ListParagraph"/>
              <w:ind w:left="0"/>
            </w:pPr>
            <w:r w:rsidRPr="00ED2ADA">
              <w:t>Follow-up Survey</w:t>
            </w:r>
          </w:p>
        </w:tc>
      </w:tr>
      <w:tr w14:paraId="622E0606" w14:textId="77777777" w:rsidTr="00062EC4">
        <w:tblPrEx>
          <w:tblW w:w="0" w:type="auto"/>
          <w:jc w:val="center"/>
          <w:tblLook w:val="04A0"/>
        </w:tblPrEx>
        <w:trPr>
          <w:jc w:val="center"/>
        </w:trPr>
        <w:tc>
          <w:tcPr>
            <w:tcW w:w="450" w:type="dxa"/>
            <w:tcBorders>
              <w:top w:val="nil"/>
              <w:left w:val="nil"/>
              <w:bottom w:val="nil"/>
              <w:right w:val="nil"/>
            </w:tcBorders>
          </w:tcPr>
          <w:p w:rsidR="00D826C6" w:rsidP="00062EC4" w14:paraId="166FDE79" w14:textId="77777777">
            <w:pPr>
              <w:pStyle w:val="ListParagraph"/>
              <w:ind w:left="0"/>
            </w:pPr>
            <w:r>
              <w:rPr>
                <w:rFonts w:ascii="Wingdings" w:eastAsia="Wingdings" w:hAnsi="Wingdings" w:cs="Wingdings"/>
              </w:rPr>
              <w:t>þ</w:t>
            </w:r>
          </w:p>
        </w:tc>
        <w:tc>
          <w:tcPr>
            <w:tcW w:w="8550" w:type="dxa"/>
            <w:tcBorders>
              <w:top w:val="nil"/>
              <w:left w:val="nil"/>
              <w:bottom w:val="nil"/>
              <w:right w:val="nil"/>
            </w:tcBorders>
          </w:tcPr>
          <w:p w:rsidR="00D826C6" w:rsidRPr="00ED2ADA" w:rsidP="00062EC4" w14:paraId="5CB68C37" w14:textId="77777777">
            <w:pPr>
              <w:pStyle w:val="ListParagraph"/>
              <w:ind w:left="0"/>
            </w:pPr>
            <w:r w:rsidRPr="00D826C6">
              <w:t>Instructions</w:t>
            </w:r>
          </w:p>
        </w:tc>
      </w:tr>
      <w:tr w14:paraId="17152FFA" w14:textId="77777777" w:rsidTr="00062EC4">
        <w:tblPrEx>
          <w:tblW w:w="0" w:type="auto"/>
          <w:jc w:val="center"/>
          <w:tblLook w:val="04A0"/>
        </w:tblPrEx>
        <w:trPr>
          <w:jc w:val="center"/>
        </w:trPr>
        <w:tc>
          <w:tcPr>
            <w:tcW w:w="450" w:type="dxa"/>
            <w:tcBorders>
              <w:top w:val="nil"/>
              <w:left w:val="nil"/>
              <w:bottom w:val="nil"/>
              <w:right w:val="nil"/>
            </w:tcBorders>
          </w:tcPr>
          <w:p w:rsidR="00062EC4" w:rsidP="00062EC4" w14:paraId="1AAA118A" w14:textId="6D98827F">
            <w:pPr>
              <w:pStyle w:val="ListParagraph"/>
              <w:ind w:left="0"/>
            </w:pPr>
            <w:r>
              <w:rPr>
                <w:rFonts w:ascii="Wingdings" w:eastAsia="Wingdings" w:hAnsi="Wingdings" w:cs="Wingdings"/>
              </w:rPr>
              <w:t>þ</w:t>
            </w:r>
          </w:p>
        </w:tc>
        <w:tc>
          <w:tcPr>
            <w:tcW w:w="8550" w:type="dxa"/>
            <w:tcBorders>
              <w:top w:val="nil"/>
              <w:left w:val="nil"/>
              <w:bottom w:val="nil"/>
              <w:right w:val="nil"/>
            </w:tcBorders>
          </w:tcPr>
          <w:p w:rsidR="00062EC4" w:rsidRPr="00062EC4" w:rsidP="00062EC4" w14:paraId="096F8A31" w14:textId="77777777">
            <w:pPr>
              <w:pStyle w:val="ListParagraph"/>
              <w:ind w:left="0"/>
            </w:pPr>
            <w:r w:rsidRPr="00ED2ADA">
              <w:t>Satisfaction Survey</w:t>
            </w:r>
          </w:p>
        </w:tc>
      </w:tr>
      <w:tr w14:paraId="7136DD49" w14:textId="77777777" w:rsidTr="00062EC4">
        <w:tblPrEx>
          <w:tblW w:w="0" w:type="auto"/>
          <w:jc w:val="center"/>
          <w:tblLook w:val="04A0"/>
        </w:tblPrEx>
        <w:trPr>
          <w:jc w:val="center"/>
        </w:trPr>
        <w:tc>
          <w:tcPr>
            <w:tcW w:w="450" w:type="dxa"/>
            <w:tcBorders>
              <w:top w:val="nil"/>
              <w:left w:val="nil"/>
              <w:bottom w:val="single" w:sz="12" w:space="0" w:color="auto"/>
              <w:right w:val="nil"/>
            </w:tcBorders>
          </w:tcPr>
          <w:p w:rsidR="00062EC4" w:rsidRPr="00AB74A8" w:rsidP="00062EC4" w14:paraId="22DE49D0" w14:textId="77777777">
            <w:pPr>
              <w:pStyle w:val="ListParagraph"/>
              <w:ind w:left="0"/>
            </w:pPr>
            <w:r>
              <w:rPr>
                <w:rFonts w:ascii="Wingdings" w:eastAsia="Wingdings" w:hAnsi="Wingdings" w:cs="Wingdings"/>
              </w:rPr>
              <w:t>o</w:t>
            </w:r>
          </w:p>
        </w:tc>
        <w:tc>
          <w:tcPr>
            <w:tcW w:w="8550" w:type="dxa"/>
            <w:tcBorders>
              <w:top w:val="nil"/>
              <w:left w:val="nil"/>
              <w:bottom w:val="single" w:sz="12" w:space="0" w:color="auto"/>
              <w:right w:val="nil"/>
            </w:tcBorders>
          </w:tcPr>
          <w:p w:rsidR="00062EC4" w:rsidRPr="00ED2ADA" w:rsidP="00062EC4" w14:paraId="44C268AF" w14:textId="77777777">
            <w:pPr>
              <w:pStyle w:val="ListParagraph"/>
              <w:ind w:left="0"/>
            </w:pPr>
            <w:r w:rsidRPr="00ED2ADA">
              <w:t>Usability Protocol</w:t>
            </w:r>
          </w:p>
        </w:tc>
      </w:tr>
    </w:tbl>
    <w:p w:rsidR="00674390" w:rsidRPr="00AB74A8" w:rsidP="00674390" w14:paraId="60D41FF2" w14:textId="77777777">
      <w:pPr>
        <w:rPr>
          <w:b/>
        </w:rPr>
      </w:pPr>
    </w:p>
    <w:p w:rsidR="00BA2CA8" w:rsidP="00BA2CA8" w14:paraId="3DFD9100" w14:textId="77777777">
      <w:pPr>
        <w:autoSpaceDE w:val="0"/>
        <w:autoSpaceDN w:val="0"/>
        <w:adjustRightInd w:val="0"/>
      </w:pPr>
      <w:r w:rsidRPr="00CE1F5E">
        <w:rPr>
          <w:b/>
        </w:rPr>
        <w:t>GENERAL OVERVIEW:</w:t>
      </w:r>
      <w:r w:rsidRPr="00CE1F5E" w:rsidR="00EE1FDF">
        <w:rPr>
          <w:b/>
        </w:rPr>
        <w:t xml:space="preserve"> </w:t>
      </w:r>
      <w:r>
        <w:t xml:space="preserve">NASA </w:t>
      </w:r>
      <w:r w:rsidRPr="004852B2">
        <w:t>S</w:t>
      </w:r>
      <w:r>
        <w:t xml:space="preserve">cience, Technology, Engineering, and Mathematics (STEM) Engagement is comprised of a broad and diverse set of programs, projects, activities and products developed and implemented by HQ functional Offices, Mission Directorates and Centers. These investments are designed to attract, engage, and educate students, and to support educators, and educational institutions. </w:t>
      </w:r>
      <w:r w:rsidRPr="00114C2A">
        <w:t>NASA</w:t>
      </w:r>
      <w:r>
        <w:t xml:space="preserve">’s Office of STEM Engagement (OSTEM) </w:t>
      </w:r>
      <w:r w:rsidRPr="00114C2A">
        <w:t>deliver</w:t>
      </w:r>
      <w:r>
        <w:t xml:space="preserve">s participatory, </w:t>
      </w:r>
      <w:r w:rsidRPr="004852B2">
        <w:t>experiential learning</w:t>
      </w:r>
      <w:r>
        <w:t xml:space="preserve"> and STEM challenge</w:t>
      </w:r>
      <w:r w:rsidRPr="004852B2">
        <w:t xml:space="preserve"> activities</w:t>
      </w:r>
      <w:r w:rsidRPr="00114C2A">
        <w:t xml:space="preserve"> for young Americans and educators to learn and succeed</w:t>
      </w:r>
      <w:r>
        <w:t xml:space="preserve">. NASA STEM Engagement seeks </w:t>
      </w:r>
      <w:r w:rsidRPr="00114C2A">
        <w:t>to:</w:t>
      </w:r>
    </w:p>
    <w:p w:rsidR="00BA2CA8" w:rsidRPr="00114C2A" w:rsidP="00BA2CA8" w14:paraId="43B0930D" w14:textId="77777777">
      <w:pPr>
        <w:autoSpaceDE w:val="0"/>
        <w:autoSpaceDN w:val="0"/>
        <w:adjustRightInd w:val="0"/>
        <w:ind w:left="288"/>
      </w:pPr>
    </w:p>
    <w:p w:rsidR="00BA2CA8" w:rsidP="00BA2CA8" w14:paraId="680642B2" w14:textId="77777777">
      <w:pPr>
        <w:pStyle w:val="ListParagraph"/>
        <w:numPr>
          <w:ilvl w:val="0"/>
          <w:numId w:val="7"/>
        </w:numPr>
        <w:autoSpaceDE w:val="0"/>
        <w:autoSpaceDN w:val="0"/>
        <w:adjustRightInd w:val="0"/>
      </w:pPr>
      <w:r w:rsidRPr="00114C2A">
        <w:t>Create unique opportunities for students and the public to contribute to NASA’s work in exploration and discovery.</w:t>
      </w:r>
    </w:p>
    <w:p w:rsidR="00BA2CA8" w:rsidP="00BA2CA8" w14:paraId="533992DC" w14:textId="77777777">
      <w:pPr>
        <w:pStyle w:val="ListParagraph"/>
        <w:numPr>
          <w:ilvl w:val="0"/>
          <w:numId w:val="7"/>
        </w:numPr>
        <w:autoSpaceDE w:val="0"/>
        <w:autoSpaceDN w:val="0"/>
        <w:adjustRightInd w:val="0"/>
      </w:pPr>
      <w:r w:rsidRPr="00114C2A">
        <w:t>Build a diverse future STEM workforce by engaging students in authentic learning experiences with NASA people, content, and facilities.</w:t>
      </w:r>
    </w:p>
    <w:p w:rsidR="00BA2CA8" w:rsidRPr="00114C2A" w:rsidP="00BA2CA8" w14:paraId="62C3E6D9" w14:textId="77777777">
      <w:pPr>
        <w:pStyle w:val="ListParagraph"/>
        <w:numPr>
          <w:ilvl w:val="0"/>
          <w:numId w:val="7"/>
        </w:numPr>
        <w:autoSpaceDE w:val="0"/>
        <w:autoSpaceDN w:val="0"/>
        <w:adjustRightInd w:val="0"/>
      </w:pPr>
      <w:r w:rsidRPr="00114C2A">
        <w:t>Strengthen public understanding by enabling powerful connections to NASA’s mission and work.</w:t>
      </w:r>
    </w:p>
    <w:p w:rsidR="00BA2CA8" w:rsidRPr="00114C2A" w:rsidP="00BA2CA8" w14:paraId="107C0660" w14:textId="77777777">
      <w:pPr>
        <w:autoSpaceDE w:val="0"/>
        <w:autoSpaceDN w:val="0"/>
        <w:adjustRightInd w:val="0"/>
        <w:ind w:left="288"/>
      </w:pPr>
    </w:p>
    <w:p w:rsidR="00BC65D6" w:rsidRPr="00BC65D6" w:rsidP="00BC65D6" w14:paraId="67B15D50" w14:textId="77777777">
      <w:pPr>
        <w:pStyle w:val="BodyText"/>
        <w:jc w:val="left"/>
        <w:rPr>
          <w:sz w:val="22"/>
          <w:szCs w:val="22"/>
          <w:lang w:val="en-US"/>
        </w:rPr>
      </w:pPr>
      <w:r w:rsidRPr="00BA2CA8">
        <w:rPr>
          <w:sz w:val="22"/>
          <w:szCs w:val="22"/>
        </w:rPr>
        <w:t xml:space="preserve">To achieve these goals, NASA makes vital investments toward building a future diverse STEM workforce across its portfolio of projects including the </w:t>
      </w:r>
      <w:r w:rsidR="007B1B71">
        <w:rPr>
          <w:sz w:val="22"/>
          <w:szCs w:val="22"/>
          <w:lang w:val="en-US"/>
        </w:rPr>
        <w:t>NASA</w:t>
      </w:r>
      <w:r w:rsidR="00DD12BF">
        <w:rPr>
          <w:sz w:val="22"/>
          <w:szCs w:val="22"/>
          <w:lang w:val="en-US"/>
        </w:rPr>
        <w:t xml:space="preserve"> </w:t>
      </w:r>
      <w:r w:rsidRPr="00DD12BF" w:rsidR="00DD12BF">
        <w:rPr>
          <w:sz w:val="22"/>
          <w:szCs w:val="22"/>
          <w:lang w:val="en-US"/>
        </w:rPr>
        <w:t>Established Program to Stimulate Competitive Research (</w:t>
      </w:r>
      <w:r w:rsidRPr="00DD12BF" w:rsidR="00DD12BF">
        <w:rPr>
          <w:sz w:val="22"/>
          <w:szCs w:val="22"/>
          <w:lang w:val="en-US"/>
        </w:rPr>
        <w:t>EPSCoR</w:t>
      </w:r>
      <w:r w:rsidRPr="00DD12BF" w:rsidR="00DD12BF">
        <w:rPr>
          <w:sz w:val="22"/>
          <w:szCs w:val="22"/>
          <w:lang w:val="en-US"/>
        </w:rPr>
        <w:t>) </w:t>
      </w:r>
      <w:r w:rsidR="00DD12BF">
        <w:rPr>
          <w:sz w:val="22"/>
          <w:szCs w:val="22"/>
          <w:lang w:val="en-US"/>
        </w:rPr>
        <w:t>pro</w:t>
      </w:r>
      <w:r w:rsidR="00F03BF9">
        <w:rPr>
          <w:sz w:val="22"/>
          <w:szCs w:val="22"/>
          <w:lang w:val="en-US"/>
        </w:rPr>
        <w:t>gram</w:t>
      </w:r>
      <w:r w:rsidR="00DD12BF">
        <w:rPr>
          <w:sz w:val="22"/>
          <w:szCs w:val="22"/>
          <w:lang w:val="en-US"/>
        </w:rPr>
        <w:t xml:space="preserve">.  </w:t>
      </w:r>
      <w:r w:rsidRPr="00DD12BF" w:rsidR="00DD12BF">
        <w:rPr>
          <w:sz w:val="22"/>
          <w:szCs w:val="22"/>
          <w:lang w:val="en-US"/>
        </w:rPr>
        <w:t xml:space="preserve">The </w:t>
      </w:r>
      <w:r w:rsidRPr="00DD12BF" w:rsidR="00DD12BF">
        <w:rPr>
          <w:sz w:val="22"/>
          <w:szCs w:val="22"/>
          <w:lang w:val="en-US"/>
        </w:rPr>
        <w:t>EPSCoR</w:t>
      </w:r>
      <w:r w:rsidRPr="00DD12BF" w:rsidR="00DD12BF">
        <w:rPr>
          <w:sz w:val="22"/>
          <w:szCs w:val="22"/>
          <w:lang w:val="en-US"/>
        </w:rPr>
        <w:t xml:space="preserve"> program is directed at those jurisdictions that have not participated equably in competitive aerospace and aerospace-related research activities. Twenty-five states, the Commonwealth of Puerto Rico, the U.S. Virgin Islands and Guam currently participate. Five federal agencies, including NASA, conduct </w:t>
      </w:r>
      <w:r w:rsidRPr="00DD12BF" w:rsidR="00DD12BF">
        <w:rPr>
          <w:sz w:val="22"/>
          <w:szCs w:val="22"/>
          <w:lang w:val="en-US"/>
        </w:rPr>
        <w:t>EPSCoR</w:t>
      </w:r>
      <w:r w:rsidRPr="00DD12BF" w:rsidR="00DD12BF">
        <w:rPr>
          <w:sz w:val="22"/>
          <w:szCs w:val="22"/>
          <w:lang w:val="en-US"/>
        </w:rPr>
        <w:t xml:space="preserve"> programs.</w:t>
      </w:r>
      <w:r w:rsidRPr="00BA2CA8">
        <w:rPr>
          <w:sz w:val="22"/>
          <w:szCs w:val="22"/>
        </w:rPr>
        <w:t xml:space="preserve"> </w:t>
      </w:r>
      <w:r w:rsidR="000F7A6C">
        <w:rPr>
          <w:sz w:val="22"/>
          <w:szCs w:val="22"/>
          <w:lang w:val="en-US"/>
        </w:rPr>
        <w:t xml:space="preserve"> </w:t>
      </w:r>
      <w:r w:rsidR="000F7A6C">
        <w:rPr>
          <w:sz w:val="22"/>
          <w:szCs w:val="22"/>
          <w:lang w:val="en-US"/>
        </w:rPr>
        <w:t>EPSCoR</w:t>
      </w:r>
      <w:r w:rsidR="000F7A6C">
        <w:rPr>
          <w:sz w:val="22"/>
          <w:szCs w:val="22"/>
          <w:lang w:val="en-US"/>
        </w:rPr>
        <w:t xml:space="preserve"> </w:t>
      </w:r>
      <w:r w:rsidRPr="00DD12BF" w:rsidR="000F7A6C">
        <w:rPr>
          <w:sz w:val="22"/>
          <w:szCs w:val="22"/>
          <w:lang w:val="en-US"/>
        </w:rPr>
        <w:t>establishes partnerships with government, higher education and industry that are designed to effect lasting improvements in a state or region's research infrastructure, research and development (R&amp;D) capacity and its national</w:t>
      </w:r>
      <w:r w:rsidR="000F7A6C">
        <w:rPr>
          <w:sz w:val="22"/>
          <w:szCs w:val="22"/>
          <w:lang w:val="en-US"/>
        </w:rPr>
        <w:t xml:space="preserve"> </w:t>
      </w:r>
      <w:r w:rsidRPr="00DD12BF" w:rsidR="000F7A6C">
        <w:rPr>
          <w:sz w:val="22"/>
          <w:szCs w:val="22"/>
          <w:lang w:val="en-US"/>
        </w:rPr>
        <w:t>R&amp;D competitiveness. </w:t>
      </w:r>
      <w:r w:rsidRPr="00BC65D6">
        <w:rPr>
          <w:sz w:val="22"/>
          <w:szCs w:val="22"/>
          <w:lang w:val="en-US"/>
        </w:rPr>
        <w:t xml:space="preserve">The goal of NASA </w:t>
      </w:r>
      <w:r w:rsidRPr="00BC65D6">
        <w:rPr>
          <w:sz w:val="22"/>
          <w:szCs w:val="22"/>
          <w:lang w:val="en-US"/>
        </w:rPr>
        <w:t>EPSCoR</w:t>
      </w:r>
      <w:r w:rsidRPr="00BC65D6">
        <w:rPr>
          <w:sz w:val="22"/>
          <w:szCs w:val="22"/>
          <w:lang w:val="en-US"/>
        </w:rPr>
        <w:t xml:space="preserve"> is to provide seed funding that will enable jurisdictions to develop an academic research enterprise directed toward long-term, self-sustaining, nationally competitive capabilities in aerospace and aerospace-related research.</w:t>
      </w:r>
    </w:p>
    <w:p w:rsidR="00BC65D6" w:rsidRPr="00BC65D6" w:rsidP="00BC65D6" w14:paraId="1A55BC3A" w14:textId="77777777">
      <w:pPr>
        <w:pStyle w:val="BodyText"/>
        <w:jc w:val="left"/>
        <w:rPr>
          <w:sz w:val="22"/>
          <w:szCs w:val="22"/>
          <w:lang w:val="en-US"/>
        </w:rPr>
      </w:pPr>
    </w:p>
    <w:p w:rsidR="00BC65D6" w:rsidP="00BC65D6" w14:paraId="1AC7E4BB" w14:textId="77777777">
      <w:pPr>
        <w:pStyle w:val="BodyText"/>
        <w:jc w:val="left"/>
        <w:rPr>
          <w:sz w:val="22"/>
          <w:szCs w:val="22"/>
          <w:lang w:val="en-US"/>
        </w:rPr>
      </w:pPr>
      <w:r w:rsidRPr="00BC65D6">
        <w:rPr>
          <w:sz w:val="22"/>
          <w:szCs w:val="22"/>
          <w:lang w:val="en-US"/>
        </w:rPr>
        <w:t xml:space="preserve">The specific </w:t>
      </w:r>
      <w:r w:rsidRPr="00BC65D6">
        <w:rPr>
          <w:sz w:val="22"/>
          <w:szCs w:val="22"/>
          <w:lang w:val="en-US"/>
        </w:rPr>
        <w:t>EPSCoR</w:t>
      </w:r>
      <w:r w:rsidRPr="00BC65D6">
        <w:rPr>
          <w:sz w:val="22"/>
          <w:szCs w:val="22"/>
          <w:lang w:val="en-US"/>
        </w:rPr>
        <w:t xml:space="preserve"> program objectives include:</w:t>
      </w:r>
    </w:p>
    <w:p w:rsidR="007F3AFD" w:rsidP="00BC65D6" w14:paraId="419BDFB5" w14:textId="77777777">
      <w:pPr>
        <w:pStyle w:val="BodyText"/>
        <w:numPr>
          <w:ilvl w:val="0"/>
          <w:numId w:val="14"/>
        </w:numPr>
        <w:ind w:left="1080" w:hanging="450"/>
        <w:jc w:val="left"/>
        <w:rPr>
          <w:sz w:val="22"/>
          <w:szCs w:val="22"/>
          <w:lang w:val="en-US"/>
        </w:rPr>
      </w:pPr>
      <w:r w:rsidRPr="00BC65D6">
        <w:rPr>
          <w:sz w:val="22"/>
          <w:szCs w:val="22"/>
          <w:lang w:val="en-US"/>
        </w:rPr>
        <w:t>Contribute to and promote the development of research infrastructure in areas of</w:t>
      </w:r>
      <w:r w:rsidRPr="007F3AFD">
        <w:rPr>
          <w:sz w:val="22"/>
          <w:szCs w:val="22"/>
          <w:lang w:val="en-US"/>
        </w:rPr>
        <w:t xml:space="preserve"> strategic importance to the NASA mission.</w:t>
      </w:r>
    </w:p>
    <w:p w:rsidR="007F3AFD" w:rsidP="00BC65D6" w14:paraId="509DF119" w14:textId="77777777">
      <w:pPr>
        <w:pStyle w:val="BodyText"/>
        <w:numPr>
          <w:ilvl w:val="0"/>
          <w:numId w:val="14"/>
        </w:numPr>
        <w:ind w:left="1080" w:hanging="450"/>
        <w:jc w:val="left"/>
        <w:rPr>
          <w:sz w:val="22"/>
          <w:szCs w:val="22"/>
          <w:lang w:val="en-US"/>
        </w:rPr>
      </w:pPr>
      <w:r w:rsidRPr="007F3AFD">
        <w:rPr>
          <w:sz w:val="22"/>
          <w:szCs w:val="22"/>
          <w:lang w:val="en-US"/>
        </w:rPr>
        <w:t>Improve the capabilities of the jurisdictions to gain support from sources outside the</w:t>
      </w:r>
      <w:r>
        <w:rPr>
          <w:sz w:val="22"/>
          <w:szCs w:val="22"/>
          <w:lang w:val="en-US"/>
        </w:rPr>
        <w:t xml:space="preserve"> </w:t>
      </w:r>
      <w:r w:rsidRPr="007F3AFD">
        <w:rPr>
          <w:sz w:val="22"/>
          <w:szCs w:val="22"/>
          <w:lang w:val="en-US"/>
        </w:rPr>
        <w:t xml:space="preserve">NASA </w:t>
      </w:r>
      <w:r w:rsidRPr="007F3AFD">
        <w:rPr>
          <w:sz w:val="22"/>
          <w:szCs w:val="22"/>
          <w:lang w:val="en-US"/>
        </w:rPr>
        <w:t>EPSCoR</w:t>
      </w:r>
      <w:r w:rsidRPr="007F3AFD">
        <w:rPr>
          <w:sz w:val="22"/>
          <w:szCs w:val="22"/>
          <w:lang w:val="en-US"/>
        </w:rPr>
        <w:t xml:space="preserve"> program.</w:t>
      </w:r>
    </w:p>
    <w:p w:rsidR="007F3AFD" w:rsidP="00BC65D6" w14:paraId="74143D0C" w14:textId="77777777">
      <w:pPr>
        <w:pStyle w:val="BodyText"/>
        <w:numPr>
          <w:ilvl w:val="0"/>
          <w:numId w:val="14"/>
        </w:numPr>
        <w:ind w:left="1080" w:hanging="450"/>
        <w:jc w:val="left"/>
        <w:rPr>
          <w:sz w:val="22"/>
          <w:szCs w:val="22"/>
          <w:lang w:val="en-US"/>
        </w:rPr>
      </w:pPr>
      <w:r w:rsidRPr="007F3AFD">
        <w:rPr>
          <w:sz w:val="22"/>
          <w:szCs w:val="22"/>
          <w:lang w:val="en-US"/>
        </w:rPr>
        <w:t xml:space="preserve">Develop partnerships between NASA research assets, industry, and </w:t>
      </w:r>
      <w:r w:rsidRPr="007F3AFD">
        <w:rPr>
          <w:sz w:val="22"/>
          <w:szCs w:val="22"/>
          <w:lang w:val="en-US"/>
        </w:rPr>
        <w:t>EPSCoR</w:t>
      </w:r>
      <w:r w:rsidRPr="007F3AFD">
        <w:rPr>
          <w:sz w:val="22"/>
          <w:szCs w:val="22"/>
          <w:lang w:val="en-US"/>
        </w:rPr>
        <w:t xml:space="preserve"> jurisdictions’ academic institutions.</w:t>
      </w:r>
    </w:p>
    <w:p w:rsidR="00BC65D6" w:rsidRPr="007F3AFD" w:rsidP="00BC65D6" w14:paraId="0E977C2D" w14:textId="5051FAED">
      <w:pPr>
        <w:pStyle w:val="BodyText"/>
        <w:numPr>
          <w:ilvl w:val="0"/>
          <w:numId w:val="14"/>
        </w:numPr>
        <w:ind w:left="1080" w:hanging="450"/>
        <w:jc w:val="left"/>
        <w:rPr>
          <w:sz w:val="22"/>
          <w:szCs w:val="22"/>
          <w:lang w:val="en-US"/>
        </w:rPr>
      </w:pPr>
      <w:r w:rsidRPr="007F3AFD">
        <w:rPr>
          <w:sz w:val="22"/>
          <w:szCs w:val="22"/>
          <w:lang w:val="en-US"/>
        </w:rPr>
        <w:t>Contribute to the overall research infrastructure, science, and technology capabilities,</w:t>
      </w:r>
      <w:r w:rsidRPr="007F3AFD" w:rsidR="007F3AFD">
        <w:rPr>
          <w:sz w:val="22"/>
          <w:szCs w:val="22"/>
          <w:lang w:val="en-US"/>
        </w:rPr>
        <w:t xml:space="preserve"> </w:t>
      </w:r>
      <w:r w:rsidRPr="007F3AFD">
        <w:rPr>
          <w:sz w:val="22"/>
          <w:szCs w:val="22"/>
          <w:lang w:val="en-US"/>
        </w:rPr>
        <w:t>higher education, and/or economic development of the jurisdiction.</w:t>
      </w:r>
    </w:p>
    <w:p w:rsidR="00BA2CA8" w:rsidP="00BC65D6" w14:paraId="30D8904B" w14:textId="667E600B">
      <w:pPr>
        <w:pStyle w:val="BodyText"/>
        <w:jc w:val="left"/>
        <w:rPr>
          <w:b/>
          <w:sz w:val="22"/>
          <w:szCs w:val="22"/>
        </w:rPr>
      </w:pPr>
    </w:p>
    <w:p w:rsidR="00660278" w:rsidRPr="00660278" w:rsidP="00660278" w14:paraId="7710876B" w14:textId="77777777">
      <w:pPr>
        <w:pStyle w:val="BodyText"/>
        <w:rPr>
          <w:bCs/>
          <w:sz w:val="22"/>
          <w:szCs w:val="22"/>
          <w:lang w:val="en-US"/>
        </w:rPr>
      </w:pPr>
    </w:p>
    <w:p w:rsidR="00374F2A" w:rsidP="00B74A4B" w14:paraId="3349CA1E" w14:textId="77777777">
      <w:pPr>
        <w:autoSpaceDE w:val="0"/>
        <w:autoSpaceDN w:val="0"/>
        <w:adjustRightInd w:val="0"/>
        <w:rPr>
          <w:bCs/>
        </w:rPr>
      </w:pPr>
      <w:r w:rsidRPr="5268B949">
        <w:rPr>
          <w:b/>
          <w:bCs/>
        </w:rPr>
        <w:t>INTRODUCTION AND PURPOSE:</w:t>
      </w:r>
      <w:r w:rsidRPr="5268B949">
        <w:rPr>
          <w:rFonts w:ascii="Arial" w:hAnsi="Arial" w:cs="Arial"/>
          <w:sz w:val="19"/>
          <w:szCs w:val="19"/>
        </w:rPr>
        <w:t xml:space="preserve"> </w:t>
      </w:r>
      <w:r w:rsidRPr="00810DFF" w:rsidR="00B74A4B">
        <w:t xml:space="preserve">The purpose of this data collection effort is to support NASA Office of STEM Engagement and </w:t>
      </w:r>
      <w:r w:rsidRPr="00810DFF" w:rsidR="008829E5">
        <w:t>EPSCoR</w:t>
      </w:r>
      <w:r w:rsidRPr="00810DFF" w:rsidR="00B74A4B">
        <w:t xml:space="preserve"> goals and evidence building directly related to the Learning Agenda</w:t>
      </w:r>
      <w:r w:rsidRPr="00810DFF" w:rsidR="00576DC0">
        <w:t xml:space="preserve"> through an Institutional Research Capacity (IRC) Outcome Assessment</w:t>
      </w:r>
      <w:r w:rsidRPr="00810DFF" w:rsidR="00B74A4B">
        <w:t xml:space="preserve">. </w:t>
      </w:r>
      <w:r w:rsidRPr="00810DFF" w:rsidR="00576DC0">
        <w:rPr>
          <w:bCs/>
        </w:rPr>
        <w:t xml:space="preserve">The purpose of this </w:t>
      </w:r>
      <w:r w:rsidR="000D175D">
        <w:rPr>
          <w:bCs/>
        </w:rPr>
        <w:t xml:space="preserve">pilot </w:t>
      </w:r>
      <w:r w:rsidRPr="00810DFF" w:rsidR="00576DC0">
        <w:rPr>
          <w:bCs/>
        </w:rPr>
        <w:t>outcome assessment is to help NASA understand the outcomes of IRC</w:t>
      </w:r>
      <w:r w:rsidRPr="00810DFF" w:rsidR="00576DC0">
        <w:rPr>
          <w:rFonts w:eastAsia="Times New Roman"/>
          <w:bCs/>
        </w:rPr>
        <w:t xml:space="preserve"> building efforts from NASA </w:t>
      </w:r>
      <w:r w:rsidRPr="00810DFF" w:rsidR="00576DC0">
        <w:rPr>
          <w:bCs/>
        </w:rPr>
        <w:t>EPSCoR</w:t>
      </w:r>
      <w:r w:rsidRPr="00810DFF" w:rsidR="00576DC0">
        <w:rPr>
          <w:bCs/>
        </w:rPr>
        <w:t xml:space="preserve"> </w:t>
      </w:r>
      <w:r w:rsidRPr="00810DFF" w:rsidR="00576DC0">
        <w:rPr>
          <w:rFonts w:eastAsia="Times New Roman"/>
          <w:bCs/>
        </w:rPr>
        <w:t>grantees and awardees</w:t>
      </w:r>
      <w:r w:rsidRPr="00810DFF" w:rsidR="00576DC0">
        <w:rPr>
          <w:bCs/>
        </w:rPr>
        <w:t xml:space="preserve">.  </w:t>
      </w:r>
    </w:p>
    <w:p w:rsidR="00374F2A" w:rsidP="00B74A4B" w14:paraId="760B33B0" w14:textId="77777777">
      <w:pPr>
        <w:autoSpaceDE w:val="0"/>
        <w:autoSpaceDN w:val="0"/>
        <w:adjustRightInd w:val="0"/>
        <w:rPr>
          <w:bCs/>
        </w:rPr>
      </w:pPr>
    </w:p>
    <w:p w:rsidR="008344CB" w:rsidP="00B74A4B" w14:paraId="476A5995" w14:textId="0E1775EA">
      <w:pPr>
        <w:autoSpaceDE w:val="0"/>
        <w:autoSpaceDN w:val="0"/>
        <w:adjustRightInd w:val="0"/>
      </w:pPr>
      <w:r w:rsidRPr="000C4162">
        <w:t xml:space="preserve">This </w:t>
      </w:r>
      <w:r>
        <w:t xml:space="preserve">data information collection </w:t>
      </w:r>
      <w:r w:rsidRPr="000C4162">
        <w:t xml:space="preserve">request includes one survey instrument and </w:t>
      </w:r>
      <w:r>
        <w:t>an interview</w:t>
      </w:r>
      <w:r w:rsidRPr="000C4162">
        <w:t xml:space="preserve"> protocol that will be used to collect data from </w:t>
      </w:r>
      <w:r w:rsidR="00374F2A">
        <w:t xml:space="preserve">NASA </w:t>
      </w:r>
      <w:r w:rsidR="00374F2A">
        <w:t>EPSCoR</w:t>
      </w:r>
      <w:r w:rsidR="00374F2A">
        <w:t xml:space="preserve"> stakeholders (i.e.,</w:t>
      </w:r>
      <w:r w:rsidR="00D27909">
        <w:t xml:space="preserve"> scientist and researchers</w:t>
      </w:r>
      <w:r w:rsidR="00374F2A">
        <w:t xml:space="preserve"> </w:t>
      </w:r>
      <w:r w:rsidR="00D27909">
        <w:t>)</w:t>
      </w:r>
      <w:r w:rsidRPr="000C4162">
        <w:t xml:space="preserve">. </w:t>
      </w:r>
      <w:r w:rsidRPr="00810DFF" w:rsidR="008B73F4">
        <w:t xml:space="preserve">The goal of this evaluation is twofold: to collect stakeholders’ perceptions regarding institutional research capacity enabled from </w:t>
      </w:r>
      <w:r w:rsidRPr="00810DFF" w:rsidR="008B73F4">
        <w:t>EPSCoR</w:t>
      </w:r>
      <w:r w:rsidRPr="00810DFF" w:rsidR="008B73F4">
        <w:t xml:space="preserve"> funding, and to collect cross-project metrics that contribute to NASA’s Learning Agenda and ability to answer associated learning questions.  Specifically, this survey and interview protocol will address the NASA OSTEM  Learning Question 1: </w:t>
      </w:r>
      <w:r w:rsidRPr="00810DFF" w:rsidR="008B73F4">
        <w:rPr>
          <w:i/>
          <w:iCs/>
        </w:rPr>
        <w:t>How can NASA STEM Engagement develop cross-project metrics that support internal and external contributions to STEM Engagement goals and objectives?</w:t>
      </w:r>
      <w:r w:rsidR="00EB2FE7">
        <w:t xml:space="preserve"> </w:t>
      </w:r>
      <w:r w:rsidR="00015907">
        <w:t xml:space="preserve"> </w:t>
      </w:r>
    </w:p>
    <w:p w:rsidR="000C4162" w:rsidP="00B74A4B" w14:paraId="45090223" w14:textId="05A3D28F">
      <w:pPr>
        <w:autoSpaceDE w:val="0"/>
        <w:autoSpaceDN w:val="0"/>
        <w:adjustRightInd w:val="0"/>
      </w:pPr>
    </w:p>
    <w:p w:rsidR="004C033C" w:rsidP="00B74A4B" w14:paraId="732D52E7" w14:textId="462A7AEA">
      <w:pPr>
        <w:ind w:left="288"/>
        <w:rPr>
          <w:rFonts w:cs="Calibri"/>
          <w:szCs w:val="20"/>
        </w:rPr>
      </w:pPr>
    </w:p>
    <w:p w:rsidR="00197910" w:rsidP="00197910" w14:paraId="08509598" w14:textId="4E7944BE">
      <w:pPr>
        <w:pStyle w:val="ListParagraph"/>
        <w:numPr>
          <w:ilvl w:val="0"/>
          <w:numId w:val="3"/>
        </w:numPr>
        <w:jc w:val="both"/>
      </w:pPr>
      <w:r w:rsidRPr="009C778D">
        <w:rPr>
          <w:b/>
          <w:bCs/>
        </w:rPr>
        <w:t>RESEARCH DESIGN OVERVIEW:</w:t>
      </w:r>
      <w:r>
        <w:t xml:space="preserve"> NASA’s work in STEM Engagement is focused on serving students. </w:t>
      </w:r>
      <w:r w:rsidR="00DC1B0D">
        <w:t xml:space="preserve">NASA </w:t>
      </w:r>
      <w:r w:rsidR="00DC1B0D">
        <w:t>EPSCoR</w:t>
      </w:r>
      <w:r w:rsidR="00DC1B0D">
        <w:t xml:space="preserve"> provides support via competitive opportunities and awards to </w:t>
      </w:r>
      <w:r w:rsidRPr="00DD12BF" w:rsidR="00487683">
        <w:t xml:space="preserve">jurisdictions that have not participated equably in competitive aerospace and aerospace-related research activities. </w:t>
      </w:r>
      <w:r>
        <w:t xml:space="preserve"> </w:t>
      </w:r>
      <w:r>
        <w:t xml:space="preserve">The proposed survey instrument and interview protocol to be used in this study have been created based on the findings of the FY 2022 Institutional Research Capacity Evaluation and the FY 2022 </w:t>
      </w:r>
      <w:r>
        <w:t>EPSCoR</w:t>
      </w:r>
      <w:r>
        <w:t xml:space="preserve"> Historical Analysis. The FY22 Institutional Research Capacity Evaluation provided a baseline understanding of how NASA MUREP, Space Grant, and </w:t>
      </w:r>
      <w:r>
        <w:t>EPSCoR</w:t>
      </w:r>
      <w:r>
        <w:t xml:space="preserve"> awardees (Principal Investigators, Co-Principal Investigators, and Activity Managers) engaged in evidence-based practices to build institutional research capacity through interviews with nine awardees. Across all three programs, awardees were focused on collaboration and building partnerships, utilizing funding for equipment and resources, and sustaining their research efforts. Additionally, awardees of Space Grant and MUREP developed new coursework and curriculum, created internships, fellowships, and scholarships, engaged students in research and hands-on experiences, and engaged faculty in professional development and training as methods for building research capacity.</w:t>
      </w:r>
    </w:p>
    <w:p w:rsidR="00197910" w:rsidP="00197910" w14:paraId="1687A67D" w14:textId="77777777">
      <w:pPr>
        <w:pStyle w:val="ListParagraph"/>
        <w:ind w:left="288"/>
      </w:pPr>
    </w:p>
    <w:p w:rsidR="00197910" w:rsidP="00197910" w14:paraId="6D0ABAB6" w14:textId="77777777">
      <w:pPr>
        <w:pStyle w:val="ListParagraph"/>
        <w:ind w:left="288"/>
      </w:pPr>
      <w:r>
        <w:t xml:space="preserve">The FY22 </w:t>
      </w:r>
      <w:r>
        <w:t>EPSCoR</w:t>
      </w:r>
      <w:r>
        <w:t xml:space="preserve"> Historical Analysis analyzed the key metrics in the most recent Research Performance Progress Reports. This study reviewed 93 </w:t>
      </w:r>
      <w:r>
        <w:t>EPSCoR</w:t>
      </w:r>
      <w:r>
        <w:t xml:space="preserve"> projects across the 28 jurisdictions. The metrics identified key metrics regarding products of interest to the </w:t>
      </w:r>
      <w:r>
        <w:t>EPSCoR</w:t>
      </w:r>
      <w:r>
        <w:t xml:space="preserve"> program such as: publications and conference papers, talks, presentations, websites, new coursework, and inventions/patents and licenses. In addition, the study identified key metrics regarding participants and collaborating organizations amongst the </w:t>
      </w:r>
      <w:r>
        <w:t>EPSCoR</w:t>
      </w:r>
      <w:r>
        <w:t xml:space="preserve"> projects (e.g., university research team members, NASA collaborators, industry collaborators, and new non-</w:t>
      </w:r>
      <w:r>
        <w:t>EPSCoR</w:t>
      </w:r>
      <w:r>
        <w:t xml:space="preserve"> grant funding).</w:t>
      </w:r>
    </w:p>
    <w:p w:rsidR="00197910" w:rsidP="00197910" w14:paraId="4FA9C5E3" w14:textId="77777777">
      <w:pPr>
        <w:pStyle w:val="ListParagraph"/>
        <w:ind w:left="288"/>
      </w:pPr>
    </w:p>
    <w:p w:rsidR="00AE626D" w:rsidRPr="00AE626D" w:rsidP="00197910" w14:paraId="27B44C6C" w14:textId="3A0DA1B6">
      <w:pPr>
        <w:pStyle w:val="ListParagraph"/>
        <w:ind w:left="288"/>
        <w:jc w:val="both"/>
      </w:pPr>
      <w:r>
        <w:t xml:space="preserve">The survey instrument and interview protocol have been developed based on these findings to capture the broader perceptions regarding institutional research capacity enabled from </w:t>
      </w:r>
      <w:r>
        <w:t>EPSCoR</w:t>
      </w:r>
      <w:r>
        <w:t xml:space="preserve"> funding. Expanded data collection through this survey will expand the data collection to a broader set of awardees, enabling a deeper understanding of how NASA STEM Engagement programs build the institutional research capacity of awarded institutions.</w:t>
      </w:r>
      <w:r w:rsidR="00157D1E">
        <w:t xml:space="preserve"> </w:t>
      </w:r>
      <w:r w:rsidR="00AC0F0A">
        <w:rPr>
          <w:color w:val="000000" w:themeColor="text1"/>
        </w:rPr>
        <w:t>T</w:t>
      </w:r>
      <w:r w:rsidRPr="00AC0F0A" w:rsidR="5E33F109">
        <w:rPr>
          <w:color w:val="000000" w:themeColor="text1"/>
        </w:rPr>
        <w:t xml:space="preserve">he proposed instrument will used in ongoing program evaluation by NASA. </w:t>
      </w:r>
      <w:r w:rsidR="5E33F109">
        <w:t>This study falls under the category of a program evaluation,</w:t>
      </w:r>
      <w:r w:rsidR="00683829">
        <w:t xml:space="preserve"> </w:t>
      </w:r>
      <w:r w:rsidR="5E33F109">
        <w:t xml:space="preserve">and will be guided by three evaluation questions for the approach and design of this study. Evaluation questions are presented in Figure 1 below. </w:t>
      </w:r>
    </w:p>
    <w:p w:rsidR="5E33F109" w:rsidP="00592A5B" w14:paraId="33050F76" w14:textId="051F7E2E">
      <w:pPr>
        <w:jc w:val="both"/>
      </w:pPr>
    </w:p>
    <w:tbl>
      <w:tblPr>
        <w:tblStyle w:val="ListTable2"/>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14:paraId="5C3131AB" w14:textId="77777777" w:rsidTr="00950D51">
        <w:tblPrEx>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39"/>
        </w:trPr>
        <w:tc>
          <w:tcPr>
            <w:tcW w:w="9820" w:type="dxa"/>
          </w:tcPr>
          <w:p w:rsidR="00683829" w:rsidRPr="00A8224F" w:rsidP="00135521" w14:paraId="598A295E" w14:textId="77777777">
            <w:pPr>
              <w:rPr>
                <w:rFonts w:ascii="Segoe UI" w:hAnsi="Segoe UI" w:cs="Segoe UI"/>
                <w:b w:val="0"/>
                <w:bCs w:val="0"/>
                <w:i/>
                <w:iCs/>
                <w:sz w:val="16"/>
                <w:szCs w:val="16"/>
              </w:rPr>
            </w:pPr>
            <w:r w:rsidRPr="00A8224F">
              <w:rPr>
                <w:rFonts w:ascii="Segoe UI" w:hAnsi="Segoe UI" w:cs="Segoe UI"/>
                <w:i/>
                <w:iCs/>
                <w:sz w:val="16"/>
                <w:szCs w:val="16"/>
              </w:rPr>
              <w:t>Evaluation Question 1</w:t>
            </w:r>
          </w:p>
          <w:p w:rsidR="00683829" w:rsidRPr="00A8224F" w:rsidP="00135521" w14:paraId="2461EF97" w14:textId="5BA25B3C">
            <w:pPr>
              <w:rPr>
                <w:rFonts w:ascii="Segoe UI" w:eastAsia="Arial" w:hAnsi="Segoe UI" w:cs="Segoe UI"/>
                <w:b w:val="0"/>
                <w:bCs w:val="0"/>
                <w:sz w:val="16"/>
                <w:szCs w:val="16"/>
              </w:rPr>
            </w:pPr>
            <w:r w:rsidRPr="0086796D">
              <w:rPr>
                <w:rFonts w:ascii="Segoe UI" w:hAnsi="Segoe UI" w:cs="Segoe UI"/>
                <w:b w:val="0"/>
                <w:bCs w:val="0"/>
                <w:i/>
                <w:iCs/>
                <w:sz w:val="16"/>
                <w:szCs w:val="16"/>
              </w:rPr>
              <w:t xml:space="preserve">How has participating in the </w:t>
            </w:r>
            <w:r w:rsidRPr="0086796D">
              <w:rPr>
                <w:rFonts w:ascii="Segoe UI" w:hAnsi="Segoe UI" w:cs="Segoe UI"/>
                <w:b w:val="0"/>
                <w:bCs w:val="0"/>
                <w:i/>
                <w:iCs/>
                <w:sz w:val="16"/>
                <w:szCs w:val="16"/>
              </w:rPr>
              <w:t>EPSCoR</w:t>
            </w:r>
            <w:r w:rsidRPr="0086796D">
              <w:rPr>
                <w:rFonts w:ascii="Segoe UI" w:hAnsi="Segoe UI" w:cs="Segoe UI"/>
                <w:b w:val="0"/>
                <w:bCs w:val="0"/>
                <w:i/>
                <w:iCs/>
                <w:sz w:val="16"/>
                <w:szCs w:val="16"/>
              </w:rPr>
              <w:t xml:space="preserve"> project developed awardees' institutional research capacity?</w:t>
            </w:r>
          </w:p>
        </w:tc>
      </w:tr>
      <w:tr w14:paraId="380FA43E" w14:textId="77777777" w:rsidTr="00950D51">
        <w:tblPrEx>
          <w:tblW w:w="9820" w:type="dxa"/>
          <w:tblLook w:val="04A0"/>
        </w:tblPrEx>
        <w:trPr>
          <w:trHeight w:val="530"/>
        </w:trPr>
        <w:tc>
          <w:tcPr>
            <w:tcW w:w="9820" w:type="dxa"/>
          </w:tcPr>
          <w:p w:rsidR="00683829" w:rsidRPr="00A8224F" w:rsidP="00135521" w14:paraId="664B67B4" w14:textId="77777777">
            <w:pPr>
              <w:rPr>
                <w:rFonts w:ascii="Segoe UI" w:hAnsi="Segoe UI" w:cs="Segoe UI"/>
                <w:i/>
                <w:iCs/>
                <w:sz w:val="16"/>
                <w:szCs w:val="16"/>
              </w:rPr>
            </w:pPr>
            <w:r w:rsidRPr="00A8224F">
              <w:rPr>
                <w:rFonts w:ascii="Segoe UI" w:hAnsi="Segoe UI" w:cs="Segoe UI"/>
                <w:i/>
                <w:iCs/>
                <w:sz w:val="16"/>
                <w:szCs w:val="16"/>
              </w:rPr>
              <w:t>Evaluation Question #2</w:t>
            </w:r>
          </w:p>
          <w:p w:rsidR="00683829" w:rsidRPr="00A8224F" w:rsidP="00135521" w14:paraId="75D64485" w14:textId="61430375">
            <w:pPr>
              <w:rPr>
                <w:rFonts w:ascii="Segoe UI" w:eastAsia="Arial" w:hAnsi="Segoe UI" w:cs="Segoe UI"/>
                <w:b w:val="0"/>
                <w:bCs w:val="0"/>
                <w:sz w:val="16"/>
                <w:szCs w:val="16"/>
              </w:rPr>
            </w:pPr>
            <w:r w:rsidRPr="0086796D">
              <w:rPr>
                <w:rFonts w:ascii="Segoe UI" w:hAnsi="Segoe UI" w:cs="Segoe UI"/>
                <w:b w:val="0"/>
                <w:bCs w:val="0"/>
                <w:i/>
                <w:iCs/>
                <w:sz w:val="16"/>
                <w:szCs w:val="16"/>
              </w:rPr>
              <w:t xml:space="preserve">In what ways do the metrics of the four components capture </w:t>
            </w:r>
            <w:r w:rsidRPr="0086796D">
              <w:rPr>
                <w:rFonts w:ascii="Segoe UI" w:hAnsi="Segoe UI" w:cs="Segoe UI"/>
                <w:b w:val="0"/>
                <w:bCs w:val="0"/>
                <w:i/>
                <w:iCs/>
                <w:sz w:val="16"/>
                <w:szCs w:val="16"/>
              </w:rPr>
              <w:t>EPSCoR</w:t>
            </w:r>
            <w:r w:rsidRPr="0086796D">
              <w:rPr>
                <w:rFonts w:ascii="Segoe UI" w:hAnsi="Segoe UI" w:cs="Segoe UI"/>
                <w:b w:val="0"/>
                <w:bCs w:val="0"/>
                <w:i/>
                <w:iCs/>
                <w:sz w:val="16"/>
                <w:szCs w:val="16"/>
              </w:rPr>
              <w:t xml:space="preserve"> awardees’ institutional research capacity?</w:t>
            </w:r>
          </w:p>
        </w:tc>
      </w:tr>
    </w:tbl>
    <w:p w:rsidR="00AE626D" w:rsidRPr="00AE626D" w:rsidP="00683829" w14:paraId="4AE4A320" w14:textId="35CD57C3"/>
    <w:p w:rsidR="00AE626D" w:rsidRPr="00AE626D" w:rsidP="00543F26" w14:paraId="4052DEF0" w14:textId="75F2DB96">
      <w:pPr>
        <w:pStyle w:val="ListParagraph"/>
        <w:ind w:left="288"/>
        <w:jc w:val="center"/>
        <w:rPr>
          <w:b/>
          <w:bCs/>
          <w:i/>
          <w:iCs/>
          <w:szCs w:val="24"/>
        </w:rPr>
      </w:pPr>
      <w:r w:rsidRPr="00AE626D">
        <w:rPr>
          <w:b/>
          <w:bCs/>
          <w:szCs w:val="24"/>
        </w:rPr>
        <w:t xml:space="preserve">Figure </w:t>
      </w:r>
      <w:r w:rsidR="00543F26">
        <w:rPr>
          <w:b/>
          <w:bCs/>
          <w:szCs w:val="24"/>
        </w:rPr>
        <w:t>1</w:t>
      </w:r>
      <w:r w:rsidRPr="00AE626D">
        <w:rPr>
          <w:b/>
          <w:bCs/>
          <w:szCs w:val="24"/>
        </w:rPr>
        <w:t xml:space="preserve">. </w:t>
      </w:r>
      <w:r w:rsidRPr="00AE626D">
        <w:rPr>
          <w:b/>
          <w:bCs/>
          <w:i/>
          <w:iCs/>
          <w:szCs w:val="24"/>
        </w:rPr>
        <w:t>Evaluation Questions</w:t>
      </w:r>
    </w:p>
    <w:p w:rsidR="00AE626D" w:rsidRPr="00AE626D" w:rsidP="00AE626D" w14:paraId="463F6EA2" w14:textId="77777777">
      <w:pPr>
        <w:pStyle w:val="ListParagraph"/>
        <w:ind w:left="288"/>
        <w:jc w:val="both"/>
        <w:rPr>
          <w:b/>
          <w:szCs w:val="24"/>
        </w:rPr>
      </w:pPr>
    </w:p>
    <w:p w:rsidR="00AC0F0A" w:rsidP="00683829" w14:paraId="03EDA841" w14:textId="77777777">
      <w:pPr>
        <w:pStyle w:val="ListParagraph"/>
        <w:ind w:left="288"/>
      </w:pPr>
    </w:p>
    <w:p w:rsidR="00683829" w:rsidRPr="00683829" w:rsidP="00683829" w14:paraId="065CF502" w14:textId="1C40EF77">
      <w:pPr>
        <w:pStyle w:val="ListParagraph"/>
        <w:ind w:left="288"/>
      </w:pPr>
      <w:r w:rsidRPr="00683829">
        <w:t xml:space="preserve">The survey will be distributed to all </w:t>
      </w:r>
      <w:r w:rsidR="002305CB">
        <w:t>of the Principal Investigators</w:t>
      </w:r>
      <w:r w:rsidRPr="00683829">
        <w:t xml:space="preserve"> </w:t>
      </w:r>
      <w:r w:rsidR="0099147E">
        <w:t>(PIs)</w:t>
      </w:r>
      <w:r w:rsidR="0050161A">
        <w:t>/Directors</w:t>
      </w:r>
      <w:r w:rsidR="0099147E">
        <w:t xml:space="preserve"> </w:t>
      </w:r>
      <w:r w:rsidRPr="00683829">
        <w:t xml:space="preserve">of </w:t>
      </w:r>
      <w:r w:rsidR="002305CB">
        <w:t xml:space="preserve">the </w:t>
      </w:r>
      <w:r w:rsidRPr="00683829">
        <w:t xml:space="preserve">NASA </w:t>
      </w:r>
      <w:r w:rsidR="002305CB">
        <w:t>EPSCoR</w:t>
      </w:r>
      <w:r w:rsidR="002305CB">
        <w:t xml:space="preserve"> Program</w:t>
      </w:r>
      <w:r w:rsidR="00EA5ECC">
        <w:t xml:space="preserve"> Jurisdictions (28)</w:t>
      </w:r>
      <w:r w:rsidRPr="00683829">
        <w:t xml:space="preserve"> in April 2023</w:t>
      </w:r>
      <w:r w:rsidR="00EA5ECC">
        <w:t xml:space="preserve"> for administration to </w:t>
      </w:r>
      <w:r w:rsidR="0099147E">
        <w:t>Co-PIs</w:t>
      </w:r>
      <w:r w:rsidR="0050161A">
        <w:t>/</w:t>
      </w:r>
      <w:r w:rsidR="00A70EDC">
        <w:t>Science PIs</w:t>
      </w:r>
      <w:r w:rsidR="00851002">
        <w:t xml:space="preserve">/Co-Science PI/Other </w:t>
      </w:r>
      <w:r w:rsidR="0050161A">
        <w:t>Researchers</w:t>
      </w:r>
      <w:r w:rsidR="008F7A5F">
        <w:t xml:space="preserve"> </w:t>
      </w:r>
      <w:r w:rsidRPr="00D53126" w:rsidR="008F7A5F">
        <w:t>(approximately</w:t>
      </w:r>
      <w:r w:rsidR="00D53126">
        <w:t xml:space="preserve"> </w:t>
      </w:r>
      <w:r w:rsidR="00A4637F">
        <w:t>3</w:t>
      </w:r>
      <w:r w:rsidR="00D53126">
        <w:t>00</w:t>
      </w:r>
      <w:r w:rsidRPr="00D53126" w:rsidR="00324C8F">
        <w:t>)</w:t>
      </w:r>
      <w:r w:rsidRPr="00683829">
        <w:t xml:space="preserve">. </w:t>
      </w:r>
      <w:r w:rsidR="00EA613C">
        <w:t>Although p</w:t>
      </w:r>
      <w:r w:rsidR="00F1285F">
        <w:t>articipa</w:t>
      </w:r>
      <w:r w:rsidR="00F0271E">
        <w:t xml:space="preserve">tion in the survey </w:t>
      </w:r>
      <w:r w:rsidRPr="00683829">
        <w:t>is voluntary</w:t>
      </w:r>
      <w:r w:rsidR="00EA613C">
        <w:t xml:space="preserve">, it will </w:t>
      </w:r>
      <w:r w:rsidRPr="00683829">
        <w:t>provid</w:t>
      </w:r>
      <w:r w:rsidR="00EA613C">
        <w:t>e</w:t>
      </w:r>
      <w:r w:rsidRPr="00683829">
        <w:t xml:space="preserve"> useful customer input to address programmatic decision making and assess </w:t>
      </w:r>
      <w:r w:rsidR="0077136C">
        <w:t xml:space="preserve">IRC </w:t>
      </w:r>
      <w:r w:rsidR="0050161A">
        <w:t xml:space="preserve">outcomes of </w:t>
      </w:r>
      <w:r w:rsidR="00324C8F">
        <w:t xml:space="preserve">NASA </w:t>
      </w:r>
      <w:r w:rsidR="0050161A">
        <w:t>EPSCoR</w:t>
      </w:r>
      <w:r w:rsidR="0050161A">
        <w:t xml:space="preserve"> funding</w:t>
      </w:r>
      <w:r w:rsidRPr="00683829">
        <w:t xml:space="preserve">. Additionally, </w:t>
      </w:r>
      <w:r w:rsidR="00747E61">
        <w:t xml:space="preserve">up to </w:t>
      </w:r>
      <w:r w:rsidR="005656AB">
        <w:t>5</w:t>
      </w:r>
      <w:r w:rsidR="00747E61">
        <w:t xml:space="preserve">0 </w:t>
      </w:r>
      <w:r w:rsidR="00CF5E9C">
        <w:t xml:space="preserve">interviews </w:t>
      </w:r>
      <w:r w:rsidRPr="00683829">
        <w:t>will be conducted virtually</w:t>
      </w:r>
      <w:r w:rsidR="00747E61">
        <w:t xml:space="preserve"> with</w:t>
      </w:r>
      <w:r w:rsidR="00640707">
        <w:t xml:space="preserve"> respondents from the survey that volunteers to participate in an interview</w:t>
      </w:r>
      <w:r w:rsidRPr="00683829">
        <w:t xml:space="preserve">. Each </w:t>
      </w:r>
      <w:r w:rsidR="00CF5E9C">
        <w:t>interview</w:t>
      </w:r>
      <w:r w:rsidRPr="00683829">
        <w:t xml:space="preserve"> will be approximately </w:t>
      </w:r>
      <w:r w:rsidR="008F7A5F">
        <w:t>forty minutes</w:t>
      </w:r>
      <w:r w:rsidRPr="00683829">
        <w:t xml:space="preserve"> long. </w:t>
      </w:r>
    </w:p>
    <w:p w:rsidR="00E570DF" w:rsidRPr="00E570DF" w:rsidP="00E570DF" w14:paraId="462BA941" w14:textId="77777777">
      <w:pPr>
        <w:pStyle w:val="ListParagraph"/>
        <w:ind w:left="288"/>
        <w:rPr>
          <w:szCs w:val="24"/>
        </w:rPr>
      </w:pPr>
    </w:p>
    <w:p w:rsidR="00F1285F" w:rsidRPr="00F1285F" w:rsidP="002F1EA2" w14:paraId="75F917E9" w14:textId="77777777">
      <w:pPr>
        <w:pStyle w:val="BodyText"/>
        <w:ind w:left="288"/>
        <w:rPr>
          <w:sz w:val="22"/>
          <w:szCs w:val="22"/>
        </w:rPr>
      </w:pPr>
      <w:r w:rsidRPr="00F1285F">
        <w:rPr>
          <w:b/>
          <w:bCs/>
          <w:i/>
          <w:iCs/>
          <w:sz w:val="22"/>
          <w:szCs w:val="22"/>
        </w:rPr>
        <w:t>Construct survey item analysis.</w:t>
      </w:r>
      <w:r w:rsidRPr="00F1285F">
        <w:rPr>
          <w:b/>
          <w:bCs/>
          <w:sz w:val="22"/>
          <w:szCs w:val="22"/>
        </w:rPr>
        <w:t xml:space="preserve"> </w:t>
      </w:r>
      <w:r w:rsidRPr="00F1285F">
        <w:rPr>
          <w:sz w:val="22"/>
          <w:szCs w:val="22"/>
        </w:rPr>
        <w:t xml:space="preserve">The survey instruments to be used in this study have been created based on the research questions proposed. Survey items have been created specifically for this evaluation. Survey questions were developed with the intent to provide NASA with information regarding how and to what extent NASA CONNECTS is: </w:t>
      </w:r>
    </w:p>
    <w:p w:rsidR="00F1285F" w:rsidRPr="00F1285F" w:rsidP="00F1285F" w14:paraId="70173369" w14:textId="77777777">
      <w:pPr>
        <w:pStyle w:val="BodyText"/>
        <w:numPr>
          <w:ilvl w:val="0"/>
          <w:numId w:val="12"/>
        </w:numPr>
        <w:tabs>
          <w:tab w:val="left" w:pos="720"/>
          <w:tab w:val="left" w:pos="1080"/>
          <w:tab w:val="left" w:pos="1440"/>
          <w:tab w:val="left" w:pos="1800"/>
        </w:tabs>
        <w:spacing w:after="0" w:line="264" w:lineRule="auto"/>
        <w:contextualSpacing w:val="0"/>
        <w:jc w:val="left"/>
        <w:rPr>
          <w:sz w:val="22"/>
          <w:szCs w:val="22"/>
        </w:rPr>
      </w:pPr>
      <w:r w:rsidRPr="00F1285F">
        <w:rPr>
          <w:sz w:val="22"/>
          <w:szCs w:val="22"/>
        </w:rPr>
        <w:t>Increasing the reach of available NASA STEM resources and opportunities to its members</w:t>
      </w:r>
    </w:p>
    <w:p w:rsidR="00F1285F" w:rsidRPr="00F1285F" w:rsidP="00F1285F" w14:paraId="451C4765" w14:textId="77777777">
      <w:pPr>
        <w:pStyle w:val="BodyText"/>
        <w:numPr>
          <w:ilvl w:val="0"/>
          <w:numId w:val="12"/>
        </w:numPr>
        <w:tabs>
          <w:tab w:val="left" w:pos="720"/>
          <w:tab w:val="left" w:pos="1080"/>
          <w:tab w:val="left" w:pos="1440"/>
          <w:tab w:val="left" w:pos="1800"/>
        </w:tabs>
        <w:spacing w:after="0" w:line="264" w:lineRule="auto"/>
        <w:contextualSpacing w:val="0"/>
        <w:jc w:val="left"/>
        <w:rPr>
          <w:sz w:val="22"/>
          <w:szCs w:val="22"/>
        </w:rPr>
      </w:pPr>
      <w:r w:rsidRPr="00F1285F">
        <w:rPr>
          <w:sz w:val="22"/>
          <w:szCs w:val="22"/>
        </w:rPr>
        <w:t>Increasing the efficiency of use of NASA STEM resources and opportunities for teachers</w:t>
      </w:r>
    </w:p>
    <w:p w:rsidR="00F1285F" w:rsidRPr="00F1285F" w:rsidP="00F1285F" w14:paraId="68EBB818" w14:textId="77777777">
      <w:pPr>
        <w:pStyle w:val="BodyText"/>
        <w:numPr>
          <w:ilvl w:val="0"/>
          <w:numId w:val="12"/>
        </w:numPr>
        <w:tabs>
          <w:tab w:val="left" w:pos="720"/>
          <w:tab w:val="left" w:pos="1080"/>
          <w:tab w:val="left" w:pos="1440"/>
          <w:tab w:val="left" w:pos="1800"/>
        </w:tabs>
        <w:spacing w:after="0" w:line="264" w:lineRule="auto"/>
        <w:contextualSpacing w:val="0"/>
        <w:jc w:val="left"/>
        <w:rPr>
          <w:sz w:val="22"/>
          <w:szCs w:val="22"/>
        </w:rPr>
      </w:pPr>
      <w:r w:rsidRPr="00F1285F">
        <w:rPr>
          <w:sz w:val="22"/>
          <w:szCs w:val="22"/>
        </w:rPr>
        <w:t>Including features to enhance collaboration between educators</w:t>
      </w:r>
    </w:p>
    <w:p w:rsidR="00F1285F" w:rsidRPr="00F1285F" w:rsidP="00F1285F" w14:paraId="360258B8" w14:textId="77777777">
      <w:pPr>
        <w:pStyle w:val="BodyText"/>
        <w:numPr>
          <w:ilvl w:val="0"/>
          <w:numId w:val="12"/>
        </w:numPr>
        <w:tabs>
          <w:tab w:val="left" w:pos="720"/>
          <w:tab w:val="left" w:pos="1080"/>
          <w:tab w:val="left" w:pos="1440"/>
          <w:tab w:val="left" w:pos="1800"/>
        </w:tabs>
        <w:spacing w:after="0" w:line="264" w:lineRule="auto"/>
        <w:contextualSpacing w:val="0"/>
        <w:jc w:val="left"/>
        <w:rPr>
          <w:sz w:val="22"/>
          <w:szCs w:val="22"/>
        </w:rPr>
      </w:pPr>
      <w:r w:rsidRPr="00F1285F">
        <w:rPr>
          <w:sz w:val="22"/>
          <w:szCs w:val="22"/>
        </w:rPr>
        <w:t>Providing relevant content</w:t>
      </w:r>
    </w:p>
    <w:p w:rsidR="00A4280E" w:rsidP="00F1285F" w14:paraId="3684B420" w14:textId="77777777">
      <w:pPr>
        <w:pStyle w:val="BodyText"/>
        <w:ind w:left="288"/>
        <w:rPr>
          <w:sz w:val="22"/>
          <w:szCs w:val="22"/>
          <w:lang w:val="en-US"/>
        </w:rPr>
      </w:pPr>
    </w:p>
    <w:p w:rsidR="00F1285F" w:rsidRPr="00F1285F" w:rsidP="00F1285F" w14:paraId="1CB95B6E" w14:textId="6ADE3CCB">
      <w:pPr>
        <w:pStyle w:val="BodyText"/>
        <w:ind w:left="288"/>
        <w:rPr>
          <w:sz w:val="22"/>
          <w:szCs w:val="22"/>
        </w:rPr>
      </w:pPr>
      <w:r>
        <w:rPr>
          <w:b/>
          <w:bCs/>
          <w:i/>
          <w:iCs/>
          <w:sz w:val="22"/>
          <w:szCs w:val="22"/>
          <w:lang w:val="en-US"/>
        </w:rPr>
        <w:t>Interview</w:t>
      </w:r>
      <w:r w:rsidRPr="00A4280E" w:rsidR="00A4280E">
        <w:rPr>
          <w:b/>
          <w:bCs/>
          <w:i/>
          <w:iCs/>
          <w:sz w:val="22"/>
          <w:szCs w:val="22"/>
          <w:lang w:val="en-US"/>
        </w:rPr>
        <w:t xml:space="preserve"> Protocol.</w:t>
      </w:r>
      <w:r w:rsidR="00A4280E">
        <w:rPr>
          <w:sz w:val="22"/>
          <w:szCs w:val="22"/>
          <w:lang w:val="en-US"/>
        </w:rPr>
        <w:t xml:space="preserve">  </w:t>
      </w:r>
      <w:r>
        <w:rPr>
          <w:sz w:val="22"/>
          <w:szCs w:val="22"/>
          <w:lang w:val="en-US"/>
        </w:rPr>
        <w:t>Interview</w:t>
      </w:r>
      <w:r w:rsidRPr="00F1285F">
        <w:rPr>
          <w:sz w:val="22"/>
          <w:szCs w:val="22"/>
        </w:rPr>
        <w:t xml:space="preserve"> questions have also been created based on the research questions and allow for deeper understanding of responses to survey questions. </w:t>
      </w:r>
    </w:p>
    <w:p w:rsidR="00485494" w:rsidRPr="00485494" w:rsidP="00485494" w14:paraId="0C20E8D5" w14:textId="77777777">
      <w:pPr>
        <w:pStyle w:val="ListParagraph"/>
        <w:ind w:left="288"/>
        <w:jc w:val="both"/>
      </w:pPr>
    </w:p>
    <w:p w:rsidR="00345D9E" w:rsidRPr="00F1285F" w:rsidP="009F4850" w14:paraId="2A2007C1" w14:textId="44A1C2B8">
      <w:pPr>
        <w:pStyle w:val="ListParagraph"/>
        <w:numPr>
          <w:ilvl w:val="0"/>
          <w:numId w:val="3"/>
        </w:numPr>
        <w:jc w:val="both"/>
      </w:pPr>
      <w:r w:rsidRPr="5E33F109">
        <w:rPr>
          <w:b/>
          <w:bCs/>
        </w:rPr>
        <w:t xml:space="preserve">TIMELINE:  </w:t>
      </w:r>
      <w:r w:rsidRPr="00F1285F" w:rsidR="00F1285F">
        <w:t xml:space="preserve">Data under this clearance will be collected in April </w:t>
      </w:r>
      <w:r w:rsidR="00FD7559">
        <w:t xml:space="preserve">2023 </w:t>
      </w:r>
      <w:r w:rsidR="00E625A4">
        <w:t xml:space="preserve">- </w:t>
      </w:r>
      <w:r w:rsidR="00FD7559">
        <w:t>March</w:t>
      </w:r>
      <w:r w:rsidRPr="00F1285F" w:rsidR="00F1285F">
        <w:t xml:space="preserve"> 202</w:t>
      </w:r>
      <w:r w:rsidR="00FD7559">
        <w:t>4</w:t>
      </w:r>
      <w:r w:rsidRPr="00F1285F" w:rsidR="00F1285F">
        <w:t>.</w:t>
      </w:r>
      <w:r w:rsidRPr="00F1285F" w:rsidR="00F1285F">
        <w:rPr>
          <w:color w:val="000000"/>
        </w:rPr>
        <w:t xml:space="preserve"> T</w:t>
      </w:r>
      <w:r w:rsidRPr="00F1285F" w:rsidR="00F1285F">
        <w:t xml:space="preserve">his request includes one survey instrument and one </w:t>
      </w:r>
      <w:r w:rsidR="00027DF7">
        <w:t>interview</w:t>
      </w:r>
      <w:r w:rsidRPr="00F1285F" w:rsidR="00F1285F">
        <w:t xml:space="preserve"> protocol that will be used to collect data from </w:t>
      </w:r>
      <w:r w:rsidR="009B014E">
        <w:t xml:space="preserve">Co-PIs/Science PIs/Co-Science PI/Other Researchers from the </w:t>
      </w:r>
      <w:r w:rsidR="009B014E">
        <w:t>EPSCoR</w:t>
      </w:r>
      <w:r w:rsidR="009B014E">
        <w:t xml:space="preserve"> Program</w:t>
      </w:r>
      <w:r w:rsidRPr="00F1285F" w:rsidR="00F1285F">
        <w:t>.</w:t>
      </w:r>
    </w:p>
    <w:p w:rsidR="00274390" w:rsidRPr="00485494" w:rsidP="00274390" w14:paraId="29D638C1" w14:textId="77777777">
      <w:pPr>
        <w:pStyle w:val="ListParagraph"/>
        <w:ind w:left="288"/>
        <w:jc w:val="both"/>
        <w:rPr>
          <w:b/>
        </w:rPr>
      </w:pPr>
    </w:p>
    <w:p w:rsidR="00B8384C" w:rsidRPr="00F84B4F" w:rsidP="00D46499" w14:paraId="5E5745DA" w14:textId="15969E59">
      <w:pPr>
        <w:pStyle w:val="ListParagraph"/>
        <w:numPr>
          <w:ilvl w:val="0"/>
          <w:numId w:val="3"/>
        </w:numPr>
        <w:jc w:val="both"/>
        <w:rPr>
          <w:sz w:val="27"/>
          <w:szCs w:val="27"/>
        </w:rPr>
      </w:pPr>
      <w:r w:rsidRPr="00EC6228">
        <w:rPr>
          <w:b/>
          <w:bCs/>
        </w:rPr>
        <w:t xml:space="preserve">SAMPLING STRATEGY: </w:t>
      </w:r>
      <w:r w:rsidRPr="00683829" w:rsidR="006110B0">
        <w:t xml:space="preserve">The survey will be distributed to all </w:t>
      </w:r>
      <w:r w:rsidR="006110B0">
        <w:t>of the Principal Investigators</w:t>
      </w:r>
      <w:r w:rsidRPr="00683829" w:rsidR="006110B0">
        <w:t xml:space="preserve"> </w:t>
      </w:r>
      <w:r w:rsidR="006110B0">
        <w:t xml:space="preserve">(PIs)/Directors </w:t>
      </w:r>
      <w:r w:rsidRPr="00683829" w:rsidR="006110B0">
        <w:t xml:space="preserve">of </w:t>
      </w:r>
      <w:r w:rsidR="006110B0">
        <w:t xml:space="preserve">the </w:t>
      </w:r>
      <w:r w:rsidRPr="00683829" w:rsidR="006110B0">
        <w:t xml:space="preserve">NASA </w:t>
      </w:r>
      <w:r w:rsidR="006110B0">
        <w:t>EPSCoR</w:t>
      </w:r>
      <w:r w:rsidR="006110B0">
        <w:t xml:space="preserve"> Program Jurisdictions (28)</w:t>
      </w:r>
      <w:r w:rsidRPr="00683829" w:rsidR="006110B0">
        <w:t xml:space="preserve"> in April 2023</w:t>
      </w:r>
      <w:r w:rsidR="006110B0">
        <w:t xml:space="preserve"> for administration to Co-PIs/Science PIs/Co-Science PI/Other Researchers </w:t>
      </w:r>
      <w:r w:rsidRPr="00D53126" w:rsidR="006110B0">
        <w:t>(approximately</w:t>
      </w:r>
      <w:r w:rsidR="006110B0">
        <w:t xml:space="preserve"> 300</w:t>
      </w:r>
      <w:r w:rsidRPr="00D53126" w:rsidR="006110B0">
        <w:t>)</w:t>
      </w:r>
      <w:r w:rsidRPr="00683829" w:rsidR="006110B0">
        <w:t xml:space="preserve">. </w:t>
      </w:r>
      <w:r w:rsidR="006110B0">
        <w:t xml:space="preserve">Although participation in the survey </w:t>
      </w:r>
      <w:r w:rsidRPr="00683829" w:rsidR="006110B0">
        <w:t>is voluntary</w:t>
      </w:r>
      <w:r w:rsidR="006110B0">
        <w:t xml:space="preserve">, it will </w:t>
      </w:r>
      <w:r w:rsidRPr="00683829" w:rsidR="006110B0">
        <w:t>provid</w:t>
      </w:r>
      <w:r w:rsidR="006110B0">
        <w:t>e</w:t>
      </w:r>
      <w:r w:rsidRPr="00683829" w:rsidR="006110B0">
        <w:t xml:space="preserve"> useful customer input to address programmatic decision making and assess </w:t>
      </w:r>
      <w:r w:rsidR="006110B0">
        <w:t xml:space="preserve">IRC outcomes of NASA </w:t>
      </w:r>
      <w:r w:rsidR="006110B0">
        <w:t>EPSCoR</w:t>
      </w:r>
      <w:r w:rsidR="006110B0">
        <w:t xml:space="preserve"> funding</w:t>
      </w:r>
      <w:r w:rsidRPr="00683829" w:rsidR="006110B0">
        <w:t xml:space="preserve">. Additionally, </w:t>
      </w:r>
      <w:r w:rsidR="006110B0">
        <w:t xml:space="preserve">up to 50 interviews </w:t>
      </w:r>
      <w:r w:rsidRPr="00683829" w:rsidR="006110B0">
        <w:t>will be conducted virtually</w:t>
      </w:r>
      <w:r w:rsidR="006110B0">
        <w:t xml:space="preserve"> </w:t>
      </w:r>
      <w:r w:rsidR="006110B0">
        <w:t>with respondents from the survey that volunteers to participate in an interview</w:t>
      </w:r>
      <w:r w:rsidRPr="00683829" w:rsidR="006110B0">
        <w:t xml:space="preserve">. Each </w:t>
      </w:r>
      <w:r w:rsidR="006110B0">
        <w:t>interview</w:t>
      </w:r>
      <w:r w:rsidRPr="00683829" w:rsidR="006110B0">
        <w:t xml:space="preserve"> will be approximately </w:t>
      </w:r>
      <w:r w:rsidR="006110B0">
        <w:t>forty minutes</w:t>
      </w:r>
      <w:r w:rsidRPr="00683829" w:rsidR="006110B0">
        <w:t xml:space="preserve"> long.</w:t>
      </w:r>
    </w:p>
    <w:p w:rsidR="00F84B4F" w:rsidRPr="00F84B4F" w:rsidP="00F84B4F" w14:paraId="704A7826" w14:textId="77777777">
      <w:pPr>
        <w:pStyle w:val="ListParagraph"/>
        <w:rPr>
          <w:sz w:val="27"/>
          <w:szCs w:val="27"/>
        </w:rPr>
      </w:pPr>
    </w:p>
    <w:p w:rsidR="00F84B4F" w:rsidP="00F84B4F" w14:paraId="086F48C9" w14:textId="77777777">
      <w:pPr>
        <w:pStyle w:val="ListParagraph"/>
        <w:ind w:left="288"/>
        <w:jc w:val="both"/>
        <w:rPr>
          <w:i/>
        </w:rPr>
      </w:pPr>
      <w:r>
        <w:t>Table 1</w:t>
      </w:r>
      <w:r>
        <w:rPr>
          <w:i/>
        </w:rPr>
        <w:t>. Calculation chart to determine statistically relevant number of respondents</w:t>
      </w:r>
    </w:p>
    <w:tbl>
      <w:tblPr>
        <w:tblStyle w:val="TableGrid"/>
        <w:tblW w:w="0" w:type="auto"/>
        <w:tblLayout w:type="fixed"/>
        <w:tblLook w:val="04A0"/>
      </w:tblPr>
      <w:tblGrid>
        <w:gridCol w:w="1345"/>
        <w:gridCol w:w="991"/>
        <w:gridCol w:w="1169"/>
        <w:gridCol w:w="1169"/>
        <w:gridCol w:w="1441"/>
        <w:gridCol w:w="897"/>
        <w:gridCol w:w="1083"/>
        <w:gridCol w:w="1255"/>
      </w:tblGrid>
      <w:tr w14:paraId="38898EB1" w14:textId="77777777" w:rsidTr="00F84B4F">
        <w:tblPrEx>
          <w:tblW w:w="0" w:type="auto"/>
          <w:tblLayout w:type="fixed"/>
          <w:tblLook w:val="04A0"/>
        </w:tblPrEx>
        <w:tc>
          <w:tcPr>
            <w:tcW w:w="134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hideMark/>
          </w:tcPr>
          <w:p w:rsidR="00F84B4F" w14:paraId="3047F1F4" w14:textId="77777777">
            <w:pPr>
              <w:pStyle w:val="ListParagraph"/>
              <w:ind w:left="0"/>
              <w:jc w:val="center"/>
              <w:rPr>
                <w:b/>
                <w:sz w:val="18"/>
              </w:rPr>
            </w:pPr>
            <w:r>
              <w:rPr>
                <w:b/>
                <w:sz w:val="18"/>
              </w:rPr>
              <w:t>Data Collection Source</w:t>
            </w:r>
          </w:p>
        </w:tc>
        <w:tc>
          <w:tcPr>
            <w:tcW w:w="99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hideMark/>
          </w:tcPr>
          <w:p w:rsidR="00F84B4F" w14:paraId="5319FA8D" w14:textId="77777777">
            <w:pPr>
              <w:pStyle w:val="ListParagraph"/>
              <w:ind w:left="0"/>
              <w:jc w:val="center"/>
              <w:rPr>
                <w:b/>
                <w:sz w:val="18"/>
              </w:rPr>
            </w:pPr>
            <w:r>
              <w:rPr>
                <w:b/>
                <w:sz w:val="18"/>
              </w:rPr>
              <w:t>(N)</w:t>
            </w:r>
          </w:p>
          <w:p w:rsidR="00F84B4F" w14:paraId="26ADD60E" w14:textId="77777777">
            <w:pPr>
              <w:pStyle w:val="ListParagraph"/>
              <w:ind w:left="0"/>
              <w:jc w:val="center"/>
              <w:rPr>
                <w:b/>
                <w:sz w:val="18"/>
              </w:rPr>
            </w:pPr>
            <w:r>
              <w:rPr>
                <w:b/>
                <w:sz w:val="18"/>
              </w:rPr>
              <w:t>Population Estimate</w:t>
            </w:r>
          </w:p>
        </w:tc>
        <w:tc>
          <w:tcPr>
            <w:tcW w:w="116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hideMark/>
          </w:tcPr>
          <w:p w:rsidR="00F84B4F" w14:paraId="75F9A0F6" w14:textId="77777777">
            <w:pPr>
              <w:pStyle w:val="ListParagraph"/>
              <w:ind w:left="0"/>
              <w:jc w:val="center"/>
              <w:rPr>
                <w:b/>
                <w:sz w:val="18"/>
              </w:rPr>
            </w:pPr>
            <w:r>
              <w:rPr>
                <w:b/>
                <w:sz w:val="18"/>
              </w:rPr>
              <w:t>(A)</w:t>
            </w:r>
          </w:p>
          <w:p w:rsidR="00F84B4F" w14:paraId="04A10152" w14:textId="77777777">
            <w:pPr>
              <w:pStyle w:val="ListParagraph"/>
              <w:ind w:left="0"/>
              <w:jc w:val="center"/>
              <w:rPr>
                <w:b/>
                <w:sz w:val="18"/>
              </w:rPr>
            </w:pPr>
            <w:r>
              <w:rPr>
                <w:b/>
                <w:sz w:val="18"/>
              </w:rPr>
              <w:t>Sampling Error +/-</w:t>
            </w:r>
          </w:p>
          <w:p w:rsidR="00F84B4F" w14:paraId="2FBC5552" w14:textId="77777777">
            <w:pPr>
              <w:pStyle w:val="ListParagraph"/>
              <w:ind w:left="0"/>
              <w:jc w:val="center"/>
              <w:rPr>
                <w:b/>
                <w:sz w:val="18"/>
              </w:rPr>
            </w:pPr>
            <w:r>
              <w:rPr>
                <w:b/>
                <w:sz w:val="18"/>
              </w:rPr>
              <w:t>5% (.05)</w:t>
            </w:r>
          </w:p>
        </w:tc>
        <w:tc>
          <w:tcPr>
            <w:tcW w:w="116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hideMark/>
          </w:tcPr>
          <w:p w:rsidR="00F84B4F" w14:paraId="6721FCE9" w14:textId="77777777">
            <w:pPr>
              <w:pStyle w:val="ListParagraph"/>
              <w:ind w:left="0"/>
              <w:jc w:val="center"/>
              <w:rPr>
                <w:b/>
                <w:sz w:val="18"/>
              </w:rPr>
            </w:pPr>
            <w:r>
              <w:rPr>
                <w:b/>
                <w:sz w:val="18"/>
              </w:rPr>
              <w:t>(Z) Confidence Level 95%/ Alpha 0.05</w:t>
            </w:r>
          </w:p>
        </w:tc>
        <w:tc>
          <w:tcPr>
            <w:tcW w:w="144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hideMark/>
          </w:tcPr>
          <w:p w:rsidR="00F84B4F" w14:paraId="1DF0537C" w14:textId="77777777">
            <w:pPr>
              <w:pStyle w:val="ListParagraph"/>
              <w:ind w:left="0"/>
              <w:jc w:val="center"/>
              <w:rPr>
                <w:b/>
                <w:sz w:val="18"/>
              </w:rPr>
            </w:pPr>
            <w:r>
              <w:rPr>
                <w:b/>
                <w:sz w:val="18"/>
              </w:rPr>
              <w:t>(P) *Variability (based on consistency of intervention administration) 50%</w:t>
            </w:r>
          </w:p>
        </w:tc>
        <w:tc>
          <w:tcPr>
            <w:tcW w:w="89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hideMark/>
          </w:tcPr>
          <w:p w:rsidR="00F84B4F" w14:paraId="27BF718C" w14:textId="77777777">
            <w:pPr>
              <w:pStyle w:val="ListParagraph"/>
              <w:ind w:left="0"/>
              <w:jc w:val="center"/>
              <w:rPr>
                <w:b/>
                <w:sz w:val="18"/>
              </w:rPr>
            </w:pPr>
            <w:r>
              <w:rPr>
                <w:b/>
                <w:sz w:val="18"/>
              </w:rPr>
              <w:t>Base Sample Size</w:t>
            </w:r>
          </w:p>
        </w:tc>
        <w:tc>
          <w:tcPr>
            <w:tcW w:w="108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hideMark/>
          </w:tcPr>
          <w:p w:rsidR="00F84B4F" w14:paraId="7673D5DB" w14:textId="77777777">
            <w:pPr>
              <w:pStyle w:val="ListParagraph"/>
              <w:ind w:left="0"/>
              <w:jc w:val="center"/>
              <w:rPr>
                <w:b/>
                <w:sz w:val="18"/>
              </w:rPr>
            </w:pPr>
            <w:r>
              <w:rPr>
                <w:b/>
                <w:sz w:val="18"/>
              </w:rPr>
              <w:t>Response Rate</w:t>
            </w:r>
          </w:p>
        </w:tc>
        <w:tc>
          <w:tcPr>
            <w:tcW w:w="125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hideMark/>
          </w:tcPr>
          <w:p w:rsidR="00F84B4F" w14:paraId="54E03622" w14:textId="77777777">
            <w:pPr>
              <w:pStyle w:val="ListParagraph"/>
              <w:ind w:left="0"/>
              <w:jc w:val="center"/>
              <w:rPr>
                <w:b/>
                <w:sz w:val="18"/>
              </w:rPr>
            </w:pPr>
            <w:r>
              <w:rPr>
                <w:b/>
                <w:sz w:val="18"/>
              </w:rPr>
              <w:t>(n) Number of Respondents</w:t>
            </w:r>
          </w:p>
        </w:tc>
      </w:tr>
      <w:tr w14:paraId="6995DB17" w14:textId="77777777" w:rsidTr="00F84B4F">
        <w:tblPrEx>
          <w:tblW w:w="0" w:type="auto"/>
          <w:tblLayout w:type="fixed"/>
          <w:tblLook w:val="04A0"/>
        </w:tblPrEx>
        <w:tc>
          <w:tcPr>
            <w:tcW w:w="1345" w:type="dxa"/>
            <w:tcBorders>
              <w:top w:val="single" w:sz="4" w:space="0" w:color="auto"/>
              <w:left w:val="single" w:sz="4" w:space="0" w:color="auto"/>
              <w:bottom w:val="single" w:sz="4" w:space="0" w:color="auto"/>
              <w:right w:val="single" w:sz="4" w:space="0" w:color="auto"/>
            </w:tcBorders>
            <w:hideMark/>
          </w:tcPr>
          <w:p w:rsidR="00F84B4F" w14:paraId="1033FC10" w14:textId="4DDE1242">
            <w:pPr>
              <w:pStyle w:val="ListParagraph"/>
              <w:ind w:left="0"/>
              <w:jc w:val="both"/>
              <w:rPr>
                <w:sz w:val="20"/>
              </w:rPr>
            </w:pPr>
            <w:r>
              <w:rPr>
                <w:sz w:val="20"/>
              </w:rPr>
              <w:t xml:space="preserve">NASA </w:t>
            </w:r>
            <w:r w:rsidR="006110B0">
              <w:rPr>
                <w:sz w:val="20"/>
              </w:rPr>
              <w:t>EPSCoR</w:t>
            </w:r>
            <w:r w:rsidR="006110B0">
              <w:rPr>
                <w:sz w:val="20"/>
              </w:rPr>
              <w:t xml:space="preserve"> </w:t>
            </w:r>
            <w:r w:rsidR="006110B0">
              <w:t>Co-PIs/Science PIs/Co-Science PI/Other Researchers</w:t>
            </w:r>
            <w:r w:rsidR="006110B0">
              <w:rPr>
                <w:sz w:val="20"/>
              </w:rPr>
              <w:t xml:space="preserve"> </w:t>
            </w:r>
            <w:r>
              <w:rPr>
                <w:sz w:val="20"/>
              </w:rPr>
              <w:t xml:space="preserve"> </w:t>
            </w:r>
            <w:r>
              <w:t>(Survey)</w:t>
            </w:r>
          </w:p>
        </w:tc>
        <w:tc>
          <w:tcPr>
            <w:tcW w:w="991" w:type="dxa"/>
            <w:tcBorders>
              <w:top w:val="single" w:sz="4" w:space="0" w:color="auto"/>
              <w:left w:val="single" w:sz="4" w:space="0" w:color="auto"/>
              <w:bottom w:val="single" w:sz="4" w:space="0" w:color="auto"/>
              <w:right w:val="single" w:sz="4" w:space="0" w:color="auto"/>
            </w:tcBorders>
            <w:vAlign w:val="bottom"/>
            <w:hideMark/>
          </w:tcPr>
          <w:p w:rsidR="00F84B4F" w14:paraId="3559AA89" w14:textId="5F727BB7">
            <w:pPr>
              <w:pStyle w:val="ListParagraph"/>
              <w:ind w:left="0"/>
              <w:jc w:val="center"/>
            </w:pPr>
            <w:r>
              <w:t>300</w:t>
            </w:r>
          </w:p>
        </w:tc>
        <w:tc>
          <w:tcPr>
            <w:tcW w:w="1169" w:type="dxa"/>
            <w:tcBorders>
              <w:top w:val="single" w:sz="4" w:space="0" w:color="auto"/>
              <w:left w:val="single" w:sz="4" w:space="0" w:color="auto"/>
              <w:bottom w:val="single" w:sz="4" w:space="0" w:color="auto"/>
              <w:right w:val="single" w:sz="4" w:space="0" w:color="auto"/>
            </w:tcBorders>
            <w:vAlign w:val="bottom"/>
            <w:hideMark/>
          </w:tcPr>
          <w:p w:rsidR="00F84B4F" w14:paraId="4BF01080" w14:textId="77777777">
            <w:pPr>
              <w:pStyle w:val="ListParagraph"/>
              <w:ind w:left="0"/>
              <w:jc w:val="center"/>
            </w:pPr>
            <w:r>
              <w:t>N/A</w:t>
            </w:r>
          </w:p>
        </w:tc>
        <w:tc>
          <w:tcPr>
            <w:tcW w:w="1169" w:type="dxa"/>
            <w:tcBorders>
              <w:top w:val="single" w:sz="4" w:space="0" w:color="auto"/>
              <w:left w:val="single" w:sz="4" w:space="0" w:color="auto"/>
              <w:bottom w:val="single" w:sz="4" w:space="0" w:color="auto"/>
              <w:right w:val="single" w:sz="4" w:space="0" w:color="auto"/>
            </w:tcBorders>
            <w:vAlign w:val="bottom"/>
            <w:hideMark/>
          </w:tcPr>
          <w:p w:rsidR="00F84B4F" w14:paraId="53B5EA52" w14:textId="77777777">
            <w:pPr>
              <w:pStyle w:val="ListParagraph"/>
              <w:ind w:left="0"/>
              <w:jc w:val="center"/>
            </w:pPr>
            <w:r>
              <w:t>N/A</w:t>
            </w:r>
          </w:p>
        </w:tc>
        <w:tc>
          <w:tcPr>
            <w:tcW w:w="1441" w:type="dxa"/>
            <w:tcBorders>
              <w:top w:val="single" w:sz="4" w:space="0" w:color="auto"/>
              <w:left w:val="single" w:sz="4" w:space="0" w:color="auto"/>
              <w:bottom w:val="single" w:sz="4" w:space="0" w:color="auto"/>
              <w:right w:val="single" w:sz="4" w:space="0" w:color="auto"/>
            </w:tcBorders>
            <w:vAlign w:val="bottom"/>
            <w:hideMark/>
          </w:tcPr>
          <w:p w:rsidR="00F84B4F" w14:paraId="04EB343E" w14:textId="77777777">
            <w:pPr>
              <w:pStyle w:val="ListParagraph"/>
              <w:ind w:left="0"/>
              <w:jc w:val="center"/>
            </w:pPr>
            <w:r>
              <w:t>N/A</w:t>
            </w:r>
          </w:p>
        </w:tc>
        <w:tc>
          <w:tcPr>
            <w:tcW w:w="897" w:type="dxa"/>
            <w:tcBorders>
              <w:top w:val="single" w:sz="4" w:space="0" w:color="auto"/>
              <w:left w:val="single" w:sz="4" w:space="0" w:color="auto"/>
              <w:bottom w:val="single" w:sz="4" w:space="0" w:color="auto"/>
              <w:right w:val="single" w:sz="4" w:space="0" w:color="auto"/>
            </w:tcBorders>
            <w:vAlign w:val="bottom"/>
            <w:hideMark/>
          </w:tcPr>
          <w:p w:rsidR="00F84B4F" w14:paraId="4E3FE9F1" w14:textId="26736834">
            <w:pPr>
              <w:pStyle w:val="ListParagraph"/>
              <w:ind w:left="0"/>
              <w:jc w:val="center"/>
            </w:pPr>
            <w:r>
              <w:t>300</w:t>
            </w:r>
          </w:p>
        </w:tc>
        <w:tc>
          <w:tcPr>
            <w:tcW w:w="1083" w:type="dxa"/>
            <w:tcBorders>
              <w:top w:val="single" w:sz="4" w:space="0" w:color="auto"/>
              <w:left w:val="single" w:sz="4" w:space="0" w:color="auto"/>
              <w:bottom w:val="single" w:sz="4" w:space="0" w:color="auto"/>
              <w:right w:val="single" w:sz="4" w:space="0" w:color="auto"/>
            </w:tcBorders>
            <w:vAlign w:val="bottom"/>
            <w:hideMark/>
          </w:tcPr>
          <w:p w:rsidR="00F84B4F" w14:paraId="04FE9DF8" w14:textId="77777777">
            <w:pPr>
              <w:pStyle w:val="ListParagraph"/>
              <w:ind w:left="0"/>
              <w:jc w:val="center"/>
            </w:pPr>
            <w:r>
              <w:t>N/A</w:t>
            </w:r>
          </w:p>
        </w:tc>
        <w:tc>
          <w:tcPr>
            <w:tcW w:w="1255" w:type="dxa"/>
            <w:tcBorders>
              <w:top w:val="single" w:sz="4" w:space="0" w:color="auto"/>
              <w:left w:val="single" w:sz="4" w:space="0" w:color="auto"/>
              <w:bottom w:val="single" w:sz="4" w:space="0" w:color="auto"/>
              <w:right w:val="single" w:sz="4" w:space="0" w:color="auto"/>
            </w:tcBorders>
            <w:vAlign w:val="bottom"/>
            <w:hideMark/>
          </w:tcPr>
          <w:p w:rsidR="00F84B4F" w14:paraId="36FED749" w14:textId="343A2239">
            <w:pPr>
              <w:pStyle w:val="ListParagraph"/>
              <w:ind w:left="0"/>
              <w:jc w:val="center"/>
            </w:pPr>
            <w:r>
              <w:t>300</w:t>
            </w:r>
          </w:p>
        </w:tc>
      </w:tr>
      <w:tr w14:paraId="67D18577" w14:textId="77777777" w:rsidTr="00F84B4F">
        <w:tblPrEx>
          <w:tblW w:w="0" w:type="auto"/>
          <w:tblLayout w:type="fixed"/>
          <w:tblLook w:val="04A0"/>
        </w:tblPrEx>
        <w:tc>
          <w:tcPr>
            <w:tcW w:w="1345" w:type="dxa"/>
            <w:tcBorders>
              <w:top w:val="single" w:sz="4" w:space="0" w:color="auto"/>
              <w:left w:val="single" w:sz="4" w:space="0" w:color="auto"/>
              <w:bottom w:val="single" w:sz="4" w:space="0" w:color="auto"/>
              <w:right w:val="single" w:sz="4" w:space="0" w:color="auto"/>
            </w:tcBorders>
            <w:hideMark/>
          </w:tcPr>
          <w:p w:rsidR="00F84B4F" w14:paraId="3502FDD0" w14:textId="31D13E2D">
            <w:pPr>
              <w:pStyle w:val="ListParagraph"/>
              <w:ind w:left="0"/>
              <w:jc w:val="both"/>
              <w:rPr>
                <w:sz w:val="20"/>
              </w:rPr>
            </w:pPr>
            <w:r>
              <w:rPr>
                <w:sz w:val="20"/>
              </w:rPr>
              <w:t xml:space="preserve">NASA </w:t>
            </w:r>
            <w:r>
              <w:rPr>
                <w:sz w:val="20"/>
              </w:rPr>
              <w:t>EPSCoR</w:t>
            </w:r>
            <w:r>
              <w:rPr>
                <w:sz w:val="20"/>
              </w:rPr>
              <w:t xml:space="preserve"> </w:t>
            </w:r>
            <w:r>
              <w:t>Co-PIs/Science PIs/Co-Science PI/Other Researchers</w:t>
            </w:r>
            <w:r>
              <w:rPr>
                <w:sz w:val="20"/>
              </w:rPr>
              <w:t xml:space="preserve">  </w:t>
            </w:r>
            <w:r>
              <w:rPr>
                <w:sz w:val="20"/>
              </w:rPr>
              <w:t>(Focus Group)</w:t>
            </w:r>
          </w:p>
        </w:tc>
        <w:tc>
          <w:tcPr>
            <w:tcW w:w="991" w:type="dxa"/>
            <w:tcBorders>
              <w:top w:val="single" w:sz="4" w:space="0" w:color="auto"/>
              <w:left w:val="single" w:sz="4" w:space="0" w:color="auto"/>
              <w:bottom w:val="single" w:sz="4" w:space="0" w:color="auto"/>
              <w:right w:val="single" w:sz="4" w:space="0" w:color="auto"/>
            </w:tcBorders>
            <w:vAlign w:val="bottom"/>
            <w:hideMark/>
          </w:tcPr>
          <w:p w:rsidR="00F84B4F" w14:paraId="4ECFE316" w14:textId="31500DD0">
            <w:pPr>
              <w:pStyle w:val="ListParagraph"/>
              <w:ind w:left="0"/>
              <w:jc w:val="center"/>
            </w:pPr>
            <w:r>
              <w:t>50</w:t>
            </w:r>
          </w:p>
        </w:tc>
        <w:tc>
          <w:tcPr>
            <w:tcW w:w="1169" w:type="dxa"/>
            <w:tcBorders>
              <w:top w:val="single" w:sz="4" w:space="0" w:color="auto"/>
              <w:left w:val="single" w:sz="4" w:space="0" w:color="auto"/>
              <w:bottom w:val="single" w:sz="4" w:space="0" w:color="auto"/>
              <w:right w:val="single" w:sz="4" w:space="0" w:color="auto"/>
            </w:tcBorders>
            <w:vAlign w:val="bottom"/>
            <w:hideMark/>
          </w:tcPr>
          <w:p w:rsidR="00F84B4F" w14:paraId="1847AA9F" w14:textId="77777777">
            <w:pPr>
              <w:pStyle w:val="ListParagraph"/>
              <w:ind w:left="0"/>
              <w:jc w:val="center"/>
            </w:pPr>
            <w:r>
              <w:t>N/A</w:t>
            </w:r>
          </w:p>
        </w:tc>
        <w:tc>
          <w:tcPr>
            <w:tcW w:w="1169" w:type="dxa"/>
            <w:tcBorders>
              <w:top w:val="single" w:sz="4" w:space="0" w:color="auto"/>
              <w:left w:val="single" w:sz="4" w:space="0" w:color="auto"/>
              <w:bottom w:val="single" w:sz="4" w:space="0" w:color="auto"/>
              <w:right w:val="single" w:sz="4" w:space="0" w:color="auto"/>
            </w:tcBorders>
            <w:vAlign w:val="bottom"/>
            <w:hideMark/>
          </w:tcPr>
          <w:p w:rsidR="00F84B4F" w14:paraId="10695142" w14:textId="77777777">
            <w:pPr>
              <w:pStyle w:val="ListParagraph"/>
              <w:ind w:left="0"/>
              <w:jc w:val="center"/>
            </w:pPr>
            <w:r>
              <w:t>N/A</w:t>
            </w:r>
          </w:p>
        </w:tc>
        <w:tc>
          <w:tcPr>
            <w:tcW w:w="1441" w:type="dxa"/>
            <w:tcBorders>
              <w:top w:val="single" w:sz="4" w:space="0" w:color="auto"/>
              <w:left w:val="single" w:sz="4" w:space="0" w:color="auto"/>
              <w:bottom w:val="single" w:sz="4" w:space="0" w:color="auto"/>
              <w:right w:val="single" w:sz="4" w:space="0" w:color="auto"/>
            </w:tcBorders>
            <w:vAlign w:val="bottom"/>
            <w:hideMark/>
          </w:tcPr>
          <w:p w:rsidR="00F84B4F" w14:paraId="335F0CFF" w14:textId="77777777">
            <w:pPr>
              <w:pStyle w:val="ListParagraph"/>
              <w:ind w:left="0"/>
              <w:jc w:val="center"/>
            </w:pPr>
            <w:r>
              <w:t>N/A</w:t>
            </w:r>
          </w:p>
        </w:tc>
        <w:tc>
          <w:tcPr>
            <w:tcW w:w="897" w:type="dxa"/>
            <w:tcBorders>
              <w:top w:val="single" w:sz="4" w:space="0" w:color="auto"/>
              <w:left w:val="single" w:sz="4" w:space="0" w:color="auto"/>
              <w:bottom w:val="single" w:sz="4" w:space="0" w:color="auto"/>
              <w:right w:val="single" w:sz="4" w:space="0" w:color="auto"/>
            </w:tcBorders>
            <w:vAlign w:val="bottom"/>
            <w:hideMark/>
          </w:tcPr>
          <w:p w:rsidR="00F84B4F" w14:paraId="60825911" w14:textId="7F8518F3">
            <w:pPr>
              <w:pStyle w:val="ListParagraph"/>
              <w:ind w:left="0"/>
              <w:jc w:val="center"/>
            </w:pPr>
            <w:r>
              <w:t>50</w:t>
            </w:r>
          </w:p>
        </w:tc>
        <w:tc>
          <w:tcPr>
            <w:tcW w:w="1083" w:type="dxa"/>
            <w:tcBorders>
              <w:top w:val="single" w:sz="4" w:space="0" w:color="auto"/>
              <w:left w:val="single" w:sz="4" w:space="0" w:color="auto"/>
              <w:bottom w:val="single" w:sz="4" w:space="0" w:color="auto"/>
              <w:right w:val="single" w:sz="4" w:space="0" w:color="auto"/>
            </w:tcBorders>
            <w:vAlign w:val="bottom"/>
            <w:hideMark/>
          </w:tcPr>
          <w:p w:rsidR="00F84B4F" w14:paraId="039FD77E" w14:textId="77777777">
            <w:pPr>
              <w:pStyle w:val="ListParagraph"/>
              <w:ind w:left="0"/>
              <w:jc w:val="center"/>
            </w:pPr>
            <w:r>
              <w:t>N/A</w:t>
            </w:r>
          </w:p>
        </w:tc>
        <w:tc>
          <w:tcPr>
            <w:tcW w:w="1255" w:type="dxa"/>
            <w:tcBorders>
              <w:top w:val="single" w:sz="4" w:space="0" w:color="auto"/>
              <w:left w:val="single" w:sz="4" w:space="0" w:color="auto"/>
              <w:bottom w:val="single" w:sz="4" w:space="0" w:color="auto"/>
              <w:right w:val="single" w:sz="4" w:space="0" w:color="auto"/>
            </w:tcBorders>
            <w:vAlign w:val="bottom"/>
            <w:hideMark/>
          </w:tcPr>
          <w:p w:rsidR="00F84B4F" w14:paraId="261AA8FC" w14:textId="36EB25CC">
            <w:pPr>
              <w:pStyle w:val="ListParagraph"/>
              <w:ind w:left="0"/>
              <w:jc w:val="center"/>
            </w:pPr>
            <w:r>
              <w:t>50</w:t>
            </w:r>
          </w:p>
        </w:tc>
      </w:tr>
      <w:tr w14:paraId="102F0872" w14:textId="77777777" w:rsidTr="00F84B4F">
        <w:tblPrEx>
          <w:tblW w:w="0" w:type="auto"/>
          <w:tblLayout w:type="fixed"/>
          <w:tblLook w:val="04A0"/>
        </w:tblPrEx>
        <w:tc>
          <w:tcPr>
            <w:tcW w:w="1345"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rsidR="00F84B4F" w14:paraId="6BFA0FBA" w14:textId="77777777">
            <w:pPr>
              <w:pStyle w:val="ListParagraph"/>
              <w:ind w:left="0"/>
              <w:jc w:val="both"/>
              <w:rPr>
                <w:b/>
                <w:sz w:val="20"/>
              </w:rPr>
            </w:pPr>
            <w:r>
              <w:rPr>
                <w:b/>
                <w:sz w:val="20"/>
              </w:rPr>
              <w:t>TOTAL</w:t>
            </w:r>
          </w:p>
        </w:tc>
        <w:tc>
          <w:tcPr>
            <w:tcW w:w="991"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bottom"/>
          </w:tcPr>
          <w:p w:rsidR="00F84B4F" w14:paraId="733A492E" w14:textId="77777777">
            <w:pPr>
              <w:pStyle w:val="ListParagraph"/>
              <w:ind w:left="0"/>
              <w:jc w:val="center"/>
            </w:pPr>
          </w:p>
        </w:tc>
        <w:tc>
          <w:tcPr>
            <w:tcW w:w="1169"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bottom"/>
          </w:tcPr>
          <w:p w:rsidR="00F84B4F" w14:paraId="1E16583C" w14:textId="77777777">
            <w:pPr>
              <w:pStyle w:val="ListParagraph"/>
              <w:ind w:left="0"/>
              <w:jc w:val="center"/>
            </w:pPr>
          </w:p>
        </w:tc>
        <w:tc>
          <w:tcPr>
            <w:tcW w:w="1169"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bottom"/>
          </w:tcPr>
          <w:p w:rsidR="00F84B4F" w14:paraId="5A43A646" w14:textId="77777777">
            <w:pPr>
              <w:pStyle w:val="ListParagraph"/>
              <w:ind w:left="0"/>
              <w:jc w:val="center"/>
            </w:pPr>
          </w:p>
        </w:tc>
        <w:tc>
          <w:tcPr>
            <w:tcW w:w="1441"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bottom"/>
          </w:tcPr>
          <w:p w:rsidR="00F84B4F" w14:paraId="704EB946" w14:textId="77777777">
            <w:pPr>
              <w:pStyle w:val="ListParagraph"/>
              <w:ind w:left="0"/>
              <w:jc w:val="center"/>
            </w:pPr>
          </w:p>
        </w:tc>
        <w:tc>
          <w:tcPr>
            <w:tcW w:w="897"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bottom"/>
          </w:tcPr>
          <w:p w:rsidR="00F84B4F" w14:paraId="17269736" w14:textId="77777777">
            <w:pPr>
              <w:pStyle w:val="ListParagraph"/>
              <w:ind w:left="0"/>
              <w:jc w:val="center"/>
            </w:pPr>
          </w:p>
        </w:tc>
        <w:tc>
          <w:tcPr>
            <w:tcW w:w="108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bottom"/>
          </w:tcPr>
          <w:p w:rsidR="00F84B4F" w14:paraId="3E83B1EF" w14:textId="77777777">
            <w:pPr>
              <w:pStyle w:val="ListParagraph"/>
              <w:ind w:left="0"/>
              <w:jc w:val="center"/>
            </w:pPr>
          </w:p>
        </w:tc>
        <w:tc>
          <w:tcPr>
            <w:tcW w:w="1255"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bottom"/>
            <w:hideMark/>
          </w:tcPr>
          <w:p w:rsidR="00F84B4F" w14:paraId="5D4DE3F5" w14:textId="366E73E0">
            <w:pPr>
              <w:pStyle w:val="ListParagraph"/>
              <w:ind w:left="0"/>
              <w:jc w:val="center"/>
              <w:rPr>
                <w:b/>
              </w:rPr>
            </w:pPr>
            <w:r>
              <w:rPr>
                <w:b/>
              </w:rPr>
              <w:t>350</w:t>
            </w:r>
          </w:p>
        </w:tc>
      </w:tr>
    </w:tbl>
    <w:p w:rsidR="00F84B4F" w:rsidP="00F84B4F" w14:paraId="7763BA1A" w14:textId="77777777">
      <w:pPr>
        <w:pStyle w:val="ListParagraph"/>
        <w:ind w:left="288"/>
        <w:jc w:val="both"/>
        <w:rPr>
          <w:b/>
        </w:rPr>
      </w:pPr>
    </w:p>
    <w:p w:rsidR="00F84B4F" w:rsidRPr="00D46499" w:rsidP="00F84B4F" w14:paraId="4AC485B6" w14:textId="77777777">
      <w:pPr>
        <w:pStyle w:val="ListParagraph"/>
        <w:ind w:left="288"/>
        <w:jc w:val="both"/>
        <w:rPr>
          <w:sz w:val="27"/>
          <w:szCs w:val="27"/>
        </w:rPr>
      </w:pPr>
    </w:p>
    <w:p w:rsidR="00EC6228" w:rsidRPr="00EC6228" w:rsidP="00EC6228" w14:paraId="260F4F90" w14:textId="77777777">
      <w:pPr>
        <w:jc w:val="both"/>
        <w:rPr>
          <w:sz w:val="27"/>
          <w:szCs w:val="27"/>
        </w:rPr>
      </w:pPr>
    </w:p>
    <w:p w:rsidR="00345D9E" w:rsidRPr="00AB74A8" w:rsidP="00592A5B" w14:paraId="130E976C" w14:textId="77777777">
      <w:pPr>
        <w:pStyle w:val="ListParagraph"/>
        <w:keepNext/>
        <w:numPr>
          <w:ilvl w:val="0"/>
          <w:numId w:val="3"/>
        </w:numPr>
      </w:pPr>
      <w:r w:rsidRPr="5E33F109">
        <w:rPr>
          <w:b/>
          <w:bCs/>
        </w:rPr>
        <w:t>BURDEN HOURS:</w:t>
      </w:r>
      <w:r>
        <w:t xml:space="preserve"> Burden calculation is based on a respondent pool of individuals as follows:</w:t>
      </w:r>
    </w:p>
    <w:p w:rsidR="00345D9E" w:rsidRPr="00AB74A8" w:rsidP="00592A5B" w14:paraId="31D3C474" w14:textId="77777777">
      <w:pPr>
        <w:keepNext/>
      </w:pPr>
    </w:p>
    <w:tbl>
      <w:tblPr>
        <w:tblStyle w:val="TableGrid"/>
        <w:tblW w:w="0" w:type="auto"/>
        <w:tblLook w:val="04A0"/>
      </w:tblPr>
      <w:tblGrid>
        <w:gridCol w:w="2425"/>
        <w:gridCol w:w="1577"/>
        <w:gridCol w:w="1642"/>
        <w:gridCol w:w="1915"/>
        <w:gridCol w:w="1791"/>
      </w:tblGrid>
      <w:tr w14:paraId="707DFCEB" w14:textId="77777777" w:rsidTr="009F4850">
        <w:tblPrEx>
          <w:tblW w:w="0" w:type="auto"/>
          <w:tblLook w:val="04A0"/>
        </w:tblPrEx>
        <w:tc>
          <w:tcPr>
            <w:tcW w:w="2425" w:type="dxa"/>
            <w:shd w:val="clear" w:color="auto" w:fill="AEAAAA" w:themeFill="background2" w:themeFillShade="BF"/>
          </w:tcPr>
          <w:p w:rsidR="00345D9E" w:rsidRPr="00CB0366" w:rsidP="00592A5B" w14:paraId="24247527" w14:textId="77777777">
            <w:pPr>
              <w:keepNext/>
              <w:jc w:val="center"/>
              <w:rPr>
                <w:rFonts w:asciiTheme="minorHAnsi" w:hAnsiTheme="minorHAnsi"/>
                <w:b/>
                <w:sz w:val="20"/>
                <w:szCs w:val="20"/>
              </w:rPr>
            </w:pPr>
            <w:r w:rsidRPr="00CB0366">
              <w:rPr>
                <w:rFonts w:asciiTheme="minorHAnsi" w:hAnsiTheme="minorHAnsi"/>
                <w:b/>
                <w:sz w:val="20"/>
                <w:szCs w:val="20"/>
              </w:rPr>
              <w:t>Data Collection Source</w:t>
            </w:r>
          </w:p>
        </w:tc>
        <w:tc>
          <w:tcPr>
            <w:tcW w:w="1577" w:type="dxa"/>
            <w:shd w:val="clear" w:color="auto" w:fill="AEAAAA" w:themeFill="background2" w:themeFillShade="BF"/>
          </w:tcPr>
          <w:p w:rsidR="00345D9E" w:rsidRPr="00CB0366" w:rsidP="00592A5B" w14:paraId="25AF18EF" w14:textId="77777777">
            <w:pPr>
              <w:keepNext/>
              <w:jc w:val="center"/>
              <w:rPr>
                <w:rFonts w:asciiTheme="minorHAnsi" w:hAnsiTheme="minorHAnsi"/>
                <w:b/>
                <w:sz w:val="20"/>
                <w:szCs w:val="20"/>
              </w:rPr>
            </w:pPr>
            <w:r w:rsidRPr="00CB0366">
              <w:rPr>
                <w:rFonts w:asciiTheme="minorHAnsi" w:hAnsiTheme="minorHAnsi"/>
                <w:b/>
                <w:sz w:val="20"/>
                <w:szCs w:val="20"/>
              </w:rPr>
              <w:t>Number of Respondents</w:t>
            </w:r>
          </w:p>
        </w:tc>
        <w:tc>
          <w:tcPr>
            <w:tcW w:w="1642" w:type="dxa"/>
            <w:shd w:val="clear" w:color="auto" w:fill="AEAAAA" w:themeFill="background2" w:themeFillShade="BF"/>
          </w:tcPr>
          <w:p w:rsidR="00345D9E" w:rsidRPr="00CB0366" w:rsidP="00592A5B" w14:paraId="495C5267" w14:textId="77777777">
            <w:pPr>
              <w:keepNext/>
              <w:jc w:val="center"/>
              <w:rPr>
                <w:rFonts w:asciiTheme="minorHAnsi" w:hAnsiTheme="minorHAnsi"/>
                <w:b/>
                <w:sz w:val="20"/>
                <w:szCs w:val="20"/>
              </w:rPr>
            </w:pPr>
            <w:r w:rsidRPr="00CB0366">
              <w:rPr>
                <w:rFonts w:asciiTheme="minorHAnsi" w:hAnsiTheme="minorHAnsi"/>
                <w:b/>
                <w:sz w:val="20"/>
                <w:szCs w:val="20"/>
              </w:rPr>
              <w:t>Frequency of Response</w:t>
            </w:r>
          </w:p>
        </w:tc>
        <w:tc>
          <w:tcPr>
            <w:tcW w:w="1915" w:type="dxa"/>
            <w:shd w:val="clear" w:color="auto" w:fill="AEAAAA" w:themeFill="background2" w:themeFillShade="BF"/>
          </w:tcPr>
          <w:p w:rsidR="00345D9E" w:rsidRPr="00CB0366" w:rsidP="00592A5B" w14:paraId="75D2217E" w14:textId="77777777">
            <w:pPr>
              <w:keepNext/>
              <w:jc w:val="center"/>
              <w:rPr>
                <w:rFonts w:asciiTheme="minorHAnsi" w:hAnsiTheme="minorHAnsi"/>
                <w:b/>
                <w:sz w:val="20"/>
                <w:szCs w:val="20"/>
              </w:rPr>
            </w:pPr>
            <w:r w:rsidRPr="00CB0366">
              <w:rPr>
                <w:rFonts w:asciiTheme="minorHAnsi" w:hAnsiTheme="minorHAnsi"/>
                <w:b/>
                <w:sz w:val="20"/>
                <w:szCs w:val="20"/>
              </w:rPr>
              <w:t>Total minutes per Response</w:t>
            </w:r>
          </w:p>
        </w:tc>
        <w:tc>
          <w:tcPr>
            <w:tcW w:w="1791" w:type="dxa"/>
            <w:shd w:val="clear" w:color="auto" w:fill="AEAAAA" w:themeFill="background2" w:themeFillShade="BF"/>
          </w:tcPr>
          <w:p w:rsidR="00345D9E" w:rsidRPr="00CB0366" w:rsidP="00592A5B" w14:paraId="195BC414" w14:textId="77777777">
            <w:pPr>
              <w:keepNext/>
              <w:jc w:val="center"/>
              <w:rPr>
                <w:rFonts w:asciiTheme="minorHAnsi" w:hAnsiTheme="minorHAnsi"/>
                <w:b/>
                <w:sz w:val="20"/>
                <w:szCs w:val="20"/>
              </w:rPr>
            </w:pPr>
            <w:r w:rsidRPr="00CB0366">
              <w:rPr>
                <w:rFonts w:asciiTheme="minorHAnsi" w:hAnsiTheme="minorHAnsi"/>
                <w:b/>
                <w:sz w:val="20"/>
                <w:szCs w:val="20"/>
              </w:rPr>
              <w:t>Total Response Burden in Hours</w:t>
            </w:r>
          </w:p>
        </w:tc>
      </w:tr>
      <w:tr w14:paraId="761BA109" w14:textId="77777777" w:rsidTr="00B101C1">
        <w:tblPrEx>
          <w:tblW w:w="0" w:type="auto"/>
          <w:tblLook w:val="04A0"/>
        </w:tblPrEx>
        <w:trPr>
          <w:trHeight w:hRule="exact" w:val="1162"/>
        </w:trPr>
        <w:tc>
          <w:tcPr>
            <w:tcW w:w="2425" w:type="dxa"/>
          </w:tcPr>
          <w:p w:rsidR="00B101C1" w:rsidRPr="00D826C6" w:rsidP="00B101C1" w14:paraId="2C5CB26B" w14:textId="77D3A435">
            <w:pPr>
              <w:pStyle w:val="ListParagraph"/>
              <w:keepNext/>
              <w:ind w:left="0"/>
              <w:rPr>
                <w:sz w:val="20"/>
              </w:rPr>
            </w:pPr>
            <w:r>
              <w:rPr>
                <w:sz w:val="20"/>
              </w:rPr>
              <w:t xml:space="preserve">NASA </w:t>
            </w:r>
            <w:r>
              <w:rPr>
                <w:sz w:val="20"/>
              </w:rPr>
              <w:t>EPSCoR</w:t>
            </w:r>
            <w:r>
              <w:rPr>
                <w:sz w:val="20"/>
              </w:rPr>
              <w:t xml:space="preserve"> </w:t>
            </w:r>
            <w:r>
              <w:t>Co-PIs/Science PIs/Co-Science PI/Other Researchers</w:t>
            </w:r>
            <w:r>
              <w:rPr>
                <w:sz w:val="20"/>
              </w:rPr>
              <w:t xml:space="preserve">  </w:t>
            </w:r>
            <w:r>
              <w:t>(Survey)</w:t>
            </w:r>
          </w:p>
        </w:tc>
        <w:tc>
          <w:tcPr>
            <w:tcW w:w="1577" w:type="dxa"/>
            <w:vAlign w:val="center"/>
          </w:tcPr>
          <w:p w:rsidR="00B101C1" w:rsidP="00B101C1" w14:paraId="7B356DD6" w14:textId="298CE044">
            <w:pPr>
              <w:keepNext/>
              <w:jc w:val="center"/>
              <w:rPr>
                <w:rFonts w:eastAsia="Calibri" w:cs="Calibri"/>
                <w:sz w:val="20"/>
                <w:szCs w:val="20"/>
              </w:rPr>
            </w:pPr>
            <w:r>
              <w:rPr>
                <w:rFonts w:asciiTheme="minorHAnsi" w:hAnsiTheme="minorHAnsi" w:cs="ArialMT"/>
                <w:sz w:val="20"/>
                <w:szCs w:val="20"/>
              </w:rPr>
              <w:t>300</w:t>
            </w:r>
          </w:p>
        </w:tc>
        <w:tc>
          <w:tcPr>
            <w:tcW w:w="1642" w:type="dxa"/>
            <w:vAlign w:val="center"/>
          </w:tcPr>
          <w:p w:rsidR="00B101C1" w:rsidP="00B101C1" w14:paraId="4BC3A912" w14:textId="77777777">
            <w:pPr>
              <w:keepNext/>
              <w:jc w:val="center"/>
              <w:rPr>
                <w:rFonts w:asciiTheme="minorHAnsi" w:hAnsiTheme="minorHAnsi" w:cs="ArialMT"/>
                <w:sz w:val="20"/>
                <w:szCs w:val="20"/>
              </w:rPr>
            </w:pPr>
            <w:r>
              <w:rPr>
                <w:rFonts w:asciiTheme="minorHAnsi" w:hAnsiTheme="minorHAnsi" w:cs="ArialMT"/>
                <w:sz w:val="20"/>
                <w:szCs w:val="20"/>
              </w:rPr>
              <w:t>1</w:t>
            </w:r>
          </w:p>
        </w:tc>
        <w:tc>
          <w:tcPr>
            <w:tcW w:w="1915" w:type="dxa"/>
            <w:vAlign w:val="center"/>
          </w:tcPr>
          <w:p w:rsidR="00B101C1" w:rsidP="00B101C1" w14:paraId="2C39FAF8" w14:textId="7B8569D3">
            <w:pPr>
              <w:keepNext/>
              <w:jc w:val="center"/>
              <w:rPr>
                <w:rFonts w:asciiTheme="minorHAnsi" w:hAnsiTheme="minorHAnsi" w:cs="Arial"/>
                <w:sz w:val="20"/>
                <w:szCs w:val="20"/>
              </w:rPr>
            </w:pPr>
            <w:r>
              <w:rPr>
                <w:rFonts w:asciiTheme="minorHAnsi" w:hAnsiTheme="minorHAnsi" w:cs="Arial"/>
                <w:sz w:val="20"/>
                <w:szCs w:val="20"/>
              </w:rPr>
              <w:t>2</w:t>
            </w:r>
            <w:r w:rsidR="00EE553B">
              <w:rPr>
                <w:rFonts w:asciiTheme="minorHAnsi" w:hAnsiTheme="minorHAnsi" w:cs="Arial"/>
                <w:sz w:val="20"/>
                <w:szCs w:val="20"/>
              </w:rPr>
              <w:t>5</w:t>
            </w:r>
          </w:p>
        </w:tc>
        <w:tc>
          <w:tcPr>
            <w:tcW w:w="1791" w:type="dxa"/>
            <w:vAlign w:val="center"/>
          </w:tcPr>
          <w:p w:rsidR="00B101C1" w:rsidP="00B101C1" w14:paraId="475DD75B" w14:textId="15DDD52C">
            <w:pPr>
              <w:keepNext/>
              <w:jc w:val="center"/>
              <w:rPr>
                <w:rFonts w:asciiTheme="minorHAnsi" w:hAnsiTheme="minorHAnsi" w:cs="ArialMT"/>
                <w:sz w:val="20"/>
                <w:szCs w:val="20"/>
              </w:rPr>
            </w:pPr>
            <w:r>
              <w:rPr>
                <w:rFonts w:asciiTheme="minorHAnsi" w:hAnsiTheme="minorHAnsi" w:cs="ArialMT"/>
                <w:sz w:val="20"/>
                <w:szCs w:val="20"/>
              </w:rPr>
              <w:t>125</w:t>
            </w:r>
          </w:p>
        </w:tc>
      </w:tr>
      <w:tr w14:paraId="449B0F1D" w14:textId="77777777" w:rsidTr="00B101C1">
        <w:tblPrEx>
          <w:tblW w:w="0" w:type="auto"/>
          <w:tblLook w:val="04A0"/>
        </w:tblPrEx>
        <w:trPr>
          <w:trHeight w:hRule="exact" w:val="1342"/>
        </w:trPr>
        <w:tc>
          <w:tcPr>
            <w:tcW w:w="2425" w:type="dxa"/>
          </w:tcPr>
          <w:p w:rsidR="00B101C1" w:rsidP="00B101C1" w14:paraId="058A50B2" w14:textId="3BB4AE39">
            <w:pPr>
              <w:pStyle w:val="ListParagraph"/>
              <w:keepNext/>
              <w:ind w:left="0"/>
              <w:rPr>
                <w:sz w:val="20"/>
              </w:rPr>
            </w:pPr>
            <w:r>
              <w:rPr>
                <w:sz w:val="20"/>
              </w:rPr>
              <w:t xml:space="preserve">NASA </w:t>
            </w:r>
            <w:r>
              <w:rPr>
                <w:sz w:val="20"/>
              </w:rPr>
              <w:t>EPSCoR</w:t>
            </w:r>
            <w:r>
              <w:rPr>
                <w:sz w:val="20"/>
              </w:rPr>
              <w:t xml:space="preserve"> </w:t>
            </w:r>
            <w:r>
              <w:t>Co-PIs/Science PIs/Co-Science PI/Other Researchers</w:t>
            </w:r>
            <w:r>
              <w:rPr>
                <w:sz w:val="20"/>
              </w:rPr>
              <w:t xml:space="preserve">  (Focus Group)</w:t>
            </w:r>
          </w:p>
        </w:tc>
        <w:tc>
          <w:tcPr>
            <w:tcW w:w="1577" w:type="dxa"/>
            <w:vAlign w:val="center"/>
          </w:tcPr>
          <w:p w:rsidR="00B101C1" w:rsidP="00B101C1" w14:paraId="264664D4" w14:textId="6A55D05B">
            <w:pPr>
              <w:keepNext/>
              <w:jc w:val="center"/>
              <w:rPr>
                <w:rFonts w:asciiTheme="minorHAnsi" w:hAnsiTheme="minorHAnsi" w:cs="ArialMT"/>
                <w:sz w:val="20"/>
                <w:szCs w:val="20"/>
              </w:rPr>
            </w:pPr>
            <w:r>
              <w:rPr>
                <w:rFonts w:asciiTheme="minorHAnsi" w:hAnsiTheme="minorHAnsi" w:cs="ArialMT"/>
                <w:sz w:val="20"/>
                <w:szCs w:val="20"/>
              </w:rPr>
              <w:t>50</w:t>
            </w:r>
          </w:p>
        </w:tc>
        <w:tc>
          <w:tcPr>
            <w:tcW w:w="1642" w:type="dxa"/>
            <w:vAlign w:val="center"/>
          </w:tcPr>
          <w:p w:rsidR="00B101C1" w:rsidP="00B101C1" w14:paraId="7596DA46" w14:textId="79271B95">
            <w:pPr>
              <w:keepNext/>
              <w:jc w:val="center"/>
              <w:rPr>
                <w:rFonts w:asciiTheme="minorHAnsi" w:hAnsiTheme="minorHAnsi" w:cs="ArialMT"/>
                <w:sz w:val="20"/>
                <w:szCs w:val="20"/>
              </w:rPr>
            </w:pPr>
            <w:r>
              <w:rPr>
                <w:rFonts w:asciiTheme="minorHAnsi" w:hAnsiTheme="minorHAnsi" w:cs="ArialMT"/>
                <w:sz w:val="20"/>
                <w:szCs w:val="20"/>
              </w:rPr>
              <w:t>1</w:t>
            </w:r>
          </w:p>
        </w:tc>
        <w:tc>
          <w:tcPr>
            <w:tcW w:w="1915" w:type="dxa"/>
            <w:vAlign w:val="center"/>
          </w:tcPr>
          <w:p w:rsidR="00B101C1" w:rsidP="00B101C1" w14:paraId="3740B7A6" w14:textId="6A6F0210">
            <w:pPr>
              <w:keepNext/>
              <w:jc w:val="center"/>
              <w:rPr>
                <w:rFonts w:asciiTheme="minorHAnsi" w:hAnsiTheme="minorHAnsi" w:cs="Arial"/>
                <w:sz w:val="20"/>
                <w:szCs w:val="20"/>
              </w:rPr>
            </w:pPr>
            <w:r>
              <w:rPr>
                <w:rFonts w:asciiTheme="minorHAnsi" w:hAnsiTheme="minorHAnsi" w:cs="Arial"/>
                <w:sz w:val="20"/>
                <w:szCs w:val="20"/>
              </w:rPr>
              <w:t>4</w:t>
            </w:r>
            <w:r>
              <w:rPr>
                <w:rFonts w:asciiTheme="minorHAnsi" w:hAnsiTheme="minorHAnsi" w:cs="Arial"/>
                <w:sz w:val="20"/>
                <w:szCs w:val="20"/>
              </w:rPr>
              <w:t>0</w:t>
            </w:r>
          </w:p>
        </w:tc>
        <w:tc>
          <w:tcPr>
            <w:tcW w:w="1791" w:type="dxa"/>
            <w:vAlign w:val="center"/>
          </w:tcPr>
          <w:p w:rsidR="00B101C1" w:rsidP="00B101C1" w14:paraId="48D23DD6" w14:textId="64198592">
            <w:pPr>
              <w:keepNext/>
              <w:jc w:val="center"/>
              <w:rPr>
                <w:rFonts w:asciiTheme="minorHAnsi" w:hAnsiTheme="minorHAnsi" w:cs="ArialMT"/>
                <w:sz w:val="20"/>
                <w:szCs w:val="20"/>
              </w:rPr>
            </w:pPr>
            <w:r>
              <w:rPr>
                <w:rFonts w:asciiTheme="minorHAnsi" w:hAnsiTheme="minorHAnsi" w:cs="ArialMT"/>
                <w:sz w:val="20"/>
                <w:szCs w:val="20"/>
              </w:rPr>
              <w:t>33.33</w:t>
            </w:r>
          </w:p>
        </w:tc>
      </w:tr>
      <w:tr w14:paraId="7A51508C" w14:textId="77777777" w:rsidTr="009F4850">
        <w:tblPrEx>
          <w:tblW w:w="0" w:type="auto"/>
          <w:tblLook w:val="04A0"/>
        </w:tblPrEx>
        <w:tc>
          <w:tcPr>
            <w:tcW w:w="2425" w:type="dxa"/>
            <w:shd w:val="clear" w:color="auto" w:fill="AEAAAA" w:themeFill="background2" w:themeFillShade="BF"/>
          </w:tcPr>
          <w:p w:rsidR="00520CE4" w:rsidRPr="00CB0366" w:rsidP="00592A5B" w14:paraId="1CFDD474" w14:textId="77777777">
            <w:pPr>
              <w:keepNext/>
              <w:rPr>
                <w:rFonts w:asciiTheme="minorHAnsi" w:hAnsiTheme="minorHAnsi"/>
                <w:b/>
                <w:sz w:val="20"/>
                <w:szCs w:val="20"/>
              </w:rPr>
            </w:pPr>
            <w:r w:rsidRPr="00CB0366">
              <w:rPr>
                <w:rFonts w:asciiTheme="minorHAnsi" w:hAnsiTheme="minorHAnsi"/>
                <w:b/>
                <w:sz w:val="20"/>
                <w:szCs w:val="20"/>
              </w:rPr>
              <w:t>TOTAL</w:t>
            </w:r>
          </w:p>
        </w:tc>
        <w:tc>
          <w:tcPr>
            <w:tcW w:w="1577" w:type="dxa"/>
            <w:shd w:val="clear" w:color="auto" w:fill="AEAAAA" w:themeFill="background2" w:themeFillShade="BF"/>
          </w:tcPr>
          <w:p w:rsidR="00520CE4" w:rsidRPr="00610647" w:rsidP="00592A5B" w14:paraId="50CC151F" w14:textId="77777777">
            <w:pPr>
              <w:keepNext/>
              <w:jc w:val="center"/>
              <w:rPr>
                <w:rFonts w:asciiTheme="minorHAnsi" w:hAnsiTheme="minorHAnsi"/>
                <w:b/>
                <w:sz w:val="20"/>
                <w:szCs w:val="20"/>
              </w:rPr>
            </w:pPr>
          </w:p>
        </w:tc>
        <w:tc>
          <w:tcPr>
            <w:tcW w:w="1642" w:type="dxa"/>
            <w:shd w:val="clear" w:color="auto" w:fill="AEAAAA" w:themeFill="background2" w:themeFillShade="BF"/>
          </w:tcPr>
          <w:p w:rsidR="00520CE4" w:rsidRPr="00610647" w:rsidP="00592A5B" w14:paraId="40531BD5" w14:textId="77777777">
            <w:pPr>
              <w:keepNext/>
              <w:jc w:val="center"/>
              <w:rPr>
                <w:rFonts w:asciiTheme="minorHAnsi" w:hAnsiTheme="minorHAnsi"/>
                <w:b/>
                <w:sz w:val="20"/>
                <w:szCs w:val="20"/>
              </w:rPr>
            </w:pPr>
          </w:p>
        </w:tc>
        <w:tc>
          <w:tcPr>
            <w:tcW w:w="1915" w:type="dxa"/>
            <w:shd w:val="clear" w:color="auto" w:fill="AEAAAA" w:themeFill="background2" w:themeFillShade="BF"/>
          </w:tcPr>
          <w:p w:rsidR="00520CE4" w:rsidRPr="00610647" w:rsidP="00592A5B" w14:paraId="4F5F7E7D" w14:textId="77777777">
            <w:pPr>
              <w:keepNext/>
              <w:jc w:val="center"/>
              <w:rPr>
                <w:rFonts w:asciiTheme="minorHAnsi" w:hAnsiTheme="minorHAnsi"/>
                <w:b/>
                <w:sz w:val="20"/>
                <w:szCs w:val="20"/>
              </w:rPr>
            </w:pPr>
          </w:p>
        </w:tc>
        <w:tc>
          <w:tcPr>
            <w:tcW w:w="1791" w:type="dxa"/>
            <w:shd w:val="clear" w:color="auto" w:fill="AEAAAA" w:themeFill="background2" w:themeFillShade="BF"/>
          </w:tcPr>
          <w:p w:rsidR="00520CE4" w:rsidRPr="00610647" w:rsidP="00592A5B" w14:paraId="1D845F86" w14:textId="28DDDDC5">
            <w:pPr>
              <w:keepNext/>
              <w:jc w:val="center"/>
              <w:rPr>
                <w:rFonts w:asciiTheme="minorHAnsi" w:hAnsiTheme="minorHAnsi"/>
                <w:b/>
                <w:bCs/>
                <w:sz w:val="20"/>
                <w:szCs w:val="20"/>
              </w:rPr>
            </w:pPr>
            <w:r>
              <w:rPr>
                <w:rFonts w:asciiTheme="minorHAnsi" w:hAnsiTheme="minorHAnsi"/>
                <w:b/>
                <w:bCs/>
                <w:sz w:val="20"/>
                <w:szCs w:val="20"/>
              </w:rPr>
              <w:t>158.33</w:t>
            </w:r>
          </w:p>
        </w:tc>
      </w:tr>
    </w:tbl>
    <w:p w:rsidR="00BD3BD2" w:rsidRPr="00AB74A8" w:rsidP="00674390" w14:paraId="1454C213" w14:textId="77777777"/>
    <w:p w:rsidR="00485494" w:rsidRPr="00485494" w:rsidP="00485494" w14:paraId="128F9A97" w14:textId="77777777">
      <w:pPr>
        <w:pStyle w:val="ListParagraph"/>
        <w:ind w:left="288"/>
        <w:jc w:val="both"/>
        <w:rPr>
          <w:rFonts w:ascii="ArialMT" w:hAnsi="ArialMT" w:cs="ArialMT"/>
          <w:sz w:val="19"/>
          <w:szCs w:val="17"/>
        </w:rPr>
      </w:pPr>
    </w:p>
    <w:p w:rsidR="00EC4B30" w:rsidRPr="00D71554" w:rsidP="00AD35CC" w14:paraId="42CADF8F" w14:textId="2351C216">
      <w:pPr>
        <w:pStyle w:val="ListParagraph"/>
        <w:numPr>
          <w:ilvl w:val="0"/>
          <w:numId w:val="3"/>
        </w:numPr>
        <w:jc w:val="both"/>
        <w:rPr>
          <w:rFonts w:ascii="ArialMT" w:hAnsi="ArialMT" w:cs="ArialMT"/>
          <w:sz w:val="19"/>
          <w:szCs w:val="17"/>
        </w:rPr>
      </w:pPr>
      <w:r w:rsidRPr="5E33F109">
        <w:rPr>
          <w:b/>
          <w:bCs/>
        </w:rPr>
        <w:t xml:space="preserve">DATA CONFIDENTIALITY MEASURES: </w:t>
      </w:r>
      <w:r>
        <w:t>Any information collected under the purview of this clearance will be maintained in accordance with the Privacy Act of 1974, the e-Government Act of 2002, the Federal Records Act, and as applicable, the Freedom of Information Act in order to protect respondents’ privacy and the confidentiality of the data collected.</w:t>
      </w:r>
    </w:p>
    <w:p w:rsidR="00EC4B30" w:rsidP="00EC4B30" w14:paraId="7BEF41B8" w14:textId="77777777"/>
    <w:p w:rsidR="00743573" w:rsidRPr="007C21DC" w:rsidP="00AD35CC" w14:paraId="24B928B5" w14:textId="77777777">
      <w:pPr>
        <w:pStyle w:val="ListParagraph"/>
        <w:numPr>
          <w:ilvl w:val="0"/>
          <w:numId w:val="3"/>
        </w:numPr>
        <w:rPr>
          <w:b/>
        </w:rPr>
      </w:pPr>
      <w:r w:rsidRPr="5E33F109">
        <w:rPr>
          <w:b/>
          <w:bCs/>
        </w:rPr>
        <w:t>PERSONALLY IDENTIFIABLE INFORMATION:</w:t>
      </w:r>
    </w:p>
    <w:p w:rsidR="00BE06C5" w:rsidP="00724D0A" w14:paraId="6E5B5AC7" w14:textId="1E449FF3">
      <w:pPr>
        <w:pStyle w:val="ListParagraph"/>
        <w:numPr>
          <w:ilvl w:val="1"/>
          <w:numId w:val="6"/>
        </w:numPr>
      </w:pPr>
      <w:r>
        <w:t xml:space="preserve">Is personally identifiable information (PII) collected? </w:t>
      </w:r>
      <w:r w:rsidR="006E0E6A">
        <w:rPr>
          <w:rFonts w:ascii="Wingdings" w:hAnsi="Wingdings"/>
        </w:rPr>
        <w:sym w:font="Wingdings" w:char="F0FE"/>
      </w:r>
      <w:r>
        <w:t xml:space="preserve">Yes  </w:t>
      </w:r>
      <w:r w:rsidR="002B2D0F">
        <w:rPr>
          <w:rFonts w:ascii="Wingdings" w:hAnsi="Wingdings"/>
        </w:rPr>
        <w:sym w:font="Wingdings" w:char="F06F"/>
      </w:r>
      <w:r>
        <w:t xml:space="preserve"> No </w:t>
      </w:r>
    </w:p>
    <w:p w:rsidR="00E51FA5" w:rsidRPr="00E51FA5" w:rsidP="00E51FA5" w14:paraId="1FA304B5" w14:textId="1404B252">
      <w:pPr>
        <w:pStyle w:val="ListParagraph"/>
        <w:ind w:left="936"/>
      </w:pPr>
      <w:r w:rsidRPr="00E51FA5">
        <w:t xml:space="preserve">– </w:t>
      </w:r>
      <w:r w:rsidRPr="00E51FA5">
        <w:rPr>
          <w:i/>
        </w:rPr>
        <w:t xml:space="preserve">NOTE: First and Last Name are collected </w:t>
      </w:r>
    </w:p>
    <w:p w:rsidR="00BE06C5" w:rsidRPr="007C21DC" w:rsidP="002B2D0F" w14:paraId="104841DB" w14:textId="77777777"/>
    <w:p w:rsidR="00743573" w:rsidP="00724D0A" w14:paraId="3F133A89" w14:textId="58C8C89E">
      <w:pPr>
        <w:pStyle w:val="ListParagraph"/>
        <w:numPr>
          <w:ilvl w:val="1"/>
          <w:numId w:val="6"/>
        </w:numPr>
      </w:pPr>
      <w:r w:rsidRPr="007C21DC">
        <w:t>If yes, will any information that is collected by included in records that are subject</w:t>
      </w:r>
      <w:r w:rsidR="00EC4B30">
        <w:t xml:space="preserve"> to the Privacy Act of 1974? </w:t>
      </w:r>
      <w:r w:rsidR="002B2D0F">
        <w:rPr>
          <w:rFonts w:ascii="Wingdings" w:hAnsi="Wingdings"/>
        </w:rPr>
        <w:sym w:font="Wingdings" w:char="F0FE"/>
      </w:r>
      <w:r w:rsidRPr="009C327C" w:rsidR="00ED2110">
        <w:t xml:space="preserve">Yes </w:t>
      </w:r>
      <w:r w:rsidR="00ED2110">
        <w:t xml:space="preserve"> </w:t>
      </w:r>
      <w:r w:rsidR="00ED2110">
        <w:rPr>
          <w:rFonts w:ascii="Wingdings" w:eastAsia="Wingdings" w:hAnsi="Wingdings" w:cs="Wingdings"/>
        </w:rPr>
        <w:t>o</w:t>
      </w:r>
      <w:r w:rsidR="00ED2110">
        <w:t xml:space="preserve"> </w:t>
      </w:r>
      <w:r w:rsidRPr="009C327C" w:rsidR="00ED2110">
        <w:t>No</w:t>
      </w:r>
    </w:p>
    <w:p w:rsidR="00ED2110" w:rsidRPr="007C21DC" w:rsidP="00ED2110" w14:paraId="5FB97AA6" w14:textId="77777777">
      <w:pPr>
        <w:pStyle w:val="ListParagraph"/>
        <w:ind w:left="1584"/>
      </w:pPr>
    </w:p>
    <w:p w:rsidR="00ED2110" w:rsidP="00724D0A" w14:paraId="69A32D2F" w14:textId="77777777">
      <w:pPr>
        <w:pStyle w:val="ListParagraph"/>
        <w:numPr>
          <w:ilvl w:val="1"/>
          <w:numId w:val="6"/>
        </w:numPr>
      </w:pPr>
      <w:r>
        <w:t xml:space="preserve">If yes, has an up-to-date System of Records Notice (SORN) been published? </w:t>
      </w:r>
    </w:p>
    <w:p w:rsidR="00BE06C5" w:rsidP="00BE06C5" w14:paraId="34096015" w14:textId="77777777">
      <w:pPr>
        <w:ind w:left="864" w:firstLine="720"/>
      </w:pPr>
      <w:r>
        <w:rPr>
          <w:rFonts w:ascii="Wingdings" w:eastAsia="Wingdings" w:hAnsi="Wingdings" w:cs="Wingdings"/>
        </w:rPr>
        <w:t>þ</w:t>
      </w:r>
      <w:r w:rsidRPr="009C327C" w:rsidR="00ED2110">
        <w:t xml:space="preserve">Yes </w:t>
      </w:r>
      <w:r w:rsidR="00ED2110">
        <w:t xml:space="preserve"> </w:t>
      </w:r>
      <w:r w:rsidR="00ED2110">
        <w:rPr>
          <w:rFonts w:ascii="Wingdings" w:eastAsia="Wingdings" w:hAnsi="Wingdings" w:cs="Wingdings"/>
        </w:rPr>
        <w:t>o</w:t>
      </w:r>
      <w:r w:rsidR="00ED2110">
        <w:t xml:space="preserve"> </w:t>
      </w:r>
      <w:r w:rsidRPr="009C327C" w:rsidR="00ED2110">
        <w:t>No</w:t>
      </w:r>
    </w:p>
    <w:p w:rsidR="006E35A9" w:rsidRPr="00BE06C5" w:rsidP="00BE06C5" w14:paraId="66B7D0B4" w14:textId="77777777">
      <w:pPr>
        <w:ind w:left="864"/>
      </w:pPr>
      <w:r w:rsidRPr="00BE06C5">
        <w:rPr>
          <w:szCs w:val="20"/>
        </w:rPr>
        <w:t>Published March 17, 2015</w:t>
      </w:r>
      <w:r w:rsidRPr="00BE06C5">
        <w:rPr>
          <w:szCs w:val="20"/>
        </w:rPr>
        <w:t xml:space="preserve">, the Applicable System of Records Notice is NASA 10EDUA, </w:t>
      </w:r>
      <w:r w:rsidRPr="00BE06C5" w:rsidR="00B8562A">
        <w:rPr>
          <w:szCs w:val="20"/>
        </w:rPr>
        <w:t>NASA STEM Engagement</w:t>
      </w:r>
      <w:r w:rsidRPr="00BE06C5" w:rsidR="00BD4844">
        <w:rPr>
          <w:szCs w:val="20"/>
        </w:rPr>
        <w:t xml:space="preserve"> </w:t>
      </w:r>
      <w:r w:rsidRPr="00BE06C5">
        <w:rPr>
          <w:szCs w:val="20"/>
        </w:rPr>
        <w:t>Program Evaluation System - http://www.nasa.gov/privacy/nasa_sorn_10EDUA.html.</w:t>
      </w:r>
    </w:p>
    <w:p w:rsidR="00AB3304" w:rsidP="00345D9E" w14:paraId="34CE89BE" w14:textId="77777777">
      <w:pPr>
        <w:pStyle w:val="ListParagraph"/>
        <w:ind w:left="288"/>
        <w:rPr>
          <w:b/>
        </w:rPr>
      </w:pPr>
    </w:p>
    <w:p w:rsidR="007C21DC" w:rsidP="00345D9E" w14:paraId="72871DA1" w14:textId="77777777">
      <w:pPr>
        <w:pStyle w:val="ListParagraph"/>
        <w:ind w:left="288"/>
        <w:rPr>
          <w:b/>
        </w:rPr>
      </w:pPr>
      <w:r w:rsidRPr="007C21DC">
        <w:rPr>
          <w:b/>
        </w:rPr>
        <w:t>APPLICABLE RECORDS:</w:t>
      </w:r>
    </w:p>
    <w:p w:rsidR="00CD0B0F" w:rsidRPr="007C21DC" w:rsidP="00CD0B0F" w14:paraId="4488A100" w14:textId="77777777">
      <w:pPr>
        <w:pStyle w:val="ListParagraph"/>
        <w:ind w:left="288"/>
        <w:rPr>
          <w:b/>
        </w:rPr>
      </w:pPr>
    </w:p>
    <w:p w:rsidR="00447FAE" w:rsidRPr="00BD4844" w:rsidP="00724D0A" w14:paraId="48954C0D" w14:textId="77777777">
      <w:pPr>
        <w:pStyle w:val="ListParagraph"/>
        <w:numPr>
          <w:ilvl w:val="1"/>
          <w:numId w:val="6"/>
        </w:numPr>
        <w:rPr>
          <w:rFonts w:asciiTheme="minorHAnsi" w:hAnsiTheme="minorHAnsi" w:cs="Arial"/>
        </w:rPr>
      </w:pPr>
      <w:r w:rsidRPr="00BD4844">
        <w:rPr>
          <w:rFonts w:asciiTheme="minorHAnsi" w:hAnsiTheme="minorHAnsi" w:cs="Arial"/>
        </w:rPr>
        <w:t xml:space="preserve">Applicable System of Records Notice: </w:t>
      </w:r>
      <w:r w:rsidRPr="00BD4844">
        <w:rPr>
          <w:rFonts w:asciiTheme="minorHAnsi" w:hAnsiTheme="minorHAnsi" w:cs="Arial"/>
        </w:rPr>
        <w:t xml:space="preserve">SORN: NASA 10EDUA, </w:t>
      </w:r>
      <w:r w:rsidR="00B8562A">
        <w:rPr>
          <w:rFonts w:asciiTheme="minorHAnsi" w:hAnsiTheme="minorHAnsi" w:cs="Arial"/>
        </w:rPr>
        <w:t>NASA STEM Engagement</w:t>
      </w:r>
      <w:r w:rsidRPr="00BD4844">
        <w:rPr>
          <w:rFonts w:asciiTheme="minorHAnsi" w:hAnsiTheme="minorHAnsi" w:cs="Arial"/>
        </w:rPr>
        <w:t xml:space="preserve"> Program Evaluation System - </w:t>
      </w:r>
      <w:hyperlink r:id="rId8" w:history="1">
        <w:r w:rsidRPr="00BD4844">
          <w:rPr>
            <w:rFonts w:asciiTheme="minorHAnsi" w:hAnsiTheme="minorHAnsi" w:cs="Arial"/>
          </w:rPr>
          <w:t>http://www.nasa.gov/privacy/nasa_sorn_10EDUA.html</w:t>
        </w:r>
      </w:hyperlink>
    </w:p>
    <w:p w:rsidR="002B2B85" w:rsidRPr="00BD4844" w:rsidP="002B2B85" w14:paraId="22935A67" w14:textId="77777777">
      <w:pPr>
        <w:pStyle w:val="ListParagraph"/>
        <w:ind w:left="936"/>
        <w:rPr>
          <w:rFonts w:asciiTheme="minorHAnsi" w:hAnsiTheme="minorHAnsi" w:cs="Arial"/>
        </w:rPr>
      </w:pPr>
    </w:p>
    <w:p w:rsidR="00ED2110" w:rsidRPr="00BD4844" w:rsidP="00724D0A" w14:paraId="09FFE66E" w14:textId="77777777">
      <w:pPr>
        <w:pStyle w:val="ListParagraph"/>
        <w:numPr>
          <w:ilvl w:val="1"/>
          <w:numId w:val="6"/>
        </w:numPr>
        <w:rPr>
          <w:rFonts w:asciiTheme="minorHAnsi" w:hAnsiTheme="minorHAnsi" w:cs="Arial"/>
        </w:rPr>
      </w:pPr>
      <w:r w:rsidRPr="00BD4844">
        <w:rPr>
          <w:rFonts w:asciiTheme="minorHAnsi" w:hAnsiTheme="minorHAnsi" w:cs="Arial"/>
        </w:rPr>
        <w:t>Completed surveys</w:t>
      </w:r>
      <w:r w:rsidRPr="00BD4844">
        <w:rPr>
          <w:rFonts w:asciiTheme="minorHAnsi" w:hAnsiTheme="minorHAnsi" w:cs="Arial"/>
        </w:rPr>
        <w:t xml:space="preserve"> will be retained in accordance with NASA Records Retention Schedule 1,  </w:t>
      </w:r>
    </w:p>
    <w:p w:rsidR="00743573" w:rsidRPr="00D71554" w:rsidP="002C2DEA" w14:paraId="3937C89A" w14:textId="77777777">
      <w:pPr>
        <w:ind w:left="936"/>
        <w:rPr>
          <w:rFonts w:ascii="ArialMT" w:hAnsi="ArialMT" w:cs="ArialMT"/>
          <w:sz w:val="19"/>
          <w:szCs w:val="17"/>
        </w:rPr>
      </w:pPr>
      <w:r w:rsidRPr="00BD4844">
        <w:rPr>
          <w:rFonts w:asciiTheme="minorHAnsi" w:hAnsiTheme="minorHAnsi" w:cs="Arial"/>
        </w:rPr>
        <w:t>Item 68D. Records will be destroyed or deleted when ten years old, or no longer needed, whichever is longer.</w:t>
      </w:r>
    </w:p>
    <w:p w:rsidR="00356A2E" w:rsidRPr="00AB74A8" w:rsidP="00674390" w14:paraId="2C179017" w14:textId="77777777">
      <w:pPr>
        <w:rPr>
          <w:b/>
        </w:rPr>
      </w:pPr>
    </w:p>
    <w:p w:rsidR="007E4392" w:rsidRPr="007C21DC" w:rsidP="00AD35CC" w14:paraId="1EFF9B86" w14:textId="77777777">
      <w:pPr>
        <w:pStyle w:val="ListParagraph"/>
        <w:numPr>
          <w:ilvl w:val="0"/>
          <w:numId w:val="3"/>
        </w:numPr>
        <w:rPr>
          <w:b/>
        </w:rPr>
      </w:pPr>
      <w:r w:rsidRPr="5E33F109">
        <w:rPr>
          <w:b/>
          <w:bCs/>
        </w:rPr>
        <w:t>PARTICIPANT SELECTION APPROACH:</w:t>
      </w:r>
    </w:p>
    <w:p w:rsidR="007E4392" w:rsidRPr="00AB74A8" w:rsidP="00674390" w14:paraId="4EFE1D00" w14:textId="77777777">
      <w:pPr>
        <w:rPr>
          <w:b/>
        </w:rPr>
      </w:pPr>
    </w:p>
    <w:p w:rsidR="008339E6" w:rsidRPr="00AB74A8" w:rsidP="00F1285F" w14:paraId="1AB986C1" w14:textId="321C37F9">
      <w:pPr>
        <w:pStyle w:val="ListParagraph"/>
        <w:numPr>
          <w:ilvl w:val="0"/>
          <w:numId w:val="1"/>
        </w:numPr>
      </w:pPr>
      <w:r w:rsidRPr="00AB74A8">
        <w:t xml:space="preserve">Does </w:t>
      </w:r>
      <w:r w:rsidR="00B8562A">
        <w:t>NASA STEM Engagement</w:t>
      </w:r>
      <w:r w:rsidRPr="00AB74A8">
        <w:t xml:space="preserve"> have a re</w:t>
      </w:r>
      <w:r w:rsidR="00EC4B30">
        <w:t xml:space="preserve">spondent sampling plan?  </w:t>
      </w:r>
      <w:r w:rsidR="00ED2110">
        <w:rPr>
          <w:rFonts w:ascii="Wingdings" w:eastAsia="Wingdings" w:hAnsi="Wingdings" w:cs="Wingdings"/>
        </w:rPr>
        <w:t>þ</w:t>
      </w:r>
      <w:r w:rsidRPr="009C327C" w:rsidR="00ED2110">
        <w:t xml:space="preserve">Yes </w:t>
      </w:r>
      <w:r w:rsidR="00ED2110">
        <w:t xml:space="preserve"> </w:t>
      </w:r>
      <w:r w:rsidR="00ED2110">
        <w:rPr>
          <w:rFonts w:ascii="Wingdings" w:eastAsia="Wingdings" w:hAnsi="Wingdings" w:cs="Wingdings"/>
        </w:rPr>
        <w:t>o</w:t>
      </w:r>
      <w:r w:rsidR="00ED2110">
        <w:t xml:space="preserve"> </w:t>
      </w:r>
      <w:r w:rsidRPr="009C327C" w:rsidR="00ED2110">
        <w:t>No</w:t>
      </w:r>
    </w:p>
    <w:p w:rsidR="00F1285F" w:rsidRPr="00F1285F" w:rsidP="00F1285F" w14:paraId="6301E00B" w14:textId="65779F11">
      <w:pPr>
        <w:pStyle w:val="BodyText"/>
        <w:spacing w:before="194"/>
        <w:ind w:left="1080" w:right="126"/>
        <w:rPr>
          <w:lang w:val="en-US"/>
        </w:rPr>
      </w:pPr>
      <w:r w:rsidRPr="009F4850">
        <w:rPr>
          <w:b/>
          <w:bCs/>
        </w:rPr>
        <w:t>If yes, please define the universe of potential respondents. If a sampling plan exists, please describe</w:t>
      </w:r>
      <w:r w:rsidRPr="00B363B5" w:rsidR="00B363B5">
        <w:t xml:space="preserve"> </w:t>
      </w:r>
      <w:r w:rsidRPr="00683829" w:rsidR="00B363B5">
        <w:t xml:space="preserve">The survey will be distributed to all </w:t>
      </w:r>
      <w:r w:rsidR="00B363B5">
        <w:t>of the Principal Investigators</w:t>
      </w:r>
      <w:r w:rsidRPr="00683829" w:rsidR="00B363B5">
        <w:t xml:space="preserve"> </w:t>
      </w:r>
      <w:r w:rsidR="00B363B5">
        <w:t xml:space="preserve">(PIs)/Directors </w:t>
      </w:r>
      <w:r w:rsidRPr="00683829" w:rsidR="00B363B5">
        <w:t xml:space="preserve">of </w:t>
      </w:r>
      <w:r w:rsidR="00B363B5">
        <w:t xml:space="preserve">the </w:t>
      </w:r>
      <w:r w:rsidRPr="00683829" w:rsidR="00B363B5">
        <w:t xml:space="preserve">NASA </w:t>
      </w:r>
      <w:r w:rsidR="00B363B5">
        <w:t>EPSCoR</w:t>
      </w:r>
      <w:r w:rsidR="00B363B5">
        <w:t xml:space="preserve"> Program Jurisdictions (28)</w:t>
      </w:r>
      <w:r w:rsidRPr="00683829" w:rsidR="00B363B5">
        <w:t xml:space="preserve"> in April 2023</w:t>
      </w:r>
      <w:r w:rsidR="00B363B5">
        <w:t xml:space="preserve"> for administration to Co-PIs/Science PIs/Co-Science PI/Other Researchers </w:t>
      </w:r>
      <w:r w:rsidRPr="00D53126" w:rsidR="00B363B5">
        <w:t>(approximately</w:t>
      </w:r>
      <w:r w:rsidR="00B363B5">
        <w:t xml:space="preserve"> 300</w:t>
      </w:r>
      <w:r w:rsidRPr="00D53126" w:rsidR="00B363B5">
        <w:t>)</w:t>
      </w:r>
      <w:r w:rsidRPr="00683829" w:rsidR="00B363B5">
        <w:t xml:space="preserve">. </w:t>
      </w:r>
      <w:r w:rsidR="00B363B5">
        <w:t xml:space="preserve">Although participation in the survey </w:t>
      </w:r>
      <w:r w:rsidRPr="00683829" w:rsidR="00B363B5">
        <w:t>is voluntary</w:t>
      </w:r>
      <w:r w:rsidR="00B363B5">
        <w:t xml:space="preserve">, it will </w:t>
      </w:r>
      <w:r w:rsidRPr="00683829" w:rsidR="00B363B5">
        <w:t>provid</w:t>
      </w:r>
      <w:r w:rsidR="00B363B5">
        <w:t>e</w:t>
      </w:r>
      <w:r w:rsidRPr="00683829" w:rsidR="00B363B5">
        <w:t xml:space="preserve"> useful customer input to address programmatic decision making and assess </w:t>
      </w:r>
      <w:r w:rsidR="00B363B5">
        <w:t xml:space="preserve">IRC outcomes of NASA </w:t>
      </w:r>
      <w:r w:rsidR="00B363B5">
        <w:t>EPSCoR</w:t>
      </w:r>
      <w:r w:rsidR="00B363B5">
        <w:t xml:space="preserve"> funding</w:t>
      </w:r>
      <w:r w:rsidRPr="00683829" w:rsidR="00B363B5">
        <w:t xml:space="preserve">. Additionally, </w:t>
      </w:r>
      <w:r w:rsidR="00B363B5">
        <w:t xml:space="preserve">up to 50 interviews </w:t>
      </w:r>
      <w:r w:rsidRPr="00683829" w:rsidR="00B363B5">
        <w:t>will be conducted virtually</w:t>
      </w:r>
      <w:r w:rsidR="00B363B5">
        <w:t xml:space="preserve"> with respondents from the survey that volunteers to participate in an interview</w:t>
      </w:r>
      <w:r w:rsidRPr="00683829" w:rsidR="00B363B5">
        <w:t xml:space="preserve">. Each </w:t>
      </w:r>
      <w:r w:rsidR="00B363B5">
        <w:t>interview</w:t>
      </w:r>
      <w:r w:rsidRPr="00683829" w:rsidR="00B363B5">
        <w:t xml:space="preserve"> will be approximately </w:t>
      </w:r>
      <w:r w:rsidR="00B363B5">
        <w:t>forty minutes</w:t>
      </w:r>
      <w:r w:rsidRPr="00683829" w:rsidR="00B363B5">
        <w:t xml:space="preserve"> long.</w:t>
      </w:r>
    </w:p>
    <w:p w:rsidR="00274390" w:rsidRPr="00AB74A8" w:rsidP="00274390" w14:paraId="1717ED23" w14:textId="77777777">
      <w:pPr>
        <w:pStyle w:val="ListParagraph"/>
        <w:ind w:left="1080"/>
      </w:pPr>
    </w:p>
    <w:p w:rsidR="00FD67D5" w:rsidRPr="00AB74A8" w:rsidP="00D71554" w14:paraId="0BF127BE" w14:textId="77777777">
      <w:pPr>
        <w:ind w:left="1068"/>
      </w:pPr>
      <w:r w:rsidRPr="00BD4844">
        <w:rPr>
          <w:b/>
        </w:rPr>
        <w:t xml:space="preserve">If no, how will </w:t>
      </w:r>
      <w:r w:rsidR="00B8562A">
        <w:rPr>
          <w:b/>
        </w:rPr>
        <w:t>NASA STEM Engagement</w:t>
      </w:r>
      <w:r w:rsidRPr="00BD4844">
        <w:rPr>
          <w:b/>
        </w:rPr>
        <w:t xml:space="preserve"> </w:t>
      </w:r>
      <w:r w:rsidRPr="00BD4844" w:rsidR="00743573">
        <w:rPr>
          <w:b/>
        </w:rPr>
        <w:t>i</w:t>
      </w:r>
      <w:r w:rsidRPr="00BD4844">
        <w:rPr>
          <w:b/>
        </w:rPr>
        <w:t>dentify</w:t>
      </w:r>
      <w:r w:rsidRPr="00BD4844" w:rsidR="00743573">
        <w:rPr>
          <w:b/>
        </w:rPr>
        <w:t xml:space="preserve"> </w:t>
      </w:r>
      <w:r w:rsidRPr="00BD4844">
        <w:rPr>
          <w:b/>
        </w:rPr>
        <w:t>the potential group of respondents and how will</w:t>
      </w:r>
      <w:r w:rsidRPr="00BD4844" w:rsidR="00743573">
        <w:rPr>
          <w:b/>
        </w:rPr>
        <w:t xml:space="preserve"> </w:t>
      </w:r>
      <w:r w:rsidRPr="00BD4844">
        <w:rPr>
          <w:b/>
        </w:rPr>
        <w:t>they be selected?</w:t>
      </w:r>
      <w:r w:rsidR="00CD0B0F">
        <w:t xml:space="preserve"> </w:t>
      </w:r>
      <w:r w:rsidRPr="00BD4844" w:rsidR="00D00D3E">
        <w:rPr>
          <w:szCs w:val="20"/>
        </w:rPr>
        <w:t>Not applicable.</w:t>
      </w:r>
    </w:p>
    <w:p w:rsidR="007E4392" w:rsidRPr="00AB74A8" w:rsidP="00674390" w14:paraId="3D8E5733" w14:textId="77777777">
      <w:pPr>
        <w:rPr>
          <w:b/>
        </w:rPr>
      </w:pPr>
    </w:p>
    <w:p w:rsidR="006B106E" w:rsidRPr="00EC4B30" w:rsidP="00AD35CC" w14:paraId="18B41BB1" w14:textId="77777777">
      <w:pPr>
        <w:pStyle w:val="ListParagraph"/>
        <w:numPr>
          <w:ilvl w:val="0"/>
          <w:numId w:val="3"/>
        </w:numPr>
        <w:rPr>
          <w:b/>
        </w:rPr>
      </w:pPr>
      <w:r w:rsidRPr="5E33F109">
        <w:rPr>
          <w:b/>
          <w:bCs/>
        </w:rPr>
        <w:t>INSTRUMENT ADMINISTRATION STRATEGY</w:t>
      </w:r>
    </w:p>
    <w:p w:rsidR="0003736E" w:rsidRPr="00AB74A8" w:rsidP="00674390" w14:paraId="509718CF" w14:textId="77777777">
      <w:pPr>
        <w:rPr>
          <w:b/>
        </w:rPr>
      </w:pPr>
      <w:r w:rsidRPr="00AB74A8">
        <w:t xml:space="preserve">          Describe the type of Consent</w:t>
      </w:r>
      <w:r w:rsidR="00EC4B30">
        <w:t xml:space="preserve">:     </w:t>
      </w:r>
      <w:r w:rsidR="00BD4844">
        <w:rPr>
          <w:rFonts w:ascii="Wingdings" w:eastAsia="Wingdings" w:hAnsi="Wingdings" w:cs="Wingdings"/>
        </w:rPr>
        <w:t>o</w:t>
      </w:r>
      <w:r w:rsidR="00ED2110">
        <w:t xml:space="preserve"> </w:t>
      </w:r>
      <w:r w:rsidRPr="00AB74A8">
        <w:t xml:space="preserve">Active </w:t>
      </w:r>
      <w:r w:rsidR="00EC4B30">
        <w:t xml:space="preserve"> </w:t>
      </w:r>
      <w:r w:rsidR="00BD4844">
        <w:rPr>
          <w:rFonts w:ascii="Wingdings" w:eastAsia="Wingdings" w:hAnsi="Wingdings" w:cs="Wingdings"/>
        </w:rPr>
        <w:t>þ</w:t>
      </w:r>
      <w:r w:rsidR="00BD4844">
        <w:t xml:space="preserve"> </w:t>
      </w:r>
      <w:r w:rsidR="00EC4B30">
        <w:t>P</w:t>
      </w:r>
      <w:r w:rsidRPr="00AB74A8">
        <w:t>assive</w:t>
      </w:r>
      <w:r w:rsidR="00FF5262">
        <w:t xml:space="preserve"> </w:t>
      </w:r>
    </w:p>
    <w:p w:rsidR="0070268E" w:rsidP="00062EC4" w14:paraId="4F9FB04A" w14:textId="77777777">
      <w:r>
        <w:rPr>
          <w:b/>
        </w:rPr>
        <w:tab/>
      </w:r>
    </w:p>
    <w:p w:rsidR="006B106E" w:rsidRPr="00AB74A8" w:rsidP="00724D0A" w14:paraId="3C3AE0B9" w14:textId="77777777">
      <w:pPr>
        <w:pStyle w:val="ListParagraph"/>
        <w:numPr>
          <w:ilvl w:val="1"/>
          <w:numId w:val="6"/>
        </w:numPr>
      </w:pPr>
      <w:r w:rsidRPr="00AB74A8">
        <w:t>How will the information be collected:</w:t>
      </w:r>
    </w:p>
    <w:p w:rsidR="00B60398" w:rsidP="00B60398" w14:paraId="0A9BB67A" w14:textId="4FABAA3D">
      <w:pPr>
        <w:ind w:left="1440"/>
      </w:pPr>
      <w:r w:rsidRPr="00062EC4">
        <w:rPr>
          <w:rFonts w:ascii="Wingdings" w:eastAsia="Wingdings" w:hAnsi="Wingdings" w:cs="Wingdings"/>
        </w:rPr>
        <w:t>þ</w:t>
      </w:r>
      <w:r w:rsidRPr="00062EC4" w:rsidR="006B106E">
        <w:t xml:space="preserve"> Web-based or other forms of Social Media</w:t>
      </w:r>
      <w:r>
        <w:t xml:space="preserve"> (NOTE: Survey</w:t>
      </w:r>
      <w:r w:rsidR="00822559">
        <w:t xml:space="preserve"> data will be collected via </w:t>
      </w:r>
      <w:r>
        <w:t>SurveyMonkey</w:t>
      </w:r>
      <w:r w:rsidR="00822559">
        <w:t xml:space="preserve"> and f</w:t>
      </w:r>
      <w:r>
        <w:t>ocus groups will occur virtually using either Adobe Connect, Zoom, or Teams link)</w:t>
      </w:r>
    </w:p>
    <w:p w:rsidR="006B106E" w:rsidRPr="00062EC4" w:rsidP="002C2DEA" w14:paraId="5EFE9320" w14:textId="77777777">
      <w:pPr>
        <w:ind w:left="720" w:firstLine="720"/>
      </w:pPr>
      <w:r w:rsidRPr="00062EC4">
        <w:rPr>
          <w:rFonts w:ascii="Wingdings" w:eastAsia="Wingdings" w:hAnsi="Wingdings" w:cs="Wingdings"/>
        </w:rPr>
        <w:t>o</w:t>
      </w:r>
      <w:r w:rsidRPr="00062EC4">
        <w:t xml:space="preserve"> Telephone</w:t>
      </w:r>
    </w:p>
    <w:p w:rsidR="006B106E" w:rsidRPr="00062EC4" w:rsidP="002C2DEA" w14:paraId="675F2736" w14:textId="77777777">
      <w:pPr>
        <w:ind w:left="720" w:firstLine="720"/>
      </w:pPr>
      <w:r w:rsidRPr="00062EC4">
        <w:rPr>
          <w:rFonts w:ascii="Wingdings" w:eastAsia="Wingdings" w:hAnsi="Wingdings" w:cs="Wingdings"/>
        </w:rPr>
        <w:t>o</w:t>
      </w:r>
      <w:r w:rsidRPr="00062EC4">
        <w:t xml:space="preserve"> In-person</w:t>
      </w:r>
      <w:r w:rsidRPr="00062EC4" w:rsidR="00DC6BB2">
        <w:t xml:space="preserve"> </w:t>
      </w:r>
    </w:p>
    <w:p w:rsidR="006B106E" w:rsidRPr="00062EC4" w:rsidP="002C2DEA" w14:paraId="487034BC" w14:textId="77777777">
      <w:pPr>
        <w:ind w:left="720" w:firstLine="720"/>
      </w:pPr>
      <w:r w:rsidRPr="00062EC4">
        <w:rPr>
          <w:rFonts w:ascii="Wingdings" w:eastAsia="Wingdings" w:hAnsi="Wingdings" w:cs="Wingdings"/>
        </w:rPr>
        <w:t>o</w:t>
      </w:r>
      <w:r w:rsidRPr="00062EC4">
        <w:t xml:space="preserve"> Mail</w:t>
      </w:r>
    </w:p>
    <w:p w:rsidR="006B106E" w:rsidRPr="00AB74A8" w:rsidP="002C2DEA" w14:paraId="13A3DC47" w14:textId="77777777">
      <w:pPr>
        <w:ind w:left="720" w:firstLine="720"/>
      </w:pPr>
      <w:r w:rsidRPr="00062EC4">
        <w:rPr>
          <w:rFonts w:ascii="Wingdings" w:eastAsia="Wingdings" w:hAnsi="Wingdings" w:cs="Wingdings"/>
        </w:rPr>
        <w:t>o</w:t>
      </w:r>
      <w:r w:rsidRPr="00062EC4">
        <w:t xml:space="preserve"> Other</w:t>
      </w:r>
    </w:p>
    <w:p w:rsidR="006B106E" w:rsidRPr="00AB74A8" w:rsidP="00FD67D5" w14:paraId="10464A51" w14:textId="77777777">
      <w:pPr>
        <w:ind w:left="720"/>
      </w:pPr>
    </w:p>
    <w:p w:rsidR="005D556E" w:rsidP="00C3307C" w14:paraId="739DB394" w14:textId="77777777">
      <w:pPr>
        <w:ind w:left="720"/>
      </w:pPr>
      <w:r w:rsidRPr="00BD4844">
        <w:rPr>
          <w:b/>
        </w:rPr>
        <w:t>If multiple approaches are used for a single instrument, state the projected percent of responses per approach</w:t>
      </w:r>
      <w:r w:rsidRPr="00BD4844" w:rsidR="00C3307C">
        <w:rPr>
          <w:b/>
        </w:rPr>
        <w:t>.</w:t>
      </w:r>
      <w:r>
        <w:t xml:space="preserve"> </w:t>
      </w:r>
    </w:p>
    <w:p w:rsidR="005D556E" w:rsidRPr="00AB74A8" w:rsidP="00FD67D5" w14:paraId="03FF30C7" w14:textId="77777777">
      <w:pPr>
        <w:ind w:left="720"/>
      </w:pPr>
    </w:p>
    <w:p w:rsidR="0003736E" w:rsidP="00724D0A" w14:paraId="6FFEE715" w14:textId="79203C47">
      <w:pPr>
        <w:pStyle w:val="ListParagraph"/>
        <w:numPr>
          <w:ilvl w:val="1"/>
          <w:numId w:val="6"/>
        </w:numPr>
      </w:pPr>
      <w:r w:rsidRPr="00AB74A8">
        <w:t xml:space="preserve">Will interviewers or </w:t>
      </w:r>
      <w:r w:rsidRPr="00136854">
        <w:t>facilitators</w:t>
      </w:r>
      <w:r w:rsidRPr="00AB74A8">
        <w:t xml:space="preserve"> be used?   </w:t>
      </w:r>
      <w:r w:rsidR="00ED2110">
        <w:t xml:space="preserve"> </w:t>
      </w:r>
      <w:r w:rsidR="00822559">
        <w:rPr>
          <w:rFonts w:ascii="Wingdings" w:eastAsia="Wingdings" w:hAnsi="Wingdings" w:cs="Wingdings"/>
        </w:rPr>
        <w:t>þ</w:t>
      </w:r>
      <w:r w:rsidR="002C2DEA">
        <w:t xml:space="preserve"> </w:t>
      </w:r>
      <w:r w:rsidR="00EC4B30">
        <w:t>Y</w:t>
      </w:r>
      <w:r w:rsidRPr="00AB74A8">
        <w:t>es</w:t>
      </w:r>
      <w:r w:rsidR="00EC4B30">
        <w:t xml:space="preserve"> </w:t>
      </w:r>
      <w:r w:rsidR="00ED2110">
        <w:t xml:space="preserve"> </w:t>
      </w:r>
      <w:r w:rsidR="002C2DEA">
        <w:t xml:space="preserve"> </w:t>
      </w:r>
      <w:r w:rsidR="00E43180">
        <w:rPr>
          <w:rFonts w:ascii="Wingdings" w:hAnsi="Wingdings"/>
        </w:rPr>
        <w:sym w:font="Wingdings" w:char="F06F"/>
      </w:r>
      <w:r w:rsidR="00136854">
        <w:t xml:space="preserve"> </w:t>
      </w:r>
      <w:r w:rsidR="00EC4B30">
        <w:t>No</w:t>
      </w:r>
    </w:p>
    <w:p w:rsidR="00CF154B" w:rsidRPr="00AB74A8" w:rsidP="00CF154B" w14:paraId="20F3F197" w14:textId="77777777"/>
    <w:p w:rsidR="00CF154B" w:rsidRPr="00AB74A8" w:rsidP="00CF154B" w14:paraId="4987E321" w14:textId="77777777">
      <w:pPr>
        <w:pStyle w:val="ListParagraph"/>
        <w:ind w:left="936"/>
      </w:pPr>
    </w:p>
    <w:p w:rsidR="00C84993" w:rsidP="00AD35CC" w14:paraId="7D214872" w14:textId="77777777">
      <w:pPr>
        <w:pStyle w:val="ListParagraph"/>
        <w:numPr>
          <w:ilvl w:val="0"/>
          <w:numId w:val="3"/>
        </w:numPr>
      </w:pPr>
      <w:r w:rsidRPr="5E33F109">
        <w:rPr>
          <w:b/>
          <w:bCs/>
        </w:rPr>
        <w:t>DOCUMENTS/INSTRUMENTS</w:t>
      </w:r>
      <w:r>
        <w:t xml:space="preserve"> </w:t>
      </w:r>
      <w:r w:rsidRPr="5E33F109">
        <w:rPr>
          <w:b/>
          <w:bCs/>
        </w:rPr>
        <w:t>ACCOMPANYING THIS REQUEST:</w:t>
      </w:r>
    </w:p>
    <w:p w:rsidR="00CF154B" w:rsidRPr="00D459F8" w:rsidP="00CF154B" w14:paraId="00E526FE" w14:textId="50B5EEEE">
      <w:pPr>
        <w:ind w:left="720" w:firstLine="720"/>
      </w:pPr>
      <w:r w:rsidRPr="00D459F8">
        <w:rPr>
          <w:rFonts w:ascii="Wingdings" w:eastAsia="Wingdings" w:hAnsi="Wingdings" w:cs="Wingdings"/>
        </w:rPr>
        <w:t>o</w:t>
      </w:r>
      <w:r w:rsidR="00FE280D">
        <w:t xml:space="preserve"> </w:t>
      </w:r>
      <w:r w:rsidRPr="00D459F8">
        <w:t>Consent form</w:t>
      </w:r>
    </w:p>
    <w:p w:rsidR="00CF154B" w:rsidRPr="00D459F8" w:rsidP="00CF154B" w14:paraId="72158F33" w14:textId="77777777">
      <w:pPr>
        <w:ind w:left="720" w:firstLine="720"/>
      </w:pPr>
      <w:r w:rsidRPr="00D459F8">
        <w:rPr>
          <w:rFonts w:ascii="Wingdings" w:eastAsia="Wingdings" w:hAnsi="Wingdings" w:cs="Wingdings"/>
        </w:rPr>
        <w:t>þ</w:t>
      </w:r>
      <w:r w:rsidRPr="00D459F8">
        <w:t xml:space="preserve"> Instrument (attitude &amp; behavior scales, and surveys)</w:t>
      </w:r>
    </w:p>
    <w:p w:rsidR="00CF154B" w:rsidRPr="00D459F8" w:rsidP="00CF154B" w14:paraId="402388D2" w14:textId="5998D437">
      <w:pPr>
        <w:ind w:left="720" w:firstLine="720"/>
      </w:pPr>
      <w:r w:rsidRPr="00D459F8">
        <w:rPr>
          <w:rFonts w:ascii="Wingdings" w:eastAsia="Wingdings" w:hAnsi="Wingdings" w:cs="Wingdings"/>
        </w:rPr>
        <w:t>þ</w:t>
      </w:r>
      <w:r w:rsidRPr="00D459F8">
        <w:t xml:space="preserve"> Protocol script (Specify type: Script)</w:t>
      </w:r>
    </w:p>
    <w:p w:rsidR="00CF154B" w:rsidRPr="00D459F8" w:rsidP="00CF154B" w14:paraId="2E44B7E2" w14:textId="77777777">
      <w:pPr>
        <w:ind w:left="1440"/>
      </w:pPr>
      <w:r w:rsidRPr="00D459F8">
        <w:rPr>
          <w:rFonts w:ascii="Wingdings" w:eastAsia="Wingdings" w:hAnsi="Wingdings" w:cs="Wingdings"/>
        </w:rPr>
        <w:t>þ</w:t>
      </w:r>
      <w:r w:rsidRPr="00D459F8">
        <w:t xml:space="preserve"> Instructions NOTE: Instructions are included in the instrument </w:t>
      </w:r>
    </w:p>
    <w:p w:rsidR="00CF154B" w:rsidP="00D459F8" w14:paraId="1D4F198B" w14:textId="77777777">
      <w:pPr>
        <w:pStyle w:val="ListParagraph"/>
        <w:ind w:left="1440"/>
      </w:pPr>
      <w:r w:rsidRPr="00D459F8">
        <w:rPr>
          <w:rFonts w:ascii="Wingdings" w:eastAsia="Wingdings" w:hAnsi="Wingdings" w:cs="Wingdings"/>
        </w:rPr>
        <w:t>o</w:t>
      </w:r>
      <w:r w:rsidRPr="00D459F8">
        <w:t xml:space="preserve"> Other (Specify ________________)</w:t>
      </w:r>
    </w:p>
    <w:p w:rsidR="00CF154B" w:rsidRPr="00C84993" w:rsidP="00C84993" w14:paraId="7E93A510" w14:textId="77777777">
      <w:pPr>
        <w:pStyle w:val="ListParagraph"/>
        <w:ind w:left="288"/>
      </w:pPr>
    </w:p>
    <w:p w:rsidR="009C327C" w:rsidP="00AD35CC" w14:paraId="0130402A" w14:textId="77777777">
      <w:pPr>
        <w:pStyle w:val="ListParagraph"/>
        <w:numPr>
          <w:ilvl w:val="0"/>
          <w:numId w:val="3"/>
        </w:numPr>
      </w:pPr>
      <w:r w:rsidRPr="5E33F109">
        <w:rPr>
          <w:b/>
          <w:bCs/>
        </w:rPr>
        <w:t xml:space="preserve">GIFTS OR PAYMENT:  </w:t>
      </w:r>
      <w:r w:rsidRPr="5E33F109">
        <w:rPr>
          <w:rFonts w:ascii="Wingdings" w:eastAsia="Wingdings" w:hAnsi="Wingdings" w:cs="Wingdings"/>
        </w:rPr>
        <w:t>o</w:t>
      </w:r>
      <w:r>
        <w:t xml:space="preserve"> Yes  </w:t>
      </w:r>
      <w:r w:rsidRPr="5E33F109">
        <w:rPr>
          <w:rFonts w:ascii="Wingdings" w:eastAsia="Wingdings" w:hAnsi="Wingdings" w:cs="Wingdings"/>
        </w:rPr>
        <w:t>þ</w:t>
      </w:r>
      <w:r>
        <w:t xml:space="preserve"> No    If you answer yes to this question, please describe and provide a justification for amount.</w:t>
      </w:r>
    </w:p>
    <w:p w:rsidR="009C327C" w:rsidP="009C327C" w14:paraId="331A4DB8" w14:textId="77777777">
      <w:pPr>
        <w:pStyle w:val="ListParagraph"/>
        <w:ind w:left="144"/>
      </w:pPr>
    </w:p>
    <w:p w:rsidR="00CF154B" w:rsidP="00674390" w14:paraId="70FF39F9" w14:textId="4A0A6F0A">
      <w:pPr>
        <w:rPr>
          <w:rFonts w:ascii="ArialMT" w:hAnsi="ArialMT" w:cs="ArialMT"/>
          <w:sz w:val="17"/>
          <w:szCs w:val="17"/>
        </w:rPr>
      </w:pPr>
      <w:r w:rsidRPr="5E33F109">
        <w:rPr>
          <w:b/>
          <w:bCs/>
        </w:rPr>
        <w:t xml:space="preserve">ANNUAL FEDERAL COST: </w:t>
      </w:r>
      <w:r w:rsidRPr="5E33F109">
        <w:rPr>
          <w:rFonts w:asciiTheme="minorHAnsi" w:hAnsiTheme="minorHAnsi" w:cs="Arial"/>
        </w:rPr>
        <w:t>The estimated annual cost to the Federal government is $5,925. The cost is based on an annualized effort of 75 person-hours at the evaluator’s rate of $79/hour for administering the survey instrument, collecting and analyzing responses, and editing the survey instrument for ultimate approval through the methodological testing generic clearance with OMB Control Number 2700-0159, exp. exp. 09/30/2024.</w:t>
      </w:r>
    </w:p>
    <w:p w:rsidR="00CF154B" w:rsidRPr="00546DEB" w:rsidP="00674390" w14:paraId="0A5FEA3D" w14:textId="77777777">
      <w:pPr>
        <w:rPr>
          <w:rFonts w:ascii="ArialMT" w:hAnsi="ArialMT" w:cs="ArialMT"/>
          <w:sz w:val="17"/>
          <w:szCs w:val="17"/>
        </w:rPr>
      </w:pPr>
    </w:p>
    <w:p w:rsidR="00674390" w:rsidRPr="00AB74A8" w:rsidP="00AD35CC" w14:paraId="1CA9E57A" w14:textId="77777777">
      <w:pPr>
        <w:pStyle w:val="ListParagraph"/>
        <w:numPr>
          <w:ilvl w:val="0"/>
          <w:numId w:val="3"/>
        </w:numPr>
      </w:pPr>
      <w:r w:rsidRPr="5E33F109">
        <w:rPr>
          <w:b/>
          <w:bCs/>
        </w:rPr>
        <w:t>CERTIFICATION STATEMENT:</w:t>
      </w:r>
      <w:r>
        <w:t xml:space="preserve"> </w:t>
      </w:r>
    </w:p>
    <w:p w:rsidR="0003736E" w:rsidRPr="00AB74A8" w:rsidP="00674390" w14:paraId="3CD53F74" w14:textId="77777777">
      <w:r w:rsidRPr="00AB74A8">
        <w:t xml:space="preserve"> </w:t>
      </w:r>
    </w:p>
    <w:p w:rsidR="0003736E" w:rsidRPr="00AB74A8" w:rsidP="00674390" w14:paraId="5BF01F94" w14:textId="77777777">
      <w:r w:rsidRPr="00AB74A8">
        <w:t>I certify the following to be true:</w:t>
      </w:r>
    </w:p>
    <w:p w:rsidR="00015A17" w:rsidRPr="00AB74A8" w:rsidP="00BF134E" w14:paraId="25F853D3" w14:textId="77777777">
      <w:pPr>
        <w:pStyle w:val="ListParagraph"/>
        <w:numPr>
          <w:ilvl w:val="0"/>
          <w:numId w:val="2"/>
        </w:numPr>
      </w:pPr>
      <w:r w:rsidRPr="00AB74A8">
        <w:t>The collection is voluntary.</w:t>
      </w:r>
    </w:p>
    <w:p w:rsidR="0003736E" w:rsidRPr="00AB74A8" w:rsidP="00BF134E" w14:paraId="42B47E13" w14:textId="77777777">
      <w:pPr>
        <w:pStyle w:val="ListParagraph"/>
        <w:numPr>
          <w:ilvl w:val="0"/>
          <w:numId w:val="2"/>
        </w:numPr>
      </w:pPr>
      <w:r w:rsidRPr="00AB74A8">
        <w:t>The collection is low burden for respondents and low cost for the Federal Government.</w:t>
      </w:r>
    </w:p>
    <w:p w:rsidR="0003736E" w:rsidRPr="00AB74A8" w:rsidP="00BF134E" w14:paraId="21557020" w14:textId="77777777">
      <w:pPr>
        <w:pStyle w:val="ListParagraph"/>
        <w:numPr>
          <w:ilvl w:val="0"/>
          <w:numId w:val="2"/>
        </w:numPr>
      </w:pPr>
      <w:r w:rsidRPr="00AB74A8">
        <w:t>The collection is non-controversial and does raise issues of concern to other federal agencies.</w:t>
      </w:r>
    </w:p>
    <w:p w:rsidR="0003736E" w:rsidRPr="00AB74A8" w:rsidP="00BF134E" w14:paraId="65BB5191" w14:textId="77777777">
      <w:pPr>
        <w:pStyle w:val="ListParagraph"/>
        <w:numPr>
          <w:ilvl w:val="0"/>
          <w:numId w:val="2"/>
        </w:numPr>
      </w:pPr>
      <w:r w:rsidRPr="00AB74A8">
        <w:t xml:space="preserve">The results </w:t>
      </w:r>
      <w:r w:rsidRPr="00AB74A8" w:rsidR="00743573">
        <w:t>will be made available to other federal agencies upon request, while maintaining confidentiality of the respondents.</w:t>
      </w:r>
    </w:p>
    <w:p w:rsidR="00743573" w:rsidP="00BF134E" w14:paraId="5E350EA0" w14:textId="77777777">
      <w:pPr>
        <w:pStyle w:val="ListParagraph"/>
        <w:numPr>
          <w:ilvl w:val="0"/>
          <w:numId w:val="2"/>
        </w:numPr>
      </w:pPr>
      <w:r w:rsidRPr="00AB74A8">
        <w:t>The collection is targeted to the solicitation of information from respondents who have experience with the program or may have experience with the program in the future.</w:t>
      </w:r>
    </w:p>
    <w:p w:rsidR="00743573" w:rsidRPr="00AB74A8" w:rsidP="00743573" w14:paraId="347EFFFE" w14:textId="77777777">
      <w:pPr>
        <w:ind w:left="720"/>
      </w:pPr>
    </w:p>
    <w:p w:rsidR="00360EE0" w:rsidP="00226005" w14:paraId="072F9462" w14:textId="77777777">
      <w:pPr>
        <w:ind w:left="720"/>
      </w:pPr>
      <w:r>
        <w:t xml:space="preserve">Name of Sponsor: </w:t>
      </w:r>
      <w:r>
        <w:t>Richard Gilmore</w:t>
      </w:r>
    </w:p>
    <w:p w:rsidR="00B063D6" w:rsidP="00226005" w14:paraId="475C36AA" w14:textId="77777777">
      <w:pPr>
        <w:ind w:left="720"/>
      </w:pPr>
      <w:r>
        <w:t xml:space="preserve">Title: </w:t>
      </w:r>
      <w:r w:rsidR="00FE280D">
        <w:t>Performance Assessment and Evaluation Program Manager</w:t>
      </w:r>
      <w:r w:rsidR="00902F14">
        <w:t>, NASA</w:t>
      </w:r>
    </w:p>
    <w:p w:rsidR="00226005" w:rsidP="00226005" w14:paraId="37A9E10A" w14:textId="77777777">
      <w:pPr>
        <w:ind w:left="720"/>
      </w:pPr>
      <w:r>
        <w:t>Office of STEM Engagement</w:t>
      </w:r>
      <w:r w:rsidR="00FE280D">
        <w:t xml:space="preserve"> (OSTEM)</w:t>
      </w:r>
    </w:p>
    <w:p w:rsidR="00226005" w:rsidP="00226005" w14:paraId="0B2B08D7" w14:textId="77777777">
      <w:pPr>
        <w:ind w:left="720"/>
      </w:pPr>
      <w:r>
        <w:t xml:space="preserve">Email address or Phone number: </w:t>
      </w:r>
      <w:hyperlink r:id="rId9" w:history="1">
        <w:r w:rsidRPr="000219AC" w:rsidR="00360EE0">
          <w:rPr>
            <w:rStyle w:val="Hyperlink"/>
          </w:rPr>
          <w:t>richard.l.gilmore@nasa.gov</w:t>
        </w:r>
      </w:hyperlink>
      <w:r w:rsidR="00360EE0">
        <w:t xml:space="preserve"> </w:t>
      </w:r>
    </w:p>
    <w:p w:rsidR="00743573" w:rsidP="00226005" w14:paraId="0CFEC92B" w14:textId="56B8E76A">
      <w:pPr>
        <w:ind w:left="720"/>
      </w:pPr>
      <w:r>
        <w:t xml:space="preserve">Date: </w:t>
      </w:r>
      <w:r w:rsidR="00136854">
        <w:fldChar w:fldCharType="begin"/>
      </w:r>
      <w:r w:rsidR="00136854">
        <w:instrText xml:space="preserve"> DATE \@ "M/d/yyyy" </w:instrText>
      </w:r>
      <w:r w:rsidR="00136854">
        <w:fldChar w:fldCharType="separate"/>
      </w:r>
      <w:r w:rsidR="00221A1F">
        <w:rPr>
          <w:noProof/>
        </w:rPr>
        <w:t>4/17/2023</w:t>
      </w:r>
      <w:r w:rsidR="00136854">
        <w:fldChar w:fldCharType="end"/>
      </w:r>
    </w:p>
    <w:p w:rsidR="00E92538" w:rsidP="00B363B5" w14:paraId="110D2F10" w14:textId="77777777"/>
    <w:sectPr w:rsidSect="00D71554">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160E2" w14:paraId="7D7815BF" w14:textId="77777777">
    <w:pPr>
      <w:pStyle w:val="Footer"/>
    </w:pPr>
    <w:r>
      <w:ptab w:relativeTo="margin" w:alignment="center" w:leader="none"/>
    </w:r>
    <w:r>
      <w:t>NASA Office of STEM Engagement</w:t>
    </w:r>
    <w:r>
      <w:ptab w:relativeTo="margin" w:alignment="right" w:leader="none"/>
    </w:r>
    <w:r>
      <w:fldChar w:fldCharType="begin"/>
    </w:r>
    <w:r>
      <w:instrText xml:space="preserve"> PAGE </w:instrText>
    </w:r>
    <w:r>
      <w:fldChar w:fldCharType="separate"/>
    </w:r>
    <w:r w:rsidR="00B367EF">
      <w:rPr>
        <w:noProof/>
      </w:rPr>
      <w:t>1</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A55F31"/>
    <w:multiLevelType w:val="hybridMultilevel"/>
    <w:tmpl w:val="839A1CB8"/>
    <w:lvl w:ilvl="0">
      <w:start w:val="1"/>
      <w:numFmt w:val="upperRoman"/>
      <w:lvlText w:val="%1."/>
      <w:lvlJc w:val="right"/>
      <w:pPr>
        <w:ind w:left="288" w:hanging="144"/>
      </w:pPr>
      <w:rPr>
        <w:rFonts w:hint="default"/>
        <w:b/>
      </w:rPr>
    </w:lvl>
    <w:lvl w:ilvl="1">
      <w:start w:val="1"/>
      <w:numFmt w:val="decimal"/>
      <w:lvlText w:val="%2."/>
      <w:lvlJc w:val="left"/>
      <w:pPr>
        <w:ind w:left="936" w:hanging="216"/>
      </w:pPr>
      <w:rPr>
        <w:rFonts w:hint="default"/>
        <w:b/>
        <w:vertAlign w:val="baseline"/>
      </w:rPr>
    </w:lvl>
    <w:lvl w:ilvl="2">
      <w:start w:val="1"/>
      <w:numFmt w:val="lowerRoman"/>
      <w:lvlText w:val="%3."/>
      <w:lvlJc w:val="right"/>
      <w:pPr>
        <w:ind w:left="2304" w:hanging="180"/>
      </w:pPr>
    </w:lvl>
    <w:lvl w:ilvl="3" w:tentative="1">
      <w:start w:val="1"/>
      <w:numFmt w:val="decimal"/>
      <w:lvlText w:val="%4."/>
      <w:lvlJc w:val="left"/>
      <w:pPr>
        <w:ind w:left="3024" w:hanging="360"/>
      </w:pPr>
    </w:lvl>
    <w:lvl w:ilvl="4" w:tentative="1">
      <w:start w:val="1"/>
      <w:numFmt w:val="lowerLetter"/>
      <w:lvlText w:val="%5."/>
      <w:lvlJc w:val="left"/>
      <w:pPr>
        <w:ind w:left="3744" w:hanging="360"/>
      </w:pPr>
    </w:lvl>
    <w:lvl w:ilvl="5" w:tentative="1">
      <w:start w:val="1"/>
      <w:numFmt w:val="lowerRoman"/>
      <w:lvlText w:val="%6."/>
      <w:lvlJc w:val="right"/>
      <w:pPr>
        <w:ind w:left="4464" w:hanging="180"/>
      </w:pPr>
    </w:lvl>
    <w:lvl w:ilvl="6" w:tentative="1">
      <w:start w:val="1"/>
      <w:numFmt w:val="decimal"/>
      <w:lvlText w:val="%7."/>
      <w:lvlJc w:val="left"/>
      <w:pPr>
        <w:ind w:left="5184" w:hanging="360"/>
      </w:pPr>
    </w:lvl>
    <w:lvl w:ilvl="7" w:tentative="1">
      <w:start w:val="1"/>
      <w:numFmt w:val="lowerLetter"/>
      <w:lvlText w:val="%8."/>
      <w:lvlJc w:val="left"/>
      <w:pPr>
        <w:ind w:left="5904" w:hanging="360"/>
      </w:pPr>
    </w:lvl>
    <w:lvl w:ilvl="8" w:tentative="1">
      <w:start w:val="1"/>
      <w:numFmt w:val="lowerRoman"/>
      <w:lvlText w:val="%9."/>
      <w:lvlJc w:val="right"/>
      <w:pPr>
        <w:ind w:left="6624" w:hanging="180"/>
      </w:pPr>
    </w:lvl>
  </w:abstractNum>
  <w:abstractNum w:abstractNumId="1">
    <w:nsid w:val="019E3D94"/>
    <w:multiLevelType w:val="hybridMultilevel"/>
    <w:tmpl w:val="283E2C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48471B9"/>
    <w:multiLevelType w:val="hybridMultilevel"/>
    <w:tmpl w:val="1B8ACA6A"/>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8A4739D"/>
    <w:multiLevelType w:val="hybridMultilevel"/>
    <w:tmpl w:val="41A6C83E"/>
    <w:lvl w:ilvl="0">
      <w:start w:val="1"/>
      <w:numFmt w:val="upperRoman"/>
      <w:lvlText w:val="%1."/>
      <w:lvlJc w:val="right"/>
      <w:pPr>
        <w:ind w:left="864" w:hanging="360"/>
      </w:pPr>
    </w:lvl>
    <w:lvl w:ilvl="1" w:tentative="1">
      <w:start w:val="1"/>
      <w:numFmt w:val="lowerLetter"/>
      <w:lvlText w:val="%2."/>
      <w:lvlJc w:val="left"/>
      <w:pPr>
        <w:ind w:left="1584" w:hanging="360"/>
      </w:pPr>
    </w:lvl>
    <w:lvl w:ilvl="2" w:tentative="1">
      <w:start w:val="1"/>
      <w:numFmt w:val="lowerRoman"/>
      <w:lvlText w:val="%3."/>
      <w:lvlJc w:val="right"/>
      <w:pPr>
        <w:ind w:left="2304" w:hanging="180"/>
      </w:pPr>
    </w:lvl>
    <w:lvl w:ilvl="3" w:tentative="1">
      <w:start w:val="1"/>
      <w:numFmt w:val="decimal"/>
      <w:lvlText w:val="%4."/>
      <w:lvlJc w:val="left"/>
      <w:pPr>
        <w:ind w:left="3024" w:hanging="360"/>
      </w:pPr>
    </w:lvl>
    <w:lvl w:ilvl="4" w:tentative="1">
      <w:start w:val="1"/>
      <w:numFmt w:val="lowerLetter"/>
      <w:lvlText w:val="%5."/>
      <w:lvlJc w:val="left"/>
      <w:pPr>
        <w:ind w:left="3744" w:hanging="360"/>
      </w:pPr>
    </w:lvl>
    <w:lvl w:ilvl="5" w:tentative="1">
      <w:start w:val="1"/>
      <w:numFmt w:val="lowerRoman"/>
      <w:lvlText w:val="%6."/>
      <w:lvlJc w:val="right"/>
      <w:pPr>
        <w:ind w:left="4464" w:hanging="180"/>
      </w:pPr>
    </w:lvl>
    <w:lvl w:ilvl="6" w:tentative="1">
      <w:start w:val="1"/>
      <w:numFmt w:val="decimal"/>
      <w:lvlText w:val="%7."/>
      <w:lvlJc w:val="left"/>
      <w:pPr>
        <w:ind w:left="5184" w:hanging="360"/>
      </w:pPr>
    </w:lvl>
    <w:lvl w:ilvl="7" w:tentative="1">
      <w:start w:val="1"/>
      <w:numFmt w:val="lowerLetter"/>
      <w:lvlText w:val="%8."/>
      <w:lvlJc w:val="left"/>
      <w:pPr>
        <w:ind w:left="5904" w:hanging="360"/>
      </w:pPr>
    </w:lvl>
    <w:lvl w:ilvl="8" w:tentative="1">
      <w:start w:val="1"/>
      <w:numFmt w:val="lowerRoman"/>
      <w:lvlText w:val="%9."/>
      <w:lvlJc w:val="right"/>
      <w:pPr>
        <w:ind w:left="6624" w:hanging="180"/>
      </w:pPr>
    </w:lvl>
  </w:abstractNum>
  <w:abstractNum w:abstractNumId="4">
    <w:nsid w:val="2CF73DBC"/>
    <w:multiLevelType w:val="hybridMultilevel"/>
    <w:tmpl w:val="2EFE2DE4"/>
    <w:lvl w:ilvl="0">
      <w:start w:val="1"/>
      <w:numFmt w:val="bullet"/>
      <w:lvlText w:val=""/>
      <w:lvlJc w:val="left"/>
      <w:pPr>
        <w:ind w:left="1008" w:hanging="360"/>
      </w:pPr>
      <w:rPr>
        <w:rFonts w:ascii="Symbol" w:hAnsi="Symbol" w:hint="default"/>
      </w:rPr>
    </w:lvl>
    <w:lvl w:ilvl="1" w:tentative="1">
      <w:start w:val="1"/>
      <w:numFmt w:val="bullet"/>
      <w:lvlText w:val="o"/>
      <w:lvlJc w:val="left"/>
      <w:pPr>
        <w:ind w:left="1728" w:hanging="360"/>
      </w:pPr>
      <w:rPr>
        <w:rFonts w:ascii="Courier New" w:hAnsi="Courier New" w:cs="Courier New" w:hint="default"/>
      </w:rPr>
    </w:lvl>
    <w:lvl w:ilvl="2" w:tentative="1">
      <w:start w:val="1"/>
      <w:numFmt w:val="bullet"/>
      <w:lvlText w:val=""/>
      <w:lvlJc w:val="left"/>
      <w:pPr>
        <w:ind w:left="2448" w:hanging="360"/>
      </w:pPr>
      <w:rPr>
        <w:rFonts w:ascii="Wingdings" w:hAnsi="Wingdings" w:hint="default"/>
      </w:rPr>
    </w:lvl>
    <w:lvl w:ilvl="3" w:tentative="1">
      <w:start w:val="1"/>
      <w:numFmt w:val="bullet"/>
      <w:lvlText w:val=""/>
      <w:lvlJc w:val="left"/>
      <w:pPr>
        <w:ind w:left="3168" w:hanging="360"/>
      </w:pPr>
      <w:rPr>
        <w:rFonts w:ascii="Symbol" w:hAnsi="Symbol" w:hint="default"/>
      </w:rPr>
    </w:lvl>
    <w:lvl w:ilvl="4" w:tentative="1">
      <w:start w:val="1"/>
      <w:numFmt w:val="bullet"/>
      <w:lvlText w:val="o"/>
      <w:lvlJc w:val="left"/>
      <w:pPr>
        <w:ind w:left="3888" w:hanging="360"/>
      </w:pPr>
      <w:rPr>
        <w:rFonts w:ascii="Courier New" w:hAnsi="Courier New" w:cs="Courier New" w:hint="default"/>
      </w:rPr>
    </w:lvl>
    <w:lvl w:ilvl="5" w:tentative="1">
      <w:start w:val="1"/>
      <w:numFmt w:val="bullet"/>
      <w:lvlText w:val=""/>
      <w:lvlJc w:val="left"/>
      <w:pPr>
        <w:ind w:left="4608" w:hanging="360"/>
      </w:pPr>
      <w:rPr>
        <w:rFonts w:ascii="Wingdings" w:hAnsi="Wingdings" w:hint="default"/>
      </w:rPr>
    </w:lvl>
    <w:lvl w:ilvl="6" w:tentative="1">
      <w:start w:val="1"/>
      <w:numFmt w:val="bullet"/>
      <w:lvlText w:val=""/>
      <w:lvlJc w:val="left"/>
      <w:pPr>
        <w:ind w:left="5328" w:hanging="360"/>
      </w:pPr>
      <w:rPr>
        <w:rFonts w:ascii="Symbol" w:hAnsi="Symbol" w:hint="default"/>
      </w:rPr>
    </w:lvl>
    <w:lvl w:ilvl="7" w:tentative="1">
      <w:start w:val="1"/>
      <w:numFmt w:val="bullet"/>
      <w:lvlText w:val="o"/>
      <w:lvlJc w:val="left"/>
      <w:pPr>
        <w:ind w:left="6048" w:hanging="360"/>
      </w:pPr>
      <w:rPr>
        <w:rFonts w:ascii="Courier New" w:hAnsi="Courier New" w:cs="Courier New" w:hint="default"/>
      </w:rPr>
    </w:lvl>
    <w:lvl w:ilvl="8" w:tentative="1">
      <w:start w:val="1"/>
      <w:numFmt w:val="bullet"/>
      <w:lvlText w:val=""/>
      <w:lvlJc w:val="left"/>
      <w:pPr>
        <w:ind w:left="6768" w:hanging="360"/>
      </w:pPr>
      <w:rPr>
        <w:rFonts w:ascii="Wingdings" w:hAnsi="Wingdings" w:hint="default"/>
      </w:rPr>
    </w:lvl>
  </w:abstractNum>
  <w:abstractNum w:abstractNumId="5">
    <w:nsid w:val="3CAE13B3"/>
    <w:multiLevelType w:val="hybridMultilevel"/>
    <w:tmpl w:val="D82A647A"/>
    <w:lvl w:ilvl="0">
      <w:start w:val="1"/>
      <w:numFmt w:val="upperRoman"/>
      <w:lvlText w:val="%1."/>
      <w:lvlJc w:val="right"/>
      <w:pPr>
        <w:ind w:left="1008" w:hanging="360"/>
      </w:pPr>
    </w:lvl>
    <w:lvl w:ilvl="1" w:tentative="1">
      <w:start w:val="1"/>
      <w:numFmt w:val="lowerLetter"/>
      <w:lvlText w:val="%2."/>
      <w:lvlJc w:val="left"/>
      <w:pPr>
        <w:ind w:left="1728" w:hanging="360"/>
      </w:pPr>
    </w:lvl>
    <w:lvl w:ilvl="2" w:tentative="1">
      <w:start w:val="1"/>
      <w:numFmt w:val="lowerRoman"/>
      <w:lvlText w:val="%3."/>
      <w:lvlJc w:val="right"/>
      <w:pPr>
        <w:ind w:left="2448" w:hanging="180"/>
      </w:pPr>
    </w:lvl>
    <w:lvl w:ilvl="3" w:tentative="1">
      <w:start w:val="1"/>
      <w:numFmt w:val="decimal"/>
      <w:lvlText w:val="%4."/>
      <w:lvlJc w:val="left"/>
      <w:pPr>
        <w:ind w:left="3168" w:hanging="360"/>
      </w:pPr>
    </w:lvl>
    <w:lvl w:ilvl="4" w:tentative="1">
      <w:start w:val="1"/>
      <w:numFmt w:val="lowerLetter"/>
      <w:lvlText w:val="%5."/>
      <w:lvlJc w:val="left"/>
      <w:pPr>
        <w:ind w:left="3888" w:hanging="360"/>
      </w:pPr>
    </w:lvl>
    <w:lvl w:ilvl="5" w:tentative="1">
      <w:start w:val="1"/>
      <w:numFmt w:val="lowerRoman"/>
      <w:lvlText w:val="%6."/>
      <w:lvlJc w:val="right"/>
      <w:pPr>
        <w:ind w:left="4608" w:hanging="180"/>
      </w:pPr>
    </w:lvl>
    <w:lvl w:ilvl="6" w:tentative="1">
      <w:start w:val="1"/>
      <w:numFmt w:val="decimal"/>
      <w:lvlText w:val="%7."/>
      <w:lvlJc w:val="left"/>
      <w:pPr>
        <w:ind w:left="5328" w:hanging="360"/>
      </w:pPr>
    </w:lvl>
    <w:lvl w:ilvl="7" w:tentative="1">
      <w:start w:val="1"/>
      <w:numFmt w:val="lowerLetter"/>
      <w:lvlText w:val="%8."/>
      <w:lvlJc w:val="left"/>
      <w:pPr>
        <w:ind w:left="6048" w:hanging="360"/>
      </w:pPr>
    </w:lvl>
    <w:lvl w:ilvl="8" w:tentative="1">
      <w:start w:val="1"/>
      <w:numFmt w:val="lowerRoman"/>
      <w:lvlText w:val="%9."/>
      <w:lvlJc w:val="right"/>
      <w:pPr>
        <w:ind w:left="6768" w:hanging="180"/>
      </w:pPr>
    </w:lvl>
  </w:abstractNum>
  <w:abstractNum w:abstractNumId="6">
    <w:nsid w:val="462706B9"/>
    <w:multiLevelType w:val="hybridMultilevel"/>
    <w:tmpl w:val="082029A8"/>
    <w:lvl w:ilvl="0">
      <w:start w:val="1"/>
      <w:numFmt w:val="decimal"/>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4638109E"/>
    <w:multiLevelType w:val="hybridMultilevel"/>
    <w:tmpl w:val="8A5ED2FA"/>
    <w:lvl w:ilvl="0">
      <w:start w:val="1"/>
      <w:numFmt w:val="decimal"/>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64BA7BDF"/>
    <w:multiLevelType w:val="hybridMultilevel"/>
    <w:tmpl w:val="647C5966"/>
    <w:lvl w:ilvl="0">
      <w:start w:val="1"/>
      <w:numFmt w:val="decimal"/>
      <w:lvlText w:val="%1)"/>
      <w:lvlJc w:val="left"/>
      <w:pPr>
        <w:ind w:left="720" w:hanging="360"/>
      </w:pPr>
      <w:rPr>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A4E734A"/>
    <w:multiLevelType w:val="hybridMultilevel"/>
    <w:tmpl w:val="0FFEEAB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0E2594A"/>
    <w:multiLevelType w:val="hybridMultilevel"/>
    <w:tmpl w:val="052839E8"/>
    <w:lvl w:ilvl="0">
      <w:start w:val="1"/>
      <w:numFmt w:val="upperRoman"/>
      <w:lvlText w:val="%1."/>
      <w:lvlJc w:val="right"/>
      <w:pPr>
        <w:ind w:left="288" w:hanging="144"/>
      </w:pPr>
      <w:rPr>
        <w:rFonts w:asciiTheme="minorHAnsi" w:hAnsiTheme="minorHAnsi" w:cstheme="minorHAnsi" w:hint="default"/>
        <w:b/>
        <w:sz w:val="22"/>
        <w:szCs w:val="22"/>
      </w:rPr>
    </w:lvl>
    <w:lvl w:ilvl="1">
      <w:start w:val="1"/>
      <w:numFmt w:val="decimal"/>
      <w:lvlText w:val="%2."/>
      <w:lvlJc w:val="left"/>
      <w:pPr>
        <w:ind w:left="936" w:hanging="216"/>
      </w:pPr>
      <w:rPr>
        <w:rFonts w:hint="default"/>
        <w:b/>
        <w:vertAlign w:val="baseline"/>
      </w:rPr>
    </w:lvl>
    <w:lvl w:ilvl="2">
      <w:start w:val="1"/>
      <w:numFmt w:val="lowerRoman"/>
      <w:lvlText w:val="%3."/>
      <w:lvlJc w:val="right"/>
      <w:pPr>
        <w:ind w:left="2304" w:hanging="180"/>
      </w:pPr>
    </w:lvl>
    <w:lvl w:ilvl="3" w:tentative="1">
      <w:start w:val="1"/>
      <w:numFmt w:val="decimal"/>
      <w:lvlText w:val="%4."/>
      <w:lvlJc w:val="left"/>
      <w:pPr>
        <w:ind w:left="3024" w:hanging="360"/>
      </w:pPr>
    </w:lvl>
    <w:lvl w:ilvl="4" w:tentative="1">
      <w:start w:val="1"/>
      <w:numFmt w:val="lowerLetter"/>
      <w:lvlText w:val="%5."/>
      <w:lvlJc w:val="left"/>
      <w:pPr>
        <w:ind w:left="3744" w:hanging="360"/>
      </w:pPr>
    </w:lvl>
    <w:lvl w:ilvl="5" w:tentative="1">
      <w:start w:val="1"/>
      <w:numFmt w:val="lowerRoman"/>
      <w:lvlText w:val="%6."/>
      <w:lvlJc w:val="right"/>
      <w:pPr>
        <w:ind w:left="4464" w:hanging="180"/>
      </w:pPr>
    </w:lvl>
    <w:lvl w:ilvl="6" w:tentative="1">
      <w:start w:val="1"/>
      <w:numFmt w:val="decimal"/>
      <w:lvlText w:val="%7."/>
      <w:lvlJc w:val="left"/>
      <w:pPr>
        <w:ind w:left="5184" w:hanging="360"/>
      </w:pPr>
    </w:lvl>
    <w:lvl w:ilvl="7" w:tentative="1">
      <w:start w:val="1"/>
      <w:numFmt w:val="lowerLetter"/>
      <w:lvlText w:val="%8."/>
      <w:lvlJc w:val="left"/>
      <w:pPr>
        <w:ind w:left="5904" w:hanging="360"/>
      </w:pPr>
    </w:lvl>
    <w:lvl w:ilvl="8" w:tentative="1">
      <w:start w:val="1"/>
      <w:numFmt w:val="lowerRoman"/>
      <w:lvlText w:val="%9."/>
      <w:lvlJc w:val="right"/>
      <w:pPr>
        <w:ind w:left="6624" w:hanging="180"/>
      </w:pPr>
    </w:lvl>
  </w:abstractNum>
  <w:abstractNum w:abstractNumId="11">
    <w:nsid w:val="73EB42FC"/>
    <w:multiLevelType w:val="hybridMultilevel"/>
    <w:tmpl w:val="839A1CB8"/>
    <w:lvl w:ilvl="0">
      <w:start w:val="1"/>
      <w:numFmt w:val="upperRoman"/>
      <w:lvlText w:val="%1."/>
      <w:lvlJc w:val="right"/>
      <w:pPr>
        <w:ind w:left="288" w:hanging="144"/>
      </w:pPr>
      <w:rPr>
        <w:rFonts w:hint="default"/>
        <w:b/>
      </w:rPr>
    </w:lvl>
    <w:lvl w:ilvl="1">
      <w:start w:val="1"/>
      <w:numFmt w:val="decimal"/>
      <w:lvlText w:val="%2."/>
      <w:lvlJc w:val="left"/>
      <w:pPr>
        <w:ind w:left="936" w:hanging="216"/>
      </w:pPr>
      <w:rPr>
        <w:rFonts w:hint="default"/>
        <w:b/>
        <w:vertAlign w:val="baseline"/>
      </w:rPr>
    </w:lvl>
    <w:lvl w:ilvl="2">
      <w:start w:val="1"/>
      <w:numFmt w:val="lowerRoman"/>
      <w:lvlText w:val="%3."/>
      <w:lvlJc w:val="right"/>
      <w:pPr>
        <w:ind w:left="2304" w:hanging="180"/>
      </w:pPr>
    </w:lvl>
    <w:lvl w:ilvl="3" w:tentative="1">
      <w:start w:val="1"/>
      <w:numFmt w:val="decimal"/>
      <w:lvlText w:val="%4."/>
      <w:lvlJc w:val="left"/>
      <w:pPr>
        <w:ind w:left="3024" w:hanging="360"/>
      </w:pPr>
    </w:lvl>
    <w:lvl w:ilvl="4" w:tentative="1">
      <w:start w:val="1"/>
      <w:numFmt w:val="lowerLetter"/>
      <w:lvlText w:val="%5."/>
      <w:lvlJc w:val="left"/>
      <w:pPr>
        <w:ind w:left="3744" w:hanging="360"/>
      </w:pPr>
    </w:lvl>
    <w:lvl w:ilvl="5" w:tentative="1">
      <w:start w:val="1"/>
      <w:numFmt w:val="lowerRoman"/>
      <w:lvlText w:val="%6."/>
      <w:lvlJc w:val="right"/>
      <w:pPr>
        <w:ind w:left="4464" w:hanging="180"/>
      </w:pPr>
    </w:lvl>
    <w:lvl w:ilvl="6" w:tentative="1">
      <w:start w:val="1"/>
      <w:numFmt w:val="decimal"/>
      <w:lvlText w:val="%7."/>
      <w:lvlJc w:val="left"/>
      <w:pPr>
        <w:ind w:left="5184" w:hanging="360"/>
      </w:pPr>
    </w:lvl>
    <w:lvl w:ilvl="7" w:tentative="1">
      <w:start w:val="1"/>
      <w:numFmt w:val="lowerLetter"/>
      <w:lvlText w:val="%8."/>
      <w:lvlJc w:val="left"/>
      <w:pPr>
        <w:ind w:left="5904" w:hanging="360"/>
      </w:pPr>
    </w:lvl>
    <w:lvl w:ilvl="8" w:tentative="1">
      <w:start w:val="1"/>
      <w:numFmt w:val="lowerRoman"/>
      <w:lvlText w:val="%9."/>
      <w:lvlJc w:val="right"/>
      <w:pPr>
        <w:ind w:left="6624" w:hanging="180"/>
      </w:pPr>
    </w:lvl>
  </w:abstractNum>
  <w:abstractNum w:abstractNumId="12">
    <w:nsid w:val="75057FB2"/>
    <w:multiLevelType w:val="hybridMultilevel"/>
    <w:tmpl w:val="5B4CDA5E"/>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75E40BF6"/>
    <w:multiLevelType w:val="hybridMultilevel"/>
    <w:tmpl w:val="283E3FD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6"/>
  </w:num>
  <w:num w:numId="3">
    <w:abstractNumId w:val="10"/>
  </w:num>
  <w:num w:numId="4">
    <w:abstractNumId w:val="9"/>
  </w:num>
  <w:num w:numId="5">
    <w:abstractNumId w:val="0"/>
  </w:num>
  <w:num w:numId="6">
    <w:abstractNumId w:val="11"/>
  </w:num>
  <w:num w:numId="7">
    <w:abstractNumId w:val="4"/>
  </w:num>
  <w:num w:numId="8">
    <w:abstractNumId w:val="8"/>
  </w:num>
  <w:num w:numId="9">
    <w:abstractNumId w:val="12"/>
  </w:num>
  <w:num w:numId="10">
    <w:abstractNumId w:val="13"/>
  </w:num>
  <w:num w:numId="11">
    <w:abstractNumId w:val="3"/>
  </w:num>
  <w:num w:numId="12">
    <w:abstractNumId w:val="2"/>
  </w:num>
  <w:num w:numId="13">
    <w:abstractNumId w:val="5"/>
  </w:num>
  <w:num w:numId="14">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390"/>
    <w:rsid w:val="00000A04"/>
    <w:rsid w:val="000014D3"/>
    <w:rsid w:val="000043F9"/>
    <w:rsid w:val="00004CCF"/>
    <w:rsid w:val="00007146"/>
    <w:rsid w:val="00015577"/>
    <w:rsid w:val="00015907"/>
    <w:rsid w:val="00015A17"/>
    <w:rsid w:val="00017DE0"/>
    <w:rsid w:val="000219AC"/>
    <w:rsid w:val="0002495A"/>
    <w:rsid w:val="00026C8D"/>
    <w:rsid w:val="00027DF7"/>
    <w:rsid w:val="00033E51"/>
    <w:rsid w:val="00033EC4"/>
    <w:rsid w:val="00037316"/>
    <w:rsid w:val="0003736E"/>
    <w:rsid w:val="00040081"/>
    <w:rsid w:val="00045D57"/>
    <w:rsid w:val="0005654A"/>
    <w:rsid w:val="00062EC4"/>
    <w:rsid w:val="00065525"/>
    <w:rsid w:val="00075022"/>
    <w:rsid w:val="00080D06"/>
    <w:rsid w:val="00081AF1"/>
    <w:rsid w:val="00082009"/>
    <w:rsid w:val="00084D98"/>
    <w:rsid w:val="00091034"/>
    <w:rsid w:val="000942B4"/>
    <w:rsid w:val="00097B81"/>
    <w:rsid w:val="000A0569"/>
    <w:rsid w:val="000A0AA5"/>
    <w:rsid w:val="000A24C2"/>
    <w:rsid w:val="000A60A2"/>
    <w:rsid w:val="000A786E"/>
    <w:rsid w:val="000B235C"/>
    <w:rsid w:val="000B51A2"/>
    <w:rsid w:val="000B6EB8"/>
    <w:rsid w:val="000C13CB"/>
    <w:rsid w:val="000C4162"/>
    <w:rsid w:val="000C444A"/>
    <w:rsid w:val="000C468F"/>
    <w:rsid w:val="000C56EB"/>
    <w:rsid w:val="000D04EA"/>
    <w:rsid w:val="000D0CE9"/>
    <w:rsid w:val="000D1074"/>
    <w:rsid w:val="000D175D"/>
    <w:rsid w:val="000D7959"/>
    <w:rsid w:val="000E7136"/>
    <w:rsid w:val="000E7F0F"/>
    <w:rsid w:val="000F7A6C"/>
    <w:rsid w:val="0010029D"/>
    <w:rsid w:val="00102C30"/>
    <w:rsid w:val="00110384"/>
    <w:rsid w:val="00114C2A"/>
    <w:rsid w:val="00117656"/>
    <w:rsid w:val="0012429A"/>
    <w:rsid w:val="00131E86"/>
    <w:rsid w:val="00132CA6"/>
    <w:rsid w:val="00134A1F"/>
    <w:rsid w:val="00135521"/>
    <w:rsid w:val="001360A1"/>
    <w:rsid w:val="00136854"/>
    <w:rsid w:val="00143B8C"/>
    <w:rsid w:val="001546A8"/>
    <w:rsid w:val="00157D1E"/>
    <w:rsid w:val="00173988"/>
    <w:rsid w:val="00173BDC"/>
    <w:rsid w:val="00174FD3"/>
    <w:rsid w:val="0017781B"/>
    <w:rsid w:val="00183580"/>
    <w:rsid w:val="00185E23"/>
    <w:rsid w:val="001874A9"/>
    <w:rsid w:val="00191BC8"/>
    <w:rsid w:val="00196CEF"/>
    <w:rsid w:val="00197910"/>
    <w:rsid w:val="001A1046"/>
    <w:rsid w:val="001A34C3"/>
    <w:rsid w:val="001A38B0"/>
    <w:rsid w:val="001A4CF5"/>
    <w:rsid w:val="001B1A4E"/>
    <w:rsid w:val="001B76D2"/>
    <w:rsid w:val="001B794C"/>
    <w:rsid w:val="001C1C37"/>
    <w:rsid w:val="001D611D"/>
    <w:rsid w:val="001D79CA"/>
    <w:rsid w:val="001E36D8"/>
    <w:rsid w:val="001F736D"/>
    <w:rsid w:val="001F7576"/>
    <w:rsid w:val="00200B5A"/>
    <w:rsid w:val="00203109"/>
    <w:rsid w:val="00204921"/>
    <w:rsid w:val="00210378"/>
    <w:rsid w:val="00221A1F"/>
    <w:rsid w:val="00221C3F"/>
    <w:rsid w:val="00226005"/>
    <w:rsid w:val="0022799D"/>
    <w:rsid w:val="002300C0"/>
    <w:rsid w:val="002305CB"/>
    <w:rsid w:val="00231440"/>
    <w:rsid w:val="0023144E"/>
    <w:rsid w:val="00234702"/>
    <w:rsid w:val="00240B63"/>
    <w:rsid w:val="002424A3"/>
    <w:rsid w:val="002453C1"/>
    <w:rsid w:val="00245845"/>
    <w:rsid w:val="00245F76"/>
    <w:rsid w:val="00247E05"/>
    <w:rsid w:val="002553E3"/>
    <w:rsid w:val="0026657E"/>
    <w:rsid w:val="00270C63"/>
    <w:rsid w:val="00271A87"/>
    <w:rsid w:val="00271EA7"/>
    <w:rsid w:val="00273530"/>
    <w:rsid w:val="00274390"/>
    <w:rsid w:val="00276140"/>
    <w:rsid w:val="00277E5C"/>
    <w:rsid w:val="00283616"/>
    <w:rsid w:val="00283DC2"/>
    <w:rsid w:val="00285BA7"/>
    <w:rsid w:val="0029011C"/>
    <w:rsid w:val="00295BCC"/>
    <w:rsid w:val="002A001B"/>
    <w:rsid w:val="002A064E"/>
    <w:rsid w:val="002A17B9"/>
    <w:rsid w:val="002A36F0"/>
    <w:rsid w:val="002A37A1"/>
    <w:rsid w:val="002A3830"/>
    <w:rsid w:val="002B2B85"/>
    <w:rsid w:val="002B2D0F"/>
    <w:rsid w:val="002B2E6B"/>
    <w:rsid w:val="002B4EFF"/>
    <w:rsid w:val="002B58C3"/>
    <w:rsid w:val="002B79E8"/>
    <w:rsid w:val="002C2028"/>
    <w:rsid w:val="002C2DEA"/>
    <w:rsid w:val="002C31D1"/>
    <w:rsid w:val="002C4228"/>
    <w:rsid w:val="002C70D0"/>
    <w:rsid w:val="002C7C6B"/>
    <w:rsid w:val="002E05B5"/>
    <w:rsid w:val="002E2748"/>
    <w:rsid w:val="002E35C8"/>
    <w:rsid w:val="002E447B"/>
    <w:rsid w:val="002F0E8E"/>
    <w:rsid w:val="002F1602"/>
    <w:rsid w:val="002F1EA2"/>
    <w:rsid w:val="002F2A6D"/>
    <w:rsid w:val="002F6F02"/>
    <w:rsid w:val="002F7965"/>
    <w:rsid w:val="00300574"/>
    <w:rsid w:val="0030343E"/>
    <w:rsid w:val="003076C8"/>
    <w:rsid w:val="003121C3"/>
    <w:rsid w:val="00314674"/>
    <w:rsid w:val="00317941"/>
    <w:rsid w:val="00317DBB"/>
    <w:rsid w:val="003213CF"/>
    <w:rsid w:val="00321DA7"/>
    <w:rsid w:val="0032273C"/>
    <w:rsid w:val="00324C8F"/>
    <w:rsid w:val="003301EC"/>
    <w:rsid w:val="00336C7C"/>
    <w:rsid w:val="00337562"/>
    <w:rsid w:val="00345D9E"/>
    <w:rsid w:val="00352DAA"/>
    <w:rsid w:val="003559AD"/>
    <w:rsid w:val="00356A2E"/>
    <w:rsid w:val="00360EE0"/>
    <w:rsid w:val="00361BB0"/>
    <w:rsid w:val="00364483"/>
    <w:rsid w:val="00364AB9"/>
    <w:rsid w:val="0037195C"/>
    <w:rsid w:val="00374F2A"/>
    <w:rsid w:val="00375153"/>
    <w:rsid w:val="0038089C"/>
    <w:rsid w:val="00383823"/>
    <w:rsid w:val="00390938"/>
    <w:rsid w:val="0039357F"/>
    <w:rsid w:val="00393E8F"/>
    <w:rsid w:val="003942DA"/>
    <w:rsid w:val="00394536"/>
    <w:rsid w:val="003959E2"/>
    <w:rsid w:val="003972A6"/>
    <w:rsid w:val="003A0371"/>
    <w:rsid w:val="003A1A78"/>
    <w:rsid w:val="003A5B42"/>
    <w:rsid w:val="003A5D11"/>
    <w:rsid w:val="003A7B46"/>
    <w:rsid w:val="003B7109"/>
    <w:rsid w:val="003C0C71"/>
    <w:rsid w:val="003C311F"/>
    <w:rsid w:val="003C7022"/>
    <w:rsid w:val="003D0FA4"/>
    <w:rsid w:val="003D19DD"/>
    <w:rsid w:val="003F0CB8"/>
    <w:rsid w:val="003F1678"/>
    <w:rsid w:val="003F2003"/>
    <w:rsid w:val="003F7BE7"/>
    <w:rsid w:val="0040053A"/>
    <w:rsid w:val="00401137"/>
    <w:rsid w:val="00401963"/>
    <w:rsid w:val="004019D7"/>
    <w:rsid w:val="004037FB"/>
    <w:rsid w:val="0040419C"/>
    <w:rsid w:val="004054C9"/>
    <w:rsid w:val="0040717D"/>
    <w:rsid w:val="0041430A"/>
    <w:rsid w:val="00420969"/>
    <w:rsid w:val="00422DAE"/>
    <w:rsid w:val="00423B26"/>
    <w:rsid w:val="00430450"/>
    <w:rsid w:val="00432573"/>
    <w:rsid w:val="0043348E"/>
    <w:rsid w:val="00435A80"/>
    <w:rsid w:val="00436670"/>
    <w:rsid w:val="00437BD7"/>
    <w:rsid w:val="00447FAE"/>
    <w:rsid w:val="00451D56"/>
    <w:rsid w:val="004548E1"/>
    <w:rsid w:val="00472250"/>
    <w:rsid w:val="00474322"/>
    <w:rsid w:val="0048149C"/>
    <w:rsid w:val="00481C4D"/>
    <w:rsid w:val="00483602"/>
    <w:rsid w:val="00484882"/>
    <w:rsid w:val="004852B2"/>
    <w:rsid w:val="00485494"/>
    <w:rsid w:val="00485549"/>
    <w:rsid w:val="00485AF6"/>
    <w:rsid w:val="00487683"/>
    <w:rsid w:val="00490450"/>
    <w:rsid w:val="00490DD8"/>
    <w:rsid w:val="00492CAC"/>
    <w:rsid w:val="0049526B"/>
    <w:rsid w:val="004A0130"/>
    <w:rsid w:val="004A3497"/>
    <w:rsid w:val="004B1BD5"/>
    <w:rsid w:val="004B4C1E"/>
    <w:rsid w:val="004B4FC5"/>
    <w:rsid w:val="004B752A"/>
    <w:rsid w:val="004C033C"/>
    <w:rsid w:val="004D0427"/>
    <w:rsid w:val="004E1336"/>
    <w:rsid w:val="004E349C"/>
    <w:rsid w:val="004E3AA5"/>
    <w:rsid w:val="004F28B7"/>
    <w:rsid w:val="004F6107"/>
    <w:rsid w:val="004F68E6"/>
    <w:rsid w:val="004F6A35"/>
    <w:rsid w:val="00500B09"/>
    <w:rsid w:val="0050161A"/>
    <w:rsid w:val="00503CAD"/>
    <w:rsid w:val="00505A92"/>
    <w:rsid w:val="00507619"/>
    <w:rsid w:val="00510DC8"/>
    <w:rsid w:val="00512745"/>
    <w:rsid w:val="00514037"/>
    <w:rsid w:val="00517358"/>
    <w:rsid w:val="00520CE4"/>
    <w:rsid w:val="00520DE2"/>
    <w:rsid w:val="005344B0"/>
    <w:rsid w:val="005370D4"/>
    <w:rsid w:val="00541C59"/>
    <w:rsid w:val="00543F26"/>
    <w:rsid w:val="00545BF5"/>
    <w:rsid w:val="00546AD5"/>
    <w:rsid w:val="00546DEB"/>
    <w:rsid w:val="0055000F"/>
    <w:rsid w:val="00564C6E"/>
    <w:rsid w:val="00565508"/>
    <w:rsid w:val="005656AB"/>
    <w:rsid w:val="00567185"/>
    <w:rsid w:val="005679F5"/>
    <w:rsid w:val="00573A61"/>
    <w:rsid w:val="00574391"/>
    <w:rsid w:val="00576476"/>
    <w:rsid w:val="00576DC0"/>
    <w:rsid w:val="00592A5B"/>
    <w:rsid w:val="005933B0"/>
    <w:rsid w:val="005A2293"/>
    <w:rsid w:val="005A3599"/>
    <w:rsid w:val="005A4A7E"/>
    <w:rsid w:val="005B00D3"/>
    <w:rsid w:val="005B0371"/>
    <w:rsid w:val="005B1234"/>
    <w:rsid w:val="005B2454"/>
    <w:rsid w:val="005B6365"/>
    <w:rsid w:val="005C0FCA"/>
    <w:rsid w:val="005C480E"/>
    <w:rsid w:val="005C6E95"/>
    <w:rsid w:val="005D06F6"/>
    <w:rsid w:val="005D0D74"/>
    <w:rsid w:val="005D24CA"/>
    <w:rsid w:val="005D556E"/>
    <w:rsid w:val="005E2FAC"/>
    <w:rsid w:val="005F262C"/>
    <w:rsid w:val="005F654D"/>
    <w:rsid w:val="005F6EED"/>
    <w:rsid w:val="00606276"/>
    <w:rsid w:val="00610647"/>
    <w:rsid w:val="006110B0"/>
    <w:rsid w:val="00616745"/>
    <w:rsid w:val="0061784B"/>
    <w:rsid w:val="0062048F"/>
    <w:rsid w:val="006253EB"/>
    <w:rsid w:val="00625A2A"/>
    <w:rsid w:val="00626771"/>
    <w:rsid w:val="006309F4"/>
    <w:rsid w:val="00640707"/>
    <w:rsid w:val="00640EDC"/>
    <w:rsid w:val="0064244F"/>
    <w:rsid w:val="00643522"/>
    <w:rsid w:val="00644388"/>
    <w:rsid w:val="006452A6"/>
    <w:rsid w:val="00647982"/>
    <w:rsid w:val="00655E5C"/>
    <w:rsid w:val="00660278"/>
    <w:rsid w:val="00661D00"/>
    <w:rsid w:val="00662CB3"/>
    <w:rsid w:val="00663356"/>
    <w:rsid w:val="00663E21"/>
    <w:rsid w:val="00663EE4"/>
    <w:rsid w:val="0066743E"/>
    <w:rsid w:val="00667621"/>
    <w:rsid w:val="00671734"/>
    <w:rsid w:val="006724AD"/>
    <w:rsid w:val="00673117"/>
    <w:rsid w:val="0067356F"/>
    <w:rsid w:val="00674390"/>
    <w:rsid w:val="006758BA"/>
    <w:rsid w:val="00680E1C"/>
    <w:rsid w:val="00681EE7"/>
    <w:rsid w:val="00683829"/>
    <w:rsid w:val="00685208"/>
    <w:rsid w:val="006A04E5"/>
    <w:rsid w:val="006A4165"/>
    <w:rsid w:val="006B106E"/>
    <w:rsid w:val="006B15A3"/>
    <w:rsid w:val="006B2BC8"/>
    <w:rsid w:val="006B528E"/>
    <w:rsid w:val="006B62ED"/>
    <w:rsid w:val="006B7196"/>
    <w:rsid w:val="006C1F2D"/>
    <w:rsid w:val="006C2A6A"/>
    <w:rsid w:val="006D5522"/>
    <w:rsid w:val="006D5D7C"/>
    <w:rsid w:val="006D6FC6"/>
    <w:rsid w:val="006D72DA"/>
    <w:rsid w:val="006E0E6A"/>
    <w:rsid w:val="006E0F8F"/>
    <w:rsid w:val="006E35A9"/>
    <w:rsid w:val="006E7BBD"/>
    <w:rsid w:val="006F161D"/>
    <w:rsid w:val="00702205"/>
    <w:rsid w:val="0070268E"/>
    <w:rsid w:val="007143B2"/>
    <w:rsid w:val="00723CA6"/>
    <w:rsid w:val="00724924"/>
    <w:rsid w:val="00724D0A"/>
    <w:rsid w:val="00725442"/>
    <w:rsid w:val="0072745C"/>
    <w:rsid w:val="00727BFE"/>
    <w:rsid w:val="007302D9"/>
    <w:rsid w:val="0073262B"/>
    <w:rsid w:val="00733CD3"/>
    <w:rsid w:val="0073548E"/>
    <w:rsid w:val="007372ED"/>
    <w:rsid w:val="00741AB2"/>
    <w:rsid w:val="00743573"/>
    <w:rsid w:val="00744CA7"/>
    <w:rsid w:val="00747B3C"/>
    <w:rsid w:val="00747E61"/>
    <w:rsid w:val="00751716"/>
    <w:rsid w:val="0075598E"/>
    <w:rsid w:val="007559A7"/>
    <w:rsid w:val="00761313"/>
    <w:rsid w:val="007624B4"/>
    <w:rsid w:val="00765DEC"/>
    <w:rsid w:val="0077136C"/>
    <w:rsid w:val="00771CEA"/>
    <w:rsid w:val="007751B6"/>
    <w:rsid w:val="007755C4"/>
    <w:rsid w:val="00777EE6"/>
    <w:rsid w:val="00785183"/>
    <w:rsid w:val="007851CC"/>
    <w:rsid w:val="007957BF"/>
    <w:rsid w:val="007A128A"/>
    <w:rsid w:val="007A38FC"/>
    <w:rsid w:val="007A4109"/>
    <w:rsid w:val="007B1B71"/>
    <w:rsid w:val="007B295F"/>
    <w:rsid w:val="007C2028"/>
    <w:rsid w:val="007C21DC"/>
    <w:rsid w:val="007C345F"/>
    <w:rsid w:val="007C465D"/>
    <w:rsid w:val="007E4392"/>
    <w:rsid w:val="007E56A3"/>
    <w:rsid w:val="007E6326"/>
    <w:rsid w:val="007E6F38"/>
    <w:rsid w:val="007F0605"/>
    <w:rsid w:val="007F09D8"/>
    <w:rsid w:val="007F37B8"/>
    <w:rsid w:val="007F3AFD"/>
    <w:rsid w:val="007F787F"/>
    <w:rsid w:val="00800990"/>
    <w:rsid w:val="008059CA"/>
    <w:rsid w:val="00810004"/>
    <w:rsid w:val="00810DFF"/>
    <w:rsid w:val="00812B8C"/>
    <w:rsid w:val="00814A35"/>
    <w:rsid w:val="008155FB"/>
    <w:rsid w:val="00817B3B"/>
    <w:rsid w:val="00822559"/>
    <w:rsid w:val="0082342D"/>
    <w:rsid w:val="0082557D"/>
    <w:rsid w:val="00827ABD"/>
    <w:rsid w:val="0083003C"/>
    <w:rsid w:val="008330BB"/>
    <w:rsid w:val="008339E6"/>
    <w:rsid w:val="008344CB"/>
    <w:rsid w:val="0083794B"/>
    <w:rsid w:val="00845710"/>
    <w:rsid w:val="00851002"/>
    <w:rsid w:val="00852646"/>
    <w:rsid w:val="008570E8"/>
    <w:rsid w:val="008660E6"/>
    <w:rsid w:val="0086796D"/>
    <w:rsid w:val="008708E4"/>
    <w:rsid w:val="00872436"/>
    <w:rsid w:val="008816A0"/>
    <w:rsid w:val="00882761"/>
    <w:rsid w:val="008829E5"/>
    <w:rsid w:val="0088545C"/>
    <w:rsid w:val="00890275"/>
    <w:rsid w:val="00892878"/>
    <w:rsid w:val="00892ADF"/>
    <w:rsid w:val="008A3594"/>
    <w:rsid w:val="008A6669"/>
    <w:rsid w:val="008B6ADE"/>
    <w:rsid w:val="008B73F4"/>
    <w:rsid w:val="008C475F"/>
    <w:rsid w:val="008D2009"/>
    <w:rsid w:val="008D2F4E"/>
    <w:rsid w:val="008D3E1D"/>
    <w:rsid w:val="008D5D8F"/>
    <w:rsid w:val="008E2413"/>
    <w:rsid w:val="008E2E5B"/>
    <w:rsid w:val="008E64B5"/>
    <w:rsid w:val="008E7FE6"/>
    <w:rsid w:val="008F579D"/>
    <w:rsid w:val="008F5833"/>
    <w:rsid w:val="008F6445"/>
    <w:rsid w:val="008F70BB"/>
    <w:rsid w:val="008F7A5F"/>
    <w:rsid w:val="008F7D0D"/>
    <w:rsid w:val="00902F14"/>
    <w:rsid w:val="0090368F"/>
    <w:rsid w:val="00911375"/>
    <w:rsid w:val="0091208B"/>
    <w:rsid w:val="009125CE"/>
    <w:rsid w:val="009148C6"/>
    <w:rsid w:val="0091656F"/>
    <w:rsid w:val="009170B3"/>
    <w:rsid w:val="00922D6A"/>
    <w:rsid w:val="00926DA7"/>
    <w:rsid w:val="00935462"/>
    <w:rsid w:val="00935539"/>
    <w:rsid w:val="00944849"/>
    <w:rsid w:val="00944D79"/>
    <w:rsid w:val="00947D8F"/>
    <w:rsid w:val="00950D51"/>
    <w:rsid w:val="009575CF"/>
    <w:rsid w:val="00957632"/>
    <w:rsid w:val="00961075"/>
    <w:rsid w:val="0097516E"/>
    <w:rsid w:val="0097535E"/>
    <w:rsid w:val="009771FC"/>
    <w:rsid w:val="00985C7B"/>
    <w:rsid w:val="0099147E"/>
    <w:rsid w:val="00994CB5"/>
    <w:rsid w:val="009A0F5F"/>
    <w:rsid w:val="009A1DEB"/>
    <w:rsid w:val="009A25FB"/>
    <w:rsid w:val="009A520B"/>
    <w:rsid w:val="009A6B93"/>
    <w:rsid w:val="009A73AD"/>
    <w:rsid w:val="009A7B9D"/>
    <w:rsid w:val="009B014E"/>
    <w:rsid w:val="009B4D04"/>
    <w:rsid w:val="009C327C"/>
    <w:rsid w:val="009C778D"/>
    <w:rsid w:val="009D282C"/>
    <w:rsid w:val="009D3EB6"/>
    <w:rsid w:val="009E013E"/>
    <w:rsid w:val="009E4D5C"/>
    <w:rsid w:val="009E6983"/>
    <w:rsid w:val="009F067B"/>
    <w:rsid w:val="009F0A02"/>
    <w:rsid w:val="009F0C65"/>
    <w:rsid w:val="009F1A09"/>
    <w:rsid w:val="009F4850"/>
    <w:rsid w:val="00A04C9A"/>
    <w:rsid w:val="00A14914"/>
    <w:rsid w:val="00A17226"/>
    <w:rsid w:val="00A273A5"/>
    <w:rsid w:val="00A31A4F"/>
    <w:rsid w:val="00A31EC1"/>
    <w:rsid w:val="00A3578A"/>
    <w:rsid w:val="00A4280E"/>
    <w:rsid w:val="00A4637F"/>
    <w:rsid w:val="00A469B3"/>
    <w:rsid w:val="00A46D91"/>
    <w:rsid w:val="00A500B3"/>
    <w:rsid w:val="00A65667"/>
    <w:rsid w:val="00A67BEF"/>
    <w:rsid w:val="00A70EDC"/>
    <w:rsid w:val="00A77CF4"/>
    <w:rsid w:val="00A8224F"/>
    <w:rsid w:val="00A82512"/>
    <w:rsid w:val="00A848DF"/>
    <w:rsid w:val="00A8551E"/>
    <w:rsid w:val="00A9125C"/>
    <w:rsid w:val="00A93E98"/>
    <w:rsid w:val="00A97C7C"/>
    <w:rsid w:val="00AA558D"/>
    <w:rsid w:val="00AB01CE"/>
    <w:rsid w:val="00AB1793"/>
    <w:rsid w:val="00AB3304"/>
    <w:rsid w:val="00AB4ACE"/>
    <w:rsid w:val="00AB74A8"/>
    <w:rsid w:val="00AC0F0A"/>
    <w:rsid w:val="00AC5CDA"/>
    <w:rsid w:val="00AC636E"/>
    <w:rsid w:val="00AD35CC"/>
    <w:rsid w:val="00AE10DB"/>
    <w:rsid w:val="00AE626D"/>
    <w:rsid w:val="00AE6340"/>
    <w:rsid w:val="00AF3E10"/>
    <w:rsid w:val="00AF5D32"/>
    <w:rsid w:val="00B02317"/>
    <w:rsid w:val="00B063D6"/>
    <w:rsid w:val="00B064DE"/>
    <w:rsid w:val="00B06867"/>
    <w:rsid w:val="00B06B50"/>
    <w:rsid w:val="00B0711E"/>
    <w:rsid w:val="00B101C1"/>
    <w:rsid w:val="00B1311F"/>
    <w:rsid w:val="00B23E87"/>
    <w:rsid w:val="00B363B5"/>
    <w:rsid w:val="00B367EF"/>
    <w:rsid w:val="00B4225B"/>
    <w:rsid w:val="00B46DCE"/>
    <w:rsid w:val="00B524B7"/>
    <w:rsid w:val="00B60398"/>
    <w:rsid w:val="00B624EC"/>
    <w:rsid w:val="00B640E2"/>
    <w:rsid w:val="00B67B9B"/>
    <w:rsid w:val="00B74547"/>
    <w:rsid w:val="00B74A4B"/>
    <w:rsid w:val="00B74D69"/>
    <w:rsid w:val="00B74E91"/>
    <w:rsid w:val="00B8384C"/>
    <w:rsid w:val="00B848A3"/>
    <w:rsid w:val="00B8562A"/>
    <w:rsid w:val="00B90262"/>
    <w:rsid w:val="00B90844"/>
    <w:rsid w:val="00B93E24"/>
    <w:rsid w:val="00B93E44"/>
    <w:rsid w:val="00B943DA"/>
    <w:rsid w:val="00B95255"/>
    <w:rsid w:val="00B973D3"/>
    <w:rsid w:val="00BA18D3"/>
    <w:rsid w:val="00BA2CA8"/>
    <w:rsid w:val="00BB0888"/>
    <w:rsid w:val="00BB55D8"/>
    <w:rsid w:val="00BB57ED"/>
    <w:rsid w:val="00BC4B70"/>
    <w:rsid w:val="00BC4BAC"/>
    <w:rsid w:val="00BC5537"/>
    <w:rsid w:val="00BC65D6"/>
    <w:rsid w:val="00BD0855"/>
    <w:rsid w:val="00BD3BD2"/>
    <w:rsid w:val="00BD4844"/>
    <w:rsid w:val="00BD6B9D"/>
    <w:rsid w:val="00BE04C6"/>
    <w:rsid w:val="00BE06C5"/>
    <w:rsid w:val="00BE342B"/>
    <w:rsid w:val="00BE56D3"/>
    <w:rsid w:val="00BE777C"/>
    <w:rsid w:val="00BF134E"/>
    <w:rsid w:val="00BF2926"/>
    <w:rsid w:val="00BF2BF1"/>
    <w:rsid w:val="00BF32FD"/>
    <w:rsid w:val="00BF7C9F"/>
    <w:rsid w:val="00C04C31"/>
    <w:rsid w:val="00C04C8A"/>
    <w:rsid w:val="00C123E8"/>
    <w:rsid w:val="00C3307C"/>
    <w:rsid w:val="00C405F3"/>
    <w:rsid w:val="00C40D65"/>
    <w:rsid w:val="00C44123"/>
    <w:rsid w:val="00C443CA"/>
    <w:rsid w:val="00C45CAE"/>
    <w:rsid w:val="00C511BB"/>
    <w:rsid w:val="00C5430E"/>
    <w:rsid w:val="00C5728E"/>
    <w:rsid w:val="00C5766E"/>
    <w:rsid w:val="00C61626"/>
    <w:rsid w:val="00C61E8D"/>
    <w:rsid w:val="00C64564"/>
    <w:rsid w:val="00C64F14"/>
    <w:rsid w:val="00C679E9"/>
    <w:rsid w:val="00C712A3"/>
    <w:rsid w:val="00C727B5"/>
    <w:rsid w:val="00C7353D"/>
    <w:rsid w:val="00C73FC8"/>
    <w:rsid w:val="00C75F16"/>
    <w:rsid w:val="00C81FE4"/>
    <w:rsid w:val="00C83235"/>
    <w:rsid w:val="00C84993"/>
    <w:rsid w:val="00C92E44"/>
    <w:rsid w:val="00C96FEC"/>
    <w:rsid w:val="00CA3676"/>
    <w:rsid w:val="00CA4106"/>
    <w:rsid w:val="00CA7C1E"/>
    <w:rsid w:val="00CB0366"/>
    <w:rsid w:val="00CB0377"/>
    <w:rsid w:val="00CB2B53"/>
    <w:rsid w:val="00CB70B2"/>
    <w:rsid w:val="00CB7EA8"/>
    <w:rsid w:val="00CC14E5"/>
    <w:rsid w:val="00CC2BF4"/>
    <w:rsid w:val="00CC5C14"/>
    <w:rsid w:val="00CD0B0F"/>
    <w:rsid w:val="00CE0E75"/>
    <w:rsid w:val="00CE1F5E"/>
    <w:rsid w:val="00CE6CCC"/>
    <w:rsid w:val="00CF1384"/>
    <w:rsid w:val="00CF154B"/>
    <w:rsid w:val="00CF339C"/>
    <w:rsid w:val="00CF58C9"/>
    <w:rsid w:val="00CF5E9C"/>
    <w:rsid w:val="00D00D3E"/>
    <w:rsid w:val="00D04926"/>
    <w:rsid w:val="00D06990"/>
    <w:rsid w:val="00D10D49"/>
    <w:rsid w:val="00D17B23"/>
    <w:rsid w:val="00D22559"/>
    <w:rsid w:val="00D235BD"/>
    <w:rsid w:val="00D27909"/>
    <w:rsid w:val="00D35A73"/>
    <w:rsid w:val="00D428B6"/>
    <w:rsid w:val="00D4450C"/>
    <w:rsid w:val="00D459F8"/>
    <w:rsid w:val="00D46499"/>
    <w:rsid w:val="00D53086"/>
    <w:rsid w:val="00D53126"/>
    <w:rsid w:val="00D56DA0"/>
    <w:rsid w:val="00D602AE"/>
    <w:rsid w:val="00D63E8D"/>
    <w:rsid w:val="00D704D6"/>
    <w:rsid w:val="00D707C0"/>
    <w:rsid w:val="00D71554"/>
    <w:rsid w:val="00D81573"/>
    <w:rsid w:val="00D826C6"/>
    <w:rsid w:val="00D832AF"/>
    <w:rsid w:val="00D846F9"/>
    <w:rsid w:val="00D87A3C"/>
    <w:rsid w:val="00D90B74"/>
    <w:rsid w:val="00D91C4A"/>
    <w:rsid w:val="00D924F3"/>
    <w:rsid w:val="00D93703"/>
    <w:rsid w:val="00D94349"/>
    <w:rsid w:val="00DA3CB5"/>
    <w:rsid w:val="00DA3CDF"/>
    <w:rsid w:val="00DB1748"/>
    <w:rsid w:val="00DB3B43"/>
    <w:rsid w:val="00DB4884"/>
    <w:rsid w:val="00DB510E"/>
    <w:rsid w:val="00DB690E"/>
    <w:rsid w:val="00DB6CCC"/>
    <w:rsid w:val="00DC05AD"/>
    <w:rsid w:val="00DC1089"/>
    <w:rsid w:val="00DC1B0D"/>
    <w:rsid w:val="00DC2A4A"/>
    <w:rsid w:val="00DC5898"/>
    <w:rsid w:val="00DC6BB2"/>
    <w:rsid w:val="00DD0E24"/>
    <w:rsid w:val="00DD12BF"/>
    <w:rsid w:val="00DD49C9"/>
    <w:rsid w:val="00DE3D45"/>
    <w:rsid w:val="00DE5707"/>
    <w:rsid w:val="00DF5E3F"/>
    <w:rsid w:val="00E00C5D"/>
    <w:rsid w:val="00E027B4"/>
    <w:rsid w:val="00E1687D"/>
    <w:rsid w:val="00E17027"/>
    <w:rsid w:val="00E211C9"/>
    <w:rsid w:val="00E21290"/>
    <w:rsid w:val="00E229E7"/>
    <w:rsid w:val="00E23C36"/>
    <w:rsid w:val="00E25935"/>
    <w:rsid w:val="00E25D6B"/>
    <w:rsid w:val="00E275F0"/>
    <w:rsid w:val="00E36C52"/>
    <w:rsid w:val="00E41BE1"/>
    <w:rsid w:val="00E43180"/>
    <w:rsid w:val="00E44966"/>
    <w:rsid w:val="00E46F6E"/>
    <w:rsid w:val="00E51FA5"/>
    <w:rsid w:val="00E541A7"/>
    <w:rsid w:val="00E5563D"/>
    <w:rsid w:val="00E5633D"/>
    <w:rsid w:val="00E570DF"/>
    <w:rsid w:val="00E57C0C"/>
    <w:rsid w:val="00E625A4"/>
    <w:rsid w:val="00E6346F"/>
    <w:rsid w:val="00E63C8B"/>
    <w:rsid w:val="00E6475C"/>
    <w:rsid w:val="00E64CF0"/>
    <w:rsid w:val="00E759C9"/>
    <w:rsid w:val="00E837D3"/>
    <w:rsid w:val="00E92329"/>
    <w:rsid w:val="00E923EC"/>
    <w:rsid w:val="00E92538"/>
    <w:rsid w:val="00E938C5"/>
    <w:rsid w:val="00E94514"/>
    <w:rsid w:val="00E94C43"/>
    <w:rsid w:val="00E95AD4"/>
    <w:rsid w:val="00EA191F"/>
    <w:rsid w:val="00EA26A7"/>
    <w:rsid w:val="00EA5309"/>
    <w:rsid w:val="00EA5ECC"/>
    <w:rsid w:val="00EA613C"/>
    <w:rsid w:val="00EB2FE7"/>
    <w:rsid w:val="00EC2238"/>
    <w:rsid w:val="00EC3E53"/>
    <w:rsid w:val="00EC4B30"/>
    <w:rsid w:val="00EC6228"/>
    <w:rsid w:val="00ED1148"/>
    <w:rsid w:val="00ED2110"/>
    <w:rsid w:val="00ED2ADA"/>
    <w:rsid w:val="00ED3C88"/>
    <w:rsid w:val="00ED47F9"/>
    <w:rsid w:val="00ED7514"/>
    <w:rsid w:val="00EE1FDF"/>
    <w:rsid w:val="00EE28AF"/>
    <w:rsid w:val="00EE29D6"/>
    <w:rsid w:val="00EE2CB6"/>
    <w:rsid w:val="00EE553B"/>
    <w:rsid w:val="00EE6A4E"/>
    <w:rsid w:val="00EF26A6"/>
    <w:rsid w:val="00EF48B3"/>
    <w:rsid w:val="00EF5481"/>
    <w:rsid w:val="00EF6355"/>
    <w:rsid w:val="00F0271E"/>
    <w:rsid w:val="00F03BF9"/>
    <w:rsid w:val="00F04414"/>
    <w:rsid w:val="00F07501"/>
    <w:rsid w:val="00F1285F"/>
    <w:rsid w:val="00F15E60"/>
    <w:rsid w:val="00F160E2"/>
    <w:rsid w:val="00F23AEC"/>
    <w:rsid w:val="00F23E2F"/>
    <w:rsid w:val="00F23ED9"/>
    <w:rsid w:val="00F310E1"/>
    <w:rsid w:val="00F31DF4"/>
    <w:rsid w:val="00F42A17"/>
    <w:rsid w:val="00F44D56"/>
    <w:rsid w:val="00F46766"/>
    <w:rsid w:val="00F477A0"/>
    <w:rsid w:val="00F52A2C"/>
    <w:rsid w:val="00F52F1F"/>
    <w:rsid w:val="00F53E91"/>
    <w:rsid w:val="00F541D8"/>
    <w:rsid w:val="00F54310"/>
    <w:rsid w:val="00F570E4"/>
    <w:rsid w:val="00F57C33"/>
    <w:rsid w:val="00F61CC6"/>
    <w:rsid w:val="00F6302B"/>
    <w:rsid w:val="00F640D2"/>
    <w:rsid w:val="00F65E29"/>
    <w:rsid w:val="00F66015"/>
    <w:rsid w:val="00F67D8C"/>
    <w:rsid w:val="00F70497"/>
    <w:rsid w:val="00F70E2D"/>
    <w:rsid w:val="00F731E8"/>
    <w:rsid w:val="00F754AA"/>
    <w:rsid w:val="00F75AA0"/>
    <w:rsid w:val="00F7600C"/>
    <w:rsid w:val="00F82986"/>
    <w:rsid w:val="00F84B4F"/>
    <w:rsid w:val="00F8583B"/>
    <w:rsid w:val="00F87558"/>
    <w:rsid w:val="00F921B9"/>
    <w:rsid w:val="00F9317C"/>
    <w:rsid w:val="00F93945"/>
    <w:rsid w:val="00F9467B"/>
    <w:rsid w:val="00F95AB2"/>
    <w:rsid w:val="00F95B55"/>
    <w:rsid w:val="00FA1B2D"/>
    <w:rsid w:val="00FA3A7B"/>
    <w:rsid w:val="00FB3DD0"/>
    <w:rsid w:val="00FB7EFB"/>
    <w:rsid w:val="00FC0610"/>
    <w:rsid w:val="00FC11F0"/>
    <w:rsid w:val="00FC1E08"/>
    <w:rsid w:val="00FC2A4B"/>
    <w:rsid w:val="00FC6B36"/>
    <w:rsid w:val="00FD2434"/>
    <w:rsid w:val="00FD5E50"/>
    <w:rsid w:val="00FD67D5"/>
    <w:rsid w:val="00FD7559"/>
    <w:rsid w:val="00FE280D"/>
    <w:rsid w:val="00FE740D"/>
    <w:rsid w:val="00FF4237"/>
    <w:rsid w:val="00FF4BF0"/>
    <w:rsid w:val="00FF5262"/>
    <w:rsid w:val="00FF53E7"/>
    <w:rsid w:val="00FF6170"/>
    <w:rsid w:val="00FF7702"/>
    <w:rsid w:val="5268B949"/>
    <w:rsid w:val="5CFC60C4"/>
    <w:rsid w:val="5E33F109"/>
  </w:rsids>
  <m:mathPr>
    <m:mathFont m:val="Cambria Math"/>
  </m:mathPr>
  <w:themeFontLang w:val="en-US" w:bidi="th-TH"/>
  <w:clrSchemeMapping w:bg1="light1" w:t1="dark1" w:bg2="light2" w:t2="dark2" w:accent1="accent1" w:accent2="accent2" w:accent3="accent3" w:accent4="accent4" w:accent5="accent5" w:accent6="accent6" w:hyperlink="hyperlink" w:followedHyperlink="followedHyperlink"/>
  <w14:docId w14:val="69B1219E"/>
  <w15:chartTrackingRefBased/>
  <w15:docId w15:val="{109368BF-C00D-4EEC-853E-6D0FAF8C5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1"/>
    <w:lsdException w:name="Medium Grid 1 Accent 1" w:uiPriority="67"/>
    <w:lsdException w:name="Medium Grid 2 Accent 1" w:uiPriority="63"/>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9"/>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3304"/>
    <w:pPr>
      <w:spacing w:after="0" w:line="240" w:lineRule="auto"/>
    </w:pPr>
    <w:rPr>
      <w:rFonts w:ascii="Calibri" w:hAnsi="Calibri" w:cs="Times New Roman"/>
    </w:rPr>
  </w:style>
  <w:style w:type="paragraph" w:styleId="Heading1">
    <w:name w:val="heading 1"/>
    <w:basedOn w:val="Normal"/>
    <w:next w:val="Normal"/>
    <w:link w:val="Heading1Char"/>
    <w:autoRedefine/>
    <w:uiPriority w:val="9"/>
    <w:qFormat/>
    <w:rsid w:val="00D93703"/>
    <w:pPr>
      <w:pBdr>
        <w:top w:val="single" w:sz="24" w:space="0" w:color="1F4E79"/>
        <w:left w:val="single" w:sz="24" w:space="0" w:color="1F4E79"/>
        <w:bottom w:val="single" w:sz="24" w:space="0" w:color="1F4E79"/>
        <w:right w:val="single" w:sz="24" w:space="0" w:color="1F4E79"/>
      </w:pBdr>
      <w:shd w:val="clear" w:color="auto" w:fill="1F4E79"/>
      <w:contextualSpacing/>
      <w:outlineLvl w:val="0"/>
    </w:pPr>
    <w:rPr>
      <w:rFonts w:ascii="Times New Roman" w:eastAsia="Times New Roman" w:hAnsi="Times New Roman"/>
      <w:caps/>
      <w:color w:val="FFFFFF"/>
      <w:sz w:val="24"/>
      <w:lang w:val="x-none" w:eastAsia="x-none"/>
    </w:rPr>
  </w:style>
  <w:style w:type="paragraph" w:styleId="Heading2">
    <w:name w:val="heading 2"/>
    <w:basedOn w:val="Normal"/>
    <w:next w:val="Normal"/>
    <w:link w:val="Heading2Char"/>
    <w:autoRedefine/>
    <w:uiPriority w:val="9"/>
    <w:unhideWhenUsed/>
    <w:qFormat/>
    <w:rsid w:val="00DB510E"/>
    <w:pPr>
      <w:pBdr>
        <w:top w:val="single" w:sz="24" w:space="0" w:color="DEEAF6"/>
        <w:left w:val="single" w:sz="24" w:space="0" w:color="DEEAF6"/>
        <w:bottom w:val="single" w:sz="24" w:space="0" w:color="DEEAF6"/>
        <w:right w:val="single" w:sz="24" w:space="0" w:color="DEEAF6"/>
      </w:pBdr>
      <w:shd w:val="clear" w:color="auto" w:fill="DEEAF6"/>
      <w:contextualSpacing/>
      <w:jc w:val="both"/>
      <w:outlineLvl w:val="1"/>
    </w:pPr>
    <w:rPr>
      <w:rFonts w:ascii="Times New Roman" w:eastAsia="Times New Roman" w:hAnsi="Times New Roman"/>
      <w:smallCaps/>
      <w:sz w:val="24"/>
      <w:szCs w:val="20"/>
      <w:lang w:val="x-none" w:eastAsia="x-none"/>
    </w:rPr>
  </w:style>
  <w:style w:type="paragraph" w:styleId="Heading3">
    <w:name w:val="heading 3"/>
    <w:basedOn w:val="Normal"/>
    <w:next w:val="Normal"/>
    <w:link w:val="Heading3Char"/>
    <w:autoRedefine/>
    <w:uiPriority w:val="9"/>
    <w:unhideWhenUsed/>
    <w:qFormat/>
    <w:rsid w:val="00D93703"/>
    <w:pPr>
      <w:pBdr>
        <w:top w:val="single" w:sz="6" w:space="1" w:color="1F4E79"/>
        <w:bottom w:val="single" w:sz="6" w:space="1" w:color="1F4E79"/>
      </w:pBdr>
      <w:contextualSpacing/>
      <w:jc w:val="both"/>
      <w:outlineLvl w:val="2"/>
    </w:pPr>
    <w:rPr>
      <w:rFonts w:ascii="Times New Roman" w:eastAsia="Times New Roman" w:hAnsi="Times New Roman"/>
      <w:color w:val="1F4E79"/>
      <w:sz w:val="24"/>
      <w:szCs w:val="20"/>
      <w:lang w:val="x-none" w:eastAsia="x-none"/>
    </w:rPr>
  </w:style>
  <w:style w:type="paragraph" w:styleId="Heading4">
    <w:name w:val="heading 4"/>
    <w:basedOn w:val="Normal"/>
    <w:next w:val="Normal"/>
    <w:link w:val="Heading4Char"/>
    <w:autoRedefine/>
    <w:uiPriority w:val="9"/>
    <w:unhideWhenUsed/>
    <w:qFormat/>
    <w:rsid w:val="00D93703"/>
    <w:pPr>
      <w:contextualSpacing/>
      <w:jc w:val="both"/>
      <w:outlineLvl w:val="3"/>
    </w:pPr>
    <w:rPr>
      <w:rFonts w:ascii="Times New Roman" w:eastAsia="Times New Roman" w:hAnsi="Times New Roman"/>
      <w:color w:val="9CC2E5"/>
      <w:sz w:val="24"/>
      <w:szCs w:val="20"/>
      <w:lang w:val="x-none" w:eastAsia="x-none"/>
    </w:rPr>
  </w:style>
  <w:style w:type="paragraph" w:styleId="Heading5">
    <w:name w:val="heading 5"/>
    <w:basedOn w:val="Normal"/>
    <w:next w:val="Normal"/>
    <w:link w:val="Heading5Char"/>
    <w:uiPriority w:val="9"/>
    <w:unhideWhenUsed/>
    <w:qFormat/>
    <w:rsid w:val="00D93703"/>
    <w:pPr>
      <w:pBdr>
        <w:bottom w:val="dashed" w:sz="4" w:space="1" w:color="9CC2E5"/>
      </w:pBdr>
      <w:spacing w:before="200"/>
      <w:contextualSpacing/>
      <w:jc w:val="both"/>
      <w:outlineLvl w:val="4"/>
    </w:pPr>
    <w:rPr>
      <w:rFonts w:eastAsia="Times New Roman"/>
      <w:caps/>
      <w:color w:val="9CC2E5"/>
      <w:spacing w:val="10"/>
      <w:sz w:val="20"/>
      <w:szCs w:val="20"/>
      <w:lang w:val="x-none" w:eastAsia="x-none"/>
    </w:rPr>
  </w:style>
  <w:style w:type="paragraph" w:styleId="Heading6">
    <w:name w:val="heading 6"/>
    <w:basedOn w:val="Normal"/>
    <w:next w:val="Normal"/>
    <w:link w:val="Heading6Char"/>
    <w:uiPriority w:val="9"/>
    <w:unhideWhenUsed/>
    <w:qFormat/>
    <w:rsid w:val="00D93703"/>
    <w:pPr>
      <w:pBdr>
        <w:bottom w:val="dotted" w:sz="6" w:space="1" w:color="77113D"/>
      </w:pBdr>
      <w:spacing w:before="200"/>
      <w:contextualSpacing/>
      <w:jc w:val="both"/>
      <w:outlineLvl w:val="5"/>
    </w:pPr>
    <w:rPr>
      <w:rFonts w:eastAsia="Times New Roman"/>
      <w:caps/>
      <w:color w:val="580C2D"/>
      <w:spacing w:val="10"/>
      <w:sz w:val="20"/>
      <w:szCs w:val="20"/>
      <w:lang w:val="x-none" w:eastAsia="x-none"/>
    </w:rPr>
  </w:style>
  <w:style w:type="paragraph" w:styleId="Heading7">
    <w:name w:val="heading 7"/>
    <w:basedOn w:val="Normal"/>
    <w:next w:val="Normal"/>
    <w:link w:val="Heading7Char"/>
    <w:uiPriority w:val="9"/>
    <w:unhideWhenUsed/>
    <w:qFormat/>
    <w:rsid w:val="00D93703"/>
    <w:pPr>
      <w:spacing w:before="200"/>
      <w:contextualSpacing/>
      <w:jc w:val="both"/>
      <w:outlineLvl w:val="6"/>
    </w:pPr>
    <w:rPr>
      <w:rFonts w:eastAsia="Times New Roman"/>
      <w:caps/>
      <w:color w:val="580C2D"/>
      <w:spacing w:val="10"/>
      <w:sz w:val="20"/>
      <w:szCs w:val="20"/>
      <w:lang w:val="x-none" w:eastAsia="x-none"/>
    </w:rPr>
  </w:style>
  <w:style w:type="paragraph" w:styleId="Heading8">
    <w:name w:val="heading 8"/>
    <w:basedOn w:val="Normal"/>
    <w:next w:val="Normal"/>
    <w:link w:val="Heading8Char"/>
    <w:uiPriority w:val="9"/>
    <w:unhideWhenUsed/>
    <w:qFormat/>
    <w:rsid w:val="00D93703"/>
    <w:pPr>
      <w:spacing w:before="200"/>
      <w:contextualSpacing/>
      <w:jc w:val="both"/>
      <w:outlineLvl w:val="7"/>
    </w:pPr>
    <w:rPr>
      <w:rFonts w:eastAsia="Times New Roman"/>
      <w:caps/>
      <w:spacing w:val="10"/>
      <w:sz w:val="18"/>
      <w:szCs w:val="18"/>
      <w:lang w:val="x-none" w:eastAsia="x-none"/>
    </w:rPr>
  </w:style>
  <w:style w:type="paragraph" w:styleId="Heading9">
    <w:name w:val="heading 9"/>
    <w:basedOn w:val="Normal"/>
    <w:next w:val="Normal"/>
    <w:link w:val="Heading9Char"/>
    <w:uiPriority w:val="9"/>
    <w:unhideWhenUsed/>
    <w:qFormat/>
    <w:rsid w:val="00D93703"/>
    <w:pPr>
      <w:spacing w:before="200"/>
      <w:contextualSpacing/>
      <w:jc w:val="both"/>
      <w:outlineLvl w:val="8"/>
    </w:pPr>
    <w:rPr>
      <w:rFonts w:eastAsia="Times New Roman"/>
      <w:i/>
      <w:iCs/>
      <w:caps/>
      <w:spacing w:val="10"/>
      <w:sz w:val="18"/>
      <w:szCs w:val="1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390"/>
    <w:pPr>
      <w:ind w:left="720"/>
    </w:pPr>
  </w:style>
  <w:style w:type="paragraph" w:styleId="BalloonText">
    <w:name w:val="Balloon Text"/>
    <w:basedOn w:val="Normal"/>
    <w:link w:val="BalloonTextChar"/>
    <w:uiPriority w:val="99"/>
    <w:semiHidden/>
    <w:unhideWhenUsed/>
    <w:rsid w:val="004B4F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FC5"/>
    <w:rPr>
      <w:rFonts w:ascii="Segoe UI" w:hAnsi="Segoe UI" w:cs="Segoe UI"/>
      <w:sz w:val="18"/>
      <w:szCs w:val="18"/>
    </w:rPr>
  </w:style>
  <w:style w:type="table" w:styleId="TableGrid">
    <w:name w:val="Table Grid"/>
    <w:basedOn w:val="TableNormal"/>
    <w:uiPriority w:val="59"/>
    <w:rsid w:val="00833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6DCE"/>
    <w:pPr>
      <w:tabs>
        <w:tab w:val="center" w:pos="4680"/>
        <w:tab w:val="right" w:pos="9360"/>
      </w:tabs>
    </w:pPr>
  </w:style>
  <w:style w:type="character" w:customStyle="1" w:styleId="HeaderChar">
    <w:name w:val="Header Char"/>
    <w:basedOn w:val="DefaultParagraphFont"/>
    <w:link w:val="Header"/>
    <w:uiPriority w:val="99"/>
    <w:rsid w:val="00B46DCE"/>
    <w:rPr>
      <w:rFonts w:ascii="Calibri" w:hAnsi="Calibri" w:cs="Times New Roman"/>
    </w:rPr>
  </w:style>
  <w:style w:type="paragraph" w:styleId="Footer">
    <w:name w:val="footer"/>
    <w:basedOn w:val="Normal"/>
    <w:link w:val="FooterChar"/>
    <w:uiPriority w:val="99"/>
    <w:unhideWhenUsed/>
    <w:rsid w:val="00B46DCE"/>
    <w:pPr>
      <w:tabs>
        <w:tab w:val="center" w:pos="4680"/>
        <w:tab w:val="right" w:pos="9360"/>
      </w:tabs>
    </w:pPr>
  </w:style>
  <w:style w:type="character" w:customStyle="1" w:styleId="FooterChar">
    <w:name w:val="Footer Char"/>
    <w:basedOn w:val="DefaultParagraphFont"/>
    <w:link w:val="Footer"/>
    <w:uiPriority w:val="99"/>
    <w:rsid w:val="00B46DCE"/>
    <w:rPr>
      <w:rFonts w:ascii="Calibri" w:hAnsi="Calibri" w:cs="Times New Roman"/>
    </w:rPr>
  </w:style>
  <w:style w:type="character" w:styleId="Hyperlink">
    <w:name w:val="Hyperlink"/>
    <w:uiPriority w:val="99"/>
    <w:rsid w:val="00447FAE"/>
    <w:rPr>
      <w:color w:val="0000FF"/>
      <w:u w:val="single"/>
    </w:rPr>
  </w:style>
  <w:style w:type="paragraph" w:styleId="FootnoteText">
    <w:name w:val="footnote text"/>
    <w:aliases w:val="F1"/>
    <w:basedOn w:val="Normal"/>
    <w:link w:val="FootnoteTextChar"/>
    <w:uiPriority w:val="99"/>
    <w:unhideWhenUsed/>
    <w:rsid w:val="005A4A7E"/>
    <w:rPr>
      <w:sz w:val="20"/>
      <w:szCs w:val="20"/>
    </w:rPr>
  </w:style>
  <w:style w:type="character" w:customStyle="1" w:styleId="FootnoteTextChar">
    <w:name w:val="Footnote Text Char"/>
    <w:aliases w:val="F1 Char"/>
    <w:basedOn w:val="DefaultParagraphFont"/>
    <w:link w:val="FootnoteText"/>
    <w:uiPriority w:val="99"/>
    <w:rsid w:val="005A4A7E"/>
    <w:rPr>
      <w:rFonts w:ascii="Calibri" w:hAnsi="Calibri" w:cs="Times New Roman"/>
      <w:sz w:val="20"/>
      <w:szCs w:val="20"/>
    </w:rPr>
  </w:style>
  <w:style w:type="character" w:styleId="FootnoteReference">
    <w:name w:val="footnote reference"/>
    <w:basedOn w:val="DefaultParagraphFont"/>
    <w:uiPriority w:val="99"/>
    <w:unhideWhenUsed/>
    <w:rsid w:val="005A4A7E"/>
    <w:rPr>
      <w:vertAlign w:val="superscript"/>
    </w:rPr>
  </w:style>
  <w:style w:type="character" w:styleId="CommentReference">
    <w:name w:val="annotation reference"/>
    <w:basedOn w:val="DefaultParagraphFont"/>
    <w:uiPriority w:val="99"/>
    <w:semiHidden/>
    <w:unhideWhenUsed/>
    <w:rsid w:val="00F65E29"/>
    <w:rPr>
      <w:sz w:val="16"/>
      <w:szCs w:val="16"/>
    </w:rPr>
  </w:style>
  <w:style w:type="paragraph" w:styleId="CommentText">
    <w:name w:val="annotation text"/>
    <w:basedOn w:val="Normal"/>
    <w:link w:val="CommentTextChar"/>
    <w:uiPriority w:val="99"/>
    <w:unhideWhenUsed/>
    <w:rsid w:val="00F65E29"/>
    <w:rPr>
      <w:sz w:val="20"/>
      <w:szCs w:val="20"/>
    </w:rPr>
  </w:style>
  <w:style w:type="character" w:customStyle="1" w:styleId="CommentTextChar">
    <w:name w:val="Comment Text Char"/>
    <w:basedOn w:val="DefaultParagraphFont"/>
    <w:link w:val="CommentText"/>
    <w:uiPriority w:val="99"/>
    <w:rsid w:val="00F65E29"/>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65E29"/>
    <w:rPr>
      <w:b/>
      <w:bCs/>
    </w:rPr>
  </w:style>
  <w:style w:type="character" w:customStyle="1" w:styleId="CommentSubjectChar">
    <w:name w:val="Comment Subject Char"/>
    <w:basedOn w:val="CommentTextChar"/>
    <w:link w:val="CommentSubject"/>
    <w:uiPriority w:val="99"/>
    <w:semiHidden/>
    <w:rsid w:val="00F65E29"/>
    <w:rPr>
      <w:rFonts w:ascii="Calibri" w:hAnsi="Calibri" w:cs="Times New Roman"/>
      <w:b/>
      <w:bCs/>
      <w:sz w:val="20"/>
      <w:szCs w:val="20"/>
    </w:rPr>
  </w:style>
  <w:style w:type="paragraph" w:customStyle="1" w:styleId="table1">
    <w:name w:val="table1"/>
    <w:basedOn w:val="Normal"/>
    <w:rsid w:val="007A38FC"/>
    <w:pPr>
      <w:tabs>
        <w:tab w:val="left" w:pos="216"/>
        <w:tab w:val="left" w:pos="720"/>
        <w:tab w:val="left" w:pos="1080"/>
        <w:tab w:val="left" w:pos="1440"/>
        <w:tab w:val="left" w:pos="1800"/>
      </w:tabs>
    </w:pPr>
    <w:rPr>
      <w:rFonts w:ascii="Arial Narrow" w:eastAsia="Times New Roman" w:hAnsi="Arial Narrow"/>
      <w:sz w:val="18"/>
      <w:szCs w:val="20"/>
    </w:rPr>
  </w:style>
  <w:style w:type="character" w:customStyle="1" w:styleId="Heading2Char">
    <w:name w:val="Heading 2 Char"/>
    <w:basedOn w:val="DefaultParagraphFont"/>
    <w:link w:val="Heading2"/>
    <w:uiPriority w:val="9"/>
    <w:rsid w:val="00DB510E"/>
    <w:rPr>
      <w:rFonts w:ascii="Times New Roman" w:eastAsia="Times New Roman" w:hAnsi="Times New Roman" w:cs="Times New Roman"/>
      <w:smallCaps/>
      <w:sz w:val="24"/>
      <w:szCs w:val="20"/>
      <w:shd w:val="clear" w:color="auto" w:fill="DEEAF6"/>
      <w:lang w:val="x-none" w:eastAsia="x-none"/>
    </w:rPr>
  </w:style>
  <w:style w:type="paragraph" w:styleId="BodyText">
    <w:name w:val="Body Text"/>
    <w:basedOn w:val="Normal"/>
    <w:link w:val="BodyTextChar"/>
    <w:uiPriority w:val="99"/>
    <w:unhideWhenUsed/>
    <w:rsid w:val="00DB510E"/>
    <w:pPr>
      <w:spacing w:after="120"/>
      <w:contextualSpacing/>
      <w:jc w:val="both"/>
    </w:pPr>
    <w:rPr>
      <w:rFonts w:eastAsia="Times New Roman"/>
      <w:sz w:val="20"/>
      <w:szCs w:val="20"/>
      <w:lang w:val="x-none" w:eastAsia="x-none"/>
    </w:rPr>
  </w:style>
  <w:style w:type="character" w:customStyle="1" w:styleId="BodyTextChar">
    <w:name w:val="Body Text Char"/>
    <w:basedOn w:val="DefaultParagraphFont"/>
    <w:link w:val="BodyText"/>
    <w:uiPriority w:val="99"/>
    <w:rsid w:val="00DB510E"/>
    <w:rPr>
      <w:rFonts w:ascii="Calibri" w:eastAsia="Times New Roman" w:hAnsi="Calibri" w:cs="Times New Roman"/>
      <w:sz w:val="20"/>
      <w:szCs w:val="20"/>
      <w:lang w:val="x-none" w:eastAsia="x-none"/>
    </w:rPr>
  </w:style>
  <w:style w:type="paragraph" w:styleId="Revision">
    <w:name w:val="Revision"/>
    <w:hidden/>
    <w:uiPriority w:val="99"/>
    <w:semiHidden/>
    <w:rsid w:val="007143B2"/>
    <w:pPr>
      <w:spacing w:after="0" w:line="240" w:lineRule="auto"/>
    </w:pPr>
    <w:rPr>
      <w:rFonts w:ascii="Calibri" w:hAnsi="Calibri" w:cs="Times New Roman"/>
    </w:rPr>
  </w:style>
  <w:style w:type="paragraph" w:styleId="BlockText">
    <w:name w:val="Block Text"/>
    <w:basedOn w:val="Normal"/>
    <w:autoRedefine/>
    <w:uiPriority w:val="99"/>
    <w:unhideWhenUsed/>
    <w:qFormat/>
    <w:rsid w:val="00E92538"/>
    <w:pPr>
      <w:spacing w:after="120" w:line="264" w:lineRule="auto"/>
      <w:ind w:left="720"/>
      <w:contextualSpacing/>
      <w:jc w:val="both"/>
    </w:pPr>
    <w:rPr>
      <w:rFonts w:ascii="Times New Roman" w:hAnsi="Times New Roman" w:eastAsiaTheme="minorEastAsia" w:cstheme="minorBidi"/>
      <w:iCs/>
      <w:sz w:val="24"/>
      <w:szCs w:val="20"/>
    </w:rPr>
  </w:style>
  <w:style w:type="table" w:styleId="GridTable5DarkAccent2">
    <w:name w:val="Grid Table 5 Dark Accent 2"/>
    <w:basedOn w:val="TableNormal"/>
    <w:uiPriority w:val="50"/>
    <w:rsid w:val="00E92538"/>
    <w:pPr>
      <w:spacing w:after="0" w:line="240" w:lineRule="auto"/>
    </w:pPr>
    <w:rPr>
      <w:rFonts w:eastAsiaTheme="minorEastAsia"/>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customStyle="1" w:styleId="Default">
    <w:name w:val="Default"/>
    <w:rsid w:val="00E9253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2E05B5"/>
    <w:rPr>
      <w:rFonts w:ascii="Times New Roman" w:hAnsi="Times New Roman"/>
      <w:sz w:val="24"/>
      <w:szCs w:val="24"/>
    </w:rPr>
  </w:style>
  <w:style w:type="paragraph" w:styleId="EndnoteText">
    <w:name w:val="endnote text"/>
    <w:basedOn w:val="Normal"/>
    <w:link w:val="EndnoteTextChar"/>
    <w:uiPriority w:val="99"/>
    <w:unhideWhenUsed/>
    <w:rsid w:val="003C311F"/>
    <w:rPr>
      <w:sz w:val="20"/>
      <w:szCs w:val="20"/>
    </w:rPr>
  </w:style>
  <w:style w:type="character" w:customStyle="1" w:styleId="EndnoteTextChar">
    <w:name w:val="Endnote Text Char"/>
    <w:basedOn w:val="DefaultParagraphFont"/>
    <w:link w:val="EndnoteText"/>
    <w:uiPriority w:val="99"/>
    <w:rsid w:val="003C311F"/>
    <w:rPr>
      <w:rFonts w:ascii="Calibri" w:hAnsi="Calibri" w:cs="Times New Roman"/>
      <w:sz w:val="20"/>
      <w:szCs w:val="20"/>
    </w:rPr>
  </w:style>
  <w:style w:type="character" w:styleId="EndnoteReference">
    <w:name w:val="endnote reference"/>
    <w:basedOn w:val="DefaultParagraphFont"/>
    <w:uiPriority w:val="99"/>
    <w:unhideWhenUsed/>
    <w:rsid w:val="003C311F"/>
    <w:rPr>
      <w:vertAlign w:val="superscript"/>
    </w:rPr>
  </w:style>
  <w:style w:type="character" w:customStyle="1" w:styleId="Heading1Char">
    <w:name w:val="Heading 1 Char"/>
    <w:basedOn w:val="DefaultParagraphFont"/>
    <w:link w:val="Heading1"/>
    <w:uiPriority w:val="9"/>
    <w:rsid w:val="00D93703"/>
    <w:rPr>
      <w:rFonts w:ascii="Times New Roman" w:eastAsia="Times New Roman" w:hAnsi="Times New Roman" w:cs="Times New Roman"/>
      <w:caps/>
      <w:color w:val="FFFFFF"/>
      <w:sz w:val="24"/>
      <w:shd w:val="clear" w:color="auto" w:fill="1F4E79"/>
      <w:lang w:val="x-none" w:eastAsia="x-none"/>
    </w:rPr>
  </w:style>
  <w:style w:type="character" w:customStyle="1" w:styleId="Heading3Char">
    <w:name w:val="Heading 3 Char"/>
    <w:basedOn w:val="DefaultParagraphFont"/>
    <w:link w:val="Heading3"/>
    <w:uiPriority w:val="9"/>
    <w:rsid w:val="00D93703"/>
    <w:rPr>
      <w:rFonts w:ascii="Times New Roman" w:eastAsia="Times New Roman" w:hAnsi="Times New Roman" w:cs="Times New Roman"/>
      <w:color w:val="1F4E79"/>
      <w:sz w:val="24"/>
      <w:szCs w:val="20"/>
      <w:lang w:val="x-none" w:eastAsia="x-none"/>
    </w:rPr>
  </w:style>
  <w:style w:type="character" w:customStyle="1" w:styleId="Heading4Char">
    <w:name w:val="Heading 4 Char"/>
    <w:basedOn w:val="DefaultParagraphFont"/>
    <w:link w:val="Heading4"/>
    <w:uiPriority w:val="9"/>
    <w:rsid w:val="00D93703"/>
    <w:rPr>
      <w:rFonts w:ascii="Times New Roman" w:eastAsia="Times New Roman" w:hAnsi="Times New Roman" w:cs="Times New Roman"/>
      <w:color w:val="9CC2E5"/>
      <w:sz w:val="24"/>
      <w:szCs w:val="20"/>
      <w:lang w:val="x-none" w:eastAsia="x-none"/>
    </w:rPr>
  </w:style>
  <w:style w:type="character" w:customStyle="1" w:styleId="Heading5Char">
    <w:name w:val="Heading 5 Char"/>
    <w:basedOn w:val="DefaultParagraphFont"/>
    <w:link w:val="Heading5"/>
    <w:uiPriority w:val="9"/>
    <w:rsid w:val="00D93703"/>
    <w:rPr>
      <w:rFonts w:ascii="Calibri" w:eastAsia="Times New Roman" w:hAnsi="Calibri" w:cs="Times New Roman"/>
      <w:caps/>
      <w:color w:val="9CC2E5"/>
      <w:spacing w:val="10"/>
      <w:sz w:val="20"/>
      <w:szCs w:val="20"/>
      <w:lang w:val="x-none" w:eastAsia="x-none"/>
    </w:rPr>
  </w:style>
  <w:style w:type="character" w:customStyle="1" w:styleId="Heading6Char">
    <w:name w:val="Heading 6 Char"/>
    <w:basedOn w:val="DefaultParagraphFont"/>
    <w:link w:val="Heading6"/>
    <w:uiPriority w:val="9"/>
    <w:rsid w:val="00D93703"/>
    <w:rPr>
      <w:rFonts w:ascii="Calibri" w:eastAsia="Times New Roman" w:hAnsi="Calibri" w:cs="Times New Roman"/>
      <w:caps/>
      <w:color w:val="580C2D"/>
      <w:spacing w:val="10"/>
      <w:sz w:val="20"/>
      <w:szCs w:val="20"/>
      <w:lang w:val="x-none" w:eastAsia="x-none"/>
    </w:rPr>
  </w:style>
  <w:style w:type="character" w:customStyle="1" w:styleId="Heading7Char">
    <w:name w:val="Heading 7 Char"/>
    <w:basedOn w:val="DefaultParagraphFont"/>
    <w:link w:val="Heading7"/>
    <w:uiPriority w:val="9"/>
    <w:rsid w:val="00D93703"/>
    <w:rPr>
      <w:rFonts w:ascii="Calibri" w:eastAsia="Times New Roman" w:hAnsi="Calibri" w:cs="Times New Roman"/>
      <w:caps/>
      <w:color w:val="580C2D"/>
      <w:spacing w:val="10"/>
      <w:sz w:val="20"/>
      <w:szCs w:val="20"/>
      <w:lang w:val="x-none" w:eastAsia="x-none"/>
    </w:rPr>
  </w:style>
  <w:style w:type="character" w:customStyle="1" w:styleId="Heading8Char">
    <w:name w:val="Heading 8 Char"/>
    <w:basedOn w:val="DefaultParagraphFont"/>
    <w:link w:val="Heading8"/>
    <w:uiPriority w:val="9"/>
    <w:rsid w:val="00D93703"/>
    <w:rPr>
      <w:rFonts w:ascii="Calibri" w:eastAsia="Times New Roman" w:hAnsi="Calibri" w:cs="Times New Roman"/>
      <w:caps/>
      <w:spacing w:val="10"/>
      <w:sz w:val="18"/>
      <w:szCs w:val="18"/>
      <w:lang w:val="x-none" w:eastAsia="x-none"/>
    </w:rPr>
  </w:style>
  <w:style w:type="character" w:customStyle="1" w:styleId="Heading9Char">
    <w:name w:val="Heading 9 Char"/>
    <w:basedOn w:val="DefaultParagraphFont"/>
    <w:link w:val="Heading9"/>
    <w:uiPriority w:val="9"/>
    <w:rsid w:val="00D93703"/>
    <w:rPr>
      <w:rFonts w:ascii="Calibri" w:eastAsia="Times New Roman" w:hAnsi="Calibri" w:cs="Times New Roman"/>
      <w:i/>
      <w:iCs/>
      <w:caps/>
      <w:spacing w:val="10"/>
      <w:sz w:val="18"/>
      <w:szCs w:val="18"/>
      <w:lang w:val="x-none" w:eastAsia="x-none"/>
    </w:rPr>
  </w:style>
  <w:style w:type="table" w:customStyle="1" w:styleId="GridTable4-Accent51">
    <w:name w:val="Grid Table 4 - Accent 51"/>
    <w:basedOn w:val="TableNormal"/>
    <w:uiPriority w:val="49"/>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BodyText2">
    <w:name w:val="Body Text 2"/>
    <w:basedOn w:val="Normal"/>
    <w:link w:val="BodyText2Char"/>
    <w:uiPriority w:val="99"/>
    <w:unhideWhenUsed/>
    <w:rsid w:val="00D93703"/>
    <w:pPr>
      <w:spacing w:after="120" w:line="480" w:lineRule="auto"/>
      <w:contextualSpacing/>
      <w:jc w:val="both"/>
    </w:pPr>
    <w:rPr>
      <w:rFonts w:eastAsia="Times New Roman"/>
      <w:sz w:val="20"/>
      <w:szCs w:val="20"/>
      <w:lang w:val="x-none" w:eastAsia="x-none"/>
    </w:rPr>
  </w:style>
  <w:style w:type="character" w:customStyle="1" w:styleId="BodyText2Char">
    <w:name w:val="Body Text 2 Char"/>
    <w:basedOn w:val="DefaultParagraphFont"/>
    <w:link w:val="BodyText2"/>
    <w:uiPriority w:val="99"/>
    <w:rsid w:val="00D93703"/>
    <w:rPr>
      <w:rFonts w:ascii="Calibri" w:eastAsia="Times New Roman" w:hAnsi="Calibri" w:cs="Times New Roman"/>
      <w:sz w:val="20"/>
      <w:szCs w:val="20"/>
      <w:lang w:val="x-none" w:eastAsia="x-none"/>
    </w:rPr>
  </w:style>
  <w:style w:type="table" w:customStyle="1" w:styleId="GridTable1Light-Accent51">
    <w:name w:val="Grid Table 1 Light - Accent 51"/>
    <w:basedOn w:val="TableNormal"/>
    <w:uiPriority w:val="46"/>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MediumShading2Accent2">
    <w:name w:val="Medium Shading 2 Accent 2"/>
    <w:basedOn w:val="TableNormal"/>
    <w:uiPriority w:val="69"/>
    <w:rsid w:val="00D93703"/>
    <w:pPr>
      <w:spacing w:after="0" w:line="240" w:lineRule="auto"/>
    </w:pPr>
    <w:rPr>
      <w:rFonts w:ascii="Calibri" w:eastAsia="Times New Roman"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List2Accent1">
    <w:name w:val="Medium List 2 Accent 1"/>
    <w:basedOn w:val="TableNormal"/>
    <w:uiPriority w:val="61"/>
    <w:rsid w:val="00D93703"/>
    <w:pPr>
      <w:spacing w:after="0" w:line="240" w:lineRule="auto"/>
    </w:pPr>
    <w:rPr>
      <w:rFonts w:ascii="Calibri" w:eastAsia="Times New Roman" w:hAnsi="Calibri" w:cs="Times New Roman"/>
      <w:sz w:val="20"/>
      <w:szCs w:val="2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MediumGrid2Accent1">
    <w:name w:val="Medium Grid 2 Accent 1"/>
    <w:basedOn w:val="TableNormal"/>
    <w:uiPriority w:val="63"/>
    <w:rsid w:val="00D93703"/>
    <w:pPr>
      <w:spacing w:after="0" w:line="240" w:lineRule="auto"/>
    </w:pPr>
    <w:rPr>
      <w:rFonts w:ascii="Calibri" w:eastAsia="Times New Roman" w:hAnsi="Calibri" w:cs="Times New Roman"/>
      <w:sz w:val="20"/>
      <w:szCs w:val="20"/>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TOCTitle">
    <w:name w:val="TOC Title"/>
    <w:basedOn w:val="Normal"/>
    <w:rsid w:val="00D93703"/>
    <w:pPr>
      <w:contextualSpacing/>
      <w:jc w:val="center"/>
    </w:pPr>
    <w:rPr>
      <w:rFonts w:ascii="Cambria" w:eastAsia="Times New Roman" w:hAnsi="Cambria"/>
      <w:b/>
      <w:sz w:val="24"/>
      <w:szCs w:val="24"/>
    </w:rPr>
  </w:style>
  <w:style w:type="paragraph" w:customStyle="1" w:styleId="Level1">
    <w:name w:val="Level 1"/>
    <w:basedOn w:val="TOC1"/>
    <w:rsid w:val="00D93703"/>
    <w:pPr>
      <w:tabs>
        <w:tab w:val="right" w:pos="8630"/>
      </w:tabs>
      <w:spacing w:before="120"/>
    </w:pPr>
    <w:rPr>
      <w:rFonts w:ascii="Cambria" w:hAnsi="Cambria" w:cs="Calibri"/>
      <w:b/>
      <w:szCs w:val="24"/>
    </w:rPr>
  </w:style>
  <w:style w:type="paragraph" w:customStyle="1" w:styleId="Level2">
    <w:name w:val="Level 2"/>
    <w:basedOn w:val="TOC2"/>
    <w:rsid w:val="00D93703"/>
    <w:pPr>
      <w:tabs>
        <w:tab w:val="right" w:pos="8630"/>
      </w:tabs>
      <w:spacing w:after="0"/>
    </w:pPr>
    <w:rPr>
      <w:rFonts w:ascii="Cambria" w:hAnsi="Cambria" w:cs="Calibri"/>
      <w:b/>
      <w:sz w:val="22"/>
      <w:szCs w:val="22"/>
    </w:rPr>
  </w:style>
  <w:style w:type="paragraph" w:customStyle="1" w:styleId="Level3">
    <w:name w:val="Level 3"/>
    <w:basedOn w:val="TOC3"/>
    <w:rsid w:val="00D93703"/>
    <w:pPr>
      <w:tabs>
        <w:tab w:val="right" w:pos="8630"/>
      </w:tabs>
      <w:spacing w:after="0"/>
    </w:pPr>
    <w:rPr>
      <w:rFonts w:ascii="Cambria" w:hAnsi="Cambria" w:cs="Calibri"/>
      <w:sz w:val="22"/>
      <w:szCs w:val="22"/>
    </w:rPr>
  </w:style>
  <w:style w:type="paragraph" w:styleId="TOC1">
    <w:name w:val="toc 1"/>
    <w:basedOn w:val="Normal"/>
    <w:next w:val="Normal"/>
    <w:autoRedefine/>
    <w:uiPriority w:val="39"/>
    <w:unhideWhenUsed/>
    <w:rsid w:val="00D93703"/>
    <w:pPr>
      <w:tabs>
        <w:tab w:val="right" w:leader="dot" w:pos="9350"/>
      </w:tabs>
      <w:contextualSpacing/>
      <w:jc w:val="both"/>
    </w:pPr>
    <w:rPr>
      <w:rFonts w:ascii="Times New Roman" w:eastAsia="Times New Roman" w:hAnsi="Times New Roman"/>
      <w:sz w:val="24"/>
      <w:szCs w:val="20"/>
    </w:rPr>
  </w:style>
  <w:style w:type="paragraph" w:styleId="TOC2">
    <w:name w:val="toc 2"/>
    <w:basedOn w:val="Normal"/>
    <w:next w:val="Normal"/>
    <w:autoRedefine/>
    <w:uiPriority w:val="39"/>
    <w:unhideWhenUsed/>
    <w:rsid w:val="00D93703"/>
    <w:pPr>
      <w:tabs>
        <w:tab w:val="right" w:leader="dot" w:pos="9350"/>
      </w:tabs>
      <w:spacing w:after="100"/>
      <w:ind w:left="200"/>
      <w:contextualSpacing/>
      <w:jc w:val="both"/>
    </w:pPr>
    <w:rPr>
      <w:rFonts w:ascii="Times New Roman" w:eastAsia="Times New Roman" w:hAnsi="Times New Roman"/>
      <w:sz w:val="24"/>
      <w:szCs w:val="20"/>
    </w:rPr>
  </w:style>
  <w:style w:type="paragraph" w:styleId="TOC3">
    <w:name w:val="toc 3"/>
    <w:basedOn w:val="Normal"/>
    <w:next w:val="Normal"/>
    <w:autoRedefine/>
    <w:uiPriority w:val="39"/>
    <w:unhideWhenUsed/>
    <w:rsid w:val="00D93703"/>
    <w:pPr>
      <w:spacing w:after="100"/>
      <w:ind w:left="400"/>
      <w:contextualSpacing/>
      <w:jc w:val="both"/>
    </w:pPr>
    <w:rPr>
      <w:rFonts w:ascii="Times New Roman" w:eastAsia="Times New Roman" w:hAnsi="Times New Roman"/>
      <w:sz w:val="24"/>
      <w:szCs w:val="20"/>
    </w:rPr>
  </w:style>
  <w:style w:type="paragraph" w:styleId="Caption">
    <w:name w:val="caption"/>
    <w:basedOn w:val="Normal"/>
    <w:next w:val="Normal"/>
    <w:uiPriority w:val="35"/>
    <w:unhideWhenUsed/>
    <w:qFormat/>
    <w:rsid w:val="00D93703"/>
    <w:pPr>
      <w:contextualSpacing/>
      <w:jc w:val="center"/>
    </w:pPr>
    <w:rPr>
      <w:rFonts w:ascii="Times New Roman" w:eastAsia="Times New Roman" w:hAnsi="Times New Roman"/>
      <w:bCs/>
      <w:i/>
      <w:color w:val="0070C0"/>
      <w:sz w:val="20"/>
      <w:szCs w:val="16"/>
    </w:rPr>
  </w:style>
  <w:style w:type="paragraph" w:styleId="Title">
    <w:name w:val="Title"/>
    <w:basedOn w:val="Normal"/>
    <w:next w:val="Normal"/>
    <w:link w:val="TitleChar"/>
    <w:autoRedefine/>
    <w:uiPriority w:val="10"/>
    <w:qFormat/>
    <w:rsid w:val="00D93703"/>
    <w:pPr>
      <w:contextualSpacing/>
      <w:jc w:val="center"/>
    </w:pPr>
    <w:rPr>
      <w:rFonts w:ascii="Times New Roman" w:eastAsia="Times New Roman" w:hAnsi="Times New Roman"/>
      <w:b/>
      <w:caps/>
      <w:color w:val="77113D"/>
      <w:spacing w:val="10"/>
      <w:sz w:val="52"/>
      <w:szCs w:val="52"/>
      <w:lang w:val="x-none" w:eastAsia="x-none"/>
    </w:rPr>
  </w:style>
  <w:style w:type="character" w:customStyle="1" w:styleId="TitleChar">
    <w:name w:val="Title Char"/>
    <w:basedOn w:val="DefaultParagraphFont"/>
    <w:link w:val="Title"/>
    <w:uiPriority w:val="10"/>
    <w:rsid w:val="00D93703"/>
    <w:rPr>
      <w:rFonts w:ascii="Times New Roman" w:eastAsia="Times New Roman" w:hAnsi="Times New Roman" w:cs="Times New Roman"/>
      <w:b/>
      <w:caps/>
      <w:color w:val="77113D"/>
      <w:spacing w:val="10"/>
      <w:sz w:val="52"/>
      <w:szCs w:val="52"/>
      <w:lang w:val="x-none" w:eastAsia="x-none"/>
    </w:rPr>
  </w:style>
  <w:style w:type="paragraph" w:styleId="Subtitle">
    <w:name w:val="Subtitle"/>
    <w:basedOn w:val="Normal"/>
    <w:next w:val="Normal"/>
    <w:link w:val="SubtitleChar"/>
    <w:uiPriority w:val="11"/>
    <w:qFormat/>
    <w:rsid w:val="00D93703"/>
    <w:pPr>
      <w:spacing w:after="500"/>
      <w:contextualSpacing/>
      <w:jc w:val="both"/>
    </w:pPr>
    <w:rPr>
      <w:rFonts w:eastAsia="Times New Roman"/>
      <w:caps/>
      <w:color w:val="595959"/>
      <w:spacing w:val="10"/>
      <w:sz w:val="21"/>
      <w:szCs w:val="21"/>
      <w:lang w:val="x-none" w:eastAsia="x-none"/>
    </w:rPr>
  </w:style>
  <w:style w:type="character" w:customStyle="1" w:styleId="SubtitleChar">
    <w:name w:val="Subtitle Char"/>
    <w:basedOn w:val="DefaultParagraphFont"/>
    <w:link w:val="Subtitle"/>
    <w:uiPriority w:val="11"/>
    <w:rsid w:val="00D93703"/>
    <w:rPr>
      <w:rFonts w:ascii="Calibri" w:eastAsia="Times New Roman" w:hAnsi="Calibri" w:cs="Times New Roman"/>
      <w:caps/>
      <w:color w:val="595959"/>
      <w:spacing w:val="10"/>
      <w:sz w:val="21"/>
      <w:szCs w:val="21"/>
      <w:lang w:val="x-none" w:eastAsia="x-none"/>
    </w:rPr>
  </w:style>
  <w:style w:type="character" w:styleId="Strong">
    <w:name w:val="Strong"/>
    <w:uiPriority w:val="22"/>
    <w:qFormat/>
    <w:rsid w:val="00D93703"/>
    <w:rPr>
      <w:b/>
      <w:bCs/>
    </w:rPr>
  </w:style>
  <w:style w:type="character" w:styleId="Emphasis">
    <w:name w:val="Emphasis"/>
    <w:uiPriority w:val="20"/>
    <w:qFormat/>
    <w:rsid w:val="00D93703"/>
    <w:rPr>
      <w:caps/>
      <w:color w:val="1F4D78"/>
      <w:spacing w:val="5"/>
    </w:rPr>
  </w:style>
  <w:style w:type="paragraph" w:customStyle="1" w:styleId="MediumGrid21">
    <w:name w:val="Medium Grid 21"/>
    <w:rsid w:val="00D93703"/>
    <w:pPr>
      <w:spacing w:before="100" w:after="200" w:line="276" w:lineRule="auto"/>
    </w:pPr>
    <w:rPr>
      <w:rFonts w:ascii="Calibri" w:eastAsia="Times New Roman" w:hAnsi="Calibri" w:cs="Times New Roman"/>
      <w:sz w:val="20"/>
      <w:szCs w:val="20"/>
    </w:rPr>
  </w:style>
  <w:style w:type="character" w:customStyle="1" w:styleId="ColorfulGrid-Accent1Char">
    <w:name w:val="Colorful Grid - Accent 1 Char"/>
    <w:link w:val="ColorfulGridAccent1"/>
    <w:uiPriority w:val="29"/>
    <w:rsid w:val="00D93703"/>
    <w:rPr>
      <w:i/>
      <w:iCs/>
      <w:sz w:val="24"/>
      <w:szCs w:val="24"/>
    </w:rPr>
  </w:style>
  <w:style w:type="character" w:customStyle="1" w:styleId="LightShading-Accent2Char">
    <w:name w:val="Light Shading - Accent 2 Char"/>
    <w:link w:val="LightShadingAccent2"/>
    <w:uiPriority w:val="30"/>
    <w:rsid w:val="00D93703"/>
    <w:rPr>
      <w:color w:val="5B9BD5"/>
      <w:sz w:val="24"/>
      <w:szCs w:val="24"/>
    </w:rPr>
  </w:style>
  <w:style w:type="character" w:customStyle="1" w:styleId="PlainTable31">
    <w:name w:val="Plain Table 31"/>
    <w:uiPriority w:val="19"/>
    <w:qFormat/>
    <w:rsid w:val="00D93703"/>
    <w:rPr>
      <w:i/>
      <w:iCs/>
      <w:color w:val="1F4D78"/>
    </w:rPr>
  </w:style>
  <w:style w:type="character" w:customStyle="1" w:styleId="PlainTable41">
    <w:name w:val="Plain Table 41"/>
    <w:uiPriority w:val="21"/>
    <w:qFormat/>
    <w:rsid w:val="00D93703"/>
    <w:rPr>
      <w:b/>
      <w:bCs/>
      <w:caps/>
      <w:color w:val="1F4D78"/>
      <w:spacing w:val="10"/>
    </w:rPr>
  </w:style>
  <w:style w:type="character" w:customStyle="1" w:styleId="PlainTable51">
    <w:name w:val="Plain Table 51"/>
    <w:uiPriority w:val="31"/>
    <w:qFormat/>
    <w:rsid w:val="00D93703"/>
    <w:rPr>
      <w:b/>
      <w:bCs/>
      <w:color w:val="5B9BD5"/>
    </w:rPr>
  </w:style>
  <w:style w:type="character" w:customStyle="1" w:styleId="TableGridLight1">
    <w:name w:val="Table Grid Light1"/>
    <w:uiPriority w:val="32"/>
    <w:qFormat/>
    <w:rsid w:val="00D93703"/>
    <w:rPr>
      <w:b/>
      <w:bCs/>
      <w:i/>
      <w:iCs/>
      <w:caps/>
      <w:color w:val="5B9BD5"/>
    </w:rPr>
  </w:style>
  <w:style w:type="character" w:customStyle="1" w:styleId="GridTable1Light1">
    <w:name w:val="Grid Table 1 Light1"/>
    <w:uiPriority w:val="33"/>
    <w:qFormat/>
    <w:rsid w:val="00D93703"/>
    <w:rPr>
      <w:b/>
      <w:bCs/>
      <w:i/>
      <w:iCs/>
      <w:spacing w:val="0"/>
    </w:rPr>
  </w:style>
  <w:style w:type="paragraph" w:customStyle="1" w:styleId="GridTable31">
    <w:name w:val="Grid Table 31"/>
    <w:basedOn w:val="Heading1"/>
    <w:next w:val="Normal"/>
    <w:uiPriority w:val="39"/>
    <w:unhideWhenUsed/>
    <w:qFormat/>
    <w:rsid w:val="00D93703"/>
    <w:pPr>
      <w:outlineLvl w:val="9"/>
    </w:pPr>
  </w:style>
  <w:style w:type="table" w:customStyle="1" w:styleId="LightShading-Accent11">
    <w:name w:val="Light Shading - Accent 11"/>
    <w:basedOn w:val="TableNormal"/>
    <w:uiPriority w:val="60"/>
    <w:rsid w:val="00D93703"/>
    <w:pPr>
      <w:spacing w:after="0" w:line="240" w:lineRule="auto"/>
    </w:pPr>
    <w:rPr>
      <w:rFonts w:ascii="Cambria" w:eastAsia="MS Mincho" w:hAnsi="Cambria" w:cs="Times New Roman"/>
      <w:color w:val="365F91"/>
      <w:sz w:val="24"/>
      <w:szCs w:val="24"/>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CM39">
    <w:name w:val="CM39"/>
    <w:basedOn w:val="Normal"/>
    <w:uiPriority w:val="99"/>
    <w:rsid w:val="00D93703"/>
    <w:pPr>
      <w:autoSpaceDE w:val="0"/>
      <w:autoSpaceDN w:val="0"/>
      <w:contextualSpacing/>
      <w:jc w:val="both"/>
    </w:pPr>
    <w:rPr>
      <w:rFonts w:ascii="Arial" w:eastAsia="Calibri" w:hAnsi="Arial" w:cs="Arial"/>
      <w:sz w:val="24"/>
      <w:szCs w:val="24"/>
    </w:rPr>
  </w:style>
  <w:style w:type="paragraph" w:customStyle="1" w:styleId="HTMLBody">
    <w:name w:val="HTML Body"/>
    <w:rsid w:val="00D93703"/>
    <w:pPr>
      <w:autoSpaceDE w:val="0"/>
      <w:autoSpaceDN w:val="0"/>
      <w:adjustRightInd w:val="0"/>
      <w:spacing w:before="100" w:after="200" w:line="276" w:lineRule="auto"/>
    </w:pPr>
    <w:rPr>
      <w:rFonts w:ascii="Arial" w:eastAsia="Times New Roman" w:hAnsi="Arial" w:cs="Times New Roman"/>
      <w:sz w:val="20"/>
      <w:szCs w:val="20"/>
    </w:rPr>
  </w:style>
  <w:style w:type="character" w:customStyle="1" w:styleId="ColorfulList-Accent1Char">
    <w:name w:val="Colorful List - Accent 1 Char"/>
    <w:aliases w:val="Bullet List Char"/>
    <w:link w:val="ColorfulListAccent1"/>
    <w:uiPriority w:val="34"/>
    <w:rsid w:val="00D93703"/>
  </w:style>
  <w:style w:type="paragraph" w:customStyle="1" w:styleId="yiv7546152294msonormal">
    <w:name w:val="yiv7546152294msonormal"/>
    <w:basedOn w:val="Normal"/>
    <w:rsid w:val="00D93703"/>
    <w:pPr>
      <w:spacing w:beforeAutospacing="1" w:after="100" w:afterAutospacing="1"/>
      <w:contextualSpacing/>
      <w:jc w:val="both"/>
    </w:pPr>
    <w:rPr>
      <w:rFonts w:ascii="Times" w:eastAsia="Times New Roman" w:hAnsi="Times"/>
      <w:sz w:val="24"/>
      <w:szCs w:val="20"/>
    </w:rPr>
  </w:style>
  <w:style w:type="paragraph" w:customStyle="1" w:styleId="yiv7546152294msolistparagraph">
    <w:name w:val="yiv7546152294msolistparagraph"/>
    <w:basedOn w:val="Normal"/>
    <w:rsid w:val="00D93703"/>
    <w:pPr>
      <w:spacing w:beforeAutospacing="1" w:after="100" w:afterAutospacing="1"/>
      <w:contextualSpacing/>
      <w:jc w:val="both"/>
    </w:pPr>
    <w:rPr>
      <w:rFonts w:ascii="Times" w:eastAsia="Times New Roman" w:hAnsi="Times"/>
      <w:sz w:val="24"/>
      <w:szCs w:val="20"/>
    </w:rPr>
  </w:style>
  <w:style w:type="character" w:customStyle="1" w:styleId="apple-converted-space">
    <w:name w:val="apple-converted-space"/>
    <w:rsid w:val="00D93703"/>
  </w:style>
  <w:style w:type="character" w:styleId="PageNumber">
    <w:name w:val="page number"/>
    <w:uiPriority w:val="99"/>
    <w:semiHidden/>
    <w:unhideWhenUsed/>
    <w:rsid w:val="00D93703"/>
  </w:style>
  <w:style w:type="paragraph" w:customStyle="1" w:styleId="ReportBodyText">
    <w:name w:val="Report Body Text"/>
    <w:basedOn w:val="ListParagraph"/>
    <w:link w:val="ReportBodyTextChar"/>
    <w:qFormat/>
    <w:rsid w:val="00D93703"/>
    <w:pPr>
      <w:ind w:left="0"/>
      <w:contextualSpacing/>
      <w:jc w:val="both"/>
    </w:pPr>
    <w:rPr>
      <w:rFonts w:ascii="Times New Roman" w:eastAsia="Times New Roman" w:hAnsi="Times New Roman"/>
      <w:sz w:val="24"/>
      <w:szCs w:val="24"/>
      <w:lang w:val="x-none" w:eastAsia="x-none"/>
    </w:rPr>
  </w:style>
  <w:style w:type="character" w:customStyle="1" w:styleId="ReportBodyTextChar">
    <w:name w:val="Report Body Text Char"/>
    <w:link w:val="ReportBodyText"/>
    <w:rsid w:val="00D93703"/>
    <w:rPr>
      <w:rFonts w:ascii="Times New Roman" w:eastAsia="Times New Roman" w:hAnsi="Times New Roman" w:cs="Times New Roman"/>
      <w:sz w:val="24"/>
      <w:szCs w:val="24"/>
      <w:lang w:val="x-none" w:eastAsia="x-none"/>
    </w:rPr>
  </w:style>
  <w:style w:type="character" w:styleId="FollowedHyperlink">
    <w:name w:val="FollowedHyperlink"/>
    <w:uiPriority w:val="99"/>
    <w:semiHidden/>
    <w:unhideWhenUsed/>
    <w:rsid w:val="00D93703"/>
    <w:rPr>
      <w:color w:val="954F72"/>
      <w:u w:val="single"/>
    </w:rPr>
  </w:style>
  <w:style w:type="paragraph" w:styleId="TOCHeading">
    <w:name w:val="TOC Heading"/>
    <w:basedOn w:val="Heading1"/>
    <w:next w:val="Normal"/>
    <w:uiPriority w:val="39"/>
    <w:semiHidden/>
    <w:unhideWhenUsed/>
    <w:qFormat/>
    <w:rsid w:val="00D93703"/>
    <w:pPr>
      <w:pBdr>
        <w:top w:val="single" w:sz="24" w:space="0" w:color="77113D"/>
        <w:left w:val="single" w:sz="24" w:space="0" w:color="77113D"/>
        <w:bottom w:val="single" w:sz="24" w:space="0" w:color="77113D"/>
        <w:right w:val="single" w:sz="24" w:space="0" w:color="77113D"/>
      </w:pBdr>
      <w:shd w:val="clear" w:color="auto" w:fill="77113D"/>
      <w:outlineLvl w:val="9"/>
    </w:pPr>
  </w:style>
  <w:style w:type="table" w:customStyle="1" w:styleId="ListTable3-Accent51">
    <w:name w:val="List Table 3 - Accent 51"/>
    <w:basedOn w:val="TableNormal"/>
    <w:uiPriority w:val="48"/>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styleId="NoSpacing">
    <w:name w:val="No Spacing"/>
    <w:uiPriority w:val="1"/>
    <w:qFormat/>
    <w:rsid w:val="00D93703"/>
    <w:pPr>
      <w:spacing w:before="100" w:after="0" w:line="240" w:lineRule="auto"/>
    </w:pPr>
    <w:rPr>
      <w:rFonts w:ascii="Calibri" w:eastAsia="Times New Roman" w:hAnsi="Calibri" w:cs="Times New Roman"/>
      <w:sz w:val="20"/>
      <w:szCs w:val="20"/>
    </w:rPr>
  </w:style>
  <w:style w:type="paragraph" w:styleId="Quote">
    <w:name w:val="Quote"/>
    <w:basedOn w:val="Normal"/>
    <w:next w:val="Normal"/>
    <w:link w:val="QuoteChar"/>
    <w:uiPriority w:val="29"/>
    <w:qFormat/>
    <w:rsid w:val="00D93703"/>
    <w:pPr>
      <w:spacing w:before="100" w:after="200" w:line="276" w:lineRule="auto"/>
    </w:pPr>
    <w:rPr>
      <w:rFonts w:eastAsia="Times New Roman"/>
      <w:i/>
      <w:iCs/>
      <w:sz w:val="24"/>
      <w:szCs w:val="24"/>
      <w:lang w:val="x-none" w:eastAsia="x-none"/>
    </w:rPr>
  </w:style>
  <w:style w:type="character" w:customStyle="1" w:styleId="QuoteChar">
    <w:name w:val="Quote Char"/>
    <w:basedOn w:val="DefaultParagraphFont"/>
    <w:link w:val="Quote"/>
    <w:uiPriority w:val="29"/>
    <w:rsid w:val="00D93703"/>
    <w:rPr>
      <w:rFonts w:ascii="Calibri" w:eastAsia="Times New Roman" w:hAnsi="Calibri" w:cs="Times New Roman"/>
      <w:i/>
      <w:iCs/>
      <w:sz w:val="24"/>
      <w:szCs w:val="24"/>
      <w:lang w:val="x-none" w:eastAsia="x-none"/>
    </w:rPr>
  </w:style>
  <w:style w:type="character" w:customStyle="1" w:styleId="IntenseQuoteChar">
    <w:name w:val="Intense Quote Char"/>
    <w:uiPriority w:val="30"/>
    <w:rsid w:val="00D93703"/>
    <w:rPr>
      <w:color w:val="5B9BD5"/>
      <w:sz w:val="24"/>
      <w:szCs w:val="24"/>
    </w:rPr>
  </w:style>
  <w:style w:type="character" w:styleId="SubtleEmphasis">
    <w:name w:val="Subtle Emphasis"/>
    <w:uiPriority w:val="19"/>
    <w:qFormat/>
    <w:rsid w:val="00D93703"/>
    <w:rPr>
      <w:i/>
      <w:iCs/>
      <w:color w:val="1F4D78"/>
    </w:rPr>
  </w:style>
  <w:style w:type="character" w:styleId="IntenseEmphasis">
    <w:name w:val="Intense Emphasis"/>
    <w:uiPriority w:val="21"/>
    <w:qFormat/>
    <w:rsid w:val="00D93703"/>
    <w:rPr>
      <w:b/>
      <w:bCs/>
      <w:caps/>
      <w:color w:val="1F4D78"/>
      <w:spacing w:val="10"/>
    </w:rPr>
  </w:style>
  <w:style w:type="character" w:styleId="SubtleReference">
    <w:name w:val="Subtle Reference"/>
    <w:uiPriority w:val="31"/>
    <w:qFormat/>
    <w:rsid w:val="00D93703"/>
    <w:rPr>
      <w:b/>
      <w:bCs/>
      <w:color w:val="5B9BD5"/>
    </w:rPr>
  </w:style>
  <w:style w:type="character" w:styleId="IntenseReference">
    <w:name w:val="Intense Reference"/>
    <w:uiPriority w:val="32"/>
    <w:qFormat/>
    <w:rsid w:val="00D93703"/>
    <w:rPr>
      <w:b/>
      <w:bCs/>
      <w:i/>
      <w:iCs/>
      <w:caps/>
      <w:color w:val="5B9BD5"/>
    </w:rPr>
  </w:style>
  <w:style w:type="character" w:styleId="BookTitle">
    <w:name w:val="Book Title"/>
    <w:uiPriority w:val="33"/>
    <w:qFormat/>
    <w:rsid w:val="00D93703"/>
    <w:rPr>
      <w:b/>
      <w:bCs/>
      <w:i/>
      <w:iCs/>
      <w:spacing w:val="0"/>
    </w:rPr>
  </w:style>
  <w:style w:type="table" w:customStyle="1" w:styleId="GridTable5Dark-Accent51">
    <w:name w:val="Grid Table 5 Dark - Accent 51"/>
    <w:basedOn w:val="TableNormal"/>
    <w:uiPriority w:val="50"/>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numbering" w:customStyle="1" w:styleId="NoList1">
    <w:name w:val="No List1"/>
    <w:next w:val="NoList"/>
    <w:uiPriority w:val="99"/>
    <w:semiHidden/>
    <w:unhideWhenUsed/>
    <w:rsid w:val="00D93703"/>
  </w:style>
  <w:style w:type="table" w:customStyle="1" w:styleId="GridTable4-Accent511">
    <w:name w:val="Grid Table 4 - Accent 511"/>
    <w:basedOn w:val="TableNormal"/>
    <w:uiPriority w:val="49"/>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1">
    <w:name w:val="Grid Table 1 Light - Accent 511"/>
    <w:basedOn w:val="TableNormal"/>
    <w:uiPriority w:val="46"/>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eGrid1">
    <w:name w:val="Table Grid1"/>
    <w:basedOn w:val="TableNormal"/>
    <w:next w:val="TableGrid"/>
    <w:rsid w:val="00D93703"/>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
    <w:name w:val="Colorful List - Accent 11"/>
    <w:basedOn w:val="TableNormal"/>
    <w:next w:val="ColorfulListAccent1"/>
    <w:uiPriority w:val="34"/>
    <w:semiHidden/>
    <w:unhideWhenUsed/>
    <w:rsid w:val="00D93703"/>
    <w:pPr>
      <w:spacing w:after="0" w:line="240" w:lineRule="auto"/>
    </w:pPr>
    <w:rPr>
      <w:rFonts w:ascii="Calibri" w:eastAsia="Calibri" w:hAnsi="Calibri" w:cs="Times New Roman"/>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numbering" w:customStyle="1" w:styleId="NoList11">
    <w:name w:val="No List11"/>
    <w:next w:val="NoList"/>
    <w:uiPriority w:val="99"/>
    <w:semiHidden/>
    <w:unhideWhenUsed/>
    <w:rsid w:val="00D93703"/>
  </w:style>
  <w:style w:type="table" w:styleId="ColorfulGridAccent1">
    <w:name w:val="Colorful Grid Accent 1"/>
    <w:basedOn w:val="TableNormal"/>
    <w:link w:val="ColorfulGrid-Accent1Char"/>
    <w:uiPriority w:val="29"/>
    <w:semiHidden/>
    <w:unhideWhenUsed/>
    <w:rsid w:val="00D93703"/>
    <w:pPr>
      <w:spacing w:after="0" w:line="240" w:lineRule="auto"/>
    </w:pPr>
    <w:rPr>
      <w:i/>
      <w:iCs/>
      <w:sz w:val="24"/>
      <w:szCs w:val="24"/>
    </w:rPr>
    <w:tblPr>
      <w:tblStyleRowBandSize w:val="1"/>
      <w:tblStyleColBandSize w:val="1"/>
      <w:tblBorders>
        <w:insideH w:val="single" w:sz="4" w:space="0" w:color="FFFFFF" w:themeColor="background1"/>
      </w:tblBorders>
    </w:tblPr>
    <w:tcPr>
      <w:shd w:val="clear" w:color="auto" w:fill="DEEAF6" w:themeFill="accent1" w:themeFillTint="33"/>
    </w:tcPr>
    <w:tblStylePr w:type="firstRow">
      <w:tblPr/>
      <w:tcPr>
        <w:shd w:val="clear" w:color="auto" w:fill="BDD6EE" w:themeFill="accent1" w:themeFillTint="66"/>
      </w:tcPr>
    </w:tblStylePr>
    <w:tblStylePr w:type="lastRow">
      <w:tblPr/>
      <w:tcPr>
        <w:shd w:val="clear" w:color="auto" w:fill="BDD6EE" w:themeFill="accent1" w:themeFillTint="66"/>
      </w:tcPr>
    </w:tblStylePr>
    <w:tblStylePr w:type="firstCol">
      <w:tblPr/>
      <w:tcPr>
        <w:shd w:val="clear" w:color="auto" w:fill="2E74B5" w:themeFill="accent1" w:themeFillShade="BF"/>
      </w:tcPr>
    </w:tblStylePr>
    <w:tblStylePr w:type="lastCol">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LightShadingAccent2">
    <w:name w:val="Light Shading Accent 2"/>
    <w:basedOn w:val="TableNormal"/>
    <w:link w:val="LightShading-Accent2Char"/>
    <w:uiPriority w:val="30"/>
    <w:semiHidden/>
    <w:unhideWhenUsed/>
    <w:rsid w:val="00D93703"/>
    <w:pPr>
      <w:spacing w:after="0" w:line="240" w:lineRule="auto"/>
    </w:pPr>
    <w:rPr>
      <w:color w:val="5B9BD5"/>
      <w:sz w:val="24"/>
      <w:szCs w:val="24"/>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IntenseQuote">
    <w:name w:val="Intense Quote"/>
    <w:basedOn w:val="Normal"/>
    <w:next w:val="Normal"/>
    <w:link w:val="IntenseQuoteChar1"/>
    <w:uiPriority w:val="30"/>
    <w:qFormat/>
    <w:rsid w:val="00D9370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1">
    <w:name w:val="Intense Quote Char1"/>
    <w:basedOn w:val="DefaultParagraphFont"/>
    <w:link w:val="IntenseQuote"/>
    <w:uiPriority w:val="30"/>
    <w:rsid w:val="00D93703"/>
    <w:rPr>
      <w:rFonts w:ascii="Calibri" w:hAnsi="Calibri" w:cs="Times New Roman"/>
      <w:i/>
      <w:iCs/>
      <w:color w:val="5B9BD5" w:themeColor="accent1"/>
    </w:rPr>
  </w:style>
  <w:style w:type="table" w:styleId="ColorfulListAccent1">
    <w:name w:val="Colorful List Accent 1"/>
    <w:basedOn w:val="TableNormal"/>
    <w:link w:val="ColorfulList-Accent1Char"/>
    <w:uiPriority w:val="34"/>
    <w:semiHidden/>
    <w:unhideWhenUsed/>
    <w:rsid w:val="00D93703"/>
    <w:pPr>
      <w:spacing w:after="0" w:line="240" w:lineRule="auto"/>
    </w:p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styleId="Bibliography">
    <w:name w:val="Bibliography"/>
    <w:basedOn w:val="Normal"/>
    <w:next w:val="Normal"/>
    <w:uiPriority w:val="37"/>
    <w:unhideWhenUsed/>
    <w:rsid w:val="00BD4844"/>
  </w:style>
  <w:style w:type="character" w:customStyle="1" w:styleId="journal-title2">
    <w:name w:val="journal-title2"/>
    <w:basedOn w:val="DefaultParagraphFont"/>
    <w:rsid w:val="001874A9"/>
  </w:style>
  <w:style w:type="character" w:customStyle="1" w:styleId="issue-meta-volume-issue1">
    <w:name w:val="issue-meta-volume-issue1"/>
    <w:basedOn w:val="DefaultParagraphFont"/>
    <w:rsid w:val="001874A9"/>
    <w:rPr>
      <w:vanish w:val="0"/>
      <w:webHidden w:val="0"/>
      <w:specVanish w:val="0"/>
    </w:rPr>
  </w:style>
  <w:style w:type="character" w:customStyle="1" w:styleId="maintextleft">
    <w:name w:val="maintextleft"/>
    <w:basedOn w:val="DefaultParagraphFont"/>
    <w:rsid w:val="001874A9"/>
  </w:style>
  <w:style w:type="character" w:customStyle="1" w:styleId="comma-before-firstpublish2">
    <w:name w:val="comma-before-firstpublish2"/>
    <w:basedOn w:val="DefaultParagraphFont"/>
    <w:rsid w:val="001874A9"/>
  </w:style>
  <w:style w:type="table" w:styleId="ListTable2">
    <w:name w:val="List Table 2"/>
    <w:basedOn w:val="TableNormal"/>
    <w:uiPriority w:val="47"/>
    <w:rsid w:val="00683829"/>
    <w:pPr>
      <w:spacing w:after="0" w:line="240" w:lineRule="auto"/>
    </w:pPr>
    <w:rPr>
      <w:rFonts w:eastAsiaTheme="minorEastAsia"/>
      <w:sz w:val="20"/>
      <w:szCs w:val="20"/>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nasa.gov/privacy/nasa_sorn_10EDUA.html" TargetMode="External" /><Relationship Id="rId9" Type="http://schemas.openxmlformats.org/officeDocument/2006/relationships/hyperlink" Target="mailto:richard.l.gilmore@na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a0e265-3c98-4989-82f8-db0e13907c6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b:Source>
    <b:Tag>nas16</b:Tag>
    <b:SourceType>DocumentFromInternetSite</b:SourceType>
    <b:Guid>{93568A77-C0A2-43A4-BB8B-3EA7B62CB201}</b:Guid>
    <b:Title>nasa.gov</b:Title>
    <b:Year>2016</b:Year>
    <b:InternetSiteTitle>NASA Education Implementation Plan 2015-2017</b:InternetSiteTitle>
    <b:Month>January</b:Month>
    <b:URL>http://www.nasa.gov/sites/default/files/atoms/files/nasa_education_implementation_plan_ve4_2015-2017.pdf</b:URL>
    <b:RefOrder>1</b:RefOrder>
  </b:Source>
  <b:Source>
    <b:Tag>Gas12</b:Tag>
    <b:SourceType>JournalArticle</b:SourceType>
    <b:Guid>{6FFA4F2D-19CF-420F-B0C7-DA90D1999477}</b:Guid>
    <b:Title>From gatekeeping to engagement: A multicontextual, mixed method study of student academic engagement in introductory STEM courses.</b:Title>
    <b:Year>2012</b:Year>
    <b:PeriodicalTitle>Research in Higher Education</b:PeriodicalTitle>
    <b:Pages>229-261</b:Pages>
    <b:Author>
      <b:Author>
        <b:NameList>
          <b:Person>
            <b:Last>Gasiewski</b:Last>
            <b:Middle>A.</b:Middle>
            <b:First>J.</b:First>
          </b:Person>
          <b:Person>
            <b:Last>Eagan</b:Last>
            <b:Middle>K.</b:Middle>
            <b:First>M.</b:First>
          </b:Person>
          <b:Person>
            <b:Last>Garcia</b:Last>
            <b:Middle>A.</b:Middle>
            <b:First>G.</b:First>
          </b:Person>
          <b:Person>
            <b:Last>Hurtado</b:Last>
            <b:First>S.</b:First>
          </b:Person>
          <b:Person>
            <b:Last>Change</b:Last>
            <b:Middle>J.</b:Middle>
            <b:First>M.</b:First>
          </b:Person>
        </b:NameList>
      </b:Author>
    </b:Author>
    <b:Volume>53</b:Volume>
    <b:Issue>2</b:Issue>
    <b:JournalName>Research in Higher Education</b:JournalName>
    <b:RefOrder>2</b:RefOrder>
  </b:Source>
  <b:Source>
    <b:Tag>Far12</b:Tag>
    <b:SourceType>JournalArticle</b:SourceType>
    <b:Guid>{65C996F0-BAD9-4777-897E-534791D95D1B}</b:Guid>
    <b:Title>Personal and Social Interactions Between Young Girls and Scientists: Examining Critical Aspects for Identity Construction.</b:Title>
    <b:JournalName>Journal of Science Teacher Education</b:JournalName>
    <b:Year>2012</b:Year>
    <b:Pages>1-18</b:Pages>
    <b:Author>
      <b:Author>
        <b:NameList>
          <b:Person>
            <b:Last>Farland-Smith</b:Last>
            <b:First>Donna</b:First>
          </b:Person>
        </b:NameList>
      </b:Author>
    </b:Author>
    <b:Volume>23</b:Volume>
    <b:Issue>1</b:Issue>
    <b:RefOrder>3</b:RefOrder>
  </b:Source>
  <b:Source>
    <b:Tag>Mal111</b:Tag>
    <b:SourceType>JournalArticle</b:SourceType>
    <b:Guid>{0EA23189-D451-4E73-9EC6-DFBCCE419F02}</b:Guid>
    <b:Title>Pipeline persistence: Examining the association of educational experiences with earned degrees in STEM among US students.</b:Title>
    <b:JournalName>Science Education</b:JournalName>
    <b:Year>2011</b:Year>
    <b:Pages>877-907</b:Pages>
    <b:Author>
      <b:Author>
        <b:NameList>
          <b:Person>
            <b:Last>Maltese</b:Last>
            <b:Middle>V.</b:Middle>
            <b:First>Adam</b:First>
          </b:Person>
          <b:Person>
            <b:Last>Tai</b:Last>
            <b:Middle>H.</b:Middle>
            <b:First>Robert</b:First>
          </b:Person>
        </b:NameList>
      </b:Author>
    </b:Author>
    <b:Volume>95</b:Volume>
    <b:Issue>5</b:Issue>
    <b:RefOrder>4</b:RefOrder>
  </b:Source>
  <b:Source>
    <b:Tag>Leb11</b:Tag>
    <b:SourceType>JournalArticle</b:SourceType>
    <b:Guid>{4452C9A2-067C-45E7-8F85-748E4C980D0B}</b:Guid>
    <b:Title>The Effect of Informal and Formal Interaction between Scientists and Children at a Science Camp on Their Images of Scientists.</b:Title>
    <b:JournalName>Science Education International</b:JournalName>
    <b:Year>2011</b:Year>
    <b:Pages>158-174</b:Pages>
    <b:Author>
      <b:Author>
        <b:NameList>
          <b:Person>
            <b:Last>Leblebicioglu</b:Last>
            <b:First>Gulsen</b:First>
          </b:Person>
          <b:Person>
            <b:Last>Metin</b:Last>
            <b:First>Duygu</b:First>
          </b:Person>
          <b:Person>
            <b:Last>Yardimci</b:Last>
            <b:First>Esra</b:First>
          </b:Person>
          <b:Person>
            <b:Last>Cetin</b:Last>
            <b:Middle>Seda</b:Middle>
            <b:First>Pinar</b:First>
          </b:Person>
        </b:NameList>
      </b:Author>
    </b:Author>
    <b:Volume>22</b:Volume>
    <b:Issue>3</b:Issue>
    <b:RefOrder>5</b:RefOrder>
  </b:Source>
  <b:Source>
    <b:Tag>Kim15</b:Tag>
    <b:SourceType>JournalArticle</b:SourceType>
    <b:Guid>{A11DF14D-BDA7-4A71-B4D0-F134FA88AE6B}</b:Guid>
    <b:Title>Robotics to promote elementary education pre-service teachers' STEM engagement, learning, and teaching.</b:Title>
    <b:JournalName>Computers &amp; Education</b:JournalName>
    <b:Year>2015</b:Year>
    <b:Pages>14-31</b:Pages>
    <b:Author>
      <b:Author>
        <b:NameList>
          <b:Person>
            <b:Last>Kim</b:Last>
            <b:First>ChanMin</b:First>
          </b:Person>
          <b:Person>
            <b:Last>Kim</b:Last>
            <b:First>Dongho</b:First>
          </b:Person>
          <b:Person>
            <b:Last>Yuan</b:Last>
            <b:First>Jiangmei</b:First>
          </b:Person>
          <b:Person>
            <b:Last>Hill</b:Last>
            <b:Middle>B.</b:Middle>
            <b:First>Roger</b:First>
          </b:Person>
          <b:Person>
            <b:Last>Doshi</b:Last>
            <b:First>Prashant</b:First>
          </b:Person>
          <b:Person>
            <b:Last>Thai</b:Last>
            <b:Middle>N.</b:Middle>
            <b:First>Chi</b:First>
          </b:Person>
        </b:NameList>
      </b:Author>
    </b:Author>
    <b:Volume>91</b:Volume>
    <b:RefOrder>6</b:RefOrder>
  </b:Source>
  <b:Source>
    <b:Tag>Mar09</b:Tag>
    <b:SourceType>BookSection</b:SourceType>
    <b:Guid>{69619552-9568-4546-95F3-718228664EA2}</b:Guid>
    <b:Title>Quasi-experimentation</b:Title>
    <b:Year>2009</b:Year>
    <b:Pages>182-214</b:Pages>
    <b:BookTitle>The SAGE handbook of applied social research methods</b:BookTitle>
    <b:City>Thousand Oaks</b:City>
    <b:Publisher>SAGE Publications, Inc.</b:Publisher>
    <b:StateProvince>CA</b:StateProvince>
    <b:ChapterNumber>6</b:ChapterNumber>
    <b:Edition>2nd</b:Edition>
    <b:Author>
      <b:Editor>
        <b:NameList>
          <b:Person>
            <b:Last>Bickman</b:Last>
            <b:First>Leonard</b:First>
          </b:Person>
          <b:Person>
            <b:Last>Rog</b:Last>
            <b:Middle>J.</b:Middle>
            <b:First>Debra</b:First>
          </b:Person>
        </b:NameList>
      </b:Editor>
      <b:Author>
        <b:NameList>
          <b:Person>
            <b:Last>Mark</b:Last>
            <b:Middle>Melvin</b:Middle>
            <b:First>M.</b:First>
          </b:Person>
          <b:Person>
            <b:Last>Reichardt</b:Last>
            <b:Middle>S.</b:Middle>
            <b:First>Charles</b:First>
          </b:Person>
        </b:NameList>
      </b:Author>
    </b:Author>
    <b:RefOrder>7</b:RefOrder>
  </b:Source>
  <b:Source>
    <b:Tag>How80</b:Tag>
    <b:SourceType>JournalArticle</b:SourceType>
    <b:Guid>{12E5347E-0147-408E-8874-8F87898E9BA2}</b:Guid>
    <b:Title>Response-shift bias: A problem in evaluating interventions with pre/post self-reports</b:Title>
    <b:Year>1980</b:Year>
    <b:Pages>93-106</b:Pages>
    <b:JournalName>Evaluation Review</b:JournalName>
    <b:Author>
      <b:Author>
        <b:NameList>
          <b:Person>
            <b:Last>Howard</b:Last>
            <b:Middle>S.</b:Middle>
            <b:First>George</b:First>
          </b:Person>
        </b:NameList>
      </b:Author>
    </b:Author>
    <b:Volume>4</b:Volume>
    <b:Issue>1</b:Issue>
    <b:RefOrder>8</b:RefOrder>
  </b:Source>
  <b:Source>
    <b:Tag>Dre08</b:Tag>
    <b:SourceType>JournalArticle</b:SourceType>
    <b:Guid>{FA2348D4-C29A-4C66-BD2B-B85DFF3DB8C4}</b:Guid>
    <b:Title>Controlling response shift bias: The use of the retrospective pre-test design in the evaluation of a master's programme</b:Title>
    <b:JournalName>Assessment &amp; Evaluation in Higher Education</b:JournalName>
    <b:Year>2008</b:Year>
    <b:Pages>699-709</b:Pages>
    <b:Author>
      <b:Author>
        <b:NameList>
          <b:Person>
            <b:Last>Drennan</b:Last>
            <b:First>Jonathan</b:First>
          </b:Person>
          <b:Person>
            <b:Last>Hyde</b:Last>
            <b:First>Abbey</b:First>
          </b:Person>
        </b:NameList>
      </b:Author>
    </b:Author>
    <b:Volume>33</b:Volume>
    <b:Issue>6</b:Issue>
    <b:RefOrder>9</b:RefOrder>
  </b:Source>
  <b:Source>
    <b:Tag>Nim14</b:Tag>
    <b:SourceType>JournalArticle</b:SourceType>
    <b:Guid>{30B69B28-AF9E-4D97-932E-F4DD5E761E80}</b:Guid>
    <b:Title>Explaining differences between retrospective and traditional pretest self-assessments: Competing theories and empirical evidence</b:Title>
    <b:JournalName>International Journal of Research &amp; Method in Education</b:JournalName>
    <b:Year>2014</b:Year>
    <b:Pages>256-269</b:Pages>
    <b:Author>
      <b:Author>
        <b:NameList>
          <b:Person>
            <b:Last>Nimon</b:Last>
            <b:First>Kim</b:First>
          </b:Person>
        </b:NameList>
      </b:Author>
    </b:Author>
    <b:Volume>37</b:Volume>
    <b:Issue>3</b:Issue>
    <b:RefOrder>10</b:RefOrder>
  </b:Source>
  <b:Source>
    <b:Tag>Goe92</b:Tag>
    <b:SourceType>JournalArticle</b:SourceType>
    <b:Guid>{B7552E66-B9D4-4F1D-AA60-0756952FBBC4}</b:Guid>
    <b:Title>The retrospective pretest and the role of pretest information in valuative studies.</b:Title>
    <b:Year>1992</b:Year>
    <b:JournalName>Psychological Reports</b:JournalName>
    <b:Pages>699-704</b:Pages>
    <b:Author>
      <b:Author>
        <b:NameList>
          <b:Person>
            <b:Last>Goedhart</b:Last>
            <b:First>H.</b:First>
          </b:Person>
          <b:Person>
            <b:Last>Hoogstraten</b:Last>
            <b:First>J.</b:First>
          </b:Person>
        </b:NameList>
      </b:Author>
    </b:Author>
    <b:Volume>70</b:Volume>
    <b:Issue>3</b:Issue>
    <b:RefOrder>11</b:RefOrder>
  </b:Source>
  <b:Source>
    <b:Tag>Pel09</b:Tag>
    <b:SourceType>JournalArticle</b:SourceType>
    <b:Guid>{77258F86-8E89-4139-BF89-72F16F4ACFC7}</b:Guid>
    <b:Title>Curriculum evaluation and revision in a nascent field: The utility of the retrospective pretest-posttest model in a Homeland Security program of study</b:Title>
    <b:JournalName>Evaluation Review</b:JournalName>
    <b:Year>2009</b:Year>
    <b:Pages>54-82</b:Pages>
    <b:Author>
      <b:Author>
        <b:NameList>
          <b:Person>
            <b:Last>Pelfrey, Sr.</b:Last>
            <b:Middle>V.</b:Middle>
            <b:First>William</b:First>
          </b:Person>
          <b:Person>
            <b:Last>Pelfrey, Jr.</b:Last>
            <b:Middle>V.</b:Middle>
            <b:First>William</b:First>
          </b:Person>
        </b:NameList>
      </b:Author>
    </b:Author>
    <b:Volume>33</b:Volume>
    <b:Issue>1</b:Issue>
    <b:RefOrder>12</b:RefOrder>
  </b:Source>
  <b:Source>
    <b:Tag>Nor03</b:Tag>
    <b:SourceType>JournalArticle</b:SourceType>
    <b:Guid>{E1087169-25A0-444B-90A7-E05DBBD7C0A9}</b:Guid>
    <b:Title>Hi! How are you? Response shift, implicit theories and differing epistemologies</b:Title>
    <b:JournalName>Quality of Life Research</b:JournalName>
    <b:Year>2003</b:Year>
    <b:Author>
      <b:Author>
        <b:NameList>
          <b:Person>
            <b:Last>Norman</b:Last>
            <b:First>Geoffrey</b:First>
          </b:Person>
        </b:NameList>
      </b:Author>
    </b:Author>
    <b:Pages>239-249</b:Pages>
    <b:Volume>12</b:Volume>
    <b:RefOrder>13</b:RefOrder>
  </b:Source>
  <b:Source>
    <b:Tag>Kom92</b:Tag>
    <b:SourceType>ConferenceProceedings</b:SourceType>
    <b:Guid>{B90C0913-6118-48B9-845F-305815FD94D8}</b:Guid>
    <b:Title>Item analysis of acheivement tests based on small numbers of examinees.</b:Title>
    <b:Year>1992</b:Year>
    <b:City>San Francisco</b:City>
    <b:ConferenceName>Paper presented at the annual meeting of the American Educational Research Association</b:ConferenceName>
    <b:Author>
      <b:Author>
        <b:NameList>
          <b:Person>
            <b:Last>Komrey</b:Last>
            <b:Middle>D.</b:Middle>
            <b:First>J.</b:First>
          </b:Person>
          <b:Person>
            <b:Last>Bacon</b:Last>
            <b:Middle>P.</b:Middle>
            <b:First>T.</b:First>
          </b:Person>
        </b:NameList>
      </b:Author>
    </b:Author>
    <b:RefOrder>7</b:RefOrder>
  </b:Source>
  <b:Source>
    <b:Tag>Rec</b:Tag>
    <b:SourceType>ConferenceProceedings</b:SourceType>
    <b:Guid>{190B438E-787F-495D-8733-7D08B4F50F77}</b:Guid>
    <b:Title>The minimum sample size needed to calibrate items using the three-parameter logistic model.</b:Title>
    <b:Author>
      <b:Author>
        <b:NameList>
          <b:Person>
            <b:Last>Reckase</b:Last>
            <b:Middle>D.</b:Middle>
            <b:First>M.</b:First>
          </b:Person>
        </b:NameList>
      </b:Author>
    </b:Author>
    <b:ConferenceName>Paper presented at  the annual meeting of the American Educational Research Association</b:ConferenceName>
    <b:City>New Orleans</b:City>
    <b:Year>2000</b:Year>
    <b:RefOrder>8</b:RefOrder>
  </b:Source>
  <b:Source>
    <b:Tag>Wat01</b:Tag>
    <b:SourceType>DocumentFromInternetSite</b:SourceType>
    <b:Guid>{3D6DE837-3F98-47E9-9B23-C76E0BD333AF}</b:Guid>
    <b:Title>How to Determine a Sample Size: Tipsheet #60</b:Title>
    <b:InternetSiteTitle>Penn State Cooperative Extension</b:InternetSiteTitle>
    <b:Year>2001</b:Year>
    <b:URL>http://www.extension.psu.edu/evaluation/pdf/TS60.pdf</b:URL>
    <b:Author>
      <b:Author>
        <b:NameList>
          <b:Person>
            <b:Last>Watson</b:Last>
            <b:First>Jeff</b:First>
          </b:Person>
        </b:NameList>
      </b:Author>
    </b:Author>
    <b:RefOrder>9</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9185712A9B0E014A821F96E8193710BC" ma:contentTypeVersion="11" ma:contentTypeDescription="Create a new document." ma:contentTypeScope="" ma:versionID="9b7a1254e1a3d6c69a82faf2a4a50a7f">
  <xsd:schema xmlns:xsd="http://www.w3.org/2001/XMLSchema" xmlns:xs="http://www.w3.org/2001/XMLSchema" xmlns:p="http://schemas.microsoft.com/office/2006/metadata/properties" xmlns:ns2="a1a0e265-3c98-4989-82f8-db0e13907c63" xmlns:ns3="022946b7-a681-4ee6-a5ff-b236f47f2c0a" targetNamespace="http://schemas.microsoft.com/office/2006/metadata/properties" ma:root="true" ma:fieldsID="c91eeca91c943f67e7de998768ce2261" ns2:_="" ns3:_="">
    <xsd:import namespace="a1a0e265-3c98-4989-82f8-db0e13907c63"/>
    <xsd:import namespace="022946b7-a681-4ee6-a5ff-b236f47f2c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0e265-3c98-4989-82f8-db0e13907c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b68aea-d2ee-4a6c-85e6-e4b5686e96e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2946b7-a681-4ee6-a5ff-b236f47f2c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832FBC-5EDE-46B8-8559-9A6F6F416447}">
  <ds:schemaRefs>
    <ds:schemaRef ds:uri="http://schemas.microsoft.com/sharepoint/v3/contenttype/forms"/>
  </ds:schemaRefs>
</ds:datastoreItem>
</file>

<file path=customXml/itemProps2.xml><?xml version="1.0" encoding="utf-8"?>
<ds:datastoreItem xmlns:ds="http://schemas.openxmlformats.org/officeDocument/2006/customXml" ds:itemID="{334303CE-3DFB-4D49-9E0A-F2114CCE7C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12A87D-9142-4971-8BDC-69534F057E72}">
  <ds:schemaRefs>
    <ds:schemaRef ds:uri="http://schemas.openxmlformats.org/officeDocument/2006/bibliography"/>
  </ds:schemaRefs>
</ds:datastoreItem>
</file>

<file path=customXml/itemProps4.xml><?xml version="1.0" encoding="utf-8"?>
<ds:datastoreItem xmlns:ds="http://schemas.openxmlformats.org/officeDocument/2006/customXml" ds:itemID="{0E57663B-1806-4551-94F1-09E63D7F9960}">
  <ds:schemaRefs/>
</ds:datastoreItem>
</file>

<file path=docMetadata/LabelInfo.xml><?xml version="1.0" encoding="utf-8"?>
<clbl:labelList xmlns:clbl="http://schemas.microsoft.com/office/2020/mipLabelMetadata">
  <clbl:label id="{7005d458-45be-48ae-8140-d43da96dd17b}" enabled="0" method="" siteId="{7005d458-45be-48ae-8140-d43da96dd17b}"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2332</Words>
  <Characters>12710</Characters>
  <Application>Microsoft Office Word</Application>
  <DocSecurity>0</DocSecurity>
  <Lines>343</Lines>
  <Paragraphs>211</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14831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Teel, Frances C. (HQ-JF000)</dc:creator>
  <cp:lastModifiedBy>Gilmore, Richard L. (GRC-HA020)</cp:lastModifiedBy>
  <cp:revision>2</cp:revision>
  <cp:lastPrinted>2016-06-29T13:57:00Z</cp:lastPrinted>
  <dcterms:created xsi:type="dcterms:W3CDTF">2023-04-17T19:57:00Z</dcterms:created>
  <dcterms:modified xsi:type="dcterms:W3CDTF">2023-04-17T19:57:00Z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0x0101002BD1E2BB92CBC144967077C2021A537D</vt:lpwstr>
  </property>
</Properties>
</file>