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6AD2" w:rsidRPr="00C91AAA" w:rsidP="00606AD2" w14:paraId="2A3D288A" w14:textId="77777777">
      <w:pPr>
        <w:rPr>
          <w:b/>
          <w:sz w:val="24"/>
          <w:szCs w:val="24"/>
        </w:rPr>
      </w:pPr>
    </w:p>
    <w:tbl>
      <w:tblPr>
        <w:tblStyle w:val="TableGrid"/>
        <w:tblW w:w="9515" w:type="dxa"/>
        <w:tblInd w:w="-5" w:type="dxa"/>
        <w:tblLook w:val="04A0"/>
      </w:tblPr>
      <w:tblGrid>
        <w:gridCol w:w="9515"/>
      </w:tblGrid>
      <w:tr w14:paraId="5A21F49E" w14:textId="77777777" w:rsidTr="00FF0602">
        <w:tblPrEx>
          <w:tblW w:w="9515" w:type="dxa"/>
          <w:tblInd w:w="-5" w:type="dxa"/>
          <w:tblLook w:val="04A0"/>
        </w:tblPrEx>
        <w:trPr>
          <w:trHeight w:val="595"/>
        </w:trPr>
        <w:tc>
          <w:tcPr>
            <w:tcW w:w="9515" w:type="dxa"/>
          </w:tcPr>
          <w:p w:rsidR="00284AB8" w:rsidRPr="00C91AAA" w:rsidP="00284AB8" w14:paraId="47E219FB" w14:textId="0D088263">
            <w:pPr>
              <w:rPr>
                <w:rFonts w:ascii="Times New Roman" w:hAnsi="Times New Roman" w:cs="Times New Roman"/>
                <w:sz w:val="24"/>
              </w:rPr>
            </w:pPr>
            <w:r w:rsidRPr="00C91AAA">
              <w:rPr>
                <w:rFonts w:ascii="Times New Roman" w:hAnsi="Times New Roman" w:cs="Times New Roman"/>
                <w:sz w:val="24"/>
              </w:rPr>
              <w:t>Summary of Changes from Currently Approved Collection</w:t>
            </w:r>
          </w:p>
          <w:p w:rsidR="00284AB8" w:rsidRPr="00C91AAA" w:rsidP="00284AB8" w14:paraId="228044FD" w14:textId="13D864FB">
            <w:pPr>
              <w:pStyle w:val="ListParagraph"/>
              <w:numPr>
                <w:ilvl w:val="0"/>
                <w:numId w:val="13"/>
              </w:numPr>
              <w:rPr>
                <w:rFonts w:ascii="Times New Roman" w:hAnsi="Times New Roman" w:cs="Times New Roman"/>
                <w:i/>
                <w:iCs/>
                <w:sz w:val="24"/>
              </w:rPr>
            </w:pPr>
            <w:r w:rsidRPr="00C91AAA">
              <w:rPr>
                <w:rFonts w:ascii="Times New Roman" w:hAnsi="Times New Roman" w:cs="Times New Roman"/>
                <w:sz w:val="24"/>
                <w:szCs w:val="24"/>
              </w:rPr>
              <w:t>The ICR is being submitted as a revision due to the increase in burden</w:t>
            </w:r>
            <w:r w:rsidRPr="00C91AAA" w:rsidR="0012434B">
              <w:rPr>
                <w:rFonts w:ascii="Times New Roman" w:hAnsi="Times New Roman" w:cs="Times New Roman"/>
                <w:sz w:val="24"/>
                <w:szCs w:val="24"/>
              </w:rPr>
              <w:t xml:space="preserve">. </w:t>
            </w:r>
            <w:bookmarkStart w:id="0" w:name="_Hlk173910933"/>
            <w:r w:rsidRPr="00C91AAA" w:rsidR="0012434B">
              <w:rPr>
                <w:rFonts w:ascii="Times New Roman" w:hAnsi="Times New Roman" w:cs="Times New Roman"/>
                <w:sz w:val="24"/>
              </w:rPr>
              <w:t xml:space="preserve">The </w:t>
            </w:r>
            <w:r w:rsidRPr="00C91AAA" w:rsidR="005C7BAB">
              <w:rPr>
                <w:rFonts w:ascii="Times New Roman" w:hAnsi="Times New Roman" w:cs="Times New Roman"/>
                <w:sz w:val="24"/>
              </w:rPr>
              <w:t xml:space="preserve">respondent </w:t>
            </w:r>
            <w:r w:rsidRPr="00C91AAA" w:rsidR="0012434B">
              <w:rPr>
                <w:rFonts w:ascii="Times New Roman" w:hAnsi="Times New Roman" w:cs="Times New Roman"/>
                <w:sz w:val="24"/>
              </w:rPr>
              <w:t xml:space="preserve">burden has increased since the previous approval due to an </w:t>
            </w:r>
            <w:r w:rsidRPr="00C91AAA" w:rsidR="001B1DDB">
              <w:rPr>
                <w:rFonts w:ascii="Times New Roman" w:hAnsi="Times New Roman" w:cs="Times New Roman"/>
                <w:sz w:val="24"/>
              </w:rPr>
              <w:t>expanded burial transportation benefit, which now includes covered Veterans’ cemeteries</w:t>
            </w:r>
            <w:bookmarkEnd w:id="0"/>
            <w:r w:rsidRPr="00C91AAA" w:rsidR="00744514">
              <w:rPr>
                <w:rFonts w:ascii="Times New Roman" w:hAnsi="Times New Roman" w:cs="Times New Roman"/>
                <w:sz w:val="24"/>
              </w:rPr>
              <w:t>.</w:t>
            </w:r>
          </w:p>
          <w:p w:rsidR="00D75FE4" w:rsidRPr="005E3897" w:rsidP="00284AB8" w14:paraId="372CA626" w14:textId="77777777">
            <w:pPr>
              <w:pStyle w:val="ListParagraph"/>
              <w:numPr>
                <w:ilvl w:val="0"/>
                <w:numId w:val="13"/>
              </w:numPr>
              <w:rPr>
                <w:rFonts w:ascii="Times New Roman" w:hAnsi="Times New Roman" w:cs="Times New Roman"/>
                <w:i/>
                <w:iCs/>
                <w:sz w:val="24"/>
              </w:rPr>
            </w:pPr>
            <w:r w:rsidRPr="00C91AAA">
              <w:rPr>
                <w:rFonts w:ascii="Times New Roman" w:hAnsi="Times New Roman" w:cs="Times New Roman"/>
                <w:sz w:val="24"/>
              </w:rPr>
              <w:t>The ICR is associated with AR69(F) – Expanded Monetary Burial Benefits.</w:t>
            </w:r>
          </w:p>
          <w:p w:rsidR="005E3897" w:rsidRPr="00C91AAA" w:rsidP="00284AB8" w14:paraId="20B1A55F" w14:textId="357569B6">
            <w:pPr>
              <w:pStyle w:val="ListParagraph"/>
              <w:numPr>
                <w:ilvl w:val="0"/>
                <w:numId w:val="13"/>
              </w:numPr>
              <w:rPr>
                <w:rFonts w:ascii="Times New Roman" w:hAnsi="Times New Roman" w:cs="Times New Roman"/>
                <w:i/>
                <w:iCs/>
                <w:sz w:val="24"/>
              </w:rPr>
            </w:pPr>
            <w:r>
              <w:rPr>
                <w:rFonts w:ascii="Times New Roman" w:hAnsi="Times New Roman" w:cs="Times New Roman"/>
                <w:sz w:val="24"/>
              </w:rPr>
              <w:t>No comments were received.</w:t>
            </w:r>
          </w:p>
        </w:tc>
      </w:tr>
    </w:tbl>
    <w:p w:rsidR="00284AB8" w:rsidRPr="00C91AAA" w:rsidP="00606AD2" w14:paraId="3075C0C3" w14:textId="77777777">
      <w:pPr>
        <w:rPr>
          <w:b/>
          <w:sz w:val="24"/>
          <w:szCs w:val="24"/>
        </w:rPr>
      </w:pPr>
    </w:p>
    <w:p w:rsidR="00606AD2" w:rsidRPr="00C91AAA" w:rsidP="00606AD2" w14:paraId="0748F693" w14:textId="6ADB10E4">
      <w:pPr>
        <w:pStyle w:val="ListParagraph"/>
        <w:numPr>
          <w:ilvl w:val="0"/>
          <w:numId w:val="5"/>
        </w:numPr>
        <w:rPr>
          <w:b/>
          <w:sz w:val="24"/>
          <w:szCs w:val="24"/>
        </w:rPr>
      </w:pPr>
      <w:r w:rsidRPr="00C91AAA">
        <w:rPr>
          <w:b/>
          <w:bCs/>
          <w:sz w:val="24"/>
          <w:u w:val="single"/>
        </w:rPr>
        <w:t>Need for the Information Collection</w:t>
      </w:r>
      <w:r w:rsidRPr="00C91AAA">
        <w:rPr>
          <w:b/>
          <w:sz w:val="24"/>
          <w:szCs w:val="24"/>
        </w:rPr>
        <w:t xml:space="preserve">  </w:t>
      </w:r>
    </w:p>
    <w:p w:rsidR="00A25D47" w:rsidRPr="00C91AAA" w:rsidP="00A25D47" w14:paraId="1767B0E2" w14:textId="2CDF26C3">
      <w:pPr>
        <w:ind w:left="360"/>
        <w:rPr>
          <w:sz w:val="24"/>
          <w:szCs w:val="24"/>
        </w:rPr>
      </w:pPr>
      <w:r w:rsidRPr="00C91AAA">
        <w:rPr>
          <w:sz w:val="24"/>
          <w:szCs w:val="24"/>
        </w:rPr>
        <w:t>The Department of Veterans Affairs (VA) through its Veterans Benefits Administration (VBA</w:t>
      </w:r>
      <w:r w:rsidRPr="00C91AAA" w:rsidR="003210D0">
        <w:rPr>
          <w:sz w:val="24"/>
          <w:szCs w:val="24"/>
        </w:rPr>
        <w:t>)</w:t>
      </w:r>
      <w:r w:rsidRPr="00C91AAA">
        <w:rPr>
          <w:sz w:val="24"/>
          <w:szCs w:val="24"/>
        </w:rPr>
        <w:t xml:space="preserve"> administers an integrated program of benefits and ser</w:t>
      </w:r>
      <w:r w:rsidRPr="00C91AAA" w:rsidR="003210D0">
        <w:rPr>
          <w:sz w:val="24"/>
          <w:szCs w:val="24"/>
        </w:rPr>
        <w:t>vices, established by law, for V</w:t>
      </w:r>
      <w:r w:rsidRPr="00C91AAA">
        <w:rPr>
          <w:sz w:val="24"/>
          <w:szCs w:val="24"/>
        </w:rPr>
        <w:t xml:space="preserve">eterans, service personnel, and their dependents and/or beneficiaries. Under the authority of 38 U.S.C. </w:t>
      </w:r>
      <w:r w:rsidRPr="00C91AAA" w:rsidR="001C0555">
        <w:rPr>
          <w:sz w:val="24"/>
          <w:szCs w:val="24"/>
        </w:rPr>
        <w:t>2302, 2303, 2304, 2307, and 2308</w:t>
      </w:r>
      <w:r w:rsidRPr="00C91AAA">
        <w:rPr>
          <w:sz w:val="24"/>
          <w:szCs w:val="24"/>
        </w:rPr>
        <w:t xml:space="preserve">, </w:t>
      </w:r>
      <w:r w:rsidRPr="00C91AAA" w:rsidR="001C0555">
        <w:rPr>
          <w:sz w:val="24"/>
          <w:szCs w:val="24"/>
        </w:rPr>
        <w:t>the VA will pay burial benefits upon the death of a Veteran to certain eligible claimants</w:t>
      </w:r>
      <w:r w:rsidRPr="00C91AAA">
        <w:rPr>
          <w:sz w:val="24"/>
          <w:szCs w:val="24"/>
        </w:rPr>
        <w:t xml:space="preserve">. Regulatory authority is found in 38 C.F.R. </w:t>
      </w:r>
      <w:r w:rsidRPr="00C91AAA" w:rsidR="001C0555">
        <w:rPr>
          <w:sz w:val="24"/>
          <w:szCs w:val="24"/>
        </w:rPr>
        <w:t>3.1700 through 3.1712</w:t>
      </w:r>
      <w:r w:rsidRPr="00C91AAA">
        <w:rPr>
          <w:sz w:val="24"/>
          <w:szCs w:val="24"/>
        </w:rPr>
        <w:t xml:space="preserve">.  </w:t>
      </w:r>
    </w:p>
    <w:p w:rsidR="0051524F" w:rsidRPr="00C91AAA" w:rsidP="00503CE2" w14:paraId="608912C0" w14:textId="72D3AF73">
      <w:pPr>
        <w:ind w:right="540"/>
        <w:rPr>
          <w:sz w:val="24"/>
          <w:szCs w:val="24"/>
        </w:rPr>
      </w:pPr>
    </w:p>
    <w:p w:rsidR="003B797D" w:rsidRPr="00C91AAA" w:rsidP="003B797D" w14:paraId="122666F4" w14:textId="2F1C3D19">
      <w:pPr>
        <w:ind w:left="360" w:right="540"/>
        <w:rPr>
          <w:sz w:val="24"/>
          <w:szCs w:val="24"/>
        </w:rPr>
      </w:pPr>
      <w:r w:rsidRPr="00C91AAA">
        <w:rPr>
          <w:sz w:val="24"/>
          <w:szCs w:val="24"/>
        </w:rPr>
        <w:t xml:space="preserve">VA Form </w:t>
      </w:r>
      <w:r w:rsidRPr="00C91AAA" w:rsidR="00A2441B">
        <w:rPr>
          <w:sz w:val="24"/>
          <w:szCs w:val="24"/>
        </w:rPr>
        <w:t>21P-530EZ</w:t>
      </w:r>
      <w:r w:rsidRPr="00C91AAA">
        <w:rPr>
          <w:sz w:val="24"/>
          <w:szCs w:val="24"/>
        </w:rPr>
        <w:t xml:space="preserve"> </w:t>
      </w:r>
      <w:r w:rsidRPr="00C91AAA" w:rsidR="00B83AD6">
        <w:rPr>
          <w:sz w:val="24"/>
          <w:szCs w:val="24"/>
        </w:rPr>
        <w:t>was previously</w:t>
      </w:r>
      <w:r w:rsidRPr="00C91AAA">
        <w:rPr>
          <w:sz w:val="24"/>
          <w:szCs w:val="24"/>
        </w:rPr>
        <w:t xml:space="preserve"> updated</w:t>
      </w:r>
      <w:r w:rsidRPr="00C91AAA" w:rsidR="005E0415">
        <w:rPr>
          <w:sz w:val="24"/>
          <w:szCs w:val="24"/>
        </w:rPr>
        <w:t xml:space="preserve"> to include the following</w:t>
      </w:r>
      <w:r w:rsidRPr="00C91AAA">
        <w:rPr>
          <w:sz w:val="24"/>
          <w:szCs w:val="24"/>
        </w:rPr>
        <w:t>:</w:t>
      </w:r>
    </w:p>
    <w:p w:rsidR="009B5624" w:rsidRPr="00C91AAA" w:rsidP="003B797D" w14:paraId="69895486" w14:textId="1A631616">
      <w:pPr>
        <w:pStyle w:val="ListParagraph"/>
        <w:numPr>
          <w:ilvl w:val="0"/>
          <w:numId w:val="12"/>
        </w:numPr>
        <w:ind w:right="540"/>
        <w:rPr>
          <w:sz w:val="24"/>
          <w:szCs w:val="24"/>
        </w:rPr>
      </w:pPr>
      <w:r w:rsidRPr="00C91AAA">
        <w:rPr>
          <w:sz w:val="24"/>
          <w:szCs w:val="24"/>
        </w:rPr>
        <w:t xml:space="preserve">Updated instructions to reflect </w:t>
      </w:r>
      <w:r w:rsidRPr="00C91AAA" w:rsidR="002433EC">
        <w:rPr>
          <w:sz w:val="24"/>
          <w:szCs w:val="24"/>
        </w:rPr>
        <w:t xml:space="preserve">the </w:t>
      </w:r>
      <w:r w:rsidRPr="00C91AAA">
        <w:rPr>
          <w:sz w:val="24"/>
          <w:szCs w:val="24"/>
        </w:rPr>
        <w:t>regulation change and updates to the form</w:t>
      </w:r>
    </w:p>
    <w:p w:rsidR="0051524F" w:rsidRPr="00C91AAA" w:rsidP="003B797D" w14:paraId="05A129E5" w14:textId="75A7745D">
      <w:pPr>
        <w:pStyle w:val="ListParagraph"/>
        <w:numPr>
          <w:ilvl w:val="0"/>
          <w:numId w:val="12"/>
        </w:numPr>
        <w:ind w:right="540"/>
        <w:rPr>
          <w:sz w:val="24"/>
          <w:szCs w:val="24"/>
        </w:rPr>
      </w:pPr>
      <w:r w:rsidRPr="00C91AAA">
        <w:rPr>
          <w:sz w:val="24"/>
        </w:rPr>
        <w:t>Split Section I into Section I – Veteran’s Information and Section II - Claimant’s Information</w:t>
      </w:r>
    </w:p>
    <w:p w:rsidR="00A2441B" w:rsidRPr="00C91AAA" w:rsidP="003B797D" w14:paraId="34281D34" w14:textId="5F026C83">
      <w:pPr>
        <w:pStyle w:val="ListParagraph"/>
        <w:numPr>
          <w:ilvl w:val="0"/>
          <w:numId w:val="12"/>
        </w:numPr>
        <w:ind w:right="540"/>
        <w:rPr>
          <w:sz w:val="24"/>
          <w:szCs w:val="24"/>
        </w:rPr>
      </w:pPr>
      <w:r w:rsidRPr="00C91AAA">
        <w:rPr>
          <w:sz w:val="24"/>
          <w:szCs w:val="24"/>
        </w:rPr>
        <w:t>Moved Veteran’s Information Questions to Section I</w:t>
      </w:r>
    </w:p>
    <w:p w:rsidR="00A2441B" w:rsidRPr="00C91AAA" w:rsidP="00803720" w14:paraId="7B09C92F" w14:textId="09B0B80F">
      <w:pPr>
        <w:pStyle w:val="ListParagraph"/>
        <w:numPr>
          <w:ilvl w:val="0"/>
          <w:numId w:val="12"/>
        </w:numPr>
        <w:ind w:right="540"/>
        <w:rPr>
          <w:sz w:val="24"/>
          <w:szCs w:val="24"/>
        </w:rPr>
      </w:pPr>
      <w:r w:rsidRPr="00C91AAA">
        <w:rPr>
          <w:sz w:val="24"/>
          <w:szCs w:val="24"/>
        </w:rPr>
        <w:t>Changed Section Titles to Section III - Veteran’s Service Information; Section IV – Information Regarding Final Resting Place; Section V – Claim for Burial Allowance; Section VI - Claim for Plot and/or Transportation Allowance</w:t>
      </w:r>
    </w:p>
    <w:p w:rsidR="00A2441B" w:rsidRPr="00C91AAA" w:rsidP="00803720" w14:paraId="5B91C933" w14:textId="68E3DA26">
      <w:pPr>
        <w:pStyle w:val="ListParagraph"/>
        <w:numPr>
          <w:ilvl w:val="0"/>
          <w:numId w:val="12"/>
        </w:numPr>
        <w:ind w:right="540"/>
        <w:rPr>
          <w:sz w:val="24"/>
          <w:szCs w:val="24"/>
        </w:rPr>
      </w:pPr>
      <w:r w:rsidRPr="00C91AAA">
        <w:rPr>
          <w:sz w:val="24"/>
          <w:szCs w:val="24"/>
        </w:rPr>
        <w:t>Question 18 – added Tribal trust land, name of cemetery or tribal trust land and zip code</w:t>
      </w:r>
    </w:p>
    <w:p w:rsidR="002433EC" w:rsidRPr="00C91AAA" w:rsidP="00803720" w14:paraId="0834DC5E" w14:textId="19DF4F3D">
      <w:pPr>
        <w:pStyle w:val="ListParagraph"/>
        <w:numPr>
          <w:ilvl w:val="0"/>
          <w:numId w:val="12"/>
        </w:numPr>
        <w:ind w:right="540"/>
        <w:rPr>
          <w:sz w:val="24"/>
          <w:szCs w:val="24"/>
        </w:rPr>
      </w:pPr>
      <w:r w:rsidRPr="00C91AAA">
        <w:rPr>
          <w:sz w:val="24"/>
          <w:szCs w:val="24"/>
        </w:rPr>
        <w:t>Question 20A – removed VA Hospitalization Death / Amount paid from (now covered under non-service-connected burial allowance)</w:t>
      </w:r>
    </w:p>
    <w:p w:rsidR="002433EC" w:rsidRPr="00C91AAA" w:rsidP="002433EC" w14:paraId="2687DC14" w14:textId="77B26FF5">
      <w:pPr>
        <w:pStyle w:val="ListParagraph"/>
        <w:numPr>
          <w:ilvl w:val="0"/>
          <w:numId w:val="12"/>
        </w:numPr>
        <w:ind w:right="540"/>
        <w:rPr>
          <w:sz w:val="24"/>
          <w:szCs w:val="24"/>
        </w:rPr>
      </w:pPr>
      <w:r w:rsidRPr="00C91AAA">
        <w:rPr>
          <w:sz w:val="24"/>
          <w:szCs w:val="24"/>
        </w:rPr>
        <w:t>Moved Question 20A to Section VI (now question 23)</w:t>
      </w:r>
    </w:p>
    <w:p w:rsidR="00C17C77" w:rsidRPr="00C91AAA" w:rsidP="00C17C77" w14:paraId="6FE9A097" w14:textId="77777777">
      <w:pPr>
        <w:rPr>
          <w:sz w:val="24"/>
          <w:szCs w:val="24"/>
        </w:rPr>
      </w:pPr>
    </w:p>
    <w:p w:rsidR="00334E84" w:rsidRPr="00C91AAA" w:rsidP="00334E84" w14:paraId="7AD27333" w14:textId="46A843A1">
      <w:pPr>
        <w:pStyle w:val="ListParagraph"/>
        <w:numPr>
          <w:ilvl w:val="0"/>
          <w:numId w:val="5"/>
        </w:numPr>
        <w:tabs>
          <w:tab w:val="left" w:pos="480"/>
          <w:tab w:val="right" w:pos="8640"/>
        </w:tabs>
        <w:ind w:right="684"/>
        <w:rPr>
          <w:b/>
          <w:sz w:val="24"/>
          <w:szCs w:val="24"/>
        </w:rPr>
      </w:pPr>
      <w:r w:rsidRPr="00C91AAA">
        <w:rPr>
          <w:b/>
          <w:bCs/>
          <w:sz w:val="24"/>
          <w:u w:val="single"/>
        </w:rPr>
        <w:t>Use of the Information</w:t>
      </w:r>
    </w:p>
    <w:p w:rsidR="00E36537" w:rsidRPr="00C91AAA" w:rsidP="00651FB2" w14:paraId="1A0A5A60" w14:textId="48C36AF6">
      <w:pPr>
        <w:tabs>
          <w:tab w:val="left" w:pos="480"/>
          <w:tab w:val="right" w:pos="8640"/>
        </w:tabs>
        <w:ind w:left="360" w:right="684"/>
        <w:rPr>
          <w:sz w:val="24"/>
          <w:szCs w:val="24"/>
        </w:rPr>
      </w:pPr>
      <w:r w:rsidRPr="00C91AAA">
        <w:rPr>
          <w:bCs/>
          <w:sz w:val="24"/>
        </w:rPr>
        <w:t>VA Form 21</w:t>
      </w:r>
      <w:r w:rsidRPr="00C91AAA" w:rsidR="002433EC">
        <w:rPr>
          <w:bCs/>
          <w:sz w:val="24"/>
        </w:rPr>
        <w:t>P</w:t>
      </w:r>
      <w:r w:rsidRPr="00C91AAA">
        <w:rPr>
          <w:bCs/>
          <w:sz w:val="24"/>
        </w:rPr>
        <w:t>-</w:t>
      </w:r>
      <w:r w:rsidRPr="00C91AAA" w:rsidR="002433EC">
        <w:rPr>
          <w:bCs/>
          <w:sz w:val="24"/>
        </w:rPr>
        <w:t>530EZ</w:t>
      </w:r>
      <w:r w:rsidRPr="00C91AAA">
        <w:rPr>
          <w:bCs/>
          <w:sz w:val="24"/>
        </w:rPr>
        <w:t xml:space="preserve"> is used to gather the necessary information to determine eligibility for</w:t>
      </w:r>
      <w:r w:rsidRPr="00C91AAA" w:rsidR="00E87FDC">
        <w:rPr>
          <w:bCs/>
          <w:sz w:val="24"/>
        </w:rPr>
        <w:t xml:space="preserve"> </w:t>
      </w:r>
      <w:r w:rsidRPr="00C91AAA" w:rsidR="002433EC">
        <w:rPr>
          <w:bCs/>
          <w:sz w:val="24"/>
        </w:rPr>
        <w:t>VA burial benefits</w:t>
      </w:r>
      <w:r w:rsidRPr="00C91AAA" w:rsidR="002433EC">
        <w:t xml:space="preserve"> </w:t>
      </w:r>
      <w:r w:rsidRPr="00C91AAA" w:rsidR="002433EC">
        <w:rPr>
          <w:bCs/>
          <w:sz w:val="24"/>
        </w:rPr>
        <w:t xml:space="preserve">including the burial allowance, plot or </w:t>
      </w:r>
      <w:r w:rsidRPr="00C91AAA" w:rsidR="00B237A9">
        <w:rPr>
          <w:bCs/>
          <w:sz w:val="24"/>
        </w:rPr>
        <w:t>interment</w:t>
      </w:r>
      <w:r w:rsidRPr="00C91AAA" w:rsidR="002433EC">
        <w:rPr>
          <w:bCs/>
          <w:sz w:val="24"/>
        </w:rPr>
        <w:t xml:space="preserve"> allowance, and transportation reimbursement.</w:t>
      </w:r>
      <w:r w:rsidRPr="00C91AAA" w:rsidR="00E87FDC">
        <w:rPr>
          <w:bCs/>
          <w:sz w:val="24"/>
        </w:rPr>
        <w:t xml:space="preserve"> </w:t>
      </w:r>
    </w:p>
    <w:p w:rsidR="00334E84" w:rsidRPr="00C91AAA" w:rsidP="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34E84" w:rsidRPr="00C91AAA" w:rsidP="00334E84" w14:paraId="3A7F400D" w14:textId="5727E539">
      <w:pPr>
        <w:pStyle w:val="ListParagraph"/>
        <w:numPr>
          <w:ilvl w:val="0"/>
          <w:numId w:val="5"/>
        </w:numPr>
        <w:tabs>
          <w:tab w:val="left" w:pos="547"/>
          <w:tab w:val="left" w:pos="1080"/>
          <w:tab w:val="left" w:pos="1627"/>
          <w:tab w:val="left" w:pos="2160"/>
          <w:tab w:val="left" w:pos="2880"/>
        </w:tabs>
        <w:rPr>
          <w:sz w:val="24"/>
          <w:szCs w:val="24"/>
        </w:rPr>
      </w:pPr>
      <w:bookmarkStart w:id="1" w:name="_Hlk173910247"/>
      <w:r w:rsidRPr="00C91AAA">
        <w:rPr>
          <w:b/>
          <w:bCs/>
          <w:sz w:val="24"/>
          <w:u w:val="single"/>
        </w:rPr>
        <w:t>Use of Information Technology</w:t>
      </w:r>
      <w:bookmarkEnd w:id="1"/>
    </w:p>
    <w:p w:rsidR="00495C22" w:rsidRPr="00C91AAA" w:rsidP="008A12FD" w14:paraId="513E6D27" w14:textId="5D13DF2C">
      <w:pPr>
        <w:ind w:left="360"/>
        <w:rPr>
          <w:sz w:val="24"/>
          <w:szCs w:val="24"/>
        </w:rPr>
      </w:pPr>
      <w:r w:rsidRPr="00C91AAA">
        <w:rPr>
          <w:sz w:val="24"/>
          <w:szCs w:val="24"/>
        </w:rPr>
        <w:t>VA Form 21P-530</w:t>
      </w:r>
      <w:r w:rsidR="008A12FD">
        <w:rPr>
          <w:sz w:val="24"/>
          <w:szCs w:val="24"/>
        </w:rPr>
        <w:t>EZ</w:t>
      </w:r>
      <w:r w:rsidRPr="00C91AAA">
        <w:rPr>
          <w:sz w:val="24"/>
          <w:szCs w:val="24"/>
        </w:rPr>
        <w:t xml:space="preserve"> is available on the benefits.va.gov website in a fillable </w:t>
      </w:r>
      <w:r w:rsidRPr="00C91AAA">
        <w:rPr>
          <w:sz w:val="24"/>
          <w:szCs w:val="24"/>
        </w:rPr>
        <w:t>electronic</w:t>
      </w:r>
      <w:r w:rsidR="008A12FD">
        <w:rPr>
          <w:sz w:val="24"/>
          <w:szCs w:val="24"/>
        </w:rPr>
        <w:t xml:space="preserve">  </w:t>
      </w:r>
      <w:r w:rsidRPr="00C91AAA">
        <w:rPr>
          <w:sz w:val="24"/>
          <w:szCs w:val="24"/>
        </w:rPr>
        <w:t>format</w:t>
      </w:r>
      <w:r w:rsidR="008A12FD">
        <w:rPr>
          <w:sz w:val="24"/>
          <w:szCs w:val="24"/>
        </w:rPr>
        <w:t>. V</w:t>
      </w:r>
      <w:r w:rsidRPr="00C91AAA">
        <w:rPr>
          <w:sz w:val="24"/>
          <w:szCs w:val="24"/>
        </w:rPr>
        <w:t xml:space="preserve">BA does not currently have the technology in place to allow for the </w:t>
      </w:r>
      <w:r w:rsidRPr="00C91AAA" w:rsidR="00B237A9">
        <w:rPr>
          <w:sz w:val="24"/>
          <w:szCs w:val="24"/>
        </w:rPr>
        <w:t xml:space="preserve">direct </w:t>
      </w:r>
      <w:r w:rsidRPr="00C91AAA">
        <w:rPr>
          <w:sz w:val="24"/>
          <w:szCs w:val="24"/>
        </w:rPr>
        <w:t>electronic submission of the form.  To ease the burden on respondents, VBA plans to develop and deploy functionality enabling electronic submission of this information.  VBA cannot estimate the date this functionality will be deployed.</w:t>
      </w:r>
    </w:p>
    <w:p w:rsidR="00212C9D" w:rsidRPr="00C91AAA" w:rsidP="004B1A2F" w14:paraId="2E45556D" w14:textId="77777777">
      <w:pPr>
        <w:rPr>
          <w:sz w:val="24"/>
          <w:szCs w:val="24"/>
        </w:rPr>
      </w:pPr>
    </w:p>
    <w:p w:rsidR="005E4CE3" w:rsidRPr="00C91AAA" w:rsidP="00212C9D" w14:paraId="6B0DF9E8" w14:textId="246BC33F">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bookmarkStart w:id="2" w:name="_Hlk173910307"/>
      <w:r w:rsidRPr="00C91AAA">
        <w:rPr>
          <w:b/>
          <w:bCs/>
          <w:sz w:val="24"/>
          <w:u w:val="single"/>
        </w:rPr>
        <w:t>Non-Duplication</w:t>
      </w:r>
      <w:bookmarkEnd w:id="2"/>
    </w:p>
    <w:p w:rsidR="00E36537" w:rsidRPr="00C91AAA" w:rsidP="005E4CE3" w14:paraId="1239167F" w14:textId="241BF698">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bookmarkStart w:id="3" w:name="_Hlk173910324"/>
      <w:r w:rsidRPr="00C91AAA">
        <w:rPr>
          <w:sz w:val="24"/>
        </w:rPr>
        <w:t>The information obtained through this collection is unique and is not already available for use or adaptation from another cleared source.</w:t>
      </w:r>
      <w:bookmarkEnd w:id="3"/>
    </w:p>
    <w:p w:rsidR="00310573" w:rsidRPr="00C91AAA" w:rsidP="005E4CE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RPr="00C91AAA" w:rsidP="00726753" w14:paraId="1ED4254A" w14:textId="6C465D54">
      <w:pPr>
        <w:pStyle w:val="ListParagraph"/>
        <w:numPr>
          <w:ilvl w:val="0"/>
          <w:numId w:val="5"/>
        </w:numPr>
        <w:tabs>
          <w:tab w:val="left" w:pos="547"/>
          <w:tab w:val="left" w:pos="1080"/>
          <w:tab w:val="left" w:pos="1627"/>
          <w:tab w:val="left" w:pos="2160"/>
          <w:tab w:val="left" w:pos="2880"/>
        </w:tabs>
        <w:rPr>
          <w:b/>
          <w:sz w:val="24"/>
          <w:szCs w:val="24"/>
        </w:rPr>
      </w:pPr>
      <w:bookmarkStart w:id="4" w:name="_Hlk173910368"/>
      <w:r w:rsidRPr="00C91AAA">
        <w:rPr>
          <w:b/>
          <w:bCs/>
          <w:sz w:val="24"/>
          <w:u w:val="single"/>
        </w:rPr>
        <w:t>Burden on Small Businesses</w:t>
      </w:r>
      <w:bookmarkEnd w:id="4"/>
    </w:p>
    <w:p w:rsidR="00E36537" w:rsidRPr="00C91AAA" w:rsidP="00726753" w14:paraId="7D443F9C" w14:textId="7938B822">
      <w:pPr>
        <w:pStyle w:val="ListParagraph"/>
        <w:tabs>
          <w:tab w:val="left" w:pos="547"/>
          <w:tab w:val="left" w:pos="1080"/>
          <w:tab w:val="left" w:pos="1627"/>
          <w:tab w:val="left" w:pos="2160"/>
          <w:tab w:val="left" w:pos="2880"/>
        </w:tabs>
        <w:ind w:left="360"/>
        <w:rPr>
          <w:b/>
          <w:sz w:val="24"/>
          <w:szCs w:val="24"/>
        </w:rPr>
      </w:pPr>
      <w:bookmarkStart w:id="5" w:name="_Hlk173910345"/>
      <w:r w:rsidRPr="00C91AAA">
        <w:rPr>
          <w:sz w:val="24"/>
        </w:rPr>
        <w:t>This information collection does not impose a significant economic impact on a substantial number of small businesses or entities.</w:t>
      </w:r>
      <w:bookmarkEnd w:id="5"/>
    </w:p>
    <w:p w:rsidR="00310573" w:rsidRPr="00C91AAA" w14:paraId="3E492F7E" w14:textId="77777777">
      <w:pPr>
        <w:tabs>
          <w:tab w:val="left" w:pos="480"/>
          <w:tab w:val="right" w:pos="8640"/>
        </w:tabs>
        <w:ind w:right="684"/>
        <w:rPr>
          <w:sz w:val="24"/>
          <w:szCs w:val="24"/>
        </w:rPr>
      </w:pPr>
    </w:p>
    <w:p w:rsidR="00310573" w:rsidRPr="00C91AAA" w:rsidP="00310573" w14:paraId="18AFDD4D" w14:textId="1BBE3F0F">
      <w:pPr>
        <w:pStyle w:val="ListParagraph"/>
        <w:numPr>
          <w:ilvl w:val="0"/>
          <w:numId w:val="5"/>
        </w:numPr>
        <w:tabs>
          <w:tab w:val="left" w:pos="547"/>
          <w:tab w:val="left" w:pos="1080"/>
          <w:tab w:val="left" w:pos="1627"/>
          <w:tab w:val="left" w:pos="2160"/>
          <w:tab w:val="left" w:pos="2880"/>
        </w:tabs>
        <w:rPr>
          <w:b/>
          <w:sz w:val="24"/>
          <w:szCs w:val="24"/>
        </w:rPr>
      </w:pPr>
      <w:bookmarkStart w:id="6" w:name="_Hlk173910386"/>
      <w:r w:rsidRPr="00C91AAA">
        <w:rPr>
          <w:b/>
          <w:bCs/>
          <w:sz w:val="24"/>
          <w:u w:val="single"/>
        </w:rPr>
        <w:t>Less Frequent Collection</w:t>
      </w:r>
      <w:bookmarkEnd w:id="6"/>
    </w:p>
    <w:p w:rsidR="00E36537" w:rsidRPr="00C91AAA" w:rsidP="00C17C77" w14:paraId="2973C1B7" w14:textId="62925B4F">
      <w:pPr>
        <w:tabs>
          <w:tab w:val="left" w:pos="480"/>
          <w:tab w:val="right" w:pos="8640"/>
        </w:tabs>
        <w:ind w:left="360" w:right="684"/>
        <w:rPr>
          <w:sz w:val="24"/>
        </w:rPr>
      </w:pPr>
      <w:r w:rsidRPr="00C91AAA">
        <w:rPr>
          <w:bCs/>
          <w:sz w:val="24"/>
        </w:rPr>
        <w:t>VA Form 21</w:t>
      </w:r>
      <w:r w:rsidRPr="00C91AAA" w:rsidR="002433EC">
        <w:rPr>
          <w:bCs/>
          <w:sz w:val="24"/>
        </w:rPr>
        <w:t>P</w:t>
      </w:r>
      <w:r w:rsidRPr="00C91AAA">
        <w:rPr>
          <w:bCs/>
          <w:sz w:val="24"/>
        </w:rPr>
        <w:t>-</w:t>
      </w:r>
      <w:r w:rsidRPr="00C91AAA" w:rsidR="002433EC">
        <w:rPr>
          <w:bCs/>
          <w:sz w:val="24"/>
        </w:rPr>
        <w:t>530EZ</w:t>
      </w:r>
      <w:r w:rsidRPr="00C91AAA">
        <w:rPr>
          <w:bCs/>
          <w:sz w:val="24"/>
        </w:rPr>
        <w:t xml:space="preserve"> is used to gather the necessary information to determine eligibility for</w:t>
      </w:r>
      <w:r w:rsidRPr="00C91AAA" w:rsidR="00B237A9">
        <w:rPr>
          <w:bCs/>
          <w:sz w:val="24"/>
        </w:rPr>
        <w:t xml:space="preserve"> monetary burial benefits, including the burial allowance, plot or interment allowance, and transportation reimbursement.  </w:t>
      </w:r>
      <w:r w:rsidRPr="00C91AAA" w:rsidR="007778F8">
        <w:rPr>
          <w:bCs/>
          <w:sz w:val="24"/>
        </w:rPr>
        <w:t xml:space="preserve">VBA would be unable to properly administer burial benefits program without this collection of information.  The information is collected on an ad hoc basis, and, therefore, cannot be collected less frequently.  The form is designed to collect the minimum amount of information which will allow VBA to properly administer the program.  </w:t>
      </w:r>
    </w:p>
    <w:p w:rsidR="00E36537" w:rsidRPr="00C91AAA" w14:paraId="58DB5468" w14:textId="77777777">
      <w:pPr>
        <w:rPr>
          <w:sz w:val="24"/>
          <w:szCs w:val="24"/>
        </w:rPr>
      </w:pPr>
    </w:p>
    <w:p w:rsidR="00726753" w:rsidRPr="00C91AAA" w:rsidP="00726753" w14:paraId="4CDCBD61" w14:textId="74A363FB">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bookmarkStart w:id="7" w:name="_Hlk173910403"/>
      <w:r w:rsidRPr="00C91AAA">
        <w:rPr>
          <w:b/>
          <w:bCs/>
          <w:sz w:val="24"/>
          <w:u w:val="single"/>
        </w:rPr>
        <w:t>Paperwork Reduction Act Guidelines</w:t>
      </w:r>
      <w:bookmarkEnd w:id="7"/>
    </w:p>
    <w:p w:rsidR="00D94A38" w:rsidRPr="00C91AAA" w:rsidP="00310573" w14:paraId="0CA4B7F5" w14:textId="7C100A2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C91AAA">
        <w:rPr>
          <w:sz w:val="24"/>
          <w:szCs w:val="24"/>
        </w:rPr>
        <w:t>This collection of information does not require collection to be conducted in a manner inconsistent with the guidelines delineated in 5 CFR 1320.5(d)(2).</w:t>
      </w:r>
    </w:p>
    <w:p w:rsidR="00212C9D" w:rsidRPr="00C91AAA" w:rsidP="00310573" w14:paraId="7405D45C"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726753" w:rsidRPr="00C91AAA" w:rsidP="00212C9D" w14:paraId="202C1D3A" w14:textId="142B054C">
      <w:pPr>
        <w:pStyle w:val="ListParagraph"/>
        <w:numPr>
          <w:ilvl w:val="0"/>
          <w:numId w:val="5"/>
        </w:numPr>
        <w:tabs>
          <w:tab w:val="left" w:pos="547"/>
          <w:tab w:val="left" w:pos="1080"/>
          <w:tab w:val="left" w:pos="1627"/>
          <w:tab w:val="left" w:pos="2160"/>
          <w:tab w:val="left" w:pos="2880"/>
        </w:tabs>
        <w:rPr>
          <w:b/>
          <w:sz w:val="24"/>
          <w:szCs w:val="24"/>
          <w:u w:val="single"/>
        </w:rPr>
      </w:pPr>
      <w:r w:rsidRPr="00C91AAA">
        <w:rPr>
          <w:b/>
          <w:sz w:val="24"/>
          <w:szCs w:val="24"/>
          <w:u w:val="single"/>
        </w:rPr>
        <w:t>Consultation and Public Comments</w:t>
      </w:r>
    </w:p>
    <w:p w:rsidR="00212C9D" w:rsidRPr="00C91AAA" w:rsidP="00212C9D" w14:paraId="0B466DB9" w14:textId="77777777">
      <w:pPr>
        <w:pStyle w:val="NormalWeb"/>
        <w:spacing w:line="288" w:lineRule="atLeast"/>
        <w:ind w:left="360"/>
        <w:rPr>
          <w:rFonts w:eastAsiaTheme="minorHAnsi"/>
          <w:color w:val="auto"/>
          <w:sz w:val="24"/>
          <w:szCs w:val="24"/>
        </w:rPr>
      </w:pPr>
      <w:r w:rsidRPr="00C91AAA">
        <w:rPr>
          <w:rFonts w:eastAsiaTheme="minorHAnsi"/>
          <w:color w:val="auto"/>
          <w:sz w:val="24"/>
          <w:szCs w:val="24"/>
        </w:rPr>
        <w:t>Part A: PUBLIC NOTICE</w:t>
      </w:r>
    </w:p>
    <w:p w:rsidR="008A12FD" w:rsidP="00EB3F64" w14:paraId="4F98B5B4" w14:textId="77777777">
      <w:pPr>
        <w:pStyle w:val="NormalWeb"/>
        <w:spacing w:line="288" w:lineRule="atLeast"/>
        <w:ind w:left="360"/>
        <w:rPr>
          <w:bCs/>
          <w:color w:val="auto"/>
          <w:sz w:val="24"/>
          <w:szCs w:val="24"/>
        </w:rPr>
      </w:pPr>
      <w:bookmarkStart w:id="8" w:name="_Hlk178149801"/>
      <w:r w:rsidRPr="00C91AAA">
        <w:rPr>
          <w:bCs/>
          <w:color w:val="auto"/>
          <w:sz w:val="24"/>
          <w:szCs w:val="24"/>
        </w:rPr>
        <w:t xml:space="preserve">The notice of Proposed Information Collection Activity was </w:t>
      </w:r>
      <w:r w:rsidRPr="00C91AAA" w:rsidR="00407226">
        <w:rPr>
          <w:bCs/>
          <w:color w:val="auto"/>
          <w:sz w:val="24"/>
          <w:szCs w:val="24"/>
        </w:rPr>
        <w:t xml:space="preserve">included in the </w:t>
      </w:r>
      <w:r w:rsidRPr="00C91AAA">
        <w:rPr>
          <w:bCs/>
          <w:color w:val="auto"/>
          <w:sz w:val="24"/>
          <w:szCs w:val="24"/>
        </w:rPr>
        <w:t xml:space="preserve">proposed rule </w:t>
      </w:r>
      <w:r w:rsidRPr="00C91AAA" w:rsidR="00407226">
        <w:rPr>
          <w:bCs/>
          <w:color w:val="auto"/>
          <w:sz w:val="24"/>
          <w:szCs w:val="24"/>
        </w:rPr>
        <w:t xml:space="preserve">for AR69 published </w:t>
      </w:r>
      <w:r w:rsidRPr="00C91AAA">
        <w:rPr>
          <w:bCs/>
          <w:color w:val="auto"/>
          <w:sz w:val="24"/>
          <w:szCs w:val="24"/>
        </w:rPr>
        <w:t>in the Federal Register on M</w:t>
      </w:r>
      <w:r w:rsidRPr="00C91AAA" w:rsidR="00407226">
        <w:rPr>
          <w:bCs/>
          <w:color w:val="auto"/>
          <w:sz w:val="24"/>
          <w:szCs w:val="24"/>
        </w:rPr>
        <w:t xml:space="preserve">onday, September 25, </w:t>
      </w:r>
      <w:r w:rsidRPr="00C91AAA" w:rsidR="00407226">
        <w:rPr>
          <w:bCs/>
          <w:color w:val="auto"/>
          <w:sz w:val="24"/>
          <w:szCs w:val="24"/>
        </w:rPr>
        <w:t>2023</w:t>
      </w:r>
      <w:r w:rsidRPr="00C91AAA">
        <w:rPr>
          <w:bCs/>
          <w:color w:val="auto"/>
          <w:sz w:val="24"/>
          <w:szCs w:val="24"/>
        </w:rPr>
        <w:t xml:space="preserve"> </w:t>
      </w:r>
      <w:r w:rsidRPr="00C91AAA" w:rsidR="00407226">
        <w:rPr>
          <w:bCs/>
          <w:color w:val="auto"/>
          <w:sz w:val="24"/>
          <w:szCs w:val="24"/>
        </w:rPr>
        <w:t>at 88 FR 65641</w:t>
      </w:r>
      <w:r w:rsidRPr="00C91AAA">
        <w:rPr>
          <w:bCs/>
          <w:color w:val="auto"/>
          <w:sz w:val="24"/>
          <w:szCs w:val="24"/>
        </w:rPr>
        <w:t xml:space="preserve">.  </w:t>
      </w:r>
    </w:p>
    <w:p w:rsidR="00EB3F64" w:rsidRPr="00C91AAA" w:rsidP="00EB3F64" w14:paraId="21B2177B" w14:textId="0C846EBB">
      <w:pPr>
        <w:pStyle w:val="NormalWeb"/>
        <w:spacing w:line="288" w:lineRule="atLeast"/>
        <w:ind w:left="360"/>
        <w:rPr>
          <w:rFonts w:eastAsiaTheme="minorHAnsi"/>
          <w:strike/>
          <w:color w:val="auto"/>
          <w:sz w:val="24"/>
          <w:szCs w:val="24"/>
        </w:rPr>
      </w:pPr>
      <w:r w:rsidRPr="00C91AAA">
        <w:rPr>
          <w:bCs/>
          <w:color w:val="auto"/>
          <w:sz w:val="24"/>
          <w:szCs w:val="24"/>
        </w:rPr>
        <w:t>No</w:t>
      </w:r>
      <w:r w:rsidRPr="00C91AAA">
        <w:rPr>
          <w:bCs/>
          <w:color w:val="auto"/>
          <w:sz w:val="24"/>
          <w:szCs w:val="24"/>
        </w:rPr>
        <w:t xml:space="preserve"> comments </w:t>
      </w:r>
      <w:r w:rsidRPr="00C91AAA">
        <w:rPr>
          <w:bCs/>
          <w:color w:val="auto"/>
          <w:sz w:val="24"/>
          <w:szCs w:val="24"/>
        </w:rPr>
        <w:t xml:space="preserve">were received by VA </w:t>
      </w:r>
      <w:r w:rsidRPr="00C91AAA">
        <w:rPr>
          <w:bCs/>
          <w:color w:val="auto"/>
          <w:sz w:val="24"/>
          <w:szCs w:val="24"/>
        </w:rPr>
        <w:t>in response to this notice.</w:t>
      </w:r>
      <w:r w:rsidRPr="00C91AAA">
        <w:rPr>
          <w:bCs/>
          <w:color w:val="auto"/>
          <w:sz w:val="24"/>
          <w:szCs w:val="24"/>
        </w:rPr>
        <w:t xml:space="preserve"> </w:t>
      </w:r>
    </w:p>
    <w:p w:rsidR="006711A9" w:rsidRPr="00C91AAA" w:rsidP="00212C9D" w14:paraId="0ABD9947" w14:textId="2FBED24C">
      <w:pPr>
        <w:pStyle w:val="NormalWeb"/>
        <w:spacing w:line="288" w:lineRule="atLeast"/>
        <w:ind w:left="360"/>
        <w:rPr>
          <w:rFonts w:eastAsiaTheme="minorHAnsi"/>
          <w:strike/>
          <w:color w:val="auto"/>
          <w:sz w:val="24"/>
          <w:szCs w:val="24"/>
        </w:rPr>
      </w:pPr>
      <w:bookmarkStart w:id="9" w:name="_Hlk178149831"/>
      <w:bookmarkEnd w:id="8"/>
      <w:r w:rsidRPr="00C91AAA">
        <w:rPr>
          <w:bCs/>
          <w:color w:val="auto"/>
          <w:sz w:val="24"/>
          <w:szCs w:val="24"/>
        </w:rPr>
        <w:t>The</w:t>
      </w:r>
      <w:r w:rsidRPr="00C91AAA" w:rsidR="007A0DCB">
        <w:rPr>
          <w:bCs/>
          <w:color w:val="auto"/>
          <w:sz w:val="24"/>
          <w:szCs w:val="24"/>
        </w:rPr>
        <w:t xml:space="preserve"> final</w:t>
      </w:r>
      <w:r w:rsidRPr="00C91AAA">
        <w:rPr>
          <w:bCs/>
          <w:color w:val="auto"/>
          <w:sz w:val="24"/>
          <w:szCs w:val="24"/>
        </w:rPr>
        <w:t xml:space="preserve"> notice of Proposed Information Collection Activity was included in the final rule for AR69 published in the Federal Register on Wednesday, September 25, </w:t>
      </w:r>
      <w:r w:rsidRPr="00C91AAA">
        <w:rPr>
          <w:bCs/>
          <w:color w:val="auto"/>
          <w:sz w:val="24"/>
          <w:szCs w:val="24"/>
        </w:rPr>
        <w:t>2024</w:t>
      </w:r>
      <w:r w:rsidRPr="00C91AAA">
        <w:rPr>
          <w:bCs/>
          <w:color w:val="auto"/>
          <w:sz w:val="24"/>
          <w:szCs w:val="24"/>
        </w:rPr>
        <w:t xml:space="preserve"> at 89 FR 78251.</w:t>
      </w:r>
    </w:p>
    <w:bookmarkEnd w:id="9"/>
    <w:p w:rsidR="00212C9D" w:rsidRPr="00C91AAA" w:rsidP="00212C9D" w14:paraId="52143F27" w14:textId="25704B88">
      <w:pPr>
        <w:pStyle w:val="NormalWeb"/>
        <w:spacing w:line="288" w:lineRule="atLeast"/>
        <w:ind w:left="360"/>
        <w:rPr>
          <w:rFonts w:eastAsiaTheme="minorHAnsi"/>
          <w:color w:val="auto"/>
          <w:sz w:val="24"/>
          <w:szCs w:val="24"/>
        </w:rPr>
      </w:pPr>
      <w:r w:rsidRPr="00C91AAA">
        <w:rPr>
          <w:rFonts w:eastAsiaTheme="minorHAnsi"/>
          <w:color w:val="auto"/>
          <w:sz w:val="24"/>
          <w:szCs w:val="24"/>
        </w:rPr>
        <w:t>Part B: CONSULTATION</w:t>
      </w:r>
    </w:p>
    <w:p w:rsidR="00072B8C" w:rsidRPr="00C91AAA" w:rsidP="00212C9D" w14:paraId="6FDC1929" w14:textId="6DC79082">
      <w:pPr>
        <w:tabs>
          <w:tab w:val="left" w:pos="547"/>
          <w:tab w:val="left" w:pos="1080"/>
          <w:tab w:val="left" w:pos="1627"/>
          <w:tab w:val="left" w:pos="2160"/>
          <w:tab w:val="left" w:pos="2880"/>
        </w:tabs>
        <w:ind w:left="360"/>
        <w:rPr>
          <w:rFonts w:eastAsiaTheme="minorHAnsi"/>
          <w:sz w:val="24"/>
          <w:szCs w:val="24"/>
        </w:rPr>
      </w:pPr>
      <w:r w:rsidRPr="00C91AAA">
        <w:rPr>
          <w:rFonts w:eastAsiaTheme="minorHAnsi"/>
          <w:sz w:val="24"/>
          <w:szCs w:val="24"/>
        </w:rPr>
        <w:t>No additional consultation apart from soliciting public comments through the Federal Register was conducted for this submission.</w:t>
      </w:r>
    </w:p>
    <w:p w:rsidR="00BA2C4F" w:rsidRPr="00C91AAA" w:rsidP="00212C9D" w14:paraId="4C0FD622" w14:textId="77777777">
      <w:pPr>
        <w:tabs>
          <w:tab w:val="left" w:pos="547"/>
          <w:tab w:val="left" w:pos="1080"/>
          <w:tab w:val="left" w:pos="1627"/>
          <w:tab w:val="left" w:pos="2160"/>
          <w:tab w:val="left" w:pos="2880"/>
        </w:tabs>
        <w:ind w:left="360"/>
        <w:rPr>
          <w:rFonts w:eastAsiaTheme="minorHAnsi"/>
          <w:sz w:val="24"/>
          <w:szCs w:val="24"/>
        </w:rPr>
      </w:pPr>
    </w:p>
    <w:p w:rsidR="00310573" w:rsidRPr="00C91AAA" w:rsidP="00310573" w14:paraId="69BE1B4D" w14:textId="4ED06103">
      <w:pPr>
        <w:pStyle w:val="ListParagraph"/>
        <w:numPr>
          <w:ilvl w:val="0"/>
          <w:numId w:val="5"/>
        </w:numPr>
        <w:tabs>
          <w:tab w:val="left" w:pos="547"/>
          <w:tab w:val="left" w:pos="1080"/>
          <w:tab w:val="left" w:pos="1627"/>
          <w:tab w:val="left" w:pos="2160"/>
          <w:tab w:val="left" w:pos="2880"/>
        </w:tabs>
        <w:rPr>
          <w:b/>
          <w:sz w:val="24"/>
          <w:szCs w:val="24"/>
        </w:rPr>
      </w:pPr>
      <w:bookmarkStart w:id="10" w:name="_Hlk173910527"/>
      <w:r w:rsidRPr="00C91AAA">
        <w:rPr>
          <w:b/>
          <w:bCs/>
          <w:sz w:val="24"/>
          <w:u w:val="single"/>
        </w:rPr>
        <w:t>Gifts or Payment</w:t>
      </w:r>
      <w:bookmarkEnd w:id="10"/>
    </w:p>
    <w:p w:rsidR="00ED0AD9" w:rsidRPr="00C91AAA" w:rsidP="00070022" w14:paraId="2571D905" w14:textId="51AFB8FC">
      <w:pPr>
        <w:ind w:left="360"/>
        <w:rPr>
          <w:iCs/>
          <w:sz w:val="24"/>
        </w:rPr>
      </w:pPr>
      <w:bookmarkStart w:id="11" w:name="_Hlk173910567"/>
      <w:r w:rsidRPr="00C91AAA">
        <w:rPr>
          <w:sz w:val="24"/>
        </w:rPr>
        <w:t>No payments or gifts are being offered to respondents as an incentive to participate in the collection.</w:t>
      </w:r>
      <w:bookmarkEnd w:id="11"/>
    </w:p>
    <w:p w:rsidR="00ED0AD9" w:rsidRPr="00C91AAA" w:rsidP="00ED0AD9" w14:paraId="49ADAB05" w14:textId="77777777">
      <w:pPr>
        <w:ind w:left="360"/>
        <w:rPr>
          <w:iCs/>
          <w:sz w:val="24"/>
        </w:rPr>
      </w:pPr>
    </w:p>
    <w:p w:rsidR="00726753" w:rsidRPr="00C91AAA" w:rsidP="00726753" w14:paraId="1B415915" w14:textId="1A772371">
      <w:pPr>
        <w:pStyle w:val="ListParagraph"/>
        <w:numPr>
          <w:ilvl w:val="0"/>
          <w:numId w:val="5"/>
        </w:numPr>
        <w:rPr>
          <w:sz w:val="24"/>
          <w:szCs w:val="24"/>
          <w:u w:val="single"/>
        </w:rPr>
      </w:pPr>
      <w:r w:rsidRPr="00C91AAA">
        <w:rPr>
          <w:b/>
          <w:sz w:val="24"/>
          <w:szCs w:val="24"/>
          <w:u w:val="single"/>
        </w:rPr>
        <w:t>Confidentiality</w:t>
      </w:r>
    </w:p>
    <w:p w:rsidR="00581C1C" w:rsidRPr="00C91AAA" w:rsidP="00581C1C" w14:paraId="1A437187" w14:textId="2F795330">
      <w:pPr>
        <w:ind w:left="360"/>
        <w:rPr>
          <w:sz w:val="24"/>
          <w:szCs w:val="24"/>
        </w:rPr>
      </w:pPr>
      <w:r w:rsidRPr="00C91AAA">
        <w:rPr>
          <w:sz w:val="24"/>
          <w:szCs w:val="24"/>
        </w:rPr>
        <w:t xml:space="preserve">The records are maintained in the appropriate Privacy Act System of Records identified as “Compensation, Pension, Education, and Veteran Readiness and Employment Records-VA </w:t>
      </w:r>
      <w:r w:rsidRPr="00C91AAA">
        <w:rPr>
          <w:sz w:val="24"/>
          <w:szCs w:val="24"/>
        </w:rPr>
        <w:t>(58VA21/22/28),” published at 74 FR 29275 on June 19, 2009, and last amended at 87 FR 8740 (February 16, 2022).</w:t>
      </w:r>
    </w:p>
    <w:p w:rsidR="00E36537" w:rsidRPr="00C91AAA" w14:paraId="45CE1490" w14:textId="77777777">
      <w:pPr>
        <w:tabs>
          <w:tab w:val="left" w:pos="480"/>
          <w:tab w:val="right" w:pos="8640"/>
        </w:tabs>
        <w:ind w:right="684"/>
        <w:rPr>
          <w:sz w:val="24"/>
          <w:szCs w:val="24"/>
        </w:rPr>
      </w:pPr>
    </w:p>
    <w:p w:rsidR="00726753" w:rsidRPr="00C91AAA" w:rsidP="00726753" w14:paraId="6E484345" w14:textId="10EF1CD3">
      <w:pPr>
        <w:pStyle w:val="NormalWeb"/>
        <w:numPr>
          <w:ilvl w:val="0"/>
          <w:numId w:val="5"/>
        </w:numPr>
        <w:spacing w:before="0" w:beforeAutospacing="0" w:after="0" w:afterAutospacing="0"/>
        <w:rPr>
          <w:b/>
          <w:color w:val="auto"/>
          <w:sz w:val="24"/>
          <w:szCs w:val="24"/>
          <w:u w:val="single"/>
        </w:rPr>
      </w:pPr>
      <w:r w:rsidRPr="00C91AAA">
        <w:rPr>
          <w:b/>
          <w:color w:val="auto"/>
          <w:sz w:val="24"/>
          <w:szCs w:val="24"/>
          <w:u w:val="single"/>
        </w:rPr>
        <w:t>Sensitive Questions</w:t>
      </w:r>
    </w:p>
    <w:p w:rsidR="00E36537" w:rsidRPr="00C91AAA" w:rsidP="00726753" w14:paraId="75779BC1" w14:textId="084B7A38">
      <w:pPr>
        <w:pStyle w:val="NormalWeb"/>
        <w:spacing w:before="0" w:beforeAutospacing="0" w:after="0" w:afterAutospacing="0"/>
        <w:ind w:left="360"/>
        <w:rPr>
          <w:b/>
          <w:color w:val="auto"/>
          <w:sz w:val="24"/>
          <w:szCs w:val="24"/>
        </w:rPr>
      </w:pPr>
      <w:r w:rsidRPr="00C91AAA">
        <w:rPr>
          <w:color w:val="auto"/>
          <w:sz w:val="24"/>
          <w:szCs w:val="24"/>
        </w:rPr>
        <w:t>No questions considered sensitive are being asked in this collection.</w:t>
      </w:r>
    </w:p>
    <w:p w:rsidR="00E36537" w:rsidRPr="00C91AAA" w14:paraId="089F24D7" w14:textId="77777777">
      <w:pPr>
        <w:tabs>
          <w:tab w:val="left" w:pos="480"/>
          <w:tab w:val="right" w:pos="8640"/>
        </w:tabs>
        <w:ind w:right="684"/>
        <w:rPr>
          <w:sz w:val="24"/>
          <w:szCs w:val="24"/>
        </w:rPr>
      </w:pPr>
    </w:p>
    <w:p w:rsidR="00310573" w:rsidRPr="00C91AAA" w:rsidP="003B6D49" w14:paraId="5C550AF8" w14:textId="0D374515">
      <w:pPr>
        <w:pStyle w:val="ListParagraph"/>
        <w:numPr>
          <w:ilvl w:val="0"/>
          <w:numId w:val="5"/>
        </w:numPr>
        <w:tabs>
          <w:tab w:val="left" w:pos="547"/>
          <w:tab w:val="left" w:pos="1080"/>
          <w:tab w:val="left" w:pos="1627"/>
          <w:tab w:val="left" w:pos="2160"/>
          <w:tab w:val="left" w:pos="2880"/>
        </w:tabs>
        <w:rPr>
          <w:b/>
          <w:sz w:val="24"/>
          <w:szCs w:val="24"/>
          <w:u w:val="single"/>
        </w:rPr>
      </w:pPr>
      <w:r w:rsidRPr="00C91AAA">
        <w:rPr>
          <w:b/>
          <w:sz w:val="24"/>
          <w:szCs w:val="24"/>
          <w:u w:val="single"/>
        </w:rPr>
        <w:t>Respondent Burden and its Labor Costs</w:t>
      </w:r>
    </w:p>
    <w:p w:rsidR="00E36537" w:rsidRPr="00C91AAA" w14:paraId="4592B525" w14:textId="77777777">
      <w:pPr>
        <w:tabs>
          <w:tab w:val="left" w:pos="480"/>
          <w:tab w:val="right" w:pos="8640"/>
        </w:tabs>
        <w:ind w:right="684"/>
        <w:rPr>
          <w:sz w:val="24"/>
          <w:szCs w:val="24"/>
        </w:rPr>
      </w:pPr>
    </w:p>
    <w:p w:rsidR="00744514" w:rsidRPr="00C91AAA" w:rsidP="00744514" w14:paraId="5FF5447E" w14:textId="52B9A86B">
      <w:pPr>
        <w:numPr>
          <w:ilvl w:val="0"/>
          <w:numId w:val="8"/>
        </w:numPr>
        <w:tabs>
          <w:tab w:val="left" w:pos="480"/>
          <w:tab w:val="right" w:pos="8640"/>
        </w:tabs>
        <w:ind w:right="684"/>
        <w:contextualSpacing/>
        <w:rPr>
          <w:sz w:val="24"/>
          <w:szCs w:val="24"/>
        </w:rPr>
      </w:pPr>
      <w:r w:rsidRPr="00C91AAA">
        <w:rPr>
          <w:sz w:val="24"/>
          <w:szCs w:val="24"/>
        </w:rPr>
        <w:t xml:space="preserve">Number of Respondents is estimated at </w:t>
      </w:r>
      <w:r w:rsidRPr="00C91AAA" w:rsidR="004E4F19">
        <w:rPr>
          <w:sz w:val="24"/>
          <w:szCs w:val="24"/>
        </w:rPr>
        <w:t>132,055</w:t>
      </w:r>
      <w:r w:rsidRPr="00C91AAA">
        <w:rPr>
          <w:sz w:val="24"/>
          <w:szCs w:val="24"/>
        </w:rPr>
        <w:t xml:space="preserve"> per year. </w:t>
      </w:r>
    </w:p>
    <w:p w:rsidR="00744514" w:rsidRPr="00C91AAA" w:rsidP="00744514" w14:paraId="5F518EC8" w14:textId="77777777">
      <w:pPr>
        <w:tabs>
          <w:tab w:val="left" w:pos="480"/>
          <w:tab w:val="right" w:pos="8640"/>
        </w:tabs>
        <w:ind w:left="720" w:right="684"/>
        <w:contextualSpacing/>
        <w:rPr>
          <w:sz w:val="24"/>
          <w:szCs w:val="24"/>
        </w:rPr>
      </w:pPr>
    </w:p>
    <w:p w:rsidR="00744514" w:rsidRPr="00C91AAA" w:rsidP="00744514" w14:paraId="56DF75E8" w14:textId="77777777">
      <w:pPr>
        <w:numPr>
          <w:ilvl w:val="0"/>
          <w:numId w:val="8"/>
        </w:numPr>
        <w:tabs>
          <w:tab w:val="left" w:pos="480"/>
          <w:tab w:val="right" w:pos="8640"/>
        </w:tabs>
        <w:ind w:right="684"/>
        <w:contextualSpacing/>
        <w:rPr>
          <w:sz w:val="24"/>
          <w:szCs w:val="24"/>
        </w:rPr>
      </w:pPr>
      <w:r w:rsidRPr="00C91AAA">
        <w:rPr>
          <w:sz w:val="24"/>
          <w:szCs w:val="24"/>
        </w:rPr>
        <w:t xml:space="preserve">Frequency of Response is one time.  </w:t>
      </w:r>
    </w:p>
    <w:p w:rsidR="00744514" w:rsidRPr="00C91AAA" w:rsidP="00744514" w14:paraId="55BB2AA9" w14:textId="77777777">
      <w:pPr>
        <w:ind w:left="720"/>
        <w:contextualSpacing/>
        <w:rPr>
          <w:sz w:val="24"/>
          <w:szCs w:val="24"/>
        </w:rPr>
      </w:pPr>
    </w:p>
    <w:p w:rsidR="00744514" w:rsidRPr="00C91AAA" w:rsidP="00744514" w14:paraId="08606605" w14:textId="238D7259">
      <w:pPr>
        <w:numPr>
          <w:ilvl w:val="0"/>
          <w:numId w:val="8"/>
        </w:numPr>
        <w:tabs>
          <w:tab w:val="left" w:pos="480"/>
          <w:tab w:val="right" w:pos="8640"/>
        </w:tabs>
        <w:ind w:right="684"/>
        <w:contextualSpacing/>
        <w:rPr>
          <w:sz w:val="24"/>
          <w:szCs w:val="24"/>
        </w:rPr>
      </w:pPr>
      <w:r w:rsidRPr="00C91AAA">
        <w:rPr>
          <w:sz w:val="24"/>
          <w:szCs w:val="24"/>
        </w:rPr>
        <w:t xml:space="preserve">Annual burden hours are </w:t>
      </w:r>
      <w:r w:rsidRPr="00C91AAA" w:rsidR="004E4F19">
        <w:rPr>
          <w:sz w:val="24"/>
          <w:szCs w:val="24"/>
        </w:rPr>
        <w:t>6</w:t>
      </w:r>
      <w:r w:rsidRPr="00C91AAA" w:rsidR="00E133BF">
        <w:rPr>
          <w:sz w:val="24"/>
          <w:szCs w:val="24"/>
        </w:rPr>
        <w:t>6</w:t>
      </w:r>
      <w:r w:rsidRPr="00C91AAA" w:rsidR="004E4F19">
        <w:rPr>
          <w:sz w:val="24"/>
          <w:szCs w:val="24"/>
        </w:rPr>
        <w:t>,</w:t>
      </w:r>
      <w:r w:rsidRPr="00C91AAA" w:rsidR="00E133BF">
        <w:rPr>
          <w:sz w:val="24"/>
          <w:szCs w:val="24"/>
        </w:rPr>
        <w:t>02</w:t>
      </w:r>
      <w:r w:rsidRPr="00C91AAA" w:rsidR="007F72DC">
        <w:rPr>
          <w:sz w:val="24"/>
          <w:szCs w:val="24"/>
        </w:rPr>
        <w:t xml:space="preserve">8 </w:t>
      </w:r>
      <w:r w:rsidRPr="00C91AAA">
        <w:rPr>
          <w:sz w:val="24"/>
          <w:szCs w:val="24"/>
        </w:rPr>
        <w:t>hours.</w:t>
      </w:r>
    </w:p>
    <w:p w:rsidR="00744514" w:rsidRPr="00C91AAA" w:rsidP="00744514" w14:paraId="7536925F" w14:textId="77777777">
      <w:pPr>
        <w:tabs>
          <w:tab w:val="left" w:pos="480"/>
          <w:tab w:val="right" w:pos="8640"/>
        </w:tabs>
        <w:ind w:right="684"/>
        <w:rPr>
          <w:sz w:val="24"/>
          <w:szCs w:val="24"/>
        </w:rPr>
      </w:pPr>
    </w:p>
    <w:p w:rsidR="00744514" w:rsidRPr="00C91AAA" w:rsidP="00744514" w14:paraId="499A4E6E" w14:textId="3E747407">
      <w:pPr>
        <w:numPr>
          <w:ilvl w:val="0"/>
          <w:numId w:val="8"/>
        </w:numPr>
        <w:tabs>
          <w:tab w:val="left" w:pos="480"/>
          <w:tab w:val="right" w:pos="8640"/>
        </w:tabs>
        <w:ind w:right="684"/>
        <w:contextualSpacing/>
        <w:rPr>
          <w:sz w:val="24"/>
          <w:szCs w:val="24"/>
        </w:rPr>
      </w:pPr>
      <w:r w:rsidRPr="00C91AAA">
        <w:rPr>
          <w:sz w:val="24"/>
          <w:szCs w:val="24"/>
        </w:rPr>
        <w:t xml:space="preserve">The estimated completion time for this form is </w:t>
      </w:r>
      <w:r w:rsidRPr="00C91AAA" w:rsidR="004E4F19">
        <w:rPr>
          <w:sz w:val="24"/>
          <w:szCs w:val="24"/>
        </w:rPr>
        <w:t>30 minutes</w:t>
      </w:r>
      <w:r w:rsidRPr="00C91AAA">
        <w:rPr>
          <w:sz w:val="24"/>
          <w:szCs w:val="24"/>
        </w:rPr>
        <w:t>.</w:t>
      </w:r>
    </w:p>
    <w:p w:rsidR="00744514" w:rsidRPr="00C91AAA" w:rsidP="00744514" w14:paraId="3FBFBEFB" w14:textId="77777777">
      <w:pPr>
        <w:ind w:left="720"/>
        <w:contextualSpacing/>
        <w:rPr>
          <w:sz w:val="24"/>
          <w:szCs w:val="24"/>
        </w:rPr>
      </w:pPr>
    </w:p>
    <w:p w:rsidR="00744514" w:rsidRPr="00C91AAA" w:rsidP="00744514" w14:paraId="3A0E880A" w14:textId="77777777">
      <w:pPr>
        <w:numPr>
          <w:ilvl w:val="0"/>
          <w:numId w:val="8"/>
        </w:numPr>
        <w:tabs>
          <w:tab w:val="left" w:pos="480"/>
          <w:tab w:val="right" w:pos="720"/>
        </w:tabs>
        <w:ind w:right="684"/>
        <w:contextualSpacing/>
        <w:rPr>
          <w:sz w:val="24"/>
          <w:szCs w:val="24"/>
        </w:rPr>
      </w:pPr>
      <w:bookmarkStart w:id="12" w:name="_Hlk100146777"/>
      <w:r w:rsidRPr="00C91AAA">
        <w:rPr>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744514" w:rsidRPr="00C91AAA" w:rsidP="00744514" w14:paraId="5A85ADD7" w14:textId="77777777">
      <w:pPr>
        <w:tabs>
          <w:tab w:val="right" w:pos="720"/>
        </w:tabs>
        <w:ind w:left="720"/>
        <w:rPr>
          <w:sz w:val="24"/>
          <w:szCs w:val="24"/>
        </w:rPr>
      </w:pPr>
    </w:p>
    <w:p w:rsidR="00744514" w:rsidRPr="00C91AAA" w:rsidP="00744514" w14:paraId="556AF283" w14:textId="77777777">
      <w:pPr>
        <w:tabs>
          <w:tab w:val="left" w:pos="480"/>
          <w:tab w:val="right" w:pos="8640"/>
          <w:tab w:val="left" w:pos="9504"/>
        </w:tabs>
        <w:ind w:left="720" w:right="54"/>
        <w:rPr>
          <w:sz w:val="24"/>
          <w:szCs w:val="24"/>
        </w:rPr>
      </w:pPr>
      <w:bookmarkStart w:id="13" w:name="_Hlk2954761"/>
      <w:r w:rsidRPr="00C91AAA">
        <w:rPr>
          <w:sz w:val="24"/>
          <w:szCs w:val="24"/>
        </w:rPr>
        <w:t xml:space="preserve">The Bureau of Labor Statistics (BLS) gathers information on full-time wage and salary workers.  According to the latest available BLS data, the mean hourly wage is $31.48 based on the BLS wage code – “00-0000 All Occupations.”  This information was taken from the following website: </w:t>
      </w:r>
      <w:hyperlink r:id="rId8" w:history="1">
        <w:r w:rsidRPr="00C91AAA">
          <w:rPr>
            <w:sz w:val="24"/>
            <w:szCs w:val="24"/>
            <w:u w:val="single"/>
          </w:rPr>
          <w:t>https://www.bls.gov/oes/current/oes_nat.htm</w:t>
        </w:r>
      </w:hyperlink>
      <w:r w:rsidRPr="00C91AAA">
        <w:rPr>
          <w:sz w:val="24"/>
          <w:szCs w:val="24"/>
        </w:rPr>
        <w:t xml:space="preserve">.   </w:t>
      </w:r>
    </w:p>
    <w:p w:rsidR="00744514" w:rsidRPr="00C91AAA" w:rsidP="00744514" w14:paraId="02E66A87" w14:textId="77777777">
      <w:pPr>
        <w:tabs>
          <w:tab w:val="left" w:pos="480"/>
          <w:tab w:val="right" w:pos="8640"/>
          <w:tab w:val="left" w:pos="9504"/>
        </w:tabs>
        <w:ind w:left="720" w:right="54"/>
        <w:rPr>
          <w:sz w:val="24"/>
          <w:szCs w:val="24"/>
        </w:rPr>
      </w:pPr>
    </w:p>
    <w:p w:rsidR="00C17C77" w:rsidRPr="00C91AAA" w:rsidP="00744514" w14:paraId="79B895B9" w14:textId="41502C61">
      <w:pPr>
        <w:tabs>
          <w:tab w:val="left" w:pos="480"/>
          <w:tab w:val="right" w:pos="8640"/>
        </w:tabs>
        <w:ind w:left="720" w:right="684"/>
        <w:rPr>
          <w:sz w:val="24"/>
          <w:szCs w:val="24"/>
        </w:rPr>
      </w:pPr>
      <w:r w:rsidRPr="00C91AAA">
        <w:rPr>
          <w:sz w:val="24"/>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Pr="00C91AAA" w:rsidR="004E4F19">
        <w:rPr>
          <w:sz w:val="24"/>
          <w:szCs w:val="24"/>
        </w:rPr>
        <w:t>2,</w:t>
      </w:r>
      <w:r w:rsidRPr="00C91AAA" w:rsidR="00E133BF">
        <w:rPr>
          <w:sz w:val="24"/>
          <w:szCs w:val="24"/>
        </w:rPr>
        <w:t>078</w:t>
      </w:r>
      <w:r w:rsidRPr="00C91AAA" w:rsidR="004E4F19">
        <w:rPr>
          <w:sz w:val="24"/>
          <w:szCs w:val="24"/>
        </w:rPr>
        <w:t>,</w:t>
      </w:r>
      <w:r w:rsidRPr="00C91AAA" w:rsidR="00E133BF">
        <w:rPr>
          <w:sz w:val="24"/>
          <w:szCs w:val="24"/>
        </w:rPr>
        <w:t>5</w:t>
      </w:r>
      <w:r w:rsidRPr="00C91AAA" w:rsidR="007F72DC">
        <w:rPr>
          <w:sz w:val="24"/>
          <w:szCs w:val="24"/>
        </w:rPr>
        <w:t>61</w:t>
      </w:r>
      <w:r w:rsidRPr="00C91AAA" w:rsidR="004E4F19">
        <w:rPr>
          <w:sz w:val="24"/>
          <w:szCs w:val="24"/>
        </w:rPr>
        <w:t>.</w:t>
      </w:r>
      <w:r w:rsidRPr="00C91AAA" w:rsidR="007F72DC">
        <w:rPr>
          <w:sz w:val="24"/>
          <w:szCs w:val="24"/>
        </w:rPr>
        <w:t>44</w:t>
      </w:r>
      <w:r w:rsidRPr="00C91AAA">
        <w:rPr>
          <w:sz w:val="24"/>
          <w:szCs w:val="24"/>
        </w:rPr>
        <w:t xml:space="preserve"> (</w:t>
      </w:r>
      <w:r w:rsidRPr="00C91AAA" w:rsidR="004E4F19">
        <w:rPr>
          <w:sz w:val="24"/>
          <w:szCs w:val="24"/>
        </w:rPr>
        <w:t>6</w:t>
      </w:r>
      <w:r w:rsidRPr="00C91AAA" w:rsidR="00E133BF">
        <w:rPr>
          <w:sz w:val="24"/>
          <w:szCs w:val="24"/>
        </w:rPr>
        <w:t>6</w:t>
      </w:r>
      <w:r w:rsidRPr="00C91AAA" w:rsidR="004E4F19">
        <w:rPr>
          <w:sz w:val="24"/>
          <w:szCs w:val="24"/>
        </w:rPr>
        <w:t>,</w:t>
      </w:r>
      <w:r w:rsidRPr="00C91AAA" w:rsidR="007F72DC">
        <w:rPr>
          <w:sz w:val="24"/>
          <w:szCs w:val="24"/>
        </w:rPr>
        <w:t>028</w:t>
      </w:r>
      <w:r w:rsidRPr="00C91AAA">
        <w:rPr>
          <w:sz w:val="24"/>
          <w:szCs w:val="24"/>
        </w:rPr>
        <w:t xml:space="preserve"> burden hours x $31.48 per hour).</w:t>
      </w:r>
      <w:bookmarkEnd w:id="12"/>
      <w:bookmarkEnd w:id="13"/>
    </w:p>
    <w:p w:rsidR="00744514" w:rsidRPr="00C91AAA" w:rsidP="00744514" w14:paraId="57280F11" w14:textId="77777777">
      <w:pPr>
        <w:tabs>
          <w:tab w:val="left" w:pos="480"/>
          <w:tab w:val="right" w:pos="8640"/>
        </w:tabs>
        <w:ind w:left="720" w:right="684"/>
        <w:rPr>
          <w:sz w:val="24"/>
          <w:szCs w:val="24"/>
        </w:rPr>
      </w:pPr>
    </w:p>
    <w:p w:rsidR="00C75126" w:rsidRPr="00C91AAA" w:rsidP="00744514" w14:paraId="5760F770" w14:textId="055166A8">
      <w:pPr>
        <w:pStyle w:val="BodyText3"/>
        <w:numPr>
          <w:ilvl w:val="0"/>
          <w:numId w:val="5"/>
        </w:numPr>
        <w:tabs>
          <w:tab w:val="left" w:pos="547"/>
          <w:tab w:val="left" w:pos="1627"/>
        </w:tabs>
        <w:spacing w:after="0"/>
        <w:contextualSpacing/>
        <w:rPr>
          <w:b/>
          <w:sz w:val="24"/>
          <w:szCs w:val="24"/>
          <w:u w:val="single"/>
        </w:rPr>
      </w:pPr>
      <w:bookmarkStart w:id="14" w:name="_Hlk2954995"/>
      <w:r w:rsidRPr="00C91AAA">
        <w:rPr>
          <w:b/>
          <w:sz w:val="24"/>
          <w:szCs w:val="24"/>
          <w:u w:val="single"/>
        </w:rPr>
        <w:t>Respondent Costs Other Than Burden Hour Costs</w:t>
      </w:r>
    </w:p>
    <w:bookmarkEnd w:id="14"/>
    <w:p w:rsidR="00744514" w:rsidRPr="008F5D7B" w:rsidP="008F5D7B" w14:paraId="1D9F2EDA" w14:textId="60A75200">
      <w:pPr>
        <w:pStyle w:val="BodyText3"/>
        <w:tabs>
          <w:tab w:val="left" w:pos="547"/>
          <w:tab w:val="left" w:pos="1627"/>
        </w:tabs>
        <w:ind w:left="360"/>
        <w:rPr>
          <w:sz w:val="24"/>
          <w:szCs w:val="20"/>
        </w:rPr>
      </w:pPr>
      <w:r w:rsidRPr="00C91AAA">
        <w:rPr>
          <w:sz w:val="24"/>
          <w:szCs w:val="20"/>
        </w:rPr>
        <w:t>There are no annualized costs to respondents other than the labor burden costs addressed in Section 12 of this document to complete this collection.</w:t>
      </w:r>
    </w:p>
    <w:p w:rsidR="00F54C17" w:rsidRPr="00C91AAA" w:rsidP="00744514" w14:paraId="707687BA" w14:textId="0EEC1EDF">
      <w:pPr>
        <w:pStyle w:val="ListParagraph"/>
        <w:numPr>
          <w:ilvl w:val="0"/>
          <w:numId w:val="5"/>
        </w:numPr>
        <w:tabs>
          <w:tab w:val="left" w:pos="480"/>
          <w:tab w:val="right" w:pos="8640"/>
        </w:tabs>
        <w:spacing w:after="120"/>
        <w:ind w:right="691"/>
        <w:contextualSpacing w:val="0"/>
        <w:rPr>
          <w:sz w:val="24"/>
        </w:rPr>
      </w:pPr>
      <w:bookmarkStart w:id="15" w:name="_Hlk173910834"/>
      <w:r w:rsidRPr="00C91AAA">
        <w:rPr>
          <w:b/>
          <w:bCs/>
          <w:sz w:val="24"/>
          <w:u w:val="single"/>
        </w:rPr>
        <w:t>Cost to the Federal Government</w:t>
      </w:r>
      <w:bookmarkEnd w:id="15"/>
    </w:p>
    <w:tbl>
      <w:tblPr>
        <w:tblW w:w="8656" w:type="dxa"/>
        <w:tblInd w:w="424" w:type="dxa"/>
        <w:tblLook w:val="04A0"/>
      </w:tblPr>
      <w:tblGrid>
        <w:gridCol w:w="803"/>
        <w:gridCol w:w="643"/>
        <w:gridCol w:w="923"/>
        <w:gridCol w:w="1016"/>
        <w:gridCol w:w="896"/>
        <w:gridCol w:w="1136"/>
        <w:gridCol w:w="1230"/>
        <w:gridCol w:w="2009"/>
      </w:tblGrid>
      <w:tr w14:paraId="1CC2C7CB" w14:textId="77777777" w:rsidTr="000F21EF">
        <w:tblPrEx>
          <w:tblW w:w="8656" w:type="dxa"/>
          <w:tblInd w:w="424" w:type="dxa"/>
          <w:tblLook w:val="04A0"/>
        </w:tblPrEx>
        <w:trPr>
          <w:trHeight w:val="570"/>
        </w:trPr>
        <w:tc>
          <w:tcPr>
            <w:tcW w:w="803" w:type="dxa"/>
            <w:tcBorders>
              <w:top w:val="single" w:sz="8" w:space="0" w:color="auto"/>
              <w:left w:val="single" w:sz="8" w:space="0" w:color="auto"/>
              <w:bottom w:val="single" w:sz="8" w:space="0" w:color="auto"/>
              <w:right w:val="single" w:sz="8" w:space="0" w:color="auto"/>
            </w:tcBorders>
            <w:shd w:val="clear" w:color="000000" w:fill="auto"/>
            <w:vAlign w:val="center"/>
            <w:hideMark/>
          </w:tcPr>
          <w:p w:rsidR="00744514" w:rsidRPr="00C91AAA" w:rsidP="00FF0602" w14:paraId="086D8906" w14:textId="77777777">
            <w:pPr>
              <w:jc w:val="center"/>
              <w:rPr>
                <w:sz w:val="24"/>
                <w:szCs w:val="24"/>
              </w:rPr>
            </w:pPr>
            <w:r w:rsidRPr="00C91AAA">
              <w:rPr>
                <w:sz w:val="24"/>
                <w:szCs w:val="24"/>
              </w:rPr>
              <w:t>Grade</w:t>
            </w:r>
          </w:p>
        </w:tc>
        <w:tc>
          <w:tcPr>
            <w:tcW w:w="643" w:type="dxa"/>
            <w:tcBorders>
              <w:top w:val="single" w:sz="8" w:space="0" w:color="auto"/>
              <w:left w:val="nil"/>
              <w:bottom w:val="single" w:sz="8" w:space="0" w:color="auto"/>
              <w:right w:val="single" w:sz="8" w:space="0" w:color="auto"/>
            </w:tcBorders>
            <w:shd w:val="clear" w:color="000000" w:fill="auto"/>
            <w:vAlign w:val="center"/>
            <w:hideMark/>
          </w:tcPr>
          <w:p w:rsidR="00744514" w:rsidRPr="00C91AAA" w:rsidP="00FF0602" w14:paraId="6D2E67B8" w14:textId="77777777">
            <w:pPr>
              <w:jc w:val="center"/>
              <w:rPr>
                <w:sz w:val="24"/>
                <w:szCs w:val="24"/>
              </w:rPr>
            </w:pPr>
            <w:r w:rsidRPr="00C91AAA">
              <w:rPr>
                <w:sz w:val="24"/>
                <w:szCs w:val="24"/>
              </w:rPr>
              <w:t>Step</w:t>
            </w:r>
          </w:p>
        </w:tc>
        <w:tc>
          <w:tcPr>
            <w:tcW w:w="923" w:type="dxa"/>
            <w:tcBorders>
              <w:top w:val="single" w:sz="8" w:space="0" w:color="auto"/>
              <w:left w:val="nil"/>
              <w:bottom w:val="single" w:sz="8" w:space="0" w:color="auto"/>
              <w:right w:val="single" w:sz="8" w:space="0" w:color="auto"/>
            </w:tcBorders>
            <w:shd w:val="clear" w:color="000000" w:fill="auto"/>
            <w:vAlign w:val="center"/>
            <w:hideMark/>
          </w:tcPr>
          <w:p w:rsidR="00744514" w:rsidRPr="00C91AAA" w:rsidP="00FF0602" w14:paraId="284DF50E" w14:textId="77777777">
            <w:pPr>
              <w:jc w:val="center"/>
              <w:rPr>
                <w:sz w:val="24"/>
                <w:szCs w:val="24"/>
              </w:rPr>
            </w:pPr>
            <w:r w:rsidRPr="00C91AAA">
              <w:rPr>
                <w:sz w:val="24"/>
                <w:szCs w:val="24"/>
              </w:rPr>
              <w:t>Burden Time</w:t>
            </w:r>
          </w:p>
        </w:tc>
        <w:tc>
          <w:tcPr>
            <w:tcW w:w="1016" w:type="dxa"/>
            <w:tcBorders>
              <w:top w:val="single" w:sz="8" w:space="0" w:color="auto"/>
              <w:left w:val="nil"/>
              <w:bottom w:val="single" w:sz="8" w:space="0" w:color="auto"/>
              <w:right w:val="single" w:sz="8" w:space="0" w:color="auto"/>
            </w:tcBorders>
            <w:shd w:val="clear" w:color="000000" w:fill="auto"/>
            <w:vAlign w:val="center"/>
            <w:hideMark/>
          </w:tcPr>
          <w:p w:rsidR="00744514" w:rsidRPr="00C91AAA" w:rsidP="00FF0602" w14:paraId="51BEF3A0" w14:textId="77777777">
            <w:pPr>
              <w:jc w:val="center"/>
              <w:rPr>
                <w:sz w:val="24"/>
                <w:szCs w:val="24"/>
              </w:rPr>
            </w:pPr>
            <w:r w:rsidRPr="00C91AAA">
              <w:rPr>
                <w:sz w:val="24"/>
                <w:szCs w:val="24"/>
              </w:rPr>
              <w:t>Fraction of Hour</w:t>
            </w:r>
          </w:p>
        </w:tc>
        <w:tc>
          <w:tcPr>
            <w:tcW w:w="896" w:type="dxa"/>
            <w:tcBorders>
              <w:top w:val="single" w:sz="8" w:space="0" w:color="auto"/>
              <w:left w:val="nil"/>
              <w:bottom w:val="single" w:sz="8" w:space="0" w:color="auto"/>
              <w:right w:val="single" w:sz="8" w:space="0" w:color="auto"/>
            </w:tcBorders>
            <w:shd w:val="clear" w:color="000000" w:fill="auto"/>
            <w:vAlign w:val="center"/>
            <w:hideMark/>
          </w:tcPr>
          <w:p w:rsidR="00744514" w:rsidRPr="00C91AAA" w:rsidP="00FF0602" w14:paraId="25951D4A" w14:textId="77777777">
            <w:pPr>
              <w:jc w:val="center"/>
              <w:rPr>
                <w:sz w:val="24"/>
                <w:szCs w:val="24"/>
              </w:rPr>
            </w:pPr>
            <w:r w:rsidRPr="00C91AAA">
              <w:rPr>
                <w:sz w:val="24"/>
                <w:szCs w:val="24"/>
              </w:rPr>
              <w:t>Hourly Rate</w:t>
            </w:r>
          </w:p>
        </w:tc>
        <w:tc>
          <w:tcPr>
            <w:tcW w:w="1136" w:type="dxa"/>
            <w:tcBorders>
              <w:top w:val="single" w:sz="8" w:space="0" w:color="auto"/>
              <w:left w:val="nil"/>
              <w:bottom w:val="single" w:sz="8" w:space="0" w:color="auto"/>
              <w:right w:val="single" w:sz="8" w:space="0" w:color="auto"/>
            </w:tcBorders>
            <w:shd w:val="clear" w:color="000000" w:fill="auto"/>
            <w:vAlign w:val="center"/>
            <w:hideMark/>
          </w:tcPr>
          <w:p w:rsidR="00744514" w:rsidRPr="00C91AAA" w:rsidP="00FF0602" w14:paraId="64916364" w14:textId="77777777">
            <w:pPr>
              <w:jc w:val="center"/>
              <w:rPr>
                <w:sz w:val="24"/>
                <w:szCs w:val="24"/>
              </w:rPr>
            </w:pPr>
            <w:r w:rsidRPr="00C91AAA">
              <w:rPr>
                <w:sz w:val="24"/>
                <w:szCs w:val="24"/>
              </w:rPr>
              <w:t>Cost Per Response</w:t>
            </w:r>
          </w:p>
        </w:tc>
        <w:tc>
          <w:tcPr>
            <w:tcW w:w="1230" w:type="dxa"/>
            <w:tcBorders>
              <w:top w:val="single" w:sz="8" w:space="0" w:color="auto"/>
              <w:left w:val="nil"/>
              <w:bottom w:val="single" w:sz="8" w:space="0" w:color="auto"/>
              <w:right w:val="single" w:sz="8" w:space="0" w:color="auto"/>
            </w:tcBorders>
            <w:shd w:val="clear" w:color="000000" w:fill="auto"/>
            <w:vAlign w:val="center"/>
            <w:hideMark/>
          </w:tcPr>
          <w:p w:rsidR="00744514" w:rsidRPr="00C91AAA" w:rsidP="00FF0602" w14:paraId="389EE66B" w14:textId="77777777">
            <w:pPr>
              <w:jc w:val="center"/>
              <w:rPr>
                <w:sz w:val="24"/>
                <w:szCs w:val="24"/>
              </w:rPr>
            </w:pPr>
            <w:r w:rsidRPr="00C91AAA">
              <w:rPr>
                <w:sz w:val="24"/>
                <w:szCs w:val="24"/>
              </w:rPr>
              <w:t>Total Responses</w:t>
            </w:r>
          </w:p>
        </w:tc>
        <w:tc>
          <w:tcPr>
            <w:tcW w:w="2009" w:type="dxa"/>
            <w:tcBorders>
              <w:top w:val="single" w:sz="8" w:space="0" w:color="auto"/>
              <w:left w:val="nil"/>
              <w:bottom w:val="single" w:sz="8" w:space="0" w:color="auto"/>
              <w:right w:val="single" w:sz="8" w:space="0" w:color="auto"/>
            </w:tcBorders>
            <w:shd w:val="clear" w:color="000000" w:fill="auto"/>
            <w:vAlign w:val="center"/>
            <w:hideMark/>
          </w:tcPr>
          <w:p w:rsidR="00744514" w:rsidRPr="00C91AAA" w:rsidP="00FF0602" w14:paraId="42FA70B6" w14:textId="77777777">
            <w:pPr>
              <w:jc w:val="center"/>
              <w:rPr>
                <w:sz w:val="24"/>
                <w:szCs w:val="24"/>
              </w:rPr>
            </w:pPr>
            <w:r w:rsidRPr="00C91AAA">
              <w:rPr>
                <w:sz w:val="24"/>
                <w:szCs w:val="24"/>
              </w:rPr>
              <w:t>Total</w:t>
            </w:r>
          </w:p>
        </w:tc>
      </w:tr>
      <w:tr w14:paraId="1468477D" w14:textId="77777777" w:rsidTr="00A978D3">
        <w:tblPrEx>
          <w:tblW w:w="8656" w:type="dxa"/>
          <w:tblInd w:w="424" w:type="dxa"/>
          <w:tblLook w:val="04A0"/>
        </w:tblPrEx>
        <w:trPr>
          <w:trHeight w:val="290"/>
        </w:trPr>
        <w:tc>
          <w:tcPr>
            <w:tcW w:w="803" w:type="dxa"/>
            <w:tcBorders>
              <w:top w:val="nil"/>
              <w:left w:val="single" w:sz="8" w:space="0" w:color="auto"/>
              <w:bottom w:val="single" w:sz="4" w:space="0" w:color="auto"/>
              <w:right w:val="single" w:sz="4" w:space="0" w:color="auto"/>
            </w:tcBorders>
            <w:shd w:val="clear" w:color="auto" w:fill="auto"/>
            <w:vAlign w:val="bottom"/>
            <w:hideMark/>
          </w:tcPr>
          <w:p w:rsidR="00744514" w:rsidRPr="00C91AAA" w:rsidP="00FF0602" w14:paraId="777769C5" w14:textId="77777777">
            <w:pPr>
              <w:jc w:val="center"/>
              <w:rPr>
                <w:sz w:val="24"/>
                <w:szCs w:val="24"/>
              </w:rPr>
            </w:pPr>
            <w:r w:rsidRPr="00C91AAA">
              <w:rPr>
                <w:sz w:val="24"/>
                <w:szCs w:val="24"/>
              </w:rPr>
              <w:t>9</w:t>
            </w:r>
          </w:p>
        </w:tc>
        <w:tc>
          <w:tcPr>
            <w:tcW w:w="643" w:type="dxa"/>
            <w:tcBorders>
              <w:top w:val="nil"/>
              <w:left w:val="nil"/>
              <w:bottom w:val="single" w:sz="4" w:space="0" w:color="auto"/>
              <w:right w:val="single" w:sz="4" w:space="0" w:color="auto"/>
            </w:tcBorders>
            <w:shd w:val="clear" w:color="auto" w:fill="auto"/>
            <w:vAlign w:val="bottom"/>
            <w:hideMark/>
          </w:tcPr>
          <w:p w:rsidR="00744514" w:rsidRPr="00C91AAA" w:rsidP="00FF0602" w14:paraId="3B219F28" w14:textId="77777777">
            <w:pPr>
              <w:jc w:val="center"/>
              <w:rPr>
                <w:sz w:val="24"/>
                <w:szCs w:val="24"/>
              </w:rPr>
            </w:pPr>
            <w:r w:rsidRPr="00C91AAA">
              <w:rPr>
                <w:sz w:val="24"/>
                <w:szCs w:val="24"/>
              </w:rPr>
              <w:t>3</w:t>
            </w:r>
          </w:p>
        </w:tc>
        <w:tc>
          <w:tcPr>
            <w:tcW w:w="923" w:type="dxa"/>
            <w:tcBorders>
              <w:top w:val="nil"/>
              <w:left w:val="nil"/>
              <w:bottom w:val="single" w:sz="4" w:space="0" w:color="auto"/>
              <w:right w:val="single" w:sz="4" w:space="0" w:color="auto"/>
            </w:tcBorders>
            <w:shd w:val="clear" w:color="auto" w:fill="auto"/>
            <w:vAlign w:val="bottom"/>
            <w:hideMark/>
          </w:tcPr>
          <w:p w:rsidR="00744514" w:rsidRPr="00C91AAA" w:rsidP="00FF0602" w14:paraId="13E38D49" w14:textId="0D5C9391">
            <w:pPr>
              <w:jc w:val="center"/>
              <w:rPr>
                <w:sz w:val="24"/>
                <w:szCs w:val="24"/>
              </w:rPr>
            </w:pPr>
            <w:r w:rsidRPr="00C91AAA">
              <w:rPr>
                <w:sz w:val="24"/>
                <w:szCs w:val="24"/>
              </w:rPr>
              <w:t>30</w:t>
            </w:r>
          </w:p>
        </w:tc>
        <w:tc>
          <w:tcPr>
            <w:tcW w:w="1016" w:type="dxa"/>
            <w:tcBorders>
              <w:top w:val="nil"/>
              <w:left w:val="nil"/>
              <w:bottom w:val="single" w:sz="4" w:space="0" w:color="auto"/>
              <w:right w:val="single" w:sz="4" w:space="0" w:color="auto"/>
            </w:tcBorders>
            <w:shd w:val="clear" w:color="auto" w:fill="auto"/>
            <w:vAlign w:val="bottom"/>
            <w:hideMark/>
          </w:tcPr>
          <w:p w:rsidR="00744514" w:rsidRPr="00C91AAA" w:rsidP="00FF0602" w14:paraId="1BAFF580" w14:textId="0AEC380E">
            <w:pPr>
              <w:jc w:val="center"/>
              <w:rPr>
                <w:sz w:val="24"/>
                <w:szCs w:val="24"/>
              </w:rPr>
            </w:pPr>
            <w:r w:rsidRPr="00C91AAA">
              <w:rPr>
                <w:sz w:val="24"/>
                <w:szCs w:val="24"/>
              </w:rPr>
              <w:t>0.</w:t>
            </w:r>
            <w:r w:rsidRPr="00C91AAA" w:rsidR="00A978D3">
              <w:rPr>
                <w:sz w:val="24"/>
                <w:szCs w:val="24"/>
              </w:rPr>
              <w:t>50</w:t>
            </w:r>
          </w:p>
        </w:tc>
        <w:tc>
          <w:tcPr>
            <w:tcW w:w="896" w:type="dxa"/>
            <w:tcBorders>
              <w:top w:val="nil"/>
              <w:left w:val="nil"/>
              <w:bottom w:val="single" w:sz="4" w:space="0" w:color="auto"/>
              <w:right w:val="single" w:sz="4" w:space="0" w:color="auto"/>
            </w:tcBorders>
            <w:shd w:val="clear" w:color="auto" w:fill="auto"/>
            <w:vAlign w:val="bottom"/>
            <w:hideMark/>
          </w:tcPr>
          <w:p w:rsidR="00744514" w:rsidRPr="00C91AAA" w:rsidP="00FF0602" w14:paraId="4869EA05" w14:textId="77777777">
            <w:pPr>
              <w:jc w:val="center"/>
              <w:rPr>
                <w:sz w:val="24"/>
                <w:szCs w:val="24"/>
              </w:rPr>
            </w:pPr>
            <w:r w:rsidRPr="00C91AAA">
              <w:rPr>
                <w:sz w:val="24"/>
                <w:szCs w:val="24"/>
              </w:rPr>
              <w:t xml:space="preserve"> $26.24 </w:t>
            </w:r>
          </w:p>
        </w:tc>
        <w:tc>
          <w:tcPr>
            <w:tcW w:w="1136" w:type="dxa"/>
            <w:tcBorders>
              <w:top w:val="nil"/>
              <w:left w:val="nil"/>
              <w:bottom w:val="single" w:sz="4" w:space="0" w:color="auto"/>
              <w:right w:val="single" w:sz="4" w:space="0" w:color="auto"/>
            </w:tcBorders>
            <w:shd w:val="clear" w:color="auto" w:fill="auto"/>
            <w:vAlign w:val="bottom"/>
            <w:hideMark/>
          </w:tcPr>
          <w:p w:rsidR="00744514" w:rsidRPr="00C91AAA" w:rsidP="00FF0602" w14:paraId="22439656" w14:textId="7222D566">
            <w:pPr>
              <w:jc w:val="center"/>
              <w:rPr>
                <w:sz w:val="24"/>
                <w:szCs w:val="24"/>
              </w:rPr>
            </w:pPr>
            <w:r w:rsidRPr="00C91AAA">
              <w:rPr>
                <w:sz w:val="24"/>
                <w:szCs w:val="24"/>
              </w:rPr>
              <w:t>13.120</w:t>
            </w:r>
          </w:p>
        </w:tc>
        <w:tc>
          <w:tcPr>
            <w:tcW w:w="1230" w:type="dxa"/>
            <w:tcBorders>
              <w:top w:val="nil"/>
              <w:left w:val="nil"/>
              <w:bottom w:val="single" w:sz="4" w:space="0" w:color="auto"/>
              <w:right w:val="single" w:sz="4" w:space="0" w:color="auto"/>
            </w:tcBorders>
            <w:shd w:val="clear" w:color="auto" w:fill="auto"/>
            <w:vAlign w:val="bottom"/>
            <w:hideMark/>
          </w:tcPr>
          <w:p w:rsidR="00744514" w:rsidRPr="00C91AAA" w:rsidP="00FF0602" w14:paraId="15EB36E3" w14:textId="38BC1B45">
            <w:pPr>
              <w:jc w:val="center"/>
              <w:rPr>
                <w:sz w:val="24"/>
                <w:szCs w:val="24"/>
              </w:rPr>
            </w:pPr>
            <w:r w:rsidRPr="00C91AAA">
              <w:rPr>
                <w:sz w:val="24"/>
                <w:szCs w:val="24"/>
              </w:rPr>
              <w:t xml:space="preserve">   </w:t>
            </w:r>
            <w:r w:rsidRPr="00C91AAA" w:rsidR="00A978D3">
              <w:rPr>
                <w:sz w:val="24"/>
                <w:szCs w:val="24"/>
              </w:rPr>
              <w:t>132</w:t>
            </w:r>
            <w:r w:rsidRPr="00C91AAA">
              <w:rPr>
                <w:sz w:val="24"/>
                <w:szCs w:val="24"/>
              </w:rPr>
              <w:t>,</w:t>
            </w:r>
            <w:r w:rsidRPr="00C91AAA" w:rsidR="00A978D3">
              <w:rPr>
                <w:sz w:val="24"/>
                <w:szCs w:val="24"/>
              </w:rPr>
              <w:t>055</w:t>
            </w:r>
            <w:r w:rsidRPr="00C91AAA">
              <w:rPr>
                <w:sz w:val="24"/>
                <w:szCs w:val="24"/>
              </w:rPr>
              <w:t xml:space="preserve"> </w:t>
            </w:r>
          </w:p>
        </w:tc>
        <w:tc>
          <w:tcPr>
            <w:tcW w:w="2009" w:type="dxa"/>
            <w:tcBorders>
              <w:top w:val="nil"/>
              <w:left w:val="nil"/>
              <w:bottom w:val="single" w:sz="4" w:space="0" w:color="auto"/>
              <w:right w:val="single" w:sz="8" w:space="0" w:color="auto"/>
            </w:tcBorders>
            <w:shd w:val="clear" w:color="auto" w:fill="auto"/>
            <w:vAlign w:val="bottom"/>
            <w:hideMark/>
          </w:tcPr>
          <w:p w:rsidR="00744514" w:rsidRPr="00C91AAA" w:rsidP="00FF0602" w14:paraId="7BA56D8A" w14:textId="50F9AB3C">
            <w:pPr>
              <w:jc w:val="center"/>
              <w:rPr>
                <w:sz w:val="24"/>
                <w:szCs w:val="24"/>
              </w:rPr>
            </w:pPr>
            <w:r w:rsidRPr="00C91AAA">
              <w:rPr>
                <w:sz w:val="24"/>
                <w:szCs w:val="24"/>
              </w:rPr>
              <w:t xml:space="preserve"> $     </w:t>
            </w:r>
            <w:r w:rsidRPr="00C91AAA" w:rsidR="00A978D3">
              <w:rPr>
                <w:sz w:val="24"/>
                <w:szCs w:val="24"/>
              </w:rPr>
              <w:t>1</w:t>
            </w:r>
            <w:r w:rsidRPr="00C91AAA">
              <w:rPr>
                <w:sz w:val="24"/>
                <w:szCs w:val="24"/>
              </w:rPr>
              <w:t>,7</w:t>
            </w:r>
            <w:r w:rsidRPr="00C91AAA" w:rsidR="00A978D3">
              <w:rPr>
                <w:sz w:val="24"/>
                <w:szCs w:val="24"/>
              </w:rPr>
              <w:t>32,561</w:t>
            </w:r>
            <w:r w:rsidRPr="00C91AAA">
              <w:rPr>
                <w:sz w:val="24"/>
                <w:szCs w:val="24"/>
              </w:rPr>
              <w:t>.</w:t>
            </w:r>
            <w:r w:rsidRPr="00C91AAA" w:rsidR="00A978D3">
              <w:rPr>
                <w:sz w:val="24"/>
                <w:szCs w:val="24"/>
              </w:rPr>
              <w:t>60</w:t>
            </w:r>
            <w:r w:rsidRPr="00C91AAA">
              <w:rPr>
                <w:sz w:val="24"/>
                <w:szCs w:val="24"/>
              </w:rPr>
              <w:t xml:space="preserve"> </w:t>
            </w:r>
          </w:p>
        </w:tc>
      </w:tr>
      <w:tr w14:paraId="7CB2DA93" w14:textId="77777777" w:rsidTr="00A978D3">
        <w:tblPrEx>
          <w:tblW w:w="865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44514" w:rsidRPr="00C91AAA" w:rsidP="00FF0602" w14:paraId="7F8B3FBA" w14:textId="77777777">
            <w:pPr>
              <w:rPr>
                <w:sz w:val="24"/>
                <w:szCs w:val="24"/>
              </w:rPr>
            </w:pPr>
            <w:r w:rsidRPr="00C91AAA">
              <w:rPr>
                <w:sz w:val="24"/>
                <w:szCs w:val="24"/>
              </w:rPr>
              <w:t>Overhead at 100% Salary</w:t>
            </w:r>
          </w:p>
        </w:tc>
        <w:tc>
          <w:tcPr>
            <w:tcW w:w="2009" w:type="dxa"/>
            <w:tcBorders>
              <w:top w:val="nil"/>
              <w:left w:val="nil"/>
              <w:bottom w:val="single" w:sz="4" w:space="0" w:color="auto"/>
              <w:right w:val="single" w:sz="8" w:space="0" w:color="auto"/>
            </w:tcBorders>
            <w:shd w:val="clear" w:color="auto" w:fill="auto"/>
            <w:vAlign w:val="bottom"/>
            <w:hideMark/>
          </w:tcPr>
          <w:p w:rsidR="00744514" w:rsidRPr="00C91AAA" w:rsidP="00FF0602" w14:paraId="1C18C10D" w14:textId="1ABF201C">
            <w:pPr>
              <w:jc w:val="center"/>
              <w:rPr>
                <w:sz w:val="24"/>
                <w:szCs w:val="24"/>
              </w:rPr>
            </w:pPr>
            <w:r w:rsidRPr="00C91AAA">
              <w:rPr>
                <w:sz w:val="24"/>
                <w:szCs w:val="24"/>
              </w:rPr>
              <w:t xml:space="preserve"> $     </w:t>
            </w:r>
            <w:r w:rsidRPr="00C91AAA" w:rsidR="00A978D3">
              <w:rPr>
                <w:sz w:val="24"/>
                <w:szCs w:val="24"/>
              </w:rPr>
              <w:t>1,732,561.60</w:t>
            </w:r>
          </w:p>
        </w:tc>
      </w:tr>
      <w:tr w14:paraId="1ED43AE9" w14:textId="77777777" w:rsidTr="00A978D3">
        <w:tblPrEx>
          <w:tblW w:w="8656" w:type="dxa"/>
          <w:tblInd w:w="424" w:type="dxa"/>
          <w:tblLook w:val="04A0"/>
        </w:tblPrEx>
        <w:trPr>
          <w:trHeight w:val="290"/>
        </w:trPr>
        <w:tc>
          <w:tcPr>
            <w:tcW w:w="803" w:type="dxa"/>
            <w:tcBorders>
              <w:top w:val="nil"/>
              <w:left w:val="single" w:sz="8" w:space="0" w:color="auto"/>
              <w:bottom w:val="single" w:sz="4" w:space="0" w:color="auto"/>
              <w:right w:val="single" w:sz="4" w:space="0" w:color="auto"/>
            </w:tcBorders>
            <w:shd w:val="clear" w:color="auto" w:fill="auto"/>
            <w:vAlign w:val="bottom"/>
            <w:hideMark/>
          </w:tcPr>
          <w:p w:rsidR="00744514" w:rsidRPr="00C91AAA" w:rsidP="00FF0602" w14:paraId="747824D9" w14:textId="77777777">
            <w:pPr>
              <w:jc w:val="center"/>
              <w:rPr>
                <w:sz w:val="24"/>
                <w:szCs w:val="24"/>
              </w:rPr>
            </w:pPr>
            <w:r w:rsidRPr="00C91AAA">
              <w:rPr>
                <w:sz w:val="24"/>
                <w:szCs w:val="24"/>
              </w:rPr>
              <w:t>12</w:t>
            </w:r>
          </w:p>
        </w:tc>
        <w:tc>
          <w:tcPr>
            <w:tcW w:w="643" w:type="dxa"/>
            <w:tcBorders>
              <w:top w:val="nil"/>
              <w:left w:val="nil"/>
              <w:bottom w:val="single" w:sz="4" w:space="0" w:color="auto"/>
              <w:right w:val="single" w:sz="4" w:space="0" w:color="auto"/>
            </w:tcBorders>
            <w:shd w:val="clear" w:color="auto" w:fill="auto"/>
            <w:vAlign w:val="bottom"/>
            <w:hideMark/>
          </w:tcPr>
          <w:p w:rsidR="00744514" w:rsidRPr="00C91AAA" w:rsidP="00FF0602" w14:paraId="402A84F4" w14:textId="77777777">
            <w:pPr>
              <w:jc w:val="center"/>
              <w:rPr>
                <w:sz w:val="24"/>
                <w:szCs w:val="24"/>
              </w:rPr>
            </w:pPr>
            <w:r w:rsidRPr="00C91AAA">
              <w:rPr>
                <w:sz w:val="24"/>
                <w:szCs w:val="24"/>
              </w:rPr>
              <w:t>3</w:t>
            </w:r>
          </w:p>
        </w:tc>
        <w:tc>
          <w:tcPr>
            <w:tcW w:w="923" w:type="dxa"/>
            <w:tcBorders>
              <w:top w:val="nil"/>
              <w:left w:val="nil"/>
              <w:bottom w:val="single" w:sz="4" w:space="0" w:color="auto"/>
              <w:right w:val="single" w:sz="4" w:space="0" w:color="auto"/>
            </w:tcBorders>
            <w:shd w:val="clear" w:color="auto" w:fill="auto"/>
            <w:vAlign w:val="bottom"/>
            <w:hideMark/>
          </w:tcPr>
          <w:p w:rsidR="00744514" w:rsidRPr="00C91AAA" w:rsidP="00FF0602" w14:paraId="3A3B62AD" w14:textId="3395C75E">
            <w:pPr>
              <w:jc w:val="center"/>
              <w:rPr>
                <w:sz w:val="24"/>
                <w:szCs w:val="24"/>
              </w:rPr>
            </w:pPr>
            <w:r w:rsidRPr="00C91AAA">
              <w:rPr>
                <w:sz w:val="24"/>
                <w:szCs w:val="24"/>
              </w:rPr>
              <w:t>15</w:t>
            </w:r>
          </w:p>
        </w:tc>
        <w:tc>
          <w:tcPr>
            <w:tcW w:w="1016" w:type="dxa"/>
            <w:tcBorders>
              <w:top w:val="nil"/>
              <w:left w:val="nil"/>
              <w:bottom w:val="single" w:sz="4" w:space="0" w:color="auto"/>
              <w:right w:val="single" w:sz="4" w:space="0" w:color="auto"/>
            </w:tcBorders>
            <w:shd w:val="clear" w:color="auto" w:fill="auto"/>
            <w:vAlign w:val="bottom"/>
            <w:hideMark/>
          </w:tcPr>
          <w:p w:rsidR="00744514" w:rsidRPr="00C91AAA" w:rsidP="00FF0602" w14:paraId="13455F1E" w14:textId="4CFD6CA2">
            <w:pPr>
              <w:jc w:val="center"/>
              <w:rPr>
                <w:sz w:val="24"/>
                <w:szCs w:val="24"/>
              </w:rPr>
            </w:pPr>
            <w:r w:rsidRPr="00C91AAA">
              <w:rPr>
                <w:sz w:val="24"/>
                <w:szCs w:val="24"/>
              </w:rPr>
              <w:t>0.</w:t>
            </w:r>
            <w:r w:rsidRPr="00C91AAA" w:rsidR="00A978D3">
              <w:rPr>
                <w:sz w:val="24"/>
                <w:szCs w:val="24"/>
              </w:rPr>
              <w:t>25</w:t>
            </w:r>
          </w:p>
        </w:tc>
        <w:tc>
          <w:tcPr>
            <w:tcW w:w="896" w:type="dxa"/>
            <w:tcBorders>
              <w:top w:val="nil"/>
              <w:left w:val="nil"/>
              <w:bottom w:val="single" w:sz="4" w:space="0" w:color="auto"/>
              <w:right w:val="single" w:sz="4" w:space="0" w:color="auto"/>
            </w:tcBorders>
            <w:shd w:val="clear" w:color="auto" w:fill="auto"/>
            <w:vAlign w:val="bottom"/>
            <w:hideMark/>
          </w:tcPr>
          <w:p w:rsidR="00744514" w:rsidRPr="00C91AAA" w:rsidP="00FF0602" w14:paraId="675EB453" w14:textId="77777777">
            <w:pPr>
              <w:jc w:val="center"/>
              <w:rPr>
                <w:sz w:val="24"/>
                <w:szCs w:val="24"/>
              </w:rPr>
            </w:pPr>
            <w:r w:rsidRPr="00C91AAA">
              <w:rPr>
                <w:sz w:val="24"/>
                <w:szCs w:val="24"/>
              </w:rPr>
              <w:t xml:space="preserve"> $38.05 </w:t>
            </w:r>
          </w:p>
        </w:tc>
        <w:tc>
          <w:tcPr>
            <w:tcW w:w="1136" w:type="dxa"/>
            <w:tcBorders>
              <w:top w:val="nil"/>
              <w:left w:val="nil"/>
              <w:bottom w:val="single" w:sz="4" w:space="0" w:color="auto"/>
              <w:right w:val="single" w:sz="4" w:space="0" w:color="auto"/>
            </w:tcBorders>
            <w:shd w:val="clear" w:color="auto" w:fill="auto"/>
            <w:vAlign w:val="bottom"/>
            <w:hideMark/>
          </w:tcPr>
          <w:p w:rsidR="00744514" w:rsidRPr="00C91AAA" w:rsidP="00FF0602" w14:paraId="3738B75C" w14:textId="642BDDD9">
            <w:pPr>
              <w:jc w:val="center"/>
              <w:rPr>
                <w:sz w:val="24"/>
                <w:szCs w:val="24"/>
              </w:rPr>
            </w:pPr>
            <w:r w:rsidRPr="00C91AAA">
              <w:rPr>
                <w:sz w:val="24"/>
                <w:szCs w:val="24"/>
              </w:rPr>
              <w:t>9.513</w:t>
            </w:r>
          </w:p>
        </w:tc>
        <w:tc>
          <w:tcPr>
            <w:tcW w:w="1230" w:type="dxa"/>
            <w:tcBorders>
              <w:top w:val="nil"/>
              <w:left w:val="nil"/>
              <w:bottom w:val="single" w:sz="4" w:space="0" w:color="auto"/>
              <w:right w:val="single" w:sz="4" w:space="0" w:color="auto"/>
            </w:tcBorders>
            <w:shd w:val="clear" w:color="auto" w:fill="auto"/>
            <w:vAlign w:val="bottom"/>
            <w:hideMark/>
          </w:tcPr>
          <w:p w:rsidR="00744514" w:rsidRPr="00C91AAA" w:rsidP="00FF0602" w14:paraId="15DF0AC8" w14:textId="3C571509">
            <w:pPr>
              <w:jc w:val="center"/>
              <w:rPr>
                <w:sz w:val="24"/>
                <w:szCs w:val="24"/>
              </w:rPr>
            </w:pPr>
            <w:r w:rsidRPr="00C91AAA">
              <w:rPr>
                <w:sz w:val="24"/>
                <w:szCs w:val="24"/>
              </w:rPr>
              <w:t xml:space="preserve">   13</w:t>
            </w:r>
            <w:r w:rsidRPr="00C91AAA" w:rsidR="00A978D3">
              <w:rPr>
                <w:sz w:val="24"/>
                <w:szCs w:val="24"/>
              </w:rPr>
              <w:t>2</w:t>
            </w:r>
            <w:r w:rsidRPr="00C91AAA">
              <w:rPr>
                <w:sz w:val="24"/>
                <w:szCs w:val="24"/>
              </w:rPr>
              <w:t>,</w:t>
            </w:r>
            <w:r w:rsidRPr="00C91AAA" w:rsidR="00A978D3">
              <w:rPr>
                <w:sz w:val="24"/>
                <w:szCs w:val="24"/>
              </w:rPr>
              <w:t>055</w:t>
            </w:r>
            <w:r w:rsidRPr="00C91AAA">
              <w:rPr>
                <w:sz w:val="24"/>
                <w:szCs w:val="24"/>
              </w:rPr>
              <w:t xml:space="preserve"> </w:t>
            </w:r>
          </w:p>
        </w:tc>
        <w:tc>
          <w:tcPr>
            <w:tcW w:w="2009" w:type="dxa"/>
            <w:tcBorders>
              <w:top w:val="nil"/>
              <w:left w:val="nil"/>
              <w:bottom w:val="single" w:sz="4" w:space="0" w:color="auto"/>
              <w:right w:val="single" w:sz="8" w:space="0" w:color="auto"/>
            </w:tcBorders>
            <w:shd w:val="clear" w:color="auto" w:fill="auto"/>
            <w:vAlign w:val="bottom"/>
            <w:hideMark/>
          </w:tcPr>
          <w:p w:rsidR="00744514" w:rsidRPr="00C91AAA" w:rsidP="00FF0602" w14:paraId="28AD63A3" w14:textId="4C5CD92F">
            <w:pPr>
              <w:jc w:val="center"/>
              <w:rPr>
                <w:sz w:val="24"/>
                <w:szCs w:val="24"/>
              </w:rPr>
            </w:pPr>
            <w:r w:rsidRPr="00C91AAA">
              <w:rPr>
                <w:sz w:val="24"/>
                <w:szCs w:val="24"/>
              </w:rPr>
              <w:t xml:space="preserve"> $     </w:t>
            </w:r>
            <w:r w:rsidRPr="00C91AAA" w:rsidR="00A978D3">
              <w:rPr>
                <w:sz w:val="24"/>
                <w:szCs w:val="24"/>
              </w:rPr>
              <w:t>1,256,173.19</w:t>
            </w:r>
          </w:p>
        </w:tc>
      </w:tr>
      <w:tr w14:paraId="03D2395D" w14:textId="77777777" w:rsidTr="00A978D3">
        <w:tblPrEx>
          <w:tblW w:w="865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44514" w:rsidRPr="00C91AAA" w:rsidP="00FF0602" w14:paraId="4EE4B630" w14:textId="77777777">
            <w:pPr>
              <w:rPr>
                <w:sz w:val="24"/>
                <w:szCs w:val="24"/>
              </w:rPr>
            </w:pPr>
            <w:r w:rsidRPr="00C91AAA">
              <w:rPr>
                <w:sz w:val="24"/>
                <w:szCs w:val="24"/>
              </w:rPr>
              <w:t>Overhead at 100% Salary</w:t>
            </w:r>
          </w:p>
        </w:tc>
        <w:tc>
          <w:tcPr>
            <w:tcW w:w="2009" w:type="dxa"/>
            <w:tcBorders>
              <w:top w:val="nil"/>
              <w:left w:val="nil"/>
              <w:bottom w:val="single" w:sz="4" w:space="0" w:color="auto"/>
              <w:right w:val="single" w:sz="8" w:space="0" w:color="auto"/>
            </w:tcBorders>
            <w:shd w:val="clear" w:color="auto" w:fill="auto"/>
            <w:vAlign w:val="bottom"/>
            <w:hideMark/>
          </w:tcPr>
          <w:p w:rsidR="00744514" w:rsidRPr="00C91AAA" w:rsidP="00FF0602" w14:paraId="372E3C76" w14:textId="2954FAFE">
            <w:pPr>
              <w:jc w:val="center"/>
              <w:rPr>
                <w:sz w:val="24"/>
                <w:szCs w:val="24"/>
              </w:rPr>
            </w:pPr>
            <w:r w:rsidRPr="00C91AAA">
              <w:rPr>
                <w:sz w:val="24"/>
                <w:szCs w:val="24"/>
              </w:rPr>
              <w:t xml:space="preserve"> $     </w:t>
            </w:r>
            <w:r w:rsidRPr="00C91AAA" w:rsidR="00A978D3">
              <w:rPr>
                <w:sz w:val="24"/>
                <w:szCs w:val="24"/>
              </w:rPr>
              <w:t>1,256,173.19</w:t>
            </w:r>
          </w:p>
        </w:tc>
      </w:tr>
      <w:tr w14:paraId="54D6F120" w14:textId="77777777" w:rsidTr="00A978D3">
        <w:tblPrEx>
          <w:tblW w:w="865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44514" w:rsidRPr="00C91AAA" w:rsidP="00FF0602" w14:paraId="32EF44A1" w14:textId="77777777">
            <w:pPr>
              <w:jc w:val="center"/>
              <w:rPr>
                <w:sz w:val="24"/>
                <w:szCs w:val="24"/>
              </w:rPr>
            </w:pPr>
            <w:r w:rsidRPr="00C91AAA">
              <w:rPr>
                <w:sz w:val="24"/>
                <w:szCs w:val="24"/>
              </w:rPr>
              <w:t> </w:t>
            </w:r>
          </w:p>
        </w:tc>
        <w:tc>
          <w:tcPr>
            <w:tcW w:w="2009" w:type="dxa"/>
            <w:tcBorders>
              <w:top w:val="nil"/>
              <w:left w:val="nil"/>
              <w:bottom w:val="single" w:sz="4" w:space="0" w:color="auto"/>
              <w:right w:val="single" w:sz="8" w:space="0" w:color="auto"/>
            </w:tcBorders>
            <w:shd w:val="clear" w:color="auto" w:fill="auto"/>
            <w:vAlign w:val="bottom"/>
            <w:hideMark/>
          </w:tcPr>
          <w:p w:rsidR="00744514" w:rsidRPr="00C91AAA" w:rsidP="00FF0602" w14:paraId="2028B5E6" w14:textId="77777777">
            <w:pPr>
              <w:jc w:val="center"/>
              <w:rPr>
                <w:sz w:val="24"/>
                <w:szCs w:val="24"/>
              </w:rPr>
            </w:pPr>
            <w:r w:rsidRPr="00C91AAA">
              <w:rPr>
                <w:sz w:val="24"/>
                <w:szCs w:val="24"/>
              </w:rPr>
              <w:t> </w:t>
            </w:r>
          </w:p>
        </w:tc>
      </w:tr>
      <w:tr w14:paraId="31A3658C" w14:textId="77777777" w:rsidTr="00A978D3">
        <w:tblPrEx>
          <w:tblW w:w="865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44514" w:rsidRPr="00C91AAA" w:rsidP="00FF0602" w14:paraId="54ED37C8" w14:textId="77777777">
            <w:pPr>
              <w:rPr>
                <w:sz w:val="24"/>
                <w:szCs w:val="24"/>
              </w:rPr>
            </w:pPr>
            <w:r w:rsidRPr="00C91AAA">
              <w:rPr>
                <w:sz w:val="24"/>
                <w:szCs w:val="24"/>
              </w:rPr>
              <w:t>Processing / Analyzing Costs</w:t>
            </w:r>
          </w:p>
        </w:tc>
        <w:tc>
          <w:tcPr>
            <w:tcW w:w="2009" w:type="dxa"/>
            <w:tcBorders>
              <w:top w:val="nil"/>
              <w:left w:val="nil"/>
              <w:bottom w:val="single" w:sz="4" w:space="0" w:color="auto"/>
              <w:right w:val="single" w:sz="8" w:space="0" w:color="auto"/>
            </w:tcBorders>
            <w:shd w:val="clear" w:color="auto" w:fill="auto"/>
            <w:vAlign w:val="bottom"/>
            <w:hideMark/>
          </w:tcPr>
          <w:p w:rsidR="00744514" w:rsidRPr="00C91AAA" w:rsidP="00FF0602" w14:paraId="2B81E7B9" w14:textId="7EE4B0DC">
            <w:pPr>
              <w:jc w:val="center"/>
              <w:rPr>
                <w:sz w:val="24"/>
                <w:szCs w:val="24"/>
              </w:rPr>
            </w:pPr>
            <w:r w:rsidRPr="00C91AAA">
              <w:rPr>
                <w:sz w:val="24"/>
                <w:szCs w:val="24"/>
              </w:rPr>
              <w:t xml:space="preserve"> $   </w:t>
            </w:r>
            <w:r w:rsidRPr="00C91AAA" w:rsidR="00A978D3">
              <w:rPr>
                <w:sz w:val="24"/>
                <w:szCs w:val="24"/>
              </w:rPr>
              <w:t>5,977,469.58</w:t>
            </w:r>
            <w:r w:rsidRPr="00C91AAA">
              <w:rPr>
                <w:sz w:val="24"/>
                <w:szCs w:val="24"/>
              </w:rPr>
              <w:t xml:space="preserve"> </w:t>
            </w:r>
          </w:p>
        </w:tc>
      </w:tr>
      <w:tr w14:paraId="46419F88" w14:textId="77777777" w:rsidTr="00A978D3">
        <w:tblPrEx>
          <w:tblW w:w="865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44514" w:rsidRPr="00C91AAA" w:rsidP="00FF0602" w14:paraId="647B6E52" w14:textId="77777777">
            <w:pPr>
              <w:rPr>
                <w:sz w:val="24"/>
                <w:szCs w:val="24"/>
              </w:rPr>
            </w:pPr>
            <w:r w:rsidRPr="00C91AAA">
              <w:rPr>
                <w:sz w:val="24"/>
                <w:szCs w:val="24"/>
              </w:rPr>
              <w:t>Printing and Production Cost</w:t>
            </w:r>
          </w:p>
        </w:tc>
        <w:tc>
          <w:tcPr>
            <w:tcW w:w="2009" w:type="dxa"/>
            <w:tcBorders>
              <w:top w:val="nil"/>
              <w:left w:val="nil"/>
              <w:bottom w:val="single" w:sz="4" w:space="0" w:color="auto"/>
              <w:right w:val="single" w:sz="8" w:space="0" w:color="auto"/>
            </w:tcBorders>
            <w:shd w:val="clear" w:color="auto" w:fill="auto"/>
            <w:vAlign w:val="bottom"/>
            <w:hideMark/>
          </w:tcPr>
          <w:p w:rsidR="00744514" w:rsidRPr="00C91AAA" w:rsidP="00FF0602" w14:paraId="6E441E0C" w14:textId="7984637C">
            <w:pPr>
              <w:jc w:val="center"/>
              <w:rPr>
                <w:sz w:val="24"/>
                <w:szCs w:val="24"/>
              </w:rPr>
            </w:pPr>
            <w:r w:rsidRPr="00C91AAA">
              <w:rPr>
                <w:sz w:val="24"/>
                <w:szCs w:val="24"/>
              </w:rPr>
              <w:t xml:space="preserve"> $       </w:t>
            </w:r>
            <w:r w:rsidRPr="00C91AAA" w:rsidR="00A978D3">
              <w:rPr>
                <w:sz w:val="24"/>
                <w:szCs w:val="24"/>
              </w:rPr>
              <w:t>66,416.33</w:t>
            </w:r>
          </w:p>
        </w:tc>
      </w:tr>
      <w:tr w14:paraId="1E350ECE" w14:textId="77777777" w:rsidTr="00A978D3">
        <w:tblPrEx>
          <w:tblW w:w="8656" w:type="dxa"/>
          <w:tblInd w:w="424" w:type="dxa"/>
          <w:tblLook w:val="04A0"/>
        </w:tblPrEx>
        <w:trPr>
          <w:trHeight w:val="300"/>
        </w:trPr>
        <w:tc>
          <w:tcPr>
            <w:tcW w:w="6647"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744514" w:rsidRPr="00C91AAA" w:rsidP="00FF0602" w14:paraId="5E91F0E8" w14:textId="77777777">
            <w:pPr>
              <w:rPr>
                <w:sz w:val="24"/>
                <w:szCs w:val="24"/>
              </w:rPr>
            </w:pPr>
            <w:r w:rsidRPr="00C91AAA">
              <w:rPr>
                <w:sz w:val="24"/>
                <w:szCs w:val="24"/>
              </w:rPr>
              <w:t>Total Cost to Government</w:t>
            </w:r>
          </w:p>
        </w:tc>
        <w:tc>
          <w:tcPr>
            <w:tcW w:w="2009" w:type="dxa"/>
            <w:tcBorders>
              <w:top w:val="nil"/>
              <w:left w:val="nil"/>
              <w:bottom w:val="single" w:sz="8" w:space="0" w:color="auto"/>
              <w:right w:val="single" w:sz="8" w:space="0" w:color="auto"/>
            </w:tcBorders>
            <w:shd w:val="clear" w:color="auto" w:fill="auto"/>
            <w:vAlign w:val="bottom"/>
            <w:hideMark/>
          </w:tcPr>
          <w:p w:rsidR="00744514" w:rsidRPr="00C91AAA" w:rsidP="00FF0602" w14:paraId="1FD3DF95" w14:textId="2192E823">
            <w:pPr>
              <w:jc w:val="center"/>
              <w:rPr>
                <w:sz w:val="24"/>
                <w:szCs w:val="24"/>
              </w:rPr>
            </w:pPr>
            <w:r w:rsidRPr="00C91AAA">
              <w:rPr>
                <w:sz w:val="24"/>
                <w:szCs w:val="24"/>
              </w:rPr>
              <w:t xml:space="preserve"> $   </w:t>
            </w:r>
            <w:r w:rsidRPr="00C91AAA" w:rsidR="00A978D3">
              <w:rPr>
                <w:sz w:val="24"/>
                <w:szCs w:val="24"/>
              </w:rPr>
              <w:t>6,043,885.90</w:t>
            </w:r>
            <w:r w:rsidRPr="00C91AAA">
              <w:rPr>
                <w:sz w:val="24"/>
                <w:szCs w:val="24"/>
              </w:rPr>
              <w:t xml:space="preserve"> </w:t>
            </w:r>
          </w:p>
        </w:tc>
      </w:tr>
    </w:tbl>
    <w:p w:rsidR="00744514" w:rsidRPr="00C91AAA" w:rsidP="00744514" w14:paraId="1A9F0E28" w14:textId="77777777">
      <w:pPr>
        <w:ind w:left="360" w:right="576"/>
        <w:contextualSpacing/>
        <w:rPr>
          <w:sz w:val="24"/>
          <w:szCs w:val="24"/>
        </w:rPr>
      </w:pPr>
    </w:p>
    <w:p w:rsidR="00744514" w:rsidRPr="00C91AAA" w:rsidP="00744514" w14:paraId="09185684" w14:textId="5DFEFF90">
      <w:pPr>
        <w:ind w:left="360" w:right="576"/>
        <w:contextualSpacing/>
        <w:rPr>
          <w:sz w:val="24"/>
          <w:szCs w:val="24"/>
        </w:rPr>
      </w:pPr>
      <w:r w:rsidRPr="00C91AAA">
        <w:rPr>
          <w:sz w:val="24"/>
          <w:szCs w:val="24"/>
        </w:rPr>
        <w:t xml:space="preserve">Overhead costs are 100% of salary and are the same as the wage listed above and the amounts are included in the total.  </w:t>
      </w:r>
    </w:p>
    <w:p w:rsidR="00744514" w:rsidRPr="00C91AAA" w:rsidP="00744514" w14:paraId="05BBAD38" w14:textId="77777777">
      <w:pPr>
        <w:ind w:left="360" w:right="576"/>
        <w:contextualSpacing/>
        <w:rPr>
          <w:sz w:val="24"/>
          <w:szCs w:val="24"/>
        </w:rPr>
      </w:pPr>
    </w:p>
    <w:p w:rsidR="00744514" w:rsidRPr="00C91AAA" w:rsidP="00744514" w14:paraId="0BF0F7B7" w14:textId="77777777">
      <w:pPr>
        <w:ind w:left="360" w:right="576"/>
        <w:contextualSpacing/>
        <w:rPr>
          <w:sz w:val="24"/>
          <w:szCs w:val="24"/>
        </w:rPr>
      </w:pPr>
      <w:r w:rsidRPr="00C91AAA">
        <w:rPr>
          <w:sz w:val="24"/>
          <w:szCs w:val="24"/>
        </w:rPr>
        <w:t>Printing and production costs approximates the cost of printing this information collection per year. (Processing/Analyzing Cost total divided by $90).</w:t>
      </w:r>
    </w:p>
    <w:p w:rsidR="00744514" w:rsidRPr="00C91AAA" w:rsidP="00744514" w14:paraId="365BEE10" w14:textId="77777777">
      <w:pPr>
        <w:ind w:right="576"/>
        <w:contextualSpacing/>
        <w:jc w:val="both"/>
        <w:rPr>
          <w:sz w:val="24"/>
          <w:szCs w:val="24"/>
        </w:rPr>
      </w:pPr>
    </w:p>
    <w:p w:rsidR="00744514" w:rsidRPr="00C91AAA" w:rsidP="00744514" w14:paraId="7FC8B9B2" w14:textId="77777777">
      <w:pPr>
        <w:ind w:left="360"/>
        <w:rPr>
          <w:sz w:val="24"/>
          <w:szCs w:val="24"/>
        </w:rPr>
      </w:pPr>
      <w:bookmarkStart w:id="16" w:name="_Hlk29579534"/>
      <w:r w:rsidRPr="00C91AAA">
        <w:rPr>
          <w:sz w:val="24"/>
          <w:szCs w:val="24"/>
        </w:rPr>
        <w:t>Note: The hourly wage information above is based on the hourly 2024 General Schedule (Base) Pay (</w:t>
      </w:r>
      <w:hyperlink r:id="rId9" w:history="1">
        <w:r w:rsidRPr="00C91AAA">
          <w:rPr>
            <w:sz w:val="24"/>
            <w:szCs w:val="24"/>
            <w:u w:val="single"/>
          </w:rPr>
          <w:t>Pay &amp; Leave : Salaries &amp; Wages - OPM.gov</w:t>
        </w:r>
      </w:hyperlink>
      <w:r w:rsidRPr="00C91AAA">
        <w:rPr>
          <w:sz w:val="24"/>
          <w:szCs w:val="24"/>
        </w:rPr>
        <w:t>). This rate does not include any locality adjustment as applicable.</w:t>
      </w:r>
    </w:p>
    <w:bookmarkEnd w:id="16"/>
    <w:p w:rsidR="00744514" w:rsidRPr="00C91AAA" w:rsidP="00744514" w14:paraId="5288D25B" w14:textId="77777777">
      <w:pPr>
        <w:ind w:left="360"/>
        <w:rPr>
          <w:sz w:val="24"/>
          <w:szCs w:val="24"/>
        </w:rPr>
      </w:pPr>
    </w:p>
    <w:p w:rsidR="00541318" w:rsidRPr="00C91AAA" w:rsidP="00744514" w14:paraId="7C3F7693" w14:textId="65FACE17">
      <w:pPr>
        <w:tabs>
          <w:tab w:val="left" w:pos="480"/>
          <w:tab w:val="right" w:pos="8640"/>
        </w:tabs>
        <w:ind w:left="360" w:right="684"/>
        <w:rPr>
          <w:sz w:val="24"/>
          <w:szCs w:val="24"/>
        </w:rPr>
      </w:pPr>
      <w:r w:rsidRPr="00C91AAA">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744514" w:rsidRPr="00C91AAA" w:rsidP="00744514" w14:paraId="007B43DF" w14:textId="77777777">
      <w:pPr>
        <w:tabs>
          <w:tab w:val="left" w:pos="480"/>
          <w:tab w:val="right" w:pos="8640"/>
        </w:tabs>
        <w:ind w:left="360" w:right="684"/>
        <w:rPr>
          <w:sz w:val="24"/>
          <w:szCs w:val="24"/>
        </w:rPr>
      </w:pPr>
    </w:p>
    <w:p w:rsidR="008C254F" w:rsidRPr="00C91AAA" w:rsidP="00744514" w14:paraId="79403E0C" w14:textId="74BC312D">
      <w:pPr>
        <w:pStyle w:val="OmniPage9"/>
        <w:numPr>
          <w:ilvl w:val="0"/>
          <w:numId w:val="5"/>
        </w:numPr>
        <w:tabs>
          <w:tab w:val="clear" w:pos="100"/>
          <w:tab w:val="left" w:pos="540"/>
          <w:tab w:val="left" w:pos="1080"/>
          <w:tab w:val="clear" w:pos="9162"/>
        </w:tabs>
        <w:rPr>
          <w:rFonts w:ascii="Times New Roman" w:hAnsi="Times New Roman"/>
          <w:sz w:val="24"/>
          <w:szCs w:val="24"/>
        </w:rPr>
      </w:pPr>
      <w:bookmarkStart w:id="17" w:name="_Hlk173910908"/>
      <w:r w:rsidRPr="00C91AAA">
        <w:rPr>
          <w:rFonts w:ascii="Times New Roman" w:hAnsi="Times New Roman"/>
          <w:b/>
          <w:bCs/>
          <w:sz w:val="24"/>
          <w:u w:val="single"/>
        </w:rPr>
        <w:t>Reasons for Change in Burden</w:t>
      </w:r>
      <w:bookmarkEnd w:id="17"/>
    </w:p>
    <w:p w:rsidR="00516740" w:rsidRPr="00C91AAA" w:rsidP="00F54C17" w14:paraId="52C9DA93" w14:textId="3AC24280">
      <w:pPr>
        <w:pStyle w:val="OmniPage9"/>
        <w:tabs>
          <w:tab w:val="clear" w:pos="100"/>
          <w:tab w:val="left" w:pos="540"/>
          <w:tab w:val="left" w:pos="1080"/>
          <w:tab w:val="clear" w:pos="9162"/>
        </w:tabs>
        <w:ind w:left="360"/>
        <w:rPr>
          <w:rFonts w:ascii="Times New Roman" w:hAnsi="Times New Roman"/>
          <w:sz w:val="24"/>
        </w:rPr>
      </w:pPr>
      <w:r w:rsidRPr="00C91AAA">
        <w:rPr>
          <w:rFonts w:ascii="Times New Roman" w:hAnsi="Times New Roman"/>
          <w:sz w:val="24"/>
        </w:rPr>
        <w:t>The burden has increased since the previous approval due to an expanded burial transportation benefit, which now includes covered Veterans’ cemeteries.</w:t>
      </w:r>
    </w:p>
    <w:p w:rsidR="00744514" w:rsidRPr="00C91AAA" w:rsidP="00F54C17" w14:paraId="48A99066" w14:textId="77777777">
      <w:pPr>
        <w:pStyle w:val="OmniPage9"/>
        <w:tabs>
          <w:tab w:val="clear" w:pos="100"/>
          <w:tab w:val="left" w:pos="540"/>
          <w:tab w:val="left" w:pos="1080"/>
          <w:tab w:val="clear" w:pos="9162"/>
        </w:tabs>
        <w:ind w:left="360"/>
        <w:rPr>
          <w:b/>
          <w:sz w:val="24"/>
          <w:szCs w:val="24"/>
        </w:rPr>
      </w:pPr>
    </w:p>
    <w:p w:rsidR="008C254F" w:rsidRPr="00C91AAA" w:rsidP="00744514" w14:paraId="2912EA89" w14:textId="5ACEC085">
      <w:pPr>
        <w:pStyle w:val="BodyText3"/>
        <w:numPr>
          <w:ilvl w:val="0"/>
          <w:numId w:val="5"/>
        </w:numPr>
        <w:tabs>
          <w:tab w:val="left" w:pos="547"/>
          <w:tab w:val="left" w:pos="1627"/>
        </w:tabs>
        <w:spacing w:after="0"/>
        <w:contextualSpacing/>
        <w:rPr>
          <w:b/>
          <w:sz w:val="24"/>
          <w:szCs w:val="24"/>
        </w:rPr>
      </w:pPr>
      <w:bookmarkStart w:id="18" w:name="_Hlk173910977"/>
      <w:r w:rsidRPr="00C91AAA">
        <w:rPr>
          <w:b/>
          <w:bCs/>
          <w:sz w:val="24"/>
          <w:u w:val="single"/>
        </w:rPr>
        <w:t>Publication of Results</w:t>
      </w:r>
      <w:bookmarkEnd w:id="18"/>
    </w:p>
    <w:p w:rsidR="00744514" w:rsidRPr="00C91AAA" w:rsidP="00744514" w14:paraId="51D97E43" w14:textId="77777777">
      <w:pPr>
        <w:pStyle w:val="ListParagraph"/>
        <w:ind w:left="360"/>
        <w:rPr>
          <w:sz w:val="24"/>
        </w:rPr>
      </w:pPr>
      <w:bookmarkStart w:id="19" w:name="_Hlk173910991"/>
      <w:r w:rsidRPr="00C91AAA">
        <w:rPr>
          <w:sz w:val="24"/>
        </w:rPr>
        <w:t xml:space="preserve">The results of this information collection will not be published. </w:t>
      </w:r>
    </w:p>
    <w:bookmarkEnd w:id="19"/>
    <w:p w:rsidR="00E36537" w:rsidRPr="00C91AAA" w14:paraId="3249E2C4" w14:textId="77777777">
      <w:pPr>
        <w:tabs>
          <w:tab w:val="left" w:pos="480"/>
          <w:tab w:val="right" w:pos="8640"/>
        </w:tabs>
        <w:ind w:right="684"/>
        <w:rPr>
          <w:sz w:val="24"/>
          <w:szCs w:val="24"/>
        </w:rPr>
      </w:pPr>
    </w:p>
    <w:p w:rsidR="008C254F" w:rsidRPr="00C91AAA" w:rsidP="00744514" w14:paraId="578D46E7" w14:textId="0AF07BF6">
      <w:pPr>
        <w:pStyle w:val="BodyText3"/>
        <w:numPr>
          <w:ilvl w:val="0"/>
          <w:numId w:val="5"/>
        </w:numPr>
        <w:tabs>
          <w:tab w:val="left" w:pos="547"/>
          <w:tab w:val="left" w:pos="1627"/>
        </w:tabs>
        <w:spacing w:after="0"/>
        <w:contextualSpacing/>
        <w:rPr>
          <w:b/>
          <w:sz w:val="24"/>
          <w:szCs w:val="24"/>
        </w:rPr>
      </w:pPr>
      <w:bookmarkStart w:id="20" w:name="_Hlk173911020"/>
      <w:r w:rsidRPr="00C91AAA">
        <w:rPr>
          <w:b/>
          <w:bCs/>
          <w:sz w:val="24"/>
          <w:u w:val="single"/>
        </w:rPr>
        <w:t>Non-Display of OMB Expiration Date</w:t>
      </w:r>
      <w:bookmarkEnd w:id="20"/>
      <w:r w:rsidRPr="00C91AAA" w:rsidR="00495C22">
        <w:rPr>
          <w:b/>
          <w:sz w:val="24"/>
          <w:szCs w:val="24"/>
        </w:rPr>
        <w:t xml:space="preserve"> </w:t>
      </w:r>
    </w:p>
    <w:p w:rsidR="008C254F" w:rsidRPr="00C91AAA" w:rsidP="00744514" w14:paraId="4DBFDD39" w14:textId="0D317741">
      <w:pPr>
        <w:pStyle w:val="BodyText3"/>
        <w:tabs>
          <w:tab w:val="left" w:pos="547"/>
          <w:tab w:val="left" w:pos="1627"/>
        </w:tabs>
        <w:ind w:left="360"/>
        <w:rPr>
          <w:b/>
          <w:sz w:val="24"/>
          <w:szCs w:val="24"/>
        </w:rPr>
      </w:pPr>
      <w:r w:rsidRPr="00C91AAA">
        <w:rPr>
          <w:sz w:val="24"/>
        </w:rPr>
        <w:t>We are not seeking approval to omit the display of the expiration date of the OMB approval on the collection instrument.</w:t>
      </w:r>
    </w:p>
    <w:p w:rsidR="008C254F" w:rsidRPr="00C91AAA" w:rsidP="00744514" w14:paraId="5496B1F7" w14:textId="208C9EB0">
      <w:pPr>
        <w:pStyle w:val="BodyText3"/>
        <w:numPr>
          <w:ilvl w:val="0"/>
          <w:numId w:val="5"/>
        </w:numPr>
        <w:spacing w:after="0"/>
        <w:contextualSpacing/>
        <w:rPr>
          <w:b/>
          <w:sz w:val="24"/>
          <w:szCs w:val="24"/>
        </w:rPr>
      </w:pPr>
      <w:r w:rsidRPr="00C91AAA">
        <w:rPr>
          <w:b/>
          <w:bCs/>
          <w:sz w:val="24"/>
          <w:u w:val="single"/>
        </w:rPr>
        <w:t>Exceptions to “Certification for Paperwork Reduction Submissions”</w:t>
      </w:r>
    </w:p>
    <w:p w:rsidR="00E36537" w:rsidRPr="00C91AAA" w:rsidP="00744514" w14:paraId="6DBCF4C3" w14:textId="5EA211D2">
      <w:pPr>
        <w:rPr>
          <w:i/>
          <w:sz w:val="24"/>
        </w:rPr>
      </w:pPr>
      <w:r w:rsidRPr="00C91AAA">
        <w:rPr>
          <w:sz w:val="24"/>
          <w:szCs w:val="24"/>
        </w:rPr>
        <w:t xml:space="preserve">      </w:t>
      </w:r>
      <w:bookmarkStart w:id="21" w:name="_Hlk173911069"/>
      <w:r w:rsidRPr="00C91AAA" w:rsidR="00744514">
        <w:rPr>
          <w:sz w:val="24"/>
        </w:rPr>
        <w:t>We are not requesting any exemptions to the provisions stated in 5 CFR 1320.9.</w:t>
      </w:r>
      <w:bookmarkEnd w:id="21"/>
    </w:p>
    <w:sectPr w:rsidSect="00606AD2">
      <w:headerReference w:type="default" r:id="rId10"/>
      <w:pgSz w:w="12240" w:h="15840"/>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B22" w:rsidP="00F81B22" w14:paraId="0D655E30" w14:textId="24035413">
    <w:pPr>
      <w:jc w:val="center"/>
      <w:rPr>
        <w:sz w:val="24"/>
        <w:szCs w:val="24"/>
        <w:u w:val="single"/>
      </w:rPr>
    </w:pPr>
    <w:r w:rsidRPr="00284AB8">
      <w:rPr>
        <w:sz w:val="24"/>
        <w:szCs w:val="24"/>
        <w:u w:val="single"/>
      </w:rPr>
      <w:t xml:space="preserve">Supporting Statement </w:t>
    </w:r>
    <w:r w:rsidRPr="00284AB8" w:rsidR="00284AB8">
      <w:rPr>
        <w:sz w:val="24"/>
        <w:szCs w:val="24"/>
        <w:u w:val="single"/>
      </w:rPr>
      <w:t>– Part A</w:t>
    </w:r>
  </w:p>
  <w:p w:rsidR="00284AB8" w:rsidRPr="00284AB8" w:rsidP="00F81B22" w14:paraId="28469299" w14:textId="77777777">
    <w:pPr>
      <w:jc w:val="center"/>
      <w:rPr>
        <w:b/>
        <w:sz w:val="24"/>
        <w:szCs w:val="24"/>
        <w:u w:val="single"/>
      </w:rPr>
    </w:pPr>
  </w:p>
  <w:p w:rsidR="00606AD2" w:rsidRPr="00284AB8" w:rsidP="00F81B22" w14:paraId="1A687DB3" w14:textId="4F80B6EC">
    <w:pPr>
      <w:jc w:val="center"/>
      <w:rPr>
        <w:b/>
        <w:i/>
        <w:iCs/>
        <w:sz w:val="24"/>
        <w:szCs w:val="24"/>
      </w:rPr>
    </w:pPr>
    <w:r w:rsidRPr="00284AB8">
      <w:rPr>
        <w:i/>
        <w:iCs/>
        <w:sz w:val="24"/>
        <w:szCs w:val="24"/>
      </w:rPr>
      <w:t>Application for Burial Benefits</w:t>
    </w:r>
    <w:r w:rsidRPr="00284AB8" w:rsidR="001C0555">
      <w:rPr>
        <w:i/>
        <w:iCs/>
        <w:sz w:val="24"/>
        <w:szCs w:val="24"/>
      </w:rPr>
      <w:t xml:space="preserve"> (Under 38 U.S.C. Chapter 23)</w:t>
    </w:r>
  </w:p>
  <w:p w:rsidR="00726753" w:rsidRPr="00F81B22" w:rsidP="00F81B22" w14:paraId="75B0C283" w14:textId="341EECC9">
    <w:pPr>
      <w:jc w:val="center"/>
      <w:rPr>
        <w:sz w:val="24"/>
        <w:szCs w:val="24"/>
      </w:rPr>
    </w:pPr>
    <w:r>
      <w:rPr>
        <w:sz w:val="24"/>
        <w:szCs w:val="24"/>
      </w:rPr>
      <w:t>Control</w:t>
    </w:r>
    <w:r w:rsidR="00F81B22">
      <w:rPr>
        <w:sz w:val="24"/>
        <w:szCs w:val="24"/>
      </w:rPr>
      <w:t xml:space="preserve"> #</w:t>
    </w:r>
    <w:r w:rsidRPr="00F81B22">
      <w:rPr>
        <w:sz w:val="24"/>
        <w:szCs w:val="24"/>
      </w:rPr>
      <w:t>2900-</w:t>
    </w:r>
    <w:r w:rsidR="00352C7A">
      <w:rPr>
        <w:sz w:val="24"/>
        <w:szCs w:val="24"/>
      </w:rPr>
      <w:t>0003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B317CA5"/>
    <w:multiLevelType w:val="hybridMultilevel"/>
    <w:tmpl w:val="6C8EDA8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D140C16"/>
    <w:multiLevelType w:val="hybridMultilevel"/>
    <w:tmpl w:val="BFCA1F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5">
    <w:nsid w:val="40640EC7"/>
    <w:multiLevelType w:val="hybridMultilevel"/>
    <w:tmpl w:val="ABD47D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3AD7887"/>
    <w:multiLevelType w:val="hybridMultilevel"/>
    <w:tmpl w:val="FE242DC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47E25DEE"/>
    <w:multiLevelType w:val="hybridMultilevel"/>
    <w:tmpl w:val="3A0062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0">
    <w:nsid w:val="6BE45655"/>
    <w:multiLevelType w:val="hybridMultilevel"/>
    <w:tmpl w:val="E098EAD0"/>
    <w:lvl w:ilvl="0">
      <w:start w:val="1"/>
      <w:numFmt w:val="decimal"/>
      <w:lvlText w:val="%1."/>
      <w:lvlJc w:val="left"/>
      <w:pPr>
        <w:ind w:left="360" w:hanging="360"/>
      </w:pPr>
      <w:rPr>
        <w:rFonts w:hint="default"/>
        <w:b/>
        <w:b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6D9D676D"/>
    <w:multiLevelType w:val="hybridMultilevel"/>
    <w:tmpl w:val="9D06672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1343CA"/>
    <w:multiLevelType w:val="hybridMultilevel"/>
    <w:tmpl w:val="E8603CB6"/>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395467707">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2" w16cid:durableId="925726741">
    <w:abstractNumId w:val="9"/>
  </w:num>
  <w:num w:numId="3" w16cid:durableId="401634452">
    <w:abstractNumId w:val="3"/>
  </w:num>
  <w:num w:numId="4" w16cid:durableId="944385883">
    <w:abstractNumId w:val="5"/>
  </w:num>
  <w:num w:numId="5" w16cid:durableId="183135547">
    <w:abstractNumId w:val="10"/>
  </w:num>
  <w:num w:numId="6" w16cid:durableId="354423882">
    <w:abstractNumId w:val="7"/>
  </w:num>
  <w:num w:numId="7" w16cid:durableId="436678069">
    <w:abstractNumId w:val="11"/>
  </w:num>
  <w:num w:numId="8" w16cid:durableId="1302274792">
    <w:abstractNumId w:val="8"/>
  </w:num>
  <w:num w:numId="9" w16cid:durableId="1892426141">
    <w:abstractNumId w:val="4"/>
  </w:num>
  <w:num w:numId="10" w16cid:durableId="1500852916">
    <w:abstractNumId w:val="1"/>
  </w:num>
  <w:num w:numId="11" w16cid:durableId="1079474654">
    <w:abstractNumId w:val="12"/>
  </w:num>
  <w:num w:numId="12" w16cid:durableId="1312832456">
    <w:abstractNumId w:val="6"/>
  </w:num>
  <w:num w:numId="13" w16cid:durableId="992947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70022"/>
    <w:rsid w:val="00072B8C"/>
    <w:rsid w:val="000852A3"/>
    <w:rsid w:val="00086181"/>
    <w:rsid w:val="000A3F32"/>
    <w:rsid w:val="000C446C"/>
    <w:rsid w:val="000F21EF"/>
    <w:rsid w:val="0012434B"/>
    <w:rsid w:val="00142589"/>
    <w:rsid w:val="00155ADC"/>
    <w:rsid w:val="0016376A"/>
    <w:rsid w:val="00171C87"/>
    <w:rsid w:val="00174B1F"/>
    <w:rsid w:val="001968BC"/>
    <w:rsid w:val="001B1DDB"/>
    <w:rsid w:val="001B2C85"/>
    <w:rsid w:val="001C0555"/>
    <w:rsid w:val="001D52F4"/>
    <w:rsid w:val="001D6D11"/>
    <w:rsid w:val="001E2E15"/>
    <w:rsid w:val="00212C9D"/>
    <w:rsid w:val="002433EC"/>
    <w:rsid w:val="00272B57"/>
    <w:rsid w:val="00284AB8"/>
    <w:rsid w:val="00295605"/>
    <w:rsid w:val="002B658C"/>
    <w:rsid w:val="00303259"/>
    <w:rsid w:val="00310573"/>
    <w:rsid w:val="00312610"/>
    <w:rsid w:val="00313EED"/>
    <w:rsid w:val="003210D0"/>
    <w:rsid w:val="00334E84"/>
    <w:rsid w:val="00335AA0"/>
    <w:rsid w:val="00347A7B"/>
    <w:rsid w:val="00352C7A"/>
    <w:rsid w:val="00373868"/>
    <w:rsid w:val="00375806"/>
    <w:rsid w:val="003A209D"/>
    <w:rsid w:val="003B6D49"/>
    <w:rsid w:val="003B797D"/>
    <w:rsid w:val="003D0AC3"/>
    <w:rsid w:val="003E5448"/>
    <w:rsid w:val="003F663E"/>
    <w:rsid w:val="00407226"/>
    <w:rsid w:val="0043068B"/>
    <w:rsid w:val="00430D02"/>
    <w:rsid w:val="00447F72"/>
    <w:rsid w:val="0046171D"/>
    <w:rsid w:val="00473975"/>
    <w:rsid w:val="00486812"/>
    <w:rsid w:val="00495C22"/>
    <w:rsid w:val="004B1A2F"/>
    <w:rsid w:val="004D3BF6"/>
    <w:rsid w:val="004E0438"/>
    <w:rsid w:val="004E4F19"/>
    <w:rsid w:val="004F1BB2"/>
    <w:rsid w:val="00503CE2"/>
    <w:rsid w:val="0051524F"/>
    <w:rsid w:val="00516740"/>
    <w:rsid w:val="00517283"/>
    <w:rsid w:val="00520273"/>
    <w:rsid w:val="00527912"/>
    <w:rsid w:val="0053151A"/>
    <w:rsid w:val="0053466D"/>
    <w:rsid w:val="00541318"/>
    <w:rsid w:val="00547E0C"/>
    <w:rsid w:val="00563695"/>
    <w:rsid w:val="00581C1C"/>
    <w:rsid w:val="005C7BAB"/>
    <w:rsid w:val="005E0415"/>
    <w:rsid w:val="005E3897"/>
    <w:rsid w:val="005E4CE3"/>
    <w:rsid w:val="005E651E"/>
    <w:rsid w:val="00606AD2"/>
    <w:rsid w:val="00617D2B"/>
    <w:rsid w:val="00651FB2"/>
    <w:rsid w:val="0066426E"/>
    <w:rsid w:val="006711A9"/>
    <w:rsid w:val="006729B9"/>
    <w:rsid w:val="0068140D"/>
    <w:rsid w:val="006A4E5C"/>
    <w:rsid w:val="006A4F03"/>
    <w:rsid w:val="006C4C6F"/>
    <w:rsid w:val="00710DDD"/>
    <w:rsid w:val="007201B3"/>
    <w:rsid w:val="0072251B"/>
    <w:rsid w:val="00723416"/>
    <w:rsid w:val="00726753"/>
    <w:rsid w:val="00744514"/>
    <w:rsid w:val="00747FF1"/>
    <w:rsid w:val="00763A4D"/>
    <w:rsid w:val="00772F07"/>
    <w:rsid w:val="00773666"/>
    <w:rsid w:val="00776A01"/>
    <w:rsid w:val="007778F8"/>
    <w:rsid w:val="00782C13"/>
    <w:rsid w:val="007A0DCB"/>
    <w:rsid w:val="007D0781"/>
    <w:rsid w:val="007D14AB"/>
    <w:rsid w:val="007D272E"/>
    <w:rsid w:val="007D2741"/>
    <w:rsid w:val="007F3759"/>
    <w:rsid w:val="007F4953"/>
    <w:rsid w:val="007F72DC"/>
    <w:rsid w:val="00803720"/>
    <w:rsid w:val="008214D7"/>
    <w:rsid w:val="00823C3C"/>
    <w:rsid w:val="0084157F"/>
    <w:rsid w:val="0089361A"/>
    <w:rsid w:val="008A12FD"/>
    <w:rsid w:val="008A68B3"/>
    <w:rsid w:val="008B76E8"/>
    <w:rsid w:val="008C254F"/>
    <w:rsid w:val="008F42D1"/>
    <w:rsid w:val="008F454C"/>
    <w:rsid w:val="008F5D7B"/>
    <w:rsid w:val="009135FA"/>
    <w:rsid w:val="0094691E"/>
    <w:rsid w:val="0095533E"/>
    <w:rsid w:val="00962241"/>
    <w:rsid w:val="00993FA5"/>
    <w:rsid w:val="009A5278"/>
    <w:rsid w:val="009B5624"/>
    <w:rsid w:val="009D1D80"/>
    <w:rsid w:val="009E3506"/>
    <w:rsid w:val="00A073C3"/>
    <w:rsid w:val="00A21543"/>
    <w:rsid w:val="00A22565"/>
    <w:rsid w:val="00A2441B"/>
    <w:rsid w:val="00A25D47"/>
    <w:rsid w:val="00A411DD"/>
    <w:rsid w:val="00A978D3"/>
    <w:rsid w:val="00B03501"/>
    <w:rsid w:val="00B05546"/>
    <w:rsid w:val="00B237A9"/>
    <w:rsid w:val="00B32D2A"/>
    <w:rsid w:val="00B347A2"/>
    <w:rsid w:val="00B37719"/>
    <w:rsid w:val="00B40113"/>
    <w:rsid w:val="00B6651E"/>
    <w:rsid w:val="00B713C7"/>
    <w:rsid w:val="00B82974"/>
    <w:rsid w:val="00B83AD6"/>
    <w:rsid w:val="00BA0556"/>
    <w:rsid w:val="00BA2C4F"/>
    <w:rsid w:val="00BD7201"/>
    <w:rsid w:val="00C17C77"/>
    <w:rsid w:val="00C34486"/>
    <w:rsid w:val="00C47978"/>
    <w:rsid w:val="00C75126"/>
    <w:rsid w:val="00C91AAA"/>
    <w:rsid w:val="00C93274"/>
    <w:rsid w:val="00C9650F"/>
    <w:rsid w:val="00CA418A"/>
    <w:rsid w:val="00CA7E43"/>
    <w:rsid w:val="00CB0492"/>
    <w:rsid w:val="00D20A37"/>
    <w:rsid w:val="00D656BB"/>
    <w:rsid w:val="00D7449F"/>
    <w:rsid w:val="00D75FE4"/>
    <w:rsid w:val="00D944D7"/>
    <w:rsid w:val="00D94A38"/>
    <w:rsid w:val="00D975C9"/>
    <w:rsid w:val="00DA4CB9"/>
    <w:rsid w:val="00DB150A"/>
    <w:rsid w:val="00DC0CDA"/>
    <w:rsid w:val="00DD0140"/>
    <w:rsid w:val="00DD5D06"/>
    <w:rsid w:val="00E133BF"/>
    <w:rsid w:val="00E3211D"/>
    <w:rsid w:val="00E36537"/>
    <w:rsid w:val="00E87FDC"/>
    <w:rsid w:val="00E915F3"/>
    <w:rsid w:val="00E948A8"/>
    <w:rsid w:val="00EB1D66"/>
    <w:rsid w:val="00EB3F64"/>
    <w:rsid w:val="00EC2E2D"/>
    <w:rsid w:val="00ED0AD9"/>
    <w:rsid w:val="00F01D5F"/>
    <w:rsid w:val="00F15D58"/>
    <w:rsid w:val="00F458E2"/>
    <w:rsid w:val="00F47131"/>
    <w:rsid w:val="00F531B6"/>
    <w:rsid w:val="00F54C17"/>
    <w:rsid w:val="00F81B22"/>
    <w:rsid w:val="00F9546D"/>
    <w:rsid w:val="00FB23B0"/>
    <w:rsid w:val="00FD4DFF"/>
    <w:rsid w:val="00FD7F94"/>
    <w:rsid w:val="00FE73BA"/>
    <w:rsid w:val="00FF06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table" w:styleId="TableGrid">
    <w:name w:val="Table Grid"/>
    <w:basedOn w:val="TableNormal"/>
    <w:uiPriority w:val="59"/>
    <w:rsid w:val="00284AB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nat.htm" TargetMode="External" /><Relationship Id="rId9" Type="http://schemas.openxmlformats.org/officeDocument/2006/relationships/hyperlink" Target="https://www.opm.gov/policy-data-oversight/pay-leave/salaries-wages/salary-tables/24Tables/html/GS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EEAEB4-6113-4A55-969D-105A11C0860D}">
  <ds:schemaRefs>
    <ds:schemaRef ds:uri="http://schemas.openxmlformats.org/officeDocument/2006/bibliography"/>
  </ds:schemaRefs>
</ds:datastoreItem>
</file>

<file path=customXml/itemProps2.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3.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1176</Words>
  <Characters>6795</Characters>
  <Application>Microsoft Office Word</Application>
  <DocSecurity>0</DocSecurity>
  <Lines>199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2024-09-25T18:23:00Z</dcterms:created>
  <dcterms:modified xsi:type="dcterms:W3CDTF">2024-09-26T18:42:00Z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y fmtid="{D5CDD505-2E9C-101B-9397-08002B2CF9AE}" pid="3" name="GrammarlyDocumentId">
    <vt:lpwstr>1da9525b3d699c2b4ff298d900959783530524c758fc91c3f505cb661ff3239e</vt:lpwstr>
  </property>
</Properties>
</file>