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2B6A" w:rsidRPr="00642B6A" w:rsidP="00140DEF" w14:paraId="50F42292" w14:textId="77777777">
      <w:pPr>
        <w:suppressAutoHyphens/>
        <w:jc w:val="center"/>
        <w:rPr>
          <w:rFonts w:eastAsia="Times New Roman" w:cs="Times New Roman"/>
          <w:b/>
          <w:szCs w:val="24"/>
        </w:rPr>
      </w:pPr>
      <w:r w:rsidRPr="00642B6A">
        <w:rPr>
          <w:rFonts w:eastAsia="Times New Roman" w:cs="Times New Roman"/>
          <w:b/>
          <w:szCs w:val="24"/>
        </w:rPr>
        <w:t>SUPPORTING STATEMENT FOR NEW AND</w:t>
      </w:r>
    </w:p>
    <w:p w:rsidR="00642B6A" w:rsidRPr="00642B6A" w:rsidP="00642B6A" w14:paraId="50F42293" w14:textId="77777777">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P="00642B6A" w14:paraId="50F42294" w14:textId="0AF34979">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E54279">
        <w:rPr>
          <w:rFonts w:eastAsia="Times New Roman" w:cs="Times New Roman"/>
          <w:b/>
          <w:szCs w:val="24"/>
        </w:rPr>
        <w:t>00</w:t>
      </w:r>
      <w:r w:rsidR="00524073">
        <w:rPr>
          <w:rFonts w:eastAsia="Times New Roman" w:cs="Times New Roman"/>
          <w:b/>
          <w:szCs w:val="24"/>
        </w:rPr>
        <w:t>8</w:t>
      </w:r>
      <w:r w:rsidR="00047399">
        <w:rPr>
          <w:rFonts w:eastAsia="Times New Roman" w:cs="Times New Roman"/>
          <w:b/>
          <w:szCs w:val="24"/>
        </w:rPr>
        <w:t>6</w:t>
      </w:r>
    </w:p>
    <w:p w:rsidR="00524073" w:rsidRPr="001C106D" w:rsidP="006B3F2C" w14:paraId="60199080" w14:textId="77777777">
      <w:pPr>
        <w:spacing w:after="240"/>
        <w:jc w:val="center"/>
        <w:outlineLvl w:val="0"/>
        <w:rPr>
          <w:rFonts w:eastAsia="Times New Roman" w:cs="Times New Roman"/>
          <w:b/>
          <w:bCs/>
          <w:szCs w:val="24"/>
        </w:rPr>
      </w:pPr>
      <w:r w:rsidRPr="001C106D">
        <w:rPr>
          <w:rFonts w:eastAsia="Times New Roman" w:cs="Times New Roman"/>
          <w:b/>
          <w:bCs/>
          <w:szCs w:val="24"/>
        </w:rPr>
        <w:t>Swap Data Repositories: Registration and Regulatory Requirements</w:t>
      </w:r>
    </w:p>
    <w:p w:rsidR="00642B6A" w:rsidRPr="00642B6A" w:rsidP="00642B6A" w14:paraId="50F42296" w14:textId="77777777">
      <w:pPr>
        <w:spacing w:after="240"/>
        <w:outlineLvl w:val="0"/>
        <w:rPr>
          <w:rFonts w:eastAsia="Times New Roman" w:cs="Times New Roman"/>
          <w:b/>
          <w:szCs w:val="24"/>
        </w:rPr>
      </w:pPr>
      <w:r w:rsidRPr="00642B6A">
        <w:rPr>
          <w:rFonts w:eastAsia="Times New Roman" w:cs="Times New Roman"/>
          <w:b/>
          <w:szCs w:val="24"/>
        </w:rPr>
        <w:t>Justification</w:t>
      </w:r>
    </w:p>
    <w:p w:rsidR="00642B6A" w:rsidRPr="00642B6A" w:rsidP="00D945B5" w14:paraId="50F42297" w14:textId="5EAFA160">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w:t>
      </w:r>
      <w:r w:rsidR="00C83EDF">
        <w:rPr>
          <w:rFonts w:eastAsia="Times New Roman" w:cs="Times New Roman"/>
          <w:b/>
          <w:szCs w:val="24"/>
        </w:rPr>
        <w:t>ction of information necessary.</w:t>
      </w:r>
      <w:r w:rsidRPr="00642B6A">
        <w:rPr>
          <w:rFonts w:eastAsia="Times New Roman" w:cs="Times New Roman"/>
          <w:b/>
          <w:szCs w:val="24"/>
        </w:rPr>
        <w:t xml:space="preserve"> Identify any legal or administrative requirements th</w:t>
      </w:r>
      <w:r w:rsidR="00C83EDF">
        <w:rPr>
          <w:rFonts w:eastAsia="Times New Roman" w:cs="Times New Roman"/>
          <w:b/>
          <w:szCs w:val="24"/>
        </w:rPr>
        <w:t xml:space="preserve">at necessitate the collection. </w:t>
      </w:r>
      <w:r w:rsidRPr="00642B6A">
        <w:rPr>
          <w:rFonts w:eastAsia="Times New Roman" w:cs="Times New Roman"/>
          <w:b/>
          <w:szCs w:val="24"/>
        </w:rPr>
        <w:t>Attach a copy of the appropriate section of each statute and regulation mandating or authorizing the collection of information.</w:t>
      </w:r>
    </w:p>
    <w:p w:rsidR="00FB17E6" w:rsidP="00385EBC" w14:paraId="17273155" w14:textId="121161E5">
      <w:pPr>
        <w:tabs>
          <w:tab w:val="left" w:pos="-720"/>
          <w:tab w:val="left" w:pos="0"/>
        </w:tabs>
        <w:spacing w:after="240"/>
        <w:ind w:firstLine="720"/>
        <w:jc w:val="both"/>
        <w:rPr>
          <w:rFonts w:eastAsia="Calibri" w:cs="Times New Roman"/>
          <w:szCs w:val="24"/>
        </w:rPr>
      </w:pPr>
      <w:r w:rsidRPr="007F5DBF">
        <w:rPr>
          <w:rFonts w:eastAsia="Times New Roman" w:cs="Times New Roman"/>
          <w:szCs w:val="20"/>
        </w:rPr>
        <w:t>On July 21, 2010, the Dodd-Frank Wall Street Reform and Consumer Protection Act (“</w:t>
      </w:r>
      <w:r>
        <w:rPr>
          <w:rFonts w:eastAsia="Times New Roman" w:cs="Times New Roman"/>
          <w:szCs w:val="20"/>
        </w:rPr>
        <w:t xml:space="preserve">Dodd </w:t>
      </w:r>
      <w:r w:rsidRPr="007F5DBF">
        <w:rPr>
          <w:rFonts w:eastAsia="Times New Roman" w:cs="Times New Roman"/>
          <w:szCs w:val="20"/>
        </w:rPr>
        <w:t>Frank Act”) went into effect.</w:t>
      </w:r>
      <w:r>
        <w:rPr>
          <w:rFonts w:eastAsia="Times New Roman" w:cs="Times New Roman"/>
          <w:szCs w:val="20"/>
          <w:vertAlign w:val="superscript"/>
        </w:rPr>
        <w:footnoteReference w:id="2"/>
      </w:r>
      <w:r w:rsidRPr="007F5DBF">
        <w:rPr>
          <w:rFonts w:eastAsia="Times New Roman" w:cs="Times New Roman"/>
          <w:szCs w:val="20"/>
        </w:rPr>
        <w:t xml:space="preserve"> </w:t>
      </w:r>
      <w:r w:rsidR="000E2176">
        <w:rPr>
          <w:rFonts w:eastAsia="Times New Roman" w:cs="Times New Roman"/>
          <w:szCs w:val="20"/>
        </w:rPr>
        <w:t xml:space="preserve"> </w:t>
      </w:r>
      <w:r w:rsidRPr="007F5DBF">
        <w:rPr>
          <w:rFonts w:eastAsia="Times New Roman" w:cs="Times New Roman"/>
          <w:szCs w:val="20"/>
        </w:rPr>
        <w:t>Title VII of the Dodd-Frank Act amends the Commodity Exchange Act (“CEA”)</w:t>
      </w:r>
      <w:r>
        <w:rPr>
          <w:rFonts w:eastAsia="Times New Roman" w:cs="Times New Roman"/>
          <w:szCs w:val="20"/>
          <w:vertAlign w:val="superscript"/>
        </w:rPr>
        <w:footnoteReference w:id="3"/>
      </w:r>
      <w:r w:rsidRPr="007F5DBF">
        <w:rPr>
          <w:rFonts w:eastAsia="Times New Roman" w:cs="Times New Roman"/>
          <w:szCs w:val="20"/>
        </w:rPr>
        <w:t xml:space="preserve"> to establish a comprehensive new regulatory framework for s</w:t>
      </w:r>
      <w:r>
        <w:rPr>
          <w:rFonts w:eastAsia="Times New Roman" w:cs="Times New Roman"/>
          <w:szCs w:val="20"/>
        </w:rPr>
        <w:t xml:space="preserve">waps and security-based swaps. </w:t>
      </w:r>
      <w:r w:rsidR="000E2176">
        <w:rPr>
          <w:rFonts w:eastAsia="Times New Roman" w:cs="Times New Roman"/>
          <w:szCs w:val="20"/>
        </w:rPr>
        <w:t xml:space="preserve"> </w:t>
      </w:r>
      <w:r w:rsidRPr="007F5DBF">
        <w:rPr>
          <w:rFonts w:eastAsia="Times New Roman" w:cs="Times New Roman"/>
          <w:szCs w:val="20"/>
        </w:rPr>
        <w:t>Section 728 of the Dodd-Frank Act specifically requires the Commodity Futures Trading Commission (“CFTC” or “Commission”) to establish certain standards for the registration and governance of swap data repositories (“SDRs”)</w:t>
      </w:r>
      <w:r>
        <w:rPr>
          <w:rFonts w:eastAsia="Times New Roman" w:cs="Times New Roman"/>
          <w:szCs w:val="20"/>
        </w:rPr>
        <w:t>, including regulations regarding SDRs reporting data to the Commission and to the public</w:t>
      </w:r>
      <w:r w:rsidRPr="007F5DBF">
        <w:rPr>
          <w:rFonts w:eastAsia="Times New Roman" w:cs="Times New Roman"/>
          <w:szCs w:val="20"/>
        </w:rPr>
        <w:t>.</w:t>
      </w:r>
      <w:r>
        <w:rPr>
          <w:rFonts w:eastAsia="Times New Roman" w:cs="Times New Roman"/>
          <w:szCs w:val="20"/>
        </w:rPr>
        <w:t xml:space="preserve"> </w:t>
      </w:r>
      <w:r w:rsidR="00273087">
        <w:t xml:space="preserve">In addition to implementing standards governing registration of and statutory duties applicable to SDRs, the CFTC is also required to adopt regulations that mitigate certain conflicts of interest in the operation of these entities and ensure appropriate levels of access by the Commission and certain other regulators to the data maintained by SDRs.  </w:t>
      </w:r>
      <w:r w:rsidRPr="001E1F23" w:rsidR="00A078CB">
        <w:t xml:space="preserve">The information </w:t>
      </w:r>
      <w:r w:rsidR="000956FD">
        <w:t>from this collection</w:t>
      </w:r>
      <w:r w:rsidRPr="001E1F23" w:rsidR="00A078CB">
        <w:t xml:space="preserve"> </w:t>
      </w:r>
      <w:r w:rsidR="00A078CB">
        <w:t xml:space="preserve">is </w:t>
      </w:r>
      <w:r w:rsidRPr="001E1F23" w:rsidR="00A078CB">
        <w:t xml:space="preserve">necessary for the Commission to </w:t>
      </w:r>
      <w:r>
        <w:t xml:space="preserve">perform its regulatory mandate </w:t>
      </w:r>
      <w:r w:rsidR="00CF2BCD">
        <w:t xml:space="preserve">to provide oversight </w:t>
      </w:r>
      <w:r>
        <w:t xml:space="preserve">of the markets and SDRs. </w:t>
      </w:r>
      <w:r w:rsidRPr="001E1F23" w:rsidR="00A078CB">
        <w:t xml:space="preserve">Without accurate reporting of </w:t>
      </w:r>
      <w:r>
        <w:t>the</w:t>
      </w:r>
      <w:r w:rsidRPr="001E1F23" w:rsidR="00A078CB">
        <w:t xml:space="preserve"> data as set forth in the Commission’s regulations</w:t>
      </w:r>
      <w:r>
        <w:t xml:space="preserve"> discussed in this statement,</w:t>
      </w:r>
      <w:r w:rsidRPr="001E1F23" w:rsidR="00A078CB">
        <w:t xml:space="preserve"> the Commission would be unable to fulfill its regulatory mandate of monitoring systemic risk.</w:t>
      </w:r>
      <w:r w:rsidR="00D36354">
        <w:t xml:space="preserve">  </w:t>
      </w:r>
      <w:r w:rsidRPr="007F5DBF" w:rsidR="00D36354">
        <w:rPr>
          <w:rFonts w:eastAsia="Times New Roman" w:cs="Times New Roman"/>
          <w:szCs w:val="20"/>
        </w:rPr>
        <w:t>Accordingly, the CFTC proposed and adopted part 49 of the Commission’s Regulations.</w:t>
      </w:r>
      <w:r>
        <w:rPr>
          <w:rFonts w:eastAsia="Times New Roman" w:cs="Times New Roman"/>
          <w:szCs w:val="20"/>
          <w:vertAlign w:val="superscript"/>
        </w:rPr>
        <w:footnoteReference w:id="4"/>
      </w:r>
      <w:r w:rsidR="00354037">
        <w:rPr>
          <w:rFonts w:eastAsia="Times New Roman" w:cs="Times New Roman"/>
          <w:szCs w:val="20"/>
        </w:rPr>
        <w:t xml:space="preserve"> </w:t>
      </w:r>
      <w:r w:rsidR="000E2176">
        <w:rPr>
          <w:rFonts w:eastAsia="Times New Roman" w:cs="Times New Roman"/>
          <w:szCs w:val="20"/>
        </w:rPr>
        <w:t xml:space="preserve"> </w:t>
      </w:r>
      <w:r w:rsidR="00354037">
        <w:t>The following regulations require collections of information:</w:t>
      </w:r>
    </w:p>
    <w:p w:rsidR="002142B5" w:rsidRPr="00B37CD9" w:rsidP="00E22EE7" w14:paraId="09ED7855" w14:textId="0013A6D3">
      <w:pPr>
        <w:pStyle w:val="ListParagraph"/>
        <w:numPr>
          <w:ilvl w:val="0"/>
          <w:numId w:val="16"/>
        </w:numPr>
        <w:autoSpaceDE w:val="0"/>
        <w:autoSpaceDN w:val="0"/>
        <w:adjustRightInd w:val="0"/>
        <w:spacing w:after="240"/>
        <w:contextualSpacing w:val="0"/>
        <w:jc w:val="both"/>
        <w:rPr>
          <w:rFonts w:eastAsia="Times New Roman" w:cs="Times New Roman"/>
          <w:color w:val="000000"/>
          <w:szCs w:val="24"/>
        </w:rPr>
      </w:pPr>
      <w:r>
        <w:t xml:space="preserve">Section </w:t>
      </w:r>
      <w:r w:rsidRPr="004C5513">
        <w:t>49.3</w:t>
      </w:r>
      <w:r w:rsidR="00537FCC">
        <w:t>(a)</w:t>
      </w:r>
      <w:r w:rsidRPr="004C5513">
        <w:t xml:space="preserve"> establish</w:t>
      </w:r>
      <w:r>
        <w:t>es</w:t>
      </w:r>
      <w:r w:rsidRPr="004C5513">
        <w:t xml:space="preserve"> </w:t>
      </w:r>
      <w:r w:rsidR="00F27334">
        <w:t xml:space="preserve">initial </w:t>
      </w:r>
      <w:r w:rsidRPr="004C5513">
        <w:t>registration procedures requir</w:t>
      </w:r>
      <w:r>
        <w:t xml:space="preserve">ing SDRs to </w:t>
      </w:r>
      <w:r w:rsidRPr="00375DCF">
        <w:t xml:space="preserve">demonstrate compliance with specified registration requirements on Form SDR.  In addition to the one-time initial registration requirement, </w:t>
      </w:r>
      <w:r>
        <w:t xml:space="preserve">§ </w:t>
      </w:r>
      <w:r w:rsidRPr="00375DCF">
        <w:t>49.3</w:t>
      </w:r>
      <w:r w:rsidR="001B00D0">
        <w:t>(a)(5)</w:t>
      </w:r>
      <w:r w:rsidRPr="00375DCF">
        <w:t xml:space="preserve"> requires registered SDRs to amend Form SDR when certain information in specified items on Form SDR become inaccurate.</w:t>
      </w:r>
      <w:r w:rsidR="00906054">
        <w:t xml:space="preserve"> </w:t>
      </w:r>
    </w:p>
    <w:p w:rsidR="00964EEA" w:rsidP="00E22EE7" w14:paraId="3289CF41" w14:textId="77777777">
      <w:pPr>
        <w:numPr>
          <w:ilvl w:val="0"/>
          <w:numId w:val="16"/>
        </w:numPr>
        <w:tabs>
          <w:tab w:val="left" w:pos="-720"/>
        </w:tabs>
        <w:suppressAutoHyphens/>
        <w:spacing w:after="240"/>
        <w:jc w:val="both"/>
      </w:pPr>
      <w:r>
        <w:t xml:space="preserve">Section </w:t>
      </w:r>
      <w:r w:rsidRPr="00375DCF">
        <w:t>49.3(c) require</w:t>
      </w:r>
      <w:r>
        <w:t>s</w:t>
      </w:r>
      <w:r w:rsidRPr="00375DCF">
        <w:t xml:space="preserve"> an entity that has </w:t>
      </w:r>
      <w:r w:rsidRPr="00375DCF">
        <w:t>submitted an application</w:t>
      </w:r>
      <w:r w:rsidRPr="00375DCF">
        <w:t xml:space="preserve"> to become registe</w:t>
      </w:r>
      <w:r w:rsidRPr="00590512">
        <w:t xml:space="preserve">red but </w:t>
      </w:r>
      <w:r>
        <w:t xml:space="preserve">subsequently </w:t>
      </w:r>
      <w:r w:rsidRPr="00590512">
        <w:t>decides to withdraw or vacate its application, to submit (in addition to amendments to Form SDR) a filing requesting the Commission take the action specified in the filing</w:t>
      </w:r>
      <w:r>
        <w:t xml:space="preserve">, </w:t>
      </w:r>
      <w:r w:rsidRPr="00590512">
        <w:rPr>
          <w:u w:val="single"/>
        </w:rPr>
        <w:t>i.e.</w:t>
      </w:r>
      <w:r w:rsidRPr="00590512">
        <w:t>, vacate or withdrawal of application for registration.</w:t>
      </w:r>
    </w:p>
    <w:p w:rsidR="00CC7AE3" w:rsidRPr="0074599C" w:rsidP="00E22EE7" w14:paraId="1C93AA82" w14:textId="2BA2C70C">
      <w:pPr>
        <w:numPr>
          <w:ilvl w:val="0"/>
          <w:numId w:val="16"/>
        </w:numPr>
        <w:tabs>
          <w:tab w:val="left" w:pos="-720"/>
        </w:tabs>
        <w:suppressAutoHyphens/>
        <w:spacing w:after="240"/>
        <w:jc w:val="both"/>
        <w:rPr>
          <w:rFonts w:cs="Times New Roman"/>
          <w:szCs w:val="24"/>
        </w:rPr>
      </w:pPr>
      <w:r w:rsidRPr="00D3040A">
        <w:rPr>
          <w:rFonts w:cs="Times New Roman"/>
          <w:szCs w:val="24"/>
        </w:rPr>
        <w:t>Section 49.4 requires a registered SDR that seeks to withdraw from registration to give notice in writing to the Commission requesting that its registration as an SDR be withdrawn.</w:t>
      </w:r>
      <w:r w:rsidRPr="00D3040A" w:rsidR="009306F1">
        <w:rPr>
          <w:rFonts w:cs="Times New Roman"/>
          <w:szCs w:val="24"/>
        </w:rPr>
        <w:t xml:space="preserve">  </w:t>
      </w:r>
      <w:r w:rsidRPr="00F37B5F" w:rsidR="00D10567">
        <w:rPr>
          <w:rFonts w:cs="Times New Roman"/>
          <w:szCs w:val="24"/>
        </w:rPr>
        <w:t>A withdrawing SDR must also</w:t>
      </w:r>
      <w:r w:rsidRPr="00F37B5F" w:rsidR="009306F1">
        <w:rPr>
          <w:rFonts w:cs="Times New Roman"/>
          <w:szCs w:val="24"/>
        </w:rPr>
        <w:t xml:space="preserve"> execute custodial agreements with the SDR to which they will be transferring </w:t>
      </w:r>
      <w:r w:rsidRPr="00F37B5F" w:rsidR="009306F1">
        <w:rPr>
          <w:rFonts w:cs="Times New Roman"/>
          <w:szCs w:val="24"/>
        </w:rPr>
        <w:t>all of</w:t>
      </w:r>
      <w:r w:rsidRPr="00F37B5F" w:rsidR="009306F1">
        <w:rPr>
          <w:rFonts w:cs="Times New Roman"/>
          <w:szCs w:val="24"/>
        </w:rPr>
        <w:t xml:space="preserve"> their data.</w:t>
      </w:r>
    </w:p>
    <w:p w:rsidR="002142B5" w:rsidP="00E22EE7" w14:paraId="5D571000" w14:textId="2F298012">
      <w:pPr>
        <w:pStyle w:val="ListParagraph"/>
        <w:numPr>
          <w:ilvl w:val="0"/>
          <w:numId w:val="16"/>
        </w:numPr>
        <w:autoSpaceDE w:val="0"/>
        <w:autoSpaceDN w:val="0"/>
        <w:adjustRightInd w:val="0"/>
        <w:spacing w:after="240"/>
        <w:contextualSpacing w:val="0"/>
        <w:jc w:val="both"/>
        <w:rPr>
          <w:rFonts w:eastAsia="Times New Roman" w:cs="Times New Roman"/>
          <w:color w:val="000000"/>
          <w:szCs w:val="24"/>
        </w:rPr>
      </w:pPr>
      <w:r>
        <w:rPr>
          <w:rFonts w:eastAsia="Times New Roman" w:cs="Times New Roman"/>
          <w:color w:val="000000"/>
          <w:szCs w:val="24"/>
        </w:rPr>
        <w:t>Section 49.5 require</w:t>
      </w:r>
      <w:r w:rsidR="00370BB6">
        <w:rPr>
          <w:rFonts w:eastAsia="Times New Roman" w:cs="Times New Roman"/>
          <w:color w:val="000000"/>
          <w:szCs w:val="24"/>
        </w:rPr>
        <w:t>s</w:t>
      </w:r>
      <w:r>
        <w:rPr>
          <w:rFonts w:eastAsia="Times New Roman" w:cs="Times New Roman"/>
          <w:color w:val="000000"/>
          <w:szCs w:val="24"/>
        </w:rPr>
        <w:t xml:space="preserve"> SDRs to file a notification with the Commission for each transaction involving the direct or indirect transfer of ten percent or more of the equity interest in the SDR within ten business days of the firm obligation to transfer the equity interest, to provide the Commission with supporting documentation for the transaction on request, and to file a certification with the Commission that the SDR will meet all of its obligations under the CEA and the Commission’s regulations within two business days of completing the equity interest transfer.</w:t>
      </w:r>
    </w:p>
    <w:p w:rsidR="002142B5" w:rsidP="00E22EE7" w14:paraId="5733AF09" w14:textId="65DDCEB6">
      <w:pPr>
        <w:pStyle w:val="ListParagraph"/>
        <w:numPr>
          <w:ilvl w:val="0"/>
          <w:numId w:val="16"/>
        </w:numPr>
        <w:autoSpaceDE w:val="0"/>
        <w:autoSpaceDN w:val="0"/>
        <w:adjustRightInd w:val="0"/>
        <w:spacing w:after="240"/>
        <w:contextualSpacing w:val="0"/>
        <w:jc w:val="both"/>
        <w:rPr>
          <w:rFonts w:eastAsia="Times New Roman" w:cs="Times New Roman"/>
          <w:color w:val="000000"/>
          <w:szCs w:val="24"/>
        </w:rPr>
      </w:pPr>
      <w:r>
        <w:rPr>
          <w:rFonts w:eastAsia="Times New Roman" w:cs="Times New Roman"/>
          <w:color w:val="000000"/>
          <w:szCs w:val="24"/>
        </w:rPr>
        <w:t>Section 49.6 require</w:t>
      </w:r>
      <w:r w:rsidR="00370BB6">
        <w:rPr>
          <w:rFonts w:eastAsia="Times New Roman" w:cs="Times New Roman"/>
          <w:color w:val="000000"/>
          <w:szCs w:val="24"/>
        </w:rPr>
        <w:t>s</w:t>
      </w:r>
      <w:r>
        <w:rPr>
          <w:rFonts w:eastAsia="Times New Roman" w:cs="Times New Roman"/>
          <w:color w:val="000000"/>
          <w:szCs w:val="24"/>
        </w:rPr>
        <w:t xml:space="preserve"> an SDR seeking to transfer its registration to another legal entity due to a corporate change to file a request for approval with the Commission before the anticipated corporate change, including the specific documents and information listed in § 49.6(c).</w:t>
      </w:r>
    </w:p>
    <w:p w:rsidR="0023763C" w:rsidRPr="00763DF8" w:rsidP="00E22EE7" w14:paraId="618607BA" w14:textId="77777777">
      <w:pPr>
        <w:numPr>
          <w:ilvl w:val="0"/>
          <w:numId w:val="16"/>
        </w:numPr>
        <w:tabs>
          <w:tab w:val="left" w:pos="-720"/>
        </w:tabs>
        <w:suppressAutoHyphens/>
        <w:spacing w:after="240"/>
        <w:jc w:val="both"/>
      </w:pPr>
      <w:r>
        <w:t xml:space="preserve">Section </w:t>
      </w:r>
      <w:r w:rsidRPr="00763DF8">
        <w:t>49.7 require</w:t>
      </w:r>
      <w:r>
        <w:t>s</w:t>
      </w:r>
      <w:r w:rsidRPr="00763DF8">
        <w:t xml:space="preserve"> that an SDR located in foreign jurisdictions </w:t>
      </w:r>
      <w:r>
        <w:t>that</w:t>
      </w:r>
      <w:r w:rsidRPr="00763DF8">
        <w:t xml:space="preserve"> seeks to register with the Commission to file, in addition to Form SDR, an opinion of counsel that the SDR, as a matter of law, </w:t>
      </w:r>
      <w:r w:rsidRPr="00763DF8">
        <w:t>is able to</w:t>
      </w:r>
      <w:r w:rsidRPr="00763DF8">
        <w:t xml:space="preserve"> provide the Commission with prompt access to the books and records of such SDR and that the SDR can submit to onsite inspection and examination by the Commission.</w:t>
      </w:r>
    </w:p>
    <w:p w:rsidR="002142B5" w:rsidP="00E22EE7" w14:paraId="3CBDE465" w14:textId="0E894F90">
      <w:pPr>
        <w:pStyle w:val="ListParagraph"/>
        <w:numPr>
          <w:ilvl w:val="0"/>
          <w:numId w:val="16"/>
        </w:numPr>
        <w:autoSpaceDE w:val="0"/>
        <w:autoSpaceDN w:val="0"/>
        <w:adjustRightInd w:val="0"/>
        <w:spacing w:after="240"/>
        <w:contextualSpacing w:val="0"/>
        <w:jc w:val="both"/>
        <w:rPr>
          <w:rFonts w:eastAsia="Times New Roman" w:cs="Times New Roman"/>
          <w:color w:val="000000"/>
          <w:szCs w:val="24"/>
        </w:rPr>
      </w:pPr>
      <w:r>
        <w:rPr>
          <w:rFonts w:eastAsia="Times New Roman" w:cs="Times New Roman"/>
          <w:color w:val="000000"/>
          <w:szCs w:val="24"/>
        </w:rPr>
        <w:t>Section</w:t>
      </w:r>
      <w:r w:rsidR="00D70894">
        <w:rPr>
          <w:rFonts w:eastAsia="Times New Roman" w:cs="Times New Roman"/>
          <w:color w:val="000000"/>
          <w:szCs w:val="24"/>
        </w:rPr>
        <w:t xml:space="preserve"> </w:t>
      </w:r>
      <w:r>
        <w:rPr>
          <w:rFonts w:eastAsia="Times New Roman" w:cs="Times New Roman"/>
          <w:color w:val="000000"/>
          <w:szCs w:val="24"/>
        </w:rPr>
        <w:t>49.9 require</w:t>
      </w:r>
      <w:r w:rsidR="00D70894">
        <w:rPr>
          <w:rFonts w:eastAsia="Times New Roman" w:cs="Times New Roman"/>
          <w:color w:val="000000"/>
          <w:szCs w:val="24"/>
        </w:rPr>
        <w:t>s</w:t>
      </w:r>
      <w:r>
        <w:rPr>
          <w:rFonts w:eastAsia="Times New Roman" w:cs="Times New Roman"/>
          <w:color w:val="000000"/>
          <w:szCs w:val="24"/>
        </w:rPr>
        <w:t xml:space="preserve"> SDRs to provide reports to the Commission with swap data for every open swap maintained by an SDR, as instructed by the Commission, including instructions related to the method, timing, frequency, and format for the open </w:t>
      </w:r>
      <w:r>
        <w:rPr>
          <w:rFonts w:eastAsia="Times New Roman" w:cs="Times New Roman"/>
          <w:color w:val="000000"/>
          <w:szCs w:val="24"/>
        </w:rPr>
        <w:t>swaps</w:t>
      </w:r>
      <w:r>
        <w:rPr>
          <w:rFonts w:eastAsia="Times New Roman" w:cs="Times New Roman"/>
          <w:color w:val="000000"/>
          <w:szCs w:val="24"/>
        </w:rPr>
        <w:t xml:space="preserve"> reports.</w:t>
      </w:r>
    </w:p>
    <w:p w:rsidR="002142B5" w:rsidP="00E22EE7" w14:paraId="19118F3D" w14:textId="23BACBF5">
      <w:pPr>
        <w:pStyle w:val="ListParagraph"/>
        <w:numPr>
          <w:ilvl w:val="0"/>
          <w:numId w:val="16"/>
        </w:numPr>
        <w:autoSpaceDE w:val="0"/>
        <w:autoSpaceDN w:val="0"/>
        <w:adjustRightInd w:val="0"/>
        <w:spacing w:after="240"/>
        <w:contextualSpacing w:val="0"/>
        <w:jc w:val="both"/>
        <w:rPr>
          <w:rFonts w:eastAsia="Times New Roman" w:cs="Times New Roman"/>
          <w:color w:val="000000"/>
          <w:szCs w:val="24"/>
        </w:rPr>
      </w:pPr>
      <w:r>
        <w:rPr>
          <w:rFonts w:eastAsia="Times New Roman" w:cs="Times New Roman"/>
          <w:color w:val="000000"/>
          <w:szCs w:val="24"/>
        </w:rPr>
        <w:t xml:space="preserve">Section </w:t>
      </w:r>
      <w:r w:rsidRPr="00966CD3">
        <w:rPr>
          <w:rFonts w:eastAsia="Times New Roman" w:cs="Times New Roman"/>
          <w:color w:val="000000"/>
          <w:szCs w:val="24"/>
        </w:rPr>
        <w:t>49.10</w:t>
      </w:r>
      <w:r>
        <w:rPr>
          <w:rFonts w:eastAsia="Times New Roman" w:cs="Times New Roman"/>
          <w:color w:val="000000"/>
          <w:szCs w:val="24"/>
        </w:rPr>
        <w:t xml:space="preserve"> of the Commission’s regulations </w:t>
      </w:r>
      <w:r>
        <w:rPr>
          <w:rFonts w:eastAsia="Times New Roman" w:cs="Times New Roman"/>
          <w:color w:val="000000"/>
          <w:szCs w:val="24"/>
        </w:rPr>
        <w:t>contains</w:t>
      </w:r>
      <w:r>
        <w:rPr>
          <w:rFonts w:eastAsia="Times New Roman" w:cs="Times New Roman"/>
          <w:color w:val="000000"/>
          <w:szCs w:val="24"/>
        </w:rPr>
        <w:t xml:space="preserve"> requirements related to SDRs accepting data reported to them pursuant to other Commission regulations. 49.10(e) require</w:t>
      </w:r>
      <w:r w:rsidR="00D70894">
        <w:rPr>
          <w:rFonts w:eastAsia="Times New Roman" w:cs="Times New Roman"/>
          <w:color w:val="000000"/>
          <w:szCs w:val="24"/>
        </w:rPr>
        <w:t>s</w:t>
      </w:r>
      <w:r>
        <w:rPr>
          <w:rFonts w:eastAsia="Times New Roman" w:cs="Times New Roman"/>
          <w:color w:val="000000"/>
          <w:szCs w:val="24"/>
        </w:rPr>
        <w:t xml:space="preserve"> SDRs to accept, process, and disseminate corrections for data errors and omissions.</w:t>
      </w:r>
    </w:p>
    <w:p w:rsidR="00D70894" w:rsidP="00E22EE7" w14:paraId="64367D4B" w14:textId="2983AF18">
      <w:pPr>
        <w:pStyle w:val="ListParagraph"/>
        <w:numPr>
          <w:ilvl w:val="0"/>
          <w:numId w:val="16"/>
        </w:numPr>
        <w:autoSpaceDE w:val="0"/>
        <w:autoSpaceDN w:val="0"/>
        <w:adjustRightInd w:val="0"/>
        <w:spacing w:after="240"/>
        <w:contextualSpacing w:val="0"/>
        <w:jc w:val="both"/>
        <w:rPr>
          <w:rFonts w:eastAsia="Times New Roman" w:cs="Times New Roman"/>
          <w:color w:val="000000"/>
          <w:szCs w:val="24"/>
        </w:rPr>
      </w:pPr>
      <w:r w:rsidRPr="00D70894">
        <w:rPr>
          <w:rFonts w:eastAsia="Times New Roman" w:cs="Times New Roman"/>
          <w:color w:val="000000"/>
          <w:szCs w:val="24"/>
        </w:rPr>
        <w:t xml:space="preserve">Section 49.11 of the Commission’s regulations </w:t>
      </w:r>
      <w:r w:rsidRPr="00D70894">
        <w:rPr>
          <w:rFonts w:eastAsia="Times New Roman" w:cs="Times New Roman"/>
          <w:color w:val="000000"/>
          <w:szCs w:val="24"/>
        </w:rPr>
        <w:t>contains</w:t>
      </w:r>
      <w:r w:rsidRPr="00D70894">
        <w:rPr>
          <w:rFonts w:eastAsia="Times New Roman" w:cs="Times New Roman"/>
          <w:color w:val="000000"/>
          <w:szCs w:val="24"/>
        </w:rPr>
        <w:t xml:space="preserve"> the requirements related to SDRs confirming data reported to them pursuant to other Commission regulations. </w:t>
      </w:r>
      <w:r w:rsidR="00012A87">
        <w:rPr>
          <w:rFonts w:eastAsia="Times New Roman" w:cs="Times New Roman"/>
          <w:color w:val="000000"/>
          <w:szCs w:val="24"/>
        </w:rPr>
        <w:t>Section</w:t>
      </w:r>
      <w:r w:rsidRPr="00D70894">
        <w:rPr>
          <w:rFonts w:eastAsia="Times New Roman" w:cs="Times New Roman"/>
          <w:color w:val="000000"/>
          <w:szCs w:val="24"/>
        </w:rPr>
        <w:t xml:space="preserve"> 49.11(b) require</w:t>
      </w:r>
      <w:r w:rsidRPr="00D70894">
        <w:rPr>
          <w:rFonts w:eastAsia="Times New Roman" w:cs="Times New Roman"/>
          <w:color w:val="000000"/>
          <w:szCs w:val="24"/>
        </w:rPr>
        <w:t>s</w:t>
      </w:r>
      <w:r w:rsidRPr="00D70894">
        <w:rPr>
          <w:rFonts w:eastAsia="Times New Roman" w:cs="Times New Roman"/>
          <w:color w:val="000000"/>
          <w:szCs w:val="24"/>
        </w:rPr>
        <w:t xml:space="preserve"> SDRs to </w:t>
      </w:r>
      <w:r w:rsidRPr="00D70894">
        <w:rPr>
          <w:rFonts w:eastAsia="Times New Roman" w:cs="Times New Roman"/>
          <w:color w:val="000000"/>
          <w:szCs w:val="24"/>
        </w:rPr>
        <w:t>provide a mechanism that allows each reporting counterparty that is a user of the swap data repository to access all swap data maintained by the swap data repository for each open swap for which the reporting counterparty is serving as the reporting counterparty.</w:t>
      </w:r>
    </w:p>
    <w:p w:rsidR="008F05B2" w:rsidRPr="00F7766A" w:rsidP="00044EAE" w14:paraId="114AFCE0" w14:textId="23223571">
      <w:pPr>
        <w:numPr>
          <w:ilvl w:val="0"/>
          <w:numId w:val="16"/>
        </w:numPr>
        <w:tabs>
          <w:tab w:val="left" w:pos="-720"/>
        </w:tabs>
        <w:suppressAutoHyphens/>
        <w:spacing w:after="240"/>
        <w:jc w:val="both"/>
      </w:pPr>
      <w:r>
        <w:t>Section</w:t>
      </w:r>
      <w:r w:rsidRPr="00F7766A">
        <w:t xml:space="preserve"> 49.12 require</w:t>
      </w:r>
      <w:r>
        <w:t>s</w:t>
      </w:r>
      <w:r w:rsidRPr="00F7766A">
        <w:t xml:space="preserve"> registered SDRs to maintain the swap transaction data it receives for a period of not less than five (5) years after the applicable swap expires, during which time the records must be readily available </w:t>
      </w:r>
      <w:r>
        <w:t>to</w:t>
      </w:r>
      <w:r w:rsidRPr="00F7766A">
        <w:t xml:space="preserve"> the SDR and </w:t>
      </w:r>
      <w:r>
        <w:t xml:space="preserve">be made </w:t>
      </w:r>
      <w:r w:rsidRPr="00F7766A">
        <w:t>available to the Commission via real-time electronic access.  Thereafter, the swap data must be archived and retrievable by the SDR within 3 business days.</w:t>
      </w:r>
    </w:p>
    <w:p w:rsidR="00B41DD0" w:rsidRPr="00044EAE" w:rsidP="002F1A59" w14:paraId="099F4E59" w14:textId="20243897">
      <w:pPr>
        <w:numPr>
          <w:ilvl w:val="0"/>
          <w:numId w:val="16"/>
        </w:numPr>
        <w:tabs>
          <w:tab w:val="left" w:pos="-720"/>
        </w:tabs>
        <w:suppressAutoHyphens/>
        <w:spacing w:after="240"/>
        <w:jc w:val="both"/>
        <w:rPr>
          <w:rFonts w:eastAsia="Times New Roman" w:cs="Times New Roman"/>
          <w:color w:val="000000"/>
          <w:szCs w:val="24"/>
        </w:rPr>
      </w:pPr>
      <w:r>
        <w:t>Section</w:t>
      </w:r>
      <w:r w:rsidRPr="00F7766A">
        <w:t xml:space="preserve"> 49.17 require</w:t>
      </w:r>
      <w:r>
        <w:t>s</w:t>
      </w:r>
      <w:r w:rsidRPr="00F7766A">
        <w:t xml:space="preserve"> SDR</w:t>
      </w:r>
      <w:r>
        <w:t>s</w:t>
      </w:r>
      <w:r w:rsidRPr="00F7766A">
        <w:t xml:space="preserve"> to provide direct electronic access to the Commission or its designees.  This requirement includes that the SDR provide direct access to its staff, system, and any other area of the SDR that the Commission or its designees deems necessary.  Additionally, § 49.17(d) </w:t>
      </w:r>
      <w:r>
        <w:t>requires</w:t>
      </w:r>
      <w:r w:rsidRPr="00F7766A">
        <w:t xml:space="preserve"> an SDR to make such data available to other parties, including other regulators (</w:t>
      </w:r>
      <w:r w:rsidRPr="00044EAE">
        <w:rPr>
          <w:u w:val="single"/>
        </w:rPr>
        <w:t>i.e.</w:t>
      </w:r>
      <w:r w:rsidRPr="00F7766A">
        <w:t>, Appropriate Domestic Regulators and Appropriate Foreign Regulators).</w:t>
      </w:r>
      <w:r w:rsidR="00202688">
        <w:t xml:space="preserve">  Section </w:t>
      </w:r>
      <w:r w:rsidRPr="00763DF8" w:rsidR="00202688">
        <w:t>49.17 also require</w:t>
      </w:r>
      <w:r w:rsidR="00202688">
        <w:t>s</w:t>
      </w:r>
      <w:r w:rsidRPr="00763DF8" w:rsidR="00202688">
        <w:t xml:space="preserve"> that if an Appropriate Domestic Regulator or Appropriate Foreign Regulator files an application to gain access to the swaps data maintained by an SDR, such SDR must notify the Commission, electronically and in a format specified by the Commission, that such a request was made.  Additionally, </w:t>
      </w:r>
      <w:r w:rsidR="004154C6">
        <w:t>Section 49.18</w:t>
      </w:r>
      <w:r w:rsidRPr="00763DF8" w:rsidR="00202688">
        <w:t xml:space="preserve"> require</w:t>
      </w:r>
      <w:r w:rsidR="00202688">
        <w:t>s</w:t>
      </w:r>
      <w:r w:rsidRPr="00763DF8" w:rsidR="00202688">
        <w:t xml:space="preserve"> that a </w:t>
      </w:r>
      <w:r w:rsidR="001245D5">
        <w:t>confidentiality agreement</w:t>
      </w:r>
      <w:r w:rsidRPr="00763DF8" w:rsidR="00202688">
        <w:t xml:space="preserve"> be signed between the SDR and Appropriate Domestic Regulators or Appropriate Foreign Regulators before such regulator gains access to the data held by the SDR.</w:t>
      </w:r>
    </w:p>
    <w:p w:rsidR="00EF7F51" w:rsidRPr="00044EAE" w:rsidP="00E91A8E" w14:paraId="4CA5978F" w14:textId="6556C9DA">
      <w:pPr>
        <w:pStyle w:val="ListParagraph"/>
        <w:numPr>
          <w:ilvl w:val="0"/>
          <w:numId w:val="16"/>
        </w:numPr>
        <w:autoSpaceDE w:val="0"/>
        <w:autoSpaceDN w:val="0"/>
        <w:adjustRightInd w:val="0"/>
        <w:spacing w:after="240"/>
        <w:contextualSpacing w:val="0"/>
        <w:jc w:val="both"/>
        <w:rPr>
          <w:rFonts w:eastAsia="Times New Roman" w:cs="Times New Roman"/>
          <w:color w:val="000000"/>
          <w:szCs w:val="24"/>
        </w:rPr>
      </w:pPr>
      <w:r w:rsidRPr="00044EAE">
        <w:rPr>
          <w:rFonts w:eastAsia="Times New Roman" w:cs="Times New Roman"/>
          <w:color w:val="000000"/>
          <w:szCs w:val="24"/>
        </w:rPr>
        <w:t>Section 49.22 requires that a chief compliance officer (“CCO”) of a registered SDR submit an annual compliance report that contains a description of the SDR’s written policies and procedures, including those related to the code of ethics, conflicts of interest, and compliance with Section 21(c) core principles.  Additionally, § 49.22 requires a registered SDR’s CCO to establish procedures for the remediation of noncompliance issues.  This duty includes establishing and following appropriate procedures for the handling, management response, remediation, retesting, and closing of noncompliance issues.  If any material error is discovered in the annual compliance report, the CCO must promptly file an amendment with the Commission to correct such material error or omission.  An amendment shall contain the oath or certification required by § 49.22(e)</w:t>
      </w:r>
      <w:r w:rsidRPr="00044EAE" w:rsidR="004E13EE">
        <w:rPr>
          <w:rFonts w:eastAsia="Times New Roman" w:cs="Times New Roman"/>
          <w:color w:val="000000"/>
          <w:szCs w:val="24"/>
        </w:rPr>
        <w:t>(6)</w:t>
      </w:r>
      <w:r w:rsidRPr="00044EAE">
        <w:rPr>
          <w:rFonts w:eastAsia="Times New Roman" w:cs="Times New Roman"/>
          <w:color w:val="000000"/>
          <w:szCs w:val="24"/>
        </w:rPr>
        <w:t xml:space="preserve"> that, to the best of the CCO’s knowledge and reasonable belief, and under penalty of law, the annual compliance report is accurate and complete.</w:t>
      </w:r>
      <w:r w:rsidRPr="00044EAE">
        <w:rPr>
          <w:rFonts w:eastAsia="Times New Roman" w:cs="Times New Roman"/>
          <w:color w:val="000000"/>
          <w:szCs w:val="24"/>
        </w:rPr>
        <w:t xml:space="preserve">  </w:t>
      </w:r>
      <w:r w:rsidRPr="00044EAE">
        <w:rPr>
          <w:rFonts w:eastAsia="Times New Roman" w:cs="Times New Roman"/>
          <w:color w:val="000000"/>
          <w:szCs w:val="24"/>
        </w:rPr>
        <w:t>Section 49.22</w:t>
      </w:r>
      <w:r w:rsidRPr="00044EAE">
        <w:rPr>
          <w:rFonts w:eastAsia="Times New Roman" w:cs="Times New Roman"/>
          <w:color w:val="000000"/>
          <w:szCs w:val="24"/>
        </w:rPr>
        <w:t xml:space="preserve"> also</w:t>
      </w:r>
      <w:r w:rsidRPr="00044EAE">
        <w:rPr>
          <w:rFonts w:eastAsia="Times New Roman" w:cs="Times New Roman"/>
          <w:color w:val="000000"/>
          <w:szCs w:val="24"/>
        </w:rPr>
        <w:t xml:space="preserve"> imposes an additional recordkeeping requirement on registered SDRs to maintain: (a) a copy of written policies and procedures, including the code of ethics and conflicts of interest policies in furtherance of compliance with the Act and Commission regulations, and (b) any records relevant to the annual compliance report.</w:t>
      </w:r>
    </w:p>
    <w:p w:rsidR="00800328" w:rsidRPr="00044EAE" w:rsidP="00A4410E" w14:paraId="2BEAD3EA" w14:textId="7B041FC0">
      <w:pPr>
        <w:pStyle w:val="ListParagraph"/>
        <w:numPr>
          <w:ilvl w:val="0"/>
          <w:numId w:val="16"/>
        </w:numPr>
        <w:autoSpaceDE w:val="0"/>
        <w:autoSpaceDN w:val="0"/>
        <w:adjustRightInd w:val="0"/>
        <w:spacing w:after="240"/>
        <w:contextualSpacing w:val="0"/>
        <w:jc w:val="both"/>
        <w:rPr>
          <w:rFonts w:eastAsia="Times New Roman" w:cs="Times New Roman"/>
          <w:color w:val="000000"/>
          <w:szCs w:val="24"/>
        </w:rPr>
      </w:pPr>
      <w:r w:rsidRPr="00044EAE">
        <w:rPr>
          <w:rFonts w:eastAsia="Times New Roman" w:cs="Times New Roman"/>
          <w:color w:val="000000"/>
          <w:szCs w:val="24"/>
        </w:rPr>
        <w:t>Section 49.23 requires registered SDRs to establish procedures for the exercise of emergency authority in the event of an emergency.  A registered SDR policies and procedures shall include provisions to notify the Commission as soon as reasonably practicable of any exercise of emergency authority.  When notifying the Commission of any exercise of emergency authority, a SDR shall explain the reasons for taking such emergency action, explain how conflicts of interest were minimized, and document the decision-making process.  Underlying documentation shall be made available to the Commission upon request.</w:t>
      </w:r>
    </w:p>
    <w:p w:rsidR="00800328" w:rsidRPr="00044EAE" w:rsidP="007D0762" w14:paraId="243BF9CC" w14:textId="6208E040">
      <w:pPr>
        <w:numPr>
          <w:ilvl w:val="0"/>
          <w:numId w:val="16"/>
        </w:numPr>
        <w:tabs>
          <w:tab w:val="left" w:pos="-720"/>
        </w:tabs>
        <w:suppressAutoHyphens/>
        <w:autoSpaceDE w:val="0"/>
        <w:autoSpaceDN w:val="0"/>
        <w:adjustRightInd w:val="0"/>
        <w:spacing w:after="240"/>
        <w:jc w:val="both"/>
        <w:rPr>
          <w:rFonts w:eastAsia="Times New Roman" w:cs="Times New Roman"/>
          <w:color w:val="000000"/>
          <w:szCs w:val="24"/>
        </w:rPr>
      </w:pPr>
      <w:r>
        <w:t>Section</w:t>
      </w:r>
      <w:r w:rsidRPr="00F7766A">
        <w:t xml:space="preserve"> 49.24 require</w:t>
      </w:r>
      <w:r>
        <w:t>s</w:t>
      </w:r>
      <w:r w:rsidRPr="00F7766A">
        <w:t xml:space="preserve"> that </w:t>
      </w:r>
      <w:r>
        <w:t xml:space="preserve">a </w:t>
      </w:r>
      <w:r w:rsidRPr="00F7766A">
        <w:t xml:space="preserve">registered SDR maintain a business continuity-disaster recovery plan (“BC-DR” plan) which can be invoked in case of an emergency.  Copies of the current BC-DR plan and other current emergency procedures </w:t>
      </w:r>
      <w:r>
        <w:t>are to be</w:t>
      </w:r>
      <w:r w:rsidRPr="00F7766A">
        <w:t xml:space="preserve"> provided to the Commission upon request.</w:t>
      </w:r>
      <w:r w:rsidR="00001C8D">
        <w:t xml:space="preserve">  </w:t>
      </w:r>
      <w:r w:rsidRPr="00001C8D" w:rsidR="00001C8D">
        <w:t xml:space="preserve">Section 49.24 </w:t>
      </w:r>
      <w:r w:rsidR="00001C8D">
        <w:t>further</w:t>
      </w:r>
      <w:r w:rsidRPr="00001C8D" w:rsidR="00001C8D">
        <w:t xml:space="preserve"> requires a registered SDR to notify the Commission staff of: (1) all system malfunctions, (2) cyber security incidents or targeted threats that actually or potentially jeopardize automated system operation, reliability, security, or capacity, and (3) any activation of the SDR’s BC-DR plan.  Additionally, an SDR shall give the Commission staff timely notice of all (1) planned changes to automated </w:t>
      </w:r>
      <w:r w:rsidRPr="00001C8D" w:rsidR="00001C8D">
        <w:t>systems that may impact the reliability, security, or adequate scalable capacity of such systems; and (2) planned changes to the SDR’s program of risk analysis and oversight.</w:t>
      </w:r>
    </w:p>
    <w:p w:rsidR="00755766" w:rsidRPr="00670513" w:rsidP="00044EAE" w14:paraId="452E35A1" w14:textId="07437ACA">
      <w:pPr>
        <w:pStyle w:val="ListParagraph"/>
        <w:numPr>
          <w:ilvl w:val="0"/>
          <w:numId w:val="16"/>
        </w:numPr>
        <w:autoSpaceDE w:val="0"/>
        <w:autoSpaceDN w:val="0"/>
        <w:adjustRightInd w:val="0"/>
        <w:spacing w:after="240"/>
        <w:contextualSpacing w:val="0"/>
        <w:jc w:val="both"/>
        <w:rPr>
          <w:rFonts w:eastAsia="Times New Roman" w:cs="Times New Roman"/>
          <w:color w:val="000000"/>
          <w:szCs w:val="24"/>
        </w:rPr>
      </w:pPr>
      <w:r w:rsidRPr="00755766">
        <w:rPr>
          <w:rFonts w:eastAsia="Times New Roman" w:cs="Times New Roman"/>
          <w:color w:val="000000"/>
          <w:szCs w:val="24"/>
        </w:rPr>
        <w:t>Section 49.25 requires a registered SDR to report to the Commission</w:t>
      </w:r>
      <w:r>
        <w:rPr>
          <w:rFonts w:eastAsia="Times New Roman" w:cs="Times New Roman"/>
          <w:color w:val="000000"/>
          <w:szCs w:val="24"/>
        </w:rPr>
        <w:t xml:space="preserve"> </w:t>
      </w:r>
      <w:r w:rsidRPr="00670513">
        <w:rPr>
          <w:rFonts w:eastAsia="Times New Roman" w:cs="Times New Roman"/>
          <w:color w:val="000000"/>
          <w:szCs w:val="24"/>
        </w:rPr>
        <w:t xml:space="preserve">(and provide sufficient documentation to substantiate any calculations made therein) the amount of financial resources available to the SDR to meet the requirements set forth in this section, the value of </w:t>
      </w:r>
      <w:r w:rsidRPr="00670513">
        <w:rPr>
          <w:rFonts w:eastAsia="Times New Roman" w:cs="Times New Roman"/>
          <w:color w:val="000000"/>
          <w:szCs w:val="24"/>
        </w:rPr>
        <w:t>the each</w:t>
      </w:r>
      <w:r w:rsidRPr="00670513">
        <w:rPr>
          <w:rFonts w:eastAsia="Times New Roman" w:cs="Times New Roman"/>
          <w:color w:val="000000"/>
          <w:szCs w:val="24"/>
        </w:rPr>
        <w:t xml:space="preserve"> financial resource available, and a financial statement, including the balance sheet, income statement, and statement of cash flows of the registered SDR.  In addition to the documentation substantiating the calculations made in the financial report and valuations conducted, a registered SDR must provide copies of any agreement establishing or amending a credit facility, insurance coverage, or other arrangement evidencing or otherwise supporting the SDR’s conclusions.</w:t>
      </w:r>
    </w:p>
    <w:p w:rsidR="002142B5" w:rsidRPr="008257CF" w:rsidP="004E620D" w14:paraId="6234C1CA" w14:textId="29A05266">
      <w:pPr>
        <w:pStyle w:val="ListParagraph"/>
        <w:numPr>
          <w:ilvl w:val="0"/>
          <w:numId w:val="16"/>
        </w:numPr>
        <w:autoSpaceDE w:val="0"/>
        <w:autoSpaceDN w:val="0"/>
        <w:adjustRightInd w:val="0"/>
        <w:spacing w:after="240"/>
        <w:contextualSpacing w:val="0"/>
        <w:jc w:val="both"/>
        <w:rPr>
          <w:rFonts w:eastAsia="Times New Roman" w:cs="Times New Roman"/>
          <w:color w:val="000000"/>
          <w:szCs w:val="24"/>
        </w:rPr>
      </w:pPr>
      <w:r w:rsidRPr="008257CF">
        <w:rPr>
          <w:rFonts w:eastAsia="Times New Roman" w:cs="Times New Roman"/>
          <w:color w:val="000000"/>
          <w:szCs w:val="24"/>
        </w:rPr>
        <w:t xml:space="preserve">Section 49.26 of the Commission’s regulations </w:t>
      </w:r>
      <w:r w:rsidRPr="008257CF">
        <w:rPr>
          <w:rFonts w:eastAsia="Times New Roman" w:cs="Times New Roman"/>
          <w:color w:val="000000"/>
          <w:szCs w:val="24"/>
        </w:rPr>
        <w:t>contains</w:t>
      </w:r>
      <w:r w:rsidRPr="008257CF">
        <w:rPr>
          <w:rFonts w:eastAsia="Times New Roman" w:cs="Times New Roman"/>
          <w:color w:val="000000"/>
          <w:szCs w:val="24"/>
        </w:rPr>
        <w:t xml:space="preserve"> the requirements related to SDRs disclosing information related to the risks and costs associated with using an SDR’s services. </w:t>
      </w:r>
      <w:r w:rsidRPr="008257CF" w:rsidR="007C42CC">
        <w:rPr>
          <w:rFonts w:eastAsia="Times New Roman" w:cs="Times New Roman"/>
          <w:color w:val="000000"/>
          <w:szCs w:val="24"/>
        </w:rPr>
        <w:t xml:space="preserve">Section </w:t>
      </w:r>
      <w:r w:rsidRPr="008257CF">
        <w:rPr>
          <w:rFonts w:eastAsia="Times New Roman" w:cs="Times New Roman"/>
          <w:color w:val="000000"/>
          <w:szCs w:val="24"/>
        </w:rPr>
        <w:t xml:space="preserve">§ 49.26(j) </w:t>
      </w:r>
      <w:r w:rsidRPr="008257CF" w:rsidR="007C42CC">
        <w:rPr>
          <w:rFonts w:eastAsia="Times New Roman" w:cs="Times New Roman"/>
          <w:color w:val="000000"/>
          <w:szCs w:val="24"/>
        </w:rPr>
        <w:t>requires</w:t>
      </w:r>
      <w:r w:rsidRPr="008257CF">
        <w:rPr>
          <w:rFonts w:eastAsia="Times New Roman" w:cs="Times New Roman"/>
          <w:color w:val="000000"/>
          <w:szCs w:val="24"/>
        </w:rPr>
        <w:t xml:space="preserve"> SDRs to disclose their policies and procedures related to data reporting, including their validation procedures, verification procedures, and data correction procedures</w:t>
      </w:r>
      <w:r w:rsidR="00477D94">
        <w:rPr>
          <w:rFonts w:eastAsia="Times New Roman" w:cs="Times New Roman"/>
          <w:color w:val="000000"/>
          <w:szCs w:val="24"/>
        </w:rPr>
        <w:t>.</w:t>
      </w:r>
    </w:p>
    <w:p w:rsidR="00D70894" w:rsidRPr="008257CF" w:rsidP="00167BAB" w14:paraId="7A2B6C71" w14:textId="00825A23">
      <w:pPr>
        <w:pStyle w:val="ListParagraph"/>
        <w:numPr>
          <w:ilvl w:val="0"/>
          <w:numId w:val="16"/>
        </w:numPr>
        <w:autoSpaceDE w:val="0"/>
        <w:autoSpaceDN w:val="0"/>
        <w:adjustRightInd w:val="0"/>
        <w:spacing w:after="240"/>
        <w:contextualSpacing w:val="0"/>
        <w:jc w:val="both"/>
        <w:rPr>
          <w:rFonts w:eastAsia="Times New Roman" w:cs="Times New Roman"/>
          <w:color w:val="000000"/>
          <w:szCs w:val="24"/>
        </w:rPr>
      </w:pPr>
      <w:r w:rsidRPr="008257CF">
        <w:rPr>
          <w:rFonts w:eastAsia="Times New Roman" w:cs="Times New Roman"/>
          <w:color w:val="000000"/>
          <w:szCs w:val="24"/>
        </w:rPr>
        <w:t xml:space="preserve">Section </w:t>
      </w:r>
      <w:r w:rsidRPr="008257CF" w:rsidR="002142B5">
        <w:rPr>
          <w:rFonts w:eastAsia="Times New Roman" w:cs="Times New Roman"/>
          <w:color w:val="000000"/>
          <w:szCs w:val="24"/>
        </w:rPr>
        <w:t>49.28 contain</w:t>
      </w:r>
      <w:r w:rsidRPr="008257CF">
        <w:rPr>
          <w:rFonts w:eastAsia="Times New Roman" w:cs="Times New Roman"/>
          <w:color w:val="000000"/>
          <w:szCs w:val="24"/>
        </w:rPr>
        <w:t>s</w:t>
      </w:r>
      <w:r w:rsidRPr="008257CF" w:rsidR="002142B5">
        <w:rPr>
          <w:rFonts w:eastAsia="Times New Roman" w:cs="Times New Roman"/>
          <w:color w:val="000000"/>
          <w:szCs w:val="24"/>
        </w:rPr>
        <w:t xml:space="preserve"> the operating hours requirements for SDRs, including incorporating the operating requirements of § 43.3(f) and (g). This includes the requirement to issue public notices under </w:t>
      </w:r>
      <w:r w:rsidRPr="008257CF">
        <w:rPr>
          <w:rFonts w:eastAsia="Times New Roman" w:cs="Times New Roman"/>
          <w:color w:val="000000"/>
          <w:szCs w:val="24"/>
        </w:rPr>
        <w:t>final</w:t>
      </w:r>
      <w:r w:rsidRPr="008257CF" w:rsidR="002142B5">
        <w:rPr>
          <w:rFonts w:eastAsia="Times New Roman" w:cs="Times New Roman"/>
          <w:color w:val="000000"/>
          <w:szCs w:val="24"/>
        </w:rPr>
        <w:t xml:space="preserve"> § 49.28(a) and (c).</w:t>
      </w:r>
    </w:p>
    <w:p w:rsidR="009C0EBD" w:rsidRPr="008257CF" w:rsidP="008546CF" w14:paraId="3EF3C6D3" w14:textId="2EA3409B">
      <w:pPr>
        <w:pStyle w:val="ListParagraph"/>
        <w:numPr>
          <w:ilvl w:val="0"/>
          <w:numId w:val="16"/>
        </w:numPr>
        <w:autoSpaceDE w:val="0"/>
        <w:autoSpaceDN w:val="0"/>
        <w:adjustRightInd w:val="0"/>
        <w:spacing w:after="240"/>
        <w:contextualSpacing w:val="0"/>
        <w:jc w:val="both"/>
        <w:rPr>
          <w:rFonts w:eastAsia="Times New Roman" w:cs="Times New Roman"/>
          <w:color w:val="000000"/>
          <w:szCs w:val="24"/>
        </w:rPr>
      </w:pPr>
      <w:r w:rsidRPr="008257CF">
        <w:rPr>
          <w:rFonts w:eastAsia="Times New Roman" w:cs="Times New Roman"/>
          <w:color w:val="000000"/>
          <w:szCs w:val="24"/>
        </w:rPr>
        <w:t xml:space="preserve">Section </w:t>
      </w:r>
      <w:r w:rsidRPr="008257CF" w:rsidR="002142B5">
        <w:rPr>
          <w:rFonts w:eastAsia="Times New Roman" w:cs="Times New Roman"/>
          <w:color w:val="000000"/>
          <w:szCs w:val="24"/>
        </w:rPr>
        <w:t>49.29 require</w:t>
      </w:r>
      <w:r w:rsidRPr="008257CF" w:rsidR="00D70894">
        <w:rPr>
          <w:rFonts w:eastAsia="Times New Roman" w:cs="Times New Roman"/>
          <w:color w:val="000000"/>
          <w:szCs w:val="24"/>
        </w:rPr>
        <w:t>s</w:t>
      </w:r>
      <w:r w:rsidRPr="008257CF" w:rsidR="002142B5">
        <w:rPr>
          <w:rFonts w:eastAsia="Times New Roman" w:cs="Times New Roman"/>
          <w:color w:val="000000"/>
          <w:szCs w:val="24"/>
        </w:rPr>
        <w:t xml:space="preserve"> each SDR to provide, on request by the Commission, information relating to its business as an SDR and other information that the Commission needs to perform its regulatory duties.</w:t>
      </w:r>
      <w:r w:rsidRPr="008257CF" w:rsidR="00D70894">
        <w:rPr>
          <w:rFonts w:eastAsia="Times New Roman" w:cs="Times New Roman"/>
          <w:color w:val="000000"/>
          <w:szCs w:val="24"/>
        </w:rPr>
        <w:t xml:space="preserve"> </w:t>
      </w:r>
      <w:r w:rsidRPr="008257CF">
        <w:rPr>
          <w:rFonts w:eastAsia="Times New Roman" w:cs="Times New Roman"/>
          <w:color w:val="000000"/>
          <w:szCs w:val="24"/>
        </w:rPr>
        <w:t>Section</w:t>
      </w:r>
      <w:r w:rsidRPr="008257CF" w:rsidR="002142B5">
        <w:rPr>
          <w:rFonts w:eastAsia="Times New Roman" w:cs="Times New Roman"/>
          <w:color w:val="000000"/>
          <w:szCs w:val="24"/>
        </w:rPr>
        <w:t xml:space="preserve"> 49.29 also require</w:t>
      </w:r>
      <w:r w:rsidRPr="008257CF" w:rsidR="00D70894">
        <w:rPr>
          <w:rFonts w:eastAsia="Times New Roman" w:cs="Times New Roman"/>
          <w:color w:val="000000"/>
          <w:szCs w:val="24"/>
        </w:rPr>
        <w:t>s</w:t>
      </w:r>
      <w:r w:rsidRPr="008257CF" w:rsidR="002142B5">
        <w:rPr>
          <w:rFonts w:eastAsia="Times New Roman" w:cs="Times New Roman"/>
          <w:color w:val="000000"/>
          <w:szCs w:val="24"/>
        </w:rPr>
        <w:t xml:space="preserve"> an SDR, on request from the Commission, to provide written demonstrations of compliance with SDR core principles and other regulatory obligations.</w:t>
      </w:r>
    </w:p>
    <w:p w:rsidR="00A02F67" w:rsidRPr="0066471D" w:rsidP="008257CF" w14:paraId="606FCFB3" w14:textId="7D4DD329">
      <w:pPr>
        <w:tabs>
          <w:tab w:val="left" w:pos="-720"/>
        </w:tabs>
        <w:suppressAutoHyphens/>
        <w:spacing w:after="240"/>
        <w:ind w:firstLine="720"/>
        <w:jc w:val="both"/>
        <w:rPr>
          <w:rFonts w:eastAsia="Times New Roman" w:cs="Times New Roman"/>
          <w:color w:val="000000"/>
          <w:szCs w:val="24"/>
        </w:rPr>
      </w:pPr>
      <w:r w:rsidRPr="002B2075">
        <w:t>Estimated numbers of respondents and projected total annual responses and average number of hours per respons</w:t>
      </w:r>
      <w:r>
        <w:t>e are provided in Attachment A.</w:t>
      </w:r>
    </w:p>
    <w:p w:rsidR="00642B6A" w:rsidRPr="00B86819" w:rsidP="00FE503D" w14:paraId="50F4229A" w14:textId="313EBC04">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w:t>
      </w:r>
      <w:r w:rsidR="00C83EDF">
        <w:rPr>
          <w:rFonts w:eastAsia="Times New Roman" w:cs="Times New Roman"/>
          <w:b/>
          <w:szCs w:val="24"/>
        </w:rPr>
        <w:t xml:space="preserve">urpose the data would be used. </w:t>
      </w:r>
      <w:r w:rsidRPr="00B86819">
        <w:rPr>
          <w:rFonts w:eastAsia="Times New Roman" w:cs="Times New Roman"/>
          <w:b/>
          <w:szCs w:val="24"/>
        </w:rPr>
        <w:t>Except for a new collection, indicate the actual use the agency has made of the information received from the current collection.</w:t>
      </w:r>
    </w:p>
    <w:p w:rsidR="00D70894" w:rsidP="008257CF" w14:paraId="4A1A1A3E" w14:textId="50E6BF01">
      <w:pPr>
        <w:tabs>
          <w:tab w:val="left" w:pos="-720"/>
        </w:tabs>
        <w:suppressAutoHyphens/>
        <w:spacing w:after="240"/>
        <w:ind w:firstLine="720"/>
        <w:jc w:val="both"/>
        <w:rPr>
          <w:rFonts w:eastAsia="Times New Roman" w:cs="Times New Roman"/>
          <w:szCs w:val="20"/>
        </w:rPr>
      </w:pPr>
      <w:r w:rsidRPr="00C75FF7">
        <w:rPr>
          <w:rFonts w:eastAsia="Times New Roman" w:cs="Times New Roman"/>
          <w:szCs w:val="20"/>
        </w:rPr>
        <w:t>The data is used by the Commission to assess the governance arrangements, operations</w:t>
      </w:r>
      <w:r>
        <w:rPr>
          <w:rFonts w:eastAsia="Times New Roman" w:cs="Times New Roman"/>
          <w:szCs w:val="20"/>
        </w:rPr>
        <w:t>,</w:t>
      </w:r>
      <w:r w:rsidRPr="00C75FF7">
        <w:rPr>
          <w:rFonts w:eastAsia="Times New Roman" w:cs="Times New Roman"/>
          <w:szCs w:val="20"/>
        </w:rPr>
        <w:t xml:space="preserve"> and compliance functions of SDRs, and to ensure that registered SDRs are complying with the core princ</w:t>
      </w:r>
      <w:r>
        <w:rPr>
          <w:rFonts w:eastAsia="Times New Roman" w:cs="Times New Roman"/>
          <w:szCs w:val="20"/>
        </w:rPr>
        <w:t>ipals enumerated in s</w:t>
      </w:r>
      <w:r w:rsidRPr="00C75FF7">
        <w:rPr>
          <w:rFonts w:eastAsia="Times New Roman" w:cs="Times New Roman"/>
          <w:szCs w:val="20"/>
        </w:rPr>
        <w:t xml:space="preserve">ection 21 of the </w:t>
      </w:r>
      <w:r>
        <w:rPr>
          <w:rFonts w:eastAsia="Times New Roman" w:cs="Times New Roman"/>
          <w:szCs w:val="20"/>
        </w:rPr>
        <w:t xml:space="preserve">Act. </w:t>
      </w:r>
      <w:r w:rsidRPr="00C75FF7">
        <w:rPr>
          <w:rFonts w:eastAsia="Times New Roman" w:cs="Times New Roman"/>
          <w:szCs w:val="20"/>
        </w:rPr>
        <w:t xml:space="preserve">Additionally, the data collected </w:t>
      </w:r>
      <w:r>
        <w:rPr>
          <w:rFonts w:eastAsia="Times New Roman" w:cs="Times New Roman"/>
          <w:szCs w:val="20"/>
        </w:rPr>
        <w:t>is</w:t>
      </w:r>
      <w:r w:rsidRPr="00C75FF7">
        <w:rPr>
          <w:rFonts w:eastAsia="Times New Roman" w:cs="Times New Roman"/>
          <w:szCs w:val="20"/>
        </w:rPr>
        <w:t xml:space="preserve"> used for regulatory purposes by </w:t>
      </w:r>
      <w:r>
        <w:rPr>
          <w:rFonts w:eastAsia="Times New Roman" w:cs="Times New Roman"/>
          <w:szCs w:val="20"/>
        </w:rPr>
        <w:t xml:space="preserve">the Commission, and is available to </w:t>
      </w:r>
      <w:r w:rsidRPr="00C75FF7">
        <w:rPr>
          <w:rFonts w:eastAsia="Times New Roman" w:cs="Times New Roman"/>
          <w:szCs w:val="20"/>
        </w:rPr>
        <w:t>other domestic and foreign regulators</w:t>
      </w:r>
      <w:r>
        <w:rPr>
          <w:rFonts w:eastAsia="Times New Roman" w:cs="Times New Roman"/>
          <w:szCs w:val="20"/>
        </w:rPr>
        <w:t>,</w:t>
      </w:r>
      <w:r w:rsidRPr="00C75FF7">
        <w:rPr>
          <w:rFonts w:eastAsia="Times New Roman" w:cs="Times New Roman"/>
          <w:szCs w:val="20"/>
        </w:rPr>
        <w:t xml:space="preserve"> including the Board of Governors of the Federal Reserve System, Office of the Comptroller of the Currency, Federal </w:t>
      </w:r>
      <w:r>
        <w:rPr>
          <w:rFonts w:eastAsia="Times New Roman" w:cs="Times New Roman"/>
          <w:szCs w:val="20"/>
        </w:rPr>
        <w:t xml:space="preserve">Deposit Insurance Corporation, </w:t>
      </w:r>
      <w:r w:rsidRPr="00C75FF7">
        <w:rPr>
          <w:rFonts w:eastAsia="Times New Roman" w:cs="Times New Roman"/>
          <w:szCs w:val="20"/>
        </w:rPr>
        <w:t>Farm Credit Administration and Federal Housing Finance Agency, Financial Stability Oversight Council, Securities and Exchange Commission, Depa</w:t>
      </w:r>
      <w:r>
        <w:rPr>
          <w:rFonts w:eastAsia="Times New Roman" w:cs="Times New Roman"/>
          <w:szCs w:val="20"/>
        </w:rPr>
        <w:t>rtment of Justice, and any other regulator</w:t>
      </w:r>
      <w:r w:rsidRPr="00C75FF7">
        <w:rPr>
          <w:rFonts w:eastAsia="Times New Roman" w:cs="Times New Roman"/>
          <w:szCs w:val="20"/>
        </w:rPr>
        <w:t xml:space="preserve"> the Commission determines to be appropriate, including foreign financial supervisors, foreign central banks, and foreign ministries.</w:t>
      </w:r>
    </w:p>
    <w:p w:rsidR="00B46731" w:rsidRPr="00B86819" w:rsidP="008257CF" w14:paraId="0E543588" w14:textId="407F2F52">
      <w:pPr>
        <w:tabs>
          <w:tab w:val="left" w:pos="-720"/>
        </w:tabs>
        <w:suppressAutoHyphens/>
        <w:spacing w:after="240"/>
        <w:ind w:firstLine="720"/>
        <w:jc w:val="both"/>
        <w:rPr>
          <w:rFonts w:eastAsia="Times New Roman" w:cs="Times New Roman"/>
          <w:color w:val="000000"/>
          <w:szCs w:val="24"/>
        </w:rPr>
      </w:pPr>
      <w:r w:rsidRPr="00C75FF7">
        <w:rPr>
          <w:rFonts w:eastAsia="Times New Roman" w:cs="Times New Roman"/>
          <w:szCs w:val="20"/>
        </w:rPr>
        <w:t xml:space="preserve">SDRs </w:t>
      </w:r>
      <w:r>
        <w:rPr>
          <w:rFonts w:eastAsia="Times New Roman" w:cs="Times New Roman"/>
          <w:szCs w:val="20"/>
        </w:rPr>
        <w:t xml:space="preserve">also publicly disseminate data </w:t>
      </w:r>
      <w:r w:rsidRPr="00C75FF7">
        <w:rPr>
          <w:rFonts w:eastAsia="Times New Roman" w:cs="Times New Roman"/>
          <w:szCs w:val="20"/>
        </w:rPr>
        <w:t>pursuant to part 43 of the Commission’s Regulations</w:t>
      </w:r>
      <w:r>
        <w:rPr>
          <w:rFonts w:eastAsia="Times New Roman" w:cs="Times New Roman"/>
          <w:szCs w:val="20"/>
        </w:rPr>
        <w:t xml:space="preserve">. </w:t>
      </w:r>
      <w:r w:rsidRPr="00C75FF7">
        <w:rPr>
          <w:rFonts w:eastAsia="Times New Roman" w:cs="Times New Roman"/>
          <w:szCs w:val="20"/>
        </w:rPr>
        <w:t>The publication of the swap data by a registe</w:t>
      </w:r>
      <w:r>
        <w:rPr>
          <w:rFonts w:eastAsia="Times New Roman" w:cs="Times New Roman"/>
          <w:szCs w:val="20"/>
        </w:rPr>
        <w:t xml:space="preserve">red SDR is intended to increase </w:t>
      </w:r>
      <w:r w:rsidRPr="00C75FF7">
        <w:rPr>
          <w:rFonts w:eastAsia="Times New Roman" w:cs="Times New Roman"/>
          <w:szCs w:val="20"/>
        </w:rPr>
        <w:t xml:space="preserve">transparency in the swaps market </w:t>
      </w:r>
      <w:r>
        <w:rPr>
          <w:rFonts w:eastAsia="Times New Roman" w:cs="Times New Roman"/>
          <w:szCs w:val="20"/>
        </w:rPr>
        <w:t>for market participants</w:t>
      </w:r>
      <w:r w:rsidRPr="00C75FF7">
        <w:rPr>
          <w:rFonts w:eastAsia="Times New Roman" w:cs="Times New Roman"/>
          <w:szCs w:val="20"/>
        </w:rPr>
        <w:t>.</w:t>
      </w:r>
    </w:p>
    <w:p w:rsidR="00642B6A" w:rsidRPr="00642B6A" w:rsidP="008257CF" w14:paraId="50F4229C" w14:textId="01173A35">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w:t>
      </w:r>
      <w:r w:rsidR="00C83EDF">
        <w:rPr>
          <w:rFonts w:eastAsia="Times New Roman" w:cs="Times New Roman"/>
          <w:b/>
          <w:szCs w:val="24"/>
        </w:rPr>
        <w:t xml:space="preserve">ting this means of collection. </w:t>
      </w:r>
      <w:r w:rsidRPr="00642B6A">
        <w:rPr>
          <w:rFonts w:eastAsia="Times New Roman" w:cs="Times New Roman"/>
          <w:b/>
          <w:szCs w:val="24"/>
        </w:rPr>
        <w:t>Also describe any consideration of using information technology to reduce burden.</w:t>
      </w:r>
    </w:p>
    <w:p w:rsidR="00642B6A" w:rsidRPr="00642B6A" w:rsidP="008257CF" w14:paraId="50F4229D" w14:textId="30F53BE6">
      <w:pPr>
        <w:tabs>
          <w:tab w:val="left" w:pos="-720"/>
          <w:tab w:val="left" w:pos="0"/>
        </w:tabs>
        <w:spacing w:after="240"/>
        <w:ind w:firstLine="720"/>
        <w:rPr>
          <w:rFonts w:eastAsia="Times New Roman" w:cs="Times New Roman"/>
          <w:szCs w:val="24"/>
        </w:rPr>
      </w:pPr>
      <w:r w:rsidRPr="00B46731">
        <w:rPr>
          <w:rFonts w:eastAsia="Times New Roman" w:cs="Times New Roman"/>
          <w:szCs w:val="24"/>
        </w:rPr>
        <w:t>All of</w:t>
      </w:r>
      <w:r w:rsidRPr="00B46731">
        <w:rPr>
          <w:rFonts w:eastAsia="Times New Roman" w:cs="Times New Roman"/>
          <w:szCs w:val="24"/>
        </w:rPr>
        <w:t xml:space="preserve"> the information collections within Information Collection </w:t>
      </w:r>
      <w:r>
        <w:rPr>
          <w:rFonts w:eastAsia="Times New Roman" w:cs="Times New Roman"/>
          <w:szCs w:val="24"/>
        </w:rPr>
        <w:t>3038-</w:t>
      </w:r>
      <w:r w:rsidR="00CC0909">
        <w:rPr>
          <w:rFonts w:eastAsia="Times New Roman" w:cs="Times New Roman"/>
          <w:szCs w:val="24"/>
        </w:rPr>
        <w:t>0086</w:t>
      </w:r>
      <w:r w:rsidRPr="00B46731" w:rsidR="00CC0909">
        <w:rPr>
          <w:rFonts w:eastAsia="Times New Roman" w:cs="Times New Roman"/>
          <w:szCs w:val="24"/>
        </w:rPr>
        <w:t xml:space="preserve"> </w:t>
      </w:r>
      <w:r w:rsidRPr="00B46731">
        <w:rPr>
          <w:rFonts w:eastAsia="Times New Roman" w:cs="Times New Roman"/>
          <w:szCs w:val="24"/>
        </w:rPr>
        <w:t>involve the use of electronic collection protocols. All required data submissions to the Commission must be electronic.</w:t>
      </w:r>
    </w:p>
    <w:p w:rsidR="00642B6A" w:rsidRPr="00642B6A" w:rsidP="00FE503D" w14:paraId="50F4229E" w14:textId="55961634">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w:t>
      </w:r>
      <w:r w:rsidR="00C83EDF">
        <w:rPr>
          <w:rFonts w:eastAsia="Times New Roman" w:cs="Times New Roman"/>
          <w:b/>
          <w:szCs w:val="24"/>
        </w:rPr>
        <w:t xml:space="preserve">forts to identify duplication. </w:t>
      </w:r>
      <w:r w:rsidRPr="00642B6A">
        <w:rPr>
          <w:rFonts w:eastAsia="Times New Roman" w:cs="Times New Roman"/>
          <w:b/>
          <w:szCs w:val="24"/>
        </w:rPr>
        <w:t>Show specifically why any similar information already available cannot be used or modified for use for the purposes described in Item 2 above.</w:t>
      </w:r>
    </w:p>
    <w:p w:rsidR="00642B6A" w:rsidRPr="00AD0896" w:rsidP="008257CF" w14:paraId="50F4229F" w14:textId="1EF7CDD1">
      <w:pPr>
        <w:tabs>
          <w:tab w:val="left" w:pos="-720"/>
        </w:tabs>
        <w:spacing w:after="240"/>
        <w:ind w:firstLine="720"/>
        <w:jc w:val="both"/>
        <w:rPr>
          <w:rFonts w:eastAsia="Times New Roman" w:cs="Times New Roman"/>
          <w:b/>
          <w:szCs w:val="24"/>
        </w:rPr>
      </w:pPr>
      <w:r w:rsidRPr="00AD0896">
        <w:rPr>
          <w:rFonts w:eastAsia="Times New Roman" w:cs="Times New Roman"/>
          <w:szCs w:val="24"/>
        </w:rPr>
        <w:t xml:space="preserve">The information </w:t>
      </w:r>
      <w:r>
        <w:rPr>
          <w:rFonts w:eastAsia="Times New Roman" w:cs="Times New Roman"/>
          <w:szCs w:val="24"/>
        </w:rPr>
        <w:t xml:space="preserve">collected pursuant to </w:t>
      </w:r>
      <w:r w:rsidR="00CC0909">
        <w:rPr>
          <w:rFonts w:eastAsia="Times New Roman" w:cs="Times New Roman"/>
          <w:szCs w:val="24"/>
        </w:rPr>
        <w:t>P</w:t>
      </w:r>
      <w:r>
        <w:rPr>
          <w:rFonts w:eastAsia="Times New Roman" w:cs="Times New Roman"/>
          <w:szCs w:val="24"/>
        </w:rPr>
        <w:t xml:space="preserve">art </w:t>
      </w:r>
      <w:r w:rsidR="00CC0909">
        <w:rPr>
          <w:rFonts w:eastAsia="Times New Roman" w:cs="Times New Roman"/>
          <w:szCs w:val="24"/>
        </w:rPr>
        <w:t>49</w:t>
      </w:r>
      <w:r w:rsidRPr="00AD0896" w:rsidR="00CC0909">
        <w:rPr>
          <w:rFonts w:eastAsia="Times New Roman" w:cs="Times New Roman"/>
          <w:szCs w:val="24"/>
        </w:rPr>
        <w:t xml:space="preserve"> </w:t>
      </w:r>
      <w:r w:rsidRPr="00AD0896">
        <w:rPr>
          <w:rFonts w:eastAsia="Times New Roman" w:cs="Times New Roman"/>
          <w:szCs w:val="24"/>
        </w:rPr>
        <w:t xml:space="preserve">of the Commission’s regulations is not already collected by the Commission or other regulator for any other purpose and is not publicly available through </w:t>
      </w:r>
      <w:r>
        <w:rPr>
          <w:rFonts w:eastAsia="Times New Roman" w:cs="Times New Roman"/>
          <w:szCs w:val="24"/>
        </w:rPr>
        <w:t xml:space="preserve">another source. </w:t>
      </w:r>
    </w:p>
    <w:p w:rsidR="00642B6A" w:rsidRPr="00642B6A" w:rsidP="00FE503D" w14:paraId="50F422A0" w14:textId="1C4072AB">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 xml:space="preserve">If the collection of information involves small business or other small entities (Item 5 of OMB </w:t>
      </w:r>
      <w:r w:rsidR="007D0F5D">
        <w:rPr>
          <w:rFonts w:eastAsia="Times New Roman" w:cs="Times New Roman"/>
          <w:b/>
          <w:szCs w:val="24"/>
        </w:rPr>
        <w:t>Form</w:t>
      </w:r>
      <w:r w:rsidRPr="00642B6A">
        <w:rPr>
          <w:rFonts w:eastAsia="Times New Roman" w:cs="Times New Roman"/>
          <w:b/>
          <w:szCs w:val="24"/>
        </w:rPr>
        <w:t xml:space="preserve"> 83-I), describe the methods used to minimize burden.</w:t>
      </w:r>
    </w:p>
    <w:p w:rsidR="00642B6A" w:rsidRPr="00642B6A" w:rsidP="008257CF" w14:paraId="50F422A1" w14:textId="03973FD4">
      <w:pPr>
        <w:tabs>
          <w:tab w:val="left" w:pos="-720"/>
        </w:tabs>
        <w:spacing w:after="240"/>
        <w:ind w:firstLine="720"/>
        <w:jc w:val="both"/>
        <w:rPr>
          <w:rFonts w:eastAsia="Times New Roman" w:cs="Times New Roman"/>
          <w:szCs w:val="24"/>
        </w:rPr>
      </w:pPr>
      <w:r w:rsidRPr="00AD0896">
        <w:rPr>
          <w:rFonts w:eastAsia="Times New Roman" w:cs="Times New Roman"/>
          <w:szCs w:val="24"/>
        </w:rPr>
        <w:t xml:space="preserve">This collection of information </w:t>
      </w:r>
      <w:r w:rsidR="00D70894">
        <w:rPr>
          <w:rFonts w:eastAsia="Times New Roman" w:cs="Times New Roman"/>
          <w:szCs w:val="24"/>
        </w:rPr>
        <w:t>does</w:t>
      </w:r>
      <w:r w:rsidRPr="00AD0896" w:rsidR="00D70894">
        <w:rPr>
          <w:rFonts w:eastAsia="Times New Roman" w:cs="Times New Roman"/>
          <w:szCs w:val="24"/>
        </w:rPr>
        <w:t xml:space="preserve"> </w:t>
      </w:r>
      <w:r w:rsidRPr="00AD0896">
        <w:rPr>
          <w:rFonts w:eastAsia="Times New Roman" w:cs="Times New Roman"/>
          <w:szCs w:val="24"/>
        </w:rPr>
        <w:t>not involve any small busines</w:t>
      </w:r>
      <w:r>
        <w:rPr>
          <w:rFonts w:eastAsia="Times New Roman" w:cs="Times New Roman"/>
          <w:szCs w:val="24"/>
        </w:rPr>
        <w:t xml:space="preserve">s or other small entities. The Commission has previously established </w:t>
      </w:r>
      <w:r w:rsidR="005946E6">
        <w:rPr>
          <w:rFonts w:eastAsia="Times New Roman" w:cs="Times New Roman"/>
          <w:szCs w:val="24"/>
        </w:rPr>
        <w:t xml:space="preserve">that </w:t>
      </w:r>
      <w:r w:rsidR="007D0F5D">
        <w:rPr>
          <w:rFonts w:eastAsia="Times New Roman" w:cs="Times New Roman"/>
          <w:szCs w:val="24"/>
        </w:rPr>
        <w:t>the SDRs</w:t>
      </w:r>
      <w:r>
        <w:rPr>
          <w:rFonts w:eastAsia="Times New Roman" w:cs="Times New Roman"/>
          <w:szCs w:val="24"/>
        </w:rPr>
        <w:t xml:space="preserve"> that would be affected by this collection are</w:t>
      </w:r>
      <w:r w:rsidR="00D70894">
        <w:rPr>
          <w:rFonts w:eastAsia="Times New Roman" w:cs="Times New Roman"/>
          <w:szCs w:val="24"/>
        </w:rPr>
        <w:t xml:space="preserve"> not</w:t>
      </w:r>
      <w:r>
        <w:rPr>
          <w:rFonts w:eastAsia="Times New Roman" w:cs="Times New Roman"/>
          <w:szCs w:val="24"/>
        </w:rPr>
        <w:t xml:space="preserve"> small entities.</w:t>
      </w:r>
    </w:p>
    <w:p w:rsidR="00642B6A" w:rsidRPr="00642B6A" w:rsidP="00FE503D" w14:paraId="50F422A2"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642B6A" w:rsidRPr="00642B6A" w:rsidP="008257CF" w14:paraId="50F422A3" w14:textId="0D2C04D6">
      <w:pPr>
        <w:spacing w:after="240"/>
        <w:ind w:firstLine="720"/>
        <w:jc w:val="both"/>
        <w:rPr>
          <w:rFonts w:eastAsia="Times New Roman" w:cs="Times New Roman"/>
          <w:color w:val="000000"/>
          <w:szCs w:val="24"/>
        </w:rPr>
      </w:pPr>
      <w:r>
        <w:rPr>
          <w:rFonts w:eastAsia="Times New Roman" w:cs="Times New Roman"/>
          <w:color w:val="000000"/>
          <w:szCs w:val="24"/>
        </w:rPr>
        <w:t>If the information required under this collection of information were not collected or were collected less frequently, enforcement of the CEA and the Commission’s regulations would be severely curtailed. The Commission would be less able to oversee SDRs for compliance with their regulatory obligations and would be unable to effectively monitor the swaps markets.</w:t>
      </w:r>
    </w:p>
    <w:p w:rsidR="00642B6A" w:rsidRPr="00642B6A" w:rsidP="00FE503D" w14:paraId="50F422A4"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00642B6A" w:rsidRPr="00642B6A" w:rsidP="00FE503D" w14:paraId="50F422A5"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 xml:space="preserve">requiring respondents to report information to the agency more often than </w:t>
      </w:r>
      <w:r w:rsidRPr="00642B6A">
        <w:rPr>
          <w:rFonts w:eastAsia="Times New Roman" w:cs="Times New Roman"/>
          <w:b/>
          <w:szCs w:val="24"/>
        </w:rPr>
        <w:t>quarterly;</w:t>
      </w:r>
    </w:p>
    <w:p w:rsidR="00D70894" w:rsidP="008257CF" w14:paraId="55101009" w14:textId="557F3ECB">
      <w:pPr>
        <w:tabs>
          <w:tab w:val="left" w:pos="-720"/>
        </w:tabs>
        <w:spacing w:after="240"/>
        <w:ind w:firstLine="720"/>
        <w:jc w:val="both"/>
        <w:rPr>
          <w:rFonts w:eastAsia="Times New Roman" w:cs="Times New Roman"/>
          <w:szCs w:val="24"/>
        </w:rPr>
      </w:pPr>
      <w:r>
        <w:rPr>
          <w:rFonts w:eastAsia="Times New Roman" w:cs="Times New Roman"/>
          <w:szCs w:val="24"/>
        </w:rPr>
        <w:t>Section</w:t>
      </w:r>
      <w:r w:rsidRPr="00D70894">
        <w:rPr>
          <w:rFonts w:eastAsia="Times New Roman" w:cs="Times New Roman"/>
          <w:szCs w:val="24"/>
        </w:rPr>
        <w:t xml:space="preserve"> 49.11 require</w:t>
      </w:r>
      <w:r>
        <w:rPr>
          <w:rFonts w:eastAsia="Times New Roman" w:cs="Times New Roman"/>
          <w:szCs w:val="24"/>
        </w:rPr>
        <w:t>s</w:t>
      </w:r>
      <w:r w:rsidRPr="00D70894">
        <w:rPr>
          <w:rFonts w:eastAsia="Times New Roman" w:cs="Times New Roman"/>
          <w:szCs w:val="24"/>
        </w:rPr>
        <w:t xml:space="preserve"> the associated collections to be conducted on monthly </w:t>
      </w:r>
      <w:r>
        <w:rPr>
          <w:rFonts w:eastAsia="Times New Roman" w:cs="Times New Roman"/>
          <w:szCs w:val="24"/>
        </w:rPr>
        <w:t xml:space="preserve">or quarterly </w:t>
      </w:r>
      <w:r w:rsidRPr="00D70894">
        <w:rPr>
          <w:rFonts w:eastAsia="Times New Roman" w:cs="Times New Roman"/>
          <w:szCs w:val="24"/>
        </w:rPr>
        <w:t xml:space="preserve">basis, depending on the registration status of the reporting. This frequency is necessary to help ensure that data available to the Commission and the public is accurate and complete. Less frequent </w:t>
      </w:r>
      <w:r w:rsidRPr="00D70894">
        <w:rPr>
          <w:rFonts w:eastAsia="Times New Roman" w:cs="Times New Roman"/>
          <w:szCs w:val="24"/>
        </w:rPr>
        <w:t>collection could hamper the Commission’s ability to oversee the swaps markets and perform its regulatory functions, while also allowing more inaccurate data to be provided to the public.</w:t>
      </w:r>
    </w:p>
    <w:p w:rsidR="00642B6A" w:rsidRPr="00642B6A" w:rsidP="00670513" w14:paraId="50F422A6" w14:textId="69940257">
      <w:pPr>
        <w:tabs>
          <w:tab w:val="left" w:pos="-720"/>
        </w:tabs>
        <w:spacing w:after="240"/>
        <w:ind w:firstLine="720"/>
        <w:jc w:val="both"/>
        <w:rPr>
          <w:rFonts w:eastAsia="Times New Roman" w:cs="Times New Roman"/>
          <w:szCs w:val="24"/>
        </w:rPr>
      </w:pPr>
      <w:r>
        <w:rPr>
          <w:rFonts w:eastAsia="Times New Roman" w:cs="Times New Roman"/>
          <w:szCs w:val="24"/>
        </w:rPr>
        <w:t>Sections</w:t>
      </w:r>
      <w:r w:rsidR="00D70894">
        <w:rPr>
          <w:rFonts w:eastAsia="Times New Roman" w:cs="Times New Roman"/>
          <w:szCs w:val="24"/>
        </w:rPr>
        <w:t xml:space="preserve"> 49.9, 49.10, 49.26, and 49.29 do not specifically require the collection of information more than quarterly, as the required collections are event</w:t>
      </w:r>
      <w:r w:rsidR="00300198">
        <w:rPr>
          <w:rFonts w:eastAsia="Times New Roman" w:cs="Times New Roman"/>
          <w:szCs w:val="24"/>
        </w:rPr>
        <w:t>-</w:t>
      </w:r>
      <w:r w:rsidR="00D70894">
        <w:rPr>
          <w:rFonts w:eastAsia="Times New Roman" w:cs="Times New Roman"/>
          <w:szCs w:val="24"/>
        </w:rPr>
        <w:t>specific, but the Commission believes that the collections would likely occur more than quarterly in most instances. Providing open swaps reports to the Commission as required by § 49.9 will improve the Commission’s ability to oversee the swaps markets and perform its other regulatory functions. The correction requirements in § 49.10 will help ensure that correct data is provided to the Commission and to the public. The final requirements of § 49.26 will help prevent reporting errors before they occur, which will improve the accuracy and completeness of data available to the Commission and the public. The requirements of § 49.29 will help the Commission oversee SDRs.</w:t>
      </w:r>
    </w:p>
    <w:p w:rsidR="00642B6A" w:rsidRPr="00642B6A" w:rsidP="00FE503D" w14:paraId="50F422A7" w14:textId="77777777">
      <w:pPr>
        <w:numPr>
          <w:ilvl w:val="0"/>
          <w:numId w:val="1"/>
        </w:numPr>
        <w:tabs>
          <w:tab w:val="left" w:pos="-720"/>
          <w:tab w:val="left" w:pos="0"/>
          <w:tab w:val="left" w:pos="720"/>
          <w:tab w:val="clear" w:pos="936"/>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00224598" w:rsidP="008257CF" w14:paraId="2593BF29" w14:textId="704A6D87">
      <w:pPr>
        <w:tabs>
          <w:tab w:val="left" w:pos="-720"/>
          <w:tab w:val="left" w:pos="0"/>
          <w:tab w:val="left" w:pos="720"/>
        </w:tabs>
        <w:suppressAutoHyphens/>
        <w:spacing w:after="240"/>
        <w:ind w:firstLine="720"/>
        <w:jc w:val="both"/>
      </w:pPr>
      <w:r>
        <w:t xml:space="preserve">Section 49.15 requires a registered SDR to notify the Commission of any swap transaction for which the real-time swap data was not received by the SDR within the </w:t>
      </w:r>
      <w:r>
        <w:t>time period</w:t>
      </w:r>
      <w:r>
        <w:t xml:space="preserve"> required in § 43.3(a)(3) of the Commission’s regulations.  This notification must be submitted electronically to the Commission within forty-eight (48) hours of when the SDR first receives an untimely real-time swap data report for one of the parties to a swap transaction.</w:t>
      </w:r>
    </w:p>
    <w:p w:rsidR="000F3B44" w:rsidP="008257CF" w14:paraId="5B808187" w14:textId="0A2852B4">
      <w:pPr>
        <w:tabs>
          <w:tab w:val="left" w:pos="-720"/>
          <w:tab w:val="left" w:pos="0"/>
          <w:tab w:val="left" w:pos="720"/>
        </w:tabs>
        <w:suppressAutoHyphens/>
        <w:spacing w:after="240"/>
        <w:ind w:firstLine="720"/>
        <w:jc w:val="both"/>
      </w:pPr>
      <w:r>
        <w:t xml:space="preserve">Section 49.23 requires a registered SDR to establish emergency policies and procedures which, if triggered, would require the SDR to notify the Commission of any action taken by the SDR as soon as reasonably practicable regarding any invocation of emergency authority.  As part of its notification to the Commission, the SDR must explain the reasons for taking such emergency action, explain how conflicts of interest were minimized, and document the </w:t>
      </w:r>
      <w:r>
        <w:t>decision making</w:t>
      </w:r>
      <w:r>
        <w:t xml:space="preserve"> process.  Underlying documentation must be made available to the Commission upon request.</w:t>
      </w:r>
    </w:p>
    <w:p w:rsidR="00544F79" w:rsidP="008257CF" w14:paraId="55914E17" w14:textId="619E044D">
      <w:pPr>
        <w:tabs>
          <w:tab w:val="left" w:pos="-720"/>
          <w:tab w:val="left" w:pos="0"/>
          <w:tab w:val="left" w:pos="720"/>
        </w:tabs>
        <w:spacing w:after="240"/>
        <w:ind w:firstLine="720"/>
        <w:jc w:val="both"/>
        <w:rPr>
          <w:rFonts w:eastAsia="Times New Roman" w:cs="Times New Roman"/>
          <w:szCs w:val="24"/>
        </w:rPr>
      </w:pPr>
      <w:r>
        <w:t xml:space="preserve">In addition, collections related to </w:t>
      </w:r>
      <w:r>
        <w:rPr>
          <w:rFonts w:eastAsia="Times New Roman" w:cs="Times New Roman"/>
          <w:szCs w:val="24"/>
        </w:rPr>
        <w:t xml:space="preserve">§§ 49.3, 49.5, 49.6, 49.10, 49.11, 49.26, and 49.28 all require information be provided in fewer than 30 days after the triggering event for the collection. The collections related to §§ 49.9 and 49.29 do not specifically require a response within 30 days of the triggering event for the collection, but all could require a response within 30 days of the triggering event. </w:t>
      </w:r>
    </w:p>
    <w:p w:rsidR="00124BE2" w:rsidRPr="00136B54" w:rsidP="008257CF" w14:paraId="0AC6BC3F" w14:textId="57648861">
      <w:pPr>
        <w:tabs>
          <w:tab w:val="left" w:pos="-720"/>
          <w:tab w:val="left" w:pos="0"/>
          <w:tab w:val="left" w:pos="720"/>
        </w:tabs>
        <w:spacing w:after="240"/>
        <w:ind w:firstLine="720"/>
        <w:jc w:val="both"/>
        <w:rPr>
          <w:rFonts w:eastAsia="Times New Roman" w:cs="Times New Roman"/>
          <w:b/>
          <w:szCs w:val="24"/>
        </w:rPr>
      </w:pPr>
      <w:r>
        <w:rPr>
          <w:rFonts w:eastAsia="Times New Roman" w:cs="Times New Roman"/>
          <w:szCs w:val="24"/>
        </w:rPr>
        <w:t xml:space="preserve">For each of </w:t>
      </w:r>
      <w:r w:rsidR="00544F79">
        <w:rPr>
          <w:rFonts w:eastAsia="Times New Roman" w:cs="Times New Roman"/>
          <w:szCs w:val="24"/>
        </w:rPr>
        <w:t>the foregoing</w:t>
      </w:r>
      <w:r>
        <w:rPr>
          <w:rFonts w:eastAsia="Times New Roman" w:cs="Times New Roman"/>
          <w:szCs w:val="24"/>
        </w:rPr>
        <w:t xml:space="preserve"> collections</w:t>
      </w:r>
      <w:r w:rsidR="00544F79">
        <w:rPr>
          <w:rFonts w:eastAsia="Times New Roman" w:cs="Times New Roman"/>
          <w:szCs w:val="24"/>
        </w:rPr>
        <w:t xml:space="preserve"> described in this section</w:t>
      </w:r>
      <w:r>
        <w:rPr>
          <w:rFonts w:eastAsia="Times New Roman" w:cs="Times New Roman"/>
          <w:szCs w:val="24"/>
        </w:rPr>
        <w:t xml:space="preserve">, the responses must be within 30 days </w:t>
      </w:r>
      <w:r>
        <w:rPr>
          <w:rFonts w:eastAsia="Times New Roman" w:cs="Times New Roman"/>
          <w:szCs w:val="24"/>
        </w:rPr>
        <w:t>in order for</w:t>
      </w:r>
      <w:r>
        <w:rPr>
          <w:rFonts w:eastAsia="Times New Roman" w:cs="Times New Roman"/>
          <w:szCs w:val="24"/>
        </w:rPr>
        <w:t xml:space="preserve"> the Commission to effectively perform its regulatory functions</w:t>
      </w:r>
      <w:r w:rsidRPr="00AD0896">
        <w:rPr>
          <w:rFonts w:eastAsia="Times New Roman" w:cs="Times New Roman"/>
          <w:szCs w:val="24"/>
        </w:rPr>
        <w:t>.</w:t>
      </w:r>
    </w:p>
    <w:p w:rsidR="00642B6A" w:rsidP="00FE503D" w14:paraId="50F422A9"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w:t>
      </w:r>
      <w:r w:rsidRPr="00642B6A">
        <w:rPr>
          <w:rFonts w:eastAsia="Times New Roman" w:cs="Times New Roman"/>
          <w:b/>
          <w:szCs w:val="24"/>
        </w:rPr>
        <w:t>document;</w:t>
      </w:r>
    </w:p>
    <w:p w:rsidR="00276906" w:rsidRPr="00136B54" w:rsidP="00D606E8" w14:paraId="177B2DE7" w14:textId="43D31806">
      <w:pPr>
        <w:tabs>
          <w:tab w:val="left" w:pos="-720"/>
        </w:tabs>
        <w:suppressAutoHyphens/>
        <w:spacing w:after="240"/>
        <w:ind w:firstLine="720"/>
      </w:pPr>
      <w:r>
        <w:t>Respondents are not required to submit more than an original and two copies of any document.</w:t>
      </w:r>
    </w:p>
    <w:p w:rsidR="00642B6A" w:rsidRPr="00642B6A" w:rsidP="00FE503D" w14:paraId="50F422AB" w14:textId="77777777">
      <w:pPr>
        <w:numPr>
          <w:ilvl w:val="0"/>
          <w:numId w:val="1"/>
        </w:numPr>
        <w:tabs>
          <w:tab w:val="left" w:pos="-720"/>
          <w:tab w:val="left" w:pos="0"/>
          <w:tab w:val="left" w:pos="720"/>
          <w:tab w:val="clear" w:pos="936"/>
        </w:tabs>
        <w:spacing w:after="240"/>
        <w:ind w:left="1080" w:hanging="360"/>
        <w:rPr>
          <w:rFonts w:eastAsia="Times New Roman" w:cs="Times New Roman"/>
          <w:b/>
          <w:szCs w:val="24"/>
        </w:rPr>
      </w:pPr>
      <w:r w:rsidRPr="00642B6A">
        <w:rPr>
          <w:rFonts w:eastAsia="Times New Roman" w:cs="Times New Roman"/>
          <w:b/>
          <w:szCs w:val="24"/>
        </w:rPr>
        <w:t xml:space="preserve">requiring respondents to retain records other than health, medical, government contract, grant-in-aid, or tax records, for more than three </w:t>
      </w:r>
      <w:r w:rsidRPr="00642B6A">
        <w:rPr>
          <w:rFonts w:eastAsia="Times New Roman" w:cs="Times New Roman"/>
          <w:b/>
          <w:szCs w:val="24"/>
        </w:rPr>
        <w:t>years;</w:t>
      </w:r>
    </w:p>
    <w:p w:rsidR="00EE2DC2" w:rsidP="00D606E8" w14:paraId="78140020" w14:textId="4609B43F">
      <w:pPr>
        <w:tabs>
          <w:tab w:val="left" w:pos="-720"/>
          <w:tab w:val="left" w:pos="0"/>
          <w:tab w:val="left" w:pos="720"/>
        </w:tabs>
        <w:suppressAutoHyphens/>
        <w:spacing w:after="240"/>
        <w:ind w:firstLine="720"/>
        <w:jc w:val="both"/>
      </w:pPr>
      <w:r>
        <w:t xml:space="preserve">Section </w:t>
      </w:r>
      <w:r w:rsidRPr="004C53E5">
        <w:t>49.1</w:t>
      </w:r>
      <w:r>
        <w:t>2</w:t>
      </w:r>
      <w:r w:rsidRPr="004C53E5">
        <w:t xml:space="preserve"> require</w:t>
      </w:r>
      <w:r>
        <w:t>s</w:t>
      </w:r>
      <w:r w:rsidRPr="004C53E5">
        <w:t xml:space="preserve"> the</w:t>
      </w:r>
      <w:r>
        <w:t xml:space="preserve"> registered</w:t>
      </w:r>
      <w:r w:rsidRPr="004C53E5">
        <w:t xml:space="preserve"> SDR </w:t>
      </w:r>
      <w:r>
        <w:t xml:space="preserve">to </w:t>
      </w:r>
      <w:r w:rsidRPr="002B2075">
        <w:t xml:space="preserve">maintain </w:t>
      </w:r>
      <w:r>
        <w:t>the swap transaction data it r</w:t>
      </w:r>
      <w:r w:rsidRPr="008E03DA">
        <w:t>eceives</w:t>
      </w:r>
      <w:r>
        <w:t xml:space="preserve"> for a period of not less than five (5) years after the applicable swap expires, during which time the records must be readily available by the SDR and available to the Commission via real-time electronic access.  Thereafter, the swap data must be archived and retrievable by the SDR within 3 business days.</w:t>
      </w:r>
    </w:p>
    <w:p w:rsidR="00642B6A" w:rsidRPr="00642B6A" w:rsidP="00D606E8" w14:paraId="50F422AC" w14:textId="110E7925">
      <w:pPr>
        <w:tabs>
          <w:tab w:val="left" w:pos="-720"/>
          <w:tab w:val="left" w:pos="0"/>
          <w:tab w:val="left" w:pos="720"/>
        </w:tabs>
        <w:spacing w:after="240"/>
        <w:ind w:firstLine="720"/>
        <w:jc w:val="both"/>
        <w:rPr>
          <w:rFonts w:eastAsia="Times New Roman" w:cs="Times New Roman"/>
          <w:szCs w:val="24"/>
        </w:rPr>
      </w:pPr>
      <w:r>
        <w:t xml:space="preserve">Section 49.22(g) states that a registered SDR must maintain a copy of the written policies and procedures, including the code of ethics and conflicts of interest policies adopted in compliance with the Act and Commission regulations, copies of all materials in connection with the review of an annual compliance report that records the submission of the annual compliance report to the board of directors or senior officer, and any records relevant to the registered SDR’s annual compliance report.  The SDR is required to preserve these records for a period of 5 years with ready access during the first 2 years of the </w:t>
      </w:r>
      <w:r>
        <w:t>5 year</w:t>
      </w:r>
      <w:r>
        <w:t xml:space="preserve"> period.</w:t>
      </w:r>
    </w:p>
    <w:p w:rsidR="00642B6A" w:rsidRPr="00642B6A" w:rsidP="00D606E8" w14:paraId="50F422AD"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w:t>
      </w:r>
      <w:r w:rsidRPr="00642B6A">
        <w:rPr>
          <w:rFonts w:eastAsia="Times New Roman" w:cs="Times New Roman"/>
          <w:b/>
          <w:szCs w:val="24"/>
        </w:rPr>
        <w:t>study;</w:t>
      </w:r>
      <w:r w:rsidRPr="00642B6A">
        <w:rPr>
          <w:rFonts w:eastAsia="Times New Roman" w:cs="Times New Roman"/>
          <w:b/>
          <w:szCs w:val="24"/>
        </w:rPr>
        <w:t xml:space="preserve"> </w:t>
      </w:r>
    </w:p>
    <w:p w:rsidR="00264729" w:rsidP="00D606E8" w14:paraId="01CAECFA" w14:textId="644EEEA7">
      <w:pPr>
        <w:tabs>
          <w:tab w:val="left" w:pos="-720"/>
          <w:tab w:val="left" w:pos="0"/>
          <w:tab w:val="left" w:pos="720"/>
        </w:tabs>
        <w:spacing w:after="240"/>
        <w:ind w:firstLine="720"/>
        <w:rPr>
          <w:rFonts w:eastAsia="Times New Roman" w:cs="Times New Roman"/>
        </w:rPr>
      </w:pPr>
      <w:r>
        <w:t xml:space="preserve">The regulations do not involve statistical surveys.  </w:t>
      </w:r>
    </w:p>
    <w:p w:rsidR="00642B6A" w:rsidP="00D606E8" w14:paraId="50F422AF" w14:textId="77777777">
      <w:pPr>
        <w:numPr>
          <w:ilvl w:val="0"/>
          <w:numId w:val="1"/>
        </w:numPr>
        <w:tabs>
          <w:tab w:val="left" w:pos="-720"/>
          <w:tab w:val="left" w:pos="0"/>
          <w:tab w:val="left" w:pos="720"/>
          <w:tab w:val="clear" w:pos="936"/>
          <w:tab w:val="num" w:pos="1080"/>
        </w:tabs>
        <w:spacing w:after="240"/>
        <w:ind w:left="1080" w:hanging="360"/>
        <w:jc w:val="both"/>
        <w:rPr>
          <w:rFonts w:eastAsia="Times New Roman" w:cs="Times New Roman"/>
          <w:szCs w:val="24"/>
        </w:rPr>
      </w:pPr>
      <w:r w:rsidRPr="004618A5">
        <w:rPr>
          <w:rFonts w:eastAsia="Times New Roman" w:cs="Times New Roman"/>
          <w:b/>
          <w:szCs w:val="24"/>
        </w:rPr>
        <w:t xml:space="preserve">requiring the use of a statistical data classification that has not been reviewed and approved by </w:t>
      </w:r>
      <w:r w:rsidRPr="004618A5">
        <w:rPr>
          <w:rFonts w:eastAsia="Times New Roman" w:cs="Times New Roman"/>
          <w:b/>
          <w:szCs w:val="24"/>
        </w:rPr>
        <w:t>OMB;</w:t>
      </w:r>
      <w:r w:rsidRPr="004618A5">
        <w:rPr>
          <w:rFonts w:eastAsia="Times New Roman" w:cs="Times New Roman"/>
          <w:szCs w:val="24"/>
        </w:rPr>
        <w:tab/>
      </w:r>
    </w:p>
    <w:p w:rsidR="008844B7" w:rsidP="00D606E8" w14:paraId="3A29D29D" w14:textId="3F384E5A">
      <w:pPr>
        <w:tabs>
          <w:tab w:val="left" w:pos="-720"/>
        </w:tabs>
        <w:suppressAutoHyphens/>
        <w:spacing w:after="240"/>
        <w:ind w:firstLine="720"/>
      </w:pPr>
      <w:r>
        <w:t xml:space="preserve">The regulations do not involve the use of statistical data.  </w:t>
      </w:r>
    </w:p>
    <w:p w:rsidR="00642B6A" w:rsidP="00D606E8" w14:paraId="50F422B0"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00AD0896" w:rsidP="00D606E8" w14:paraId="28473775" w14:textId="39F0225C">
      <w:pPr>
        <w:tabs>
          <w:tab w:val="left" w:pos="-720"/>
          <w:tab w:val="left" w:pos="0"/>
          <w:tab w:val="left" w:pos="720"/>
        </w:tabs>
        <w:spacing w:after="240"/>
        <w:ind w:firstLine="720"/>
        <w:rPr>
          <w:rFonts w:eastAsia="Times New Roman" w:cs="Times New Roman"/>
          <w:b/>
          <w:szCs w:val="24"/>
        </w:rPr>
      </w:pPr>
      <w:r>
        <w:rPr>
          <w:rFonts w:eastAsia="Times New Roman" w:cs="Times New Roman"/>
          <w:szCs w:val="24"/>
        </w:rPr>
        <w:t>The</w:t>
      </w:r>
      <w:r>
        <w:rPr>
          <w:rFonts w:eastAsia="Times New Roman" w:cs="Times New Roman"/>
          <w:szCs w:val="24"/>
        </w:rPr>
        <w:t xml:space="preserve"> collection does not include any pledges of confidentiality that are not supported by authority established in statute or regulation.</w:t>
      </w:r>
    </w:p>
    <w:p w:rsidR="00642B6A" w:rsidRPr="00B86819" w:rsidP="00FE503D" w14:paraId="50F422B1" w14:textId="77777777">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Pr="00B86819" w:rsid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642B6A" w:rsidRPr="00C9497A" w:rsidP="00136B54" w14:paraId="50F422B2" w14:textId="5C1AFEFE">
      <w:pPr>
        <w:tabs>
          <w:tab w:val="left" w:pos="-720"/>
          <w:tab w:val="left" w:pos="0"/>
          <w:tab w:val="left" w:pos="720"/>
        </w:tabs>
        <w:spacing w:after="240"/>
        <w:ind w:firstLine="720"/>
        <w:jc w:val="both"/>
        <w:rPr>
          <w:rFonts w:eastAsia="Times New Roman" w:cs="Times New Roman"/>
          <w:b/>
          <w:szCs w:val="24"/>
        </w:rPr>
      </w:pPr>
      <w:r w:rsidRPr="00AD0896">
        <w:rPr>
          <w:rFonts w:eastAsia="Times New Roman" w:cs="Times New Roman"/>
          <w:szCs w:val="24"/>
        </w:rPr>
        <w:t xml:space="preserve">All requirements to submit proprietary or other confidential information are subject to the Commission’s existing statutory, regulatory, and procedural requirements to protect the confidentiality of such information. This includes the requirements of sections 8(a) and 21(c)(6) of the Act as well as in §§ </w:t>
      </w:r>
      <w:r w:rsidR="007A1013">
        <w:rPr>
          <w:rFonts w:eastAsia="Times New Roman" w:cs="Times New Roman"/>
          <w:szCs w:val="24"/>
        </w:rPr>
        <w:t xml:space="preserve">43.4, </w:t>
      </w:r>
      <w:r w:rsidRPr="00AD0896">
        <w:rPr>
          <w:rFonts w:eastAsia="Times New Roman" w:cs="Times New Roman"/>
          <w:szCs w:val="24"/>
        </w:rPr>
        <w:t>49.16, 49.17, and 49.18, and parts 145 and 147 of the Commission’s regulations.</w:t>
      </w:r>
    </w:p>
    <w:p w:rsidR="00642B6A" w:rsidRPr="00642B6A" w:rsidP="00FE503D" w14:paraId="50F422B3" w14:textId="704971F2">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w:t>
      </w:r>
      <w:r w:rsidRPr="00642B6A">
        <w:rPr>
          <w:rFonts w:eastAsia="Times New Roman" w:cs="Times New Roman"/>
          <w:b/>
          <w:szCs w:val="24"/>
        </w:rPr>
        <w:t>publication</w:t>
      </w:r>
      <w:r w:rsidRPr="00642B6A">
        <w:rPr>
          <w:rFonts w:eastAsia="Times New Roman" w:cs="Times New Roman"/>
          <w:b/>
          <w:szCs w:val="24"/>
        </w:rPr>
        <w:t xml:space="preserve">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w:t>
      </w:r>
      <w:r w:rsidR="00C83EDF">
        <w:rPr>
          <w:rFonts w:eastAsia="Times New Roman" w:cs="Times New Roman"/>
          <w:b/>
          <w:szCs w:val="24"/>
        </w:rPr>
        <w:t xml:space="preserve">on prior to submission to OMB. </w:t>
      </w:r>
      <w:r w:rsidRPr="00642B6A">
        <w:rPr>
          <w:rFonts w:eastAsia="Times New Roman" w:cs="Times New Roman"/>
          <w:b/>
          <w:szCs w:val="24"/>
        </w:rPr>
        <w:t xml:space="preserve">Summarize public comments received in response to that notice and describe actions taken by the </w:t>
      </w:r>
      <w:r w:rsidRPr="00642B6A">
        <w:rPr>
          <w:rFonts w:eastAsia="Times New Roman" w:cs="Times New Roman"/>
          <w:b/>
          <w:szCs w:val="24"/>
        </w:rPr>
        <w:t xml:space="preserve">agency </w:t>
      </w:r>
      <w:r w:rsidR="00C83EDF">
        <w:rPr>
          <w:rFonts w:eastAsia="Times New Roman" w:cs="Times New Roman"/>
          <w:b/>
          <w:szCs w:val="24"/>
        </w:rPr>
        <w:t xml:space="preserve">in response to these comments. </w:t>
      </w:r>
      <w:r w:rsidRPr="00642B6A">
        <w:rPr>
          <w:rFonts w:eastAsia="Times New Roman" w:cs="Times New Roman"/>
          <w:b/>
          <w:szCs w:val="24"/>
        </w:rPr>
        <w:t>Specifically address comments received on cost and hour burden.</w:t>
      </w:r>
    </w:p>
    <w:p w:rsidR="00653547" w:rsidRPr="00B34010" w:rsidP="00CA0D4F" w14:paraId="50F422B4" w14:textId="7CB65665">
      <w:pPr>
        <w:pStyle w:val="TOC6"/>
        <w:tabs>
          <w:tab w:val="left" w:pos="-720"/>
          <w:tab w:val="left" w:pos="0"/>
          <w:tab w:val="clear" w:pos="9360"/>
        </w:tabs>
        <w:suppressAutoHyphens w:val="0"/>
        <w:spacing w:after="240"/>
        <w:ind w:left="0" w:firstLine="720"/>
        <w:jc w:val="both"/>
        <w:rPr>
          <w:szCs w:val="24"/>
        </w:rPr>
      </w:pPr>
      <w:bookmarkStart w:id="0" w:name="_Hlk71072084"/>
      <w:r>
        <w:rPr>
          <w:rFonts w:ascii="Times New Roman" w:hAnsi="Times New Roman"/>
          <w:szCs w:val="24"/>
        </w:rPr>
        <w:t xml:space="preserve">The Commission </w:t>
      </w:r>
      <w:r w:rsidR="002009EB">
        <w:rPr>
          <w:rFonts w:ascii="Times New Roman" w:hAnsi="Times New Roman"/>
          <w:szCs w:val="24"/>
        </w:rPr>
        <w:t xml:space="preserve">published </w:t>
      </w:r>
      <w:r w:rsidR="00F41ABB">
        <w:rPr>
          <w:rFonts w:ascii="Times New Roman" w:hAnsi="Times New Roman"/>
          <w:szCs w:val="24"/>
        </w:rPr>
        <w:t>a n</w:t>
      </w:r>
      <w:r w:rsidRPr="00F41ABB" w:rsidR="00F41ABB">
        <w:rPr>
          <w:rFonts w:ascii="Times New Roman" w:hAnsi="Times New Roman"/>
          <w:szCs w:val="24"/>
        </w:rPr>
        <w:t xml:space="preserve">otice of </w:t>
      </w:r>
      <w:r w:rsidR="00F41ABB">
        <w:rPr>
          <w:rFonts w:ascii="Times New Roman" w:hAnsi="Times New Roman"/>
          <w:szCs w:val="24"/>
        </w:rPr>
        <w:t xml:space="preserve">its </w:t>
      </w:r>
      <w:r w:rsidRPr="00F41ABB" w:rsidR="00F41ABB">
        <w:rPr>
          <w:rFonts w:ascii="Times New Roman" w:hAnsi="Times New Roman"/>
          <w:szCs w:val="24"/>
        </w:rPr>
        <w:t>intent to renew this collection in the Federal Register</w:t>
      </w:r>
      <w:r w:rsidR="00F41ABB">
        <w:rPr>
          <w:rFonts w:ascii="Times New Roman" w:hAnsi="Times New Roman"/>
          <w:szCs w:val="24"/>
        </w:rPr>
        <w:t xml:space="preserve"> on </w:t>
      </w:r>
      <w:r w:rsidR="00172457">
        <w:rPr>
          <w:rFonts w:ascii="Times New Roman" w:hAnsi="Times New Roman"/>
          <w:szCs w:val="24"/>
        </w:rPr>
        <w:t xml:space="preserve">October 4, 2024.  </w:t>
      </w:r>
      <w:r w:rsidR="00F41ABB">
        <w:rPr>
          <w:rFonts w:ascii="Times New Roman" w:hAnsi="Times New Roman"/>
          <w:i/>
          <w:iCs/>
          <w:szCs w:val="24"/>
        </w:rPr>
        <w:t xml:space="preserve">See </w:t>
      </w:r>
      <w:r w:rsidR="00F41ABB">
        <w:rPr>
          <w:rFonts w:ascii="Times New Roman" w:hAnsi="Times New Roman"/>
          <w:szCs w:val="24"/>
        </w:rPr>
        <w:t xml:space="preserve">89 FR </w:t>
      </w:r>
      <w:r w:rsidR="00F17C96">
        <w:rPr>
          <w:rFonts w:ascii="Times New Roman" w:hAnsi="Times New Roman"/>
          <w:szCs w:val="24"/>
        </w:rPr>
        <w:t>80897</w:t>
      </w:r>
      <w:r w:rsidR="00F41ABB">
        <w:rPr>
          <w:rFonts w:ascii="Times New Roman" w:hAnsi="Times New Roman"/>
          <w:szCs w:val="24"/>
        </w:rPr>
        <w:t xml:space="preserve"> (</w:t>
      </w:r>
      <w:r w:rsidR="00F17C96">
        <w:rPr>
          <w:rFonts w:ascii="Times New Roman" w:hAnsi="Times New Roman"/>
          <w:szCs w:val="24"/>
        </w:rPr>
        <w:t>October 4</w:t>
      </w:r>
      <w:r w:rsidR="00F41ABB">
        <w:rPr>
          <w:rFonts w:ascii="Times New Roman" w:hAnsi="Times New Roman"/>
          <w:szCs w:val="24"/>
        </w:rPr>
        <w:t>, 2024) (“60-Day Notice”).</w:t>
      </w:r>
      <w:r w:rsidRPr="00F41ABB" w:rsidR="00F41ABB">
        <w:rPr>
          <w:rFonts w:ascii="Times New Roman" w:hAnsi="Times New Roman"/>
          <w:szCs w:val="24"/>
        </w:rPr>
        <w:t xml:space="preserve">  </w:t>
      </w:r>
      <w:r w:rsidR="00F41ABB">
        <w:rPr>
          <w:rFonts w:ascii="Times New Roman" w:hAnsi="Times New Roman"/>
          <w:szCs w:val="24"/>
        </w:rPr>
        <w:t>The Commission received no relevant comments in response to the 60-Day Notice.</w:t>
      </w:r>
    </w:p>
    <w:bookmarkEnd w:id="0"/>
    <w:p w:rsidR="00642B6A" w:rsidRPr="00642B6A" w:rsidP="00FE503D" w14:paraId="50F422B5"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P="007A1013" w14:paraId="50F422B6" w14:textId="002D470A">
      <w:pPr>
        <w:tabs>
          <w:tab w:val="left" w:pos="-720"/>
          <w:tab w:val="left" w:pos="1305"/>
        </w:tabs>
        <w:spacing w:after="240"/>
        <w:ind w:firstLine="720"/>
        <w:rPr>
          <w:rFonts w:eastAsia="Times New Roman" w:cs="Times New Roman"/>
          <w:szCs w:val="24"/>
        </w:rPr>
      </w:pPr>
      <w:r w:rsidRPr="007A1013">
        <w:rPr>
          <w:rFonts w:eastAsia="Times New Roman" w:cs="Times New Roman"/>
          <w:szCs w:val="24"/>
        </w:rPr>
        <w:t>Not applicable, no payment or gift will be provided to respondents.</w:t>
      </w:r>
      <w:r>
        <w:rPr>
          <w:rFonts w:eastAsia="Times New Roman" w:cs="Times New Roman"/>
          <w:szCs w:val="24"/>
        </w:rPr>
        <w:tab/>
      </w:r>
    </w:p>
    <w:p w:rsidR="00642B6A" w:rsidRPr="00642B6A" w:rsidP="00FE503D" w14:paraId="50F422B7"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00D945B5" w:rsidRPr="007A1013" w:rsidP="00136B54" w14:paraId="50F422B8" w14:textId="10567661">
      <w:pPr>
        <w:tabs>
          <w:tab w:val="left" w:pos="-720"/>
        </w:tabs>
        <w:spacing w:after="240"/>
        <w:ind w:firstLine="720"/>
        <w:jc w:val="both"/>
        <w:rPr>
          <w:rFonts w:eastAsia="Times New Roman" w:cs="Times New Roman"/>
          <w:szCs w:val="24"/>
        </w:rPr>
      </w:pPr>
      <w:r w:rsidRPr="007A1013">
        <w:rPr>
          <w:rFonts w:eastAsia="Times New Roman" w:cs="Times New Roman"/>
          <w:szCs w:val="24"/>
        </w:rPr>
        <w:t xml:space="preserve">All requirements to submit proprietary or other confidential information are subject to the Commission’s existing statutory, regulatory, and procedural requirements to protect the confidentiality of such information. This includes the requirements of sections 8(a) and 21(c)(6) of the Act as well as in §§ </w:t>
      </w:r>
      <w:r>
        <w:rPr>
          <w:rFonts w:eastAsia="Times New Roman" w:cs="Times New Roman"/>
          <w:szCs w:val="24"/>
        </w:rPr>
        <w:t xml:space="preserve">43.4, </w:t>
      </w:r>
      <w:r w:rsidRPr="007A1013">
        <w:rPr>
          <w:rFonts w:eastAsia="Times New Roman" w:cs="Times New Roman"/>
          <w:szCs w:val="24"/>
        </w:rPr>
        <w:t>49.16, 49.17, and 49.18, and parts 145 and 147 of the Commission’s regulations.</w:t>
      </w:r>
    </w:p>
    <w:p w:rsidR="00642B6A" w:rsidRPr="00642B6A" w:rsidP="00FE503D" w14:paraId="50F422B9" w14:textId="78B0910F">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w:t>
      </w:r>
      <w:r w:rsidR="00C83EDF">
        <w:rPr>
          <w:rFonts w:eastAsia="Times New Roman" w:cs="Times New Roman"/>
          <w:b/>
          <w:szCs w:val="24"/>
        </w:rPr>
        <w:t xml:space="preserve">e commonly considered private. </w:t>
      </w:r>
      <w:r w:rsidRPr="00642B6A">
        <w:rPr>
          <w:rFonts w:eastAsia="Times New Roman" w:cs="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F41C5" w:rsidRPr="00642B6A" w:rsidP="00CA0D4F" w14:paraId="04A5B53A" w14:textId="6594825D">
      <w:pPr>
        <w:tabs>
          <w:tab w:val="left" w:pos="-720"/>
        </w:tabs>
        <w:suppressAutoHyphens/>
        <w:spacing w:after="240"/>
        <w:ind w:firstLine="720"/>
        <w:rPr>
          <w:rFonts w:eastAsia="Times New Roman" w:cs="Times New Roman"/>
          <w:szCs w:val="24"/>
        </w:rPr>
      </w:pPr>
      <w:r w:rsidRPr="008F41C5">
        <w:rPr>
          <w:rFonts w:eastAsia="Times New Roman" w:cs="Times New Roman"/>
          <w:szCs w:val="24"/>
        </w:rPr>
        <w:t>Not applicable, the collection does not involve any questions of a sensitive nature, as the term is used in this question.</w:t>
      </w:r>
    </w:p>
    <w:p w:rsidR="00642B6A" w:rsidRPr="00642B6A" w:rsidP="00505251" w14:paraId="50F422BB" w14:textId="1D96D698">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 xml:space="preserve">Provide estimates of the hour burden of </w:t>
      </w:r>
      <w:r w:rsidR="00C83EDF">
        <w:rPr>
          <w:rFonts w:eastAsia="Times New Roman" w:cs="Times New Roman"/>
          <w:b/>
          <w:szCs w:val="24"/>
        </w:rPr>
        <w:t xml:space="preserve">the collection of information. </w:t>
      </w:r>
      <w:r w:rsidRPr="00642B6A">
        <w:rPr>
          <w:rFonts w:eastAsia="Times New Roman" w:cs="Times New Roman"/>
          <w:b/>
          <w:szCs w:val="24"/>
        </w:rPr>
        <w:t>The Statement should:</w:t>
      </w:r>
    </w:p>
    <w:p w:rsidR="00642B6A" w:rsidP="00FE503D" w14:paraId="50F422BC" w14:textId="320B0D8D">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w:t>
      </w:r>
      <w:r w:rsidR="00C83EDF">
        <w:rPr>
          <w:rFonts w:eastAsia="Times New Roman" w:cs="Times New Roman"/>
          <w:b/>
          <w:szCs w:val="24"/>
        </w:rPr>
        <w:t xml:space="preserve"> how the burden was estimated. </w:t>
      </w:r>
      <w:r w:rsidRPr="00642B6A">
        <w:rPr>
          <w:rFonts w:eastAsia="Times New Roman" w:cs="Times New Roman"/>
          <w:b/>
          <w:szCs w:val="24"/>
        </w:rPr>
        <w:t>Unless directed to do so, agencies should not conduct special surveys to obtain information on which to base hour burden esti</w:t>
      </w:r>
      <w:r w:rsidR="00C83EDF">
        <w:rPr>
          <w:rFonts w:eastAsia="Times New Roman" w:cs="Times New Roman"/>
          <w:b/>
          <w:szCs w:val="24"/>
        </w:rPr>
        <w:t xml:space="preserve">mates. </w:t>
      </w:r>
      <w:r w:rsidRPr="00642B6A">
        <w:rPr>
          <w:rFonts w:eastAsia="Times New Roman" w:cs="Times New Roman"/>
          <w:b/>
          <w:szCs w:val="24"/>
        </w:rPr>
        <w:t>Consultation with a sample (fewer than ten) of poten</w:t>
      </w:r>
      <w:r w:rsidR="00C83EDF">
        <w:rPr>
          <w:rFonts w:eastAsia="Times New Roman" w:cs="Times New Roman"/>
          <w:b/>
          <w:szCs w:val="24"/>
        </w:rPr>
        <w:t xml:space="preserve">tial respondents is desirable. </w:t>
      </w:r>
      <w:r w:rsidRPr="00642B6A">
        <w:rPr>
          <w:rFonts w:eastAsia="Times New Roman" w:cs="Times New Roman"/>
          <w:b/>
          <w:szCs w:val="24"/>
        </w:rPr>
        <w:t>If the hour burden on respondents is expected to vary widely because of differences in activity, size or complexity, show the range of estimated hour burden, and explain</w:t>
      </w:r>
      <w:r w:rsidR="00C83EDF">
        <w:rPr>
          <w:rFonts w:eastAsia="Times New Roman" w:cs="Times New Roman"/>
          <w:b/>
          <w:szCs w:val="24"/>
        </w:rPr>
        <w:t xml:space="preserve"> the reasons for the variance. </w:t>
      </w:r>
      <w:r w:rsidRPr="00642B6A">
        <w:rPr>
          <w:rFonts w:eastAsia="Times New Roman" w:cs="Times New Roman"/>
          <w:b/>
          <w:szCs w:val="24"/>
        </w:rPr>
        <w:t>Generally, estimates should not include burden hours for customary and usual business practices.</w:t>
      </w:r>
    </w:p>
    <w:p w:rsidR="00642B6A" w:rsidRPr="00642B6A" w:rsidP="00FE503D" w14:paraId="50F422BD"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00642B6A" w:rsidRPr="00642B6A" w:rsidP="00FE503D" w14:paraId="50F422BE" w14:textId="5292C408">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w:t>
      </w:r>
      <w:r w:rsidR="00C83EDF">
        <w:rPr>
          <w:rFonts w:eastAsia="Times New Roman" w:cs="Times New Roman"/>
          <w:b/>
          <w:szCs w:val="24"/>
        </w:rPr>
        <w:t xml:space="preserve">ropriate wage rate categories. </w:t>
      </w:r>
      <w:r w:rsidRPr="00642B6A">
        <w:rPr>
          <w:rFonts w:eastAsia="Times New Roman" w:cs="Times New Roman"/>
          <w:b/>
          <w:szCs w:val="24"/>
        </w:rPr>
        <w:t>The cost of contracting out or paying outside parties for information collection activitie</w:t>
      </w:r>
      <w:r w:rsidR="00C83EDF">
        <w:rPr>
          <w:rFonts w:eastAsia="Times New Roman" w:cs="Times New Roman"/>
          <w:b/>
          <w:szCs w:val="24"/>
        </w:rPr>
        <w:t xml:space="preserve">s should not be included here. </w:t>
      </w:r>
      <w:r w:rsidRPr="00642B6A">
        <w:rPr>
          <w:rFonts w:eastAsia="Times New Roman" w:cs="Times New Roman"/>
          <w:b/>
          <w:szCs w:val="24"/>
        </w:rPr>
        <w:t>Instead, this cost should be included in Item 13.</w:t>
      </w:r>
    </w:p>
    <w:p w:rsidR="007D0F5D" w:rsidP="00CA0D4F" w14:paraId="74F996DD" w14:textId="5F4E2764">
      <w:pPr>
        <w:spacing w:after="240"/>
        <w:ind w:firstLine="720"/>
        <w:jc w:val="both"/>
        <w:rPr>
          <w:rFonts w:eastAsia="Times New Roman" w:cs="Times New Roman"/>
          <w:color w:val="000000"/>
          <w:szCs w:val="24"/>
        </w:rPr>
      </w:pPr>
      <w:r w:rsidRPr="008F41C5">
        <w:rPr>
          <w:rFonts w:eastAsia="Times New Roman" w:cs="Times New Roman"/>
          <w:color w:val="000000"/>
          <w:szCs w:val="24"/>
        </w:rPr>
        <w:t xml:space="preserve">Please see </w:t>
      </w:r>
      <w:r w:rsidR="00B70CD2">
        <w:rPr>
          <w:rFonts w:eastAsia="Times New Roman" w:cs="Times New Roman"/>
          <w:color w:val="000000"/>
          <w:szCs w:val="24"/>
        </w:rPr>
        <w:t>A</w:t>
      </w:r>
      <w:r w:rsidRPr="008F41C5" w:rsidR="00B70CD2">
        <w:rPr>
          <w:rFonts w:eastAsia="Times New Roman" w:cs="Times New Roman"/>
          <w:color w:val="000000"/>
          <w:szCs w:val="24"/>
        </w:rPr>
        <w:t xml:space="preserve">ttachment </w:t>
      </w:r>
      <w:r w:rsidRPr="008F41C5">
        <w:rPr>
          <w:rFonts w:eastAsia="Times New Roman" w:cs="Times New Roman"/>
          <w:color w:val="000000"/>
          <w:szCs w:val="24"/>
        </w:rPr>
        <w:t>A for the estimated hour burden</w:t>
      </w:r>
      <w:r w:rsidR="00722882">
        <w:rPr>
          <w:rFonts w:eastAsia="Times New Roman" w:cs="Times New Roman"/>
          <w:color w:val="000000"/>
          <w:szCs w:val="24"/>
        </w:rPr>
        <w:t xml:space="preserve"> to</w:t>
      </w:r>
      <w:r w:rsidRPr="008F41C5" w:rsidR="00722882">
        <w:rPr>
          <w:rFonts w:eastAsia="Times New Roman" w:cs="Times New Roman"/>
          <w:color w:val="000000"/>
          <w:szCs w:val="24"/>
        </w:rPr>
        <w:t xml:space="preserve"> </w:t>
      </w:r>
      <w:r w:rsidRPr="008F41C5">
        <w:rPr>
          <w:rFonts w:eastAsia="Times New Roman" w:cs="Times New Roman"/>
          <w:color w:val="000000"/>
          <w:szCs w:val="24"/>
        </w:rPr>
        <w:t>the collections of information discussed in this supporting statement.</w:t>
      </w:r>
      <w:r w:rsidR="00E45A29">
        <w:rPr>
          <w:rFonts w:eastAsia="Times New Roman" w:cs="Times New Roman"/>
          <w:color w:val="000000"/>
          <w:szCs w:val="24"/>
        </w:rPr>
        <w:t xml:space="preserve"> </w:t>
      </w:r>
    </w:p>
    <w:p w:rsidR="00867CB2" w:rsidP="00CA0D4F" w14:paraId="03CBB740" w14:textId="0ED59921">
      <w:pPr>
        <w:spacing w:after="240"/>
        <w:ind w:firstLine="720"/>
        <w:jc w:val="both"/>
        <w:rPr>
          <w:rFonts w:eastAsia="Times New Roman" w:cs="Times New Roman"/>
          <w:color w:val="000000"/>
          <w:szCs w:val="24"/>
        </w:rPr>
      </w:pPr>
      <w:r w:rsidRPr="008F41C5">
        <w:rPr>
          <w:rFonts w:eastAsia="Times New Roman" w:cs="Times New Roman"/>
          <w:color w:val="000000"/>
          <w:szCs w:val="24"/>
        </w:rPr>
        <w:t xml:space="preserve">In calculating </w:t>
      </w:r>
      <w:r w:rsidR="00730B43">
        <w:rPr>
          <w:rFonts w:eastAsia="Times New Roman" w:cs="Times New Roman"/>
          <w:color w:val="000000"/>
          <w:szCs w:val="24"/>
        </w:rPr>
        <w:t>the</w:t>
      </w:r>
      <w:r w:rsidRPr="008F41C5">
        <w:rPr>
          <w:rFonts w:eastAsia="Times New Roman" w:cs="Times New Roman"/>
          <w:color w:val="000000"/>
          <w:szCs w:val="24"/>
        </w:rPr>
        <w:t xml:space="preserve"> </w:t>
      </w:r>
      <w:r w:rsidR="00B636A7">
        <w:rPr>
          <w:rFonts w:eastAsia="Times New Roman" w:cs="Times New Roman"/>
          <w:color w:val="000000"/>
          <w:szCs w:val="24"/>
        </w:rPr>
        <w:t xml:space="preserve">associated labor </w:t>
      </w:r>
      <w:r w:rsidRPr="008F41C5">
        <w:rPr>
          <w:rFonts w:eastAsia="Times New Roman" w:cs="Times New Roman"/>
          <w:color w:val="000000"/>
          <w:szCs w:val="24"/>
        </w:rPr>
        <w:t>cost estimate</w:t>
      </w:r>
      <w:r w:rsidR="00B636A7">
        <w:rPr>
          <w:rFonts w:eastAsia="Times New Roman" w:cs="Times New Roman"/>
          <w:color w:val="000000"/>
          <w:szCs w:val="24"/>
        </w:rPr>
        <w:t>s</w:t>
      </w:r>
      <w:r w:rsidRPr="008F41C5">
        <w:rPr>
          <w:rFonts w:eastAsia="Times New Roman" w:cs="Times New Roman"/>
          <w:color w:val="000000"/>
          <w:szCs w:val="24"/>
        </w:rPr>
        <w:t>, the Commission estimates the appropriate wage rate based on salary information for the securities industry compiled by the Department of Labor’s Bureau of Labor Statistics (“BLS”). Commission staff arrived at an hourly rate of $</w:t>
      </w:r>
      <w:r w:rsidR="00F644C7">
        <w:rPr>
          <w:rFonts w:eastAsia="Times New Roman" w:cs="Times New Roman"/>
          <w:color w:val="000000"/>
          <w:szCs w:val="24"/>
        </w:rPr>
        <w:t>88.09</w:t>
      </w:r>
      <w:r w:rsidRPr="008F41C5">
        <w:rPr>
          <w:rFonts w:eastAsia="Times New Roman" w:cs="Times New Roman"/>
          <w:color w:val="000000"/>
          <w:szCs w:val="24"/>
        </w:rPr>
        <w:t xml:space="preserve"> using figures from a weighted average of salaries and bonuses across different professions contained in the most recent BLS Occupational Employme</w:t>
      </w:r>
      <w:r>
        <w:rPr>
          <w:rFonts w:eastAsia="Times New Roman" w:cs="Times New Roman"/>
          <w:color w:val="000000"/>
          <w:szCs w:val="24"/>
        </w:rPr>
        <w:t xml:space="preserve">nt and Wages Report (May </w:t>
      </w:r>
      <w:r w:rsidR="00F644C7">
        <w:rPr>
          <w:rFonts w:eastAsia="Times New Roman" w:cs="Times New Roman"/>
          <w:color w:val="000000"/>
          <w:szCs w:val="24"/>
        </w:rPr>
        <w:t>2023</w:t>
      </w:r>
      <w:r>
        <w:rPr>
          <w:rFonts w:eastAsia="Times New Roman" w:cs="Times New Roman"/>
          <w:color w:val="000000"/>
          <w:szCs w:val="24"/>
        </w:rPr>
        <w:t xml:space="preserve">) </w:t>
      </w:r>
      <w:r w:rsidRPr="008F41C5">
        <w:rPr>
          <w:rFonts w:eastAsia="Times New Roman" w:cs="Times New Roman"/>
          <w:color w:val="000000"/>
          <w:szCs w:val="24"/>
        </w:rPr>
        <w:t>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investment and related activities” (50% weight); “compliance officer – industry: securities, commodity contracts, and other financial investment and related activities” (25%); and “lawyer – legal services” (25%). Commission staff chose this methodology to account for the variance in skill sets that may be used to accomplish the collection of information.</w:t>
      </w:r>
    </w:p>
    <w:p w:rsidR="00642B6A" w:rsidRPr="00642B6A" w:rsidP="00FE503D" w14:paraId="50F422C1" w14:textId="5F035295">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recordkeepers resulting from </w:t>
      </w:r>
      <w:r w:rsidR="00C83EDF">
        <w:rPr>
          <w:rFonts w:eastAsia="Times New Roman" w:cs="Times New Roman"/>
          <w:b/>
          <w:szCs w:val="24"/>
        </w:rPr>
        <w:t xml:space="preserve">the collection of information. </w:t>
      </w:r>
      <w:r w:rsidRPr="00642B6A">
        <w:rPr>
          <w:rFonts w:eastAsia="Times New Roman" w:cs="Times New Roman"/>
          <w:b/>
          <w:szCs w:val="24"/>
        </w:rPr>
        <w:t>(Do not include the cost of any hour burden shown in Items 12 and 14).</w:t>
      </w:r>
    </w:p>
    <w:p w:rsidR="00642B6A" w:rsidRPr="00642B6A" w:rsidP="00FE503D" w14:paraId="50F422C2" w14:textId="1F35A16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 xml:space="preserve">The cost estimate should be split into two components; (a) a total capital and start-up cost component (annualized over its expected useful life) and (b) a total operation and maintenance and purchase of </w:t>
      </w:r>
      <w:r w:rsidR="00C83EDF">
        <w:rPr>
          <w:rFonts w:eastAsia="Times New Roman" w:cs="Times New Roman"/>
          <w:b/>
          <w:szCs w:val="24"/>
        </w:rPr>
        <w:t xml:space="preserve">services component. </w:t>
      </w:r>
      <w:r w:rsidRPr="00642B6A">
        <w:rPr>
          <w:rFonts w:eastAsia="Times New Roman" w:cs="Times New Roman"/>
          <w:b/>
          <w:szCs w:val="24"/>
        </w:rPr>
        <w:t xml:space="preserve">The estimates should </w:t>
      </w:r>
      <w:r w:rsidRPr="00642B6A">
        <w:rPr>
          <w:rFonts w:eastAsia="Times New Roman" w:cs="Times New Roman"/>
          <w:b/>
          <w:szCs w:val="24"/>
        </w:rPr>
        <w:t>take into account</w:t>
      </w:r>
      <w:r w:rsidRPr="00642B6A">
        <w:rPr>
          <w:rFonts w:eastAsia="Times New Roman" w:cs="Times New Roman"/>
          <w:b/>
          <w:szCs w:val="24"/>
        </w:rPr>
        <w:t xml:space="preserve"> costs associated with generating, maintaining, and disclosing</w:t>
      </w:r>
      <w:r w:rsidR="00C83EDF">
        <w:rPr>
          <w:rFonts w:eastAsia="Times New Roman" w:cs="Times New Roman"/>
          <w:b/>
          <w:szCs w:val="24"/>
        </w:rPr>
        <w:t xml:space="preserve"> or providing the information. </w:t>
      </w:r>
      <w:r w:rsidRPr="00642B6A">
        <w:rPr>
          <w:rFonts w:eastAsia="Times New Roman" w:cs="Times New Roman"/>
          <w:b/>
          <w:szCs w:val="24"/>
        </w:rPr>
        <w:t xml:space="preserve">Include descriptions of methods used to estimate major costs factors including system and technology acquisition, expected useful life of capital equipment, the discount rate(s), and the </w:t>
      </w:r>
      <w:r w:rsidRPr="00642B6A">
        <w:rPr>
          <w:rFonts w:eastAsia="Times New Roman" w:cs="Times New Roman"/>
          <w:b/>
          <w:szCs w:val="24"/>
        </w:rPr>
        <w:t>time period</w:t>
      </w:r>
      <w:r w:rsidRPr="00642B6A">
        <w:rPr>
          <w:rFonts w:eastAsia="Times New Roman" w:cs="Times New Roman"/>
          <w:b/>
          <w:szCs w:val="24"/>
        </w:rPr>
        <w:t xml:space="preserve"> over</w:t>
      </w:r>
      <w:r w:rsidR="00C83EDF">
        <w:rPr>
          <w:rFonts w:eastAsia="Times New Roman" w:cs="Times New Roman"/>
          <w:b/>
          <w:szCs w:val="24"/>
        </w:rPr>
        <w:t xml:space="preserve"> which costs will be incurred. </w:t>
      </w:r>
      <w:r w:rsidRPr="00642B6A">
        <w:rPr>
          <w:rFonts w:eastAsia="Times New Roman" w:cs="Times New Roman"/>
          <w:b/>
          <w:szCs w:val="24"/>
        </w:rPr>
        <w:t>Capital and start-up costs include, among other items, preparations for collecting information such as purchasing computers and software, monitoring, sampling, drilling and testing equipment, and record storage facilities.</w:t>
      </w:r>
    </w:p>
    <w:p w:rsidR="00642B6A" w:rsidRPr="00642B6A" w:rsidP="00FE503D" w14:paraId="50F422C3" w14:textId="5AA257E5">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w:t>
      </w:r>
      <w:r w:rsidR="00C83EDF">
        <w:rPr>
          <w:rFonts w:eastAsia="Times New Roman" w:cs="Times New Roman"/>
          <w:b/>
          <w:szCs w:val="24"/>
        </w:rPr>
        <w:t xml:space="preserve"> the reasons for the variance. </w:t>
      </w:r>
      <w:r w:rsidRPr="00642B6A">
        <w:rPr>
          <w:rFonts w:eastAsia="Times New Roman" w:cs="Times New Roman"/>
          <w:b/>
          <w:szCs w:val="24"/>
        </w:rPr>
        <w:t>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642B6A" w:rsidRPr="00642B6A" w:rsidP="00FE503D" w14:paraId="50F422C4"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A3B83" w:rsidP="003E0284" w14:paraId="648F3F5E" w14:textId="133DA1A7">
      <w:pPr>
        <w:spacing w:after="240"/>
        <w:ind w:firstLine="720"/>
        <w:jc w:val="both"/>
        <w:rPr>
          <w:rFonts w:eastAsia="Times New Roman" w:cs="Times New Roman"/>
          <w:color w:val="000000"/>
          <w:szCs w:val="24"/>
        </w:rPr>
      </w:pPr>
      <w:r>
        <w:rPr>
          <w:rFonts w:eastAsia="Times New Roman" w:cs="Times New Roman"/>
          <w:color w:val="000000"/>
          <w:szCs w:val="24"/>
        </w:rPr>
        <w:t>The</w:t>
      </w:r>
      <w:r w:rsidR="00B86518">
        <w:rPr>
          <w:rFonts w:eastAsia="Times New Roman" w:cs="Times New Roman"/>
          <w:color w:val="000000"/>
          <w:szCs w:val="24"/>
        </w:rPr>
        <w:t xml:space="preserve"> Commission does not anticipate </w:t>
      </w:r>
      <w:r w:rsidR="00552B49">
        <w:rPr>
          <w:rFonts w:eastAsia="Times New Roman" w:cs="Times New Roman"/>
          <w:color w:val="000000"/>
          <w:szCs w:val="24"/>
        </w:rPr>
        <w:t xml:space="preserve">new SDR registrants for </w:t>
      </w:r>
      <w:r w:rsidR="00615058">
        <w:rPr>
          <w:rFonts w:eastAsia="Times New Roman" w:cs="Times New Roman"/>
          <w:color w:val="000000"/>
          <w:szCs w:val="24"/>
        </w:rPr>
        <w:t>the duration of this renewal</w:t>
      </w:r>
      <w:r w:rsidR="00552B49">
        <w:rPr>
          <w:rFonts w:eastAsia="Times New Roman" w:cs="Times New Roman"/>
          <w:color w:val="000000"/>
          <w:szCs w:val="24"/>
        </w:rPr>
        <w:t xml:space="preserve">.  Consequently, </w:t>
      </w:r>
      <w:r w:rsidR="008E0487">
        <w:rPr>
          <w:rFonts w:eastAsia="Times New Roman" w:cs="Times New Roman"/>
          <w:color w:val="000000"/>
          <w:szCs w:val="24"/>
        </w:rPr>
        <w:t xml:space="preserve">the Commission does not anticipate </w:t>
      </w:r>
      <w:r w:rsidR="00FC0A97">
        <w:rPr>
          <w:rFonts w:eastAsia="Times New Roman" w:cs="Times New Roman"/>
          <w:color w:val="000000"/>
          <w:szCs w:val="24"/>
        </w:rPr>
        <w:t>any start-up costs associated with this collection.</w:t>
      </w:r>
    </w:p>
    <w:p w:rsidR="00347613" w:rsidRPr="00642B6A" w:rsidP="003E0284" w14:paraId="157A3524" w14:textId="58BE0B48">
      <w:pPr>
        <w:spacing w:after="240"/>
        <w:ind w:firstLine="720"/>
        <w:jc w:val="both"/>
        <w:rPr>
          <w:rFonts w:eastAsia="Times New Roman" w:cs="Times New Roman"/>
          <w:color w:val="000000"/>
          <w:szCs w:val="24"/>
        </w:rPr>
      </w:pPr>
      <w:r w:rsidRPr="00E0223C">
        <w:rPr>
          <w:rFonts w:eastAsia="Times New Roman" w:cs="Times New Roman"/>
          <w:color w:val="000000"/>
          <w:szCs w:val="24"/>
        </w:rPr>
        <w:t xml:space="preserve">The Commission </w:t>
      </w:r>
      <w:r w:rsidR="004C3A00">
        <w:rPr>
          <w:rFonts w:eastAsia="Times New Roman" w:cs="Times New Roman"/>
          <w:color w:val="000000"/>
          <w:szCs w:val="24"/>
        </w:rPr>
        <w:t>estimates</w:t>
      </w:r>
      <w:r w:rsidRPr="00E0223C">
        <w:rPr>
          <w:rFonts w:eastAsia="Times New Roman" w:cs="Times New Roman"/>
          <w:color w:val="000000"/>
          <w:szCs w:val="24"/>
        </w:rPr>
        <w:t xml:space="preserve"> that the additional technological infrastructure required to satisfy </w:t>
      </w:r>
      <w:r w:rsidR="004C3A00">
        <w:rPr>
          <w:rFonts w:eastAsia="Times New Roman" w:cs="Times New Roman"/>
          <w:color w:val="000000"/>
          <w:szCs w:val="24"/>
        </w:rPr>
        <w:t>an</w:t>
      </w:r>
      <w:r w:rsidRPr="00E0223C">
        <w:rPr>
          <w:rFonts w:eastAsia="Times New Roman" w:cs="Times New Roman"/>
          <w:color w:val="000000"/>
          <w:szCs w:val="24"/>
        </w:rPr>
        <w:t xml:space="preserve"> SDR’s responsibilities as a record keeper, reporter, and to initiate emergency procedures in the event of natural, man-made, market, or information technology procedures is </w:t>
      </w:r>
      <w:r w:rsidR="001F0B5B">
        <w:rPr>
          <w:rFonts w:eastAsia="Times New Roman" w:cs="Times New Roman"/>
          <w:color w:val="000000"/>
          <w:szCs w:val="24"/>
        </w:rPr>
        <w:t>to be</w:t>
      </w:r>
      <w:r w:rsidRPr="00E0223C">
        <w:rPr>
          <w:rFonts w:eastAsia="Times New Roman" w:cs="Times New Roman"/>
          <w:color w:val="000000"/>
          <w:szCs w:val="24"/>
        </w:rPr>
        <w:t xml:space="preserve"> </w:t>
      </w:r>
      <w:r w:rsidR="000133B9">
        <w:rPr>
          <w:rFonts w:eastAsia="Times New Roman" w:cs="Times New Roman"/>
          <w:color w:val="000000"/>
          <w:szCs w:val="24"/>
        </w:rPr>
        <w:t xml:space="preserve">an average of </w:t>
      </w:r>
      <w:r w:rsidR="00F806F9">
        <w:rPr>
          <w:rFonts w:eastAsia="Times New Roman" w:cs="Times New Roman"/>
          <w:color w:val="000000"/>
          <w:szCs w:val="24"/>
        </w:rPr>
        <w:t>$</w:t>
      </w:r>
      <w:r w:rsidR="00806BA6">
        <w:rPr>
          <w:rFonts w:eastAsia="Times New Roman" w:cs="Times New Roman"/>
          <w:color w:val="000000"/>
          <w:szCs w:val="24"/>
        </w:rPr>
        <w:t>2</w:t>
      </w:r>
      <w:r w:rsidRPr="00E0223C">
        <w:rPr>
          <w:rFonts w:eastAsia="Times New Roman" w:cs="Times New Roman"/>
          <w:color w:val="000000"/>
          <w:szCs w:val="24"/>
        </w:rPr>
        <w:t xml:space="preserve"> million in ongoing operating</w:t>
      </w:r>
      <w:r w:rsidR="001F0B5B">
        <w:rPr>
          <w:rFonts w:eastAsia="Times New Roman" w:cs="Times New Roman"/>
          <w:color w:val="000000"/>
          <w:szCs w:val="24"/>
        </w:rPr>
        <w:t xml:space="preserve"> costs</w:t>
      </w:r>
      <w:r w:rsidR="00BA52D5">
        <w:rPr>
          <w:rFonts w:eastAsia="Times New Roman" w:cs="Times New Roman"/>
          <w:color w:val="000000"/>
          <w:szCs w:val="24"/>
        </w:rPr>
        <w:t xml:space="preserve"> per respondent</w:t>
      </w:r>
      <w:r w:rsidR="001F0B5B">
        <w:rPr>
          <w:rFonts w:eastAsia="Times New Roman" w:cs="Times New Roman"/>
          <w:color w:val="000000"/>
          <w:szCs w:val="24"/>
        </w:rPr>
        <w:t xml:space="preserve">.  This estimation was </w:t>
      </w:r>
      <w:r w:rsidR="005E2207">
        <w:rPr>
          <w:rFonts w:eastAsia="Times New Roman" w:cs="Times New Roman"/>
          <w:color w:val="000000"/>
          <w:szCs w:val="24"/>
        </w:rPr>
        <w:t xml:space="preserve">derived from </w:t>
      </w:r>
      <w:r w:rsidR="002B2291">
        <w:rPr>
          <w:rFonts w:eastAsia="Times New Roman" w:cs="Times New Roman"/>
          <w:color w:val="000000"/>
          <w:szCs w:val="24"/>
        </w:rPr>
        <w:t xml:space="preserve">figures contained in the Information Collection 3038-0086 </w:t>
      </w:r>
      <w:r w:rsidR="0055667D">
        <w:rPr>
          <w:rFonts w:eastAsia="Times New Roman" w:cs="Times New Roman"/>
          <w:color w:val="000000"/>
          <w:szCs w:val="24"/>
        </w:rPr>
        <w:t>(</w:t>
      </w:r>
      <w:r w:rsidR="00C7229B">
        <w:rPr>
          <w:rFonts w:eastAsia="Times New Roman" w:cs="Times New Roman"/>
          <w:color w:val="000000"/>
          <w:szCs w:val="24"/>
        </w:rPr>
        <w:t xml:space="preserve">ICR Ref. No. </w:t>
      </w:r>
      <w:r w:rsidRPr="009903FF" w:rsidR="00C7229B">
        <w:rPr>
          <w:rFonts w:eastAsia="Times New Roman" w:cs="Times New Roman"/>
          <w:color w:val="000000"/>
          <w:szCs w:val="24"/>
        </w:rPr>
        <w:t>201503-3038-001</w:t>
      </w:r>
      <w:r w:rsidR="00C7229B">
        <w:rPr>
          <w:rFonts w:eastAsia="Times New Roman" w:cs="Times New Roman"/>
          <w:color w:val="000000"/>
          <w:szCs w:val="24"/>
        </w:rPr>
        <w:t xml:space="preserve">, </w:t>
      </w:r>
      <w:r w:rsidR="0055667D">
        <w:rPr>
          <w:rFonts w:eastAsia="Times New Roman" w:cs="Times New Roman"/>
          <w:color w:val="000000"/>
          <w:szCs w:val="24"/>
        </w:rPr>
        <w:t xml:space="preserve">renewal dated April 2, 2015) and subsequent </w:t>
      </w:r>
      <w:r w:rsidR="0028139E">
        <w:rPr>
          <w:rFonts w:eastAsia="Times New Roman" w:cs="Times New Roman"/>
          <w:color w:val="000000"/>
          <w:szCs w:val="24"/>
        </w:rPr>
        <w:t>collection revisions.</w:t>
      </w:r>
    </w:p>
    <w:p w:rsidR="00B90ADE" w:rsidRPr="00B90ADE" w:rsidP="00385EBC" w14:paraId="2CB1F3C5" w14:textId="0F32BC16">
      <w:pPr>
        <w:tabs>
          <w:tab w:val="left" w:pos="-720"/>
        </w:tabs>
        <w:spacing w:after="240"/>
        <w:ind w:left="720" w:hanging="720"/>
        <w:jc w:val="both"/>
        <w:rPr>
          <w:rFonts w:eastAsia="Times New Roman" w:cs="Times New Roman"/>
          <w:szCs w:val="20"/>
        </w:rPr>
      </w:pPr>
      <w:r w:rsidRPr="00642B6A">
        <w:rPr>
          <w:rFonts w:eastAsia="Times New Roman" w:cs="Times New Roman"/>
          <w:b/>
          <w:szCs w:val="24"/>
        </w:rPr>
        <w:t>14.</w:t>
      </w:r>
      <w:r w:rsidRPr="00642B6A">
        <w:rPr>
          <w:rFonts w:eastAsia="Times New Roman" w:cs="Times New Roman"/>
          <w:b/>
          <w:szCs w:val="24"/>
        </w:rPr>
        <w:tab/>
        <w:t>Provide estimates of the annualized co</w:t>
      </w:r>
      <w:r w:rsidR="00C83EDF">
        <w:rPr>
          <w:rFonts w:eastAsia="Times New Roman" w:cs="Times New Roman"/>
          <w:b/>
          <w:szCs w:val="24"/>
        </w:rPr>
        <w:t xml:space="preserve">sts to the Federal Government. </w:t>
      </w:r>
      <w:r w:rsidRPr="00642B6A">
        <w:rPr>
          <w:rFonts w:eastAsia="Times New Roman" w:cs="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00C83EDF">
        <w:rPr>
          <w:rFonts w:eastAsia="Times New Roman" w:cs="Times New Roman"/>
          <w:b/>
          <w:szCs w:val="24"/>
        </w:rPr>
        <w:t xml:space="preserve">his collection of information. </w:t>
      </w:r>
      <w:r w:rsidRPr="00642B6A">
        <w:rPr>
          <w:rFonts w:eastAsia="Times New Roman" w:cs="Times New Roman"/>
          <w:b/>
          <w:szCs w:val="24"/>
        </w:rPr>
        <w:t>Agencies may also aggregate cost estimates from Items 12,</w:t>
      </w:r>
      <w:r w:rsidR="00C83EDF">
        <w:rPr>
          <w:rFonts w:eastAsia="Times New Roman" w:cs="Times New Roman"/>
          <w:b/>
          <w:szCs w:val="24"/>
        </w:rPr>
        <w:t xml:space="preserve"> 13, and 14 in a single table.</w:t>
      </w:r>
    </w:p>
    <w:p w:rsidR="00170535" w:rsidRPr="00B90ADE" w:rsidP="003E0284" w14:paraId="4F0ED27D" w14:textId="5ECE1D31">
      <w:pPr>
        <w:tabs>
          <w:tab w:val="left" w:pos="-720"/>
        </w:tabs>
        <w:suppressAutoHyphens/>
        <w:spacing w:after="240"/>
        <w:ind w:firstLine="720"/>
        <w:jc w:val="both"/>
        <w:rPr>
          <w:rFonts w:eastAsia="Times New Roman" w:cs="Times New Roman"/>
          <w:szCs w:val="20"/>
        </w:rPr>
      </w:pPr>
      <w:r w:rsidRPr="00B90ADE">
        <w:rPr>
          <w:rFonts w:eastAsia="Times New Roman" w:cs="Times New Roman"/>
          <w:szCs w:val="20"/>
        </w:rPr>
        <w:t>The estimate of the personnel costs to the federal government per SDR is estimated to be $</w:t>
      </w:r>
      <w:r w:rsidR="00905708">
        <w:rPr>
          <w:rFonts w:eastAsia="Times New Roman" w:cs="Times New Roman"/>
          <w:szCs w:val="20"/>
        </w:rPr>
        <w:t>256,770</w:t>
      </w:r>
      <w:r w:rsidRPr="00B90ADE">
        <w:rPr>
          <w:rFonts w:eastAsia="Times New Roman" w:cs="Times New Roman"/>
          <w:szCs w:val="20"/>
        </w:rPr>
        <w:t xml:space="preserve"> annually.  This estimate is based on</w:t>
      </w:r>
      <w:r>
        <w:rPr>
          <w:rFonts w:eastAsia="Times New Roman" w:cs="Times New Roman"/>
          <w:szCs w:val="20"/>
        </w:rPr>
        <w:t xml:space="preserve"> </w:t>
      </w:r>
      <w:r w:rsidRPr="00B90ADE">
        <w:rPr>
          <w:rFonts w:eastAsia="Times New Roman" w:cs="Times New Roman"/>
          <w:szCs w:val="20"/>
        </w:rPr>
        <w:t xml:space="preserve">6 full-time employees </w:t>
      </w:r>
      <w:r w:rsidR="00486EB8">
        <w:rPr>
          <w:rFonts w:eastAsia="Times New Roman" w:cs="Times New Roman"/>
          <w:szCs w:val="20"/>
        </w:rPr>
        <w:t xml:space="preserve">reviewing </w:t>
      </w:r>
      <w:r w:rsidR="00866623">
        <w:rPr>
          <w:rFonts w:eastAsia="Times New Roman" w:cs="Times New Roman"/>
          <w:szCs w:val="20"/>
        </w:rPr>
        <w:t>SDR filings and completing other necessary tasks.</w:t>
      </w:r>
      <w:r>
        <w:rPr>
          <w:rFonts w:eastAsia="Times New Roman" w:cs="Times New Roman"/>
          <w:szCs w:val="20"/>
          <w:vertAlign w:val="superscript"/>
        </w:rPr>
        <w:footnoteReference w:id="5"/>
      </w:r>
      <w:r w:rsidR="00D23D6D">
        <w:rPr>
          <w:rFonts w:eastAsia="Times New Roman" w:cs="Times New Roman"/>
          <w:szCs w:val="20"/>
        </w:rPr>
        <w:t xml:space="preserve">  </w:t>
      </w:r>
      <w:r w:rsidR="000C668F">
        <w:rPr>
          <w:rFonts w:eastAsia="Times New Roman" w:cs="Times New Roman"/>
          <w:szCs w:val="20"/>
        </w:rPr>
        <w:t>This yields a total cost for staffing of $1,027,080 annually (</w:t>
      </w:r>
      <w:r w:rsidR="00D04824">
        <w:rPr>
          <w:rFonts w:eastAsia="Times New Roman" w:cs="Times New Roman"/>
          <w:szCs w:val="20"/>
        </w:rPr>
        <w:t xml:space="preserve">$256,770 × 4 SDRs).  </w:t>
      </w:r>
      <w:r w:rsidRPr="00A65A13" w:rsidR="00D23D6D">
        <w:t xml:space="preserve">Additionally, the </w:t>
      </w:r>
      <w:r w:rsidR="00D23D6D">
        <w:t>technology</w:t>
      </w:r>
      <w:r w:rsidRPr="00A65A13" w:rsidR="00D23D6D">
        <w:t xml:space="preserve"> costs </w:t>
      </w:r>
      <w:r w:rsidR="00D23D6D">
        <w:t xml:space="preserve">are estimated to be </w:t>
      </w:r>
      <w:r w:rsidR="00D927B7">
        <w:t>$</w:t>
      </w:r>
      <w:r w:rsidR="00E54774">
        <w:t xml:space="preserve">5.5 </w:t>
      </w:r>
      <w:r w:rsidRPr="00A65A13" w:rsidR="00D23D6D">
        <w:t xml:space="preserve">million </w:t>
      </w:r>
      <w:r w:rsidR="009956BA">
        <w:t xml:space="preserve">in </w:t>
      </w:r>
      <w:r w:rsidRPr="00A65A13" w:rsidR="00D23D6D">
        <w:t>ongoing operational costs</w:t>
      </w:r>
      <w:r w:rsidR="00D23D6D">
        <w:t>.</w:t>
      </w:r>
      <w:r w:rsidR="00B7707A">
        <w:t xml:space="preserve">  Accordingly, the total </w:t>
      </w:r>
      <w:r w:rsidR="00882ADB">
        <w:t xml:space="preserve">annualized </w:t>
      </w:r>
      <w:r w:rsidR="00C47E59">
        <w:t>cost to the Federal Government is $</w:t>
      </w:r>
      <w:r w:rsidR="0099137D">
        <w:t>6,527,080</w:t>
      </w:r>
      <w:r w:rsidR="00C47E59">
        <w:t>.</w:t>
      </w:r>
    </w:p>
    <w:p w:rsidR="00642B6A" w:rsidRPr="00642B6A" w:rsidP="00FE503D" w14:paraId="50F422C9"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009E2D40" w:rsidP="009E2D40" w14:paraId="211FA588" w14:textId="77777777">
      <w:pPr>
        <w:spacing w:after="240"/>
        <w:ind w:firstLine="720"/>
      </w:pPr>
      <w:r>
        <w:t>The Commission is adjusting the total burden estimates used to calculate the responses to Item 13.  OMB had previously instructed the Commission to i</w:t>
      </w:r>
      <w:r w:rsidRPr="009922F6">
        <w:t>nclude detailed tables showing the anticipated number of respondents, burden hours, cost burden, and any marginal changes from the previous package (if applicable)</w:t>
      </w:r>
      <w:r>
        <w:t xml:space="preserve">, and to </w:t>
      </w:r>
      <w:r w:rsidRPr="009922F6">
        <w:t>summarize the total burden associated with all requirements specified in the package.</w:t>
      </w:r>
      <w:r>
        <w:t xml:space="preserve">  This renewal addresses those instructions.</w:t>
      </w:r>
    </w:p>
    <w:p w:rsidR="009E2D40" w:rsidP="009E2D40" w14:paraId="561E164A" w14:textId="0E8F18DE">
      <w:pPr>
        <w:spacing w:after="240"/>
        <w:ind w:firstLine="720"/>
        <w:rPr>
          <w:szCs w:val="24"/>
        </w:rPr>
      </w:pPr>
      <w:r>
        <w:t xml:space="preserve">The Commission’s overall burden estimates are being revised based on two primary factors:  First, the number of SDRs that have registered with the Commission since the finalization of part 49 has reduced.  The previous burden estimates were based on a total of 6 registered SDRs. Now, there are currently 4 registered SDRs, a number that is not expected to grow for the foreseeable future.  </w:t>
      </w:r>
      <w:r>
        <w:rPr>
          <w:szCs w:val="24"/>
        </w:rPr>
        <w:t xml:space="preserve">As a result of this update, overall burden associated with the collection has been reduced.  Second, the Commission has undertaken a </w:t>
      </w:r>
      <w:r w:rsidR="00AD2F01">
        <w:rPr>
          <w:szCs w:val="24"/>
        </w:rPr>
        <w:t>thorough</w:t>
      </w:r>
      <w:r>
        <w:rPr>
          <w:szCs w:val="24"/>
        </w:rPr>
        <w:t xml:space="preserve"> review of the burden associated with the information requirements associated with this collection consistent with OMB’s instructions. Based on this review, the Commission is revising its burden estimates for this collection as described in </w:t>
      </w:r>
      <w:r w:rsidRPr="001255D9">
        <w:rPr>
          <w:szCs w:val="24"/>
        </w:rPr>
        <w:t>Attachment A</w:t>
      </w:r>
      <w:r>
        <w:rPr>
          <w:szCs w:val="24"/>
        </w:rPr>
        <w:t>, which has resulted in an overall reduction of burden associated with this collection</w:t>
      </w:r>
      <w:r w:rsidRPr="001255D9">
        <w:rPr>
          <w:szCs w:val="24"/>
        </w:rPr>
        <w:t>.</w:t>
      </w:r>
      <w:r>
        <w:rPr>
          <w:szCs w:val="24"/>
        </w:rPr>
        <w:t xml:space="preserve">  In addition, the Commission has revised its labor cost estimates based on updated BLS data.</w:t>
      </w:r>
    </w:p>
    <w:p w:rsidR="009E2D40" w:rsidP="009E2D40" w14:paraId="5B4A0473" w14:textId="77777777">
      <w:pPr>
        <w:spacing w:after="240"/>
        <w:ind w:firstLine="720"/>
        <w:rPr>
          <w:szCs w:val="24"/>
        </w:rPr>
      </w:pPr>
      <w:r>
        <w:rPr>
          <w:szCs w:val="24"/>
        </w:rPr>
        <w:t>The overall burden reduction associated with this renewal is illustrated below:</w:t>
      </w:r>
    </w:p>
    <w:tbl>
      <w:tblPr>
        <w:tblStyle w:val="TableGrid"/>
        <w:tblW w:w="0" w:type="auto"/>
        <w:tblInd w:w="0" w:type="dxa"/>
        <w:tblLook w:val="04A0"/>
      </w:tblPr>
      <w:tblGrid>
        <w:gridCol w:w="3116"/>
        <w:gridCol w:w="5069"/>
      </w:tblGrid>
      <w:tr w14:paraId="0C0D4805" w14:textId="77777777" w:rsidTr="00CC4AFF">
        <w:tblPrEx>
          <w:tblW w:w="0" w:type="auto"/>
          <w:tblInd w:w="0" w:type="dxa"/>
          <w:tblLook w:val="04A0"/>
        </w:tblPrEx>
        <w:tc>
          <w:tcPr>
            <w:tcW w:w="3116" w:type="dxa"/>
          </w:tcPr>
          <w:p w:rsidR="009E2D40" w:rsidP="00CC4AFF" w14:paraId="41999B60" w14:textId="77777777">
            <w:pPr>
              <w:spacing w:after="240"/>
            </w:pPr>
          </w:p>
        </w:tc>
        <w:tc>
          <w:tcPr>
            <w:tcW w:w="5069" w:type="dxa"/>
          </w:tcPr>
          <w:p w:rsidR="009E2D40" w:rsidRPr="00CC4AFF" w:rsidP="00CC4AFF" w14:paraId="3CEA856C" w14:textId="77777777">
            <w:pPr>
              <w:spacing w:after="240"/>
              <w:rPr>
                <w:b/>
                <w:bCs/>
              </w:rPr>
            </w:pPr>
            <w:r w:rsidRPr="00CC4AFF">
              <w:rPr>
                <w:b/>
                <w:bCs/>
              </w:rPr>
              <w:t>Annual Hours Burden</w:t>
            </w:r>
          </w:p>
        </w:tc>
      </w:tr>
      <w:tr w14:paraId="07A0551C" w14:textId="77777777" w:rsidTr="00CC4AFF">
        <w:tblPrEx>
          <w:tblW w:w="0" w:type="auto"/>
          <w:tblInd w:w="0" w:type="dxa"/>
          <w:tblLook w:val="04A0"/>
        </w:tblPrEx>
        <w:tc>
          <w:tcPr>
            <w:tcW w:w="3116" w:type="dxa"/>
          </w:tcPr>
          <w:p w:rsidR="009E2D40" w:rsidRPr="00CC4AFF" w:rsidP="00CC4AFF" w14:paraId="74909BBD" w14:textId="77777777">
            <w:pPr>
              <w:spacing w:after="240"/>
              <w:rPr>
                <w:b/>
                <w:bCs/>
              </w:rPr>
            </w:pPr>
            <w:r w:rsidRPr="00CC4AFF">
              <w:rPr>
                <w:b/>
                <w:bCs/>
              </w:rPr>
              <w:t>Previous Total:</w:t>
            </w:r>
          </w:p>
        </w:tc>
        <w:tc>
          <w:tcPr>
            <w:tcW w:w="5069" w:type="dxa"/>
          </w:tcPr>
          <w:p w:rsidR="009E2D40" w:rsidP="00CC4AFF" w14:paraId="6AB39D24" w14:textId="77777777">
            <w:pPr>
              <w:spacing w:after="240"/>
            </w:pPr>
            <w:r>
              <w:t>189,680</w:t>
            </w:r>
          </w:p>
        </w:tc>
      </w:tr>
      <w:tr w14:paraId="43A65EE1" w14:textId="77777777" w:rsidTr="00CC4AFF">
        <w:tblPrEx>
          <w:tblW w:w="0" w:type="auto"/>
          <w:tblInd w:w="0" w:type="dxa"/>
          <w:tblLook w:val="04A0"/>
        </w:tblPrEx>
        <w:tc>
          <w:tcPr>
            <w:tcW w:w="3116" w:type="dxa"/>
          </w:tcPr>
          <w:p w:rsidR="009E2D40" w:rsidRPr="00CC4AFF" w:rsidP="00CC4AFF" w14:paraId="2CEDBD48" w14:textId="77777777">
            <w:pPr>
              <w:spacing w:after="240"/>
              <w:rPr>
                <w:b/>
                <w:bCs/>
              </w:rPr>
            </w:pPr>
            <w:r w:rsidRPr="00CC4AFF">
              <w:rPr>
                <w:b/>
                <w:bCs/>
              </w:rPr>
              <w:t>Incremental Change:</w:t>
            </w:r>
          </w:p>
        </w:tc>
        <w:tc>
          <w:tcPr>
            <w:tcW w:w="5069" w:type="dxa"/>
          </w:tcPr>
          <w:p w:rsidR="009E2D40" w:rsidP="00CC4AFF" w14:paraId="37835025" w14:textId="77777777">
            <w:pPr>
              <w:spacing w:after="240"/>
            </w:pPr>
            <w:r>
              <w:t>-110,962</w:t>
            </w:r>
          </w:p>
        </w:tc>
      </w:tr>
      <w:tr w14:paraId="64441961" w14:textId="77777777" w:rsidTr="00CC4AFF">
        <w:tblPrEx>
          <w:tblW w:w="0" w:type="auto"/>
          <w:tblInd w:w="0" w:type="dxa"/>
          <w:tblLook w:val="04A0"/>
        </w:tblPrEx>
        <w:tc>
          <w:tcPr>
            <w:tcW w:w="3116" w:type="dxa"/>
          </w:tcPr>
          <w:p w:rsidR="009E2D40" w:rsidRPr="00CC4AFF" w:rsidP="00CC4AFF" w14:paraId="6092A37F" w14:textId="77777777">
            <w:pPr>
              <w:spacing w:after="240"/>
              <w:rPr>
                <w:b/>
                <w:bCs/>
              </w:rPr>
            </w:pPr>
            <w:r w:rsidRPr="00CC4AFF">
              <w:rPr>
                <w:b/>
                <w:bCs/>
              </w:rPr>
              <w:t>New Total:</w:t>
            </w:r>
          </w:p>
        </w:tc>
        <w:tc>
          <w:tcPr>
            <w:tcW w:w="5069" w:type="dxa"/>
          </w:tcPr>
          <w:p w:rsidR="009E2D40" w:rsidP="00CC4AFF" w14:paraId="74971D18" w14:textId="77777777">
            <w:pPr>
              <w:spacing w:after="240"/>
            </w:pPr>
            <w:r>
              <w:t>78,718</w:t>
            </w:r>
          </w:p>
        </w:tc>
      </w:tr>
    </w:tbl>
    <w:p w:rsidR="009F672A" w:rsidP="00C879A6" w14:paraId="2693B6DA" w14:textId="5B4E69D3">
      <w:pPr>
        <w:spacing w:before="240" w:after="240"/>
        <w:ind w:firstLine="720"/>
        <w:jc w:val="both"/>
        <w:rPr>
          <w:rFonts w:eastAsia="Times New Roman" w:cs="Times New Roman"/>
          <w:b/>
          <w:szCs w:val="24"/>
        </w:rPr>
      </w:pPr>
      <w:r>
        <w:rPr>
          <w:rFonts w:eastAsia="Times New Roman" w:cs="Times New Roman"/>
          <w:color w:val="000000"/>
          <w:szCs w:val="24"/>
        </w:rPr>
        <w:t xml:space="preserve">In addition, the Commission is </w:t>
      </w:r>
      <w:r w:rsidR="00083D0C">
        <w:rPr>
          <w:rFonts w:eastAsia="Times New Roman" w:cs="Times New Roman"/>
          <w:color w:val="000000"/>
          <w:szCs w:val="24"/>
        </w:rPr>
        <w:t xml:space="preserve">revising its estimate of </w:t>
      </w:r>
      <w:r w:rsidR="00343DA7">
        <w:rPr>
          <w:rFonts w:eastAsia="Times New Roman" w:cs="Times New Roman"/>
          <w:color w:val="000000"/>
          <w:szCs w:val="24"/>
        </w:rPr>
        <w:t>ongoing operational and maintenance costs to reflect the Commission’s estimate</w:t>
      </w:r>
      <w:r w:rsidR="0021481E">
        <w:rPr>
          <w:rFonts w:eastAsia="Times New Roman" w:cs="Times New Roman"/>
          <w:color w:val="000000"/>
          <w:szCs w:val="24"/>
        </w:rPr>
        <w:t xml:space="preserve"> of ongoing operating costs per respondent to maintain the technological infrastructure necessary to</w:t>
      </w:r>
      <w:r w:rsidR="00431428">
        <w:rPr>
          <w:rFonts w:eastAsia="Times New Roman" w:cs="Times New Roman"/>
          <w:color w:val="000000"/>
          <w:szCs w:val="24"/>
        </w:rPr>
        <w:t xml:space="preserve"> comply with the </w:t>
      </w:r>
      <w:r w:rsidR="00431428">
        <w:rPr>
          <w:rFonts w:eastAsia="Times New Roman" w:cs="Times New Roman"/>
          <w:color w:val="000000"/>
          <w:szCs w:val="24"/>
        </w:rPr>
        <w:t>the</w:t>
      </w:r>
      <w:r w:rsidR="00431428">
        <w:rPr>
          <w:rFonts w:eastAsia="Times New Roman" w:cs="Times New Roman"/>
          <w:color w:val="000000"/>
          <w:szCs w:val="24"/>
        </w:rPr>
        <w:t xml:space="preserve"> reporting and other requirements under Part 49.  </w:t>
      </w:r>
      <w:r w:rsidR="00FF2EB6">
        <w:rPr>
          <w:rFonts w:eastAsia="Times New Roman" w:cs="Times New Roman"/>
          <w:color w:val="000000"/>
          <w:szCs w:val="24"/>
        </w:rPr>
        <w:t xml:space="preserve">As described in the response to Question 13, </w:t>
      </w:r>
      <w:r w:rsidR="00674DF5">
        <w:rPr>
          <w:rFonts w:eastAsia="Times New Roman" w:cs="Times New Roman"/>
          <w:color w:val="000000"/>
          <w:szCs w:val="24"/>
        </w:rPr>
        <w:t xml:space="preserve">these ongoing operating costs </w:t>
      </w:r>
      <w:r w:rsidR="00FF2EB6">
        <w:rPr>
          <w:rFonts w:eastAsia="Times New Roman" w:cs="Times New Roman"/>
          <w:color w:val="000000"/>
          <w:szCs w:val="24"/>
        </w:rPr>
        <w:t>average $2</w:t>
      </w:r>
      <w:r w:rsidRPr="00E0223C" w:rsidR="00FF2EB6">
        <w:rPr>
          <w:rFonts w:eastAsia="Times New Roman" w:cs="Times New Roman"/>
          <w:color w:val="000000"/>
          <w:szCs w:val="24"/>
        </w:rPr>
        <w:t xml:space="preserve"> million </w:t>
      </w:r>
      <w:r w:rsidR="00FF2EB6">
        <w:rPr>
          <w:rFonts w:eastAsia="Times New Roman" w:cs="Times New Roman"/>
          <w:color w:val="000000"/>
          <w:szCs w:val="24"/>
        </w:rPr>
        <w:t xml:space="preserve">per respondent.  </w:t>
      </w:r>
      <w:r w:rsidR="006D6531">
        <w:rPr>
          <w:rFonts w:eastAsia="Times New Roman" w:cs="Times New Roman"/>
          <w:color w:val="000000"/>
          <w:szCs w:val="24"/>
        </w:rPr>
        <w:t xml:space="preserve">These updated estimates are consistent with the costs calculated </w:t>
      </w:r>
      <w:r w:rsidR="00B86FC9">
        <w:rPr>
          <w:rFonts w:eastAsia="Times New Roman" w:cs="Times New Roman"/>
          <w:color w:val="000000"/>
          <w:szCs w:val="24"/>
        </w:rPr>
        <w:t xml:space="preserve">as part of the most recent renewal of this collection, ICR Ref. No. </w:t>
      </w:r>
      <w:r w:rsidRPr="009903FF" w:rsidR="00B86FC9">
        <w:rPr>
          <w:rFonts w:eastAsia="Times New Roman" w:cs="Times New Roman"/>
          <w:color w:val="000000"/>
          <w:szCs w:val="24"/>
        </w:rPr>
        <w:t>201503-3038-001</w:t>
      </w:r>
      <w:r w:rsidR="00B86FC9">
        <w:rPr>
          <w:rFonts w:eastAsia="Times New Roman" w:cs="Times New Roman"/>
          <w:color w:val="000000"/>
          <w:szCs w:val="24"/>
        </w:rPr>
        <w:t xml:space="preserve">, but had not been reflected in </w:t>
      </w:r>
      <w:r w:rsidR="00536D2A">
        <w:rPr>
          <w:rFonts w:eastAsia="Times New Roman" w:cs="Times New Roman"/>
          <w:color w:val="000000"/>
          <w:szCs w:val="24"/>
        </w:rPr>
        <w:t>more recent rulemaking-related revisions.  As part of this renewal, the Commission is revising its estimates to reflect these ongoing costs.</w:t>
      </w:r>
    </w:p>
    <w:p w:rsidR="00642B6A" w:rsidRPr="00642B6A" w:rsidP="00363F34" w14:paraId="50F422CB" w14:textId="49CBB2B5">
      <w:pPr>
        <w:tabs>
          <w:tab w:val="left" w:pos="-720"/>
          <w:tab w:val="left" w:pos="0"/>
        </w:tabs>
        <w:spacing w:before="360"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w:t>
      </w:r>
      <w:r w:rsidR="00C83EDF">
        <w:rPr>
          <w:rFonts w:eastAsia="Times New Roman" w:cs="Times New Roman"/>
          <w:b/>
          <w:szCs w:val="24"/>
        </w:rPr>
        <w:t xml:space="preserve">cal analysis, and publication. </w:t>
      </w:r>
      <w:r w:rsidRPr="00642B6A">
        <w:rPr>
          <w:rFonts w:eastAsia="Times New Roman" w:cs="Times New Roman"/>
          <w:b/>
          <w:szCs w:val="24"/>
        </w:rPr>
        <w:t>Provide the time schedule for the entire project, including beginning and ending dates of the collection of information, completion of report, publication dates, and other actions.</w:t>
      </w:r>
    </w:p>
    <w:p w:rsidR="00642B6A" w:rsidRPr="00642B6A" w:rsidP="002D6FBA" w14:paraId="50F422CC" w14:textId="1490950E">
      <w:pPr>
        <w:tabs>
          <w:tab w:val="left" w:pos="-720"/>
        </w:tabs>
        <w:spacing w:after="240"/>
        <w:ind w:firstLine="720"/>
        <w:rPr>
          <w:rFonts w:eastAsia="Times New Roman" w:cs="Times New Roman"/>
          <w:szCs w:val="24"/>
        </w:rPr>
      </w:pPr>
      <w:r w:rsidRPr="00BE76BF">
        <w:rPr>
          <w:rFonts w:eastAsia="Times New Roman" w:cs="Times New Roman"/>
          <w:szCs w:val="24"/>
        </w:rPr>
        <w:t>Not applicable, the results of this collection of information are not planned to be published for statistical use.</w:t>
      </w:r>
    </w:p>
    <w:p w:rsidR="00642B6A" w:rsidRPr="00642B6A" w:rsidP="00FE503D" w14:paraId="50F422CD"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00642B6A" w:rsidRPr="00642B6A" w:rsidP="002D6FBA" w14:paraId="50F422CE" w14:textId="450B480E">
      <w:pPr>
        <w:tabs>
          <w:tab w:val="left" w:pos="-720"/>
        </w:tabs>
        <w:spacing w:after="240"/>
        <w:ind w:firstLine="720"/>
        <w:rPr>
          <w:rFonts w:eastAsia="Times New Roman" w:cs="Times New Roman"/>
          <w:szCs w:val="24"/>
        </w:rPr>
      </w:pPr>
      <w:r w:rsidRPr="00BE76BF">
        <w:rPr>
          <w:rFonts w:eastAsia="Times New Roman" w:cs="Times New Roman"/>
          <w:szCs w:val="24"/>
        </w:rPr>
        <w:t>Not applicable, the Commission is not seeking such approval for this publication.</w:t>
      </w:r>
    </w:p>
    <w:p w:rsidR="00642B6A" w:rsidRPr="00642B6A" w:rsidP="00FE503D" w14:paraId="50F422CF" w14:textId="35BBE460">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 xml:space="preserve">Explain each exception to the certification statement identified in Item 19, </w:t>
      </w:r>
      <w:r w:rsidR="002D6FBA">
        <w:rPr>
          <w:rFonts w:eastAsia="Times New Roman" w:cs="Times New Roman"/>
          <w:b/>
          <w:szCs w:val="24"/>
        </w:rPr>
        <w:t>“</w:t>
      </w:r>
      <w:r w:rsidRPr="00642B6A">
        <w:rPr>
          <w:rFonts w:eastAsia="Times New Roman" w:cs="Times New Roman"/>
          <w:b/>
          <w:szCs w:val="24"/>
        </w:rPr>
        <w:t>Certification for Paperwork Reduction Act Submissions,</w:t>
      </w:r>
      <w:r w:rsidR="002D6FBA">
        <w:rPr>
          <w:rFonts w:eastAsia="Times New Roman" w:cs="Times New Roman"/>
          <w:b/>
          <w:szCs w:val="24"/>
        </w:rPr>
        <w:t>”</w:t>
      </w:r>
      <w:r w:rsidRPr="00642B6A">
        <w:rPr>
          <w:rFonts w:eastAsia="Times New Roman" w:cs="Times New Roman"/>
          <w:b/>
          <w:szCs w:val="24"/>
        </w:rPr>
        <w:t xml:space="preserve"> of OMB Form 83-I.</w:t>
      </w:r>
    </w:p>
    <w:p w:rsidR="00853BBD" w:rsidP="002D6FBA" w14:paraId="07089A5F" w14:textId="5CC8AFC7">
      <w:pPr>
        <w:tabs>
          <w:tab w:val="left" w:pos="-720"/>
        </w:tabs>
        <w:spacing w:after="240"/>
        <w:ind w:firstLine="720"/>
        <w:rPr>
          <w:rFonts w:eastAsia="Times New Roman" w:cs="Times New Roman"/>
          <w:szCs w:val="24"/>
        </w:rPr>
        <w:sectPr w:rsidSect="00670513">
          <w:footerReference w:type="default" r:id="rId9"/>
          <w:pgSz w:w="12240" w:h="15840"/>
          <w:pgMar w:top="1440" w:right="1440" w:bottom="1440" w:left="1440" w:header="720" w:footer="720" w:gutter="0"/>
          <w:cols w:space="720"/>
          <w:titlePg/>
          <w:docGrid w:linePitch="360"/>
        </w:sectPr>
      </w:pPr>
      <w:r w:rsidRPr="00BE76BF">
        <w:rPr>
          <w:rFonts w:eastAsia="Times New Roman" w:cs="Times New Roman"/>
          <w:szCs w:val="24"/>
        </w:rPr>
        <w:t>Not applicable, there are no</w:t>
      </w:r>
      <w:r>
        <w:rPr>
          <w:rFonts w:eastAsia="Times New Roman" w:cs="Times New Roman"/>
          <w:szCs w:val="24"/>
        </w:rPr>
        <w:t xml:space="preserve"> exceptions</w:t>
      </w:r>
    </w:p>
    <w:p w:rsidR="00A34C62" w:rsidRPr="00642B6A" w:rsidP="00853BBD" w14:paraId="3D11149C" w14:textId="77777777">
      <w:pPr>
        <w:tabs>
          <w:tab w:val="left" w:pos="-720"/>
        </w:tabs>
        <w:spacing w:after="240"/>
        <w:jc w:val="center"/>
        <w:rPr>
          <w:rFonts w:eastAsia="Times New Roman" w:cs="Times New Roman"/>
          <w:b/>
          <w:szCs w:val="24"/>
        </w:rPr>
      </w:pPr>
      <w:r w:rsidRPr="00642B6A">
        <w:rPr>
          <w:rFonts w:eastAsia="Times New Roman" w:cs="Times New Roman"/>
          <w:b/>
          <w:szCs w:val="24"/>
        </w:rPr>
        <w:t>Attachment A</w:t>
      </w:r>
    </w:p>
    <w:p w:rsidR="00A34C62" w:rsidP="00A34C62" w14:paraId="5350876D" w14:textId="0DA20AB0">
      <w:pPr>
        <w:jc w:val="center"/>
        <w:rPr>
          <w:rFonts w:eastAsia="Times New Roman" w:cs="Times New Roman"/>
          <w:b/>
          <w:szCs w:val="24"/>
        </w:rPr>
      </w:pPr>
      <w:r w:rsidRPr="007F3179">
        <w:rPr>
          <w:rFonts w:eastAsia="Times New Roman" w:cs="Times New Roman"/>
          <w:b/>
          <w:szCs w:val="24"/>
        </w:rPr>
        <w:t>OMB Control Number 3038-</w:t>
      </w:r>
      <w:r>
        <w:rPr>
          <w:rFonts w:eastAsia="Times New Roman" w:cs="Times New Roman"/>
          <w:b/>
          <w:szCs w:val="24"/>
        </w:rPr>
        <w:t>0086</w:t>
      </w:r>
    </w:p>
    <w:p w:rsidR="00A34C62" w:rsidP="00A34C62" w14:paraId="536849DF" w14:textId="77777777">
      <w:pPr>
        <w:jc w:val="center"/>
        <w:rPr>
          <w:rFonts w:eastAsia="Times New Roman" w:cs="Times New Roman"/>
          <w:szCs w:val="24"/>
        </w:rPr>
      </w:pPr>
      <w:r w:rsidRPr="007B7990">
        <w:rPr>
          <w:rFonts w:eastAsia="Times New Roman" w:cs="Times New Roman"/>
          <w:szCs w:val="24"/>
        </w:rPr>
        <w:t>Swap Data Repositories: Registration and Regulatory Requirements</w:t>
      </w:r>
    </w:p>
    <w:p w:rsidR="00A34C62" w:rsidRPr="00642B6A" w:rsidP="00A34C62" w14:paraId="62E6D1B7" w14:textId="77777777">
      <w:pPr>
        <w:jc w:val="center"/>
        <w:rPr>
          <w:rFonts w:eastAsia="Times New Roman" w:cs="Times New Roman"/>
          <w:b/>
          <w:szCs w:val="24"/>
        </w:rPr>
      </w:pPr>
    </w:p>
    <w:tbl>
      <w:tblPr>
        <w:tblW w:w="14827"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tblPr>
      <w:tblGrid>
        <w:gridCol w:w="1505"/>
        <w:gridCol w:w="1620"/>
        <w:gridCol w:w="1620"/>
        <w:gridCol w:w="1531"/>
        <w:gridCol w:w="1528"/>
        <w:gridCol w:w="1351"/>
        <w:gridCol w:w="1528"/>
        <w:gridCol w:w="1441"/>
        <w:gridCol w:w="1172"/>
        <w:gridCol w:w="1531"/>
      </w:tblGrid>
      <w:tr w14:paraId="58D592B1" w14:textId="77777777" w:rsidTr="00A9111E">
        <w:tblPrEx>
          <w:tblW w:w="14827"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tblPrEx>
        <w:trPr>
          <w:cantSplit/>
          <w:trHeight w:val="1427"/>
          <w:tblHeader/>
        </w:trPr>
        <w:tc>
          <w:tcPr>
            <w:tcW w:w="1505" w:type="dxa"/>
            <w:shd w:val="clear" w:color="auto" w:fill="FFFFFF" w:themeFill="background1"/>
          </w:tcPr>
          <w:p w:rsidR="003A4691" w:rsidRPr="00C761AD" w:rsidP="00A9111E" w14:paraId="77DFBC45" w14:textId="77777777">
            <w:pPr>
              <w:tabs>
                <w:tab w:val="left" w:pos="-720"/>
                <w:tab w:val="left" w:pos="0"/>
              </w:tabs>
              <w:suppressAutoHyphens/>
              <w:jc w:val="center"/>
              <w:rPr>
                <w:rFonts w:cs="Times New Roman"/>
                <w:b/>
                <w:sz w:val="20"/>
                <w:szCs w:val="20"/>
              </w:rPr>
            </w:pPr>
            <w:r w:rsidRPr="00C761AD">
              <w:rPr>
                <w:rFonts w:cs="Times New Roman"/>
                <w:b/>
                <w:sz w:val="20"/>
                <w:szCs w:val="20"/>
              </w:rPr>
              <w:t>1.</w:t>
            </w:r>
          </w:p>
          <w:p w:rsidR="003A4691" w:rsidRPr="00C761AD" w:rsidP="00A9111E" w14:paraId="5D468838" w14:textId="77777777">
            <w:pPr>
              <w:tabs>
                <w:tab w:val="left" w:pos="-720"/>
                <w:tab w:val="left" w:pos="0"/>
              </w:tabs>
              <w:suppressAutoHyphens/>
              <w:jc w:val="center"/>
              <w:rPr>
                <w:rFonts w:cs="Times New Roman"/>
                <w:b/>
                <w:sz w:val="20"/>
                <w:szCs w:val="20"/>
              </w:rPr>
            </w:pPr>
            <w:r w:rsidRPr="00C761AD">
              <w:rPr>
                <w:rFonts w:cs="Times New Roman"/>
                <w:b/>
                <w:sz w:val="20"/>
                <w:szCs w:val="20"/>
              </w:rPr>
              <w:t>Regulation(s)</w:t>
            </w:r>
          </w:p>
        </w:tc>
        <w:tc>
          <w:tcPr>
            <w:tcW w:w="1620" w:type="dxa"/>
            <w:shd w:val="clear" w:color="auto" w:fill="FFFFFF" w:themeFill="background1"/>
          </w:tcPr>
          <w:p w:rsidR="003A4691" w:rsidRPr="00C761AD" w:rsidP="00A9111E" w14:paraId="75E4AE92" w14:textId="77777777">
            <w:pPr>
              <w:tabs>
                <w:tab w:val="left" w:pos="-720"/>
                <w:tab w:val="left" w:pos="0"/>
              </w:tabs>
              <w:suppressAutoHyphens/>
              <w:jc w:val="center"/>
              <w:rPr>
                <w:rFonts w:cs="Times New Roman"/>
                <w:b/>
                <w:sz w:val="20"/>
                <w:szCs w:val="20"/>
              </w:rPr>
            </w:pPr>
            <w:r w:rsidRPr="00C761AD">
              <w:rPr>
                <w:rFonts w:cs="Times New Roman"/>
                <w:b/>
                <w:sz w:val="20"/>
                <w:szCs w:val="20"/>
              </w:rPr>
              <w:t>2.</w:t>
            </w:r>
          </w:p>
          <w:p w:rsidR="003A4691" w:rsidRPr="00C761AD" w:rsidP="00A9111E" w14:paraId="610A1C43" w14:textId="77777777">
            <w:pPr>
              <w:tabs>
                <w:tab w:val="left" w:pos="-720"/>
                <w:tab w:val="left" w:pos="0"/>
              </w:tabs>
              <w:suppressAutoHyphens/>
              <w:jc w:val="center"/>
              <w:rPr>
                <w:rFonts w:cs="Times New Roman"/>
                <w:b/>
                <w:sz w:val="20"/>
                <w:szCs w:val="20"/>
              </w:rPr>
            </w:pPr>
            <w:r w:rsidRPr="00C761AD">
              <w:rPr>
                <w:rFonts w:cs="Times New Roman"/>
                <w:b/>
                <w:sz w:val="20"/>
                <w:szCs w:val="20"/>
              </w:rPr>
              <w:t xml:space="preserve">Estimated Number of Respondents </w:t>
            </w:r>
          </w:p>
          <w:p w:rsidR="003A4691" w:rsidRPr="00C761AD" w:rsidP="00A9111E" w14:paraId="5BEB0EAE" w14:textId="77777777">
            <w:pPr>
              <w:tabs>
                <w:tab w:val="left" w:pos="-720"/>
                <w:tab w:val="left" w:pos="0"/>
              </w:tabs>
              <w:suppressAutoHyphens/>
              <w:jc w:val="center"/>
              <w:rPr>
                <w:rFonts w:cs="Times New Roman"/>
                <w:b/>
                <w:sz w:val="20"/>
                <w:szCs w:val="20"/>
              </w:rPr>
            </w:pPr>
          </w:p>
        </w:tc>
        <w:tc>
          <w:tcPr>
            <w:tcW w:w="1620" w:type="dxa"/>
            <w:shd w:val="clear" w:color="auto" w:fill="FFFFFF" w:themeFill="background1"/>
          </w:tcPr>
          <w:p w:rsidR="003A4691" w:rsidRPr="00C761AD" w:rsidP="00A9111E" w14:paraId="639F08F8" w14:textId="77777777">
            <w:pPr>
              <w:tabs>
                <w:tab w:val="left" w:pos="-720"/>
                <w:tab w:val="left" w:pos="0"/>
              </w:tabs>
              <w:suppressAutoHyphens/>
              <w:jc w:val="center"/>
              <w:rPr>
                <w:rFonts w:cs="Times New Roman"/>
                <w:b/>
                <w:sz w:val="20"/>
                <w:szCs w:val="20"/>
              </w:rPr>
            </w:pPr>
            <w:r w:rsidRPr="00C761AD">
              <w:rPr>
                <w:rFonts w:cs="Times New Roman"/>
                <w:b/>
                <w:sz w:val="20"/>
                <w:szCs w:val="20"/>
              </w:rPr>
              <w:t>3.</w:t>
            </w:r>
          </w:p>
          <w:p w:rsidR="003A4691" w:rsidRPr="00C761AD" w:rsidP="00A9111E" w14:paraId="6727F12D" w14:textId="77777777">
            <w:pPr>
              <w:tabs>
                <w:tab w:val="left" w:pos="-720"/>
                <w:tab w:val="left" w:pos="0"/>
              </w:tabs>
              <w:suppressAutoHyphens/>
              <w:jc w:val="center"/>
              <w:rPr>
                <w:rFonts w:cs="Times New Roman"/>
                <w:b/>
                <w:sz w:val="20"/>
                <w:szCs w:val="20"/>
              </w:rPr>
            </w:pPr>
            <w:r w:rsidRPr="00C761AD">
              <w:rPr>
                <w:rFonts w:cs="Times New Roman"/>
                <w:b/>
                <w:sz w:val="20"/>
                <w:szCs w:val="20"/>
              </w:rPr>
              <w:t>Estimated Number of Reports</w:t>
            </w:r>
          </w:p>
          <w:p w:rsidR="003A4691" w:rsidRPr="00C761AD" w:rsidP="00A9111E" w14:paraId="025C3873" w14:textId="77777777">
            <w:pPr>
              <w:tabs>
                <w:tab w:val="left" w:pos="-720"/>
                <w:tab w:val="left" w:pos="0"/>
              </w:tabs>
              <w:suppressAutoHyphens/>
              <w:jc w:val="center"/>
              <w:rPr>
                <w:rFonts w:cs="Times New Roman"/>
                <w:b/>
                <w:sz w:val="20"/>
                <w:szCs w:val="20"/>
              </w:rPr>
            </w:pPr>
            <w:r w:rsidRPr="00C761AD">
              <w:rPr>
                <w:rFonts w:cs="Times New Roman"/>
                <w:b/>
                <w:sz w:val="20"/>
                <w:szCs w:val="20"/>
              </w:rPr>
              <w:t>by Each Respondent</w:t>
            </w:r>
          </w:p>
        </w:tc>
        <w:tc>
          <w:tcPr>
            <w:tcW w:w="1531" w:type="dxa"/>
            <w:shd w:val="clear" w:color="auto" w:fill="FFFFFF" w:themeFill="background1"/>
          </w:tcPr>
          <w:p w:rsidR="003A4691" w:rsidRPr="00C761AD" w:rsidP="00A9111E" w14:paraId="26EE32E0" w14:textId="77777777">
            <w:pPr>
              <w:tabs>
                <w:tab w:val="left" w:pos="-720"/>
                <w:tab w:val="left" w:pos="0"/>
              </w:tabs>
              <w:suppressAutoHyphens/>
              <w:jc w:val="center"/>
              <w:rPr>
                <w:rFonts w:cs="Times New Roman"/>
                <w:b/>
                <w:sz w:val="20"/>
                <w:szCs w:val="20"/>
              </w:rPr>
            </w:pPr>
            <w:r w:rsidRPr="00C761AD">
              <w:rPr>
                <w:rFonts w:cs="Times New Roman"/>
                <w:b/>
                <w:sz w:val="20"/>
                <w:szCs w:val="20"/>
              </w:rPr>
              <w:t>4.</w:t>
            </w:r>
          </w:p>
          <w:p w:rsidR="003A4691" w:rsidRPr="00C761AD" w:rsidP="00A9111E" w14:paraId="1B227D77" w14:textId="77777777">
            <w:pPr>
              <w:tabs>
                <w:tab w:val="left" w:pos="-720"/>
                <w:tab w:val="left" w:pos="0"/>
              </w:tabs>
              <w:suppressAutoHyphens/>
              <w:jc w:val="center"/>
              <w:rPr>
                <w:rFonts w:cs="Times New Roman"/>
                <w:b/>
                <w:sz w:val="20"/>
                <w:szCs w:val="20"/>
              </w:rPr>
            </w:pPr>
            <w:r w:rsidRPr="00C761AD">
              <w:rPr>
                <w:rFonts w:cs="Times New Roman"/>
                <w:b/>
                <w:sz w:val="20"/>
                <w:szCs w:val="20"/>
              </w:rPr>
              <w:t xml:space="preserve">Estimated Average </w:t>
            </w:r>
            <w:r w:rsidRPr="00C761AD">
              <w:rPr>
                <w:rFonts w:cs="Times New Roman"/>
                <w:b/>
                <w:sz w:val="20"/>
                <w:szCs w:val="20"/>
              </w:rPr>
              <w:t>Number</w:t>
            </w:r>
            <w:r w:rsidRPr="00C761AD">
              <w:rPr>
                <w:rFonts w:cs="Times New Roman"/>
                <w:b/>
                <w:sz w:val="20"/>
                <w:szCs w:val="20"/>
              </w:rPr>
              <w:t xml:space="preserve"> of Burden Hours per Response</w:t>
            </w:r>
          </w:p>
        </w:tc>
        <w:tc>
          <w:tcPr>
            <w:tcW w:w="1528" w:type="dxa"/>
            <w:shd w:val="clear" w:color="auto" w:fill="FFFFFF" w:themeFill="background1"/>
          </w:tcPr>
          <w:p w:rsidR="003A4691" w:rsidRPr="00C761AD" w:rsidP="00A9111E" w14:paraId="153410A8" w14:textId="77777777">
            <w:pPr>
              <w:tabs>
                <w:tab w:val="left" w:pos="-720"/>
                <w:tab w:val="left" w:pos="0"/>
              </w:tabs>
              <w:suppressAutoHyphens/>
              <w:jc w:val="center"/>
              <w:rPr>
                <w:rFonts w:cs="Times New Roman"/>
                <w:b/>
                <w:sz w:val="20"/>
                <w:szCs w:val="20"/>
              </w:rPr>
            </w:pPr>
            <w:r w:rsidRPr="00C761AD">
              <w:rPr>
                <w:rFonts w:cs="Times New Roman"/>
                <w:b/>
                <w:sz w:val="20"/>
                <w:szCs w:val="20"/>
              </w:rPr>
              <w:t>5.</w:t>
            </w:r>
          </w:p>
          <w:p w:rsidR="003A4691" w:rsidRPr="00C761AD" w:rsidP="00A9111E" w14:paraId="096FA905" w14:textId="77777777">
            <w:pPr>
              <w:tabs>
                <w:tab w:val="left" w:pos="-720"/>
                <w:tab w:val="left" w:pos="0"/>
              </w:tabs>
              <w:suppressAutoHyphens/>
              <w:jc w:val="center"/>
              <w:rPr>
                <w:rFonts w:cs="Times New Roman"/>
                <w:b/>
                <w:sz w:val="20"/>
                <w:szCs w:val="20"/>
              </w:rPr>
            </w:pPr>
            <w:r w:rsidRPr="00C761AD">
              <w:rPr>
                <w:rFonts w:cs="Times New Roman"/>
                <w:b/>
                <w:sz w:val="20"/>
                <w:szCs w:val="20"/>
              </w:rPr>
              <w:t xml:space="preserve">Annual </w:t>
            </w:r>
            <w:r w:rsidRPr="00C761AD">
              <w:rPr>
                <w:rFonts w:cs="Times New Roman"/>
                <w:b/>
                <w:sz w:val="20"/>
                <w:szCs w:val="20"/>
              </w:rPr>
              <w:t>Number</w:t>
            </w:r>
            <w:r w:rsidRPr="00C761AD">
              <w:rPr>
                <w:rFonts w:cs="Times New Roman"/>
                <w:b/>
                <w:sz w:val="20"/>
                <w:szCs w:val="20"/>
              </w:rPr>
              <w:t xml:space="preserve"> of Burden Hours per Respondent</w:t>
            </w:r>
          </w:p>
          <w:p w:rsidR="003A4691" w:rsidRPr="00C761AD" w:rsidP="00A9111E" w14:paraId="1BB3C9D5" w14:textId="77777777">
            <w:pPr>
              <w:tabs>
                <w:tab w:val="left" w:pos="-720"/>
                <w:tab w:val="left" w:pos="0"/>
              </w:tabs>
              <w:suppressAutoHyphens/>
              <w:jc w:val="center"/>
              <w:rPr>
                <w:rFonts w:cs="Times New Roman"/>
                <w:b/>
                <w:sz w:val="20"/>
                <w:szCs w:val="20"/>
              </w:rPr>
            </w:pPr>
            <w:r w:rsidRPr="00C761AD">
              <w:rPr>
                <w:rFonts w:cs="Times New Roman"/>
                <w:b/>
                <w:sz w:val="20"/>
                <w:szCs w:val="20"/>
              </w:rPr>
              <w:t>(3 x 4)</w:t>
            </w:r>
          </w:p>
        </w:tc>
        <w:tc>
          <w:tcPr>
            <w:tcW w:w="1351" w:type="dxa"/>
            <w:shd w:val="clear" w:color="auto" w:fill="FFFFFF" w:themeFill="background1"/>
          </w:tcPr>
          <w:p w:rsidR="003A4691" w:rsidRPr="00C761AD" w:rsidP="00A9111E" w14:paraId="5B52BFE0" w14:textId="77777777">
            <w:pPr>
              <w:tabs>
                <w:tab w:val="left" w:pos="-720"/>
                <w:tab w:val="left" w:pos="0"/>
              </w:tabs>
              <w:suppressAutoHyphens/>
              <w:jc w:val="center"/>
              <w:rPr>
                <w:rFonts w:cs="Times New Roman"/>
                <w:b/>
                <w:sz w:val="20"/>
                <w:szCs w:val="20"/>
              </w:rPr>
            </w:pPr>
            <w:r w:rsidRPr="00C761AD">
              <w:rPr>
                <w:rFonts w:cs="Times New Roman"/>
                <w:b/>
                <w:sz w:val="20"/>
                <w:szCs w:val="20"/>
              </w:rPr>
              <w:t xml:space="preserve">6. </w:t>
            </w:r>
          </w:p>
          <w:p w:rsidR="003A4691" w:rsidRPr="00C761AD" w:rsidP="00A9111E" w14:paraId="1097E9DE" w14:textId="77777777">
            <w:pPr>
              <w:tabs>
                <w:tab w:val="left" w:pos="-720"/>
                <w:tab w:val="left" w:pos="0"/>
              </w:tabs>
              <w:suppressAutoHyphens/>
              <w:jc w:val="center"/>
              <w:rPr>
                <w:rFonts w:cs="Times New Roman"/>
                <w:b/>
                <w:sz w:val="20"/>
                <w:szCs w:val="20"/>
              </w:rPr>
            </w:pPr>
            <w:r w:rsidRPr="00C761AD">
              <w:rPr>
                <w:rFonts w:cs="Times New Roman"/>
                <w:b/>
                <w:sz w:val="20"/>
                <w:szCs w:val="20"/>
              </w:rPr>
              <w:t>Estimated Average Burden Hour Cost</w:t>
            </w:r>
            <w:r>
              <w:rPr>
                <w:rStyle w:val="FootnoteReference"/>
                <w:rFonts w:cs="Times New Roman"/>
                <w:b/>
                <w:sz w:val="20"/>
                <w:szCs w:val="20"/>
              </w:rPr>
              <w:footnoteReference w:id="6"/>
            </w:r>
          </w:p>
          <w:p w:rsidR="003A4691" w:rsidRPr="00C761AD" w:rsidP="00A9111E" w14:paraId="2EF395EF" w14:textId="77777777">
            <w:pPr>
              <w:tabs>
                <w:tab w:val="left" w:pos="-720"/>
                <w:tab w:val="left" w:pos="0"/>
              </w:tabs>
              <w:suppressAutoHyphens/>
              <w:jc w:val="center"/>
              <w:rPr>
                <w:rFonts w:cs="Times New Roman"/>
                <w:b/>
                <w:sz w:val="20"/>
                <w:szCs w:val="20"/>
              </w:rPr>
            </w:pPr>
          </w:p>
        </w:tc>
        <w:tc>
          <w:tcPr>
            <w:tcW w:w="1528" w:type="dxa"/>
            <w:shd w:val="clear" w:color="auto" w:fill="FFFFFF" w:themeFill="background1"/>
          </w:tcPr>
          <w:p w:rsidR="003A4691" w:rsidRPr="00C761AD" w:rsidP="00A9111E" w14:paraId="51CBB2B6" w14:textId="77777777">
            <w:pPr>
              <w:jc w:val="center"/>
              <w:rPr>
                <w:rFonts w:cs="Times New Roman"/>
                <w:b/>
                <w:sz w:val="20"/>
                <w:szCs w:val="20"/>
              </w:rPr>
            </w:pPr>
            <w:r w:rsidRPr="00C761AD">
              <w:rPr>
                <w:rFonts w:cs="Times New Roman"/>
                <w:b/>
                <w:sz w:val="20"/>
                <w:szCs w:val="20"/>
              </w:rPr>
              <w:t>7.</w:t>
            </w:r>
          </w:p>
          <w:p w:rsidR="003A4691" w:rsidRPr="00C761AD" w:rsidP="00A9111E" w14:paraId="0E93D580" w14:textId="77777777">
            <w:pPr>
              <w:jc w:val="center"/>
              <w:rPr>
                <w:rFonts w:cs="Times New Roman"/>
                <w:b/>
                <w:sz w:val="20"/>
                <w:szCs w:val="20"/>
              </w:rPr>
            </w:pPr>
            <w:r w:rsidRPr="00C761AD">
              <w:rPr>
                <w:rFonts w:cs="Times New Roman"/>
                <w:b/>
                <w:sz w:val="20"/>
                <w:szCs w:val="20"/>
              </w:rPr>
              <w:t>Total Average Hour Burden Cost Per Respondent</w:t>
            </w:r>
          </w:p>
          <w:p w:rsidR="003A4691" w:rsidRPr="00C761AD" w:rsidP="00A9111E" w14:paraId="587239C2" w14:textId="77777777">
            <w:pPr>
              <w:jc w:val="center"/>
              <w:rPr>
                <w:rFonts w:cs="Times New Roman"/>
                <w:b/>
                <w:sz w:val="20"/>
                <w:szCs w:val="20"/>
              </w:rPr>
            </w:pPr>
            <w:r w:rsidRPr="00C761AD">
              <w:rPr>
                <w:rFonts w:cs="Times New Roman"/>
                <w:b/>
                <w:sz w:val="20"/>
                <w:szCs w:val="20"/>
              </w:rPr>
              <w:t>(5 x 6)</w:t>
            </w:r>
          </w:p>
        </w:tc>
        <w:tc>
          <w:tcPr>
            <w:tcW w:w="1441" w:type="dxa"/>
            <w:shd w:val="clear" w:color="auto" w:fill="FFFFFF" w:themeFill="background1"/>
          </w:tcPr>
          <w:p w:rsidR="003A4691" w:rsidRPr="00C761AD" w:rsidP="00A9111E" w14:paraId="311EB267" w14:textId="77777777">
            <w:pPr>
              <w:tabs>
                <w:tab w:val="left" w:pos="-720"/>
                <w:tab w:val="left" w:pos="0"/>
              </w:tabs>
              <w:suppressAutoHyphens/>
              <w:jc w:val="center"/>
              <w:rPr>
                <w:rFonts w:cs="Times New Roman"/>
                <w:b/>
                <w:sz w:val="20"/>
                <w:szCs w:val="20"/>
              </w:rPr>
            </w:pPr>
            <w:r w:rsidRPr="00C761AD">
              <w:rPr>
                <w:rFonts w:cs="Times New Roman"/>
                <w:b/>
                <w:sz w:val="20"/>
                <w:szCs w:val="20"/>
              </w:rPr>
              <w:t>8.</w:t>
            </w:r>
          </w:p>
          <w:p w:rsidR="003A4691" w:rsidRPr="00C761AD" w:rsidP="00A9111E" w14:paraId="01AED49E" w14:textId="77777777">
            <w:pPr>
              <w:tabs>
                <w:tab w:val="left" w:pos="-720"/>
                <w:tab w:val="left" w:pos="0"/>
              </w:tabs>
              <w:suppressAutoHyphens/>
              <w:jc w:val="center"/>
              <w:rPr>
                <w:rFonts w:cs="Times New Roman"/>
                <w:b/>
                <w:sz w:val="20"/>
                <w:szCs w:val="20"/>
              </w:rPr>
            </w:pPr>
            <w:r w:rsidRPr="00C761AD">
              <w:rPr>
                <w:rFonts w:cs="Times New Roman"/>
                <w:b/>
                <w:sz w:val="20"/>
                <w:szCs w:val="20"/>
              </w:rPr>
              <w:t>Total Annual</w:t>
            </w:r>
          </w:p>
          <w:p w:rsidR="003A4691" w:rsidRPr="00C761AD" w:rsidP="00A9111E" w14:paraId="2B1F518B" w14:textId="77777777">
            <w:pPr>
              <w:tabs>
                <w:tab w:val="left" w:pos="-720"/>
                <w:tab w:val="left" w:pos="0"/>
              </w:tabs>
              <w:suppressAutoHyphens/>
              <w:jc w:val="center"/>
              <w:rPr>
                <w:rFonts w:cs="Times New Roman"/>
                <w:b/>
                <w:sz w:val="20"/>
                <w:szCs w:val="20"/>
              </w:rPr>
            </w:pPr>
            <w:r w:rsidRPr="00C761AD">
              <w:rPr>
                <w:rFonts w:cs="Times New Roman"/>
                <w:b/>
                <w:sz w:val="20"/>
                <w:szCs w:val="20"/>
              </w:rPr>
              <w:t>Responses</w:t>
            </w:r>
          </w:p>
          <w:p w:rsidR="003A4691" w:rsidRPr="00C761AD" w:rsidP="00A9111E" w14:paraId="6B88186A" w14:textId="77777777">
            <w:pPr>
              <w:tabs>
                <w:tab w:val="left" w:pos="-720"/>
                <w:tab w:val="left" w:pos="0"/>
              </w:tabs>
              <w:suppressAutoHyphens/>
              <w:jc w:val="center"/>
              <w:rPr>
                <w:rFonts w:cs="Times New Roman"/>
                <w:b/>
                <w:sz w:val="20"/>
                <w:szCs w:val="20"/>
              </w:rPr>
            </w:pPr>
            <w:r w:rsidRPr="00C761AD">
              <w:rPr>
                <w:rFonts w:cs="Times New Roman"/>
                <w:b/>
                <w:sz w:val="20"/>
                <w:szCs w:val="20"/>
              </w:rPr>
              <w:t>(2 x 3)</w:t>
            </w:r>
          </w:p>
        </w:tc>
        <w:tc>
          <w:tcPr>
            <w:tcW w:w="1172" w:type="dxa"/>
            <w:shd w:val="clear" w:color="auto" w:fill="FFFFFF" w:themeFill="background1"/>
          </w:tcPr>
          <w:p w:rsidR="003A4691" w:rsidRPr="00C761AD" w:rsidP="00A9111E" w14:paraId="5F1D7FF6" w14:textId="77777777">
            <w:pPr>
              <w:tabs>
                <w:tab w:val="left" w:pos="-720"/>
                <w:tab w:val="left" w:pos="0"/>
              </w:tabs>
              <w:suppressAutoHyphens/>
              <w:jc w:val="center"/>
              <w:rPr>
                <w:rFonts w:cs="Times New Roman"/>
                <w:b/>
                <w:sz w:val="20"/>
                <w:szCs w:val="20"/>
              </w:rPr>
            </w:pPr>
            <w:r w:rsidRPr="00C761AD">
              <w:rPr>
                <w:rFonts w:cs="Times New Roman"/>
                <w:b/>
                <w:sz w:val="20"/>
                <w:szCs w:val="20"/>
              </w:rPr>
              <w:t>9.</w:t>
            </w:r>
          </w:p>
          <w:p w:rsidR="003A4691" w:rsidRPr="00C761AD" w:rsidP="00A9111E" w14:paraId="09C2D81D" w14:textId="77777777">
            <w:pPr>
              <w:tabs>
                <w:tab w:val="left" w:pos="-720"/>
                <w:tab w:val="left" w:pos="0"/>
              </w:tabs>
              <w:suppressAutoHyphens/>
              <w:jc w:val="center"/>
              <w:rPr>
                <w:rFonts w:cs="Times New Roman"/>
                <w:b/>
                <w:sz w:val="20"/>
                <w:szCs w:val="20"/>
              </w:rPr>
            </w:pPr>
            <w:r w:rsidRPr="00C761AD">
              <w:rPr>
                <w:rFonts w:cs="Times New Roman"/>
                <w:b/>
                <w:sz w:val="20"/>
                <w:szCs w:val="20"/>
              </w:rPr>
              <w:t>Total Annual Number of Burden Hours</w:t>
            </w:r>
          </w:p>
          <w:p w:rsidR="003A4691" w:rsidRPr="00C761AD" w:rsidP="00A9111E" w14:paraId="12E9788D" w14:textId="77777777">
            <w:pPr>
              <w:tabs>
                <w:tab w:val="left" w:pos="-720"/>
                <w:tab w:val="left" w:pos="0"/>
              </w:tabs>
              <w:suppressAutoHyphens/>
              <w:jc w:val="center"/>
              <w:rPr>
                <w:rFonts w:cs="Times New Roman"/>
                <w:b/>
                <w:sz w:val="20"/>
                <w:szCs w:val="20"/>
              </w:rPr>
            </w:pPr>
            <w:r w:rsidRPr="00C761AD">
              <w:rPr>
                <w:rFonts w:cs="Times New Roman"/>
                <w:b/>
                <w:sz w:val="20"/>
                <w:szCs w:val="20"/>
              </w:rPr>
              <w:t>(2 x 5)</w:t>
            </w:r>
          </w:p>
        </w:tc>
        <w:tc>
          <w:tcPr>
            <w:tcW w:w="1531" w:type="dxa"/>
            <w:shd w:val="clear" w:color="auto" w:fill="FFFFFF" w:themeFill="background1"/>
          </w:tcPr>
          <w:p w:rsidR="003A4691" w:rsidRPr="00C761AD" w:rsidP="00A9111E" w14:paraId="21C26C8D" w14:textId="77777777">
            <w:pPr>
              <w:tabs>
                <w:tab w:val="left" w:pos="-720"/>
                <w:tab w:val="left" w:pos="0"/>
              </w:tabs>
              <w:suppressAutoHyphens/>
              <w:jc w:val="center"/>
              <w:rPr>
                <w:rFonts w:cs="Times New Roman"/>
                <w:b/>
                <w:sz w:val="20"/>
                <w:szCs w:val="20"/>
              </w:rPr>
            </w:pPr>
            <w:r w:rsidRPr="00C761AD">
              <w:rPr>
                <w:rFonts w:cs="Times New Roman"/>
                <w:b/>
                <w:sz w:val="20"/>
                <w:szCs w:val="20"/>
              </w:rPr>
              <w:t>10.</w:t>
            </w:r>
          </w:p>
          <w:p w:rsidR="003A4691" w:rsidRPr="00C761AD" w:rsidP="00A9111E" w14:paraId="3ACB20F5" w14:textId="77777777">
            <w:pPr>
              <w:tabs>
                <w:tab w:val="left" w:pos="-720"/>
                <w:tab w:val="left" w:pos="0"/>
              </w:tabs>
              <w:suppressAutoHyphens/>
              <w:jc w:val="center"/>
              <w:rPr>
                <w:rFonts w:cs="Times New Roman"/>
                <w:b/>
                <w:sz w:val="20"/>
                <w:szCs w:val="20"/>
              </w:rPr>
            </w:pPr>
            <w:r w:rsidRPr="00C761AD">
              <w:rPr>
                <w:rFonts w:cs="Times New Roman"/>
                <w:b/>
                <w:sz w:val="20"/>
                <w:szCs w:val="20"/>
              </w:rPr>
              <w:t>Total Annual Burden Hour Cost of All Responses</w:t>
            </w:r>
          </w:p>
          <w:p w:rsidR="003A4691" w:rsidRPr="00C761AD" w:rsidP="00A9111E" w14:paraId="1DBC38A3" w14:textId="77777777">
            <w:pPr>
              <w:tabs>
                <w:tab w:val="left" w:pos="-720"/>
                <w:tab w:val="left" w:pos="0"/>
              </w:tabs>
              <w:suppressAutoHyphens/>
              <w:jc w:val="center"/>
              <w:rPr>
                <w:rFonts w:cs="Times New Roman"/>
                <w:b/>
                <w:sz w:val="20"/>
                <w:szCs w:val="20"/>
              </w:rPr>
            </w:pPr>
            <w:r w:rsidRPr="00C761AD">
              <w:rPr>
                <w:rFonts w:cs="Times New Roman"/>
                <w:b/>
                <w:sz w:val="20"/>
                <w:szCs w:val="20"/>
              </w:rPr>
              <w:t>(2 x 7)</w:t>
            </w:r>
          </w:p>
        </w:tc>
      </w:tr>
      <w:tr w14:paraId="04B224CF" w14:textId="77777777" w:rsidTr="00A9111E">
        <w:tblPrEx>
          <w:tblW w:w="14827" w:type="dxa"/>
          <w:tblInd w:w="-972" w:type="dxa"/>
          <w:shd w:val="clear" w:color="auto" w:fill="FFFFFF" w:themeFill="background1"/>
          <w:tblLayout w:type="fixed"/>
          <w:tblLook w:val="04A0"/>
        </w:tblPrEx>
        <w:trPr>
          <w:cantSplit/>
          <w:trHeight w:val="710"/>
        </w:trPr>
        <w:tc>
          <w:tcPr>
            <w:tcW w:w="1505" w:type="dxa"/>
            <w:shd w:val="clear" w:color="auto" w:fill="FFFFFF" w:themeFill="background1"/>
          </w:tcPr>
          <w:p w:rsidR="003A4691" w:rsidRPr="00C761AD" w:rsidP="00A9111E" w14:paraId="14696319" w14:textId="77777777">
            <w:pPr>
              <w:tabs>
                <w:tab w:val="left" w:pos="-720"/>
                <w:tab w:val="left" w:pos="0"/>
              </w:tabs>
              <w:suppressAutoHyphens/>
              <w:jc w:val="center"/>
              <w:rPr>
                <w:rFonts w:cs="Times New Roman"/>
                <w:sz w:val="20"/>
                <w:szCs w:val="20"/>
              </w:rPr>
            </w:pPr>
            <w:r w:rsidRPr="00C761AD">
              <w:rPr>
                <w:rFonts w:cs="Times New Roman"/>
                <w:sz w:val="20"/>
                <w:szCs w:val="20"/>
              </w:rPr>
              <w:t>49.3(a) – Procedures for Registration</w:t>
            </w:r>
            <w:r>
              <w:rPr>
                <w:rStyle w:val="FootnoteReference"/>
                <w:rFonts w:cs="Times New Roman"/>
                <w:sz w:val="20"/>
                <w:szCs w:val="20"/>
              </w:rPr>
              <w:footnoteReference w:id="7"/>
            </w:r>
          </w:p>
        </w:tc>
        <w:tc>
          <w:tcPr>
            <w:tcW w:w="1620" w:type="dxa"/>
            <w:shd w:val="clear" w:color="auto" w:fill="FFFFFF" w:themeFill="background1"/>
          </w:tcPr>
          <w:p w:rsidR="003A4691" w:rsidRPr="00C761AD" w:rsidP="00A9111E" w14:paraId="2A0B84E9" w14:textId="77777777">
            <w:pPr>
              <w:tabs>
                <w:tab w:val="left" w:pos="-720"/>
                <w:tab w:val="left" w:pos="0"/>
              </w:tabs>
              <w:suppressAutoHyphens/>
              <w:jc w:val="center"/>
              <w:rPr>
                <w:rFonts w:cs="Times New Roman"/>
                <w:sz w:val="20"/>
                <w:szCs w:val="20"/>
              </w:rPr>
            </w:pPr>
            <w:r w:rsidRPr="00C761AD">
              <w:rPr>
                <w:rFonts w:cs="Times New Roman"/>
                <w:sz w:val="20"/>
                <w:szCs w:val="20"/>
              </w:rPr>
              <w:t>4</w:t>
            </w:r>
          </w:p>
        </w:tc>
        <w:tc>
          <w:tcPr>
            <w:tcW w:w="1620" w:type="dxa"/>
            <w:shd w:val="clear" w:color="auto" w:fill="FFFFFF" w:themeFill="background1"/>
          </w:tcPr>
          <w:p w:rsidR="003A4691" w:rsidRPr="00C761AD" w:rsidP="00A9111E" w14:paraId="16F6956C" w14:textId="77777777">
            <w:pPr>
              <w:tabs>
                <w:tab w:val="left" w:pos="-720"/>
                <w:tab w:val="left" w:pos="0"/>
              </w:tabs>
              <w:suppressAutoHyphens/>
              <w:jc w:val="center"/>
              <w:rPr>
                <w:rFonts w:cs="Times New Roman"/>
                <w:sz w:val="20"/>
                <w:szCs w:val="20"/>
              </w:rPr>
            </w:pPr>
            <w:r w:rsidRPr="00C761AD">
              <w:rPr>
                <w:rFonts w:cs="Times New Roman"/>
                <w:sz w:val="20"/>
                <w:szCs w:val="20"/>
              </w:rPr>
              <w:t>1</w:t>
            </w:r>
          </w:p>
        </w:tc>
        <w:tc>
          <w:tcPr>
            <w:tcW w:w="1531" w:type="dxa"/>
            <w:shd w:val="clear" w:color="auto" w:fill="FFFFFF" w:themeFill="background1"/>
          </w:tcPr>
          <w:p w:rsidR="003A4691" w:rsidRPr="00C761AD" w:rsidP="00A9111E" w14:paraId="0CCEFB3F" w14:textId="77777777">
            <w:pPr>
              <w:tabs>
                <w:tab w:val="left" w:pos="-720"/>
                <w:tab w:val="left" w:pos="0"/>
              </w:tabs>
              <w:suppressAutoHyphens/>
              <w:jc w:val="center"/>
              <w:rPr>
                <w:rFonts w:cs="Times New Roman"/>
                <w:sz w:val="20"/>
                <w:szCs w:val="20"/>
              </w:rPr>
            </w:pPr>
            <w:r w:rsidRPr="00C761AD">
              <w:rPr>
                <w:rFonts w:cs="Times New Roman"/>
                <w:sz w:val="20"/>
                <w:szCs w:val="20"/>
              </w:rPr>
              <w:t>15</w:t>
            </w:r>
          </w:p>
        </w:tc>
        <w:tc>
          <w:tcPr>
            <w:tcW w:w="1528" w:type="dxa"/>
            <w:shd w:val="clear" w:color="auto" w:fill="FFFFFF" w:themeFill="background1"/>
          </w:tcPr>
          <w:p w:rsidR="003A4691" w:rsidRPr="00C761AD" w:rsidP="00A9111E" w14:paraId="7B895D66" w14:textId="77777777">
            <w:pPr>
              <w:tabs>
                <w:tab w:val="left" w:pos="-720"/>
                <w:tab w:val="left" w:pos="0"/>
              </w:tabs>
              <w:suppressAutoHyphens/>
              <w:jc w:val="center"/>
              <w:rPr>
                <w:rFonts w:cs="Times New Roman"/>
                <w:sz w:val="20"/>
                <w:szCs w:val="20"/>
              </w:rPr>
            </w:pPr>
            <w:r w:rsidRPr="00C761AD">
              <w:rPr>
                <w:rFonts w:cs="Times New Roman"/>
                <w:sz w:val="20"/>
                <w:szCs w:val="20"/>
              </w:rPr>
              <w:t>15</w:t>
            </w:r>
          </w:p>
        </w:tc>
        <w:tc>
          <w:tcPr>
            <w:tcW w:w="1351" w:type="dxa"/>
            <w:shd w:val="clear" w:color="auto" w:fill="FFFFFF" w:themeFill="background1"/>
          </w:tcPr>
          <w:p w:rsidR="003A4691" w:rsidRPr="00C761AD" w:rsidP="00A9111E" w14:paraId="5FD11720" w14:textId="77777777">
            <w:pPr>
              <w:tabs>
                <w:tab w:val="left" w:pos="-720"/>
                <w:tab w:val="left" w:pos="0"/>
              </w:tabs>
              <w:suppressAutoHyphens/>
              <w:jc w:val="center"/>
              <w:rPr>
                <w:rFonts w:cs="Times New Roman"/>
                <w:sz w:val="20"/>
                <w:szCs w:val="20"/>
              </w:rPr>
            </w:pPr>
            <w:r w:rsidRPr="00C761AD">
              <w:rPr>
                <w:rFonts w:cs="Times New Roman"/>
                <w:sz w:val="20"/>
                <w:szCs w:val="20"/>
              </w:rPr>
              <w:t>$88.09</w:t>
            </w:r>
          </w:p>
        </w:tc>
        <w:tc>
          <w:tcPr>
            <w:tcW w:w="1528" w:type="dxa"/>
            <w:shd w:val="clear" w:color="auto" w:fill="FFFFFF" w:themeFill="background1"/>
          </w:tcPr>
          <w:p w:rsidR="003A4691" w:rsidRPr="00C761AD" w:rsidP="00A9111E" w14:paraId="7371173D" w14:textId="77777777">
            <w:pPr>
              <w:jc w:val="center"/>
              <w:rPr>
                <w:rFonts w:cs="Times New Roman"/>
                <w:sz w:val="20"/>
                <w:szCs w:val="20"/>
              </w:rPr>
            </w:pPr>
            <w:r w:rsidRPr="00C761AD">
              <w:rPr>
                <w:rFonts w:cs="Times New Roman"/>
                <w:sz w:val="20"/>
                <w:szCs w:val="20"/>
              </w:rPr>
              <w:t>$1,321.35</w:t>
            </w:r>
          </w:p>
        </w:tc>
        <w:tc>
          <w:tcPr>
            <w:tcW w:w="1441" w:type="dxa"/>
            <w:shd w:val="clear" w:color="auto" w:fill="FFFFFF" w:themeFill="background1"/>
          </w:tcPr>
          <w:p w:rsidR="003A4691" w:rsidRPr="00C761AD" w:rsidP="00A9111E" w14:paraId="54957F96" w14:textId="77777777">
            <w:pPr>
              <w:tabs>
                <w:tab w:val="left" w:pos="-720"/>
                <w:tab w:val="left" w:pos="0"/>
              </w:tabs>
              <w:suppressAutoHyphens/>
              <w:jc w:val="center"/>
              <w:rPr>
                <w:rFonts w:cs="Times New Roman"/>
                <w:sz w:val="20"/>
                <w:szCs w:val="20"/>
              </w:rPr>
            </w:pPr>
            <w:r w:rsidRPr="00C761AD">
              <w:rPr>
                <w:rFonts w:cs="Times New Roman"/>
                <w:sz w:val="20"/>
                <w:szCs w:val="20"/>
              </w:rPr>
              <w:t>4</w:t>
            </w:r>
          </w:p>
        </w:tc>
        <w:tc>
          <w:tcPr>
            <w:tcW w:w="1172" w:type="dxa"/>
            <w:shd w:val="clear" w:color="auto" w:fill="FFFFFF" w:themeFill="background1"/>
          </w:tcPr>
          <w:p w:rsidR="003A4691" w:rsidRPr="00C761AD" w:rsidP="00A9111E" w14:paraId="064C8439" w14:textId="77777777">
            <w:pPr>
              <w:tabs>
                <w:tab w:val="left" w:pos="-720"/>
                <w:tab w:val="left" w:pos="0"/>
              </w:tabs>
              <w:suppressAutoHyphens/>
              <w:jc w:val="center"/>
              <w:rPr>
                <w:rFonts w:cs="Times New Roman"/>
                <w:sz w:val="20"/>
                <w:szCs w:val="20"/>
              </w:rPr>
            </w:pPr>
            <w:r w:rsidRPr="00C761AD">
              <w:rPr>
                <w:rFonts w:cs="Times New Roman"/>
                <w:sz w:val="20"/>
                <w:szCs w:val="20"/>
              </w:rPr>
              <w:t>60</w:t>
            </w:r>
          </w:p>
        </w:tc>
        <w:tc>
          <w:tcPr>
            <w:tcW w:w="1531" w:type="dxa"/>
            <w:shd w:val="clear" w:color="auto" w:fill="FFFFFF" w:themeFill="background1"/>
          </w:tcPr>
          <w:p w:rsidR="003A4691" w:rsidRPr="00C761AD" w:rsidP="00A9111E" w14:paraId="4079334F" w14:textId="77777777">
            <w:pPr>
              <w:tabs>
                <w:tab w:val="left" w:pos="-720"/>
                <w:tab w:val="left" w:pos="0"/>
              </w:tabs>
              <w:suppressAutoHyphens/>
              <w:jc w:val="center"/>
              <w:rPr>
                <w:rFonts w:cs="Times New Roman"/>
                <w:sz w:val="20"/>
                <w:szCs w:val="20"/>
              </w:rPr>
            </w:pPr>
            <w:r w:rsidRPr="00C761AD">
              <w:rPr>
                <w:rFonts w:cs="Times New Roman"/>
                <w:sz w:val="20"/>
                <w:szCs w:val="20"/>
              </w:rPr>
              <w:t>$5,284.4</w:t>
            </w:r>
          </w:p>
        </w:tc>
      </w:tr>
      <w:tr w14:paraId="2D778EFB" w14:textId="77777777" w:rsidTr="00A9111E">
        <w:tblPrEx>
          <w:tblW w:w="14827" w:type="dxa"/>
          <w:tblInd w:w="-972" w:type="dxa"/>
          <w:shd w:val="clear" w:color="auto" w:fill="FFFFFF" w:themeFill="background1"/>
          <w:tblLayout w:type="fixed"/>
          <w:tblLook w:val="04A0"/>
        </w:tblPrEx>
        <w:trPr>
          <w:cantSplit/>
          <w:trHeight w:val="530"/>
        </w:trPr>
        <w:tc>
          <w:tcPr>
            <w:tcW w:w="1505" w:type="dxa"/>
            <w:shd w:val="clear" w:color="auto" w:fill="FFFFFF" w:themeFill="background1"/>
          </w:tcPr>
          <w:p w:rsidR="003A4691" w:rsidRPr="00C761AD" w:rsidP="00A9111E" w14:paraId="413ADB23" w14:textId="77777777">
            <w:pPr>
              <w:tabs>
                <w:tab w:val="left" w:pos="-720"/>
                <w:tab w:val="left" w:pos="0"/>
              </w:tabs>
              <w:suppressAutoHyphens/>
              <w:jc w:val="center"/>
              <w:rPr>
                <w:rFonts w:cs="Times New Roman"/>
                <w:sz w:val="20"/>
                <w:szCs w:val="20"/>
              </w:rPr>
            </w:pPr>
            <w:r w:rsidRPr="00C761AD">
              <w:rPr>
                <w:rFonts w:cs="Times New Roman"/>
                <w:sz w:val="20"/>
                <w:szCs w:val="20"/>
              </w:rPr>
              <w:t>49.3(c) – Withdraw of Registration Application</w:t>
            </w:r>
            <w:r>
              <w:rPr>
                <w:rStyle w:val="FootnoteReference"/>
                <w:rFonts w:cs="Times New Roman"/>
                <w:sz w:val="20"/>
                <w:szCs w:val="20"/>
              </w:rPr>
              <w:footnoteReference w:id="8"/>
            </w:r>
            <w:r w:rsidRPr="00C761AD">
              <w:rPr>
                <w:rFonts w:cs="Times New Roman"/>
                <w:sz w:val="20"/>
                <w:szCs w:val="20"/>
              </w:rPr>
              <w:t xml:space="preserve"> </w:t>
            </w:r>
          </w:p>
        </w:tc>
        <w:tc>
          <w:tcPr>
            <w:tcW w:w="1620" w:type="dxa"/>
            <w:shd w:val="clear" w:color="auto" w:fill="FFFFFF" w:themeFill="background1"/>
          </w:tcPr>
          <w:p w:rsidR="003A4691" w:rsidRPr="00C761AD" w:rsidP="00A9111E" w14:paraId="09F5A190"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620" w:type="dxa"/>
            <w:shd w:val="clear" w:color="auto" w:fill="FFFFFF" w:themeFill="background1"/>
          </w:tcPr>
          <w:p w:rsidR="003A4691" w:rsidRPr="00C761AD" w:rsidP="00A9111E" w14:paraId="2F43CE9B"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531" w:type="dxa"/>
            <w:shd w:val="clear" w:color="auto" w:fill="FFFFFF" w:themeFill="background1"/>
          </w:tcPr>
          <w:p w:rsidR="003A4691" w:rsidRPr="00C761AD" w:rsidP="00A9111E" w14:paraId="5759DA1D"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528" w:type="dxa"/>
            <w:shd w:val="clear" w:color="auto" w:fill="FFFFFF" w:themeFill="background1"/>
          </w:tcPr>
          <w:p w:rsidR="003A4691" w:rsidRPr="00C761AD" w:rsidP="00A9111E" w14:paraId="2D116127"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351" w:type="dxa"/>
            <w:shd w:val="clear" w:color="auto" w:fill="FFFFFF" w:themeFill="background1"/>
          </w:tcPr>
          <w:p w:rsidR="003A4691" w:rsidRPr="00C761AD" w:rsidP="00A9111E" w14:paraId="0EC8EE1C"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528" w:type="dxa"/>
            <w:shd w:val="clear" w:color="auto" w:fill="FFFFFF" w:themeFill="background1"/>
          </w:tcPr>
          <w:p w:rsidR="003A4691" w:rsidRPr="00C761AD" w:rsidP="00A9111E" w14:paraId="4D6372F3" w14:textId="77777777">
            <w:pPr>
              <w:jc w:val="center"/>
              <w:rPr>
                <w:rFonts w:cs="Times New Roman"/>
                <w:color w:val="000000"/>
                <w:sz w:val="20"/>
                <w:szCs w:val="20"/>
              </w:rPr>
            </w:pPr>
            <w:r w:rsidRPr="00C761AD">
              <w:rPr>
                <w:rFonts w:cs="Times New Roman"/>
                <w:color w:val="000000"/>
                <w:sz w:val="20"/>
                <w:szCs w:val="20"/>
              </w:rPr>
              <w:t>N/A</w:t>
            </w:r>
          </w:p>
        </w:tc>
        <w:tc>
          <w:tcPr>
            <w:tcW w:w="1441" w:type="dxa"/>
            <w:shd w:val="clear" w:color="auto" w:fill="FFFFFF" w:themeFill="background1"/>
          </w:tcPr>
          <w:p w:rsidR="003A4691" w:rsidRPr="00C761AD" w:rsidP="00A9111E" w14:paraId="7B3DB8C1"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172" w:type="dxa"/>
            <w:shd w:val="clear" w:color="auto" w:fill="FFFFFF" w:themeFill="background1"/>
          </w:tcPr>
          <w:p w:rsidR="003A4691" w:rsidRPr="00C761AD" w:rsidP="00A9111E" w14:paraId="09E5B436"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531" w:type="dxa"/>
            <w:shd w:val="clear" w:color="auto" w:fill="FFFFFF" w:themeFill="background1"/>
          </w:tcPr>
          <w:p w:rsidR="003A4691" w:rsidRPr="00C761AD" w:rsidP="00A9111E" w14:paraId="4C3F24E7" w14:textId="77777777">
            <w:pPr>
              <w:tabs>
                <w:tab w:val="left" w:pos="-720"/>
                <w:tab w:val="left" w:pos="0"/>
              </w:tabs>
              <w:suppressAutoHyphens/>
              <w:jc w:val="center"/>
              <w:rPr>
                <w:rFonts w:cs="Times New Roman"/>
                <w:color w:val="000000"/>
                <w:sz w:val="20"/>
                <w:szCs w:val="20"/>
              </w:rPr>
            </w:pPr>
            <w:r w:rsidRPr="00C761AD">
              <w:rPr>
                <w:rFonts w:cs="Times New Roman"/>
                <w:color w:val="000000"/>
                <w:sz w:val="20"/>
                <w:szCs w:val="20"/>
              </w:rPr>
              <w:t>N/A</w:t>
            </w:r>
          </w:p>
        </w:tc>
      </w:tr>
      <w:tr w14:paraId="49107853" w14:textId="77777777" w:rsidTr="00A9111E">
        <w:tblPrEx>
          <w:tblW w:w="14827" w:type="dxa"/>
          <w:tblInd w:w="-972" w:type="dxa"/>
          <w:shd w:val="clear" w:color="auto" w:fill="FFFFFF" w:themeFill="background1"/>
          <w:tblLayout w:type="fixed"/>
          <w:tblLook w:val="04A0"/>
        </w:tblPrEx>
        <w:trPr>
          <w:cantSplit/>
          <w:trHeight w:val="530"/>
        </w:trPr>
        <w:tc>
          <w:tcPr>
            <w:tcW w:w="1505" w:type="dxa"/>
            <w:shd w:val="clear" w:color="auto" w:fill="FFFFFF" w:themeFill="background1"/>
          </w:tcPr>
          <w:p w:rsidR="003A4691" w:rsidRPr="00C761AD" w:rsidP="00A9111E" w14:paraId="5EB4FD96" w14:textId="77777777">
            <w:pPr>
              <w:tabs>
                <w:tab w:val="left" w:pos="-720"/>
                <w:tab w:val="left" w:pos="0"/>
              </w:tabs>
              <w:suppressAutoHyphens/>
              <w:jc w:val="center"/>
              <w:rPr>
                <w:rFonts w:cs="Times New Roman"/>
                <w:sz w:val="20"/>
                <w:szCs w:val="20"/>
              </w:rPr>
            </w:pPr>
            <w:r w:rsidRPr="00C761AD">
              <w:rPr>
                <w:rFonts w:cs="Times New Roman"/>
                <w:sz w:val="20"/>
                <w:szCs w:val="20"/>
              </w:rPr>
              <w:t>49.4 – Withdrawal from Registration</w:t>
            </w:r>
            <w:r>
              <w:rPr>
                <w:rFonts w:cs="Times New Roman"/>
                <w:sz w:val="20"/>
                <w:szCs w:val="20"/>
                <w:vertAlign w:val="superscript"/>
              </w:rPr>
              <w:footnoteReference w:id="9"/>
            </w:r>
          </w:p>
        </w:tc>
        <w:tc>
          <w:tcPr>
            <w:tcW w:w="1620" w:type="dxa"/>
            <w:shd w:val="clear" w:color="auto" w:fill="FFFFFF" w:themeFill="background1"/>
          </w:tcPr>
          <w:p w:rsidR="003A4691" w:rsidRPr="00C761AD" w:rsidP="00A9111E" w14:paraId="60714B7E"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620" w:type="dxa"/>
            <w:shd w:val="clear" w:color="auto" w:fill="FFFFFF" w:themeFill="background1"/>
          </w:tcPr>
          <w:p w:rsidR="003A4691" w:rsidRPr="00C761AD" w:rsidP="00A9111E" w14:paraId="7569FF1B"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531" w:type="dxa"/>
            <w:shd w:val="clear" w:color="auto" w:fill="FFFFFF" w:themeFill="background1"/>
          </w:tcPr>
          <w:p w:rsidR="003A4691" w:rsidRPr="00C761AD" w:rsidP="00A9111E" w14:paraId="7E6CA2F2"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528" w:type="dxa"/>
            <w:shd w:val="clear" w:color="auto" w:fill="FFFFFF" w:themeFill="background1"/>
          </w:tcPr>
          <w:p w:rsidR="003A4691" w:rsidRPr="00C761AD" w:rsidP="00A9111E" w14:paraId="28B40CBC"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351" w:type="dxa"/>
            <w:shd w:val="clear" w:color="auto" w:fill="FFFFFF" w:themeFill="background1"/>
          </w:tcPr>
          <w:p w:rsidR="003A4691" w:rsidRPr="00C761AD" w:rsidP="00A9111E" w14:paraId="1E5954A7"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528" w:type="dxa"/>
            <w:shd w:val="clear" w:color="auto" w:fill="FFFFFF" w:themeFill="background1"/>
          </w:tcPr>
          <w:p w:rsidR="003A4691" w:rsidRPr="00C761AD" w:rsidP="00A9111E" w14:paraId="641141AA" w14:textId="77777777">
            <w:pPr>
              <w:jc w:val="center"/>
              <w:rPr>
                <w:rFonts w:cs="Times New Roman"/>
                <w:sz w:val="20"/>
                <w:szCs w:val="20"/>
              </w:rPr>
            </w:pPr>
            <w:r w:rsidRPr="00C761AD">
              <w:rPr>
                <w:rFonts w:cs="Times New Roman"/>
                <w:color w:val="000000"/>
                <w:sz w:val="20"/>
                <w:szCs w:val="20"/>
              </w:rPr>
              <w:t>N/A</w:t>
            </w:r>
          </w:p>
        </w:tc>
        <w:tc>
          <w:tcPr>
            <w:tcW w:w="1441" w:type="dxa"/>
            <w:shd w:val="clear" w:color="auto" w:fill="FFFFFF" w:themeFill="background1"/>
          </w:tcPr>
          <w:p w:rsidR="003A4691" w:rsidRPr="00C761AD" w:rsidP="00A9111E" w14:paraId="0510FD0A"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172" w:type="dxa"/>
            <w:shd w:val="clear" w:color="auto" w:fill="FFFFFF" w:themeFill="background1"/>
          </w:tcPr>
          <w:p w:rsidR="003A4691" w:rsidRPr="00C761AD" w:rsidP="00A9111E" w14:paraId="77C819C8"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531" w:type="dxa"/>
            <w:shd w:val="clear" w:color="auto" w:fill="FFFFFF" w:themeFill="background1"/>
          </w:tcPr>
          <w:p w:rsidR="003A4691" w:rsidRPr="00C761AD" w:rsidP="00A9111E" w14:paraId="529213DA" w14:textId="77777777">
            <w:pPr>
              <w:tabs>
                <w:tab w:val="left" w:pos="-720"/>
                <w:tab w:val="left" w:pos="0"/>
              </w:tabs>
              <w:suppressAutoHyphens/>
              <w:jc w:val="center"/>
              <w:rPr>
                <w:rFonts w:cs="Times New Roman"/>
                <w:sz w:val="20"/>
                <w:szCs w:val="20"/>
              </w:rPr>
            </w:pPr>
            <w:r w:rsidRPr="00C761AD">
              <w:rPr>
                <w:rFonts w:cs="Times New Roman"/>
                <w:color w:val="000000"/>
                <w:sz w:val="20"/>
                <w:szCs w:val="20"/>
              </w:rPr>
              <w:t>N/A</w:t>
            </w:r>
          </w:p>
        </w:tc>
      </w:tr>
      <w:tr w14:paraId="71649362" w14:textId="77777777" w:rsidTr="00A9111E">
        <w:tblPrEx>
          <w:tblW w:w="14827" w:type="dxa"/>
          <w:tblInd w:w="-972" w:type="dxa"/>
          <w:shd w:val="clear" w:color="auto" w:fill="FFFFFF" w:themeFill="background1"/>
          <w:tblLayout w:type="fixed"/>
          <w:tblLook w:val="04A0"/>
        </w:tblPrEx>
        <w:trPr>
          <w:cantSplit/>
          <w:trHeight w:val="584"/>
        </w:trPr>
        <w:tc>
          <w:tcPr>
            <w:tcW w:w="1505" w:type="dxa"/>
            <w:shd w:val="clear" w:color="auto" w:fill="FFFFFF" w:themeFill="background1"/>
          </w:tcPr>
          <w:p w:rsidR="003A4691" w:rsidRPr="00C761AD" w:rsidP="00A9111E" w14:paraId="17E4D1BC" w14:textId="77777777">
            <w:pPr>
              <w:tabs>
                <w:tab w:val="left" w:pos="-720"/>
                <w:tab w:val="left" w:pos="0"/>
              </w:tabs>
              <w:suppressAutoHyphens/>
              <w:jc w:val="center"/>
              <w:rPr>
                <w:rFonts w:cs="Times New Roman"/>
                <w:sz w:val="20"/>
                <w:szCs w:val="20"/>
              </w:rPr>
            </w:pPr>
            <w:r w:rsidRPr="00C761AD">
              <w:rPr>
                <w:rFonts w:cs="Times New Roman"/>
                <w:sz w:val="20"/>
                <w:szCs w:val="20"/>
              </w:rPr>
              <w:t>49.5 – Equity Interest Transfers</w:t>
            </w:r>
          </w:p>
        </w:tc>
        <w:tc>
          <w:tcPr>
            <w:tcW w:w="1620" w:type="dxa"/>
            <w:shd w:val="clear" w:color="auto" w:fill="FFFFFF" w:themeFill="background1"/>
          </w:tcPr>
          <w:p w:rsidR="003A4691" w:rsidRPr="00C761AD" w:rsidP="00A9111E" w14:paraId="404EDB02" w14:textId="77777777">
            <w:pPr>
              <w:tabs>
                <w:tab w:val="left" w:pos="-720"/>
                <w:tab w:val="left" w:pos="0"/>
              </w:tabs>
              <w:suppressAutoHyphens/>
              <w:jc w:val="center"/>
              <w:rPr>
                <w:rFonts w:cs="Times New Roman"/>
                <w:sz w:val="20"/>
                <w:szCs w:val="20"/>
              </w:rPr>
            </w:pPr>
            <w:r w:rsidRPr="00C761AD">
              <w:rPr>
                <w:rFonts w:cs="Times New Roman"/>
                <w:sz w:val="20"/>
                <w:szCs w:val="20"/>
              </w:rPr>
              <w:t>4</w:t>
            </w:r>
          </w:p>
        </w:tc>
        <w:tc>
          <w:tcPr>
            <w:tcW w:w="1620" w:type="dxa"/>
            <w:shd w:val="clear" w:color="auto" w:fill="FFFFFF" w:themeFill="background1"/>
          </w:tcPr>
          <w:p w:rsidR="003A4691" w:rsidRPr="00C761AD" w:rsidP="00A9111E" w14:paraId="2C34C108" w14:textId="77777777">
            <w:pPr>
              <w:tabs>
                <w:tab w:val="left" w:pos="-720"/>
                <w:tab w:val="left" w:pos="0"/>
              </w:tabs>
              <w:suppressAutoHyphens/>
              <w:jc w:val="center"/>
              <w:rPr>
                <w:rFonts w:cs="Times New Roman"/>
                <w:sz w:val="20"/>
                <w:szCs w:val="20"/>
              </w:rPr>
            </w:pPr>
            <w:r w:rsidRPr="00C761AD">
              <w:rPr>
                <w:rFonts w:cs="Times New Roman"/>
                <w:sz w:val="20"/>
                <w:szCs w:val="20"/>
              </w:rPr>
              <w:t>.25</w:t>
            </w:r>
            <w:r>
              <w:rPr>
                <w:rStyle w:val="FootnoteReference"/>
                <w:rFonts w:cs="Times New Roman"/>
                <w:sz w:val="20"/>
                <w:szCs w:val="20"/>
              </w:rPr>
              <w:footnoteReference w:id="10"/>
            </w:r>
          </w:p>
        </w:tc>
        <w:tc>
          <w:tcPr>
            <w:tcW w:w="1531" w:type="dxa"/>
            <w:shd w:val="clear" w:color="auto" w:fill="FFFFFF" w:themeFill="background1"/>
          </w:tcPr>
          <w:p w:rsidR="003A4691" w:rsidRPr="00C761AD" w:rsidP="00A9111E" w14:paraId="7EDE198F" w14:textId="77777777">
            <w:pPr>
              <w:tabs>
                <w:tab w:val="left" w:pos="-720"/>
                <w:tab w:val="left" w:pos="0"/>
              </w:tabs>
              <w:suppressAutoHyphens/>
              <w:jc w:val="center"/>
              <w:rPr>
                <w:rFonts w:cs="Times New Roman"/>
                <w:sz w:val="20"/>
                <w:szCs w:val="20"/>
              </w:rPr>
            </w:pPr>
            <w:r w:rsidRPr="00C761AD">
              <w:rPr>
                <w:rFonts w:cs="Times New Roman"/>
                <w:sz w:val="20"/>
                <w:szCs w:val="20"/>
              </w:rPr>
              <w:t>15</w:t>
            </w:r>
          </w:p>
        </w:tc>
        <w:tc>
          <w:tcPr>
            <w:tcW w:w="1528" w:type="dxa"/>
            <w:shd w:val="clear" w:color="auto" w:fill="FFFFFF" w:themeFill="background1"/>
          </w:tcPr>
          <w:p w:rsidR="003A4691" w:rsidRPr="00C761AD" w:rsidP="00A9111E" w14:paraId="298771FF" w14:textId="77777777">
            <w:pPr>
              <w:tabs>
                <w:tab w:val="left" w:pos="-720"/>
                <w:tab w:val="left" w:pos="0"/>
              </w:tabs>
              <w:suppressAutoHyphens/>
              <w:jc w:val="center"/>
              <w:rPr>
                <w:rFonts w:cs="Times New Roman"/>
                <w:sz w:val="20"/>
                <w:szCs w:val="20"/>
              </w:rPr>
            </w:pPr>
            <w:r w:rsidRPr="00C761AD">
              <w:rPr>
                <w:rFonts w:cs="Times New Roman"/>
                <w:sz w:val="20"/>
                <w:szCs w:val="20"/>
              </w:rPr>
              <w:t>3.75</w:t>
            </w:r>
          </w:p>
        </w:tc>
        <w:tc>
          <w:tcPr>
            <w:tcW w:w="1351" w:type="dxa"/>
            <w:shd w:val="clear" w:color="auto" w:fill="FFFFFF" w:themeFill="background1"/>
          </w:tcPr>
          <w:p w:rsidR="003A4691" w:rsidRPr="00C761AD" w:rsidP="00A9111E" w14:paraId="4C2CFE9B" w14:textId="77777777">
            <w:pPr>
              <w:tabs>
                <w:tab w:val="left" w:pos="-720"/>
                <w:tab w:val="left" w:pos="0"/>
              </w:tabs>
              <w:suppressAutoHyphens/>
              <w:jc w:val="center"/>
              <w:rPr>
                <w:rFonts w:cs="Times New Roman"/>
                <w:sz w:val="20"/>
                <w:szCs w:val="20"/>
              </w:rPr>
            </w:pPr>
            <w:r w:rsidRPr="00C761AD">
              <w:rPr>
                <w:rFonts w:cs="Times New Roman"/>
                <w:sz w:val="20"/>
                <w:szCs w:val="20"/>
              </w:rPr>
              <w:t>$88.09</w:t>
            </w:r>
          </w:p>
        </w:tc>
        <w:tc>
          <w:tcPr>
            <w:tcW w:w="1528" w:type="dxa"/>
            <w:shd w:val="clear" w:color="auto" w:fill="FFFFFF" w:themeFill="background1"/>
          </w:tcPr>
          <w:p w:rsidR="003A4691" w:rsidRPr="00C761AD" w:rsidP="00A9111E" w14:paraId="75305846" w14:textId="77777777">
            <w:pPr>
              <w:jc w:val="center"/>
              <w:rPr>
                <w:rFonts w:cs="Times New Roman"/>
                <w:sz w:val="20"/>
                <w:szCs w:val="20"/>
              </w:rPr>
            </w:pPr>
            <w:r w:rsidRPr="00C761AD">
              <w:rPr>
                <w:rFonts w:cs="Times New Roman"/>
                <w:sz w:val="20"/>
                <w:szCs w:val="20"/>
              </w:rPr>
              <w:t>$330.34</w:t>
            </w:r>
          </w:p>
        </w:tc>
        <w:tc>
          <w:tcPr>
            <w:tcW w:w="1441" w:type="dxa"/>
            <w:shd w:val="clear" w:color="auto" w:fill="FFFFFF" w:themeFill="background1"/>
          </w:tcPr>
          <w:p w:rsidR="003A4691" w:rsidRPr="00C761AD" w:rsidP="00A9111E" w14:paraId="5AB758B5" w14:textId="77777777">
            <w:pPr>
              <w:tabs>
                <w:tab w:val="left" w:pos="-720"/>
                <w:tab w:val="left" w:pos="0"/>
              </w:tabs>
              <w:suppressAutoHyphens/>
              <w:jc w:val="center"/>
              <w:rPr>
                <w:rFonts w:cs="Times New Roman"/>
                <w:sz w:val="20"/>
                <w:szCs w:val="20"/>
              </w:rPr>
            </w:pPr>
            <w:r w:rsidRPr="00C761AD">
              <w:rPr>
                <w:rFonts w:cs="Times New Roman"/>
                <w:sz w:val="20"/>
                <w:szCs w:val="20"/>
              </w:rPr>
              <w:t>1</w:t>
            </w:r>
          </w:p>
        </w:tc>
        <w:tc>
          <w:tcPr>
            <w:tcW w:w="1172" w:type="dxa"/>
            <w:shd w:val="clear" w:color="auto" w:fill="FFFFFF" w:themeFill="background1"/>
          </w:tcPr>
          <w:p w:rsidR="003A4691" w:rsidRPr="00C761AD" w:rsidP="00A9111E" w14:paraId="46D30B85" w14:textId="77777777">
            <w:pPr>
              <w:tabs>
                <w:tab w:val="left" w:pos="-720"/>
                <w:tab w:val="left" w:pos="0"/>
              </w:tabs>
              <w:suppressAutoHyphens/>
              <w:jc w:val="center"/>
              <w:rPr>
                <w:rFonts w:cs="Times New Roman"/>
                <w:sz w:val="20"/>
                <w:szCs w:val="20"/>
              </w:rPr>
            </w:pPr>
            <w:r w:rsidRPr="00C761AD">
              <w:rPr>
                <w:rFonts w:cs="Times New Roman"/>
                <w:sz w:val="20"/>
                <w:szCs w:val="20"/>
              </w:rPr>
              <w:t>15</w:t>
            </w:r>
          </w:p>
        </w:tc>
        <w:tc>
          <w:tcPr>
            <w:tcW w:w="1531" w:type="dxa"/>
            <w:shd w:val="clear" w:color="auto" w:fill="FFFFFF" w:themeFill="background1"/>
          </w:tcPr>
          <w:p w:rsidR="003A4691" w:rsidRPr="00C761AD" w:rsidP="00A9111E" w14:paraId="296DB925" w14:textId="77777777">
            <w:pPr>
              <w:tabs>
                <w:tab w:val="left" w:pos="-720"/>
                <w:tab w:val="left" w:pos="0"/>
              </w:tabs>
              <w:suppressAutoHyphens/>
              <w:jc w:val="center"/>
              <w:rPr>
                <w:rFonts w:cs="Times New Roman"/>
                <w:sz w:val="20"/>
                <w:szCs w:val="20"/>
              </w:rPr>
            </w:pPr>
            <w:r w:rsidRPr="00C761AD">
              <w:rPr>
                <w:rFonts w:cs="Times New Roman"/>
                <w:sz w:val="20"/>
                <w:szCs w:val="20"/>
              </w:rPr>
              <w:t>$1,321.35</w:t>
            </w:r>
          </w:p>
        </w:tc>
      </w:tr>
      <w:tr w14:paraId="6A1017AC" w14:textId="77777777" w:rsidTr="00A9111E">
        <w:tblPrEx>
          <w:tblW w:w="14827" w:type="dxa"/>
          <w:tblInd w:w="-972" w:type="dxa"/>
          <w:shd w:val="clear" w:color="auto" w:fill="FFFFFF" w:themeFill="background1"/>
          <w:tblLayout w:type="fixed"/>
          <w:tblLook w:val="04A0"/>
        </w:tblPrEx>
        <w:trPr>
          <w:cantSplit/>
          <w:trHeight w:val="1222"/>
        </w:trPr>
        <w:tc>
          <w:tcPr>
            <w:tcW w:w="1505" w:type="dxa"/>
            <w:shd w:val="clear" w:color="auto" w:fill="FFFFFF" w:themeFill="background1"/>
          </w:tcPr>
          <w:p w:rsidR="003A4691" w:rsidRPr="00C761AD" w:rsidP="00A9111E" w14:paraId="3A7719BA" w14:textId="77777777">
            <w:pPr>
              <w:tabs>
                <w:tab w:val="left" w:pos="-720"/>
                <w:tab w:val="left" w:pos="0"/>
              </w:tabs>
              <w:suppressAutoHyphens/>
              <w:jc w:val="center"/>
              <w:rPr>
                <w:rFonts w:cs="Times New Roman"/>
                <w:sz w:val="20"/>
                <w:szCs w:val="20"/>
              </w:rPr>
            </w:pPr>
            <w:r w:rsidRPr="00C761AD">
              <w:rPr>
                <w:rFonts w:cs="Times New Roman"/>
                <w:sz w:val="20"/>
                <w:szCs w:val="20"/>
              </w:rPr>
              <w:t>49.6 – Request for Transfer of Registration</w:t>
            </w:r>
          </w:p>
        </w:tc>
        <w:tc>
          <w:tcPr>
            <w:tcW w:w="1620" w:type="dxa"/>
            <w:shd w:val="clear" w:color="auto" w:fill="FFFFFF" w:themeFill="background1"/>
          </w:tcPr>
          <w:p w:rsidR="003A4691" w:rsidRPr="00C761AD" w:rsidP="00A9111E" w14:paraId="0622C99E" w14:textId="77777777">
            <w:pPr>
              <w:tabs>
                <w:tab w:val="left" w:pos="-720"/>
                <w:tab w:val="left" w:pos="0"/>
              </w:tabs>
              <w:suppressAutoHyphens/>
              <w:jc w:val="center"/>
              <w:rPr>
                <w:rFonts w:cs="Times New Roman"/>
                <w:sz w:val="20"/>
                <w:szCs w:val="20"/>
              </w:rPr>
            </w:pPr>
            <w:r w:rsidRPr="00C761AD">
              <w:rPr>
                <w:rFonts w:cs="Times New Roman"/>
                <w:sz w:val="20"/>
                <w:szCs w:val="20"/>
              </w:rPr>
              <w:t>4</w:t>
            </w:r>
          </w:p>
        </w:tc>
        <w:tc>
          <w:tcPr>
            <w:tcW w:w="1620" w:type="dxa"/>
            <w:shd w:val="clear" w:color="auto" w:fill="FFFFFF" w:themeFill="background1"/>
          </w:tcPr>
          <w:p w:rsidR="003A4691" w:rsidRPr="00C761AD" w:rsidP="00A9111E" w14:paraId="7F9D6C17" w14:textId="77777777">
            <w:pPr>
              <w:tabs>
                <w:tab w:val="left" w:pos="-720"/>
                <w:tab w:val="left" w:pos="0"/>
              </w:tabs>
              <w:suppressAutoHyphens/>
              <w:jc w:val="center"/>
              <w:rPr>
                <w:rFonts w:cs="Times New Roman"/>
                <w:sz w:val="20"/>
                <w:szCs w:val="20"/>
              </w:rPr>
            </w:pPr>
            <w:r w:rsidRPr="00C761AD">
              <w:rPr>
                <w:rFonts w:cs="Times New Roman"/>
                <w:sz w:val="20"/>
                <w:szCs w:val="20"/>
              </w:rPr>
              <w:t>.25</w:t>
            </w:r>
            <w:r>
              <w:rPr>
                <w:rStyle w:val="FootnoteReference"/>
                <w:rFonts w:cs="Times New Roman"/>
                <w:sz w:val="20"/>
                <w:szCs w:val="20"/>
              </w:rPr>
              <w:footnoteReference w:id="11"/>
            </w:r>
          </w:p>
        </w:tc>
        <w:tc>
          <w:tcPr>
            <w:tcW w:w="1531" w:type="dxa"/>
            <w:shd w:val="clear" w:color="auto" w:fill="FFFFFF" w:themeFill="background1"/>
          </w:tcPr>
          <w:p w:rsidR="003A4691" w:rsidRPr="00C761AD" w:rsidP="00A9111E" w14:paraId="5548A950" w14:textId="77777777">
            <w:pPr>
              <w:tabs>
                <w:tab w:val="left" w:pos="-720"/>
                <w:tab w:val="left" w:pos="0"/>
              </w:tabs>
              <w:suppressAutoHyphens/>
              <w:jc w:val="center"/>
              <w:rPr>
                <w:rFonts w:cs="Times New Roman"/>
                <w:sz w:val="20"/>
                <w:szCs w:val="20"/>
              </w:rPr>
            </w:pPr>
            <w:r w:rsidRPr="00C761AD">
              <w:rPr>
                <w:rFonts w:cs="Times New Roman"/>
                <w:sz w:val="20"/>
                <w:szCs w:val="20"/>
              </w:rPr>
              <w:t>15</w:t>
            </w:r>
          </w:p>
        </w:tc>
        <w:tc>
          <w:tcPr>
            <w:tcW w:w="1528" w:type="dxa"/>
            <w:shd w:val="clear" w:color="auto" w:fill="FFFFFF" w:themeFill="background1"/>
          </w:tcPr>
          <w:p w:rsidR="003A4691" w:rsidRPr="00C761AD" w:rsidP="00A9111E" w14:paraId="5F943EBF" w14:textId="77777777">
            <w:pPr>
              <w:tabs>
                <w:tab w:val="left" w:pos="-720"/>
                <w:tab w:val="left" w:pos="0"/>
              </w:tabs>
              <w:suppressAutoHyphens/>
              <w:jc w:val="center"/>
              <w:rPr>
                <w:rFonts w:cs="Times New Roman"/>
                <w:sz w:val="20"/>
                <w:szCs w:val="20"/>
              </w:rPr>
            </w:pPr>
            <w:r w:rsidRPr="00C761AD">
              <w:rPr>
                <w:rFonts w:cs="Times New Roman"/>
                <w:sz w:val="20"/>
                <w:szCs w:val="20"/>
              </w:rPr>
              <w:t>3.75</w:t>
            </w:r>
          </w:p>
        </w:tc>
        <w:tc>
          <w:tcPr>
            <w:tcW w:w="1351" w:type="dxa"/>
            <w:shd w:val="clear" w:color="auto" w:fill="FFFFFF" w:themeFill="background1"/>
          </w:tcPr>
          <w:p w:rsidR="003A4691" w:rsidRPr="00C761AD" w:rsidP="00A9111E" w14:paraId="553819AD" w14:textId="77777777">
            <w:pPr>
              <w:tabs>
                <w:tab w:val="left" w:pos="-720"/>
                <w:tab w:val="left" w:pos="0"/>
              </w:tabs>
              <w:suppressAutoHyphens/>
              <w:jc w:val="center"/>
              <w:rPr>
                <w:rFonts w:cs="Times New Roman"/>
                <w:sz w:val="20"/>
                <w:szCs w:val="20"/>
              </w:rPr>
            </w:pPr>
            <w:r w:rsidRPr="00C761AD">
              <w:rPr>
                <w:rFonts w:cs="Times New Roman"/>
                <w:sz w:val="20"/>
                <w:szCs w:val="20"/>
              </w:rPr>
              <w:t>$88.09</w:t>
            </w:r>
          </w:p>
        </w:tc>
        <w:tc>
          <w:tcPr>
            <w:tcW w:w="1528" w:type="dxa"/>
            <w:shd w:val="clear" w:color="auto" w:fill="FFFFFF" w:themeFill="background1"/>
          </w:tcPr>
          <w:p w:rsidR="003A4691" w:rsidRPr="00C761AD" w:rsidP="00A9111E" w14:paraId="643DD817" w14:textId="77777777">
            <w:pPr>
              <w:jc w:val="center"/>
              <w:rPr>
                <w:rFonts w:cs="Times New Roman"/>
                <w:sz w:val="20"/>
                <w:szCs w:val="20"/>
              </w:rPr>
            </w:pPr>
            <w:r w:rsidRPr="00C761AD">
              <w:rPr>
                <w:rFonts w:cs="Times New Roman"/>
                <w:sz w:val="20"/>
                <w:szCs w:val="20"/>
              </w:rPr>
              <w:t>$330.34</w:t>
            </w:r>
          </w:p>
        </w:tc>
        <w:tc>
          <w:tcPr>
            <w:tcW w:w="1441" w:type="dxa"/>
            <w:shd w:val="clear" w:color="auto" w:fill="FFFFFF" w:themeFill="background1"/>
          </w:tcPr>
          <w:p w:rsidR="003A4691" w:rsidRPr="00C761AD" w:rsidP="00A9111E" w14:paraId="3397C6D1" w14:textId="77777777">
            <w:pPr>
              <w:tabs>
                <w:tab w:val="left" w:pos="-720"/>
                <w:tab w:val="left" w:pos="0"/>
              </w:tabs>
              <w:suppressAutoHyphens/>
              <w:jc w:val="center"/>
              <w:rPr>
                <w:rFonts w:cs="Times New Roman"/>
                <w:sz w:val="20"/>
                <w:szCs w:val="20"/>
              </w:rPr>
            </w:pPr>
            <w:r w:rsidRPr="00C761AD">
              <w:rPr>
                <w:rFonts w:cs="Times New Roman"/>
                <w:sz w:val="20"/>
                <w:szCs w:val="20"/>
              </w:rPr>
              <w:t>1</w:t>
            </w:r>
          </w:p>
        </w:tc>
        <w:tc>
          <w:tcPr>
            <w:tcW w:w="1172" w:type="dxa"/>
            <w:shd w:val="clear" w:color="auto" w:fill="FFFFFF" w:themeFill="background1"/>
          </w:tcPr>
          <w:p w:rsidR="003A4691" w:rsidRPr="00C761AD" w:rsidP="00A9111E" w14:paraId="60B31F4F" w14:textId="77777777">
            <w:pPr>
              <w:tabs>
                <w:tab w:val="left" w:pos="-720"/>
                <w:tab w:val="left" w:pos="0"/>
              </w:tabs>
              <w:suppressAutoHyphens/>
              <w:jc w:val="center"/>
              <w:rPr>
                <w:rFonts w:cs="Times New Roman"/>
                <w:sz w:val="20"/>
                <w:szCs w:val="20"/>
              </w:rPr>
            </w:pPr>
            <w:r w:rsidRPr="00C761AD">
              <w:rPr>
                <w:rFonts w:cs="Times New Roman"/>
                <w:sz w:val="20"/>
                <w:szCs w:val="20"/>
              </w:rPr>
              <w:t>15</w:t>
            </w:r>
          </w:p>
        </w:tc>
        <w:tc>
          <w:tcPr>
            <w:tcW w:w="1531" w:type="dxa"/>
            <w:shd w:val="clear" w:color="auto" w:fill="FFFFFF" w:themeFill="background1"/>
          </w:tcPr>
          <w:p w:rsidR="003A4691" w:rsidRPr="00C761AD" w:rsidP="00A9111E" w14:paraId="52C4FC4E" w14:textId="77777777">
            <w:pPr>
              <w:tabs>
                <w:tab w:val="left" w:pos="-720"/>
                <w:tab w:val="left" w:pos="0"/>
              </w:tabs>
              <w:suppressAutoHyphens/>
              <w:jc w:val="center"/>
              <w:rPr>
                <w:rFonts w:cs="Times New Roman"/>
                <w:sz w:val="20"/>
                <w:szCs w:val="20"/>
              </w:rPr>
            </w:pPr>
            <w:r w:rsidRPr="00C761AD">
              <w:rPr>
                <w:rFonts w:cs="Times New Roman"/>
                <w:sz w:val="20"/>
                <w:szCs w:val="20"/>
              </w:rPr>
              <w:t>$1,321.35</w:t>
            </w:r>
          </w:p>
        </w:tc>
      </w:tr>
      <w:tr w14:paraId="1EA9E947" w14:textId="77777777" w:rsidTr="00A9111E">
        <w:tblPrEx>
          <w:tblW w:w="14827" w:type="dxa"/>
          <w:tblInd w:w="-972" w:type="dxa"/>
          <w:shd w:val="clear" w:color="auto" w:fill="FFFFFF" w:themeFill="background1"/>
          <w:tblLayout w:type="fixed"/>
          <w:tblLook w:val="04A0"/>
        </w:tblPrEx>
        <w:trPr>
          <w:cantSplit/>
          <w:trHeight w:val="1222"/>
        </w:trPr>
        <w:tc>
          <w:tcPr>
            <w:tcW w:w="1505" w:type="dxa"/>
            <w:shd w:val="clear" w:color="auto" w:fill="FFFFFF" w:themeFill="background1"/>
          </w:tcPr>
          <w:p w:rsidR="003A4691" w:rsidRPr="00C761AD" w:rsidP="00A9111E" w14:paraId="06690B70" w14:textId="77777777">
            <w:pPr>
              <w:tabs>
                <w:tab w:val="left" w:pos="-720"/>
                <w:tab w:val="left" w:pos="0"/>
              </w:tabs>
              <w:suppressAutoHyphens/>
              <w:jc w:val="center"/>
              <w:rPr>
                <w:rFonts w:cs="Times New Roman"/>
                <w:sz w:val="20"/>
                <w:szCs w:val="20"/>
              </w:rPr>
            </w:pPr>
            <w:r w:rsidRPr="00C761AD">
              <w:rPr>
                <w:rFonts w:cs="Times New Roman"/>
                <w:sz w:val="20"/>
                <w:szCs w:val="20"/>
              </w:rPr>
              <w:t>49.7 – Registration of Foreign SDRs</w:t>
            </w:r>
            <w:r>
              <w:rPr>
                <w:rStyle w:val="FootnoteReference"/>
                <w:rFonts w:cs="Times New Roman"/>
                <w:sz w:val="20"/>
                <w:szCs w:val="20"/>
              </w:rPr>
              <w:footnoteReference w:id="12"/>
            </w:r>
          </w:p>
        </w:tc>
        <w:tc>
          <w:tcPr>
            <w:tcW w:w="1620" w:type="dxa"/>
            <w:shd w:val="clear" w:color="auto" w:fill="FFFFFF" w:themeFill="background1"/>
          </w:tcPr>
          <w:p w:rsidR="003A4691" w:rsidRPr="00C761AD" w:rsidP="00A9111E" w14:paraId="06E87506"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620" w:type="dxa"/>
            <w:shd w:val="clear" w:color="auto" w:fill="FFFFFF" w:themeFill="background1"/>
          </w:tcPr>
          <w:p w:rsidR="003A4691" w:rsidRPr="00C761AD" w:rsidP="00A9111E" w14:paraId="1EDE1689"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531" w:type="dxa"/>
            <w:shd w:val="clear" w:color="auto" w:fill="FFFFFF" w:themeFill="background1"/>
          </w:tcPr>
          <w:p w:rsidR="003A4691" w:rsidRPr="00C761AD" w:rsidP="00A9111E" w14:paraId="491357D1"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528" w:type="dxa"/>
            <w:shd w:val="clear" w:color="auto" w:fill="FFFFFF" w:themeFill="background1"/>
          </w:tcPr>
          <w:p w:rsidR="003A4691" w:rsidRPr="00C761AD" w:rsidP="00A9111E" w14:paraId="061CC2CC"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351" w:type="dxa"/>
            <w:shd w:val="clear" w:color="auto" w:fill="FFFFFF" w:themeFill="background1"/>
          </w:tcPr>
          <w:p w:rsidR="003A4691" w:rsidRPr="00C761AD" w:rsidP="00A9111E" w14:paraId="1869C5BB" w14:textId="2AB2EF45">
            <w:pPr>
              <w:tabs>
                <w:tab w:val="left" w:pos="-720"/>
                <w:tab w:val="left" w:pos="0"/>
              </w:tabs>
              <w:suppressAutoHyphens/>
              <w:jc w:val="center"/>
              <w:rPr>
                <w:rFonts w:cs="Times New Roman"/>
                <w:sz w:val="20"/>
                <w:szCs w:val="20"/>
              </w:rPr>
            </w:pPr>
            <w:r>
              <w:rPr>
                <w:rFonts w:cs="Times New Roman"/>
                <w:sz w:val="20"/>
                <w:szCs w:val="20"/>
              </w:rPr>
              <w:t>N/A</w:t>
            </w:r>
          </w:p>
        </w:tc>
        <w:tc>
          <w:tcPr>
            <w:tcW w:w="1528" w:type="dxa"/>
            <w:shd w:val="clear" w:color="auto" w:fill="FFFFFF" w:themeFill="background1"/>
          </w:tcPr>
          <w:p w:rsidR="003A4691" w:rsidRPr="00C761AD" w:rsidP="00A9111E" w14:paraId="2CD36490" w14:textId="77777777">
            <w:pPr>
              <w:jc w:val="center"/>
              <w:rPr>
                <w:rFonts w:cs="Times New Roman"/>
                <w:sz w:val="20"/>
                <w:szCs w:val="20"/>
              </w:rPr>
            </w:pPr>
            <w:r w:rsidRPr="00C761AD">
              <w:rPr>
                <w:rFonts w:cs="Times New Roman"/>
                <w:sz w:val="20"/>
                <w:szCs w:val="20"/>
              </w:rPr>
              <w:t>N/A</w:t>
            </w:r>
          </w:p>
        </w:tc>
        <w:tc>
          <w:tcPr>
            <w:tcW w:w="1441" w:type="dxa"/>
            <w:shd w:val="clear" w:color="auto" w:fill="FFFFFF" w:themeFill="background1"/>
          </w:tcPr>
          <w:p w:rsidR="003A4691" w:rsidRPr="00C761AD" w:rsidP="00A9111E" w14:paraId="44C5A2AF"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172" w:type="dxa"/>
            <w:shd w:val="clear" w:color="auto" w:fill="FFFFFF" w:themeFill="background1"/>
          </w:tcPr>
          <w:p w:rsidR="003A4691" w:rsidRPr="00C761AD" w:rsidP="00A9111E" w14:paraId="6CFEDA27"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c>
          <w:tcPr>
            <w:tcW w:w="1531" w:type="dxa"/>
            <w:shd w:val="clear" w:color="auto" w:fill="FFFFFF" w:themeFill="background1"/>
          </w:tcPr>
          <w:p w:rsidR="003A4691" w:rsidRPr="00C761AD" w:rsidP="00A9111E" w14:paraId="08040E6C" w14:textId="77777777">
            <w:pPr>
              <w:tabs>
                <w:tab w:val="left" w:pos="-720"/>
                <w:tab w:val="left" w:pos="0"/>
              </w:tabs>
              <w:suppressAutoHyphens/>
              <w:jc w:val="center"/>
              <w:rPr>
                <w:rFonts w:cs="Times New Roman"/>
                <w:sz w:val="20"/>
                <w:szCs w:val="20"/>
              </w:rPr>
            </w:pPr>
            <w:r w:rsidRPr="00C761AD">
              <w:rPr>
                <w:rFonts w:cs="Times New Roman"/>
                <w:sz w:val="20"/>
                <w:szCs w:val="20"/>
              </w:rPr>
              <w:t>N/A</w:t>
            </w:r>
          </w:p>
        </w:tc>
      </w:tr>
      <w:tr w14:paraId="2A0ED76B" w14:textId="77777777" w:rsidTr="00A9111E">
        <w:tblPrEx>
          <w:tblW w:w="14827" w:type="dxa"/>
          <w:tblInd w:w="-972" w:type="dxa"/>
          <w:shd w:val="clear" w:color="auto" w:fill="FFFFFF" w:themeFill="background1"/>
          <w:tblLayout w:type="fixed"/>
          <w:tblLook w:val="04A0"/>
        </w:tblPrEx>
        <w:trPr>
          <w:cantSplit/>
          <w:trHeight w:val="890"/>
        </w:trPr>
        <w:tc>
          <w:tcPr>
            <w:tcW w:w="1505" w:type="dxa"/>
            <w:shd w:val="clear" w:color="auto" w:fill="FFFFFF" w:themeFill="background1"/>
          </w:tcPr>
          <w:p w:rsidR="003A4691" w:rsidRPr="00C761AD" w:rsidP="00A9111E" w14:paraId="77670A6D" w14:textId="77777777">
            <w:pPr>
              <w:tabs>
                <w:tab w:val="left" w:pos="-720"/>
                <w:tab w:val="left" w:pos="0"/>
              </w:tabs>
              <w:suppressAutoHyphens/>
              <w:jc w:val="center"/>
              <w:rPr>
                <w:rFonts w:cs="Times New Roman"/>
                <w:sz w:val="20"/>
                <w:szCs w:val="20"/>
              </w:rPr>
            </w:pPr>
            <w:r w:rsidRPr="00C761AD">
              <w:rPr>
                <w:rFonts w:cs="Times New Roman"/>
                <w:sz w:val="20"/>
                <w:szCs w:val="20"/>
              </w:rPr>
              <w:t>49.9 – Open Swaps Reports Provided to the Commission</w:t>
            </w:r>
          </w:p>
        </w:tc>
        <w:tc>
          <w:tcPr>
            <w:tcW w:w="1620" w:type="dxa"/>
            <w:shd w:val="clear" w:color="auto" w:fill="FFFFFF" w:themeFill="background1"/>
          </w:tcPr>
          <w:p w:rsidR="003A4691" w:rsidRPr="00C761AD" w:rsidP="00A9111E" w14:paraId="4707FC4C" w14:textId="77777777">
            <w:pPr>
              <w:tabs>
                <w:tab w:val="left" w:pos="-720"/>
                <w:tab w:val="left" w:pos="0"/>
              </w:tabs>
              <w:suppressAutoHyphens/>
              <w:jc w:val="center"/>
              <w:rPr>
                <w:rFonts w:cs="Times New Roman"/>
                <w:sz w:val="20"/>
                <w:szCs w:val="20"/>
              </w:rPr>
            </w:pPr>
            <w:r w:rsidRPr="00C761AD">
              <w:rPr>
                <w:rFonts w:cs="Times New Roman"/>
                <w:sz w:val="20"/>
                <w:szCs w:val="20"/>
              </w:rPr>
              <w:t>4</w:t>
            </w:r>
          </w:p>
        </w:tc>
        <w:tc>
          <w:tcPr>
            <w:tcW w:w="1620" w:type="dxa"/>
            <w:shd w:val="clear" w:color="auto" w:fill="FFFFFF" w:themeFill="background1"/>
          </w:tcPr>
          <w:p w:rsidR="003A4691" w:rsidRPr="00C761AD" w:rsidP="00A9111E" w14:paraId="1866BD76" w14:textId="77777777">
            <w:pPr>
              <w:tabs>
                <w:tab w:val="left" w:pos="-720"/>
                <w:tab w:val="left" w:pos="0"/>
              </w:tabs>
              <w:suppressAutoHyphens/>
              <w:jc w:val="center"/>
              <w:rPr>
                <w:rFonts w:cs="Times New Roman"/>
                <w:sz w:val="20"/>
                <w:szCs w:val="20"/>
              </w:rPr>
            </w:pPr>
            <w:r w:rsidRPr="00C761AD">
              <w:rPr>
                <w:rFonts w:cs="Times New Roman"/>
                <w:sz w:val="20"/>
                <w:szCs w:val="20"/>
              </w:rPr>
              <w:t>365</w:t>
            </w:r>
          </w:p>
        </w:tc>
        <w:tc>
          <w:tcPr>
            <w:tcW w:w="1531" w:type="dxa"/>
            <w:shd w:val="clear" w:color="auto" w:fill="FFFFFF" w:themeFill="background1"/>
          </w:tcPr>
          <w:p w:rsidR="003A4691" w:rsidRPr="00C761AD" w:rsidP="00A9111E" w14:paraId="387F2724" w14:textId="77777777">
            <w:pPr>
              <w:tabs>
                <w:tab w:val="left" w:pos="-720"/>
                <w:tab w:val="left" w:pos="0"/>
              </w:tabs>
              <w:suppressAutoHyphens/>
              <w:jc w:val="center"/>
              <w:rPr>
                <w:rFonts w:cs="Times New Roman"/>
                <w:sz w:val="20"/>
                <w:szCs w:val="20"/>
              </w:rPr>
            </w:pPr>
            <w:r w:rsidRPr="00C761AD">
              <w:rPr>
                <w:rFonts w:cs="Times New Roman"/>
                <w:sz w:val="20"/>
                <w:szCs w:val="20"/>
              </w:rPr>
              <w:t>2</w:t>
            </w:r>
          </w:p>
        </w:tc>
        <w:tc>
          <w:tcPr>
            <w:tcW w:w="1528" w:type="dxa"/>
            <w:shd w:val="clear" w:color="auto" w:fill="FFFFFF" w:themeFill="background1"/>
          </w:tcPr>
          <w:p w:rsidR="003A4691" w:rsidRPr="00C761AD" w:rsidP="00A9111E" w14:paraId="010D70AA" w14:textId="77777777">
            <w:pPr>
              <w:tabs>
                <w:tab w:val="left" w:pos="-720"/>
                <w:tab w:val="left" w:pos="0"/>
              </w:tabs>
              <w:suppressAutoHyphens/>
              <w:jc w:val="center"/>
              <w:rPr>
                <w:rFonts w:cs="Times New Roman"/>
                <w:sz w:val="20"/>
                <w:szCs w:val="20"/>
              </w:rPr>
            </w:pPr>
            <w:r w:rsidRPr="00C761AD">
              <w:rPr>
                <w:rFonts w:cs="Times New Roman"/>
                <w:sz w:val="20"/>
                <w:szCs w:val="20"/>
              </w:rPr>
              <w:t>730</w:t>
            </w:r>
          </w:p>
        </w:tc>
        <w:tc>
          <w:tcPr>
            <w:tcW w:w="1351" w:type="dxa"/>
            <w:shd w:val="clear" w:color="auto" w:fill="FFFFFF" w:themeFill="background1"/>
          </w:tcPr>
          <w:p w:rsidR="003A4691" w:rsidRPr="00C761AD" w:rsidP="00A9111E" w14:paraId="7BA7E266" w14:textId="77777777">
            <w:pPr>
              <w:tabs>
                <w:tab w:val="left" w:pos="-720"/>
                <w:tab w:val="left" w:pos="0"/>
              </w:tabs>
              <w:suppressAutoHyphens/>
              <w:jc w:val="center"/>
              <w:rPr>
                <w:rFonts w:cs="Times New Roman"/>
                <w:sz w:val="20"/>
                <w:szCs w:val="20"/>
              </w:rPr>
            </w:pPr>
            <w:r w:rsidRPr="00C761AD">
              <w:rPr>
                <w:rFonts w:cs="Times New Roman"/>
                <w:sz w:val="20"/>
                <w:szCs w:val="20"/>
              </w:rPr>
              <w:t>$88.09</w:t>
            </w:r>
          </w:p>
        </w:tc>
        <w:tc>
          <w:tcPr>
            <w:tcW w:w="1528" w:type="dxa"/>
            <w:shd w:val="clear" w:color="auto" w:fill="FFFFFF" w:themeFill="background1"/>
          </w:tcPr>
          <w:p w:rsidR="003A4691" w:rsidRPr="00C761AD" w:rsidP="00A9111E" w14:paraId="72A56F8B" w14:textId="77777777">
            <w:pPr>
              <w:jc w:val="center"/>
              <w:rPr>
                <w:rFonts w:cs="Times New Roman"/>
                <w:sz w:val="20"/>
                <w:szCs w:val="20"/>
              </w:rPr>
            </w:pPr>
            <w:r w:rsidRPr="00C761AD">
              <w:rPr>
                <w:rFonts w:cs="Times New Roman"/>
                <w:sz w:val="20"/>
                <w:szCs w:val="20"/>
              </w:rPr>
              <w:t>$64,305.7</w:t>
            </w:r>
          </w:p>
        </w:tc>
        <w:tc>
          <w:tcPr>
            <w:tcW w:w="1441" w:type="dxa"/>
            <w:shd w:val="clear" w:color="auto" w:fill="FFFFFF" w:themeFill="background1"/>
          </w:tcPr>
          <w:p w:rsidR="003A4691" w:rsidRPr="00C761AD" w:rsidP="00A9111E" w14:paraId="4FB5230D" w14:textId="77777777">
            <w:pPr>
              <w:tabs>
                <w:tab w:val="left" w:pos="-720"/>
                <w:tab w:val="left" w:pos="0"/>
              </w:tabs>
              <w:suppressAutoHyphens/>
              <w:jc w:val="center"/>
              <w:rPr>
                <w:rFonts w:cs="Times New Roman"/>
                <w:sz w:val="20"/>
                <w:szCs w:val="20"/>
              </w:rPr>
            </w:pPr>
            <w:r w:rsidRPr="00C761AD">
              <w:rPr>
                <w:rFonts w:cs="Times New Roman"/>
                <w:sz w:val="20"/>
                <w:szCs w:val="20"/>
              </w:rPr>
              <w:t>1,460</w:t>
            </w:r>
          </w:p>
        </w:tc>
        <w:tc>
          <w:tcPr>
            <w:tcW w:w="1172" w:type="dxa"/>
            <w:shd w:val="clear" w:color="auto" w:fill="FFFFFF" w:themeFill="background1"/>
          </w:tcPr>
          <w:p w:rsidR="003A4691" w:rsidRPr="00C761AD" w:rsidP="00A9111E" w14:paraId="730E97CA" w14:textId="77777777">
            <w:pPr>
              <w:tabs>
                <w:tab w:val="left" w:pos="-720"/>
                <w:tab w:val="left" w:pos="0"/>
              </w:tabs>
              <w:suppressAutoHyphens/>
              <w:jc w:val="center"/>
              <w:rPr>
                <w:rFonts w:cs="Times New Roman"/>
                <w:sz w:val="20"/>
                <w:szCs w:val="20"/>
              </w:rPr>
            </w:pPr>
            <w:r w:rsidRPr="00C761AD">
              <w:rPr>
                <w:rFonts w:cs="Times New Roman"/>
                <w:sz w:val="20"/>
                <w:szCs w:val="20"/>
              </w:rPr>
              <w:t>2,920</w:t>
            </w:r>
          </w:p>
        </w:tc>
        <w:tc>
          <w:tcPr>
            <w:tcW w:w="1531" w:type="dxa"/>
            <w:shd w:val="clear" w:color="auto" w:fill="FFFFFF" w:themeFill="background1"/>
          </w:tcPr>
          <w:p w:rsidR="003A4691" w:rsidRPr="00C761AD" w:rsidP="00A9111E" w14:paraId="11E21A12" w14:textId="77777777">
            <w:pPr>
              <w:tabs>
                <w:tab w:val="left" w:pos="-720"/>
                <w:tab w:val="left" w:pos="0"/>
              </w:tabs>
              <w:suppressAutoHyphens/>
              <w:jc w:val="center"/>
              <w:rPr>
                <w:rFonts w:cs="Times New Roman"/>
                <w:sz w:val="20"/>
                <w:szCs w:val="20"/>
              </w:rPr>
            </w:pPr>
            <w:r w:rsidRPr="00C761AD">
              <w:rPr>
                <w:rFonts w:cs="Times New Roman"/>
                <w:sz w:val="20"/>
                <w:szCs w:val="20"/>
              </w:rPr>
              <w:t>$257,222.8</w:t>
            </w:r>
          </w:p>
        </w:tc>
      </w:tr>
      <w:tr w14:paraId="24038D65" w14:textId="77777777" w:rsidTr="00A9111E">
        <w:tblPrEx>
          <w:tblW w:w="14827" w:type="dxa"/>
          <w:tblInd w:w="-972" w:type="dxa"/>
          <w:shd w:val="clear" w:color="auto" w:fill="FFFFFF" w:themeFill="background1"/>
          <w:tblLayout w:type="fixed"/>
          <w:tblLook w:val="04A0"/>
        </w:tblPrEx>
        <w:trPr>
          <w:cantSplit/>
          <w:trHeight w:val="800"/>
        </w:trPr>
        <w:tc>
          <w:tcPr>
            <w:tcW w:w="1505" w:type="dxa"/>
            <w:shd w:val="clear" w:color="auto" w:fill="FFFFFF" w:themeFill="background1"/>
          </w:tcPr>
          <w:p w:rsidR="003A4691" w:rsidRPr="00C761AD" w:rsidP="00A9111E" w14:paraId="166AE42A" w14:textId="77777777">
            <w:pPr>
              <w:tabs>
                <w:tab w:val="left" w:pos="-720"/>
                <w:tab w:val="left" w:pos="0"/>
              </w:tabs>
              <w:suppressAutoHyphens/>
              <w:jc w:val="center"/>
              <w:rPr>
                <w:rFonts w:cs="Times New Roman"/>
                <w:sz w:val="20"/>
                <w:szCs w:val="20"/>
              </w:rPr>
            </w:pPr>
            <w:r w:rsidRPr="00C761AD">
              <w:rPr>
                <w:rFonts w:cs="Times New Roman"/>
                <w:sz w:val="20"/>
                <w:szCs w:val="20"/>
              </w:rPr>
              <w:t>49.10– Acceptance of Data</w:t>
            </w:r>
          </w:p>
        </w:tc>
        <w:tc>
          <w:tcPr>
            <w:tcW w:w="1620" w:type="dxa"/>
            <w:shd w:val="clear" w:color="auto" w:fill="FFFFFF" w:themeFill="background1"/>
          </w:tcPr>
          <w:p w:rsidR="003A4691" w:rsidRPr="00C761AD" w:rsidP="00A9111E" w14:paraId="1DBFCCE4" w14:textId="77777777">
            <w:pPr>
              <w:tabs>
                <w:tab w:val="left" w:pos="-720"/>
                <w:tab w:val="left" w:pos="0"/>
              </w:tabs>
              <w:suppressAutoHyphens/>
              <w:jc w:val="center"/>
              <w:rPr>
                <w:rFonts w:cs="Times New Roman"/>
                <w:sz w:val="20"/>
                <w:szCs w:val="20"/>
              </w:rPr>
            </w:pPr>
            <w:r w:rsidRPr="00C761AD">
              <w:rPr>
                <w:rFonts w:cs="Times New Roman"/>
                <w:sz w:val="20"/>
                <w:szCs w:val="20"/>
              </w:rPr>
              <w:t>4</w:t>
            </w:r>
          </w:p>
        </w:tc>
        <w:tc>
          <w:tcPr>
            <w:tcW w:w="1620" w:type="dxa"/>
            <w:shd w:val="clear" w:color="auto" w:fill="FFFFFF" w:themeFill="background1"/>
          </w:tcPr>
          <w:p w:rsidR="003A4691" w:rsidRPr="00C761AD" w:rsidP="00A9111E" w14:paraId="6224120E" w14:textId="77777777">
            <w:pPr>
              <w:tabs>
                <w:tab w:val="left" w:pos="-720"/>
                <w:tab w:val="left" w:pos="0"/>
              </w:tabs>
              <w:suppressAutoHyphens/>
              <w:jc w:val="center"/>
              <w:rPr>
                <w:rFonts w:cs="Times New Roman"/>
                <w:sz w:val="20"/>
                <w:szCs w:val="20"/>
              </w:rPr>
            </w:pPr>
            <w:r w:rsidRPr="00C761AD">
              <w:rPr>
                <w:rFonts w:cs="Times New Roman"/>
                <w:sz w:val="20"/>
                <w:szCs w:val="20"/>
              </w:rPr>
              <w:t>3,000,000</w:t>
            </w:r>
          </w:p>
        </w:tc>
        <w:tc>
          <w:tcPr>
            <w:tcW w:w="1531" w:type="dxa"/>
            <w:shd w:val="clear" w:color="auto" w:fill="FFFFFF" w:themeFill="background1"/>
          </w:tcPr>
          <w:p w:rsidR="003A4691" w:rsidRPr="00C761AD" w:rsidP="00A9111E" w14:paraId="1CD58B04" w14:textId="77777777">
            <w:pPr>
              <w:tabs>
                <w:tab w:val="left" w:pos="-720"/>
                <w:tab w:val="left" w:pos="0"/>
              </w:tabs>
              <w:suppressAutoHyphens/>
              <w:jc w:val="center"/>
              <w:rPr>
                <w:rFonts w:cs="Times New Roman"/>
                <w:sz w:val="20"/>
                <w:szCs w:val="20"/>
              </w:rPr>
            </w:pPr>
            <w:r w:rsidRPr="00C761AD">
              <w:rPr>
                <w:rFonts w:cs="Times New Roman"/>
                <w:sz w:val="20"/>
                <w:szCs w:val="20"/>
              </w:rPr>
              <w:t>0.00055</w:t>
            </w:r>
          </w:p>
        </w:tc>
        <w:tc>
          <w:tcPr>
            <w:tcW w:w="1528" w:type="dxa"/>
            <w:shd w:val="clear" w:color="auto" w:fill="FFFFFF" w:themeFill="background1"/>
          </w:tcPr>
          <w:p w:rsidR="003A4691" w:rsidRPr="00C761AD" w:rsidP="00A9111E" w14:paraId="4742C975" w14:textId="77777777">
            <w:pPr>
              <w:tabs>
                <w:tab w:val="left" w:pos="-720"/>
                <w:tab w:val="left" w:pos="0"/>
              </w:tabs>
              <w:suppressAutoHyphens/>
              <w:jc w:val="center"/>
              <w:rPr>
                <w:rFonts w:cs="Times New Roman"/>
                <w:sz w:val="20"/>
                <w:szCs w:val="20"/>
              </w:rPr>
            </w:pPr>
            <w:r w:rsidRPr="00C761AD">
              <w:rPr>
                <w:rFonts w:cs="Times New Roman"/>
                <w:sz w:val="20"/>
                <w:szCs w:val="20"/>
              </w:rPr>
              <w:t>1,650</w:t>
            </w:r>
          </w:p>
        </w:tc>
        <w:tc>
          <w:tcPr>
            <w:tcW w:w="1351" w:type="dxa"/>
            <w:shd w:val="clear" w:color="auto" w:fill="FFFFFF" w:themeFill="background1"/>
          </w:tcPr>
          <w:p w:rsidR="003A4691" w:rsidRPr="00C761AD" w:rsidP="00A9111E" w14:paraId="68375F66" w14:textId="77777777">
            <w:pPr>
              <w:tabs>
                <w:tab w:val="left" w:pos="-720"/>
                <w:tab w:val="left" w:pos="0"/>
              </w:tabs>
              <w:suppressAutoHyphens/>
              <w:jc w:val="center"/>
              <w:rPr>
                <w:rFonts w:cs="Times New Roman"/>
                <w:sz w:val="20"/>
                <w:szCs w:val="20"/>
              </w:rPr>
            </w:pPr>
            <w:r w:rsidRPr="00C761AD">
              <w:rPr>
                <w:rFonts w:cs="Times New Roman"/>
                <w:sz w:val="20"/>
                <w:szCs w:val="20"/>
              </w:rPr>
              <w:t>$88.09</w:t>
            </w:r>
          </w:p>
        </w:tc>
        <w:tc>
          <w:tcPr>
            <w:tcW w:w="1528" w:type="dxa"/>
            <w:shd w:val="clear" w:color="auto" w:fill="FFFFFF" w:themeFill="background1"/>
          </w:tcPr>
          <w:p w:rsidR="003A4691" w:rsidRPr="00C761AD" w:rsidP="00A9111E" w14:paraId="2F53BA5A" w14:textId="77777777">
            <w:pPr>
              <w:jc w:val="center"/>
              <w:rPr>
                <w:rFonts w:cs="Times New Roman"/>
                <w:sz w:val="20"/>
                <w:szCs w:val="20"/>
              </w:rPr>
            </w:pPr>
            <w:r w:rsidRPr="00C761AD">
              <w:rPr>
                <w:rFonts w:cs="Times New Roman"/>
                <w:sz w:val="20"/>
                <w:szCs w:val="20"/>
              </w:rPr>
              <w:t>$145,348.5</w:t>
            </w:r>
          </w:p>
        </w:tc>
        <w:tc>
          <w:tcPr>
            <w:tcW w:w="1441" w:type="dxa"/>
            <w:shd w:val="clear" w:color="auto" w:fill="FFFFFF" w:themeFill="background1"/>
          </w:tcPr>
          <w:p w:rsidR="003A4691" w:rsidRPr="00C761AD" w:rsidP="00A9111E" w14:paraId="3A20D08F" w14:textId="77777777">
            <w:pPr>
              <w:tabs>
                <w:tab w:val="left" w:pos="-720"/>
                <w:tab w:val="left" w:pos="0"/>
              </w:tabs>
              <w:suppressAutoHyphens/>
              <w:jc w:val="center"/>
              <w:rPr>
                <w:rFonts w:cs="Times New Roman"/>
                <w:sz w:val="20"/>
                <w:szCs w:val="20"/>
              </w:rPr>
            </w:pPr>
            <w:r w:rsidRPr="00C761AD">
              <w:rPr>
                <w:rFonts w:cs="Times New Roman"/>
                <w:color w:val="000000"/>
                <w:sz w:val="20"/>
                <w:szCs w:val="20"/>
              </w:rPr>
              <w:t>12,000,000</w:t>
            </w:r>
          </w:p>
        </w:tc>
        <w:tc>
          <w:tcPr>
            <w:tcW w:w="1172" w:type="dxa"/>
            <w:shd w:val="clear" w:color="auto" w:fill="FFFFFF" w:themeFill="background1"/>
          </w:tcPr>
          <w:p w:rsidR="003A4691" w:rsidRPr="00C761AD" w:rsidP="00A9111E" w14:paraId="17EDCAD4" w14:textId="77777777">
            <w:pPr>
              <w:tabs>
                <w:tab w:val="left" w:pos="-720"/>
                <w:tab w:val="left" w:pos="0"/>
              </w:tabs>
              <w:suppressAutoHyphens/>
              <w:jc w:val="center"/>
              <w:rPr>
                <w:rFonts w:cs="Times New Roman"/>
                <w:sz w:val="20"/>
                <w:szCs w:val="20"/>
              </w:rPr>
            </w:pPr>
            <w:r w:rsidRPr="00C761AD">
              <w:rPr>
                <w:rFonts w:cs="Times New Roman"/>
                <w:color w:val="000000"/>
                <w:sz w:val="20"/>
                <w:szCs w:val="20"/>
              </w:rPr>
              <w:t>6,600</w:t>
            </w:r>
          </w:p>
        </w:tc>
        <w:tc>
          <w:tcPr>
            <w:tcW w:w="1531" w:type="dxa"/>
            <w:shd w:val="clear" w:color="auto" w:fill="FFFFFF" w:themeFill="background1"/>
          </w:tcPr>
          <w:p w:rsidR="003A4691" w:rsidRPr="00C761AD" w:rsidP="00A9111E" w14:paraId="188AE86E" w14:textId="77777777">
            <w:pPr>
              <w:tabs>
                <w:tab w:val="left" w:pos="-720"/>
                <w:tab w:val="left" w:pos="0"/>
              </w:tabs>
              <w:suppressAutoHyphens/>
              <w:jc w:val="center"/>
              <w:rPr>
                <w:rFonts w:cs="Times New Roman"/>
                <w:sz w:val="20"/>
                <w:szCs w:val="20"/>
              </w:rPr>
            </w:pPr>
            <w:r w:rsidRPr="00C761AD">
              <w:rPr>
                <w:rFonts w:cs="Times New Roman"/>
                <w:sz w:val="20"/>
                <w:szCs w:val="20"/>
              </w:rPr>
              <w:t>$581,394</w:t>
            </w:r>
          </w:p>
        </w:tc>
      </w:tr>
      <w:tr w14:paraId="0A714BBB" w14:textId="77777777" w:rsidTr="00A9111E">
        <w:tblPrEx>
          <w:tblW w:w="14827" w:type="dxa"/>
          <w:tblInd w:w="-972" w:type="dxa"/>
          <w:shd w:val="clear" w:color="auto" w:fill="FFFFFF" w:themeFill="background1"/>
          <w:tblLayout w:type="fixed"/>
          <w:tblLook w:val="04A0"/>
        </w:tblPrEx>
        <w:trPr>
          <w:cantSplit/>
          <w:trHeight w:val="890"/>
        </w:trPr>
        <w:tc>
          <w:tcPr>
            <w:tcW w:w="1505" w:type="dxa"/>
            <w:shd w:val="clear" w:color="auto" w:fill="FFFFFF" w:themeFill="background1"/>
          </w:tcPr>
          <w:p w:rsidR="003A4691" w:rsidRPr="00C761AD" w:rsidP="00A9111E" w14:paraId="37540F78" w14:textId="77777777">
            <w:pPr>
              <w:tabs>
                <w:tab w:val="left" w:pos="-720"/>
                <w:tab w:val="left" w:pos="0"/>
              </w:tabs>
              <w:suppressAutoHyphens/>
              <w:jc w:val="center"/>
              <w:rPr>
                <w:rFonts w:cs="Times New Roman"/>
                <w:sz w:val="20"/>
                <w:szCs w:val="20"/>
              </w:rPr>
            </w:pPr>
            <w:r w:rsidRPr="00C761AD">
              <w:rPr>
                <w:rFonts w:cs="Times New Roman"/>
                <w:sz w:val="20"/>
                <w:szCs w:val="20"/>
              </w:rPr>
              <w:t>49.11 – Verification of Swap Data Accuracy</w:t>
            </w:r>
          </w:p>
        </w:tc>
        <w:tc>
          <w:tcPr>
            <w:tcW w:w="1620" w:type="dxa"/>
            <w:shd w:val="clear" w:color="auto" w:fill="FFFFFF" w:themeFill="background1"/>
          </w:tcPr>
          <w:p w:rsidR="003A4691" w:rsidRPr="00C761AD" w:rsidP="00A9111E" w14:paraId="2EE235C7" w14:textId="77777777">
            <w:pPr>
              <w:tabs>
                <w:tab w:val="left" w:pos="-720"/>
                <w:tab w:val="left" w:pos="0"/>
              </w:tabs>
              <w:suppressAutoHyphens/>
              <w:jc w:val="center"/>
              <w:rPr>
                <w:rFonts w:cs="Times New Roman"/>
                <w:sz w:val="20"/>
                <w:szCs w:val="20"/>
              </w:rPr>
            </w:pPr>
            <w:r w:rsidRPr="00C761AD">
              <w:rPr>
                <w:rFonts w:cs="Times New Roman"/>
                <w:sz w:val="20"/>
                <w:szCs w:val="20"/>
              </w:rPr>
              <w:t>4</w:t>
            </w:r>
          </w:p>
        </w:tc>
        <w:tc>
          <w:tcPr>
            <w:tcW w:w="1620" w:type="dxa"/>
            <w:shd w:val="clear" w:color="auto" w:fill="FFFFFF" w:themeFill="background1"/>
          </w:tcPr>
          <w:p w:rsidR="003A4691" w:rsidRPr="00C761AD" w:rsidP="00A9111E" w14:paraId="3735DC33" w14:textId="77777777">
            <w:pPr>
              <w:tabs>
                <w:tab w:val="left" w:pos="-720"/>
                <w:tab w:val="left" w:pos="0"/>
              </w:tabs>
              <w:suppressAutoHyphens/>
              <w:jc w:val="center"/>
              <w:rPr>
                <w:rFonts w:cs="Times New Roman"/>
                <w:sz w:val="20"/>
                <w:szCs w:val="20"/>
              </w:rPr>
            </w:pPr>
            <w:r w:rsidRPr="00C761AD">
              <w:rPr>
                <w:rFonts w:cs="Times New Roman"/>
                <w:sz w:val="20"/>
                <w:szCs w:val="20"/>
              </w:rPr>
              <w:t>7,861</w:t>
            </w:r>
            <w:r>
              <w:rPr>
                <w:rStyle w:val="FootnoteReference"/>
                <w:rFonts w:cs="Times New Roman"/>
                <w:sz w:val="20"/>
                <w:szCs w:val="20"/>
              </w:rPr>
              <w:footnoteReference w:id="13"/>
            </w:r>
          </w:p>
        </w:tc>
        <w:tc>
          <w:tcPr>
            <w:tcW w:w="1531" w:type="dxa"/>
            <w:shd w:val="clear" w:color="auto" w:fill="FFFFFF" w:themeFill="background1"/>
          </w:tcPr>
          <w:p w:rsidR="003A4691" w:rsidRPr="00C761AD" w:rsidP="00A9111E" w14:paraId="284D6041" w14:textId="77777777">
            <w:pPr>
              <w:tabs>
                <w:tab w:val="left" w:pos="-720"/>
                <w:tab w:val="left" w:pos="0"/>
              </w:tabs>
              <w:suppressAutoHyphens/>
              <w:jc w:val="center"/>
              <w:rPr>
                <w:rFonts w:cs="Times New Roman"/>
                <w:sz w:val="20"/>
                <w:szCs w:val="20"/>
              </w:rPr>
            </w:pPr>
            <w:r w:rsidRPr="00C761AD">
              <w:rPr>
                <w:rFonts w:cs="Times New Roman"/>
                <w:sz w:val="20"/>
                <w:szCs w:val="20"/>
              </w:rPr>
              <w:t>0.0038</w:t>
            </w:r>
          </w:p>
        </w:tc>
        <w:tc>
          <w:tcPr>
            <w:tcW w:w="1528" w:type="dxa"/>
            <w:shd w:val="clear" w:color="auto" w:fill="FFFFFF" w:themeFill="background1"/>
          </w:tcPr>
          <w:p w:rsidR="003A4691" w:rsidRPr="00C761AD" w:rsidP="00A9111E" w14:paraId="3B725B48" w14:textId="77777777">
            <w:pPr>
              <w:tabs>
                <w:tab w:val="left" w:pos="-720"/>
                <w:tab w:val="left" w:pos="0"/>
              </w:tabs>
              <w:suppressAutoHyphens/>
              <w:jc w:val="center"/>
              <w:rPr>
                <w:rFonts w:cs="Times New Roman"/>
                <w:sz w:val="20"/>
                <w:szCs w:val="20"/>
              </w:rPr>
            </w:pPr>
            <w:r w:rsidRPr="00C761AD">
              <w:rPr>
                <w:rFonts w:cs="Times New Roman"/>
                <w:sz w:val="20"/>
                <w:szCs w:val="20"/>
              </w:rPr>
              <w:t>30</w:t>
            </w:r>
          </w:p>
        </w:tc>
        <w:tc>
          <w:tcPr>
            <w:tcW w:w="1351" w:type="dxa"/>
            <w:shd w:val="clear" w:color="auto" w:fill="FFFFFF" w:themeFill="background1"/>
          </w:tcPr>
          <w:p w:rsidR="003A4691" w:rsidRPr="00C761AD" w:rsidP="00A9111E" w14:paraId="2D249F71" w14:textId="77777777">
            <w:pPr>
              <w:tabs>
                <w:tab w:val="left" w:pos="-720"/>
                <w:tab w:val="left" w:pos="0"/>
              </w:tabs>
              <w:suppressAutoHyphens/>
              <w:jc w:val="center"/>
              <w:rPr>
                <w:rFonts w:cs="Times New Roman"/>
                <w:b/>
                <w:sz w:val="20"/>
                <w:szCs w:val="20"/>
              </w:rPr>
            </w:pPr>
            <w:r w:rsidRPr="00C761AD">
              <w:rPr>
                <w:rFonts w:cs="Times New Roman"/>
                <w:sz w:val="20"/>
                <w:szCs w:val="20"/>
              </w:rPr>
              <w:t>$88.09</w:t>
            </w:r>
          </w:p>
        </w:tc>
        <w:tc>
          <w:tcPr>
            <w:tcW w:w="1528" w:type="dxa"/>
            <w:shd w:val="clear" w:color="auto" w:fill="FFFFFF" w:themeFill="background1"/>
          </w:tcPr>
          <w:p w:rsidR="003A4691" w:rsidRPr="00C761AD" w:rsidP="00A9111E" w14:paraId="7105740F" w14:textId="77777777">
            <w:pPr>
              <w:jc w:val="center"/>
              <w:rPr>
                <w:rFonts w:cs="Times New Roman"/>
                <w:sz w:val="20"/>
                <w:szCs w:val="20"/>
              </w:rPr>
            </w:pPr>
            <w:r w:rsidRPr="00C761AD">
              <w:rPr>
                <w:rFonts w:cs="Times New Roman"/>
                <w:sz w:val="20"/>
                <w:szCs w:val="20"/>
              </w:rPr>
              <w:t>$2,642.7</w:t>
            </w:r>
          </w:p>
          <w:p w:rsidR="003A4691" w:rsidRPr="00C761AD" w:rsidP="00A9111E" w14:paraId="7942649F" w14:textId="77777777">
            <w:pPr>
              <w:jc w:val="center"/>
              <w:rPr>
                <w:rFonts w:cs="Times New Roman"/>
                <w:sz w:val="20"/>
                <w:szCs w:val="20"/>
              </w:rPr>
            </w:pPr>
          </w:p>
        </w:tc>
        <w:tc>
          <w:tcPr>
            <w:tcW w:w="1441" w:type="dxa"/>
            <w:shd w:val="clear" w:color="auto" w:fill="FFFFFF" w:themeFill="background1"/>
          </w:tcPr>
          <w:p w:rsidR="003A4691" w:rsidRPr="00C761AD" w:rsidP="00A9111E" w14:paraId="031B2DAA" w14:textId="77777777">
            <w:pPr>
              <w:tabs>
                <w:tab w:val="left" w:pos="-720"/>
                <w:tab w:val="left" w:pos="0"/>
              </w:tabs>
              <w:suppressAutoHyphens/>
              <w:jc w:val="center"/>
              <w:rPr>
                <w:rFonts w:cs="Times New Roman"/>
                <w:sz w:val="20"/>
                <w:szCs w:val="20"/>
              </w:rPr>
            </w:pPr>
            <w:r w:rsidRPr="00C761AD">
              <w:rPr>
                <w:rFonts w:cs="Times New Roman"/>
                <w:sz w:val="20"/>
                <w:szCs w:val="20"/>
              </w:rPr>
              <w:t>31,444</w:t>
            </w:r>
          </w:p>
        </w:tc>
        <w:tc>
          <w:tcPr>
            <w:tcW w:w="1172" w:type="dxa"/>
            <w:shd w:val="clear" w:color="auto" w:fill="FFFFFF" w:themeFill="background1"/>
          </w:tcPr>
          <w:p w:rsidR="003A4691" w:rsidRPr="00C761AD" w:rsidP="00A9111E" w14:paraId="44B376A6" w14:textId="77777777">
            <w:pPr>
              <w:tabs>
                <w:tab w:val="left" w:pos="-720"/>
                <w:tab w:val="left" w:pos="0"/>
              </w:tabs>
              <w:suppressAutoHyphens/>
              <w:jc w:val="center"/>
              <w:rPr>
                <w:rFonts w:cs="Times New Roman"/>
                <w:b/>
                <w:sz w:val="20"/>
                <w:szCs w:val="20"/>
              </w:rPr>
            </w:pPr>
            <w:r w:rsidRPr="00C761AD">
              <w:rPr>
                <w:rFonts w:cs="Times New Roman"/>
                <w:sz w:val="20"/>
                <w:szCs w:val="20"/>
              </w:rPr>
              <w:t>120</w:t>
            </w:r>
          </w:p>
        </w:tc>
        <w:tc>
          <w:tcPr>
            <w:tcW w:w="1531" w:type="dxa"/>
            <w:shd w:val="clear" w:color="auto" w:fill="FFFFFF" w:themeFill="background1"/>
          </w:tcPr>
          <w:p w:rsidR="003A4691" w:rsidRPr="00C761AD" w:rsidP="00A9111E" w14:paraId="33DB985F" w14:textId="77777777">
            <w:pPr>
              <w:tabs>
                <w:tab w:val="left" w:pos="-720"/>
                <w:tab w:val="left" w:pos="0"/>
              </w:tabs>
              <w:suppressAutoHyphens/>
              <w:jc w:val="center"/>
              <w:rPr>
                <w:rFonts w:cs="Times New Roman"/>
                <w:sz w:val="20"/>
                <w:szCs w:val="20"/>
              </w:rPr>
            </w:pPr>
            <w:r w:rsidRPr="00C761AD">
              <w:rPr>
                <w:rFonts w:cs="Times New Roman"/>
                <w:sz w:val="20"/>
                <w:szCs w:val="20"/>
              </w:rPr>
              <w:t>$10,570.8</w:t>
            </w:r>
          </w:p>
        </w:tc>
      </w:tr>
      <w:tr w14:paraId="0978EC2A" w14:textId="77777777" w:rsidTr="00A9111E">
        <w:tblPrEx>
          <w:tblW w:w="14827" w:type="dxa"/>
          <w:tblInd w:w="-972" w:type="dxa"/>
          <w:shd w:val="clear" w:color="auto" w:fill="FFFFFF" w:themeFill="background1"/>
          <w:tblLayout w:type="fixed"/>
          <w:tblLook w:val="04A0"/>
        </w:tblPrEx>
        <w:trPr>
          <w:cantSplit/>
          <w:trHeight w:val="1222"/>
        </w:trPr>
        <w:tc>
          <w:tcPr>
            <w:tcW w:w="1505" w:type="dxa"/>
            <w:shd w:val="clear" w:color="auto" w:fill="FFFFFF" w:themeFill="background1"/>
          </w:tcPr>
          <w:p w:rsidR="003A4691" w:rsidRPr="00C761AD" w:rsidP="00A9111E" w14:paraId="377308E5" w14:textId="4A98E1E9">
            <w:pPr>
              <w:tabs>
                <w:tab w:val="left" w:pos="-720"/>
                <w:tab w:val="left" w:pos="0"/>
              </w:tabs>
              <w:suppressAutoHyphens/>
              <w:jc w:val="center"/>
              <w:rPr>
                <w:rFonts w:cs="Times New Roman"/>
                <w:sz w:val="20"/>
                <w:szCs w:val="20"/>
              </w:rPr>
            </w:pPr>
            <w:r w:rsidRPr="00C761AD">
              <w:rPr>
                <w:rFonts w:cs="Times New Roman"/>
                <w:sz w:val="20"/>
                <w:szCs w:val="20"/>
              </w:rPr>
              <w:t>49.22 – Annual Compliance Reports for SDR</w:t>
            </w:r>
            <w:r w:rsidR="006F2E70">
              <w:rPr>
                <w:rFonts w:cs="Times New Roman"/>
                <w:sz w:val="20"/>
                <w:szCs w:val="20"/>
              </w:rPr>
              <w:t>s</w:t>
            </w:r>
          </w:p>
        </w:tc>
        <w:tc>
          <w:tcPr>
            <w:tcW w:w="1620" w:type="dxa"/>
            <w:shd w:val="clear" w:color="auto" w:fill="FFFFFF" w:themeFill="background1"/>
          </w:tcPr>
          <w:p w:rsidR="003A4691" w:rsidRPr="00C761AD" w:rsidP="00A9111E" w14:paraId="5329095D" w14:textId="77777777">
            <w:pPr>
              <w:tabs>
                <w:tab w:val="left" w:pos="-720"/>
                <w:tab w:val="left" w:pos="0"/>
              </w:tabs>
              <w:suppressAutoHyphens/>
              <w:jc w:val="center"/>
              <w:rPr>
                <w:rFonts w:cs="Times New Roman"/>
                <w:sz w:val="20"/>
                <w:szCs w:val="20"/>
              </w:rPr>
            </w:pPr>
            <w:r w:rsidRPr="00C761AD">
              <w:rPr>
                <w:rFonts w:cs="Times New Roman"/>
                <w:sz w:val="20"/>
                <w:szCs w:val="20"/>
              </w:rPr>
              <w:t>4</w:t>
            </w:r>
          </w:p>
        </w:tc>
        <w:tc>
          <w:tcPr>
            <w:tcW w:w="1620" w:type="dxa"/>
            <w:shd w:val="clear" w:color="auto" w:fill="FFFFFF" w:themeFill="background1"/>
          </w:tcPr>
          <w:p w:rsidR="003A4691" w:rsidRPr="00C761AD" w:rsidP="00A9111E" w14:paraId="68591C42" w14:textId="77777777">
            <w:pPr>
              <w:tabs>
                <w:tab w:val="left" w:pos="-720"/>
                <w:tab w:val="left" w:pos="0"/>
              </w:tabs>
              <w:suppressAutoHyphens/>
              <w:jc w:val="center"/>
              <w:rPr>
                <w:rFonts w:cs="Times New Roman"/>
                <w:sz w:val="20"/>
                <w:szCs w:val="20"/>
              </w:rPr>
            </w:pPr>
            <w:r w:rsidRPr="00C761AD">
              <w:rPr>
                <w:rFonts w:cs="Times New Roman"/>
                <w:sz w:val="20"/>
                <w:szCs w:val="20"/>
              </w:rPr>
              <w:t>1</w:t>
            </w:r>
          </w:p>
        </w:tc>
        <w:tc>
          <w:tcPr>
            <w:tcW w:w="1531" w:type="dxa"/>
            <w:shd w:val="clear" w:color="auto" w:fill="FFFFFF" w:themeFill="background1"/>
          </w:tcPr>
          <w:p w:rsidR="003A4691" w:rsidRPr="00C761AD" w:rsidP="00A9111E" w14:paraId="3D9E0A43" w14:textId="77777777">
            <w:pPr>
              <w:tabs>
                <w:tab w:val="left" w:pos="-720"/>
                <w:tab w:val="left" w:pos="0"/>
              </w:tabs>
              <w:suppressAutoHyphens/>
              <w:jc w:val="center"/>
              <w:rPr>
                <w:rFonts w:cs="Times New Roman"/>
                <w:sz w:val="20"/>
                <w:szCs w:val="20"/>
              </w:rPr>
            </w:pPr>
            <w:r w:rsidRPr="00C761AD">
              <w:rPr>
                <w:rFonts w:cs="Times New Roman"/>
                <w:sz w:val="20"/>
                <w:szCs w:val="20"/>
              </w:rPr>
              <w:t>5</w:t>
            </w:r>
          </w:p>
        </w:tc>
        <w:tc>
          <w:tcPr>
            <w:tcW w:w="1528" w:type="dxa"/>
            <w:shd w:val="clear" w:color="auto" w:fill="FFFFFF" w:themeFill="background1"/>
          </w:tcPr>
          <w:p w:rsidR="003A4691" w:rsidRPr="00C761AD" w:rsidP="00A9111E" w14:paraId="72FC7099" w14:textId="77777777">
            <w:pPr>
              <w:tabs>
                <w:tab w:val="left" w:pos="-720"/>
                <w:tab w:val="left" w:pos="0"/>
              </w:tabs>
              <w:suppressAutoHyphens/>
              <w:jc w:val="center"/>
              <w:rPr>
                <w:rFonts w:cs="Times New Roman"/>
                <w:sz w:val="20"/>
                <w:szCs w:val="20"/>
              </w:rPr>
            </w:pPr>
            <w:r w:rsidRPr="00C761AD">
              <w:rPr>
                <w:rFonts w:cs="Times New Roman"/>
                <w:sz w:val="20"/>
                <w:szCs w:val="20"/>
              </w:rPr>
              <w:t>5</w:t>
            </w:r>
          </w:p>
        </w:tc>
        <w:tc>
          <w:tcPr>
            <w:tcW w:w="1351" w:type="dxa"/>
            <w:shd w:val="clear" w:color="auto" w:fill="FFFFFF" w:themeFill="background1"/>
          </w:tcPr>
          <w:p w:rsidR="003A4691" w:rsidRPr="00C761AD" w:rsidP="00A9111E" w14:paraId="597889A1" w14:textId="77777777">
            <w:pPr>
              <w:tabs>
                <w:tab w:val="left" w:pos="-720"/>
                <w:tab w:val="left" w:pos="0"/>
              </w:tabs>
              <w:suppressAutoHyphens/>
              <w:jc w:val="center"/>
              <w:rPr>
                <w:rFonts w:cs="Times New Roman"/>
                <w:sz w:val="20"/>
                <w:szCs w:val="20"/>
              </w:rPr>
            </w:pPr>
            <w:r w:rsidRPr="00C761AD">
              <w:rPr>
                <w:rFonts w:cs="Times New Roman"/>
                <w:sz w:val="20"/>
                <w:szCs w:val="20"/>
              </w:rPr>
              <w:t>$88.09</w:t>
            </w:r>
          </w:p>
        </w:tc>
        <w:tc>
          <w:tcPr>
            <w:tcW w:w="1528" w:type="dxa"/>
            <w:shd w:val="clear" w:color="auto" w:fill="FFFFFF" w:themeFill="background1"/>
          </w:tcPr>
          <w:p w:rsidR="003A4691" w:rsidRPr="00C761AD" w:rsidP="00A9111E" w14:paraId="0044BCA2" w14:textId="77777777">
            <w:pPr>
              <w:jc w:val="center"/>
              <w:rPr>
                <w:rFonts w:cs="Times New Roman"/>
                <w:sz w:val="20"/>
                <w:szCs w:val="20"/>
              </w:rPr>
            </w:pPr>
            <w:r w:rsidRPr="00C761AD">
              <w:rPr>
                <w:rFonts w:cs="Times New Roman"/>
                <w:sz w:val="20"/>
                <w:szCs w:val="20"/>
              </w:rPr>
              <w:t>$440.45</w:t>
            </w:r>
          </w:p>
        </w:tc>
        <w:tc>
          <w:tcPr>
            <w:tcW w:w="1441" w:type="dxa"/>
            <w:shd w:val="clear" w:color="auto" w:fill="FFFFFF" w:themeFill="background1"/>
          </w:tcPr>
          <w:p w:rsidR="003A4691" w:rsidRPr="00C761AD" w:rsidP="00A9111E" w14:paraId="68054FD7" w14:textId="77777777">
            <w:pPr>
              <w:tabs>
                <w:tab w:val="left" w:pos="-720"/>
                <w:tab w:val="left" w:pos="0"/>
              </w:tabs>
              <w:suppressAutoHyphens/>
              <w:jc w:val="center"/>
              <w:rPr>
                <w:rFonts w:cs="Times New Roman"/>
                <w:sz w:val="20"/>
                <w:szCs w:val="20"/>
              </w:rPr>
            </w:pPr>
            <w:r w:rsidRPr="00C761AD">
              <w:rPr>
                <w:rFonts w:cs="Times New Roman"/>
                <w:sz w:val="20"/>
                <w:szCs w:val="20"/>
              </w:rPr>
              <w:t>4</w:t>
            </w:r>
          </w:p>
        </w:tc>
        <w:tc>
          <w:tcPr>
            <w:tcW w:w="1172" w:type="dxa"/>
            <w:shd w:val="clear" w:color="auto" w:fill="FFFFFF" w:themeFill="background1"/>
          </w:tcPr>
          <w:p w:rsidR="003A4691" w:rsidRPr="00C761AD" w:rsidP="00A9111E" w14:paraId="2ED4E5C4" w14:textId="77777777">
            <w:pPr>
              <w:tabs>
                <w:tab w:val="left" w:pos="-720"/>
                <w:tab w:val="left" w:pos="0"/>
              </w:tabs>
              <w:suppressAutoHyphens/>
              <w:jc w:val="center"/>
              <w:rPr>
                <w:rFonts w:cs="Times New Roman"/>
                <w:sz w:val="20"/>
                <w:szCs w:val="20"/>
              </w:rPr>
            </w:pPr>
            <w:r w:rsidRPr="00C761AD">
              <w:rPr>
                <w:rFonts w:cs="Times New Roman"/>
                <w:sz w:val="20"/>
                <w:szCs w:val="20"/>
              </w:rPr>
              <w:t>20</w:t>
            </w:r>
          </w:p>
        </w:tc>
        <w:tc>
          <w:tcPr>
            <w:tcW w:w="1531" w:type="dxa"/>
            <w:shd w:val="clear" w:color="auto" w:fill="FFFFFF" w:themeFill="background1"/>
          </w:tcPr>
          <w:p w:rsidR="003A4691" w:rsidRPr="00C761AD" w:rsidP="00A9111E" w14:paraId="387F5F54" w14:textId="77777777">
            <w:pPr>
              <w:tabs>
                <w:tab w:val="left" w:pos="-720"/>
                <w:tab w:val="left" w:pos="0"/>
              </w:tabs>
              <w:suppressAutoHyphens/>
              <w:jc w:val="center"/>
              <w:rPr>
                <w:rFonts w:cs="Times New Roman"/>
                <w:sz w:val="20"/>
                <w:szCs w:val="20"/>
              </w:rPr>
            </w:pPr>
            <w:r w:rsidRPr="00C761AD">
              <w:rPr>
                <w:rFonts w:cs="Times New Roman"/>
                <w:sz w:val="20"/>
                <w:szCs w:val="20"/>
              </w:rPr>
              <w:t>$1,761.8</w:t>
            </w:r>
          </w:p>
        </w:tc>
      </w:tr>
      <w:tr w14:paraId="055C77D9" w14:textId="77777777" w:rsidTr="00A9111E">
        <w:tblPrEx>
          <w:tblW w:w="14827" w:type="dxa"/>
          <w:tblInd w:w="-972" w:type="dxa"/>
          <w:shd w:val="clear" w:color="auto" w:fill="FFFFFF" w:themeFill="background1"/>
          <w:tblLayout w:type="fixed"/>
          <w:tblLook w:val="04A0"/>
        </w:tblPrEx>
        <w:trPr>
          <w:cantSplit/>
          <w:trHeight w:val="1222"/>
        </w:trPr>
        <w:tc>
          <w:tcPr>
            <w:tcW w:w="1505" w:type="dxa"/>
            <w:shd w:val="clear" w:color="auto" w:fill="FFFFFF" w:themeFill="background1"/>
          </w:tcPr>
          <w:p w:rsidR="003A4691" w:rsidRPr="00C761AD" w:rsidP="00A9111E" w14:paraId="7F08C824" w14:textId="77777777">
            <w:pPr>
              <w:tabs>
                <w:tab w:val="left" w:pos="-720"/>
                <w:tab w:val="left" w:pos="0"/>
              </w:tabs>
              <w:suppressAutoHyphens/>
              <w:jc w:val="center"/>
              <w:rPr>
                <w:rFonts w:cs="Times New Roman"/>
                <w:sz w:val="20"/>
                <w:szCs w:val="20"/>
              </w:rPr>
            </w:pPr>
            <w:r w:rsidRPr="00C761AD">
              <w:rPr>
                <w:rFonts w:cs="Times New Roman"/>
                <w:sz w:val="20"/>
                <w:szCs w:val="20"/>
              </w:rPr>
              <w:t>49.22 – Procedures for handling and remediating noncompliance (ongoing)</w:t>
            </w:r>
          </w:p>
        </w:tc>
        <w:tc>
          <w:tcPr>
            <w:tcW w:w="1620" w:type="dxa"/>
            <w:shd w:val="clear" w:color="auto" w:fill="FFFFFF" w:themeFill="background1"/>
          </w:tcPr>
          <w:p w:rsidR="003A4691" w:rsidRPr="00C761AD" w:rsidP="00A9111E" w14:paraId="0EF318D3" w14:textId="77777777">
            <w:pPr>
              <w:tabs>
                <w:tab w:val="left" w:pos="-720"/>
                <w:tab w:val="left" w:pos="0"/>
              </w:tabs>
              <w:suppressAutoHyphens/>
              <w:jc w:val="center"/>
              <w:rPr>
                <w:rFonts w:cs="Times New Roman"/>
                <w:sz w:val="20"/>
                <w:szCs w:val="20"/>
              </w:rPr>
            </w:pPr>
            <w:r w:rsidRPr="00C761AD">
              <w:rPr>
                <w:rFonts w:cs="Times New Roman"/>
                <w:sz w:val="20"/>
                <w:szCs w:val="20"/>
              </w:rPr>
              <w:t>4</w:t>
            </w:r>
          </w:p>
        </w:tc>
        <w:tc>
          <w:tcPr>
            <w:tcW w:w="1620" w:type="dxa"/>
            <w:shd w:val="clear" w:color="auto" w:fill="FFFFFF" w:themeFill="background1"/>
          </w:tcPr>
          <w:p w:rsidR="003A4691" w:rsidRPr="00C761AD" w:rsidP="00A9111E" w14:paraId="1F0C00FD" w14:textId="77777777">
            <w:pPr>
              <w:tabs>
                <w:tab w:val="left" w:pos="-720"/>
                <w:tab w:val="left" w:pos="0"/>
              </w:tabs>
              <w:suppressAutoHyphens/>
              <w:jc w:val="center"/>
              <w:rPr>
                <w:rFonts w:cs="Times New Roman"/>
                <w:sz w:val="20"/>
                <w:szCs w:val="20"/>
              </w:rPr>
            </w:pPr>
            <w:r w:rsidRPr="00C761AD">
              <w:rPr>
                <w:rFonts w:cs="Times New Roman"/>
                <w:sz w:val="20"/>
                <w:szCs w:val="20"/>
              </w:rPr>
              <w:t>1</w:t>
            </w:r>
          </w:p>
        </w:tc>
        <w:tc>
          <w:tcPr>
            <w:tcW w:w="1531" w:type="dxa"/>
            <w:shd w:val="clear" w:color="auto" w:fill="FFFFFF" w:themeFill="background1"/>
          </w:tcPr>
          <w:p w:rsidR="003A4691" w:rsidRPr="00C761AD" w:rsidP="00A9111E" w14:paraId="2A8EB571" w14:textId="77777777">
            <w:pPr>
              <w:tabs>
                <w:tab w:val="left" w:pos="-720"/>
                <w:tab w:val="left" w:pos="0"/>
              </w:tabs>
              <w:suppressAutoHyphens/>
              <w:jc w:val="center"/>
              <w:rPr>
                <w:rFonts w:cs="Times New Roman"/>
                <w:sz w:val="20"/>
                <w:szCs w:val="20"/>
              </w:rPr>
            </w:pPr>
            <w:r w:rsidRPr="00C761AD">
              <w:rPr>
                <w:rFonts w:cs="Times New Roman"/>
                <w:sz w:val="20"/>
                <w:szCs w:val="20"/>
              </w:rPr>
              <w:t>120</w:t>
            </w:r>
          </w:p>
        </w:tc>
        <w:tc>
          <w:tcPr>
            <w:tcW w:w="1528" w:type="dxa"/>
            <w:shd w:val="clear" w:color="auto" w:fill="FFFFFF" w:themeFill="background1"/>
          </w:tcPr>
          <w:p w:rsidR="003A4691" w:rsidRPr="00C761AD" w:rsidP="00A9111E" w14:paraId="3FD36720" w14:textId="77777777">
            <w:pPr>
              <w:tabs>
                <w:tab w:val="left" w:pos="-720"/>
                <w:tab w:val="left" w:pos="0"/>
              </w:tabs>
              <w:suppressAutoHyphens/>
              <w:jc w:val="center"/>
              <w:rPr>
                <w:rFonts w:cs="Times New Roman"/>
                <w:sz w:val="20"/>
                <w:szCs w:val="20"/>
              </w:rPr>
            </w:pPr>
            <w:r w:rsidRPr="00C761AD">
              <w:rPr>
                <w:rFonts w:cs="Times New Roman"/>
                <w:sz w:val="20"/>
                <w:szCs w:val="20"/>
              </w:rPr>
              <w:t>120</w:t>
            </w:r>
          </w:p>
        </w:tc>
        <w:tc>
          <w:tcPr>
            <w:tcW w:w="1351" w:type="dxa"/>
            <w:shd w:val="clear" w:color="auto" w:fill="FFFFFF" w:themeFill="background1"/>
          </w:tcPr>
          <w:p w:rsidR="003A4691" w:rsidRPr="00C761AD" w:rsidP="00A9111E" w14:paraId="2C27FD82" w14:textId="77777777">
            <w:pPr>
              <w:tabs>
                <w:tab w:val="left" w:pos="-720"/>
                <w:tab w:val="left" w:pos="0"/>
              </w:tabs>
              <w:suppressAutoHyphens/>
              <w:jc w:val="center"/>
              <w:rPr>
                <w:rFonts w:cs="Times New Roman"/>
                <w:sz w:val="20"/>
                <w:szCs w:val="20"/>
              </w:rPr>
            </w:pPr>
            <w:r w:rsidRPr="00C761AD">
              <w:rPr>
                <w:rFonts w:cs="Times New Roman"/>
                <w:sz w:val="20"/>
                <w:szCs w:val="20"/>
              </w:rPr>
              <w:t>$88.09</w:t>
            </w:r>
          </w:p>
        </w:tc>
        <w:tc>
          <w:tcPr>
            <w:tcW w:w="1528" w:type="dxa"/>
            <w:shd w:val="clear" w:color="auto" w:fill="FFFFFF" w:themeFill="background1"/>
          </w:tcPr>
          <w:p w:rsidR="003A4691" w:rsidRPr="00C761AD" w:rsidP="00A9111E" w14:paraId="153537A0" w14:textId="77777777">
            <w:pPr>
              <w:jc w:val="center"/>
              <w:rPr>
                <w:rFonts w:cs="Times New Roman"/>
                <w:sz w:val="20"/>
                <w:szCs w:val="20"/>
              </w:rPr>
            </w:pPr>
            <w:r w:rsidRPr="00C761AD">
              <w:rPr>
                <w:rFonts w:cs="Times New Roman"/>
                <w:sz w:val="20"/>
                <w:szCs w:val="20"/>
              </w:rPr>
              <w:t>$10,570.8</w:t>
            </w:r>
          </w:p>
        </w:tc>
        <w:tc>
          <w:tcPr>
            <w:tcW w:w="1441" w:type="dxa"/>
            <w:shd w:val="clear" w:color="auto" w:fill="FFFFFF" w:themeFill="background1"/>
          </w:tcPr>
          <w:p w:rsidR="003A4691" w:rsidRPr="00C761AD" w:rsidP="00A9111E" w14:paraId="35A3AEF8" w14:textId="77777777">
            <w:pPr>
              <w:tabs>
                <w:tab w:val="left" w:pos="-720"/>
                <w:tab w:val="left" w:pos="0"/>
              </w:tabs>
              <w:suppressAutoHyphens/>
              <w:jc w:val="center"/>
              <w:rPr>
                <w:rFonts w:cs="Times New Roman"/>
                <w:sz w:val="20"/>
                <w:szCs w:val="20"/>
              </w:rPr>
            </w:pPr>
            <w:r w:rsidRPr="00C761AD">
              <w:rPr>
                <w:rFonts w:cs="Times New Roman"/>
                <w:sz w:val="20"/>
                <w:szCs w:val="20"/>
              </w:rPr>
              <w:t>4</w:t>
            </w:r>
          </w:p>
        </w:tc>
        <w:tc>
          <w:tcPr>
            <w:tcW w:w="1172" w:type="dxa"/>
            <w:shd w:val="clear" w:color="auto" w:fill="FFFFFF" w:themeFill="background1"/>
          </w:tcPr>
          <w:p w:rsidR="003A4691" w:rsidRPr="00C761AD" w:rsidP="00A9111E" w14:paraId="637C429F" w14:textId="77777777">
            <w:pPr>
              <w:tabs>
                <w:tab w:val="left" w:pos="-720"/>
                <w:tab w:val="left" w:pos="0"/>
              </w:tabs>
              <w:suppressAutoHyphens/>
              <w:jc w:val="center"/>
              <w:rPr>
                <w:rFonts w:cs="Times New Roman"/>
                <w:sz w:val="20"/>
                <w:szCs w:val="20"/>
              </w:rPr>
            </w:pPr>
            <w:r w:rsidRPr="00C761AD">
              <w:rPr>
                <w:rFonts w:cs="Times New Roman"/>
                <w:sz w:val="20"/>
                <w:szCs w:val="20"/>
              </w:rPr>
              <w:t>480</w:t>
            </w:r>
          </w:p>
        </w:tc>
        <w:tc>
          <w:tcPr>
            <w:tcW w:w="1531" w:type="dxa"/>
            <w:shd w:val="clear" w:color="auto" w:fill="FFFFFF" w:themeFill="background1"/>
          </w:tcPr>
          <w:p w:rsidR="003A4691" w:rsidRPr="00C761AD" w:rsidP="00A9111E" w14:paraId="3114C87F" w14:textId="77777777">
            <w:pPr>
              <w:tabs>
                <w:tab w:val="left" w:pos="-720"/>
                <w:tab w:val="left" w:pos="0"/>
              </w:tabs>
              <w:suppressAutoHyphens/>
              <w:jc w:val="center"/>
              <w:rPr>
                <w:rFonts w:cs="Times New Roman"/>
                <w:sz w:val="20"/>
                <w:szCs w:val="20"/>
              </w:rPr>
            </w:pPr>
            <w:r w:rsidRPr="00C761AD">
              <w:rPr>
                <w:rFonts w:cs="Times New Roman"/>
                <w:sz w:val="20"/>
                <w:szCs w:val="20"/>
              </w:rPr>
              <w:t>$42,283.2</w:t>
            </w:r>
          </w:p>
        </w:tc>
      </w:tr>
      <w:tr w14:paraId="6978E3C7" w14:textId="77777777" w:rsidTr="00A9111E">
        <w:tblPrEx>
          <w:tblW w:w="14827" w:type="dxa"/>
          <w:tblInd w:w="-972" w:type="dxa"/>
          <w:shd w:val="clear" w:color="auto" w:fill="FFFFFF" w:themeFill="background1"/>
          <w:tblLayout w:type="fixed"/>
          <w:tblLook w:val="04A0"/>
        </w:tblPrEx>
        <w:trPr>
          <w:cantSplit/>
          <w:trHeight w:val="1222"/>
        </w:trPr>
        <w:tc>
          <w:tcPr>
            <w:tcW w:w="1505" w:type="dxa"/>
            <w:shd w:val="clear" w:color="auto" w:fill="FFFFFF" w:themeFill="background1"/>
          </w:tcPr>
          <w:p w:rsidR="003A4691" w:rsidRPr="00C761AD" w:rsidP="00A9111E" w14:paraId="476E6CCA" w14:textId="77777777">
            <w:pPr>
              <w:tabs>
                <w:tab w:val="left" w:pos="-720"/>
                <w:tab w:val="left" w:pos="0"/>
              </w:tabs>
              <w:suppressAutoHyphens/>
              <w:jc w:val="center"/>
              <w:rPr>
                <w:rFonts w:cs="Times New Roman"/>
                <w:sz w:val="20"/>
                <w:szCs w:val="20"/>
              </w:rPr>
            </w:pPr>
            <w:r w:rsidRPr="00C761AD">
              <w:rPr>
                <w:rFonts w:cs="Times New Roman"/>
                <w:sz w:val="20"/>
                <w:szCs w:val="20"/>
              </w:rPr>
              <w:t>49.23-24 – Reporting requirements for a registered SDR’s emergency policies and procedures and system safeguards</w:t>
            </w:r>
          </w:p>
        </w:tc>
        <w:tc>
          <w:tcPr>
            <w:tcW w:w="1620" w:type="dxa"/>
            <w:shd w:val="clear" w:color="auto" w:fill="FFFFFF" w:themeFill="background1"/>
          </w:tcPr>
          <w:p w:rsidR="003A4691" w:rsidRPr="00C761AD" w:rsidP="00A9111E" w14:paraId="72505A9F" w14:textId="77777777">
            <w:pPr>
              <w:tabs>
                <w:tab w:val="left" w:pos="-720"/>
                <w:tab w:val="left" w:pos="0"/>
              </w:tabs>
              <w:suppressAutoHyphens/>
              <w:jc w:val="center"/>
              <w:rPr>
                <w:rFonts w:cs="Times New Roman"/>
                <w:sz w:val="20"/>
                <w:szCs w:val="20"/>
              </w:rPr>
            </w:pPr>
            <w:r w:rsidRPr="00C761AD">
              <w:rPr>
                <w:rFonts w:cs="Times New Roman"/>
                <w:sz w:val="20"/>
                <w:szCs w:val="20"/>
              </w:rPr>
              <w:t>4</w:t>
            </w:r>
          </w:p>
        </w:tc>
        <w:tc>
          <w:tcPr>
            <w:tcW w:w="1620" w:type="dxa"/>
            <w:shd w:val="clear" w:color="auto" w:fill="FFFFFF" w:themeFill="background1"/>
          </w:tcPr>
          <w:p w:rsidR="003A4691" w:rsidRPr="00C761AD" w:rsidP="00A9111E" w14:paraId="0FB16C6B" w14:textId="77777777">
            <w:pPr>
              <w:tabs>
                <w:tab w:val="left" w:pos="-720"/>
                <w:tab w:val="left" w:pos="0"/>
              </w:tabs>
              <w:suppressAutoHyphens/>
              <w:jc w:val="center"/>
              <w:rPr>
                <w:rFonts w:cs="Times New Roman"/>
                <w:sz w:val="20"/>
                <w:szCs w:val="20"/>
              </w:rPr>
            </w:pPr>
            <w:r w:rsidRPr="00C761AD">
              <w:rPr>
                <w:rFonts w:cs="Times New Roman"/>
                <w:sz w:val="20"/>
                <w:szCs w:val="20"/>
              </w:rPr>
              <w:t>1</w:t>
            </w:r>
          </w:p>
        </w:tc>
        <w:tc>
          <w:tcPr>
            <w:tcW w:w="1531" w:type="dxa"/>
            <w:shd w:val="clear" w:color="auto" w:fill="FFFFFF" w:themeFill="background1"/>
          </w:tcPr>
          <w:p w:rsidR="003A4691" w:rsidRPr="00C761AD" w:rsidP="00A9111E" w14:paraId="2498F2A7" w14:textId="77777777">
            <w:pPr>
              <w:tabs>
                <w:tab w:val="left" w:pos="-720"/>
                <w:tab w:val="left" w:pos="0"/>
              </w:tabs>
              <w:suppressAutoHyphens/>
              <w:jc w:val="center"/>
              <w:rPr>
                <w:rFonts w:cs="Times New Roman"/>
                <w:sz w:val="20"/>
                <w:szCs w:val="20"/>
              </w:rPr>
            </w:pPr>
            <w:r w:rsidRPr="00C761AD">
              <w:rPr>
                <w:rFonts w:cs="Times New Roman"/>
                <w:sz w:val="20"/>
                <w:szCs w:val="20"/>
              </w:rPr>
              <w:t>15,000</w:t>
            </w:r>
          </w:p>
        </w:tc>
        <w:tc>
          <w:tcPr>
            <w:tcW w:w="1528" w:type="dxa"/>
            <w:shd w:val="clear" w:color="auto" w:fill="FFFFFF" w:themeFill="background1"/>
          </w:tcPr>
          <w:p w:rsidR="003A4691" w:rsidRPr="00C761AD" w:rsidP="00A9111E" w14:paraId="1AA1C9D6" w14:textId="77777777">
            <w:pPr>
              <w:tabs>
                <w:tab w:val="left" w:pos="-720"/>
                <w:tab w:val="left" w:pos="0"/>
              </w:tabs>
              <w:suppressAutoHyphens/>
              <w:jc w:val="center"/>
              <w:rPr>
                <w:rFonts w:cs="Times New Roman"/>
                <w:sz w:val="20"/>
                <w:szCs w:val="20"/>
              </w:rPr>
            </w:pPr>
            <w:r w:rsidRPr="00C761AD">
              <w:rPr>
                <w:rFonts w:cs="Times New Roman"/>
                <w:sz w:val="20"/>
                <w:szCs w:val="20"/>
              </w:rPr>
              <w:t>15,000</w:t>
            </w:r>
          </w:p>
        </w:tc>
        <w:tc>
          <w:tcPr>
            <w:tcW w:w="1351" w:type="dxa"/>
            <w:shd w:val="clear" w:color="auto" w:fill="FFFFFF" w:themeFill="background1"/>
          </w:tcPr>
          <w:p w:rsidR="003A4691" w:rsidRPr="00C761AD" w:rsidP="00A9111E" w14:paraId="4BC8D010" w14:textId="77777777">
            <w:pPr>
              <w:tabs>
                <w:tab w:val="left" w:pos="-720"/>
                <w:tab w:val="left" w:pos="0"/>
              </w:tabs>
              <w:suppressAutoHyphens/>
              <w:jc w:val="center"/>
              <w:rPr>
                <w:rFonts w:cs="Times New Roman"/>
                <w:sz w:val="20"/>
                <w:szCs w:val="20"/>
              </w:rPr>
            </w:pPr>
            <w:r w:rsidRPr="00C761AD">
              <w:rPr>
                <w:rFonts w:cs="Times New Roman"/>
                <w:sz w:val="20"/>
                <w:szCs w:val="20"/>
              </w:rPr>
              <w:t>$88.09</w:t>
            </w:r>
          </w:p>
        </w:tc>
        <w:tc>
          <w:tcPr>
            <w:tcW w:w="1528" w:type="dxa"/>
            <w:shd w:val="clear" w:color="auto" w:fill="FFFFFF" w:themeFill="background1"/>
          </w:tcPr>
          <w:p w:rsidR="003A4691" w:rsidRPr="00C761AD" w:rsidP="00A9111E" w14:paraId="71E2CDED" w14:textId="77777777">
            <w:pPr>
              <w:jc w:val="center"/>
              <w:rPr>
                <w:rFonts w:cs="Times New Roman"/>
                <w:sz w:val="20"/>
                <w:szCs w:val="20"/>
              </w:rPr>
            </w:pPr>
            <w:r>
              <w:rPr>
                <w:sz w:val="20"/>
              </w:rPr>
              <w:t>$1,321,350</w:t>
            </w:r>
          </w:p>
        </w:tc>
        <w:tc>
          <w:tcPr>
            <w:tcW w:w="1441" w:type="dxa"/>
            <w:shd w:val="clear" w:color="auto" w:fill="FFFFFF" w:themeFill="background1"/>
          </w:tcPr>
          <w:p w:rsidR="003A4691" w:rsidRPr="00C761AD" w:rsidP="00A9111E" w14:paraId="2502EE51" w14:textId="77777777">
            <w:pPr>
              <w:tabs>
                <w:tab w:val="left" w:pos="-720"/>
                <w:tab w:val="left" w:pos="0"/>
              </w:tabs>
              <w:suppressAutoHyphens/>
              <w:jc w:val="center"/>
              <w:rPr>
                <w:rFonts w:cs="Times New Roman"/>
                <w:sz w:val="20"/>
                <w:szCs w:val="20"/>
              </w:rPr>
            </w:pPr>
            <w:r w:rsidRPr="00C761AD">
              <w:rPr>
                <w:rFonts w:cs="Times New Roman"/>
                <w:sz w:val="20"/>
                <w:szCs w:val="20"/>
              </w:rPr>
              <w:t>4</w:t>
            </w:r>
          </w:p>
        </w:tc>
        <w:tc>
          <w:tcPr>
            <w:tcW w:w="1172" w:type="dxa"/>
            <w:shd w:val="clear" w:color="auto" w:fill="FFFFFF" w:themeFill="background1"/>
          </w:tcPr>
          <w:p w:rsidR="003A4691" w:rsidRPr="00C761AD" w:rsidP="00A9111E" w14:paraId="7C7D5E95" w14:textId="77777777">
            <w:pPr>
              <w:tabs>
                <w:tab w:val="left" w:pos="-720"/>
                <w:tab w:val="left" w:pos="0"/>
              </w:tabs>
              <w:suppressAutoHyphens/>
              <w:jc w:val="center"/>
              <w:rPr>
                <w:rFonts w:cs="Times New Roman"/>
                <w:sz w:val="20"/>
                <w:szCs w:val="20"/>
              </w:rPr>
            </w:pPr>
            <w:r w:rsidRPr="00C761AD">
              <w:rPr>
                <w:rFonts w:cs="Times New Roman"/>
                <w:sz w:val="20"/>
                <w:szCs w:val="20"/>
              </w:rPr>
              <w:t>60,000</w:t>
            </w:r>
          </w:p>
        </w:tc>
        <w:tc>
          <w:tcPr>
            <w:tcW w:w="1531" w:type="dxa"/>
            <w:shd w:val="clear" w:color="auto" w:fill="FFFFFF" w:themeFill="background1"/>
          </w:tcPr>
          <w:p w:rsidR="003A4691" w:rsidP="00A9111E" w14:paraId="70A26D11" w14:textId="77777777">
            <w:pPr>
              <w:tabs>
                <w:tab w:val="left" w:pos="-720"/>
                <w:tab w:val="left" w:pos="0"/>
              </w:tabs>
              <w:suppressAutoHyphens/>
              <w:jc w:val="center"/>
              <w:rPr>
                <w:sz w:val="20"/>
              </w:rPr>
            </w:pPr>
            <w:r>
              <w:rPr>
                <w:sz w:val="20"/>
              </w:rPr>
              <w:t>$5,285,400</w:t>
            </w:r>
          </w:p>
          <w:p w:rsidR="003A4691" w:rsidRPr="00891185" w:rsidP="00A9111E" w14:paraId="223F1798" w14:textId="77777777">
            <w:pPr>
              <w:jc w:val="center"/>
              <w:rPr>
                <w:sz w:val="20"/>
              </w:rPr>
            </w:pPr>
          </w:p>
        </w:tc>
      </w:tr>
      <w:tr w14:paraId="6DBA0989" w14:textId="77777777" w:rsidTr="00A9111E">
        <w:tblPrEx>
          <w:tblW w:w="14827" w:type="dxa"/>
          <w:tblInd w:w="-972" w:type="dxa"/>
          <w:shd w:val="clear" w:color="auto" w:fill="FFFFFF" w:themeFill="background1"/>
          <w:tblLayout w:type="fixed"/>
          <w:tblLook w:val="04A0"/>
        </w:tblPrEx>
        <w:trPr>
          <w:cantSplit/>
          <w:trHeight w:val="872"/>
        </w:trPr>
        <w:tc>
          <w:tcPr>
            <w:tcW w:w="1505" w:type="dxa"/>
            <w:shd w:val="clear" w:color="auto" w:fill="FFFFFF" w:themeFill="background1"/>
          </w:tcPr>
          <w:p w:rsidR="003A4691" w:rsidRPr="00C761AD" w:rsidP="00A9111E" w14:paraId="5DC74705" w14:textId="77777777">
            <w:pPr>
              <w:tabs>
                <w:tab w:val="left" w:pos="-720"/>
                <w:tab w:val="left" w:pos="0"/>
              </w:tabs>
              <w:suppressAutoHyphens/>
              <w:jc w:val="center"/>
              <w:rPr>
                <w:rFonts w:cs="Times New Roman"/>
                <w:sz w:val="20"/>
                <w:szCs w:val="20"/>
              </w:rPr>
            </w:pPr>
            <w:r w:rsidRPr="00C761AD">
              <w:rPr>
                <w:rFonts w:cs="Times New Roman"/>
                <w:sz w:val="20"/>
                <w:szCs w:val="20"/>
              </w:rPr>
              <w:t>49.25 – SDR financial reporting to Comm’n</w:t>
            </w:r>
          </w:p>
        </w:tc>
        <w:tc>
          <w:tcPr>
            <w:tcW w:w="1620" w:type="dxa"/>
            <w:shd w:val="clear" w:color="auto" w:fill="FFFFFF" w:themeFill="background1"/>
          </w:tcPr>
          <w:p w:rsidR="003A4691" w:rsidRPr="00C761AD" w:rsidP="00A9111E" w14:paraId="40FC8314" w14:textId="77777777">
            <w:pPr>
              <w:tabs>
                <w:tab w:val="left" w:pos="-720"/>
                <w:tab w:val="left" w:pos="0"/>
              </w:tabs>
              <w:suppressAutoHyphens/>
              <w:jc w:val="center"/>
              <w:rPr>
                <w:rFonts w:cs="Times New Roman"/>
                <w:sz w:val="20"/>
                <w:szCs w:val="20"/>
              </w:rPr>
            </w:pPr>
            <w:r w:rsidRPr="00C761AD">
              <w:rPr>
                <w:rFonts w:cs="Times New Roman"/>
                <w:sz w:val="20"/>
                <w:szCs w:val="20"/>
              </w:rPr>
              <w:t>4</w:t>
            </w:r>
          </w:p>
        </w:tc>
        <w:tc>
          <w:tcPr>
            <w:tcW w:w="1620" w:type="dxa"/>
            <w:shd w:val="clear" w:color="auto" w:fill="FFFFFF" w:themeFill="background1"/>
          </w:tcPr>
          <w:p w:rsidR="003A4691" w:rsidRPr="00C761AD" w:rsidP="00A9111E" w14:paraId="323D5E33" w14:textId="77777777">
            <w:pPr>
              <w:tabs>
                <w:tab w:val="left" w:pos="-720"/>
                <w:tab w:val="left" w:pos="0"/>
              </w:tabs>
              <w:suppressAutoHyphens/>
              <w:jc w:val="center"/>
              <w:rPr>
                <w:rFonts w:cs="Times New Roman"/>
                <w:sz w:val="20"/>
                <w:szCs w:val="20"/>
              </w:rPr>
            </w:pPr>
            <w:r w:rsidRPr="00C761AD">
              <w:rPr>
                <w:rFonts w:cs="Times New Roman"/>
                <w:sz w:val="20"/>
                <w:szCs w:val="20"/>
              </w:rPr>
              <w:t>1</w:t>
            </w:r>
          </w:p>
        </w:tc>
        <w:tc>
          <w:tcPr>
            <w:tcW w:w="1531" w:type="dxa"/>
            <w:shd w:val="clear" w:color="auto" w:fill="FFFFFF" w:themeFill="background1"/>
          </w:tcPr>
          <w:p w:rsidR="003A4691" w:rsidRPr="00C761AD" w:rsidP="00A9111E" w14:paraId="77538C63" w14:textId="77777777">
            <w:pPr>
              <w:tabs>
                <w:tab w:val="left" w:pos="-720"/>
                <w:tab w:val="left" w:pos="0"/>
              </w:tabs>
              <w:suppressAutoHyphens/>
              <w:jc w:val="center"/>
              <w:rPr>
                <w:rFonts w:cs="Times New Roman"/>
                <w:sz w:val="20"/>
                <w:szCs w:val="20"/>
              </w:rPr>
            </w:pPr>
            <w:r w:rsidRPr="00C761AD">
              <w:rPr>
                <w:rFonts w:cs="Times New Roman"/>
                <w:sz w:val="20"/>
                <w:szCs w:val="20"/>
              </w:rPr>
              <w:t>200</w:t>
            </w:r>
          </w:p>
        </w:tc>
        <w:tc>
          <w:tcPr>
            <w:tcW w:w="1528" w:type="dxa"/>
            <w:shd w:val="clear" w:color="auto" w:fill="FFFFFF" w:themeFill="background1"/>
          </w:tcPr>
          <w:p w:rsidR="003A4691" w:rsidRPr="00C761AD" w:rsidP="00A9111E" w14:paraId="5B3DA534" w14:textId="77777777">
            <w:pPr>
              <w:tabs>
                <w:tab w:val="left" w:pos="-720"/>
                <w:tab w:val="left" w:pos="0"/>
              </w:tabs>
              <w:suppressAutoHyphens/>
              <w:jc w:val="center"/>
              <w:rPr>
                <w:rFonts w:cs="Times New Roman"/>
                <w:sz w:val="20"/>
                <w:szCs w:val="20"/>
              </w:rPr>
            </w:pPr>
            <w:r w:rsidRPr="00C761AD">
              <w:rPr>
                <w:rFonts w:cs="Times New Roman"/>
                <w:sz w:val="20"/>
                <w:szCs w:val="20"/>
              </w:rPr>
              <w:t>1,200</w:t>
            </w:r>
          </w:p>
        </w:tc>
        <w:tc>
          <w:tcPr>
            <w:tcW w:w="1351" w:type="dxa"/>
            <w:shd w:val="clear" w:color="auto" w:fill="FFFFFF" w:themeFill="background1"/>
          </w:tcPr>
          <w:p w:rsidR="003A4691" w:rsidRPr="00C761AD" w:rsidP="00A9111E" w14:paraId="66F7A3D0" w14:textId="77777777">
            <w:pPr>
              <w:tabs>
                <w:tab w:val="left" w:pos="-720"/>
                <w:tab w:val="left" w:pos="0"/>
              </w:tabs>
              <w:suppressAutoHyphens/>
              <w:jc w:val="center"/>
              <w:rPr>
                <w:rFonts w:cs="Times New Roman"/>
                <w:sz w:val="20"/>
                <w:szCs w:val="20"/>
              </w:rPr>
            </w:pPr>
            <w:r w:rsidRPr="00C761AD">
              <w:rPr>
                <w:rFonts w:cs="Times New Roman"/>
                <w:sz w:val="20"/>
                <w:szCs w:val="20"/>
              </w:rPr>
              <w:t>$88.09</w:t>
            </w:r>
          </w:p>
        </w:tc>
        <w:tc>
          <w:tcPr>
            <w:tcW w:w="1528" w:type="dxa"/>
            <w:shd w:val="clear" w:color="auto" w:fill="FFFFFF" w:themeFill="background1"/>
          </w:tcPr>
          <w:p w:rsidR="003A4691" w:rsidRPr="00C761AD" w:rsidP="00A9111E" w14:paraId="4554604B" w14:textId="77777777">
            <w:pPr>
              <w:jc w:val="center"/>
              <w:rPr>
                <w:rFonts w:cs="Times New Roman"/>
                <w:sz w:val="20"/>
                <w:szCs w:val="20"/>
              </w:rPr>
            </w:pPr>
            <w:r>
              <w:rPr>
                <w:sz w:val="20"/>
              </w:rPr>
              <w:t>$105,708</w:t>
            </w:r>
          </w:p>
        </w:tc>
        <w:tc>
          <w:tcPr>
            <w:tcW w:w="1441" w:type="dxa"/>
            <w:shd w:val="clear" w:color="auto" w:fill="FFFFFF" w:themeFill="background1"/>
          </w:tcPr>
          <w:p w:rsidR="003A4691" w:rsidRPr="00C761AD" w:rsidP="00A9111E" w14:paraId="50FEEF24" w14:textId="77777777">
            <w:pPr>
              <w:tabs>
                <w:tab w:val="left" w:pos="-720"/>
                <w:tab w:val="left" w:pos="0"/>
              </w:tabs>
              <w:suppressAutoHyphens/>
              <w:jc w:val="center"/>
              <w:rPr>
                <w:rFonts w:cs="Times New Roman"/>
                <w:sz w:val="20"/>
                <w:szCs w:val="20"/>
              </w:rPr>
            </w:pPr>
            <w:r w:rsidRPr="00C761AD">
              <w:rPr>
                <w:rFonts w:cs="Times New Roman"/>
                <w:sz w:val="20"/>
                <w:szCs w:val="20"/>
              </w:rPr>
              <w:t>4</w:t>
            </w:r>
          </w:p>
        </w:tc>
        <w:tc>
          <w:tcPr>
            <w:tcW w:w="1172" w:type="dxa"/>
            <w:shd w:val="clear" w:color="auto" w:fill="FFFFFF" w:themeFill="background1"/>
          </w:tcPr>
          <w:p w:rsidR="003A4691" w:rsidRPr="00C761AD" w:rsidP="00A9111E" w14:paraId="5F29265F" w14:textId="77777777">
            <w:pPr>
              <w:tabs>
                <w:tab w:val="left" w:pos="-720"/>
                <w:tab w:val="left" w:pos="0"/>
              </w:tabs>
              <w:suppressAutoHyphens/>
              <w:jc w:val="center"/>
              <w:rPr>
                <w:rFonts w:cs="Times New Roman"/>
                <w:sz w:val="20"/>
                <w:szCs w:val="20"/>
              </w:rPr>
            </w:pPr>
            <w:r w:rsidRPr="00C761AD">
              <w:rPr>
                <w:rFonts w:cs="Times New Roman"/>
                <w:sz w:val="20"/>
                <w:szCs w:val="20"/>
              </w:rPr>
              <w:t>4,800</w:t>
            </w:r>
          </w:p>
        </w:tc>
        <w:tc>
          <w:tcPr>
            <w:tcW w:w="1531" w:type="dxa"/>
            <w:shd w:val="clear" w:color="auto" w:fill="FFFFFF" w:themeFill="background1"/>
          </w:tcPr>
          <w:p w:rsidR="003A4691" w:rsidRPr="00C761AD" w:rsidP="00A9111E" w14:paraId="48B1F2BD" w14:textId="77777777">
            <w:pPr>
              <w:tabs>
                <w:tab w:val="left" w:pos="-720"/>
                <w:tab w:val="left" w:pos="0"/>
              </w:tabs>
              <w:suppressAutoHyphens/>
              <w:jc w:val="center"/>
              <w:rPr>
                <w:rFonts w:cs="Times New Roman"/>
                <w:sz w:val="20"/>
                <w:szCs w:val="20"/>
              </w:rPr>
            </w:pPr>
            <w:r>
              <w:rPr>
                <w:sz w:val="20"/>
              </w:rPr>
              <w:t>$422,832</w:t>
            </w:r>
          </w:p>
        </w:tc>
      </w:tr>
      <w:tr w14:paraId="194FECE6" w14:textId="77777777" w:rsidTr="00A9111E">
        <w:tblPrEx>
          <w:tblW w:w="14827" w:type="dxa"/>
          <w:tblInd w:w="-972" w:type="dxa"/>
          <w:shd w:val="clear" w:color="auto" w:fill="FFFFFF" w:themeFill="background1"/>
          <w:tblLayout w:type="fixed"/>
          <w:tblLook w:val="04A0"/>
        </w:tblPrEx>
        <w:trPr>
          <w:cantSplit/>
          <w:trHeight w:val="620"/>
        </w:trPr>
        <w:tc>
          <w:tcPr>
            <w:tcW w:w="1505" w:type="dxa"/>
            <w:shd w:val="clear" w:color="auto" w:fill="FFFFFF" w:themeFill="background1"/>
          </w:tcPr>
          <w:p w:rsidR="003A4691" w:rsidRPr="00C761AD" w:rsidP="00A9111E" w14:paraId="150CB48C" w14:textId="77777777">
            <w:pPr>
              <w:tabs>
                <w:tab w:val="left" w:pos="-720"/>
                <w:tab w:val="left" w:pos="0"/>
              </w:tabs>
              <w:suppressAutoHyphens/>
              <w:jc w:val="center"/>
              <w:rPr>
                <w:rFonts w:cs="Times New Roman"/>
                <w:sz w:val="20"/>
                <w:szCs w:val="20"/>
              </w:rPr>
            </w:pPr>
            <w:r w:rsidRPr="00C761AD">
              <w:rPr>
                <w:rFonts w:cs="Times New Roman"/>
                <w:sz w:val="20"/>
                <w:szCs w:val="20"/>
              </w:rPr>
              <w:t>49.28 – Operating Hours for SDRs</w:t>
            </w:r>
          </w:p>
        </w:tc>
        <w:tc>
          <w:tcPr>
            <w:tcW w:w="1620" w:type="dxa"/>
            <w:shd w:val="clear" w:color="auto" w:fill="FFFFFF" w:themeFill="background1"/>
          </w:tcPr>
          <w:p w:rsidR="003A4691" w:rsidRPr="00C761AD" w:rsidP="00A9111E" w14:paraId="2377285E" w14:textId="77777777">
            <w:pPr>
              <w:tabs>
                <w:tab w:val="left" w:pos="-720"/>
                <w:tab w:val="left" w:pos="0"/>
              </w:tabs>
              <w:suppressAutoHyphens/>
              <w:jc w:val="center"/>
              <w:rPr>
                <w:rFonts w:cs="Times New Roman"/>
                <w:sz w:val="20"/>
                <w:szCs w:val="20"/>
              </w:rPr>
            </w:pPr>
            <w:r w:rsidRPr="00C761AD">
              <w:rPr>
                <w:rFonts w:cs="Times New Roman"/>
                <w:sz w:val="20"/>
                <w:szCs w:val="20"/>
              </w:rPr>
              <w:t>4</w:t>
            </w:r>
          </w:p>
        </w:tc>
        <w:tc>
          <w:tcPr>
            <w:tcW w:w="1620" w:type="dxa"/>
            <w:shd w:val="clear" w:color="auto" w:fill="FFFFFF" w:themeFill="background1"/>
          </w:tcPr>
          <w:p w:rsidR="003A4691" w:rsidRPr="00C761AD" w:rsidP="00A9111E" w14:paraId="2D5458E5" w14:textId="77777777">
            <w:pPr>
              <w:tabs>
                <w:tab w:val="left" w:pos="-720"/>
                <w:tab w:val="left" w:pos="0"/>
              </w:tabs>
              <w:suppressAutoHyphens/>
              <w:jc w:val="center"/>
              <w:rPr>
                <w:rFonts w:cs="Times New Roman"/>
                <w:sz w:val="20"/>
                <w:szCs w:val="20"/>
              </w:rPr>
            </w:pPr>
            <w:r w:rsidRPr="00C761AD">
              <w:rPr>
                <w:rFonts w:cs="Times New Roman"/>
                <w:sz w:val="20"/>
                <w:szCs w:val="20"/>
              </w:rPr>
              <w:t>3</w:t>
            </w:r>
          </w:p>
        </w:tc>
        <w:tc>
          <w:tcPr>
            <w:tcW w:w="1531" w:type="dxa"/>
            <w:shd w:val="clear" w:color="auto" w:fill="FFFFFF" w:themeFill="background1"/>
          </w:tcPr>
          <w:p w:rsidR="003A4691" w:rsidRPr="00C761AD" w:rsidP="00A9111E" w14:paraId="17E30C41" w14:textId="77777777">
            <w:pPr>
              <w:tabs>
                <w:tab w:val="left" w:pos="-720"/>
                <w:tab w:val="left" w:pos="0"/>
              </w:tabs>
              <w:suppressAutoHyphens/>
              <w:jc w:val="center"/>
              <w:rPr>
                <w:rFonts w:cs="Times New Roman"/>
                <w:sz w:val="20"/>
                <w:szCs w:val="20"/>
              </w:rPr>
            </w:pPr>
            <w:r w:rsidRPr="00C761AD">
              <w:rPr>
                <w:rFonts w:cs="Times New Roman"/>
                <w:sz w:val="20"/>
                <w:szCs w:val="20"/>
              </w:rPr>
              <w:t>5</w:t>
            </w:r>
          </w:p>
        </w:tc>
        <w:tc>
          <w:tcPr>
            <w:tcW w:w="1528" w:type="dxa"/>
            <w:shd w:val="clear" w:color="auto" w:fill="FFFFFF" w:themeFill="background1"/>
          </w:tcPr>
          <w:p w:rsidR="003A4691" w:rsidRPr="00C761AD" w:rsidP="00A9111E" w14:paraId="7C59E2E4" w14:textId="77777777">
            <w:pPr>
              <w:tabs>
                <w:tab w:val="left" w:pos="-720"/>
                <w:tab w:val="left" w:pos="0"/>
              </w:tabs>
              <w:suppressAutoHyphens/>
              <w:jc w:val="center"/>
              <w:rPr>
                <w:rFonts w:cs="Times New Roman"/>
                <w:sz w:val="20"/>
                <w:szCs w:val="20"/>
              </w:rPr>
            </w:pPr>
            <w:r w:rsidRPr="00C761AD">
              <w:rPr>
                <w:rFonts w:cs="Times New Roman"/>
                <w:sz w:val="20"/>
                <w:szCs w:val="20"/>
              </w:rPr>
              <w:t>15</w:t>
            </w:r>
          </w:p>
        </w:tc>
        <w:tc>
          <w:tcPr>
            <w:tcW w:w="1351" w:type="dxa"/>
            <w:shd w:val="clear" w:color="auto" w:fill="FFFFFF" w:themeFill="background1"/>
          </w:tcPr>
          <w:p w:rsidR="003A4691" w:rsidRPr="00C761AD" w:rsidP="00A9111E" w14:paraId="1F623765" w14:textId="77777777">
            <w:pPr>
              <w:tabs>
                <w:tab w:val="left" w:pos="-720"/>
                <w:tab w:val="left" w:pos="0"/>
              </w:tabs>
              <w:suppressAutoHyphens/>
              <w:jc w:val="center"/>
              <w:rPr>
                <w:rFonts w:cs="Times New Roman"/>
                <w:sz w:val="20"/>
                <w:szCs w:val="20"/>
              </w:rPr>
            </w:pPr>
            <w:r w:rsidRPr="00C761AD">
              <w:rPr>
                <w:rFonts w:cs="Times New Roman"/>
                <w:sz w:val="20"/>
                <w:szCs w:val="20"/>
              </w:rPr>
              <w:t>$88.09</w:t>
            </w:r>
          </w:p>
        </w:tc>
        <w:tc>
          <w:tcPr>
            <w:tcW w:w="1528" w:type="dxa"/>
            <w:shd w:val="clear" w:color="auto" w:fill="FFFFFF" w:themeFill="background1"/>
          </w:tcPr>
          <w:p w:rsidR="003A4691" w:rsidP="00A9111E" w14:paraId="15F3ED31" w14:textId="77777777">
            <w:pPr>
              <w:jc w:val="center"/>
              <w:rPr>
                <w:sz w:val="20"/>
              </w:rPr>
            </w:pPr>
            <w:r>
              <w:rPr>
                <w:sz w:val="20"/>
              </w:rPr>
              <w:t>$1,321.35</w:t>
            </w:r>
          </w:p>
          <w:p w:rsidR="003A4691" w:rsidRPr="005364BA" w:rsidP="00A9111E" w14:paraId="49DF3FED" w14:textId="77777777">
            <w:pPr>
              <w:jc w:val="center"/>
              <w:rPr>
                <w:sz w:val="20"/>
              </w:rPr>
            </w:pPr>
          </w:p>
        </w:tc>
        <w:tc>
          <w:tcPr>
            <w:tcW w:w="1441" w:type="dxa"/>
            <w:shd w:val="clear" w:color="auto" w:fill="FFFFFF" w:themeFill="background1"/>
          </w:tcPr>
          <w:p w:rsidR="003A4691" w:rsidRPr="00C761AD" w:rsidP="00A9111E" w14:paraId="14A439BF" w14:textId="77777777">
            <w:pPr>
              <w:tabs>
                <w:tab w:val="left" w:pos="-720"/>
                <w:tab w:val="left" w:pos="0"/>
              </w:tabs>
              <w:suppressAutoHyphens/>
              <w:jc w:val="center"/>
              <w:rPr>
                <w:rFonts w:cs="Times New Roman"/>
                <w:sz w:val="20"/>
                <w:szCs w:val="20"/>
              </w:rPr>
            </w:pPr>
            <w:r w:rsidRPr="00C761AD">
              <w:rPr>
                <w:rFonts w:cs="Times New Roman"/>
                <w:sz w:val="20"/>
                <w:szCs w:val="20"/>
              </w:rPr>
              <w:t>12</w:t>
            </w:r>
          </w:p>
        </w:tc>
        <w:tc>
          <w:tcPr>
            <w:tcW w:w="1172" w:type="dxa"/>
            <w:shd w:val="clear" w:color="auto" w:fill="FFFFFF" w:themeFill="background1"/>
          </w:tcPr>
          <w:p w:rsidR="003A4691" w:rsidRPr="00C761AD" w:rsidP="00A9111E" w14:paraId="7B481545" w14:textId="77777777">
            <w:pPr>
              <w:tabs>
                <w:tab w:val="left" w:pos="-720"/>
                <w:tab w:val="left" w:pos="0"/>
              </w:tabs>
              <w:suppressAutoHyphens/>
              <w:jc w:val="center"/>
              <w:rPr>
                <w:rFonts w:cs="Times New Roman"/>
                <w:sz w:val="20"/>
                <w:szCs w:val="20"/>
              </w:rPr>
            </w:pPr>
            <w:r w:rsidRPr="00C761AD">
              <w:rPr>
                <w:rFonts w:cs="Times New Roman"/>
                <w:sz w:val="20"/>
                <w:szCs w:val="20"/>
              </w:rPr>
              <w:t>60</w:t>
            </w:r>
          </w:p>
        </w:tc>
        <w:tc>
          <w:tcPr>
            <w:tcW w:w="1531" w:type="dxa"/>
            <w:shd w:val="clear" w:color="auto" w:fill="FFFFFF" w:themeFill="background1"/>
          </w:tcPr>
          <w:p w:rsidR="003A4691" w:rsidRPr="00C761AD" w:rsidP="00A9111E" w14:paraId="176503CF" w14:textId="77777777">
            <w:pPr>
              <w:tabs>
                <w:tab w:val="left" w:pos="-720"/>
                <w:tab w:val="left" w:pos="0"/>
              </w:tabs>
              <w:suppressAutoHyphens/>
              <w:jc w:val="center"/>
              <w:rPr>
                <w:rFonts w:cs="Times New Roman"/>
                <w:sz w:val="20"/>
                <w:szCs w:val="20"/>
              </w:rPr>
            </w:pPr>
            <w:r>
              <w:rPr>
                <w:sz w:val="20"/>
              </w:rPr>
              <w:t>$5,285.4</w:t>
            </w:r>
          </w:p>
        </w:tc>
      </w:tr>
      <w:tr w14:paraId="767C5A16" w14:textId="77777777" w:rsidTr="00A9111E">
        <w:tblPrEx>
          <w:tblW w:w="14827" w:type="dxa"/>
          <w:tblInd w:w="-972" w:type="dxa"/>
          <w:shd w:val="clear" w:color="auto" w:fill="FFFFFF" w:themeFill="background1"/>
          <w:tblLayout w:type="fixed"/>
          <w:tblLook w:val="04A0"/>
        </w:tblPrEx>
        <w:trPr>
          <w:cantSplit/>
          <w:trHeight w:val="1421"/>
        </w:trPr>
        <w:tc>
          <w:tcPr>
            <w:tcW w:w="1505" w:type="dxa"/>
            <w:shd w:val="clear" w:color="auto" w:fill="FFFFFF" w:themeFill="background1"/>
          </w:tcPr>
          <w:p w:rsidR="003A4691" w:rsidRPr="00C761AD" w:rsidP="00A9111E" w14:paraId="2A3FFF16" w14:textId="77777777">
            <w:pPr>
              <w:tabs>
                <w:tab w:val="left" w:pos="-720"/>
                <w:tab w:val="left" w:pos="0"/>
              </w:tabs>
              <w:suppressAutoHyphens/>
              <w:jc w:val="center"/>
              <w:rPr>
                <w:rFonts w:cs="Times New Roman"/>
                <w:sz w:val="20"/>
                <w:szCs w:val="20"/>
              </w:rPr>
            </w:pPr>
            <w:r w:rsidRPr="00C761AD">
              <w:rPr>
                <w:rFonts w:cs="Times New Roman"/>
                <w:sz w:val="20"/>
                <w:szCs w:val="20"/>
              </w:rPr>
              <w:t>49.29 – Information Relating to SDR Compliance</w:t>
            </w:r>
          </w:p>
        </w:tc>
        <w:tc>
          <w:tcPr>
            <w:tcW w:w="1620" w:type="dxa"/>
            <w:shd w:val="clear" w:color="auto" w:fill="FFFFFF" w:themeFill="background1"/>
          </w:tcPr>
          <w:p w:rsidR="003A4691" w:rsidRPr="00C761AD" w:rsidP="00A9111E" w14:paraId="7429A610" w14:textId="77777777">
            <w:pPr>
              <w:tabs>
                <w:tab w:val="left" w:pos="-720"/>
                <w:tab w:val="left" w:pos="0"/>
              </w:tabs>
              <w:suppressAutoHyphens/>
              <w:jc w:val="center"/>
              <w:rPr>
                <w:rFonts w:cs="Times New Roman"/>
                <w:sz w:val="20"/>
                <w:szCs w:val="20"/>
              </w:rPr>
            </w:pPr>
            <w:r w:rsidRPr="00C761AD">
              <w:rPr>
                <w:rFonts w:cs="Times New Roman"/>
                <w:sz w:val="20"/>
                <w:szCs w:val="20"/>
              </w:rPr>
              <w:t>4</w:t>
            </w:r>
          </w:p>
        </w:tc>
        <w:tc>
          <w:tcPr>
            <w:tcW w:w="1620" w:type="dxa"/>
            <w:shd w:val="clear" w:color="auto" w:fill="FFFFFF" w:themeFill="background1"/>
          </w:tcPr>
          <w:p w:rsidR="003A4691" w:rsidRPr="00C761AD" w:rsidP="00A9111E" w14:paraId="7CD4A10E" w14:textId="77777777">
            <w:pPr>
              <w:tabs>
                <w:tab w:val="left" w:pos="-720"/>
                <w:tab w:val="left" w:pos="0"/>
              </w:tabs>
              <w:suppressAutoHyphens/>
              <w:jc w:val="center"/>
              <w:rPr>
                <w:rFonts w:cs="Times New Roman"/>
                <w:sz w:val="20"/>
                <w:szCs w:val="20"/>
              </w:rPr>
            </w:pPr>
            <w:r w:rsidRPr="00C761AD">
              <w:rPr>
                <w:rFonts w:cs="Times New Roman"/>
                <w:sz w:val="20"/>
                <w:szCs w:val="20"/>
              </w:rPr>
              <w:t>5</w:t>
            </w:r>
          </w:p>
        </w:tc>
        <w:tc>
          <w:tcPr>
            <w:tcW w:w="1531" w:type="dxa"/>
            <w:shd w:val="clear" w:color="auto" w:fill="FFFFFF" w:themeFill="background1"/>
          </w:tcPr>
          <w:p w:rsidR="003A4691" w:rsidRPr="00C761AD" w:rsidP="00A9111E" w14:paraId="04339000" w14:textId="77777777">
            <w:pPr>
              <w:tabs>
                <w:tab w:val="left" w:pos="-720"/>
                <w:tab w:val="left" w:pos="0"/>
              </w:tabs>
              <w:suppressAutoHyphens/>
              <w:jc w:val="center"/>
              <w:rPr>
                <w:rFonts w:cs="Times New Roman"/>
                <w:sz w:val="20"/>
                <w:szCs w:val="20"/>
              </w:rPr>
            </w:pPr>
            <w:r w:rsidRPr="00C761AD">
              <w:rPr>
                <w:rFonts w:cs="Times New Roman"/>
                <w:sz w:val="20"/>
                <w:szCs w:val="20"/>
              </w:rPr>
              <w:t>20</w:t>
            </w:r>
          </w:p>
        </w:tc>
        <w:tc>
          <w:tcPr>
            <w:tcW w:w="1528" w:type="dxa"/>
            <w:shd w:val="clear" w:color="auto" w:fill="FFFFFF" w:themeFill="background1"/>
          </w:tcPr>
          <w:p w:rsidR="003A4691" w:rsidRPr="00C761AD" w:rsidP="00A9111E" w14:paraId="4927F17E" w14:textId="77777777">
            <w:pPr>
              <w:tabs>
                <w:tab w:val="left" w:pos="-720"/>
                <w:tab w:val="left" w:pos="0"/>
              </w:tabs>
              <w:suppressAutoHyphens/>
              <w:jc w:val="center"/>
              <w:rPr>
                <w:rFonts w:cs="Times New Roman"/>
                <w:sz w:val="20"/>
                <w:szCs w:val="20"/>
              </w:rPr>
            </w:pPr>
            <w:r w:rsidRPr="00C761AD">
              <w:rPr>
                <w:rFonts w:cs="Times New Roman"/>
                <w:sz w:val="20"/>
                <w:szCs w:val="20"/>
              </w:rPr>
              <w:t>100</w:t>
            </w:r>
          </w:p>
        </w:tc>
        <w:tc>
          <w:tcPr>
            <w:tcW w:w="1351" w:type="dxa"/>
            <w:shd w:val="clear" w:color="auto" w:fill="FFFFFF" w:themeFill="background1"/>
          </w:tcPr>
          <w:p w:rsidR="003A4691" w:rsidRPr="00C761AD" w:rsidP="00A9111E" w14:paraId="1C685008" w14:textId="77777777">
            <w:pPr>
              <w:tabs>
                <w:tab w:val="left" w:pos="-720"/>
                <w:tab w:val="left" w:pos="0"/>
              </w:tabs>
              <w:suppressAutoHyphens/>
              <w:jc w:val="center"/>
              <w:rPr>
                <w:rFonts w:cs="Times New Roman"/>
                <w:sz w:val="20"/>
                <w:szCs w:val="20"/>
              </w:rPr>
            </w:pPr>
            <w:r w:rsidRPr="00C761AD">
              <w:rPr>
                <w:rFonts w:cs="Times New Roman"/>
                <w:sz w:val="20"/>
                <w:szCs w:val="20"/>
              </w:rPr>
              <w:t>$88.09</w:t>
            </w:r>
          </w:p>
        </w:tc>
        <w:tc>
          <w:tcPr>
            <w:tcW w:w="1528" w:type="dxa"/>
            <w:shd w:val="clear" w:color="auto" w:fill="FFFFFF" w:themeFill="background1"/>
          </w:tcPr>
          <w:p w:rsidR="003A4691" w:rsidRPr="00C761AD" w:rsidP="00A9111E" w14:paraId="68D313E7" w14:textId="77777777">
            <w:pPr>
              <w:jc w:val="center"/>
              <w:rPr>
                <w:rFonts w:cs="Times New Roman"/>
                <w:sz w:val="20"/>
                <w:szCs w:val="20"/>
              </w:rPr>
            </w:pPr>
            <w:r>
              <w:rPr>
                <w:sz w:val="20"/>
              </w:rPr>
              <w:t>$8,809</w:t>
            </w:r>
          </w:p>
        </w:tc>
        <w:tc>
          <w:tcPr>
            <w:tcW w:w="1441" w:type="dxa"/>
            <w:shd w:val="clear" w:color="auto" w:fill="FFFFFF" w:themeFill="background1"/>
          </w:tcPr>
          <w:p w:rsidR="003A4691" w:rsidRPr="00C761AD" w:rsidP="00A9111E" w14:paraId="04AF6C53" w14:textId="77777777">
            <w:pPr>
              <w:tabs>
                <w:tab w:val="left" w:pos="-720"/>
                <w:tab w:val="left" w:pos="0"/>
              </w:tabs>
              <w:suppressAutoHyphens/>
              <w:jc w:val="center"/>
              <w:rPr>
                <w:rFonts w:cs="Times New Roman"/>
                <w:sz w:val="20"/>
                <w:szCs w:val="20"/>
              </w:rPr>
            </w:pPr>
            <w:r w:rsidRPr="00C761AD">
              <w:rPr>
                <w:rFonts w:cs="Times New Roman"/>
                <w:sz w:val="20"/>
                <w:szCs w:val="20"/>
              </w:rPr>
              <w:t>20</w:t>
            </w:r>
          </w:p>
        </w:tc>
        <w:tc>
          <w:tcPr>
            <w:tcW w:w="1172" w:type="dxa"/>
            <w:shd w:val="clear" w:color="auto" w:fill="FFFFFF" w:themeFill="background1"/>
          </w:tcPr>
          <w:p w:rsidR="003A4691" w:rsidRPr="00C761AD" w:rsidP="00A9111E" w14:paraId="58DB52BD" w14:textId="77777777">
            <w:pPr>
              <w:tabs>
                <w:tab w:val="left" w:pos="-720"/>
                <w:tab w:val="left" w:pos="0"/>
              </w:tabs>
              <w:suppressAutoHyphens/>
              <w:jc w:val="center"/>
              <w:rPr>
                <w:rFonts w:cs="Times New Roman"/>
                <w:sz w:val="20"/>
                <w:szCs w:val="20"/>
              </w:rPr>
            </w:pPr>
            <w:r w:rsidRPr="00C761AD">
              <w:rPr>
                <w:rFonts w:cs="Times New Roman"/>
                <w:sz w:val="20"/>
                <w:szCs w:val="20"/>
              </w:rPr>
              <w:t>400</w:t>
            </w:r>
          </w:p>
        </w:tc>
        <w:tc>
          <w:tcPr>
            <w:tcW w:w="1531" w:type="dxa"/>
            <w:shd w:val="clear" w:color="auto" w:fill="FFFFFF" w:themeFill="background1"/>
          </w:tcPr>
          <w:p w:rsidR="003A4691" w:rsidRPr="00C761AD" w:rsidP="00A9111E" w14:paraId="71020B67" w14:textId="77777777">
            <w:pPr>
              <w:tabs>
                <w:tab w:val="left" w:pos="-720"/>
                <w:tab w:val="left" w:pos="0"/>
              </w:tabs>
              <w:suppressAutoHyphens/>
              <w:jc w:val="center"/>
              <w:rPr>
                <w:rFonts w:cs="Times New Roman"/>
                <w:sz w:val="20"/>
                <w:szCs w:val="20"/>
              </w:rPr>
            </w:pPr>
            <w:r>
              <w:rPr>
                <w:sz w:val="20"/>
              </w:rPr>
              <w:t>$35,236</w:t>
            </w:r>
          </w:p>
        </w:tc>
      </w:tr>
      <w:tr w14:paraId="0B56AD6A" w14:textId="77777777" w:rsidTr="00385EBC">
        <w:tblPrEx>
          <w:tblW w:w="14827" w:type="dxa"/>
          <w:tblInd w:w="-972" w:type="dxa"/>
          <w:shd w:val="clear" w:color="auto" w:fill="FFFFFF" w:themeFill="background1"/>
          <w:tblLayout w:type="fixed"/>
          <w:tblLook w:val="04A0"/>
        </w:tblPrEx>
        <w:trPr>
          <w:cantSplit/>
          <w:trHeight w:val="278"/>
        </w:trPr>
        <w:tc>
          <w:tcPr>
            <w:tcW w:w="10683" w:type="dxa"/>
            <w:gridSpan w:val="7"/>
            <w:shd w:val="clear" w:color="auto" w:fill="BFBFBF" w:themeFill="background1" w:themeFillShade="BF"/>
          </w:tcPr>
          <w:p w:rsidR="003A4691" w:rsidRPr="00F35AC4" w:rsidP="00A9111E" w14:paraId="1B98FEF2" w14:textId="77777777">
            <w:pPr>
              <w:rPr>
                <w:b/>
                <w:bCs/>
                <w:sz w:val="20"/>
              </w:rPr>
            </w:pPr>
            <w:r w:rsidRPr="00F35AC4">
              <w:rPr>
                <w:b/>
                <w:bCs/>
                <w:sz w:val="20"/>
              </w:rPr>
              <w:t>Total Reporting</w:t>
            </w:r>
          </w:p>
        </w:tc>
        <w:tc>
          <w:tcPr>
            <w:tcW w:w="1441" w:type="dxa"/>
            <w:shd w:val="clear" w:color="auto" w:fill="FFFFFF" w:themeFill="background1"/>
          </w:tcPr>
          <w:p w:rsidR="003A4691" w:rsidRPr="00C761AD" w:rsidP="00A9111E" w14:paraId="5779549E" w14:textId="77777777">
            <w:pPr>
              <w:tabs>
                <w:tab w:val="left" w:pos="-720"/>
                <w:tab w:val="left" w:pos="0"/>
              </w:tabs>
              <w:suppressAutoHyphens/>
              <w:jc w:val="center"/>
              <w:rPr>
                <w:sz w:val="20"/>
              </w:rPr>
            </w:pPr>
            <w:r>
              <w:rPr>
                <w:sz w:val="20"/>
              </w:rPr>
              <w:t>12,032,958</w:t>
            </w:r>
          </w:p>
        </w:tc>
        <w:tc>
          <w:tcPr>
            <w:tcW w:w="1172" w:type="dxa"/>
            <w:shd w:val="clear" w:color="auto" w:fill="FFFFFF" w:themeFill="background1"/>
          </w:tcPr>
          <w:p w:rsidR="003A4691" w:rsidRPr="00C761AD" w:rsidP="00A9111E" w14:paraId="64B00EE8" w14:textId="77777777">
            <w:pPr>
              <w:tabs>
                <w:tab w:val="left" w:pos="-720"/>
                <w:tab w:val="left" w:pos="0"/>
              </w:tabs>
              <w:suppressAutoHyphens/>
              <w:jc w:val="center"/>
              <w:rPr>
                <w:sz w:val="20"/>
              </w:rPr>
            </w:pPr>
            <w:r>
              <w:rPr>
                <w:sz w:val="20"/>
              </w:rPr>
              <w:t>75,490</w:t>
            </w:r>
          </w:p>
        </w:tc>
        <w:tc>
          <w:tcPr>
            <w:tcW w:w="1531" w:type="dxa"/>
            <w:shd w:val="clear" w:color="auto" w:fill="FFFFFF" w:themeFill="background1"/>
          </w:tcPr>
          <w:p w:rsidR="003A4691" w:rsidP="00A9111E" w14:paraId="5138CE7F" w14:textId="77777777">
            <w:pPr>
              <w:tabs>
                <w:tab w:val="left" w:pos="-720"/>
                <w:tab w:val="left" w:pos="0"/>
              </w:tabs>
              <w:suppressAutoHyphens/>
              <w:jc w:val="center"/>
              <w:rPr>
                <w:sz w:val="20"/>
              </w:rPr>
            </w:pPr>
            <w:r>
              <w:rPr>
                <w:sz w:val="20"/>
              </w:rPr>
              <w:t>$6,649,919.1</w:t>
            </w:r>
          </w:p>
        </w:tc>
      </w:tr>
      <w:tr w14:paraId="08F64EC1" w14:textId="77777777" w:rsidTr="00A9111E">
        <w:tblPrEx>
          <w:tblW w:w="14827" w:type="dxa"/>
          <w:tblInd w:w="-972" w:type="dxa"/>
          <w:shd w:val="clear" w:color="auto" w:fill="FFFFFF" w:themeFill="background1"/>
          <w:tblLayout w:type="fixed"/>
          <w:tblLook w:val="04A0"/>
        </w:tblPrEx>
        <w:trPr>
          <w:cantSplit/>
          <w:trHeight w:val="1070"/>
        </w:trPr>
        <w:tc>
          <w:tcPr>
            <w:tcW w:w="1505" w:type="dxa"/>
            <w:shd w:val="clear" w:color="auto" w:fill="FFFFFF" w:themeFill="background1"/>
          </w:tcPr>
          <w:p w:rsidR="003A4691" w:rsidRPr="00C761AD" w:rsidP="00A9111E" w14:paraId="174775BB" w14:textId="77777777">
            <w:pPr>
              <w:tabs>
                <w:tab w:val="left" w:pos="-720"/>
                <w:tab w:val="left" w:pos="0"/>
              </w:tabs>
              <w:suppressAutoHyphens/>
              <w:jc w:val="center"/>
              <w:rPr>
                <w:rFonts w:cs="Times New Roman"/>
                <w:sz w:val="20"/>
                <w:szCs w:val="20"/>
              </w:rPr>
            </w:pPr>
            <w:r w:rsidRPr="00C761AD">
              <w:rPr>
                <w:rFonts w:cs="Times New Roman"/>
                <w:sz w:val="20"/>
                <w:szCs w:val="20"/>
              </w:rPr>
              <w:t>49.12 – Recordkeeping for SDR swap transaction data</w:t>
            </w:r>
          </w:p>
        </w:tc>
        <w:tc>
          <w:tcPr>
            <w:tcW w:w="1620" w:type="dxa"/>
            <w:shd w:val="clear" w:color="auto" w:fill="FFFFFF" w:themeFill="background1"/>
          </w:tcPr>
          <w:p w:rsidR="003A4691" w:rsidRPr="00C761AD" w:rsidP="00A9111E" w14:paraId="2B7C3F95" w14:textId="77777777">
            <w:pPr>
              <w:tabs>
                <w:tab w:val="left" w:pos="-720"/>
                <w:tab w:val="left" w:pos="0"/>
              </w:tabs>
              <w:suppressAutoHyphens/>
              <w:jc w:val="center"/>
              <w:rPr>
                <w:rFonts w:cs="Times New Roman"/>
                <w:sz w:val="20"/>
                <w:szCs w:val="20"/>
              </w:rPr>
            </w:pPr>
            <w:r>
              <w:rPr>
                <w:sz w:val="20"/>
              </w:rPr>
              <w:t>4</w:t>
            </w:r>
          </w:p>
        </w:tc>
        <w:tc>
          <w:tcPr>
            <w:tcW w:w="1620" w:type="dxa"/>
            <w:shd w:val="clear" w:color="auto" w:fill="FFFFFF" w:themeFill="background1"/>
          </w:tcPr>
          <w:p w:rsidR="003A4691" w:rsidRPr="00C761AD" w:rsidP="00A9111E" w14:paraId="589FF6E4" w14:textId="77777777">
            <w:pPr>
              <w:tabs>
                <w:tab w:val="left" w:pos="-720"/>
                <w:tab w:val="left" w:pos="0"/>
              </w:tabs>
              <w:suppressAutoHyphens/>
              <w:jc w:val="center"/>
              <w:rPr>
                <w:rFonts w:cs="Times New Roman"/>
                <w:sz w:val="20"/>
                <w:szCs w:val="20"/>
              </w:rPr>
            </w:pPr>
            <w:r w:rsidRPr="00C761AD">
              <w:rPr>
                <w:rFonts w:cs="Times New Roman"/>
                <w:sz w:val="20"/>
                <w:szCs w:val="20"/>
              </w:rPr>
              <w:t>1</w:t>
            </w:r>
          </w:p>
        </w:tc>
        <w:tc>
          <w:tcPr>
            <w:tcW w:w="1531" w:type="dxa"/>
            <w:shd w:val="clear" w:color="auto" w:fill="FFFFFF" w:themeFill="background1"/>
          </w:tcPr>
          <w:p w:rsidR="003A4691" w:rsidRPr="00C761AD" w:rsidP="00A9111E" w14:paraId="0BCF78C6" w14:textId="77777777">
            <w:pPr>
              <w:tabs>
                <w:tab w:val="left" w:pos="-720"/>
                <w:tab w:val="left" w:pos="0"/>
              </w:tabs>
              <w:suppressAutoHyphens/>
              <w:jc w:val="center"/>
              <w:rPr>
                <w:rFonts w:cs="Times New Roman"/>
                <w:sz w:val="20"/>
                <w:szCs w:val="20"/>
              </w:rPr>
            </w:pPr>
            <w:r w:rsidRPr="00C761AD">
              <w:rPr>
                <w:rFonts w:cs="Times New Roman"/>
                <w:sz w:val="20"/>
                <w:szCs w:val="20"/>
              </w:rPr>
              <w:t>254</w:t>
            </w:r>
          </w:p>
        </w:tc>
        <w:tc>
          <w:tcPr>
            <w:tcW w:w="1528" w:type="dxa"/>
            <w:shd w:val="clear" w:color="auto" w:fill="FFFFFF" w:themeFill="background1"/>
          </w:tcPr>
          <w:p w:rsidR="003A4691" w:rsidRPr="00C761AD" w:rsidP="00A9111E" w14:paraId="315905A5" w14:textId="77777777">
            <w:pPr>
              <w:tabs>
                <w:tab w:val="left" w:pos="-720"/>
                <w:tab w:val="left" w:pos="0"/>
              </w:tabs>
              <w:suppressAutoHyphens/>
              <w:jc w:val="center"/>
              <w:rPr>
                <w:rFonts w:cs="Times New Roman"/>
                <w:sz w:val="20"/>
                <w:szCs w:val="20"/>
              </w:rPr>
            </w:pPr>
            <w:r>
              <w:rPr>
                <w:sz w:val="20"/>
              </w:rPr>
              <w:t>254</w:t>
            </w:r>
          </w:p>
        </w:tc>
        <w:tc>
          <w:tcPr>
            <w:tcW w:w="1351" w:type="dxa"/>
            <w:shd w:val="clear" w:color="auto" w:fill="FFFFFF" w:themeFill="background1"/>
          </w:tcPr>
          <w:p w:rsidR="003A4691" w:rsidRPr="00C761AD" w:rsidP="00A9111E" w14:paraId="3F3A49E2" w14:textId="77777777">
            <w:pPr>
              <w:tabs>
                <w:tab w:val="left" w:pos="-720"/>
                <w:tab w:val="left" w:pos="0"/>
              </w:tabs>
              <w:suppressAutoHyphens/>
              <w:jc w:val="center"/>
              <w:rPr>
                <w:rFonts w:cs="Times New Roman"/>
                <w:sz w:val="20"/>
                <w:szCs w:val="20"/>
              </w:rPr>
            </w:pPr>
            <w:r w:rsidRPr="00C761AD">
              <w:rPr>
                <w:rFonts w:cs="Times New Roman"/>
                <w:sz w:val="20"/>
                <w:szCs w:val="20"/>
              </w:rPr>
              <w:t>$88.09</w:t>
            </w:r>
          </w:p>
        </w:tc>
        <w:tc>
          <w:tcPr>
            <w:tcW w:w="1528" w:type="dxa"/>
            <w:shd w:val="clear" w:color="auto" w:fill="FFFFFF" w:themeFill="background1"/>
          </w:tcPr>
          <w:p w:rsidR="003A4691" w:rsidRPr="00C761AD" w:rsidP="00A9111E" w14:paraId="3A312CC2" w14:textId="77777777">
            <w:pPr>
              <w:jc w:val="center"/>
              <w:rPr>
                <w:rFonts w:cs="Times New Roman"/>
                <w:sz w:val="20"/>
                <w:szCs w:val="20"/>
              </w:rPr>
            </w:pPr>
            <w:r>
              <w:rPr>
                <w:sz w:val="20"/>
              </w:rPr>
              <w:t>$22,374.86</w:t>
            </w:r>
          </w:p>
        </w:tc>
        <w:tc>
          <w:tcPr>
            <w:tcW w:w="1441" w:type="dxa"/>
            <w:shd w:val="clear" w:color="auto" w:fill="FFFFFF" w:themeFill="background1"/>
          </w:tcPr>
          <w:p w:rsidR="003A4691" w:rsidRPr="00C761AD" w:rsidP="00A9111E" w14:paraId="0B8ED729" w14:textId="77777777">
            <w:pPr>
              <w:tabs>
                <w:tab w:val="left" w:pos="-720"/>
                <w:tab w:val="left" w:pos="0"/>
              </w:tabs>
              <w:suppressAutoHyphens/>
              <w:jc w:val="center"/>
              <w:rPr>
                <w:rFonts w:cs="Times New Roman"/>
                <w:sz w:val="20"/>
                <w:szCs w:val="20"/>
              </w:rPr>
            </w:pPr>
            <w:r>
              <w:rPr>
                <w:sz w:val="20"/>
              </w:rPr>
              <w:t>4</w:t>
            </w:r>
          </w:p>
        </w:tc>
        <w:tc>
          <w:tcPr>
            <w:tcW w:w="1172" w:type="dxa"/>
            <w:shd w:val="clear" w:color="auto" w:fill="FFFFFF" w:themeFill="background1"/>
          </w:tcPr>
          <w:p w:rsidR="003A4691" w:rsidRPr="00C761AD" w:rsidP="00A9111E" w14:paraId="01E0FAB8" w14:textId="77777777">
            <w:pPr>
              <w:tabs>
                <w:tab w:val="left" w:pos="-720"/>
                <w:tab w:val="left" w:pos="0"/>
              </w:tabs>
              <w:suppressAutoHyphens/>
              <w:jc w:val="center"/>
              <w:rPr>
                <w:rFonts w:cs="Times New Roman"/>
                <w:sz w:val="20"/>
                <w:szCs w:val="20"/>
              </w:rPr>
            </w:pPr>
            <w:r>
              <w:rPr>
                <w:sz w:val="20"/>
              </w:rPr>
              <w:t>1,016</w:t>
            </w:r>
          </w:p>
        </w:tc>
        <w:tc>
          <w:tcPr>
            <w:tcW w:w="1531" w:type="dxa"/>
            <w:shd w:val="clear" w:color="auto" w:fill="FFFFFF" w:themeFill="background1"/>
          </w:tcPr>
          <w:p w:rsidR="003A4691" w:rsidRPr="00C761AD" w:rsidP="00A9111E" w14:paraId="2EFF0883" w14:textId="77777777">
            <w:pPr>
              <w:tabs>
                <w:tab w:val="left" w:pos="-720"/>
                <w:tab w:val="left" w:pos="0"/>
              </w:tabs>
              <w:suppressAutoHyphens/>
              <w:jc w:val="center"/>
              <w:rPr>
                <w:rFonts w:cs="Times New Roman"/>
                <w:sz w:val="20"/>
                <w:szCs w:val="20"/>
              </w:rPr>
            </w:pPr>
            <w:r>
              <w:rPr>
                <w:sz w:val="20"/>
              </w:rPr>
              <w:t>$89,499.44</w:t>
            </w:r>
          </w:p>
        </w:tc>
      </w:tr>
      <w:tr w14:paraId="01E0EDF3" w14:textId="77777777" w:rsidTr="00385EBC">
        <w:tblPrEx>
          <w:tblW w:w="14827" w:type="dxa"/>
          <w:tblInd w:w="-972" w:type="dxa"/>
          <w:shd w:val="clear" w:color="auto" w:fill="FFFFFF" w:themeFill="background1"/>
          <w:tblLayout w:type="fixed"/>
          <w:tblLook w:val="04A0"/>
        </w:tblPrEx>
        <w:trPr>
          <w:cantSplit/>
          <w:trHeight w:val="152"/>
        </w:trPr>
        <w:tc>
          <w:tcPr>
            <w:tcW w:w="10683" w:type="dxa"/>
            <w:gridSpan w:val="7"/>
            <w:shd w:val="clear" w:color="auto" w:fill="BFBFBF" w:themeFill="background1" w:themeFillShade="BF"/>
          </w:tcPr>
          <w:p w:rsidR="003A4691" w:rsidRPr="00F54008" w:rsidP="00A9111E" w14:paraId="6C37FF54" w14:textId="77777777">
            <w:pPr>
              <w:rPr>
                <w:b/>
                <w:bCs/>
                <w:sz w:val="20"/>
              </w:rPr>
            </w:pPr>
            <w:r w:rsidRPr="00F54008">
              <w:rPr>
                <w:b/>
                <w:bCs/>
                <w:sz w:val="20"/>
              </w:rPr>
              <w:t>Total Recordkeeping</w:t>
            </w:r>
          </w:p>
        </w:tc>
        <w:tc>
          <w:tcPr>
            <w:tcW w:w="1441" w:type="dxa"/>
            <w:shd w:val="clear" w:color="auto" w:fill="FFFFFF" w:themeFill="background1"/>
          </w:tcPr>
          <w:p w:rsidR="003A4691" w:rsidP="00A9111E" w14:paraId="3B4B22B7" w14:textId="77777777">
            <w:pPr>
              <w:tabs>
                <w:tab w:val="left" w:pos="-720"/>
                <w:tab w:val="left" w:pos="0"/>
              </w:tabs>
              <w:suppressAutoHyphens/>
              <w:jc w:val="center"/>
              <w:rPr>
                <w:sz w:val="20"/>
              </w:rPr>
            </w:pPr>
            <w:r>
              <w:rPr>
                <w:sz w:val="20"/>
              </w:rPr>
              <w:t>4</w:t>
            </w:r>
          </w:p>
        </w:tc>
        <w:tc>
          <w:tcPr>
            <w:tcW w:w="1172" w:type="dxa"/>
            <w:shd w:val="clear" w:color="auto" w:fill="FFFFFF" w:themeFill="background1"/>
          </w:tcPr>
          <w:p w:rsidR="003A4691" w:rsidP="00A9111E" w14:paraId="4C7FA138" w14:textId="77777777">
            <w:pPr>
              <w:tabs>
                <w:tab w:val="left" w:pos="-720"/>
                <w:tab w:val="left" w:pos="0"/>
              </w:tabs>
              <w:suppressAutoHyphens/>
              <w:jc w:val="center"/>
              <w:rPr>
                <w:sz w:val="20"/>
              </w:rPr>
            </w:pPr>
            <w:r>
              <w:rPr>
                <w:sz w:val="20"/>
              </w:rPr>
              <w:t>1,016</w:t>
            </w:r>
          </w:p>
        </w:tc>
        <w:tc>
          <w:tcPr>
            <w:tcW w:w="1531" w:type="dxa"/>
            <w:shd w:val="clear" w:color="auto" w:fill="FFFFFF" w:themeFill="background1"/>
          </w:tcPr>
          <w:p w:rsidR="003A4691" w:rsidP="00A9111E" w14:paraId="5758B9E8" w14:textId="016F5967">
            <w:pPr>
              <w:tabs>
                <w:tab w:val="left" w:pos="-720"/>
                <w:tab w:val="left" w:pos="0"/>
              </w:tabs>
              <w:suppressAutoHyphens/>
              <w:jc w:val="center"/>
              <w:rPr>
                <w:sz w:val="20"/>
              </w:rPr>
            </w:pPr>
            <w:r>
              <w:rPr>
                <w:sz w:val="20"/>
              </w:rPr>
              <w:t>$89,488</w:t>
            </w:r>
            <w:r w:rsidR="00AC47D1">
              <w:rPr>
                <w:sz w:val="20"/>
              </w:rPr>
              <w:t>.</w:t>
            </w:r>
            <w:r>
              <w:rPr>
                <w:sz w:val="20"/>
              </w:rPr>
              <w:t>44</w:t>
            </w:r>
          </w:p>
        </w:tc>
      </w:tr>
      <w:tr w14:paraId="4C60206D" w14:textId="77777777" w:rsidTr="00A9111E">
        <w:tblPrEx>
          <w:tblW w:w="14827" w:type="dxa"/>
          <w:tblInd w:w="-972" w:type="dxa"/>
          <w:shd w:val="clear" w:color="auto" w:fill="FFFFFF" w:themeFill="background1"/>
          <w:tblLayout w:type="fixed"/>
          <w:tblLook w:val="04A0"/>
        </w:tblPrEx>
        <w:trPr>
          <w:cantSplit/>
          <w:trHeight w:val="980"/>
        </w:trPr>
        <w:tc>
          <w:tcPr>
            <w:tcW w:w="1505" w:type="dxa"/>
            <w:shd w:val="clear" w:color="auto" w:fill="FFFFFF" w:themeFill="background1"/>
          </w:tcPr>
          <w:p w:rsidR="003A4691" w:rsidRPr="00C761AD" w:rsidP="00A9111E" w14:paraId="2D152FA3" w14:textId="77777777">
            <w:pPr>
              <w:tabs>
                <w:tab w:val="left" w:pos="-720"/>
                <w:tab w:val="left" w:pos="0"/>
              </w:tabs>
              <w:suppressAutoHyphens/>
              <w:jc w:val="center"/>
              <w:rPr>
                <w:rFonts w:cs="Times New Roman"/>
                <w:sz w:val="20"/>
                <w:szCs w:val="20"/>
              </w:rPr>
            </w:pPr>
            <w:r w:rsidRPr="00C761AD">
              <w:rPr>
                <w:rFonts w:cs="Times New Roman"/>
                <w:sz w:val="20"/>
                <w:szCs w:val="20"/>
              </w:rPr>
              <w:t>49.17-18 – Electronic Access</w:t>
            </w:r>
          </w:p>
        </w:tc>
        <w:tc>
          <w:tcPr>
            <w:tcW w:w="1620" w:type="dxa"/>
            <w:shd w:val="clear" w:color="auto" w:fill="FFFFFF" w:themeFill="background1"/>
          </w:tcPr>
          <w:p w:rsidR="003A4691" w:rsidRPr="00C761AD" w:rsidP="00A9111E" w14:paraId="20D14813" w14:textId="77777777">
            <w:pPr>
              <w:tabs>
                <w:tab w:val="left" w:pos="-720"/>
                <w:tab w:val="left" w:pos="0"/>
              </w:tabs>
              <w:suppressAutoHyphens/>
              <w:jc w:val="center"/>
              <w:rPr>
                <w:rFonts w:cs="Times New Roman"/>
                <w:sz w:val="20"/>
                <w:szCs w:val="20"/>
              </w:rPr>
            </w:pPr>
            <w:r>
              <w:rPr>
                <w:sz w:val="20"/>
              </w:rPr>
              <w:t>4</w:t>
            </w:r>
          </w:p>
        </w:tc>
        <w:tc>
          <w:tcPr>
            <w:tcW w:w="1620" w:type="dxa"/>
            <w:shd w:val="clear" w:color="auto" w:fill="FFFFFF" w:themeFill="background1"/>
          </w:tcPr>
          <w:p w:rsidR="003A4691" w:rsidRPr="00C761AD" w:rsidP="00A9111E" w14:paraId="17C6D2CD" w14:textId="77777777">
            <w:pPr>
              <w:tabs>
                <w:tab w:val="left" w:pos="-720"/>
                <w:tab w:val="left" w:pos="0"/>
              </w:tabs>
              <w:suppressAutoHyphens/>
              <w:jc w:val="center"/>
              <w:rPr>
                <w:rFonts w:cs="Times New Roman"/>
                <w:sz w:val="20"/>
                <w:szCs w:val="20"/>
              </w:rPr>
            </w:pPr>
            <w:r>
              <w:rPr>
                <w:sz w:val="20"/>
              </w:rPr>
              <w:t>N/A</w:t>
            </w:r>
          </w:p>
        </w:tc>
        <w:tc>
          <w:tcPr>
            <w:tcW w:w="1531" w:type="dxa"/>
            <w:shd w:val="clear" w:color="auto" w:fill="FFFFFF" w:themeFill="background1"/>
          </w:tcPr>
          <w:p w:rsidR="003A4691" w:rsidRPr="00C761AD" w:rsidP="00A9111E" w14:paraId="4191CA67" w14:textId="77777777">
            <w:pPr>
              <w:tabs>
                <w:tab w:val="left" w:pos="-720"/>
                <w:tab w:val="left" w:pos="0"/>
              </w:tabs>
              <w:suppressAutoHyphens/>
              <w:jc w:val="center"/>
              <w:rPr>
                <w:rFonts w:cs="Times New Roman"/>
                <w:sz w:val="20"/>
                <w:szCs w:val="20"/>
              </w:rPr>
            </w:pPr>
            <w:r>
              <w:rPr>
                <w:sz w:val="20"/>
              </w:rPr>
              <w:t>N/A</w:t>
            </w:r>
          </w:p>
        </w:tc>
        <w:tc>
          <w:tcPr>
            <w:tcW w:w="1528" w:type="dxa"/>
            <w:shd w:val="clear" w:color="auto" w:fill="FFFFFF" w:themeFill="background1"/>
          </w:tcPr>
          <w:p w:rsidR="003A4691" w:rsidRPr="00C761AD" w:rsidP="00A9111E" w14:paraId="110EB9A5" w14:textId="77777777">
            <w:pPr>
              <w:tabs>
                <w:tab w:val="left" w:pos="-720"/>
                <w:tab w:val="left" w:pos="0"/>
              </w:tabs>
              <w:suppressAutoHyphens/>
              <w:jc w:val="center"/>
              <w:rPr>
                <w:rFonts w:cs="Times New Roman"/>
                <w:sz w:val="20"/>
                <w:szCs w:val="20"/>
              </w:rPr>
            </w:pPr>
            <w:r>
              <w:rPr>
                <w:sz w:val="20"/>
              </w:rPr>
              <w:t>543</w:t>
            </w:r>
          </w:p>
        </w:tc>
        <w:tc>
          <w:tcPr>
            <w:tcW w:w="1351" w:type="dxa"/>
            <w:shd w:val="clear" w:color="auto" w:fill="FFFFFF" w:themeFill="background1"/>
          </w:tcPr>
          <w:p w:rsidR="003A4691" w:rsidRPr="00C761AD" w:rsidP="00A9111E" w14:paraId="7CF4BBD0" w14:textId="77777777">
            <w:pPr>
              <w:tabs>
                <w:tab w:val="left" w:pos="-720"/>
                <w:tab w:val="left" w:pos="0"/>
              </w:tabs>
              <w:suppressAutoHyphens/>
              <w:jc w:val="center"/>
              <w:rPr>
                <w:rFonts w:cs="Times New Roman"/>
                <w:sz w:val="20"/>
                <w:szCs w:val="20"/>
              </w:rPr>
            </w:pPr>
            <w:r w:rsidRPr="00C761AD">
              <w:rPr>
                <w:rFonts w:cs="Times New Roman"/>
                <w:sz w:val="20"/>
                <w:szCs w:val="20"/>
              </w:rPr>
              <w:t>$88.09</w:t>
            </w:r>
          </w:p>
        </w:tc>
        <w:tc>
          <w:tcPr>
            <w:tcW w:w="1528" w:type="dxa"/>
            <w:shd w:val="clear" w:color="auto" w:fill="FFFFFF" w:themeFill="background1"/>
          </w:tcPr>
          <w:p w:rsidR="003A4691" w:rsidRPr="00C761AD" w:rsidP="00A9111E" w14:paraId="53D628B3" w14:textId="77777777">
            <w:pPr>
              <w:jc w:val="center"/>
              <w:rPr>
                <w:rFonts w:cs="Times New Roman"/>
                <w:sz w:val="20"/>
                <w:szCs w:val="20"/>
              </w:rPr>
            </w:pPr>
            <w:r>
              <w:rPr>
                <w:sz w:val="20"/>
              </w:rPr>
              <w:t>$47,832.87</w:t>
            </w:r>
          </w:p>
        </w:tc>
        <w:tc>
          <w:tcPr>
            <w:tcW w:w="1441" w:type="dxa"/>
            <w:shd w:val="clear" w:color="auto" w:fill="FFFFFF" w:themeFill="background1"/>
          </w:tcPr>
          <w:p w:rsidR="003A4691" w:rsidRPr="00C761AD" w:rsidP="00A9111E" w14:paraId="59E44AE5" w14:textId="77777777">
            <w:pPr>
              <w:tabs>
                <w:tab w:val="left" w:pos="-720"/>
                <w:tab w:val="left" w:pos="0"/>
              </w:tabs>
              <w:suppressAutoHyphens/>
              <w:jc w:val="center"/>
              <w:rPr>
                <w:rFonts w:cs="Times New Roman"/>
                <w:sz w:val="20"/>
                <w:szCs w:val="20"/>
              </w:rPr>
            </w:pPr>
            <w:r>
              <w:rPr>
                <w:sz w:val="20"/>
              </w:rPr>
              <w:t>N/A</w:t>
            </w:r>
          </w:p>
        </w:tc>
        <w:tc>
          <w:tcPr>
            <w:tcW w:w="1172" w:type="dxa"/>
            <w:shd w:val="clear" w:color="auto" w:fill="FFFFFF" w:themeFill="background1"/>
          </w:tcPr>
          <w:p w:rsidR="003A4691" w:rsidRPr="009D060E" w:rsidP="006D1B72" w14:paraId="51899108" w14:textId="72823739">
            <w:pPr>
              <w:tabs>
                <w:tab w:val="left" w:pos="-720"/>
                <w:tab w:val="left" w:pos="0"/>
              </w:tabs>
              <w:suppressAutoHyphens/>
              <w:jc w:val="center"/>
              <w:rPr>
                <w:sz w:val="20"/>
              </w:rPr>
            </w:pPr>
            <w:r>
              <w:rPr>
                <w:sz w:val="20"/>
              </w:rPr>
              <w:t>2,172</w:t>
            </w:r>
          </w:p>
        </w:tc>
        <w:tc>
          <w:tcPr>
            <w:tcW w:w="1531" w:type="dxa"/>
            <w:shd w:val="clear" w:color="auto" w:fill="FFFFFF" w:themeFill="background1"/>
          </w:tcPr>
          <w:p w:rsidR="003A4691" w:rsidRPr="00C761AD" w:rsidP="00A9111E" w14:paraId="258DCF8D" w14:textId="77777777">
            <w:pPr>
              <w:tabs>
                <w:tab w:val="left" w:pos="-720"/>
                <w:tab w:val="left" w:pos="0"/>
              </w:tabs>
              <w:suppressAutoHyphens/>
              <w:jc w:val="center"/>
              <w:rPr>
                <w:rFonts w:cs="Times New Roman"/>
                <w:sz w:val="20"/>
                <w:szCs w:val="20"/>
              </w:rPr>
            </w:pPr>
            <w:r>
              <w:rPr>
                <w:sz w:val="20"/>
              </w:rPr>
              <w:t>$191,331.48</w:t>
            </w:r>
          </w:p>
        </w:tc>
      </w:tr>
      <w:tr w14:paraId="121EFC54" w14:textId="77777777" w:rsidTr="00600238">
        <w:tblPrEx>
          <w:tblW w:w="14827" w:type="dxa"/>
          <w:tblInd w:w="-972" w:type="dxa"/>
          <w:shd w:val="clear" w:color="auto" w:fill="FFFFFF" w:themeFill="background1"/>
          <w:tblLayout w:type="fixed"/>
          <w:tblLook w:val="04A0"/>
        </w:tblPrEx>
        <w:trPr>
          <w:cantSplit/>
          <w:trHeight w:val="998"/>
        </w:trPr>
        <w:tc>
          <w:tcPr>
            <w:tcW w:w="1505" w:type="dxa"/>
            <w:shd w:val="clear" w:color="auto" w:fill="FFFFFF" w:themeFill="background1"/>
          </w:tcPr>
          <w:p w:rsidR="003A4691" w:rsidRPr="00C761AD" w:rsidP="00A9111E" w14:paraId="1EC8C506" w14:textId="77777777">
            <w:pPr>
              <w:tabs>
                <w:tab w:val="left" w:pos="-720"/>
                <w:tab w:val="left" w:pos="0"/>
              </w:tabs>
              <w:suppressAutoHyphens/>
              <w:jc w:val="center"/>
              <w:rPr>
                <w:rFonts w:cs="Times New Roman"/>
                <w:b/>
                <w:bCs/>
                <w:sz w:val="20"/>
                <w:szCs w:val="20"/>
              </w:rPr>
            </w:pPr>
            <w:r w:rsidRPr="00C761AD">
              <w:rPr>
                <w:rFonts w:cs="Times New Roman"/>
                <w:sz w:val="20"/>
                <w:szCs w:val="20"/>
              </w:rPr>
              <w:t>49.26 – Disclosure Requirements for SDRs</w:t>
            </w:r>
          </w:p>
        </w:tc>
        <w:tc>
          <w:tcPr>
            <w:tcW w:w="1620" w:type="dxa"/>
            <w:shd w:val="clear" w:color="auto" w:fill="FFFFFF" w:themeFill="background1"/>
          </w:tcPr>
          <w:p w:rsidR="003A4691" w:rsidRPr="00C761AD" w:rsidP="00A9111E" w14:paraId="173B3F57" w14:textId="77777777">
            <w:pPr>
              <w:tabs>
                <w:tab w:val="left" w:pos="-720"/>
                <w:tab w:val="left" w:pos="0"/>
              </w:tabs>
              <w:suppressAutoHyphens/>
              <w:jc w:val="center"/>
              <w:rPr>
                <w:rFonts w:cs="Times New Roman"/>
                <w:sz w:val="20"/>
                <w:szCs w:val="20"/>
              </w:rPr>
            </w:pPr>
            <w:r>
              <w:rPr>
                <w:sz w:val="20"/>
              </w:rPr>
              <w:t>4</w:t>
            </w:r>
          </w:p>
        </w:tc>
        <w:tc>
          <w:tcPr>
            <w:tcW w:w="1620" w:type="dxa"/>
            <w:shd w:val="clear" w:color="auto" w:fill="FFFFFF" w:themeFill="background1"/>
          </w:tcPr>
          <w:p w:rsidR="003A4691" w:rsidRPr="00C761AD" w:rsidP="00A9111E" w14:paraId="56F99D02" w14:textId="77777777">
            <w:pPr>
              <w:tabs>
                <w:tab w:val="left" w:pos="-720"/>
                <w:tab w:val="left" w:pos="0"/>
              </w:tabs>
              <w:suppressAutoHyphens/>
              <w:jc w:val="center"/>
              <w:rPr>
                <w:rFonts w:cs="Times New Roman"/>
                <w:sz w:val="20"/>
                <w:szCs w:val="20"/>
              </w:rPr>
            </w:pPr>
            <w:r w:rsidRPr="00C761AD">
              <w:rPr>
                <w:rFonts w:cs="Times New Roman"/>
                <w:sz w:val="20"/>
                <w:szCs w:val="20"/>
              </w:rPr>
              <w:t>1</w:t>
            </w:r>
          </w:p>
        </w:tc>
        <w:tc>
          <w:tcPr>
            <w:tcW w:w="1531" w:type="dxa"/>
            <w:shd w:val="clear" w:color="auto" w:fill="FFFFFF" w:themeFill="background1"/>
          </w:tcPr>
          <w:p w:rsidR="003A4691" w:rsidRPr="00C761AD" w:rsidP="00A9111E" w14:paraId="41093C9A" w14:textId="77777777">
            <w:pPr>
              <w:tabs>
                <w:tab w:val="left" w:pos="-720"/>
                <w:tab w:val="left" w:pos="0"/>
              </w:tabs>
              <w:suppressAutoHyphens/>
              <w:jc w:val="center"/>
              <w:rPr>
                <w:rFonts w:cs="Times New Roman"/>
                <w:sz w:val="20"/>
                <w:szCs w:val="20"/>
              </w:rPr>
            </w:pPr>
            <w:r w:rsidRPr="00C761AD">
              <w:rPr>
                <w:rFonts w:cs="Times New Roman"/>
                <w:sz w:val="20"/>
                <w:szCs w:val="20"/>
              </w:rPr>
              <w:t>10</w:t>
            </w:r>
          </w:p>
        </w:tc>
        <w:tc>
          <w:tcPr>
            <w:tcW w:w="1528" w:type="dxa"/>
            <w:shd w:val="clear" w:color="auto" w:fill="FFFFFF" w:themeFill="background1"/>
          </w:tcPr>
          <w:p w:rsidR="003A4691" w:rsidRPr="00C761AD" w:rsidP="00A9111E" w14:paraId="1A66C8D9" w14:textId="77777777">
            <w:pPr>
              <w:tabs>
                <w:tab w:val="left" w:pos="-720"/>
                <w:tab w:val="left" w:pos="0"/>
              </w:tabs>
              <w:suppressAutoHyphens/>
              <w:jc w:val="center"/>
              <w:rPr>
                <w:rFonts w:cs="Times New Roman"/>
                <w:sz w:val="20"/>
                <w:szCs w:val="20"/>
              </w:rPr>
            </w:pPr>
            <w:r w:rsidRPr="00C761AD">
              <w:rPr>
                <w:rFonts w:cs="Times New Roman"/>
                <w:sz w:val="20"/>
                <w:szCs w:val="20"/>
              </w:rPr>
              <w:t>10</w:t>
            </w:r>
          </w:p>
        </w:tc>
        <w:tc>
          <w:tcPr>
            <w:tcW w:w="1351" w:type="dxa"/>
            <w:shd w:val="clear" w:color="auto" w:fill="FFFFFF" w:themeFill="background1"/>
          </w:tcPr>
          <w:p w:rsidR="003A4691" w:rsidRPr="00C761AD" w:rsidP="00A9111E" w14:paraId="7433EBB2" w14:textId="77777777">
            <w:pPr>
              <w:tabs>
                <w:tab w:val="left" w:pos="-720"/>
                <w:tab w:val="left" w:pos="0"/>
              </w:tabs>
              <w:suppressAutoHyphens/>
              <w:jc w:val="center"/>
              <w:rPr>
                <w:rFonts w:cs="Times New Roman"/>
                <w:sz w:val="20"/>
                <w:szCs w:val="20"/>
              </w:rPr>
            </w:pPr>
            <w:r w:rsidRPr="00C761AD">
              <w:rPr>
                <w:rFonts w:cs="Times New Roman"/>
                <w:sz w:val="20"/>
                <w:szCs w:val="20"/>
              </w:rPr>
              <w:t>$88.09</w:t>
            </w:r>
          </w:p>
        </w:tc>
        <w:tc>
          <w:tcPr>
            <w:tcW w:w="1528" w:type="dxa"/>
            <w:shd w:val="clear" w:color="auto" w:fill="FFFFFF" w:themeFill="background1"/>
          </w:tcPr>
          <w:p w:rsidR="003A4691" w:rsidRPr="00C761AD" w:rsidP="00A9111E" w14:paraId="06E5F4B8" w14:textId="77777777">
            <w:pPr>
              <w:jc w:val="center"/>
              <w:rPr>
                <w:rFonts w:cs="Times New Roman"/>
                <w:sz w:val="20"/>
                <w:szCs w:val="20"/>
              </w:rPr>
            </w:pPr>
            <w:r w:rsidRPr="00C761AD">
              <w:rPr>
                <w:rFonts w:cs="Times New Roman"/>
                <w:sz w:val="20"/>
                <w:szCs w:val="20"/>
              </w:rPr>
              <w:t>$</w:t>
            </w:r>
            <w:r>
              <w:rPr>
                <w:sz w:val="20"/>
              </w:rPr>
              <w:t>880.9</w:t>
            </w:r>
          </w:p>
        </w:tc>
        <w:tc>
          <w:tcPr>
            <w:tcW w:w="1441" w:type="dxa"/>
            <w:shd w:val="clear" w:color="auto" w:fill="FFFFFF" w:themeFill="background1"/>
          </w:tcPr>
          <w:p w:rsidR="003A4691" w:rsidRPr="00C761AD" w:rsidP="00A9111E" w14:paraId="3EE9DD6F" w14:textId="77777777">
            <w:pPr>
              <w:tabs>
                <w:tab w:val="left" w:pos="-720"/>
                <w:tab w:val="left" w:pos="0"/>
              </w:tabs>
              <w:suppressAutoHyphens/>
              <w:jc w:val="center"/>
              <w:rPr>
                <w:rFonts w:cs="Times New Roman"/>
                <w:sz w:val="20"/>
                <w:szCs w:val="20"/>
              </w:rPr>
            </w:pPr>
            <w:r>
              <w:rPr>
                <w:sz w:val="20"/>
              </w:rPr>
              <w:t>4</w:t>
            </w:r>
          </w:p>
        </w:tc>
        <w:tc>
          <w:tcPr>
            <w:tcW w:w="1172" w:type="dxa"/>
            <w:shd w:val="clear" w:color="auto" w:fill="FFFFFF" w:themeFill="background1"/>
          </w:tcPr>
          <w:p w:rsidR="003A4691" w:rsidRPr="00C761AD" w:rsidP="00A9111E" w14:paraId="2CE0B3B5" w14:textId="77777777">
            <w:pPr>
              <w:tabs>
                <w:tab w:val="left" w:pos="-720"/>
                <w:tab w:val="left" w:pos="0"/>
              </w:tabs>
              <w:suppressAutoHyphens/>
              <w:jc w:val="center"/>
              <w:rPr>
                <w:rFonts w:cs="Times New Roman"/>
                <w:sz w:val="20"/>
                <w:szCs w:val="20"/>
              </w:rPr>
            </w:pPr>
            <w:r>
              <w:rPr>
                <w:sz w:val="20"/>
              </w:rPr>
              <w:t>40</w:t>
            </w:r>
          </w:p>
        </w:tc>
        <w:tc>
          <w:tcPr>
            <w:tcW w:w="1531" w:type="dxa"/>
            <w:shd w:val="clear" w:color="auto" w:fill="FFFFFF" w:themeFill="background1"/>
          </w:tcPr>
          <w:p w:rsidR="003A4691" w:rsidRPr="00C761AD" w:rsidP="00A9111E" w14:paraId="435AEC10" w14:textId="77777777">
            <w:pPr>
              <w:tabs>
                <w:tab w:val="left" w:pos="-720"/>
                <w:tab w:val="left" w:pos="0"/>
              </w:tabs>
              <w:suppressAutoHyphens/>
              <w:jc w:val="center"/>
              <w:rPr>
                <w:rFonts w:cs="Times New Roman"/>
                <w:sz w:val="20"/>
                <w:szCs w:val="20"/>
              </w:rPr>
            </w:pPr>
            <w:r w:rsidRPr="00C761AD">
              <w:rPr>
                <w:rFonts w:cs="Times New Roman"/>
                <w:sz w:val="20"/>
                <w:szCs w:val="20"/>
              </w:rPr>
              <w:t>$</w:t>
            </w:r>
            <w:r>
              <w:rPr>
                <w:sz w:val="20"/>
              </w:rPr>
              <w:t>3,523.6</w:t>
            </w:r>
          </w:p>
        </w:tc>
      </w:tr>
      <w:tr w14:paraId="42CF0CF2" w14:textId="77777777" w:rsidTr="00385EBC">
        <w:tblPrEx>
          <w:tblW w:w="14827" w:type="dxa"/>
          <w:tblInd w:w="-972" w:type="dxa"/>
          <w:shd w:val="clear" w:color="auto" w:fill="FFFFFF" w:themeFill="background1"/>
          <w:tblLayout w:type="fixed"/>
          <w:tblLook w:val="04A0"/>
        </w:tblPrEx>
        <w:trPr>
          <w:cantSplit/>
          <w:trHeight w:val="170"/>
        </w:trPr>
        <w:tc>
          <w:tcPr>
            <w:tcW w:w="10683" w:type="dxa"/>
            <w:gridSpan w:val="7"/>
            <w:shd w:val="clear" w:color="auto" w:fill="BFBFBF" w:themeFill="background1" w:themeFillShade="BF"/>
          </w:tcPr>
          <w:p w:rsidR="003A4691" w:rsidRPr="00F54008" w:rsidP="00A9111E" w14:paraId="49C2E62D" w14:textId="77777777">
            <w:pPr>
              <w:rPr>
                <w:b/>
                <w:bCs/>
                <w:sz w:val="20"/>
              </w:rPr>
            </w:pPr>
            <w:r w:rsidRPr="00F54008">
              <w:rPr>
                <w:b/>
                <w:bCs/>
                <w:sz w:val="20"/>
              </w:rPr>
              <w:t>Total Disclosure</w:t>
            </w:r>
          </w:p>
        </w:tc>
        <w:tc>
          <w:tcPr>
            <w:tcW w:w="1441" w:type="dxa"/>
            <w:shd w:val="clear" w:color="auto" w:fill="FFFFFF" w:themeFill="background1"/>
          </w:tcPr>
          <w:p w:rsidR="003A4691" w:rsidP="00A9111E" w14:paraId="55052703" w14:textId="77777777">
            <w:pPr>
              <w:tabs>
                <w:tab w:val="left" w:pos="-720"/>
                <w:tab w:val="left" w:pos="0"/>
              </w:tabs>
              <w:suppressAutoHyphens/>
              <w:jc w:val="center"/>
              <w:rPr>
                <w:sz w:val="20"/>
              </w:rPr>
            </w:pPr>
            <w:r>
              <w:rPr>
                <w:sz w:val="20"/>
              </w:rPr>
              <w:t>4</w:t>
            </w:r>
          </w:p>
        </w:tc>
        <w:tc>
          <w:tcPr>
            <w:tcW w:w="1172" w:type="dxa"/>
            <w:shd w:val="clear" w:color="auto" w:fill="FFFFFF" w:themeFill="background1"/>
          </w:tcPr>
          <w:p w:rsidR="003A4691" w:rsidP="00A9111E" w14:paraId="41B66FB0" w14:textId="77777777">
            <w:pPr>
              <w:tabs>
                <w:tab w:val="left" w:pos="-720"/>
                <w:tab w:val="left" w:pos="0"/>
              </w:tabs>
              <w:suppressAutoHyphens/>
              <w:jc w:val="center"/>
              <w:rPr>
                <w:sz w:val="20"/>
              </w:rPr>
            </w:pPr>
            <w:r>
              <w:rPr>
                <w:sz w:val="20"/>
              </w:rPr>
              <w:t>2,212</w:t>
            </w:r>
          </w:p>
        </w:tc>
        <w:tc>
          <w:tcPr>
            <w:tcW w:w="1531" w:type="dxa"/>
            <w:shd w:val="clear" w:color="auto" w:fill="FFFFFF" w:themeFill="background1"/>
          </w:tcPr>
          <w:p w:rsidR="003A4691" w:rsidRPr="00307064" w:rsidP="00A9111E" w14:paraId="0EE7855D" w14:textId="77777777">
            <w:pPr>
              <w:tabs>
                <w:tab w:val="left" w:pos="-720"/>
                <w:tab w:val="left" w:pos="0"/>
              </w:tabs>
              <w:suppressAutoHyphens/>
              <w:jc w:val="center"/>
              <w:rPr>
                <w:sz w:val="20"/>
              </w:rPr>
            </w:pPr>
            <w:r w:rsidRPr="00307064">
              <w:rPr>
                <w:sz w:val="20"/>
              </w:rPr>
              <w:t>$194,855.08</w:t>
            </w:r>
          </w:p>
          <w:p w:rsidR="003A4691" w:rsidRPr="00505EA5" w:rsidP="00A9111E" w14:paraId="62F3ECC4" w14:textId="77777777">
            <w:pPr>
              <w:jc w:val="center"/>
              <w:rPr>
                <w:sz w:val="20"/>
              </w:rPr>
            </w:pPr>
          </w:p>
        </w:tc>
      </w:tr>
      <w:tr w14:paraId="0B321AEC" w14:textId="77777777" w:rsidTr="00385EBC">
        <w:tblPrEx>
          <w:tblW w:w="14827" w:type="dxa"/>
          <w:tblInd w:w="-972" w:type="dxa"/>
          <w:shd w:val="clear" w:color="auto" w:fill="FFFFFF" w:themeFill="background1"/>
          <w:tblLayout w:type="fixed"/>
          <w:tblLook w:val="04A0"/>
        </w:tblPrEx>
        <w:trPr>
          <w:cantSplit/>
          <w:trHeight w:val="170"/>
        </w:trPr>
        <w:tc>
          <w:tcPr>
            <w:tcW w:w="10683" w:type="dxa"/>
            <w:gridSpan w:val="7"/>
            <w:shd w:val="clear" w:color="auto" w:fill="BFBFBF" w:themeFill="background1" w:themeFillShade="BF"/>
          </w:tcPr>
          <w:p w:rsidR="00491738" w:rsidRPr="00491738" w:rsidP="00110DB9" w14:paraId="24DD6671" w14:textId="64F73149">
            <w:pPr>
              <w:spacing w:after="240"/>
              <w:rPr>
                <w:b/>
                <w:bCs/>
                <w:sz w:val="20"/>
              </w:rPr>
            </w:pPr>
            <w:r>
              <w:rPr>
                <w:b/>
                <w:bCs/>
                <w:sz w:val="20"/>
              </w:rPr>
              <w:t>Total Burden</w:t>
            </w:r>
            <w:r w:rsidR="00307064">
              <w:rPr>
                <w:b/>
                <w:bCs/>
                <w:sz w:val="20"/>
              </w:rPr>
              <w:t xml:space="preserve"> for Collection 3038-0086</w:t>
            </w:r>
          </w:p>
        </w:tc>
        <w:tc>
          <w:tcPr>
            <w:tcW w:w="1441" w:type="dxa"/>
            <w:shd w:val="clear" w:color="auto" w:fill="FFFFFF" w:themeFill="background1"/>
          </w:tcPr>
          <w:p w:rsidR="00491738" w:rsidRPr="00110DB9" w:rsidP="00110DB9" w14:paraId="5CAFB82B" w14:textId="1E62BC67">
            <w:pPr>
              <w:tabs>
                <w:tab w:val="left" w:pos="-720"/>
                <w:tab w:val="left" w:pos="0"/>
              </w:tabs>
              <w:suppressAutoHyphens/>
              <w:spacing w:after="240"/>
              <w:jc w:val="center"/>
              <w:rPr>
                <w:b/>
                <w:bCs/>
                <w:sz w:val="20"/>
              </w:rPr>
            </w:pPr>
            <w:r w:rsidRPr="00110DB9">
              <w:rPr>
                <w:b/>
                <w:bCs/>
                <w:sz w:val="20"/>
              </w:rPr>
              <w:t>4</w:t>
            </w:r>
          </w:p>
        </w:tc>
        <w:tc>
          <w:tcPr>
            <w:tcW w:w="1172" w:type="dxa"/>
            <w:shd w:val="clear" w:color="auto" w:fill="FFFFFF" w:themeFill="background1"/>
          </w:tcPr>
          <w:p w:rsidR="00491738" w:rsidRPr="00110DB9" w:rsidP="00110DB9" w14:paraId="5C392F86" w14:textId="3B32402D">
            <w:pPr>
              <w:tabs>
                <w:tab w:val="left" w:pos="-720"/>
                <w:tab w:val="left" w:pos="0"/>
              </w:tabs>
              <w:suppressAutoHyphens/>
              <w:spacing w:after="240"/>
              <w:jc w:val="center"/>
              <w:rPr>
                <w:b/>
                <w:bCs/>
                <w:sz w:val="20"/>
              </w:rPr>
            </w:pPr>
            <w:r w:rsidRPr="00110DB9">
              <w:rPr>
                <w:b/>
                <w:bCs/>
                <w:sz w:val="20"/>
              </w:rPr>
              <w:t>78,718</w:t>
            </w:r>
          </w:p>
        </w:tc>
        <w:tc>
          <w:tcPr>
            <w:tcW w:w="1531" w:type="dxa"/>
            <w:shd w:val="clear" w:color="auto" w:fill="FFFFFF" w:themeFill="background1"/>
          </w:tcPr>
          <w:p w:rsidR="00491738" w:rsidRPr="00307064" w:rsidP="00110DB9" w14:paraId="18E102B8" w14:textId="019721E6">
            <w:pPr>
              <w:tabs>
                <w:tab w:val="left" w:pos="-720"/>
                <w:tab w:val="left" w:pos="0"/>
              </w:tabs>
              <w:suppressAutoHyphens/>
              <w:spacing w:after="240"/>
              <w:jc w:val="center"/>
              <w:rPr>
                <w:b/>
                <w:bCs/>
                <w:sz w:val="20"/>
              </w:rPr>
            </w:pPr>
            <w:r w:rsidRPr="00307064">
              <w:rPr>
                <w:b/>
                <w:bCs/>
                <w:sz w:val="20"/>
              </w:rPr>
              <w:t>$</w:t>
            </w:r>
            <w:r w:rsidRPr="00307064" w:rsidR="00143B81">
              <w:rPr>
                <w:b/>
                <w:bCs/>
                <w:sz w:val="20"/>
              </w:rPr>
              <w:t>6,742,931</w:t>
            </w:r>
          </w:p>
        </w:tc>
      </w:tr>
    </w:tbl>
    <w:p w:rsidR="007F4582" w:rsidP="00A63210" w14:paraId="10EEF29C" w14:textId="77777777">
      <w:pPr>
        <w:jc w:val="center"/>
      </w:pPr>
    </w:p>
    <w:sectPr w:rsidSect="00385EBC">
      <w:footnotePr>
        <w:numRestart w:val="eachSect"/>
      </w:footnotePr>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4099095"/>
      <w:docPartObj>
        <w:docPartGallery w:val="Page Numbers (Bottom of Page)"/>
        <w:docPartUnique/>
      </w:docPartObj>
    </w:sdtPr>
    <w:sdtEndPr>
      <w:rPr>
        <w:noProof/>
      </w:rPr>
    </w:sdtEndPr>
    <w:sdtContent>
      <w:p w:rsidR="00E8219D" w14:paraId="2131D8E6" w14:textId="53643F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8219D" w14:paraId="5165EA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4954" w:rsidP="009C6DB4" w14:paraId="69A20EF0" w14:textId="77777777">
      <w:r>
        <w:separator/>
      </w:r>
    </w:p>
  </w:footnote>
  <w:footnote w:type="continuationSeparator" w:id="1">
    <w:p w:rsidR="00B54954" w:rsidP="009C6DB4" w14:paraId="433A3401" w14:textId="77777777">
      <w:r>
        <w:continuationSeparator/>
      </w:r>
    </w:p>
  </w:footnote>
  <w:footnote w:id="2">
    <w:p w:rsidR="002142B5" w:rsidRPr="00414DBF" w:rsidP="002142B5" w14:paraId="2DCA3343" w14:textId="77777777">
      <w:pPr>
        <w:pStyle w:val="PlainText"/>
        <w:spacing w:before="120" w:after="120"/>
        <w:rPr>
          <w:rFonts w:ascii="Times New Roman" w:hAnsi="Times New Roman"/>
          <w:sz w:val="20"/>
          <w:szCs w:val="20"/>
        </w:rPr>
      </w:pPr>
      <w:r w:rsidRPr="00414DBF">
        <w:rPr>
          <w:rStyle w:val="FootnoteReference"/>
          <w:rFonts w:ascii="Times New Roman" w:hAnsi="Times New Roman"/>
          <w:sz w:val="20"/>
          <w:szCs w:val="20"/>
        </w:rPr>
        <w:footnoteRef/>
      </w:r>
      <w:r w:rsidRPr="00414DBF">
        <w:rPr>
          <w:rFonts w:ascii="Times New Roman" w:hAnsi="Times New Roman"/>
          <w:sz w:val="20"/>
          <w:szCs w:val="20"/>
        </w:rPr>
        <w:t xml:space="preserve"> </w:t>
      </w:r>
      <w:r w:rsidRPr="00414DBF">
        <w:rPr>
          <w:rFonts w:ascii="Times New Roman" w:hAnsi="Times New Roman"/>
          <w:i/>
          <w:sz w:val="20"/>
          <w:szCs w:val="20"/>
        </w:rPr>
        <w:t>See</w:t>
      </w:r>
      <w:r w:rsidRPr="00414DBF">
        <w:rPr>
          <w:rFonts w:ascii="Times New Roman" w:hAnsi="Times New Roman"/>
          <w:sz w:val="20"/>
          <w:szCs w:val="20"/>
        </w:rPr>
        <w:t xml:space="preserve"> Dodd-Frank Wall Street Reform and Consumer Protection Act, Pub. L. No. 111-203, 124 Stat. 1376 (2010).</w:t>
      </w:r>
    </w:p>
  </w:footnote>
  <w:footnote w:id="3">
    <w:p w:rsidR="002142B5" w:rsidRPr="00414DBF" w:rsidP="002142B5" w14:paraId="411D4CD5" w14:textId="77777777">
      <w:pPr>
        <w:pStyle w:val="FootnoteText"/>
        <w:spacing w:before="120" w:after="120"/>
        <w:rPr>
          <w:i/>
        </w:rPr>
      </w:pPr>
      <w:r w:rsidRPr="00414DBF">
        <w:rPr>
          <w:rStyle w:val="FootnoteReference"/>
        </w:rPr>
        <w:footnoteRef/>
      </w:r>
      <w:r w:rsidRPr="00414DBF">
        <w:t xml:space="preserve"> 7 U.S.C. 1 </w:t>
      </w:r>
      <w:r w:rsidRPr="00881B9B">
        <w:rPr>
          <w:i/>
        </w:rPr>
        <w:t>et seq.</w:t>
      </w:r>
    </w:p>
  </w:footnote>
  <w:footnote w:id="4">
    <w:p w:rsidR="00D36354" w:rsidP="00D36354" w14:paraId="1266F07B" w14:textId="77777777">
      <w:pPr>
        <w:pStyle w:val="FootnoteText"/>
      </w:pPr>
      <w:r w:rsidRPr="00414DBF">
        <w:rPr>
          <w:rStyle w:val="FootnoteReference"/>
        </w:rPr>
        <w:footnoteRef/>
      </w:r>
      <w:r w:rsidRPr="00414DBF">
        <w:t xml:space="preserve"> 17 C.F.R. § 49; </w:t>
      </w:r>
      <w:r w:rsidRPr="00414DBF">
        <w:rPr>
          <w:i/>
        </w:rPr>
        <w:t>see also</w:t>
      </w:r>
      <w:r>
        <w:t xml:space="preserve"> Swap Data Repositories: </w:t>
      </w:r>
      <w:r w:rsidRPr="00414DBF">
        <w:t>Registration Standards, Duties and Core Principles, 76 FR 54538 (Sept. 1, 2011).</w:t>
      </w:r>
    </w:p>
    <w:p w:rsidR="00D36354" w:rsidRPr="00414DBF" w:rsidP="00D36354" w14:paraId="122461E6" w14:textId="77777777">
      <w:pPr>
        <w:pStyle w:val="FootnoteText"/>
      </w:pPr>
    </w:p>
  </w:footnote>
  <w:footnote w:id="5">
    <w:p w:rsidR="00B90ADE" w:rsidRPr="00EA1C4B" w:rsidP="001A09FF" w14:paraId="08FBE0DE" w14:textId="515E46C6">
      <w:pPr>
        <w:pStyle w:val="FootnoteText"/>
        <w:spacing w:before="120" w:after="120"/>
        <w:jc w:val="both"/>
        <w:rPr>
          <w:sz w:val="22"/>
          <w:szCs w:val="22"/>
        </w:rPr>
      </w:pPr>
      <w:r w:rsidRPr="00EA1C4B">
        <w:rPr>
          <w:rStyle w:val="FootnoteReference"/>
          <w:sz w:val="22"/>
          <w:szCs w:val="22"/>
        </w:rPr>
        <w:footnoteRef/>
      </w:r>
      <w:r w:rsidRPr="00EA1C4B">
        <w:rPr>
          <w:sz w:val="22"/>
          <w:szCs w:val="22"/>
        </w:rPr>
        <w:t xml:space="preserve"> In arriving at a wage rate for the hourly costs imposed, Commission staff used a composite (blended) rate of salaries for economists (Grade 11-13) and attorneys (Grade 1</w:t>
      </w:r>
      <w:r w:rsidR="006260F6">
        <w:rPr>
          <w:sz w:val="22"/>
          <w:szCs w:val="22"/>
        </w:rPr>
        <w:t>2</w:t>
      </w:r>
      <w:r w:rsidRPr="00EA1C4B">
        <w:rPr>
          <w:sz w:val="22"/>
          <w:szCs w:val="22"/>
        </w:rPr>
        <w:t xml:space="preserve">-14) in the Division of Market Oversight, and Technical or Subject Matter expert in IT (Grade 13) using the CFTC </w:t>
      </w:r>
      <w:r w:rsidR="0083764C">
        <w:rPr>
          <w:sz w:val="22"/>
          <w:szCs w:val="22"/>
        </w:rPr>
        <w:t>2024</w:t>
      </w:r>
      <w:r w:rsidRPr="00EA1C4B">
        <w:rPr>
          <w:sz w:val="22"/>
          <w:szCs w:val="22"/>
        </w:rPr>
        <w:t xml:space="preserve"> Washington Pay Chart (with adjusted locality pay) and divided that figure by 2000 annual working hours to arrive at the hourly rate of $</w:t>
      </w:r>
      <w:r w:rsidRPr="001A09FF" w:rsidR="008024C8">
        <w:rPr>
          <w:sz w:val="22"/>
          <w:szCs w:val="22"/>
        </w:rPr>
        <w:t>85.59</w:t>
      </w:r>
      <w:r w:rsidRPr="00E85D4E">
        <w:rPr>
          <w:sz w:val="22"/>
          <w:szCs w:val="22"/>
        </w:rPr>
        <w:t>.</w:t>
      </w:r>
      <w:r w:rsidRPr="00EA1C4B">
        <w:rPr>
          <w:sz w:val="22"/>
          <w:szCs w:val="22"/>
        </w:rPr>
        <w:t xml:space="preserve">  This figure does not include employee benefits.</w:t>
      </w:r>
    </w:p>
  </w:footnote>
  <w:footnote w:id="6">
    <w:p w:rsidR="003A4691" w:rsidRPr="00BD2040" w:rsidP="003A4691" w14:paraId="1C306F6A" w14:textId="77777777">
      <w:pPr>
        <w:pStyle w:val="FootnoteText"/>
        <w:contextualSpacing/>
        <w:jc w:val="both"/>
        <w:rPr>
          <w:rFonts w:cs="Times New Roman"/>
        </w:rPr>
      </w:pPr>
      <w:r w:rsidRPr="00BD2040">
        <w:rPr>
          <w:rStyle w:val="FootnoteReference"/>
          <w:rFonts w:eastAsiaTheme="majorEastAsia" w:cs="Times New Roman"/>
        </w:rPr>
        <w:footnoteRef/>
      </w:r>
      <w:r w:rsidRPr="00BD2040">
        <w:rPr>
          <w:rFonts w:cs="Times New Roman"/>
        </w:rPr>
        <w:t xml:space="preserve"> As described above in the answer to question 13, the Commission calculated the average wage rate to be $88.09.</w:t>
      </w:r>
    </w:p>
  </w:footnote>
  <w:footnote w:id="7">
    <w:p w:rsidR="003A4691" w:rsidRPr="00BD2040" w:rsidP="003A4691" w14:paraId="092F04A3" w14:textId="718EEA82">
      <w:pPr>
        <w:pStyle w:val="FootnoteText"/>
        <w:contextualSpacing/>
        <w:jc w:val="both"/>
        <w:rPr>
          <w:rFonts w:cs="Times New Roman"/>
        </w:rPr>
      </w:pPr>
      <w:r w:rsidRPr="00BD2040">
        <w:rPr>
          <w:rStyle w:val="FootnoteReference"/>
          <w:rFonts w:cs="Times New Roman"/>
        </w:rPr>
        <w:footnoteRef/>
      </w:r>
      <w:r w:rsidRPr="00BD2040">
        <w:rPr>
          <w:rFonts w:cs="Times New Roman"/>
        </w:rPr>
        <w:t xml:space="preserve"> This calculation does not include an estimate for one-time initial registrations because the Commission does not anticipate new SDR registrants </w:t>
      </w:r>
      <w:r>
        <w:rPr>
          <w:rFonts w:cs="Times New Roman"/>
        </w:rPr>
        <w:t>during this renewal</w:t>
      </w:r>
      <w:r w:rsidRPr="00BD2040">
        <w:rPr>
          <w:rFonts w:cs="Times New Roman"/>
        </w:rPr>
        <w:t xml:space="preserve">  </w:t>
      </w:r>
    </w:p>
  </w:footnote>
  <w:footnote w:id="8">
    <w:p w:rsidR="003A4691" w:rsidRPr="00BD2040" w:rsidP="003A4691" w14:paraId="6BD18D7F" w14:textId="3E986F26">
      <w:pPr>
        <w:pStyle w:val="FootnoteText"/>
        <w:contextualSpacing/>
        <w:jc w:val="both"/>
        <w:rPr>
          <w:rFonts w:cs="Times New Roman"/>
        </w:rPr>
      </w:pPr>
      <w:r w:rsidRPr="00BD2040">
        <w:rPr>
          <w:rStyle w:val="FootnoteReference"/>
          <w:rFonts w:cs="Times New Roman"/>
        </w:rPr>
        <w:footnoteRef/>
      </w:r>
      <w:r w:rsidRPr="00BD2040">
        <w:rPr>
          <w:rFonts w:cs="Times New Roman"/>
        </w:rPr>
        <w:t xml:space="preserve"> See </w:t>
      </w:r>
      <w:r>
        <w:t>footnote 9, above</w:t>
      </w:r>
      <w:r w:rsidRPr="00BD2040">
        <w:rPr>
          <w:rFonts w:cs="Times New Roman"/>
        </w:rPr>
        <w:t xml:space="preserve">.  As no new SDR registrants are anticipated, Section 49.3(c) is inapplicable.  </w:t>
      </w:r>
    </w:p>
  </w:footnote>
  <w:footnote w:id="9">
    <w:p w:rsidR="003A4691" w:rsidRPr="00BD2040" w:rsidP="003A4691" w14:paraId="612E2863" w14:textId="77777777">
      <w:pPr>
        <w:pStyle w:val="FootnoteText"/>
        <w:contextualSpacing/>
        <w:jc w:val="both"/>
        <w:rPr>
          <w:rFonts w:cs="Times New Roman"/>
        </w:rPr>
      </w:pPr>
      <w:r w:rsidRPr="00BD2040">
        <w:rPr>
          <w:rStyle w:val="FootnoteReference"/>
          <w:rFonts w:eastAsiaTheme="majorEastAsia" w:cs="Times New Roman"/>
        </w:rPr>
        <w:footnoteRef/>
      </w:r>
      <w:r w:rsidRPr="00BD2040">
        <w:rPr>
          <w:rFonts w:cs="Times New Roman"/>
        </w:rPr>
        <w:t xml:space="preserve"> The Commission does not presently anticipate any withdrawals.</w:t>
      </w:r>
    </w:p>
  </w:footnote>
  <w:footnote w:id="10">
    <w:p w:rsidR="003A4691" w:rsidRPr="00BD2040" w:rsidP="003A4691" w14:paraId="42D0437E" w14:textId="77777777">
      <w:pPr>
        <w:pStyle w:val="FootnoteText"/>
        <w:contextualSpacing/>
        <w:jc w:val="both"/>
        <w:rPr>
          <w:rFonts w:cs="Times New Roman"/>
        </w:rPr>
      </w:pPr>
      <w:r w:rsidRPr="00BD2040">
        <w:rPr>
          <w:rStyle w:val="FootnoteReference"/>
          <w:rFonts w:eastAsiaTheme="majorEastAsia" w:cs="Times New Roman"/>
        </w:rPr>
        <w:footnoteRef/>
      </w:r>
      <w:r w:rsidRPr="00BD2040">
        <w:rPr>
          <w:rFonts w:cs="Times New Roman"/>
        </w:rPr>
        <w:t xml:space="preserve"> Estimate is based on one request every three years.</w:t>
      </w:r>
    </w:p>
  </w:footnote>
  <w:footnote w:id="11">
    <w:p w:rsidR="003A4691" w:rsidRPr="00BD2040" w:rsidP="003A4691" w14:paraId="4ABA1755" w14:textId="77777777">
      <w:pPr>
        <w:pStyle w:val="FootnoteText"/>
        <w:contextualSpacing/>
        <w:jc w:val="both"/>
        <w:rPr>
          <w:rFonts w:cs="Times New Roman"/>
        </w:rPr>
      </w:pPr>
      <w:r w:rsidRPr="00BD2040">
        <w:rPr>
          <w:rStyle w:val="FootnoteReference"/>
          <w:rFonts w:eastAsiaTheme="majorEastAsia" w:cs="Times New Roman"/>
        </w:rPr>
        <w:footnoteRef/>
      </w:r>
      <w:r w:rsidRPr="00BD2040">
        <w:rPr>
          <w:rFonts w:cs="Times New Roman"/>
        </w:rPr>
        <w:t xml:space="preserve"> Estimate is based on one request every three years.</w:t>
      </w:r>
    </w:p>
  </w:footnote>
  <w:footnote w:id="12">
    <w:p w:rsidR="003A4691" w:rsidRPr="00BD2040" w:rsidP="003A4691" w14:paraId="601DFA8F" w14:textId="77777777">
      <w:pPr>
        <w:pStyle w:val="FootnoteText"/>
        <w:jc w:val="both"/>
        <w:rPr>
          <w:rFonts w:cs="Times New Roman"/>
        </w:rPr>
      </w:pPr>
      <w:r w:rsidRPr="00BD2040">
        <w:rPr>
          <w:rStyle w:val="FootnoteReference"/>
          <w:rFonts w:cs="Times New Roman"/>
        </w:rPr>
        <w:footnoteRef/>
      </w:r>
      <w:r w:rsidRPr="00BD2040">
        <w:rPr>
          <w:rFonts w:cs="Times New Roman"/>
        </w:rPr>
        <w:t xml:space="preserve"> The Commission does not presently anticipate new registrations by foreign SDRs.  </w:t>
      </w:r>
    </w:p>
  </w:footnote>
  <w:footnote w:id="13">
    <w:p w:rsidR="003A4691" w:rsidRPr="00BD2040" w:rsidP="00F26895" w14:paraId="2D88FD71" w14:textId="27370334">
      <w:pPr>
        <w:pStyle w:val="FootnoteText"/>
        <w:spacing w:after="120"/>
        <w:jc w:val="both"/>
        <w:rPr>
          <w:rFonts w:cs="Times New Roman"/>
        </w:rPr>
      </w:pPr>
      <w:r w:rsidRPr="00BD2040">
        <w:rPr>
          <w:rStyle w:val="FootnoteReference"/>
          <w:rFonts w:eastAsiaTheme="majorEastAsia" w:cs="Times New Roman"/>
        </w:rPr>
        <w:footnoteRef/>
      </w:r>
      <w:r w:rsidRPr="00BD2040">
        <w:rPr>
          <w:rFonts w:cs="Times New Roman"/>
        </w:rPr>
        <w:t xml:space="preserve"> For SD, MSP, and DCO reporting counterparties, verification must be performed a maximum of 13 times per year. As there are </w:t>
      </w:r>
      <w:r w:rsidR="00B84FB6">
        <w:rPr>
          <w:rFonts w:cs="Times New Roman"/>
        </w:rPr>
        <w:t xml:space="preserve">approximately </w:t>
      </w:r>
      <w:r w:rsidRPr="00BD2040">
        <w:rPr>
          <w:rFonts w:cs="Times New Roman"/>
        </w:rPr>
        <w:t xml:space="preserve">117 such reporting counterparties, there is a maximum </w:t>
      </w:r>
      <w:r w:rsidRPr="00BD2040">
        <w:rPr>
          <w:rFonts w:cs="Times New Roman"/>
        </w:rPr>
        <w:t>of</w:t>
      </w:r>
      <w:r w:rsidR="00B84FB6">
        <w:rPr>
          <w:rFonts w:cs="Times New Roman"/>
        </w:rPr>
        <w:t xml:space="preserve"> </w:t>
      </w:r>
      <w:r w:rsidRPr="00BD2040">
        <w:rPr>
          <w:rFonts w:cs="Times New Roman"/>
        </w:rPr>
        <w:t xml:space="preserve"> 1,521</w:t>
      </w:r>
      <w:r w:rsidRPr="00BD2040">
        <w:rPr>
          <w:rFonts w:cs="Times New Roman"/>
        </w:rPr>
        <w:t xml:space="preserve"> verifications. For all other reporting counterparties, verification must be performed a maximum of 4 times per year. As there are </w:t>
      </w:r>
      <w:r w:rsidR="000509F8">
        <w:rPr>
          <w:rFonts w:cs="Times New Roman"/>
        </w:rPr>
        <w:t xml:space="preserve">approximately </w:t>
      </w:r>
      <w:r w:rsidRPr="00BD2040">
        <w:rPr>
          <w:rFonts w:cs="Times New Roman"/>
        </w:rPr>
        <w:t>1,585 such reporting counterparties, there is a maximum of 6,340.  The total maximum number of verifications that each SDR must provide information for under § 49.11 is 7,861 (1,521 + 6,340=7,861).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D40F9"/>
    <w:multiLevelType w:val="hybridMultilevel"/>
    <w:tmpl w:val="93547A3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61C1D9E"/>
    <w:multiLevelType w:val="hybridMultilevel"/>
    <w:tmpl w:val="624A0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D90288"/>
    <w:multiLevelType w:val="hybridMultilevel"/>
    <w:tmpl w:val="80D27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6F079C"/>
    <w:multiLevelType w:val="hybridMultilevel"/>
    <w:tmpl w:val="1AFE0AF6"/>
    <w:lvl w:ilvl="0">
      <w:start w:val="4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395104"/>
    <w:multiLevelType w:val="hybridMultilevel"/>
    <w:tmpl w:val="2DCA2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476532"/>
    <w:multiLevelType w:val="hybridMultilevel"/>
    <w:tmpl w:val="8C26F9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CED6527"/>
    <w:multiLevelType w:val="hybridMultilevel"/>
    <w:tmpl w:val="C3228042"/>
    <w:lvl w:ilvl="0">
      <w:start w:val="43"/>
      <w:numFmt w:val="bullet"/>
      <w:lvlText w:val="-"/>
      <w:lvlJc w:val="left"/>
      <w:pPr>
        <w:ind w:left="765" w:hanging="360"/>
      </w:pPr>
      <w:rPr>
        <w:rFonts w:ascii="Times New Roman" w:hAnsi="Times New Roman" w:eastAsiaTheme="minorHAnsi" w:cs="Times New Roman" w:hint="default"/>
        <w:sz w:val="24"/>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7">
    <w:nsid w:val="31D20AAE"/>
    <w:multiLevelType w:val="hybridMultilevel"/>
    <w:tmpl w:val="1CBE236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3894802"/>
    <w:multiLevelType w:val="hybridMultilevel"/>
    <w:tmpl w:val="8EDE799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39346A6"/>
    <w:multiLevelType w:val="hybridMultilevel"/>
    <w:tmpl w:val="15FA9B7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567727A"/>
    <w:multiLevelType w:val="hybridMultilevel"/>
    <w:tmpl w:val="EA4E65CC"/>
    <w:lvl w:ilvl="0">
      <w:start w:val="43"/>
      <w:numFmt w:val="bullet"/>
      <w:lvlText w:val="-"/>
      <w:lvlJc w:val="left"/>
      <w:pPr>
        <w:ind w:left="405" w:hanging="360"/>
      </w:pPr>
      <w:rPr>
        <w:rFonts w:ascii="Arial" w:eastAsia="Times New Roman" w:hAnsi="Arial" w:cs="Arial"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11">
    <w:nsid w:val="4AFA13B0"/>
    <w:multiLevelType w:val="hybridMultilevel"/>
    <w:tmpl w:val="EE18960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540800B2"/>
    <w:multiLevelType w:val="hybridMultilevel"/>
    <w:tmpl w:val="F6DAC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A80FF2"/>
    <w:multiLevelType w:val="hybridMultilevel"/>
    <w:tmpl w:val="2A1CE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DC33F2A"/>
    <w:multiLevelType w:val="hybridMultilevel"/>
    <w:tmpl w:val="08FC1D3A"/>
    <w:lvl w:ilvl="0">
      <w:start w:val="1"/>
      <w:numFmt w:val="bullet"/>
      <w:lvlText w:val="•"/>
      <w:lvlJc w:val="left"/>
      <w:pPr>
        <w:tabs>
          <w:tab w:val="num" w:pos="936"/>
        </w:tabs>
        <w:ind w:left="936" w:hanging="216"/>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F9774E3"/>
    <w:multiLevelType w:val="hybridMultilevel"/>
    <w:tmpl w:val="15269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E5093D"/>
    <w:multiLevelType w:val="hybridMultilevel"/>
    <w:tmpl w:val="267A7F7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73CA4D29"/>
    <w:multiLevelType w:val="hybridMultilevel"/>
    <w:tmpl w:val="05A62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A3D55FB"/>
    <w:multiLevelType w:val="hybridMultilevel"/>
    <w:tmpl w:val="1C4CD9EC"/>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28657390">
    <w:abstractNumId w:val="14"/>
  </w:num>
  <w:num w:numId="2" w16cid:durableId="1249074915">
    <w:abstractNumId w:val="5"/>
  </w:num>
  <w:num w:numId="3" w16cid:durableId="1460954055">
    <w:abstractNumId w:val="10"/>
  </w:num>
  <w:num w:numId="4" w16cid:durableId="1887830907">
    <w:abstractNumId w:val="6"/>
  </w:num>
  <w:num w:numId="5" w16cid:durableId="298849971">
    <w:abstractNumId w:val="3"/>
  </w:num>
  <w:num w:numId="6" w16cid:durableId="618335211">
    <w:abstractNumId w:val="0"/>
  </w:num>
  <w:num w:numId="7" w16cid:durableId="241112191">
    <w:abstractNumId w:val="8"/>
  </w:num>
  <w:num w:numId="8" w16cid:durableId="981428337">
    <w:abstractNumId w:val="11"/>
  </w:num>
  <w:num w:numId="9" w16cid:durableId="1061755149">
    <w:abstractNumId w:val="9"/>
  </w:num>
  <w:num w:numId="10" w16cid:durableId="1909878475">
    <w:abstractNumId w:val="16"/>
  </w:num>
  <w:num w:numId="11" w16cid:durableId="1245065090">
    <w:abstractNumId w:val="7"/>
  </w:num>
  <w:num w:numId="12" w16cid:durableId="33770754">
    <w:abstractNumId w:val="13"/>
  </w:num>
  <w:num w:numId="13" w16cid:durableId="2101020590">
    <w:abstractNumId w:val="14"/>
  </w:num>
  <w:num w:numId="14" w16cid:durableId="128010649">
    <w:abstractNumId w:val="2"/>
  </w:num>
  <w:num w:numId="15" w16cid:durableId="323359464">
    <w:abstractNumId w:val="4"/>
  </w:num>
  <w:num w:numId="16" w16cid:durableId="1247810271">
    <w:abstractNumId w:val="15"/>
  </w:num>
  <w:num w:numId="17" w16cid:durableId="1770809093">
    <w:abstractNumId w:val="1"/>
  </w:num>
  <w:num w:numId="18" w16cid:durableId="1178927191">
    <w:abstractNumId w:val="12"/>
  </w:num>
  <w:num w:numId="19" w16cid:durableId="55394296">
    <w:abstractNumId w:val="17"/>
  </w:num>
  <w:num w:numId="20" w16cid:durableId="12994089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6A"/>
    <w:rsid w:val="0000019A"/>
    <w:rsid w:val="00001C8D"/>
    <w:rsid w:val="00012A87"/>
    <w:rsid w:val="000133B9"/>
    <w:rsid w:val="000134A3"/>
    <w:rsid w:val="00032BDD"/>
    <w:rsid w:val="00037E90"/>
    <w:rsid w:val="00042C01"/>
    <w:rsid w:val="00044EAE"/>
    <w:rsid w:val="00047399"/>
    <w:rsid w:val="00047495"/>
    <w:rsid w:val="000509F8"/>
    <w:rsid w:val="00051CF6"/>
    <w:rsid w:val="0005234C"/>
    <w:rsid w:val="000576BF"/>
    <w:rsid w:val="00061F6E"/>
    <w:rsid w:val="0007012C"/>
    <w:rsid w:val="00072761"/>
    <w:rsid w:val="00075236"/>
    <w:rsid w:val="000803D6"/>
    <w:rsid w:val="00080805"/>
    <w:rsid w:val="00081BEA"/>
    <w:rsid w:val="000835FF"/>
    <w:rsid w:val="00083D0C"/>
    <w:rsid w:val="00083F72"/>
    <w:rsid w:val="00087776"/>
    <w:rsid w:val="000956FD"/>
    <w:rsid w:val="000A279E"/>
    <w:rsid w:val="000A4FF5"/>
    <w:rsid w:val="000B0477"/>
    <w:rsid w:val="000C2D0E"/>
    <w:rsid w:val="000C3307"/>
    <w:rsid w:val="000C60B0"/>
    <w:rsid w:val="000C668F"/>
    <w:rsid w:val="000C72B4"/>
    <w:rsid w:val="000D06D1"/>
    <w:rsid w:val="000D086D"/>
    <w:rsid w:val="000D3504"/>
    <w:rsid w:val="000E0987"/>
    <w:rsid w:val="000E2176"/>
    <w:rsid w:val="000F24FB"/>
    <w:rsid w:val="000F3B44"/>
    <w:rsid w:val="000F519A"/>
    <w:rsid w:val="000F52CF"/>
    <w:rsid w:val="000F67BC"/>
    <w:rsid w:val="000F69AF"/>
    <w:rsid w:val="00100F65"/>
    <w:rsid w:val="00107258"/>
    <w:rsid w:val="001107E1"/>
    <w:rsid w:val="00110DB9"/>
    <w:rsid w:val="00116B77"/>
    <w:rsid w:val="00116FC7"/>
    <w:rsid w:val="00120806"/>
    <w:rsid w:val="0012080B"/>
    <w:rsid w:val="0012230F"/>
    <w:rsid w:val="001245D5"/>
    <w:rsid w:val="00124BE2"/>
    <w:rsid w:val="001255D9"/>
    <w:rsid w:val="00125FBE"/>
    <w:rsid w:val="001338F9"/>
    <w:rsid w:val="00136B54"/>
    <w:rsid w:val="00140DEF"/>
    <w:rsid w:val="00143B81"/>
    <w:rsid w:val="00151CD0"/>
    <w:rsid w:val="00153901"/>
    <w:rsid w:val="001577B2"/>
    <w:rsid w:val="00167BAB"/>
    <w:rsid w:val="00170535"/>
    <w:rsid w:val="00172457"/>
    <w:rsid w:val="001725C0"/>
    <w:rsid w:val="00176391"/>
    <w:rsid w:val="00180982"/>
    <w:rsid w:val="00186DEB"/>
    <w:rsid w:val="00187B26"/>
    <w:rsid w:val="001A09FF"/>
    <w:rsid w:val="001A58A9"/>
    <w:rsid w:val="001B00D0"/>
    <w:rsid w:val="001C106D"/>
    <w:rsid w:val="001D4BB9"/>
    <w:rsid w:val="001D6D51"/>
    <w:rsid w:val="001D7B90"/>
    <w:rsid w:val="001E1E7C"/>
    <w:rsid w:val="001E1F23"/>
    <w:rsid w:val="001E7892"/>
    <w:rsid w:val="001F0B5B"/>
    <w:rsid w:val="00200207"/>
    <w:rsid w:val="002009EB"/>
    <w:rsid w:val="00202688"/>
    <w:rsid w:val="0020350F"/>
    <w:rsid w:val="0021280B"/>
    <w:rsid w:val="002142B5"/>
    <w:rsid w:val="0021481E"/>
    <w:rsid w:val="00215273"/>
    <w:rsid w:val="00215D7B"/>
    <w:rsid w:val="00220CA5"/>
    <w:rsid w:val="002236D6"/>
    <w:rsid w:val="00224598"/>
    <w:rsid w:val="002263BB"/>
    <w:rsid w:val="00233D65"/>
    <w:rsid w:val="00235DD2"/>
    <w:rsid w:val="00236216"/>
    <w:rsid w:val="0023739C"/>
    <w:rsid w:val="0023763C"/>
    <w:rsid w:val="00241C71"/>
    <w:rsid w:val="00241E30"/>
    <w:rsid w:val="00243435"/>
    <w:rsid w:val="00243A1B"/>
    <w:rsid w:val="00245D71"/>
    <w:rsid w:val="00247B86"/>
    <w:rsid w:val="002519B0"/>
    <w:rsid w:val="002600FA"/>
    <w:rsid w:val="00260C07"/>
    <w:rsid w:val="00264729"/>
    <w:rsid w:val="0026565F"/>
    <w:rsid w:val="00271708"/>
    <w:rsid w:val="00273087"/>
    <w:rsid w:val="00274164"/>
    <w:rsid w:val="00276808"/>
    <w:rsid w:val="00276906"/>
    <w:rsid w:val="0027708A"/>
    <w:rsid w:val="0028139E"/>
    <w:rsid w:val="002879E8"/>
    <w:rsid w:val="002A328F"/>
    <w:rsid w:val="002A6ACD"/>
    <w:rsid w:val="002B2075"/>
    <w:rsid w:val="002B2291"/>
    <w:rsid w:val="002B2F00"/>
    <w:rsid w:val="002B4A1D"/>
    <w:rsid w:val="002C1E41"/>
    <w:rsid w:val="002C575B"/>
    <w:rsid w:val="002C7E70"/>
    <w:rsid w:val="002D0489"/>
    <w:rsid w:val="002D6FBA"/>
    <w:rsid w:val="002E05BD"/>
    <w:rsid w:val="002E0DEB"/>
    <w:rsid w:val="002F0467"/>
    <w:rsid w:val="002F1A59"/>
    <w:rsid w:val="002F1E80"/>
    <w:rsid w:val="00300198"/>
    <w:rsid w:val="00307064"/>
    <w:rsid w:val="00307E70"/>
    <w:rsid w:val="00316215"/>
    <w:rsid w:val="00316C28"/>
    <w:rsid w:val="003208A7"/>
    <w:rsid w:val="0032500A"/>
    <w:rsid w:val="00330578"/>
    <w:rsid w:val="00330DF8"/>
    <w:rsid w:val="00343DA7"/>
    <w:rsid w:val="00347613"/>
    <w:rsid w:val="00353CDD"/>
    <w:rsid w:val="00354037"/>
    <w:rsid w:val="0035705B"/>
    <w:rsid w:val="00357784"/>
    <w:rsid w:val="00357E35"/>
    <w:rsid w:val="003607A6"/>
    <w:rsid w:val="00361683"/>
    <w:rsid w:val="003617F2"/>
    <w:rsid w:val="00363EC7"/>
    <w:rsid w:val="00363F34"/>
    <w:rsid w:val="003677B4"/>
    <w:rsid w:val="00370522"/>
    <w:rsid w:val="00370BB6"/>
    <w:rsid w:val="00372711"/>
    <w:rsid w:val="00372AC6"/>
    <w:rsid w:val="0037312F"/>
    <w:rsid w:val="0037421B"/>
    <w:rsid w:val="003755F4"/>
    <w:rsid w:val="00375C2C"/>
    <w:rsid w:val="00375DCF"/>
    <w:rsid w:val="003831D2"/>
    <w:rsid w:val="003849E5"/>
    <w:rsid w:val="00385EBC"/>
    <w:rsid w:val="003A4517"/>
    <w:rsid w:val="003A4691"/>
    <w:rsid w:val="003B1073"/>
    <w:rsid w:val="003C1CFA"/>
    <w:rsid w:val="003C4B28"/>
    <w:rsid w:val="003C76AC"/>
    <w:rsid w:val="003C7E4C"/>
    <w:rsid w:val="003D0BC3"/>
    <w:rsid w:val="003D6F96"/>
    <w:rsid w:val="003E0220"/>
    <w:rsid w:val="003E0284"/>
    <w:rsid w:val="003E1141"/>
    <w:rsid w:val="003E39E7"/>
    <w:rsid w:val="003E3A38"/>
    <w:rsid w:val="003F3FDF"/>
    <w:rsid w:val="003F69F5"/>
    <w:rsid w:val="004007AF"/>
    <w:rsid w:val="00405AC8"/>
    <w:rsid w:val="004075BB"/>
    <w:rsid w:val="004101F1"/>
    <w:rsid w:val="00414DBF"/>
    <w:rsid w:val="004154C6"/>
    <w:rsid w:val="00422FB0"/>
    <w:rsid w:val="0042465E"/>
    <w:rsid w:val="004268F5"/>
    <w:rsid w:val="00431428"/>
    <w:rsid w:val="00436DE0"/>
    <w:rsid w:val="00443D7B"/>
    <w:rsid w:val="0044799F"/>
    <w:rsid w:val="00460751"/>
    <w:rsid w:val="004618A5"/>
    <w:rsid w:val="00464286"/>
    <w:rsid w:val="00476AB6"/>
    <w:rsid w:val="00477D94"/>
    <w:rsid w:val="00486EB8"/>
    <w:rsid w:val="00491738"/>
    <w:rsid w:val="004917AF"/>
    <w:rsid w:val="0049459D"/>
    <w:rsid w:val="004A5D4F"/>
    <w:rsid w:val="004A5F11"/>
    <w:rsid w:val="004A7924"/>
    <w:rsid w:val="004B10F1"/>
    <w:rsid w:val="004C2276"/>
    <w:rsid w:val="004C229E"/>
    <w:rsid w:val="004C3A00"/>
    <w:rsid w:val="004C522C"/>
    <w:rsid w:val="004C53E5"/>
    <w:rsid w:val="004C5513"/>
    <w:rsid w:val="004C688A"/>
    <w:rsid w:val="004D0B8B"/>
    <w:rsid w:val="004D4BEA"/>
    <w:rsid w:val="004E0706"/>
    <w:rsid w:val="004E0A52"/>
    <w:rsid w:val="004E13EE"/>
    <w:rsid w:val="004E620D"/>
    <w:rsid w:val="004F02CA"/>
    <w:rsid w:val="004F4C42"/>
    <w:rsid w:val="00505251"/>
    <w:rsid w:val="00505EA5"/>
    <w:rsid w:val="00506FE2"/>
    <w:rsid w:val="00517E9A"/>
    <w:rsid w:val="00524073"/>
    <w:rsid w:val="00525395"/>
    <w:rsid w:val="0052742B"/>
    <w:rsid w:val="00534C31"/>
    <w:rsid w:val="005364BA"/>
    <w:rsid w:val="00536D2A"/>
    <w:rsid w:val="00537FCC"/>
    <w:rsid w:val="005428FF"/>
    <w:rsid w:val="00544F79"/>
    <w:rsid w:val="005503C6"/>
    <w:rsid w:val="00551E62"/>
    <w:rsid w:val="00552B49"/>
    <w:rsid w:val="00554929"/>
    <w:rsid w:val="0055667D"/>
    <w:rsid w:val="00557EF2"/>
    <w:rsid w:val="00560340"/>
    <w:rsid w:val="00560F25"/>
    <w:rsid w:val="005633BD"/>
    <w:rsid w:val="00572CE0"/>
    <w:rsid w:val="00573810"/>
    <w:rsid w:val="00577F1F"/>
    <w:rsid w:val="00583734"/>
    <w:rsid w:val="00585718"/>
    <w:rsid w:val="00590512"/>
    <w:rsid w:val="005946E6"/>
    <w:rsid w:val="005A28AF"/>
    <w:rsid w:val="005A3751"/>
    <w:rsid w:val="005B04C0"/>
    <w:rsid w:val="005C18CD"/>
    <w:rsid w:val="005D234D"/>
    <w:rsid w:val="005D34A0"/>
    <w:rsid w:val="005E0F03"/>
    <w:rsid w:val="005E2207"/>
    <w:rsid w:val="005E41B2"/>
    <w:rsid w:val="005E4E5C"/>
    <w:rsid w:val="005F316D"/>
    <w:rsid w:val="00600238"/>
    <w:rsid w:val="00607B6C"/>
    <w:rsid w:val="00607B6F"/>
    <w:rsid w:val="00607D38"/>
    <w:rsid w:val="00615058"/>
    <w:rsid w:val="006218F8"/>
    <w:rsid w:val="006243BC"/>
    <w:rsid w:val="00625287"/>
    <w:rsid w:val="006260F6"/>
    <w:rsid w:val="0063622E"/>
    <w:rsid w:val="00637711"/>
    <w:rsid w:val="00640784"/>
    <w:rsid w:val="00642B6A"/>
    <w:rsid w:val="00643925"/>
    <w:rsid w:val="00645F0E"/>
    <w:rsid w:val="00653547"/>
    <w:rsid w:val="006579EF"/>
    <w:rsid w:val="00661F8C"/>
    <w:rsid w:val="0066471D"/>
    <w:rsid w:val="0066672F"/>
    <w:rsid w:val="00666FBF"/>
    <w:rsid w:val="00666FC0"/>
    <w:rsid w:val="00667CD6"/>
    <w:rsid w:val="00670513"/>
    <w:rsid w:val="00672F2E"/>
    <w:rsid w:val="00674DF5"/>
    <w:rsid w:val="006775BC"/>
    <w:rsid w:val="00685B25"/>
    <w:rsid w:val="006913E4"/>
    <w:rsid w:val="00697065"/>
    <w:rsid w:val="006B2A40"/>
    <w:rsid w:val="006B3F2C"/>
    <w:rsid w:val="006B452E"/>
    <w:rsid w:val="006B5336"/>
    <w:rsid w:val="006B5E05"/>
    <w:rsid w:val="006C12D6"/>
    <w:rsid w:val="006C5698"/>
    <w:rsid w:val="006D1B72"/>
    <w:rsid w:val="006D4B0A"/>
    <w:rsid w:val="006D6531"/>
    <w:rsid w:val="006E4EA2"/>
    <w:rsid w:val="006F00A1"/>
    <w:rsid w:val="006F00DF"/>
    <w:rsid w:val="006F2E70"/>
    <w:rsid w:val="006F36F2"/>
    <w:rsid w:val="007029A9"/>
    <w:rsid w:val="00715F21"/>
    <w:rsid w:val="00722882"/>
    <w:rsid w:val="0072353B"/>
    <w:rsid w:val="00730B43"/>
    <w:rsid w:val="00740176"/>
    <w:rsid w:val="0074122B"/>
    <w:rsid w:val="007441E2"/>
    <w:rsid w:val="0074599C"/>
    <w:rsid w:val="00747BF5"/>
    <w:rsid w:val="00751B4D"/>
    <w:rsid w:val="00752AE8"/>
    <w:rsid w:val="007553BE"/>
    <w:rsid w:val="00755766"/>
    <w:rsid w:val="00755826"/>
    <w:rsid w:val="00755F59"/>
    <w:rsid w:val="00760311"/>
    <w:rsid w:val="00761BD2"/>
    <w:rsid w:val="00763DF8"/>
    <w:rsid w:val="0076443A"/>
    <w:rsid w:val="00771D97"/>
    <w:rsid w:val="007724B6"/>
    <w:rsid w:val="00774C1A"/>
    <w:rsid w:val="007816CD"/>
    <w:rsid w:val="0078471A"/>
    <w:rsid w:val="00787492"/>
    <w:rsid w:val="007A1013"/>
    <w:rsid w:val="007A1107"/>
    <w:rsid w:val="007A1570"/>
    <w:rsid w:val="007A383E"/>
    <w:rsid w:val="007B1735"/>
    <w:rsid w:val="007B66E1"/>
    <w:rsid w:val="007B7990"/>
    <w:rsid w:val="007B7CE3"/>
    <w:rsid w:val="007C42CC"/>
    <w:rsid w:val="007C5B3F"/>
    <w:rsid w:val="007C621A"/>
    <w:rsid w:val="007C72FB"/>
    <w:rsid w:val="007D0762"/>
    <w:rsid w:val="007D0F5D"/>
    <w:rsid w:val="007D22E3"/>
    <w:rsid w:val="007D7026"/>
    <w:rsid w:val="007E03FF"/>
    <w:rsid w:val="007E10D4"/>
    <w:rsid w:val="007F27F5"/>
    <w:rsid w:val="007F3179"/>
    <w:rsid w:val="007F4582"/>
    <w:rsid w:val="007F5DBF"/>
    <w:rsid w:val="00800328"/>
    <w:rsid w:val="008024C8"/>
    <w:rsid w:val="00806BA6"/>
    <w:rsid w:val="008073CF"/>
    <w:rsid w:val="00807D9A"/>
    <w:rsid w:val="00810248"/>
    <w:rsid w:val="008131B0"/>
    <w:rsid w:val="008257CF"/>
    <w:rsid w:val="00826F27"/>
    <w:rsid w:val="008336D1"/>
    <w:rsid w:val="00833DC9"/>
    <w:rsid w:val="00836741"/>
    <w:rsid w:val="0083764C"/>
    <w:rsid w:val="008435FA"/>
    <w:rsid w:val="00843603"/>
    <w:rsid w:val="00853BBD"/>
    <w:rsid w:val="0085466B"/>
    <w:rsid w:val="008546CF"/>
    <w:rsid w:val="00866623"/>
    <w:rsid w:val="00867CB2"/>
    <w:rsid w:val="00876289"/>
    <w:rsid w:val="00881B9B"/>
    <w:rsid w:val="00882745"/>
    <w:rsid w:val="00882ADB"/>
    <w:rsid w:val="008844B7"/>
    <w:rsid w:val="008846F1"/>
    <w:rsid w:val="00891185"/>
    <w:rsid w:val="00893581"/>
    <w:rsid w:val="008C3225"/>
    <w:rsid w:val="008C60E5"/>
    <w:rsid w:val="008D0739"/>
    <w:rsid w:val="008D3FFF"/>
    <w:rsid w:val="008D576D"/>
    <w:rsid w:val="008E03DA"/>
    <w:rsid w:val="008E0487"/>
    <w:rsid w:val="008E4675"/>
    <w:rsid w:val="008F05B2"/>
    <w:rsid w:val="008F065D"/>
    <w:rsid w:val="008F2F98"/>
    <w:rsid w:val="008F39A6"/>
    <w:rsid w:val="008F41C5"/>
    <w:rsid w:val="008F47F2"/>
    <w:rsid w:val="008F6D4A"/>
    <w:rsid w:val="00902356"/>
    <w:rsid w:val="00905654"/>
    <w:rsid w:val="00905708"/>
    <w:rsid w:val="00906054"/>
    <w:rsid w:val="009076DE"/>
    <w:rsid w:val="009138D7"/>
    <w:rsid w:val="009222C1"/>
    <w:rsid w:val="009223D5"/>
    <w:rsid w:val="009306F1"/>
    <w:rsid w:val="009309EC"/>
    <w:rsid w:val="009402E6"/>
    <w:rsid w:val="0094455C"/>
    <w:rsid w:val="00944C8B"/>
    <w:rsid w:val="00944DD4"/>
    <w:rsid w:val="0096234C"/>
    <w:rsid w:val="00963975"/>
    <w:rsid w:val="00964EEA"/>
    <w:rsid w:val="00966CD3"/>
    <w:rsid w:val="009729E7"/>
    <w:rsid w:val="0097616E"/>
    <w:rsid w:val="00981C2F"/>
    <w:rsid w:val="0098543B"/>
    <w:rsid w:val="00990391"/>
    <w:rsid w:val="009903F8"/>
    <w:rsid w:val="009903FF"/>
    <w:rsid w:val="0099137D"/>
    <w:rsid w:val="009922F6"/>
    <w:rsid w:val="009956BA"/>
    <w:rsid w:val="0099690D"/>
    <w:rsid w:val="00997950"/>
    <w:rsid w:val="009A3B83"/>
    <w:rsid w:val="009A5550"/>
    <w:rsid w:val="009A68C1"/>
    <w:rsid w:val="009B10DF"/>
    <w:rsid w:val="009B1E93"/>
    <w:rsid w:val="009B265B"/>
    <w:rsid w:val="009B2F52"/>
    <w:rsid w:val="009B71FB"/>
    <w:rsid w:val="009C0EBD"/>
    <w:rsid w:val="009C2C09"/>
    <w:rsid w:val="009C51CD"/>
    <w:rsid w:val="009C6DB4"/>
    <w:rsid w:val="009D00FB"/>
    <w:rsid w:val="009D060E"/>
    <w:rsid w:val="009D7289"/>
    <w:rsid w:val="009E2D40"/>
    <w:rsid w:val="009E356F"/>
    <w:rsid w:val="009E5AF5"/>
    <w:rsid w:val="009E6BA3"/>
    <w:rsid w:val="009F380A"/>
    <w:rsid w:val="009F672A"/>
    <w:rsid w:val="00A014A3"/>
    <w:rsid w:val="00A02F67"/>
    <w:rsid w:val="00A0630F"/>
    <w:rsid w:val="00A07847"/>
    <w:rsid w:val="00A078CB"/>
    <w:rsid w:val="00A13E98"/>
    <w:rsid w:val="00A14D85"/>
    <w:rsid w:val="00A15A96"/>
    <w:rsid w:val="00A1713D"/>
    <w:rsid w:val="00A22D0E"/>
    <w:rsid w:val="00A23237"/>
    <w:rsid w:val="00A234EF"/>
    <w:rsid w:val="00A257E3"/>
    <w:rsid w:val="00A3234E"/>
    <w:rsid w:val="00A34C62"/>
    <w:rsid w:val="00A34FBC"/>
    <w:rsid w:val="00A37494"/>
    <w:rsid w:val="00A4410E"/>
    <w:rsid w:val="00A54471"/>
    <w:rsid w:val="00A56A4D"/>
    <w:rsid w:val="00A63210"/>
    <w:rsid w:val="00A65A13"/>
    <w:rsid w:val="00A7007C"/>
    <w:rsid w:val="00A708B1"/>
    <w:rsid w:val="00A728F2"/>
    <w:rsid w:val="00A73BBA"/>
    <w:rsid w:val="00A766B5"/>
    <w:rsid w:val="00A774AE"/>
    <w:rsid w:val="00A80B52"/>
    <w:rsid w:val="00A85030"/>
    <w:rsid w:val="00A910B8"/>
    <w:rsid w:val="00A9111E"/>
    <w:rsid w:val="00A97584"/>
    <w:rsid w:val="00AA013C"/>
    <w:rsid w:val="00AA3183"/>
    <w:rsid w:val="00AB00BD"/>
    <w:rsid w:val="00AB487C"/>
    <w:rsid w:val="00AC2529"/>
    <w:rsid w:val="00AC33FB"/>
    <w:rsid w:val="00AC3419"/>
    <w:rsid w:val="00AC3CC9"/>
    <w:rsid w:val="00AC47D1"/>
    <w:rsid w:val="00AC59BE"/>
    <w:rsid w:val="00AD0896"/>
    <w:rsid w:val="00AD0B9F"/>
    <w:rsid w:val="00AD0CBE"/>
    <w:rsid w:val="00AD272C"/>
    <w:rsid w:val="00AD2F01"/>
    <w:rsid w:val="00AD5E25"/>
    <w:rsid w:val="00AD5FD4"/>
    <w:rsid w:val="00AE73AB"/>
    <w:rsid w:val="00AF2C79"/>
    <w:rsid w:val="00AF47B8"/>
    <w:rsid w:val="00B005B0"/>
    <w:rsid w:val="00B04633"/>
    <w:rsid w:val="00B04F8A"/>
    <w:rsid w:val="00B0555B"/>
    <w:rsid w:val="00B1090B"/>
    <w:rsid w:val="00B1097D"/>
    <w:rsid w:val="00B13647"/>
    <w:rsid w:val="00B14E26"/>
    <w:rsid w:val="00B31A84"/>
    <w:rsid w:val="00B328FB"/>
    <w:rsid w:val="00B33652"/>
    <w:rsid w:val="00B34010"/>
    <w:rsid w:val="00B37CD9"/>
    <w:rsid w:val="00B41DD0"/>
    <w:rsid w:val="00B45566"/>
    <w:rsid w:val="00B46731"/>
    <w:rsid w:val="00B54954"/>
    <w:rsid w:val="00B6286C"/>
    <w:rsid w:val="00B636A7"/>
    <w:rsid w:val="00B6776C"/>
    <w:rsid w:val="00B70CD2"/>
    <w:rsid w:val="00B74586"/>
    <w:rsid w:val="00B74CE1"/>
    <w:rsid w:val="00B75717"/>
    <w:rsid w:val="00B7707A"/>
    <w:rsid w:val="00B84FB6"/>
    <w:rsid w:val="00B86518"/>
    <w:rsid w:val="00B86819"/>
    <w:rsid w:val="00B86FC9"/>
    <w:rsid w:val="00B8768C"/>
    <w:rsid w:val="00B90ADE"/>
    <w:rsid w:val="00B91704"/>
    <w:rsid w:val="00BA0A82"/>
    <w:rsid w:val="00BA10C3"/>
    <w:rsid w:val="00BA2264"/>
    <w:rsid w:val="00BA2FE5"/>
    <w:rsid w:val="00BA52D5"/>
    <w:rsid w:val="00BB2859"/>
    <w:rsid w:val="00BB57CB"/>
    <w:rsid w:val="00BB6C9D"/>
    <w:rsid w:val="00BD2040"/>
    <w:rsid w:val="00BD22FB"/>
    <w:rsid w:val="00BE3923"/>
    <w:rsid w:val="00BE4892"/>
    <w:rsid w:val="00BE6AC8"/>
    <w:rsid w:val="00BE7047"/>
    <w:rsid w:val="00BE76BF"/>
    <w:rsid w:val="00BF3442"/>
    <w:rsid w:val="00C01DBE"/>
    <w:rsid w:val="00C032F4"/>
    <w:rsid w:val="00C03FBF"/>
    <w:rsid w:val="00C066FB"/>
    <w:rsid w:val="00C173E1"/>
    <w:rsid w:val="00C2000F"/>
    <w:rsid w:val="00C20143"/>
    <w:rsid w:val="00C23A3C"/>
    <w:rsid w:val="00C25197"/>
    <w:rsid w:val="00C35363"/>
    <w:rsid w:val="00C44225"/>
    <w:rsid w:val="00C47E59"/>
    <w:rsid w:val="00C50E30"/>
    <w:rsid w:val="00C55429"/>
    <w:rsid w:val="00C61D6A"/>
    <w:rsid w:val="00C71C1F"/>
    <w:rsid w:val="00C7229B"/>
    <w:rsid w:val="00C75FF7"/>
    <w:rsid w:val="00C761AD"/>
    <w:rsid w:val="00C76DB9"/>
    <w:rsid w:val="00C80E79"/>
    <w:rsid w:val="00C838E3"/>
    <w:rsid w:val="00C83EDF"/>
    <w:rsid w:val="00C84A51"/>
    <w:rsid w:val="00C85218"/>
    <w:rsid w:val="00C86C7F"/>
    <w:rsid w:val="00C879A6"/>
    <w:rsid w:val="00C90C42"/>
    <w:rsid w:val="00C91CB5"/>
    <w:rsid w:val="00C9497A"/>
    <w:rsid w:val="00CA0D4F"/>
    <w:rsid w:val="00CA3CDC"/>
    <w:rsid w:val="00CA6ED4"/>
    <w:rsid w:val="00CC0909"/>
    <w:rsid w:val="00CC4AFF"/>
    <w:rsid w:val="00CC7AE3"/>
    <w:rsid w:val="00CD2878"/>
    <w:rsid w:val="00CD6BFA"/>
    <w:rsid w:val="00CD7FA5"/>
    <w:rsid w:val="00CE39BB"/>
    <w:rsid w:val="00CE561C"/>
    <w:rsid w:val="00CF007B"/>
    <w:rsid w:val="00CF1C34"/>
    <w:rsid w:val="00CF2BCD"/>
    <w:rsid w:val="00CF4155"/>
    <w:rsid w:val="00D0347F"/>
    <w:rsid w:val="00D04824"/>
    <w:rsid w:val="00D04832"/>
    <w:rsid w:val="00D06602"/>
    <w:rsid w:val="00D10567"/>
    <w:rsid w:val="00D10E69"/>
    <w:rsid w:val="00D12FEB"/>
    <w:rsid w:val="00D1305A"/>
    <w:rsid w:val="00D23D6D"/>
    <w:rsid w:val="00D25BD2"/>
    <w:rsid w:val="00D26E0A"/>
    <w:rsid w:val="00D27AE8"/>
    <w:rsid w:val="00D3040A"/>
    <w:rsid w:val="00D333C7"/>
    <w:rsid w:val="00D33B0C"/>
    <w:rsid w:val="00D36354"/>
    <w:rsid w:val="00D37F72"/>
    <w:rsid w:val="00D431CA"/>
    <w:rsid w:val="00D444EA"/>
    <w:rsid w:val="00D46559"/>
    <w:rsid w:val="00D5066C"/>
    <w:rsid w:val="00D5232E"/>
    <w:rsid w:val="00D52F4E"/>
    <w:rsid w:val="00D55D3A"/>
    <w:rsid w:val="00D606E8"/>
    <w:rsid w:val="00D70894"/>
    <w:rsid w:val="00D927B7"/>
    <w:rsid w:val="00D945B5"/>
    <w:rsid w:val="00DA0315"/>
    <w:rsid w:val="00DA5113"/>
    <w:rsid w:val="00DA6E0D"/>
    <w:rsid w:val="00DB00E1"/>
    <w:rsid w:val="00DB1AD1"/>
    <w:rsid w:val="00DB7297"/>
    <w:rsid w:val="00DC0C8B"/>
    <w:rsid w:val="00DC77C0"/>
    <w:rsid w:val="00DD36CC"/>
    <w:rsid w:val="00DD51EE"/>
    <w:rsid w:val="00DD6AE8"/>
    <w:rsid w:val="00DF6095"/>
    <w:rsid w:val="00E0223C"/>
    <w:rsid w:val="00E056E9"/>
    <w:rsid w:val="00E102D1"/>
    <w:rsid w:val="00E12FD5"/>
    <w:rsid w:val="00E15E4F"/>
    <w:rsid w:val="00E22EE7"/>
    <w:rsid w:val="00E317E0"/>
    <w:rsid w:val="00E31EB7"/>
    <w:rsid w:val="00E42A80"/>
    <w:rsid w:val="00E44477"/>
    <w:rsid w:val="00E446C6"/>
    <w:rsid w:val="00E45A29"/>
    <w:rsid w:val="00E5107D"/>
    <w:rsid w:val="00E54279"/>
    <w:rsid w:val="00E54774"/>
    <w:rsid w:val="00E616A1"/>
    <w:rsid w:val="00E61FD3"/>
    <w:rsid w:val="00E62567"/>
    <w:rsid w:val="00E73171"/>
    <w:rsid w:val="00E73A61"/>
    <w:rsid w:val="00E76C4A"/>
    <w:rsid w:val="00E81E1F"/>
    <w:rsid w:val="00E8219D"/>
    <w:rsid w:val="00E85D4E"/>
    <w:rsid w:val="00E87716"/>
    <w:rsid w:val="00E87F36"/>
    <w:rsid w:val="00E87F90"/>
    <w:rsid w:val="00E91A8E"/>
    <w:rsid w:val="00E94206"/>
    <w:rsid w:val="00E94B5D"/>
    <w:rsid w:val="00E97839"/>
    <w:rsid w:val="00EA1C4B"/>
    <w:rsid w:val="00EB0FA7"/>
    <w:rsid w:val="00EC0F74"/>
    <w:rsid w:val="00EC10FD"/>
    <w:rsid w:val="00EC238C"/>
    <w:rsid w:val="00EC28E0"/>
    <w:rsid w:val="00EC4DB6"/>
    <w:rsid w:val="00EC5903"/>
    <w:rsid w:val="00ED251F"/>
    <w:rsid w:val="00EE2DC2"/>
    <w:rsid w:val="00EE71BD"/>
    <w:rsid w:val="00EF09F6"/>
    <w:rsid w:val="00EF7F51"/>
    <w:rsid w:val="00F02CC0"/>
    <w:rsid w:val="00F069A8"/>
    <w:rsid w:val="00F17C96"/>
    <w:rsid w:val="00F21958"/>
    <w:rsid w:val="00F22FCB"/>
    <w:rsid w:val="00F26895"/>
    <w:rsid w:val="00F27334"/>
    <w:rsid w:val="00F30134"/>
    <w:rsid w:val="00F336E8"/>
    <w:rsid w:val="00F35AC4"/>
    <w:rsid w:val="00F378A6"/>
    <w:rsid w:val="00F37B5F"/>
    <w:rsid w:val="00F41ABB"/>
    <w:rsid w:val="00F4707F"/>
    <w:rsid w:val="00F54008"/>
    <w:rsid w:val="00F564AC"/>
    <w:rsid w:val="00F5673D"/>
    <w:rsid w:val="00F568E5"/>
    <w:rsid w:val="00F639F0"/>
    <w:rsid w:val="00F644C7"/>
    <w:rsid w:val="00F7766A"/>
    <w:rsid w:val="00F806F9"/>
    <w:rsid w:val="00F825B7"/>
    <w:rsid w:val="00F860C4"/>
    <w:rsid w:val="00F918C7"/>
    <w:rsid w:val="00F93485"/>
    <w:rsid w:val="00F971DD"/>
    <w:rsid w:val="00FA28E9"/>
    <w:rsid w:val="00FA7B73"/>
    <w:rsid w:val="00FB0145"/>
    <w:rsid w:val="00FB17E6"/>
    <w:rsid w:val="00FC0A97"/>
    <w:rsid w:val="00FC0C1B"/>
    <w:rsid w:val="00FC3439"/>
    <w:rsid w:val="00FC54D4"/>
    <w:rsid w:val="00FC5F7F"/>
    <w:rsid w:val="00FD09A8"/>
    <w:rsid w:val="00FD2736"/>
    <w:rsid w:val="00FD38F3"/>
    <w:rsid w:val="00FD683D"/>
    <w:rsid w:val="00FD6D7D"/>
    <w:rsid w:val="00FE1133"/>
    <w:rsid w:val="00FE503D"/>
    <w:rsid w:val="00FE6FE8"/>
    <w:rsid w:val="00FF1B8C"/>
    <w:rsid w:val="00FF2EB6"/>
    <w:rsid w:val="00FF418C"/>
    <w:rsid w:val="00FF66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F42292"/>
  <w15:docId w15:val="{F3573D75-10A1-4610-AC78-9563C424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unhideWhenUsed/>
    <w:rsid w:val="003755F4"/>
    <w:rPr>
      <w:sz w:val="20"/>
      <w:szCs w:val="20"/>
    </w:rPr>
  </w:style>
  <w:style w:type="character" w:customStyle="1" w:styleId="CommentTextChar">
    <w:name w:val="Comment Text Char"/>
    <w:basedOn w:val="DefaultParagraphFont"/>
    <w:link w:val="CommentText"/>
    <w:uiPriority w:val="99"/>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unhideWhenUsed/>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12,16 Point,Footnote Reference Number,Footnote Reference_LVL6,Footnote Reference_LVL61,Footnote Reference_LVL62,Footnote Reference_LVL63,Footnote Reference_LVL64,Style 14,Style 16,Style 19,Style 35,Style 39,Superscript 6 Point,fr"/>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 w:type="table" w:styleId="TableGrid">
    <w:name w:val="Table Grid"/>
    <w:basedOn w:val="TableNormal"/>
    <w:uiPriority w:val="59"/>
    <w:rsid w:val="007F4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234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73087"/>
    <w:pPr>
      <w:spacing w:after="0" w:line="240" w:lineRule="auto"/>
    </w:pPr>
    <w:rPr>
      <w:rFonts w:ascii="Times New Roman" w:hAnsi="Times New Roman"/>
      <w:sz w:val="24"/>
    </w:rPr>
  </w:style>
  <w:style w:type="paragraph" w:styleId="TOC6">
    <w:name w:val="toc 6"/>
    <w:basedOn w:val="Normal"/>
    <w:next w:val="Normal"/>
    <w:semiHidden/>
    <w:rsid w:val="00B34010"/>
    <w:pPr>
      <w:tabs>
        <w:tab w:val="right" w:pos="9360"/>
      </w:tabs>
      <w:suppressAutoHyphens/>
      <w:ind w:left="720" w:hanging="720"/>
    </w:pPr>
    <w:rPr>
      <w:rFonts w:ascii="Courier" w:eastAsia="Times New Roman" w:hAnsi="Courier" w:cs="Times New Roman"/>
      <w:szCs w:val="20"/>
    </w:rPr>
  </w:style>
  <w:style w:type="character" w:styleId="Hyperlink">
    <w:name w:val="Hyperlink"/>
    <w:uiPriority w:val="99"/>
    <w:unhideWhenUsed/>
    <w:rsid w:val="007441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4F6A752C689F4FB0C4F50271F12630" ma:contentTypeVersion="3" ma:contentTypeDescription="Create a new document." ma:contentTypeScope="" ma:versionID="388c38df46f0436877e12fe9d14fb3cb">
  <xsd:schema xmlns:xsd="http://www.w3.org/2001/XMLSchema" xmlns:xs="http://www.w3.org/2001/XMLSchema" xmlns:p="http://schemas.microsoft.com/office/2006/metadata/properties" xmlns:ns3="808b604e-1bb8-4308-a31c-73b0071a6f24" targetNamespace="http://schemas.microsoft.com/office/2006/metadata/properties" ma:root="true" ma:fieldsID="82df91351a5a4efa960ad4ab62102b02" ns3:_="">
    <xsd:import namespace="808b604e-1bb8-4308-a31c-73b0071a6f2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b604e-1bb8-4308-a31c-73b0071a6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2.xml><?xml version="1.0" encoding="utf-8"?>
<ds:datastoreItem xmlns:ds="http://schemas.openxmlformats.org/officeDocument/2006/customXml" ds:itemID="{0E367CBB-B949-4A71-ACFE-8DD0396879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E8AE46-FE2D-4EA8-87EE-62E5D7BFF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b604e-1bb8-4308-a31c-73b0071a6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C2B423-2D63-401F-96F3-26E87AFB6963}">
  <ds:schemaRefs>
    <ds:schemaRef ds:uri="http://schemas.openxmlformats.org/officeDocument/2006/bibliography"/>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17</TotalTime>
  <Pages>16</Pages>
  <Words>5132</Words>
  <Characters>29253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keywords>PRA Blank</cp:keywords>
  <cp:lastModifiedBy>OGC</cp:lastModifiedBy>
  <cp:revision>19</cp:revision>
  <cp:lastPrinted>2020-04-06T20:13:00Z</cp:lastPrinted>
  <dcterms:created xsi:type="dcterms:W3CDTF">2024-12-09T15:54:00Z</dcterms:created>
  <dcterms:modified xsi:type="dcterms:W3CDTF">2024-12-16T14:56:00Z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TC Audience">
    <vt:lpwstr>13;#All CFTC Staff|4f9c852f-d497-40c4-b357-3897abf65c10</vt:lpwstr>
  </property>
  <property fmtid="{D5CDD505-2E9C-101B-9397-08002B2CF9AE}" pid="3" name="CFTC Location">
    <vt:lpwstr>14;#All CFTC Locations|07b51532-ca12-475e-8433-c139a58bc2c8</vt:lpwstr>
  </property>
  <property fmtid="{D5CDD505-2E9C-101B-9397-08002B2CF9AE}" pid="4" name="CFTC Owner">
    <vt:lpwstr>73;#Office of the General Counsel|bd58875c-cb9d-447e-b8fd-b2672ffab719</vt:lpwstr>
  </property>
  <property fmtid="{D5CDD505-2E9C-101B-9397-08002B2CF9AE}" pid="5" name="CFTC Subject">
    <vt:lpwstr>104;#Legal|12e962f7-0af9-400d-a646-2af5c7b92277;#56;#Agency Operations|3495dd4b-79d7-41a6-8ce6-02dce84f79b0</vt:lpwstr>
  </property>
  <property fmtid="{D5CDD505-2E9C-101B-9397-08002B2CF9AE}" pid="6" name="CFTC Type">
    <vt:lpwstr>15;#General|f4844b07-25eb-4c74-a1a4-15dd52f1d01d</vt:lpwstr>
  </property>
  <property fmtid="{D5CDD505-2E9C-101B-9397-08002B2CF9AE}" pid="7" name="ContentTypeId">
    <vt:lpwstr>0x010100464F6A752C689F4FB0C4F50271F12630</vt:lpwstr>
  </property>
  <property fmtid="{D5CDD505-2E9C-101B-9397-08002B2CF9AE}" pid="8" name="TaxKeyword">
    <vt:lpwstr>2268;#PRA Blank|bbbd82c5-0437-4006-80e0-1ee767fc1cab</vt:lpwstr>
  </property>
</Properties>
</file>