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66DA" w:rsidRPr="00CF34FA" w:rsidP="005366DA" w14:paraId="0C052D4C" w14:textId="77777777">
      <w:pPr>
        <w:tabs>
          <w:tab w:val="center" w:pos="4680"/>
        </w:tabs>
        <w:jc w:val="center"/>
        <w:rPr>
          <w:rFonts w:ascii="Times New Roman" w:eastAsia="Calibri" w:hAnsi="Times New Roman"/>
          <w:b/>
          <w:snapToGrid/>
          <w:szCs w:val="24"/>
        </w:rPr>
      </w:pPr>
      <w:r w:rsidRPr="00CF34FA">
        <w:rPr>
          <w:rFonts w:ascii="Times New Roman" w:eastAsia="Calibri" w:hAnsi="Times New Roman"/>
          <w:b/>
          <w:snapToGrid/>
          <w:szCs w:val="24"/>
        </w:rPr>
        <w:t>SUPPORTING STATEMENT</w:t>
      </w:r>
    </w:p>
    <w:p w:rsidR="005366DA" w:rsidRPr="00CF34FA" w:rsidP="005366DA" w14:paraId="3DA772C8" w14:textId="77777777">
      <w:pPr>
        <w:widowControl/>
        <w:tabs>
          <w:tab w:val="center" w:pos="4680"/>
        </w:tabs>
        <w:jc w:val="center"/>
        <w:rPr>
          <w:rFonts w:ascii="Times New Roman" w:eastAsia="Calibri" w:hAnsi="Times New Roman"/>
          <w:snapToGrid/>
          <w:szCs w:val="24"/>
        </w:rPr>
      </w:pPr>
      <w:r w:rsidRPr="00CF34FA">
        <w:rPr>
          <w:rFonts w:ascii="Times New Roman" w:eastAsia="Calibri" w:hAnsi="Times New Roman"/>
          <w:snapToGrid/>
          <w:szCs w:val="24"/>
        </w:rPr>
        <w:t>RECORDKEEPING REQUIREMENTS ASSOCIATED WITH</w:t>
      </w:r>
    </w:p>
    <w:p w:rsidR="005366DA" w:rsidRPr="00CF34FA" w:rsidP="005366DA" w14:paraId="5BEB4902" w14:textId="77777777">
      <w:pPr>
        <w:widowControl/>
        <w:tabs>
          <w:tab w:val="center" w:pos="4680"/>
        </w:tabs>
        <w:jc w:val="center"/>
        <w:rPr>
          <w:rFonts w:ascii="Times New Roman" w:eastAsia="Calibri" w:hAnsi="Times New Roman"/>
          <w:snapToGrid/>
          <w:szCs w:val="24"/>
        </w:rPr>
      </w:pPr>
      <w:r w:rsidRPr="00CF34FA">
        <w:rPr>
          <w:rFonts w:ascii="Times New Roman" w:eastAsia="Calibri" w:hAnsi="Times New Roman"/>
          <w:snapToGrid/>
          <w:szCs w:val="24"/>
        </w:rPr>
        <w:t>REAL ESTATE APPRAISALS AND EVALUATIONS</w:t>
      </w:r>
    </w:p>
    <w:p w:rsidR="005366DA" w:rsidRPr="00CF34FA" w:rsidP="005366DA" w14:paraId="6C5CB035" w14:textId="77777777">
      <w:pPr>
        <w:widowControl/>
        <w:tabs>
          <w:tab w:val="center" w:pos="4680"/>
        </w:tabs>
        <w:jc w:val="center"/>
        <w:rPr>
          <w:rFonts w:ascii="Times New Roman" w:eastAsia="Calibri" w:hAnsi="Times New Roman"/>
          <w:snapToGrid/>
          <w:szCs w:val="24"/>
        </w:rPr>
      </w:pPr>
      <w:r w:rsidRPr="00CF34FA">
        <w:rPr>
          <w:rFonts w:ascii="Times New Roman" w:eastAsia="Calibri" w:hAnsi="Times New Roman"/>
          <w:snapToGrid/>
          <w:szCs w:val="24"/>
        </w:rPr>
        <w:t>(OMB No. 3064</w:t>
      </w:r>
      <w:r w:rsidRPr="00CF34FA">
        <w:rPr>
          <w:rFonts w:ascii="Times New Roman" w:eastAsia="Calibri" w:hAnsi="Times New Roman"/>
          <w:snapToGrid/>
          <w:szCs w:val="24"/>
        </w:rPr>
        <w:noBreakHyphen/>
        <w:t>0103)</w:t>
      </w:r>
    </w:p>
    <w:p w:rsidR="00994EDE" w:rsidRPr="00CF34FA" w:rsidP="005366DA" w14:paraId="3AE0E354" w14:textId="77777777">
      <w:pPr>
        <w:widowControl/>
        <w:tabs>
          <w:tab w:val="center" w:pos="4680"/>
          <w:tab w:val="left" w:pos="4896"/>
        </w:tabs>
        <w:rPr>
          <w:rFonts w:ascii="Times New Roman" w:hAnsi="Times New Roman"/>
        </w:rPr>
      </w:pPr>
    </w:p>
    <w:p w:rsidR="00994EDE" w:rsidRPr="00CF34FA" w14:paraId="607DF3F1" w14:textId="77777777">
      <w:pPr>
        <w:widowControl/>
        <w:tabs>
          <w:tab w:val="left" w:pos="432"/>
          <w:tab w:val="left" w:pos="1152"/>
          <w:tab w:val="left" w:pos="1872"/>
          <w:tab w:val="left" w:pos="2448"/>
          <w:tab w:val="left" w:pos="4896"/>
        </w:tabs>
        <w:rPr>
          <w:rFonts w:ascii="Times New Roman" w:hAnsi="Times New Roman"/>
        </w:rPr>
      </w:pPr>
    </w:p>
    <w:p w:rsidR="00994EDE" w:rsidRPr="00CF34FA" w14:paraId="5B044A01" w14:textId="77777777">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u w:val="single"/>
        </w:rPr>
        <w:t>INTRODUCTION</w:t>
      </w:r>
    </w:p>
    <w:p w:rsidR="00994EDE" w:rsidRPr="00CF34FA" w14:paraId="4E97DFF4" w14:textId="77777777">
      <w:pPr>
        <w:widowControl/>
        <w:tabs>
          <w:tab w:val="left" w:pos="432"/>
          <w:tab w:val="left" w:pos="1152"/>
          <w:tab w:val="left" w:pos="1872"/>
          <w:tab w:val="left" w:pos="2448"/>
          <w:tab w:val="left" w:pos="4896"/>
        </w:tabs>
        <w:rPr>
          <w:rFonts w:ascii="Times New Roman" w:hAnsi="Times New Roman"/>
        </w:rPr>
      </w:pPr>
    </w:p>
    <w:p w:rsidR="00827E49" w:rsidP="00827E49" w14:paraId="4B29B1A4" w14:textId="5DD74561">
      <w:pPr>
        <w:rPr>
          <w:rFonts w:ascii="Times New Roman" w:hAnsi="Times New Roman"/>
          <w:szCs w:val="24"/>
        </w:rPr>
      </w:pPr>
      <w:r w:rsidRPr="00CF34FA">
        <w:rPr>
          <w:rFonts w:ascii="Times New Roman" w:hAnsi="Times New Roman"/>
        </w:rPr>
        <w:t>The FDIC is requesting OMB approval</w:t>
      </w:r>
      <w:r w:rsidR="00A07F1F">
        <w:rPr>
          <w:rFonts w:ascii="Times New Roman" w:hAnsi="Times New Roman"/>
        </w:rPr>
        <w:t xml:space="preserve"> for an extension, with revisions</w:t>
      </w:r>
      <w:r w:rsidRPr="00CF34FA">
        <w:rPr>
          <w:rFonts w:ascii="Times New Roman" w:hAnsi="Times New Roman"/>
        </w:rPr>
        <w:t xml:space="preserve">, of an existing information collection. </w:t>
      </w:r>
      <w:r w:rsidRPr="006D1570">
        <w:rPr>
          <w:rFonts w:ascii="Times New Roman" w:hAnsi="Times New Roman"/>
          <w:szCs w:val="24"/>
        </w:rPr>
        <w:t>This Supporting S</w:t>
      </w:r>
      <w:r>
        <w:rPr>
          <w:rFonts w:ascii="Times New Roman" w:hAnsi="Times New Roman"/>
          <w:szCs w:val="24"/>
        </w:rPr>
        <w:t>tatement is submitted</w:t>
      </w:r>
      <w:r w:rsidRPr="009628B3">
        <w:rPr>
          <w:rFonts w:ascii="Times New Roman" w:hAnsi="Times New Roman"/>
          <w:szCs w:val="24"/>
        </w:rPr>
        <w:t xml:space="preserve"> in connection with </w:t>
      </w:r>
      <w:r w:rsidR="00D71196">
        <w:rPr>
          <w:rFonts w:ascii="Times New Roman" w:hAnsi="Times New Roman"/>
          <w:szCs w:val="24"/>
        </w:rPr>
        <w:t>the issuance of a final r</w:t>
      </w:r>
      <w:r w:rsidR="00E2798B">
        <w:rPr>
          <w:rFonts w:ascii="Times New Roman" w:hAnsi="Times New Roman"/>
          <w:szCs w:val="24"/>
        </w:rPr>
        <w:t>ule</w:t>
      </w:r>
      <w:r w:rsidR="00D71196">
        <w:rPr>
          <w:rFonts w:ascii="Times New Roman" w:hAnsi="Times New Roman"/>
          <w:szCs w:val="24"/>
        </w:rPr>
        <w:t xml:space="preserve"> (the Final Rule)</w:t>
      </w:r>
      <w:r w:rsidR="00E2798B">
        <w:rPr>
          <w:rFonts w:ascii="Times New Roman" w:hAnsi="Times New Roman"/>
          <w:szCs w:val="24"/>
        </w:rPr>
        <w:t xml:space="preserve"> that codifies</w:t>
      </w:r>
      <w:r w:rsidRPr="009628B3">
        <w:rPr>
          <w:rFonts w:ascii="Times New Roman" w:hAnsi="Times New Roman"/>
          <w:szCs w:val="24"/>
        </w:rPr>
        <w:t xml:space="preserve"> recordkeeping requirements concerning the use of automated valuation models (AVMs) in valuing real estate collateral securing mortgage loans.  These regulations are mandated by the Dodd-Frank Act for the use of AVMs by mortgage originators and secondary market issuers in determining the collateral worth of a mortgage secured by a consumer’s principal dwelling.  Section 1473(q) of the Dodd-Frank Act amended title XI of the Financial Institutions Reform, Recovery, and Enforcement Act of 1989 (title XI)</w:t>
      </w:r>
      <w:r>
        <w:rPr>
          <w:rFonts w:ascii="Times New Roman" w:hAnsi="Times New Roman"/>
          <w:szCs w:val="24"/>
          <w:vertAlign w:val="superscript"/>
        </w:rPr>
        <w:footnoteReference w:id="2"/>
      </w:r>
      <w:r w:rsidRPr="009628B3">
        <w:rPr>
          <w:rFonts w:ascii="Times New Roman" w:hAnsi="Times New Roman"/>
          <w:szCs w:val="24"/>
        </w:rPr>
        <w:t xml:space="preserve"> to add a new section 1125 relating to the use of AVMs in valuing real estate collateral securing mortgage loans (section 1125).</w:t>
      </w:r>
      <w:r>
        <w:rPr>
          <w:rFonts w:ascii="Times New Roman" w:hAnsi="Times New Roman"/>
          <w:szCs w:val="24"/>
          <w:vertAlign w:val="superscript"/>
        </w:rPr>
        <w:footnoteReference w:id="3"/>
      </w:r>
      <w:r w:rsidRPr="009628B3">
        <w:rPr>
          <w:rFonts w:ascii="Times New Roman" w:hAnsi="Times New Roman"/>
          <w:szCs w:val="24"/>
        </w:rPr>
        <w:t xml:space="preserve">  Section 1125 directs the agencies to promulgate regulations to implement quality control standards regarding AVMs.</w:t>
      </w:r>
    </w:p>
    <w:p w:rsidR="00827E49" w:rsidP="00827E49" w14:paraId="1990CE80" w14:textId="77777777">
      <w:pPr>
        <w:rPr>
          <w:rFonts w:ascii="Times New Roman" w:hAnsi="Times New Roman"/>
          <w:szCs w:val="24"/>
        </w:rPr>
      </w:pPr>
    </w:p>
    <w:p w:rsidR="006E1676" w:rsidRPr="006D1570" w:rsidP="006E1676" w14:paraId="164EA842" w14:textId="148BC970">
      <w:pPr>
        <w:rPr>
          <w:rFonts w:ascii="Times New Roman" w:hAnsi="Times New Roman"/>
          <w:szCs w:val="24"/>
        </w:rPr>
      </w:pPr>
      <w:r w:rsidRPr="006D1570">
        <w:rPr>
          <w:rFonts w:ascii="Times New Roman" w:hAnsi="Times New Roman"/>
          <w:szCs w:val="24"/>
        </w:rPr>
        <w:t xml:space="preserve">The </w:t>
      </w:r>
      <w:r w:rsidR="00E2798B">
        <w:rPr>
          <w:rFonts w:ascii="Times New Roman" w:hAnsi="Times New Roman"/>
          <w:szCs w:val="24"/>
        </w:rPr>
        <w:t>Office of the Comptroller of the Currency (</w:t>
      </w:r>
      <w:r>
        <w:rPr>
          <w:rFonts w:ascii="Times New Roman" w:hAnsi="Times New Roman"/>
          <w:szCs w:val="24"/>
        </w:rPr>
        <w:t>OCC</w:t>
      </w:r>
      <w:r w:rsidR="00E2798B">
        <w:rPr>
          <w:rFonts w:ascii="Times New Roman" w:hAnsi="Times New Roman"/>
          <w:szCs w:val="24"/>
        </w:rPr>
        <w:t>)</w:t>
      </w:r>
      <w:r>
        <w:rPr>
          <w:rFonts w:ascii="Times New Roman" w:hAnsi="Times New Roman"/>
          <w:szCs w:val="24"/>
        </w:rPr>
        <w:t xml:space="preserve">, </w:t>
      </w:r>
      <w:r w:rsidR="00E2798B">
        <w:rPr>
          <w:rFonts w:ascii="Times New Roman" w:hAnsi="Times New Roman"/>
          <w:szCs w:val="24"/>
        </w:rPr>
        <w:t>the Board of Governors of the Federal Reserve System (</w:t>
      </w:r>
      <w:r>
        <w:rPr>
          <w:rFonts w:ascii="Times New Roman" w:hAnsi="Times New Roman"/>
          <w:szCs w:val="24"/>
        </w:rPr>
        <w:t>Board</w:t>
      </w:r>
      <w:r w:rsidR="00E2798B">
        <w:rPr>
          <w:rFonts w:ascii="Times New Roman" w:hAnsi="Times New Roman"/>
          <w:szCs w:val="24"/>
        </w:rPr>
        <w:t>)</w:t>
      </w:r>
      <w:r>
        <w:rPr>
          <w:rFonts w:ascii="Times New Roman" w:hAnsi="Times New Roman"/>
          <w:szCs w:val="24"/>
        </w:rPr>
        <w:t>,</w:t>
      </w:r>
      <w:r w:rsidR="00D71196">
        <w:rPr>
          <w:rFonts w:ascii="Times New Roman" w:hAnsi="Times New Roman"/>
          <w:szCs w:val="24"/>
        </w:rPr>
        <w:t xml:space="preserve"> </w:t>
      </w:r>
      <w:r w:rsidR="00E2798B">
        <w:rPr>
          <w:rFonts w:ascii="Times New Roman" w:hAnsi="Times New Roman"/>
          <w:szCs w:val="24"/>
        </w:rPr>
        <w:t>the Federal Deposit Insurance Corporation (</w:t>
      </w:r>
      <w:r>
        <w:rPr>
          <w:rFonts w:ascii="Times New Roman" w:hAnsi="Times New Roman"/>
          <w:szCs w:val="24"/>
        </w:rPr>
        <w:t>FDIC</w:t>
      </w:r>
      <w:r w:rsidR="00E2798B">
        <w:rPr>
          <w:rFonts w:ascii="Times New Roman" w:hAnsi="Times New Roman"/>
          <w:szCs w:val="24"/>
        </w:rPr>
        <w:t>)</w:t>
      </w:r>
      <w:r>
        <w:rPr>
          <w:rFonts w:ascii="Times New Roman" w:hAnsi="Times New Roman"/>
          <w:szCs w:val="24"/>
        </w:rPr>
        <w:t xml:space="preserve">, and </w:t>
      </w:r>
      <w:r w:rsidR="00E2798B">
        <w:rPr>
          <w:rFonts w:ascii="Times New Roman" w:hAnsi="Times New Roman"/>
          <w:szCs w:val="24"/>
        </w:rPr>
        <w:t>the National Credit Union Administration (</w:t>
      </w:r>
      <w:r>
        <w:rPr>
          <w:rFonts w:ascii="Times New Roman" w:hAnsi="Times New Roman"/>
          <w:szCs w:val="24"/>
        </w:rPr>
        <w:t>NCUA</w:t>
      </w:r>
      <w:r w:rsidR="00E2798B">
        <w:rPr>
          <w:rFonts w:ascii="Times New Roman" w:hAnsi="Times New Roman"/>
          <w:szCs w:val="24"/>
        </w:rPr>
        <w:t>) (the banking agencies</w:t>
      </w:r>
      <w:r w:rsidR="00D71196">
        <w:rPr>
          <w:rFonts w:ascii="Times New Roman" w:hAnsi="Times New Roman"/>
          <w:szCs w:val="24"/>
        </w:rPr>
        <w:t>)</w:t>
      </w:r>
      <w:r w:rsidR="00E2798B">
        <w:rPr>
          <w:rFonts w:ascii="Times New Roman" w:hAnsi="Times New Roman"/>
          <w:szCs w:val="24"/>
        </w:rPr>
        <w:t>, together with the Consumer Financial Protection Bureau (CFPB) and the Federal Housing Finance Agency (FHFA)</w:t>
      </w:r>
      <w:r>
        <w:rPr>
          <w:rFonts w:ascii="Times New Roman" w:hAnsi="Times New Roman"/>
          <w:szCs w:val="24"/>
        </w:rPr>
        <w:t xml:space="preserve"> </w:t>
      </w:r>
      <w:r w:rsidRPr="00726C89">
        <w:rPr>
          <w:rFonts w:ascii="Times New Roman" w:hAnsi="Times New Roman"/>
          <w:szCs w:val="24"/>
        </w:rPr>
        <w:t xml:space="preserve">are revising their real estate appraisals and evaluations information collections </w:t>
      </w:r>
      <w:r>
        <w:rPr>
          <w:rFonts w:ascii="Times New Roman" w:hAnsi="Times New Roman"/>
          <w:szCs w:val="24"/>
        </w:rPr>
        <w:t>to account for these new regulation</w:t>
      </w:r>
      <w:r w:rsidR="006549D7">
        <w:rPr>
          <w:rFonts w:ascii="Times New Roman" w:hAnsi="Times New Roman"/>
          <w:szCs w:val="24"/>
        </w:rPr>
        <w:t xml:space="preserve"> and revised Reconsideration of Value guidelines (the ROV Guidelines)</w:t>
      </w:r>
      <w:r w:rsidRPr="00726C89">
        <w:rPr>
          <w:rFonts w:ascii="Times New Roman" w:hAnsi="Times New Roman"/>
          <w:szCs w:val="24"/>
        </w:rPr>
        <w:t>.</w:t>
      </w:r>
      <w:r>
        <w:rPr>
          <w:rFonts w:ascii="Times New Roman" w:hAnsi="Times New Roman"/>
          <w:szCs w:val="24"/>
        </w:rPr>
        <w:t xml:space="preserve">  </w:t>
      </w:r>
      <w:r w:rsidR="006549D7">
        <w:rPr>
          <w:rFonts w:ascii="Times New Roman" w:hAnsi="Times New Roman"/>
          <w:szCs w:val="24"/>
        </w:rPr>
        <w:t>T</w:t>
      </w:r>
      <w:r w:rsidRPr="006D1570">
        <w:rPr>
          <w:rFonts w:ascii="Times New Roman" w:hAnsi="Times New Roman"/>
          <w:szCs w:val="24"/>
        </w:rPr>
        <w:t xml:space="preserve">he </w:t>
      </w:r>
      <w:r>
        <w:rPr>
          <w:rFonts w:ascii="Times New Roman" w:hAnsi="Times New Roman"/>
          <w:szCs w:val="24"/>
        </w:rPr>
        <w:t xml:space="preserve">banking </w:t>
      </w:r>
      <w:r w:rsidRPr="006D1570">
        <w:rPr>
          <w:rFonts w:ascii="Times New Roman" w:hAnsi="Times New Roman"/>
          <w:szCs w:val="24"/>
        </w:rPr>
        <w:t xml:space="preserve">agencies are updating and aligning their information collections with respect to the burden associated with the </w:t>
      </w:r>
      <w:r w:rsidRPr="005D018C">
        <w:rPr>
          <w:rFonts w:ascii="Times New Roman" w:hAnsi="Times New Roman"/>
          <w:szCs w:val="24"/>
        </w:rPr>
        <w:t>Interagency Appraisal and Evaluation Guidelines</w:t>
      </w:r>
      <w:r w:rsidR="00D71196">
        <w:rPr>
          <w:rFonts w:ascii="Times New Roman" w:hAnsi="Times New Roman"/>
          <w:szCs w:val="24"/>
        </w:rPr>
        <w:t xml:space="preserve"> </w:t>
      </w:r>
      <w:r>
        <w:rPr>
          <w:rFonts w:ascii="Times New Roman" w:hAnsi="Times New Roman"/>
          <w:szCs w:val="24"/>
          <w:vertAlign w:val="superscript"/>
        </w:rPr>
        <w:footnoteReference w:id="4"/>
      </w:r>
      <w:r w:rsidR="006549D7">
        <w:rPr>
          <w:rFonts w:ascii="Times New Roman" w:hAnsi="Times New Roman"/>
          <w:szCs w:val="24"/>
        </w:rPr>
        <w:t xml:space="preserve"> </w:t>
      </w:r>
      <w:r w:rsidR="00D71196">
        <w:rPr>
          <w:rFonts w:ascii="Times New Roman" w:hAnsi="Times New Roman"/>
          <w:szCs w:val="24"/>
        </w:rPr>
        <w:t>to include the new recordkeeping requirements imposed by this Final Rule</w:t>
      </w:r>
      <w:r w:rsidR="006549D7">
        <w:rPr>
          <w:rFonts w:ascii="Times New Roman" w:hAnsi="Times New Roman"/>
          <w:szCs w:val="24"/>
        </w:rPr>
        <w:t xml:space="preserve"> and suggested by</w:t>
      </w:r>
      <w:bookmarkStart w:id="0" w:name="_GoBack"/>
      <w:bookmarkEnd w:id="0"/>
      <w:r w:rsidR="006549D7">
        <w:rPr>
          <w:rFonts w:ascii="Times New Roman" w:hAnsi="Times New Roman"/>
          <w:szCs w:val="24"/>
        </w:rPr>
        <w:t xml:space="preserve"> the ROV Guidelines</w:t>
      </w:r>
      <w:r w:rsidR="00D71196">
        <w:rPr>
          <w:rFonts w:ascii="Times New Roman" w:hAnsi="Times New Roman"/>
          <w:szCs w:val="24"/>
        </w:rPr>
        <w:t>.</w:t>
      </w:r>
    </w:p>
    <w:p w:rsidR="00827E49" w:rsidP="00827E49" w14:paraId="61873911" w14:textId="634EC9E2">
      <w:pPr>
        <w:widowControl/>
        <w:tabs>
          <w:tab w:val="left" w:pos="432"/>
          <w:tab w:val="left" w:pos="1152"/>
          <w:tab w:val="left" w:pos="1872"/>
          <w:tab w:val="left" w:pos="2448"/>
          <w:tab w:val="left" w:pos="4896"/>
        </w:tabs>
        <w:rPr>
          <w:rFonts w:ascii="Times New Roman" w:hAnsi="Times New Roman"/>
        </w:rPr>
      </w:pPr>
    </w:p>
    <w:p w:rsidR="00797DDC" w:rsidRPr="00CF34FA" w14:paraId="09A122FC" w14:textId="7082B1BB">
      <w:pPr>
        <w:widowControl/>
        <w:tabs>
          <w:tab w:val="left" w:pos="432"/>
          <w:tab w:val="left" w:pos="1152"/>
          <w:tab w:val="left" w:pos="1872"/>
          <w:tab w:val="left" w:pos="2448"/>
          <w:tab w:val="left" w:pos="4896"/>
        </w:tabs>
        <w:rPr>
          <w:rFonts w:ascii="Times New Roman" w:hAnsi="Times New Roman"/>
        </w:rPr>
      </w:pPr>
    </w:p>
    <w:p w:rsidR="00994EDE" w:rsidRPr="00CF34FA" w14:paraId="05C7E089" w14:textId="77777777">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rPr>
        <w:t>A.</w:t>
      </w:r>
      <w:r w:rsidRPr="00CF34FA">
        <w:rPr>
          <w:rFonts w:ascii="Times New Roman" w:hAnsi="Times New Roman"/>
        </w:rPr>
        <w:tab/>
      </w:r>
      <w:r w:rsidRPr="00CF34FA">
        <w:rPr>
          <w:rFonts w:ascii="Times New Roman" w:hAnsi="Times New Roman"/>
          <w:u w:val="single"/>
        </w:rPr>
        <w:t>JUSTIFICATION</w:t>
      </w:r>
    </w:p>
    <w:p w:rsidR="00994EDE" w:rsidRPr="00CF34FA" w14:paraId="5FFDAA14" w14:textId="77777777">
      <w:pPr>
        <w:widowControl/>
        <w:tabs>
          <w:tab w:val="left" w:pos="432"/>
          <w:tab w:val="left" w:pos="1152"/>
          <w:tab w:val="left" w:pos="1872"/>
          <w:tab w:val="left" w:pos="2448"/>
          <w:tab w:val="left" w:pos="4896"/>
        </w:tabs>
        <w:rPr>
          <w:rFonts w:ascii="Times New Roman" w:hAnsi="Times New Roman"/>
        </w:rPr>
      </w:pPr>
    </w:p>
    <w:p w:rsidR="00994EDE" w:rsidRPr="00CF34FA" w14:paraId="2172B7F4" w14:textId="77777777">
      <w:pPr>
        <w:widowControl/>
        <w:tabs>
          <w:tab w:val="left" w:pos="432"/>
          <w:tab w:val="left" w:pos="1152"/>
          <w:tab w:val="left" w:pos="1872"/>
          <w:tab w:val="left" w:pos="2448"/>
          <w:tab w:val="left" w:pos="4896"/>
        </w:tabs>
        <w:ind w:firstLine="432"/>
        <w:rPr>
          <w:rFonts w:ascii="Times New Roman" w:hAnsi="Times New Roman"/>
        </w:rPr>
      </w:pPr>
      <w:r w:rsidRPr="00CF34FA">
        <w:rPr>
          <w:rFonts w:ascii="Times New Roman" w:hAnsi="Times New Roman"/>
        </w:rPr>
        <w:t>1.</w:t>
      </w:r>
      <w:r w:rsidRPr="00CF34FA">
        <w:rPr>
          <w:rFonts w:ascii="Times New Roman" w:hAnsi="Times New Roman"/>
        </w:rPr>
        <w:tab/>
      </w:r>
      <w:r w:rsidRPr="00CF34FA" w:rsidR="002701C6">
        <w:rPr>
          <w:rFonts w:ascii="Times New Roman" w:hAnsi="Times New Roman"/>
          <w:bCs/>
          <w:iCs/>
          <w:u w:val="single"/>
        </w:rPr>
        <w:t>Circumstances that make the collection necessary:</w:t>
      </w:r>
    </w:p>
    <w:p w:rsidR="00994EDE" w:rsidRPr="00CF34FA" w14:paraId="4907DAB1" w14:textId="77777777">
      <w:pPr>
        <w:widowControl/>
        <w:tabs>
          <w:tab w:val="left" w:pos="432"/>
          <w:tab w:val="left" w:pos="1152"/>
          <w:tab w:val="left" w:pos="1872"/>
          <w:tab w:val="left" w:pos="2448"/>
          <w:tab w:val="left" w:pos="4896"/>
        </w:tabs>
        <w:rPr>
          <w:rFonts w:ascii="Times New Roman" w:hAnsi="Times New Roman"/>
        </w:rPr>
      </w:pPr>
    </w:p>
    <w:p w:rsidR="005366DA" w:rsidRPr="00CF34FA" w:rsidP="005366DA" w14:paraId="4D5D83FA" w14:textId="77777777">
      <w:pPr>
        <w:widowControl/>
        <w:tabs>
          <w:tab w:val="left" w:pos="432"/>
          <w:tab w:val="left" w:pos="1152"/>
          <w:tab w:val="left" w:pos="1872"/>
          <w:tab w:val="left" w:pos="2448"/>
          <w:tab w:val="left" w:pos="4896"/>
        </w:tabs>
        <w:ind w:left="1152"/>
        <w:rPr>
          <w:rFonts w:ascii="Times New Roman" w:hAnsi="Times New Roman"/>
          <w:bCs/>
        </w:rPr>
      </w:pPr>
      <w:r w:rsidRPr="00CF34FA">
        <w:rPr>
          <w:rFonts w:ascii="Times New Roman" w:hAnsi="Times New Roman"/>
          <w:bCs/>
        </w:rPr>
        <w:t xml:space="preserve">Title XI of FIRREA was enacted to protect federal financial and public policy interests in real estate related transactions.  Many loans and other transactions entered into by federally insured financial institutions are collateralized by liens on real estate.  While repayment ability stands as the primary criteria for determining creditworthiness, the value of collateral provides some protection against loss.  Faulty, incompetent, or fraudulent appraisals of real estate have caused large loan losses, can contribute to the failure of financial institutions, and may result in losses to the Deposit Insurance Fund (DIF).  </w:t>
      </w:r>
    </w:p>
    <w:p w:rsidR="005366DA" w:rsidRPr="00CF34FA" w:rsidP="005366DA" w14:paraId="179CF932" w14:textId="77777777">
      <w:pPr>
        <w:widowControl/>
        <w:tabs>
          <w:tab w:val="left" w:pos="432"/>
          <w:tab w:val="left" w:pos="1152"/>
          <w:tab w:val="left" w:pos="1872"/>
          <w:tab w:val="left" w:pos="2448"/>
          <w:tab w:val="left" w:pos="4896"/>
        </w:tabs>
        <w:ind w:left="1152"/>
        <w:rPr>
          <w:rFonts w:ascii="Times New Roman" w:hAnsi="Times New Roman"/>
          <w:bCs/>
        </w:rPr>
      </w:pPr>
    </w:p>
    <w:p w:rsidR="00994EDE" w:rsidP="005366DA" w14:paraId="7C10B1CD" w14:textId="4F3150C9">
      <w:pPr>
        <w:widowControl/>
        <w:tabs>
          <w:tab w:val="left" w:pos="432"/>
          <w:tab w:val="left" w:pos="1152"/>
          <w:tab w:val="left" w:pos="1872"/>
          <w:tab w:val="left" w:pos="2448"/>
          <w:tab w:val="left" w:pos="4896"/>
        </w:tabs>
        <w:ind w:left="1152"/>
        <w:rPr>
          <w:rFonts w:ascii="Times New Roman" w:hAnsi="Times New Roman"/>
          <w:bCs/>
        </w:rPr>
      </w:pPr>
      <w:r w:rsidRPr="00CF34FA">
        <w:rPr>
          <w:rFonts w:ascii="Times New Roman" w:hAnsi="Times New Roman"/>
          <w:bCs/>
        </w:rPr>
        <w:t>FIRREA directs FDIC and other Agencies to prescribe appropriate standards for the performance of real estate appraisals in connection with federally related transactions under its jurisdiction.  It mandates that the regulations promulgated by the FDIC require, at a minimum, that appraisals conform to the standards of the Appraisal Standards Board of the Appraisal Foundation, and that they be in writing.  Moreover, the statute specifically authorizes FDIC to require compliance with additional appraisal standards if such additional standards are required in order to properly carry out its statutory mission.  FDIC has included additional standards in the rule to carry out the legislative intent that appraisals in federally related transactions provide accurate information that adequately reflects the market value of the real estate being appraised.  The information collection activities attributable to the rule are a direct consequence of the statutory requirements and the legislative intent.</w:t>
      </w:r>
    </w:p>
    <w:p w:rsidR="006E1676" w:rsidP="005366DA" w14:paraId="31F50962" w14:textId="2075D0B1">
      <w:pPr>
        <w:widowControl/>
        <w:tabs>
          <w:tab w:val="left" w:pos="432"/>
          <w:tab w:val="left" w:pos="1152"/>
          <w:tab w:val="left" w:pos="1872"/>
          <w:tab w:val="left" w:pos="2448"/>
          <w:tab w:val="left" w:pos="4896"/>
        </w:tabs>
        <w:ind w:left="1152"/>
        <w:rPr>
          <w:rFonts w:ascii="Times New Roman" w:hAnsi="Times New Roman"/>
          <w:bCs/>
        </w:rPr>
      </w:pPr>
    </w:p>
    <w:p w:rsidR="006E1676" w:rsidRPr="009628B3" w:rsidP="006E1676" w14:paraId="41849859" w14:textId="4A0552C8">
      <w:pPr>
        <w:widowControl/>
        <w:tabs>
          <w:tab w:val="left" w:pos="432"/>
          <w:tab w:val="left" w:pos="1152"/>
          <w:tab w:val="left" w:pos="1872"/>
          <w:tab w:val="left" w:pos="2448"/>
          <w:tab w:val="left" w:pos="4896"/>
        </w:tabs>
        <w:ind w:left="1152"/>
        <w:rPr>
          <w:rFonts w:ascii="Times New Roman" w:hAnsi="Times New Roman"/>
          <w:szCs w:val="24"/>
        </w:rPr>
      </w:pPr>
      <w:r>
        <w:rPr>
          <w:rFonts w:ascii="Times New Roman" w:hAnsi="Times New Roman"/>
          <w:szCs w:val="24"/>
        </w:rPr>
        <w:t>Proposed 12 CFR 323.222 codifies the requirement that</w:t>
      </w:r>
      <w:r w:rsidRPr="0064219D">
        <w:rPr>
          <w:rFonts w:ascii="Times New Roman" w:hAnsi="Times New Roman"/>
          <w:szCs w:val="24"/>
        </w:rPr>
        <w:t xml:space="preserve"> supervised mortgage originators and secondary market issuers that engage in credit decisions or covered securitization determinations themselves, or through or in cooperation with a third-party or affiliate, adopt and maintain policies, practices, procedures, and </w:t>
      </w:r>
      <w:r w:rsidRPr="006E1676">
        <w:rPr>
          <w:rFonts w:ascii="Times New Roman" w:hAnsi="Times New Roman"/>
          <w:bCs/>
        </w:rPr>
        <w:t>control</w:t>
      </w:r>
      <w:r w:rsidRPr="0064219D">
        <w:rPr>
          <w:rFonts w:ascii="Times New Roman" w:hAnsi="Times New Roman"/>
          <w:szCs w:val="24"/>
        </w:rPr>
        <w:t xml:space="preserve"> systems </w:t>
      </w:r>
      <w:r>
        <w:rPr>
          <w:rFonts w:ascii="Times New Roman" w:hAnsi="Times New Roman"/>
          <w:szCs w:val="24"/>
        </w:rPr>
        <w:t xml:space="preserve">concerning </w:t>
      </w:r>
      <w:r w:rsidRPr="0064219D">
        <w:rPr>
          <w:rFonts w:ascii="Times New Roman" w:hAnsi="Times New Roman"/>
          <w:szCs w:val="24"/>
        </w:rPr>
        <w:t>AVMs</w:t>
      </w:r>
      <w:r>
        <w:rPr>
          <w:rFonts w:ascii="Times New Roman" w:hAnsi="Times New Roman"/>
          <w:szCs w:val="24"/>
        </w:rPr>
        <w:t>. The policies, procedures, and control systems should ensure that AVMs</w:t>
      </w:r>
      <w:r w:rsidRPr="0064219D">
        <w:rPr>
          <w:rFonts w:ascii="Times New Roman" w:hAnsi="Times New Roman"/>
          <w:szCs w:val="24"/>
        </w:rPr>
        <w:t xml:space="preserve"> used in these transactions adhere to quality control standards</w:t>
      </w:r>
      <w:r>
        <w:rPr>
          <w:rFonts w:ascii="Times New Roman" w:hAnsi="Times New Roman"/>
          <w:szCs w:val="24"/>
        </w:rPr>
        <w:t xml:space="preserve"> </w:t>
      </w:r>
      <w:r w:rsidRPr="0064219D">
        <w:rPr>
          <w:rFonts w:ascii="Times New Roman" w:hAnsi="Times New Roman"/>
          <w:szCs w:val="24"/>
        </w:rPr>
        <w:t>designed to</w:t>
      </w:r>
      <w:r>
        <w:rPr>
          <w:rFonts w:ascii="Times New Roman" w:hAnsi="Times New Roman"/>
          <w:szCs w:val="24"/>
        </w:rPr>
        <w:t xml:space="preserve"> </w:t>
      </w:r>
      <w:r w:rsidRPr="0064219D">
        <w:rPr>
          <w:rFonts w:ascii="Times New Roman" w:hAnsi="Times New Roman"/>
          <w:szCs w:val="24"/>
        </w:rPr>
        <w:t xml:space="preserve">(a) </w:t>
      </w:r>
      <w:r w:rsidRPr="009628B3">
        <w:rPr>
          <w:rFonts w:ascii="Times New Roman" w:hAnsi="Times New Roman"/>
          <w:szCs w:val="24"/>
        </w:rPr>
        <w:t xml:space="preserve">ensure a high level of confidence in the estimates produced; (b) protect against the manipulation of data; (c) avoid conflicts of interest; (d) require random sample testing and reviews; and (e) comply with applicable nondiscrimination laws.  </w:t>
      </w:r>
    </w:p>
    <w:p w:rsidR="006E1676" w:rsidRPr="009628B3" w:rsidP="006E1676" w14:paraId="16D5712A" w14:textId="77777777">
      <w:pPr>
        <w:rPr>
          <w:rFonts w:ascii="Times New Roman" w:hAnsi="Times New Roman"/>
          <w:szCs w:val="24"/>
        </w:rPr>
      </w:pPr>
    </w:p>
    <w:p w:rsidR="00CF34FA" w:rsidRPr="006E1676" w:rsidP="006E1676" w14:paraId="394A2AE3" w14:textId="7679706D">
      <w:pPr>
        <w:widowControl/>
        <w:tabs>
          <w:tab w:val="left" w:pos="432"/>
          <w:tab w:val="left" w:pos="1152"/>
          <w:tab w:val="left" w:pos="1872"/>
          <w:tab w:val="left" w:pos="2448"/>
          <w:tab w:val="left" w:pos="4896"/>
        </w:tabs>
        <w:ind w:left="1152"/>
        <w:rPr>
          <w:rFonts w:ascii="Times New Roman" w:hAnsi="Times New Roman"/>
          <w:szCs w:val="24"/>
        </w:rPr>
      </w:pPr>
      <w:r w:rsidRPr="009628B3">
        <w:rPr>
          <w:rFonts w:ascii="Times New Roman" w:hAnsi="Times New Roman"/>
          <w:szCs w:val="24"/>
        </w:rPr>
        <w:t xml:space="preserve">The banking agencies have issued Interagency Appraisal and Evaluation Guidelines (the Guidelines), which </w:t>
      </w:r>
      <w:r>
        <w:rPr>
          <w:rFonts w:ascii="Times New Roman" w:hAnsi="Times New Roman"/>
          <w:szCs w:val="24"/>
        </w:rPr>
        <w:t xml:space="preserve">provide </w:t>
      </w:r>
      <w:r w:rsidRPr="009628B3">
        <w:rPr>
          <w:rFonts w:ascii="Times New Roman" w:hAnsi="Times New Roman"/>
          <w:szCs w:val="24"/>
        </w:rPr>
        <w:t xml:space="preserve">supervisory </w:t>
      </w:r>
      <w:r>
        <w:rPr>
          <w:rFonts w:ascii="Times New Roman" w:hAnsi="Times New Roman"/>
          <w:szCs w:val="24"/>
        </w:rPr>
        <w:t xml:space="preserve">guidance and best practices </w:t>
      </w:r>
      <w:r w:rsidRPr="009628B3">
        <w:rPr>
          <w:rFonts w:ascii="Times New Roman" w:hAnsi="Times New Roman"/>
          <w:szCs w:val="24"/>
        </w:rPr>
        <w:t xml:space="preserve">relating to real estate appraisals and evaluations used to </w:t>
      </w:r>
      <w:r w:rsidRPr="006E1676">
        <w:rPr>
          <w:rFonts w:ascii="Times New Roman" w:hAnsi="Times New Roman"/>
          <w:bCs/>
        </w:rPr>
        <w:t>support</w:t>
      </w:r>
      <w:r w:rsidRPr="009628B3">
        <w:rPr>
          <w:rFonts w:ascii="Times New Roman" w:hAnsi="Times New Roman"/>
          <w:szCs w:val="24"/>
        </w:rPr>
        <w:t xml:space="preserve"> real estate-related financial transactions.  These Guidelines recommend that institutions adopt policies and procedures to ensure compliance with Title XI of FIRREA and 13 CFR part 34.  Specifically, the guidelines address appraisal independence, minimum appraisal standards</w:t>
      </w:r>
      <w:r>
        <w:rPr>
          <w:rFonts w:ascii="Times New Roman" w:hAnsi="Times New Roman"/>
          <w:szCs w:val="24"/>
        </w:rPr>
        <w:t xml:space="preserve"> in the appraisal regulations</w:t>
      </w:r>
      <w:r w:rsidRPr="009628B3">
        <w:rPr>
          <w:rFonts w:ascii="Times New Roman" w:hAnsi="Times New Roman"/>
          <w:szCs w:val="24"/>
        </w:rPr>
        <w:t xml:space="preserve">, and institutions’ policies and procedures for conducting and monitoring appraisals, evaluations, and related activities; explain what transactions require appraisals </w:t>
      </w:r>
      <w:r>
        <w:rPr>
          <w:rFonts w:ascii="Times New Roman" w:hAnsi="Times New Roman"/>
          <w:szCs w:val="24"/>
        </w:rPr>
        <w:t xml:space="preserve">under the appraisal regulations </w:t>
      </w:r>
      <w:r w:rsidRPr="009628B3">
        <w:rPr>
          <w:rFonts w:ascii="Times New Roman" w:hAnsi="Times New Roman"/>
          <w:szCs w:val="24"/>
        </w:rPr>
        <w:t xml:space="preserve">and </w:t>
      </w:r>
      <w:r>
        <w:rPr>
          <w:rFonts w:ascii="Times New Roman" w:hAnsi="Times New Roman"/>
          <w:szCs w:val="24"/>
        </w:rPr>
        <w:t xml:space="preserve">provide guidance </w:t>
      </w:r>
      <w:r w:rsidRPr="009628B3">
        <w:rPr>
          <w:rFonts w:ascii="Times New Roman" w:hAnsi="Times New Roman"/>
          <w:szCs w:val="24"/>
        </w:rPr>
        <w:t>for the development and content of an evaluation; and discuss third-party arrangements, compliance programs, and referrals.</w:t>
      </w:r>
      <w:r>
        <w:rPr>
          <w:rFonts w:ascii="Times New Roman" w:hAnsi="Times New Roman"/>
          <w:szCs w:val="24"/>
        </w:rPr>
        <w:t xml:space="preserve">  </w:t>
      </w:r>
      <w:r w:rsidRPr="009628B3">
        <w:rPr>
          <w:rFonts w:ascii="Times New Roman" w:hAnsi="Times New Roman"/>
          <w:szCs w:val="24"/>
        </w:rPr>
        <w:t>Records of appraisals</w:t>
      </w:r>
      <w:r>
        <w:rPr>
          <w:rFonts w:ascii="Times New Roman" w:hAnsi="Times New Roman"/>
          <w:szCs w:val="24"/>
        </w:rPr>
        <w:t xml:space="preserve">, </w:t>
      </w:r>
      <w:r w:rsidRPr="009628B3">
        <w:rPr>
          <w:rFonts w:ascii="Times New Roman" w:hAnsi="Times New Roman"/>
          <w:szCs w:val="24"/>
        </w:rPr>
        <w:t>evaluations</w:t>
      </w:r>
      <w:r>
        <w:rPr>
          <w:rFonts w:ascii="Times New Roman" w:hAnsi="Times New Roman"/>
          <w:szCs w:val="24"/>
        </w:rPr>
        <w:t>,</w:t>
      </w:r>
      <w:r w:rsidRPr="009628B3">
        <w:rPr>
          <w:rFonts w:ascii="Times New Roman" w:hAnsi="Times New Roman"/>
          <w:szCs w:val="24"/>
        </w:rPr>
        <w:t xml:space="preserve"> or other documentation pertaining to the institutions’ monitoring or updating of property values should be kept in the credit file for the life of the loan. These records can be either paper or electronic records.</w:t>
      </w:r>
    </w:p>
    <w:p w:rsidR="00CF34FA" w:rsidRPr="00CF34FA" w14:paraId="6D5C1A75"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016FEC19"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2.</w:t>
      </w:r>
      <w:r w:rsidRPr="00CF34FA">
        <w:rPr>
          <w:rFonts w:ascii="Times New Roman" w:hAnsi="Times New Roman"/>
        </w:rPr>
        <w:tab/>
      </w:r>
      <w:r w:rsidRPr="00CF34FA">
        <w:rPr>
          <w:rFonts w:ascii="Times New Roman" w:hAnsi="Times New Roman"/>
          <w:u w:val="single"/>
        </w:rPr>
        <w:t xml:space="preserve">Use of </w:t>
      </w:r>
      <w:r w:rsidRPr="00CF34FA" w:rsidR="002701C6">
        <w:rPr>
          <w:rFonts w:ascii="Times New Roman" w:hAnsi="Times New Roman"/>
          <w:u w:val="single"/>
        </w:rPr>
        <w:t>the information:</w:t>
      </w:r>
    </w:p>
    <w:p w:rsidR="00CF34FA" w:rsidP="00366F1B" w14:paraId="3DC13CA5"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00366F1B" w:rsidRPr="00CF34FA" w:rsidP="00366F1B" w14:paraId="39405D4F"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 xml:space="preserve">Each financial institution regulated by FDIC will use the information in connection with determining whether and upon what terms to enter into a federally related transaction, such as making a loan on commercial real estate or purchasing property for its operations. In addition, the FDIC will use this information in its examination of regulated institutions to ensure that extensions of credit made by the examined institution which are collateralized by real estate, and that permissible direct investments in real estate, are undertaken in accordance with safe and sound banking principles.  </w:t>
      </w:r>
    </w:p>
    <w:p w:rsidR="00366F1B" w:rsidRPr="00CF34FA" w:rsidP="00366F1B" w14:paraId="75487D0F"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00994EDE" w:rsidRPr="00CF34FA" w:rsidP="00366F1B" w14:paraId="78F28EB9"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use of this information will help ensure that regulated institutions are not exposed to risk of loss from inadequate appraisals.  A regulated institution’s failure to engage in the information collection activities included in the regulation will, in some cases, (1) result in a violation of the provisions of Title XI, (2) impede the FDIC in carrying out its statutory obligation to ensure that its regulated institutions conduct their activities in accordance with safe and sound banking principles, and (3) increase the risk of loss to the DIF.</w:t>
      </w:r>
    </w:p>
    <w:p w:rsidR="00994EDE" w:rsidRPr="00CF34FA" w14:paraId="0C5A4D2A"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00994EDE" w:rsidRPr="00CF34FA" w14:paraId="7F4F04C4" w14:textId="77777777">
      <w:pPr>
        <w:keepNext/>
        <w:keepLines/>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3.</w:t>
      </w:r>
      <w:r w:rsidRPr="00CF34FA">
        <w:rPr>
          <w:rFonts w:ascii="Times New Roman" w:hAnsi="Times New Roman"/>
        </w:rPr>
        <w:tab/>
      </w:r>
      <w:r w:rsidRPr="00CF34FA" w:rsidR="002701C6">
        <w:rPr>
          <w:rFonts w:ascii="Times New Roman" w:hAnsi="Times New Roman"/>
          <w:u w:val="single"/>
        </w:rPr>
        <w:t>Consideration of the use of improved information technology:</w:t>
      </w:r>
    </w:p>
    <w:p w:rsidR="00994EDE" w:rsidRPr="00CF34FA" w14:paraId="1576E278"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00994EDE" w:rsidRPr="00CF34FA" w14:paraId="0CDAD476" w14:textId="77777777">
      <w:pPr>
        <w:widowControl/>
        <w:ind w:left="1008"/>
        <w:rPr>
          <w:rFonts w:ascii="Times New Roman" w:hAnsi="Times New Roman"/>
        </w:rPr>
      </w:pPr>
      <w:r w:rsidRPr="00CF34FA">
        <w:rPr>
          <w:rFonts w:ascii="Times New Roman" w:hAnsi="Times New Roman"/>
        </w:rPr>
        <w:t>The use of improved information technology is not applicable to this collection of information since it only requires banks to maintain records of appraisals and evaluations that meet specific standards; no information in this collection is forwarded to the FDIC.  The banks are free to utilize any technology they wish in order to lessen the burden of maintaining the appraisal and evaluation records.</w:t>
      </w:r>
    </w:p>
    <w:p w:rsidR="00994EDE" w:rsidRPr="00CF34FA" w14:paraId="4215758E" w14:textId="77777777">
      <w:pPr>
        <w:keepLines/>
        <w:widowControl/>
        <w:tabs>
          <w:tab w:val="left" w:pos="288"/>
          <w:tab w:val="left" w:pos="1008"/>
          <w:tab w:val="left" w:pos="1728"/>
          <w:tab w:val="left" w:pos="2448"/>
          <w:tab w:val="left" w:pos="3168"/>
          <w:tab w:val="left" w:pos="3888"/>
        </w:tabs>
        <w:ind w:left="1008"/>
        <w:rPr>
          <w:rFonts w:ascii="Times New Roman" w:hAnsi="Times New Roman"/>
        </w:rPr>
      </w:pPr>
    </w:p>
    <w:p w:rsidR="00994EDE" w:rsidRPr="00CF34FA" w14:paraId="4C4B9563"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4.</w:t>
      </w:r>
      <w:r w:rsidRPr="00CF34FA">
        <w:rPr>
          <w:rFonts w:ascii="Times New Roman" w:hAnsi="Times New Roman"/>
        </w:rPr>
        <w:tab/>
      </w:r>
      <w:r w:rsidRPr="00CF34FA">
        <w:rPr>
          <w:rFonts w:ascii="Times New Roman" w:hAnsi="Times New Roman"/>
          <w:u w:val="single"/>
        </w:rPr>
        <w:t>Efforts to Identify Duplication</w:t>
      </w:r>
    </w:p>
    <w:p w:rsidR="00994EDE" w:rsidRPr="00CF34FA" w14:paraId="0AAED7C7"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7098947A"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There is no regulatory duplication; each appraisal and/or evaluation is unique to the individual property appraised.  No similar information is available to the regulated institution or the FDIC.</w:t>
      </w:r>
    </w:p>
    <w:p w:rsidR="00994EDE" w:rsidRPr="00CF34FA" w14:paraId="28850C73"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rsidP="002701C6" w14:paraId="133B62A2" w14:textId="77777777">
      <w:pPr>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5.</w:t>
      </w:r>
      <w:r w:rsidRPr="00CF34FA">
        <w:rPr>
          <w:rFonts w:ascii="Times New Roman" w:hAnsi="Times New Roman"/>
        </w:rPr>
        <w:tab/>
      </w:r>
      <w:r w:rsidRPr="00CF34FA" w:rsidR="002701C6">
        <w:rPr>
          <w:rFonts w:ascii="Times New Roman" w:hAnsi="Times New Roman"/>
          <w:u w:val="single"/>
        </w:rPr>
        <w:t>Methods used to minimize burden if the collection has a significant impact on a substantial number of small entities:</w:t>
      </w:r>
    </w:p>
    <w:p w:rsidR="00994EDE" w:rsidRPr="00CF34FA" w14:paraId="6843A5EF"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0641ADCD" w14:textId="4117CBED">
      <w:pPr>
        <w:widowControl/>
        <w:tabs>
          <w:tab w:val="left" w:pos="288"/>
          <w:tab w:val="left" w:pos="1008"/>
          <w:tab w:val="left" w:pos="1728"/>
          <w:tab w:val="left" w:pos="2448"/>
          <w:tab w:val="left" w:pos="3168"/>
          <w:tab w:val="left" w:pos="3888"/>
        </w:tabs>
        <w:ind w:left="1008"/>
        <w:rPr>
          <w:rFonts w:ascii="Times New Roman" w:hAnsi="Times New Roman"/>
        </w:rPr>
      </w:pPr>
      <w:r>
        <w:rPr>
          <w:rFonts w:ascii="Times New Roman" w:hAnsi="Times New Roman"/>
        </w:rPr>
        <w:t xml:space="preserve">The Final Rule does not have a </w:t>
      </w:r>
      <w:r w:rsidR="00F06F6A">
        <w:rPr>
          <w:rFonts w:ascii="Times New Roman" w:hAnsi="Times New Roman"/>
        </w:rPr>
        <w:t>significant impact on a substantial number of small entities.</w:t>
      </w:r>
      <w:r>
        <w:rPr>
          <w:rStyle w:val="FootnoteReference"/>
          <w:rFonts w:ascii="Times New Roman" w:hAnsi="Times New Roman"/>
          <w:vertAlign w:val="superscript"/>
        </w:rPr>
        <w:footnoteReference w:id="5"/>
      </w:r>
      <w:r w:rsidRPr="00F06F6A">
        <w:rPr>
          <w:rFonts w:ascii="Times New Roman" w:hAnsi="Times New Roman"/>
          <w:vertAlign w:val="superscript"/>
        </w:rPr>
        <w:t xml:space="preserve"> </w:t>
      </w:r>
      <w:r w:rsidRPr="00CF34FA">
        <w:rPr>
          <w:rFonts w:ascii="Times New Roman" w:hAnsi="Times New Roman"/>
        </w:rPr>
        <w:t xml:space="preserve"> </w:t>
      </w:r>
    </w:p>
    <w:p w:rsidR="00994EDE" w:rsidRPr="00CF34FA" w14:paraId="20B53B23"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994EDE" w:rsidRPr="00CF34FA" w14:paraId="63AA60E4"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6.</w:t>
      </w:r>
      <w:r w:rsidRPr="00CF34FA">
        <w:rPr>
          <w:rFonts w:ascii="Times New Roman" w:hAnsi="Times New Roman"/>
        </w:rPr>
        <w:tab/>
      </w:r>
      <w:r w:rsidRPr="00CF34FA" w:rsidR="002701C6">
        <w:rPr>
          <w:rFonts w:ascii="Times New Roman" w:hAnsi="Times New Roman"/>
          <w:u w:val="single"/>
        </w:rPr>
        <w:t>Consequences to the Federal program if the collection were conducted less frequently:</w:t>
      </w:r>
    </w:p>
    <w:p w:rsidR="00994EDE" w:rsidRPr="00CF34FA" w14:paraId="1A53E6FE"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1FD161C9" w14:textId="098CEB8F">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information is collected only as real estate related</w:t>
      </w:r>
      <w:r w:rsidR="00CC5DA2">
        <w:rPr>
          <w:rFonts w:ascii="Times New Roman" w:hAnsi="Times New Roman"/>
        </w:rPr>
        <w:t xml:space="preserve"> </w:t>
      </w:r>
      <w:r w:rsidR="00F06F6A">
        <w:rPr>
          <w:rFonts w:ascii="Times New Roman" w:hAnsi="Times New Roman"/>
        </w:rPr>
        <w:t>transactions</w:t>
      </w:r>
      <w:r w:rsidRPr="00CF34FA">
        <w:rPr>
          <w:rFonts w:ascii="Times New Roman" w:hAnsi="Times New Roman"/>
        </w:rPr>
        <w:t xml:space="preserve"> arise.  Less frequent collection is inconsistent with the underlying statute and would not promote safety and soundness for individual banks or the banking system.</w:t>
      </w:r>
    </w:p>
    <w:p w:rsidR="00994EDE" w:rsidRPr="00CF34FA" w14:paraId="3EA128BF"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rsidP="002701C6" w14:paraId="47A5013A" w14:textId="77777777">
      <w:pPr>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7.</w:t>
      </w:r>
      <w:r w:rsidRPr="00CF34FA">
        <w:rPr>
          <w:rFonts w:ascii="Times New Roman" w:hAnsi="Times New Roman"/>
        </w:rPr>
        <w:tab/>
      </w:r>
      <w:r w:rsidRPr="00CF34FA" w:rsidR="002701C6">
        <w:rPr>
          <w:rFonts w:ascii="Times New Roman" w:hAnsi="Times New Roman"/>
          <w:u w:val="single"/>
        </w:rPr>
        <w:t>Special circumstances necessitating collection inconsistent with 5 CFR Part 1320.5(d)(2):</w:t>
      </w:r>
    </w:p>
    <w:p w:rsidR="00994EDE" w:rsidRPr="00CF34FA" w14:paraId="202CDFBF"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74905569"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None.</w:t>
      </w:r>
    </w:p>
    <w:p w:rsidR="00994EDE" w:rsidRPr="00CF34FA" w14:paraId="602991BB"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35C8A50D"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8.</w:t>
      </w:r>
      <w:r w:rsidRPr="00CF34FA">
        <w:rPr>
          <w:rFonts w:ascii="Times New Roman" w:hAnsi="Times New Roman"/>
        </w:rPr>
        <w:tab/>
      </w:r>
      <w:r w:rsidRPr="00CF34FA" w:rsidR="002701C6">
        <w:rPr>
          <w:rFonts w:ascii="Times New Roman" w:hAnsi="Times New Roman"/>
          <w:u w:val="single"/>
        </w:rPr>
        <w:t>Efforts to consult with persons outside the agency:</w:t>
      </w:r>
    </w:p>
    <w:p w:rsidR="00994EDE" w:rsidRPr="00CF34FA" w14:paraId="6D70AFB3" w14:textId="77777777">
      <w:pPr>
        <w:widowControl/>
        <w:tabs>
          <w:tab w:val="left" w:pos="288"/>
          <w:tab w:val="left" w:pos="1008"/>
          <w:tab w:val="left" w:pos="1728"/>
          <w:tab w:val="left" w:pos="2448"/>
          <w:tab w:val="left" w:pos="3168"/>
          <w:tab w:val="left" w:pos="3888"/>
        </w:tabs>
        <w:rPr>
          <w:rFonts w:ascii="Times New Roman" w:hAnsi="Times New Roman"/>
        </w:rPr>
      </w:pPr>
    </w:p>
    <w:p w:rsidR="009535E3" w:rsidP="003D36AF" w14:paraId="4C935E16" w14:textId="77777777">
      <w:pPr>
        <w:widowControl/>
        <w:tabs>
          <w:tab w:val="left" w:pos="288"/>
          <w:tab w:val="left" w:pos="1008"/>
          <w:tab w:val="left" w:pos="1728"/>
          <w:tab w:val="left" w:pos="2448"/>
          <w:tab w:val="left" w:pos="3168"/>
          <w:tab w:val="left" w:pos="3888"/>
        </w:tabs>
        <w:ind w:left="1008"/>
        <w:rPr>
          <w:rFonts w:ascii="Times New Roman" w:hAnsi="Times New Roman"/>
          <w:szCs w:val="24"/>
        </w:rPr>
      </w:pPr>
      <w:r>
        <w:rPr>
          <w:rFonts w:ascii="Times New Roman" w:hAnsi="Times New Roman"/>
          <w:szCs w:val="24"/>
        </w:rPr>
        <w:t>O</w:t>
      </w:r>
      <w:r w:rsidRPr="006306A0">
        <w:rPr>
          <w:rFonts w:ascii="Times New Roman" w:hAnsi="Times New Roman"/>
          <w:szCs w:val="24"/>
        </w:rPr>
        <w:t>n June 21, 2023 (88 FR 40638)</w:t>
      </w:r>
      <w:r>
        <w:rPr>
          <w:rFonts w:ascii="Times New Roman" w:hAnsi="Times New Roman"/>
          <w:szCs w:val="24"/>
        </w:rPr>
        <w:t xml:space="preserve"> t</w:t>
      </w:r>
      <w:r w:rsidRPr="006D1570">
        <w:rPr>
          <w:rFonts w:ascii="Times New Roman" w:hAnsi="Times New Roman"/>
          <w:szCs w:val="24"/>
        </w:rPr>
        <w:t xml:space="preserve">he </w:t>
      </w:r>
      <w:r>
        <w:rPr>
          <w:rFonts w:ascii="Times New Roman" w:hAnsi="Times New Roman"/>
          <w:szCs w:val="24"/>
        </w:rPr>
        <w:t>FDIC</w:t>
      </w:r>
      <w:r w:rsidRPr="006306A0">
        <w:rPr>
          <w:rFonts w:ascii="Times New Roman" w:hAnsi="Times New Roman"/>
          <w:szCs w:val="24"/>
        </w:rPr>
        <w:t xml:space="preserve"> issued a notice o</w:t>
      </w:r>
      <w:r>
        <w:rPr>
          <w:rFonts w:ascii="Times New Roman" w:hAnsi="Times New Roman"/>
          <w:szCs w:val="24"/>
        </w:rPr>
        <w:t>f proposed rulemaking</w:t>
      </w:r>
      <w:r w:rsidRPr="006306A0">
        <w:rPr>
          <w:rFonts w:ascii="Times New Roman" w:hAnsi="Times New Roman"/>
          <w:szCs w:val="24"/>
        </w:rPr>
        <w:t xml:space="preserve"> </w:t>
      </w:r>
      <w:r>
        <w:rPr>
          <w:rFonts w:ascii="Times New Roman" w:hAnsi="Times New Roman"/>
          <w:szCs w:val="24"/>
        </w:rPr>
        <w:t>requesting comments for a period of</w:t>
      </w:r>
      <w:r w:rsidRPr="006306A0">
        <w:rPr>
          <w:rFonts w:ascii="Times New Roman" w:hAnsi="Times New Roman"/>
          <w:szCs w:val="24"/>
        </w:rPr>
        <w:t xml:space="preserve"> 60 days of comment.</w:t>
      </w:r>
    </w:p>
    <w:p w:rsidR="009535E3" w:rsidP="003D36AF" w14:paraId="653B29AF" w14:textId="77777777">
      <w:pPr>
        <w:widowControl/>
        <w:tabs>
          <w:tab w:val="left" w:pos="288"/>
          <w:tab w:val="left" w:pos="1008"/>
          <w:tab w:val="left" w:pos="1728"/>
          <w:tab w:val="left" w:pos="2448"/>
          <w:tab w:val="left" w:pos="3168"/>
          <w:tab w:val="left" w:pos="3888"/>
        </w:tabs>
        <w:ind w:left="1008"/>
        <w:rPr>
          <w:rFonts w:ascii="Times New Roman" w:hAnsi="Times New Roman"/>
          <w:szCs w:val="24"/>
        </w:rPr>
      </w:pPr>
    </w:p>
    <w:p w:rsidR="001C7588" w:rsidRPr="009535E3" w:rsidP="009535E3" w14:paraId="171146EA" w14:textId="038960FE">
      <w:pPr>
        <w:widowControl/>
        <w:tabs>
          <w:tab w:val="left" w:pos="288"/>
          <w:tab w:val="left" w:pos="1008"/>
          <w:tab w:val="left" w:pos="1728"/>
          <w:tab w:val="left" w:pos="2448"/>
          <w:tab w:val="left" w:pos="3168"/>
          <w:tab w:val="left" w:pos="3888"/>
        </w:tabs>
        <w:ind w:left="1008"/>
        <w:rPr>
          <w:rFonts w:ascii="Times New Roman" w:hAnsi="Times New Roman"/>
          <w:szCs w:val="24"/>
        </w:rPr>
      </w:pPr>
      <w:r w:rsidRPr="009535E3">
        <w:rPr>
          <w:rFonts w:ascii="Times New Roman" w:hAnsi="Times New Roman"/>
          <w:szCs w:val="24"/>
        </w:rPr>
        <w:t>The agencies received three comments on estimated labor hours and costs for the information collection requirements of the proposed rule. One commenter stated that the agencies’ estimate of the labor hours associated with recordkeeping by covered entities in years following implementation may be appropriate for documentation of policies and procedures, but suggested that the proposed rule underestimated other regulatory burdens associated with ongoing compliance. Another commenter stated that the agencies’ estimate of labor hours associated with recordkeeping by covered entities seemed relatively low given the effort needed to establish control systems. Finally, one commenter stated that incorporating principles-based guidelines regarding AVMs is not costly or time consuming. The agencies have carefully reviewed burdens associated with recordkeeping, reporting, and disclosure for each section of the rule in consideration of the comments received. The agencies note that, consistent with the PRA, the PRA burden estimates reflect only the burden related to recordkeeping, reporting, and disclosure requirements in the final rule. PRA burdens, like compliance costs, may vary across institutions, and the agencies’ PRA burden estimates are meant to be overall averages. The agencies believe the estimates of burden hours are reasonable considering the recordkeeping requirements of the final rule.</w:t>
      </w:r>
      <w:r w:rsidRPr="00CF34FA">
        <w:rPr>
          <w:rFonts w:ascii="Times New Roman" w:hAnsi="Times New Roman"/>
        </w:rPr>
        <w:t xml:space="preserve"> </w:t>
      </w:r>
    </w:p>
    <w:p w:rsidR="00994EDE" w:rsidRPr="00CF34FA" w14:paraId="0CDA2D3E"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290659C6" w14:textId="77777777">
      <w:pPr>
        <w:keepNext/>
        <w:keepLines/>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9.</w:t>
      </w:r>
      <w:r w:rsidRPr="00CF34FA">
        <w:rPr>
          <w:rFonts w:ascii="Times New Roman" w:hAnsi="Times New Roman"/>
        </w:rPr>
        <w:tab/>
      </w:r>
      <w:r w:rsidRPr="00CF34FA" w:rsidR="002701C6">
        <w:rPr>
          <w:rFonts w:ascii="Times New Roman" w:hAnsi="Times New Roman"/>
          <w:u w:val="single"/>
        </w:rPr>
        <w:t>Payment or g</w:t>
      </w:r>
      <w:r w:rsidRPr="00CF34FA">
        <w:rPr>
          <w:rFonts w:ascii="Times New Roman" w:hAnsi="Times New Roman"/>
          <w:u w:val="single"/>
        </w:rPr>
        <w:t>ift</w:t>
      </w:r>
      <w:r w:rsidRPr="00CF34FA" w:rsidR="002701C6">
        <w:rPr>
          <w:rFonts w:ascii="Times New Roman" w:hAnsi="Times New Roman"/>
          <w:u w:val="single"/>
        </w:rPr>
        <w:t>s to r</w:t>
      </w:r>
      <w:r w:rsidRPr="00CF34FA">
        <w:rPr>
          <w:rFonts w:ascii="Times New Roman" w:hAnsi="Times New Roman"/>
          <w:u w:val="single"/>
        </w:rPr>
        <w:t>espondents</w:t>
      </w:r>
      <w:r w:rsidRPr="00CF34FA" w:rsidR="002701C6">
        <w:rPr>
          <w:rFonts w:ascii="Times New Roman" w:hAnsi="Times New Roman"/>
          <w:u w:val="single"/>
        </w:rPr>
        <w:t>:</w:t>
      </w:r>
    </w:p>
    <w:p w:rsidR="00994EDE" w:rsidRPr="00CF34FA" w14:paraId="73AEC7E2"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00994EDE" w:rsidRPr="00CF34FA" w14:paraId="133729D5" w14:textId="77777777">
      <w:pPr>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None.</w:t>
      </w:r>
    </w:p>
    <w:p w:rsidR="00994EDE" w:rsidRPr="00CF34FA" w14:paraId="464C8641"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00C73619" w14:textId="77777777">
      <w:pPr>
        <w:keepNext/>
        <w:keepLines/>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10.</w:t>
      </w:r>
      <w:r w:rsidRPr="00CF34FA">
        <w:rPr>
          <w:rFonts w:ascii="Times New Roman" w:hAnsi="Times New Roman"/>
        </w:rPr>
        <w:tab/>
      </w:r>
      <w:r w:rsidRPr="00CF34FA" w:rsidR="002701C6">
        <w:rPr>
          <w:rFonts w:ascii="Times New Roman" w:hAnsi="Times New Roman"/>
          <w:u w:val="single"/>
        </w:rPr>
        <w:t>Any assurance of confidentiality:</w:t>
      </w:r>
    </w:p>
    <w:p w:rsidR="00994EDE" w:rsidRPr="00CF34FA" w14:paraId="7572FF52"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00994EDE" w:rsidRPr="00CF34FA" w14:paraId="57B9ED5E"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information reported is kept private to the extent allowed by law. Any information deemed to be of a confidential nature is exempt from public disclosure in accordance with the provisions of the Freedom of Information Act (5 U.S.C. 552).</w:t>
      </w:r>
    </w:p>
    <w:p w:rsidR="00994EDE" w:rsidRPr="00CF34FA" w14:paraId="12D408D7"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994EDE" w:rsidRPr="00CF34FA" w14:paraId="6B63E3D7"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11.</w:t>
      </w:r>
      <w:r w:rsidRPr="00CF34FA">
        <w:rPr>
          <w:rFonts w:ascii="Times New Roman" w:hAnsi="Times New Roman"/>
        </w:rPr>
        <w:tab/>
      </w:r>
      <w:r w:rsidRPr="00CF34FA" w:rsidR="002701C6">
        <w:rPr>
          <w:rFonts w:ascii="Times New Roman" w:hAnsi="Times New Roman"/>
          <w:u w:val="single"/>
        </w:rPr>
        <w:t>Justification for questions of a sensitive nature:</w:t>
      </w:r>
    </w:p>
    <w:p w:rsidR="00994EDE" w:rsidRPr="00CF34FA" w14:paraId="722890BC"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19457037"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This collection contains no information of a sensitive nature.</w:t>
      </w:r>
    </w:p>
    <w:p w:rsidR="00994EDE" w:rsidRPr="00CF34FA" w14:paraId="17EEA175"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38B4D72D" w14:textId="77777777">
      <w:pPr>
        <w:widowControl/>
        <w:tabs>
          <w:tab w:val="left" w:pos="288"/>
          <w:tab w:val="left" w:pos="1008"/>
          <w:tab w:val="left" w:pos="1728"/>
          <w:tab w:val="left" w:pos="2448"/>
          <w:tab w:val="left" w:pos="3168"/>
          <w:tab w:val="left" w:pos="3888"/>
        </w:tabs>
        <w:ind w:firstLine="288"/>
        <w:rPr>
          <w:rFonts w:ascii="Times New Roman" w:hAnsi="Times New Roman"/>
          <w:u w:val="single"/>
        </w:rPr>
      </w:pPr>
      <w:r w:rsidRPr="00CF34FA">
        <w:rPr>
          <w:rFonts w:ascii="Times New Roman" w:hAnsi="Times New Roman"/>
        </w:rPr>
        <w:t>12.</w:t>
      </w:r>
      <w:r w:rsidRPr="00CF34FA">
        <w:rPr>
          <w:rFonts w:ascii="Times New Roman" w:hAnsi="Times New Roman"/>
        </w:rPr>
        <w:tab/>
      </w:r>
      <w:r w:rsidRPr="00CF34FA" w:rsidR="001C7588">
        <w:rPr>
          <w:rFonts w:ascii="Times New Roman" w:hAnsi="Times New Roman"/>
          <w:u w:val="single"/>
        </w:rPr>
        <w:t xml:space="preserve">Estimate of </w:t>
      </w:r>
      <w:r w:rsidRPr="00CF34FA" w:rsidR="002701C6">
        <w:rPr>
          <w:rFonts w:ascii="Times New Roman" w:hAnsi="Times New Roman"/>
          <w:u w:val="single"/>
        </w:rPr>
        <w:t>hour b</w:t>
      </w:r>
      <w:r w:rsidRPr="00CF34FA">
        <w:rPr>
          <w:rFonts w:ascii="Times New Roman" w:hAnsi="Times New Roman"/>
          <w:u w:val="single"/>
        </w:rPr>
        <w:t>urden</w:t>
      </w:r>
      <w:r w:rsidRPr="00CF34FA" w:rsidR="002701C6">
        <w:rPr>
          <w:rFonts w:ascii="Times New Roman" w:hAnsi="Times New Roman"/>
          <w:u w:val="single"/>
        </w:rPr>
        <w:t xml:space="preserve"> including annualized hourly costs:</w:t>
      </w:r>
    </w:p>
    <w:p w:rsidR="003D36AF" w:rsidP="00974B40" w14:paraId="3B52176A" w14:textId="0214D7FB">
      <w:pPr>
        <w:rPr>
          <w:rFonts w:ascii="Times New Roman" w:hAnsi="Times New Roman"/>
          <w:lang w:bidi="en-US"/>
        </w:rPr>
      </w:pPr>
    </w:p>
    <w:p w:rsidR="003D36AF" w:rsidRPr="003D36AF" w:rsidP="00974B40" w14:paraId="08218EDE" w14:textId="0FEE8D1D">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This </w:t>
      </w:r>
      <w:r w:rsidR="00974B40">
        <w:rPr>
          <w:rFonts w:ascii="Times New Roman" w:hAnsi="Times New Roman"/>
          <w:lang w:bidi="en-US"/>
        </w:rPr>
        <w:t>Supporting Statement</w:t>
      </w:r>
      <w:r w:rsidRPr="003D36AF">
        <w:rPr>
          <w:rFonts w:ascii="Times New Roman" w:hAnsi="Times New Roman"/>
          <w:lang w:bidi="en-US"/>
        </w:rPr>
        <w:t xml:space="preserve"> provides burden estimates for three sets of information collection (IC) line items, totaling </w:t>
      </w:r>
      <w:r w:rsidRPr="003D36AF">
        <w:rPr>
          <w:rFonts w:ascii="Times New Roman" w:hAnsi="Times New Roman"/>
        </w:rPr>
        <w:t>five</w:t>
      </w:r>
      <w:r w:rsidRPr="003D36AF">
        <w:rPr>
          <w:rFonts w:ascii="Times New Roman" w:hAnsi="Times New Roman"/>
          <w:lang w:bidi="en-US"/>
        </w:rPr>
        <w:t xml:space="preserve"> </w:t>
      </w:r>
      <w:r w:rsidRPr="003D36AF" w:rsidR="00974B40">
        <w:rPr>
          <w:rFonts w:ascii="Times New Roman" w:hAnsi="Times New Roman"/>
          <w:lang w:bidi="en-US"/>
        </w:rPr>
        <w:t>ICs that</w:t>
      </w:r>
      <w:r w:rsidRPr="003D36AF">
        <w:rPr>
          <w:rFonts w:ascii="Times New Roman" w:hAnsi="Times New Roman"/>
          <w:lang w:bidi="en-US"/>
        </w:rPr>
        <w:t xml:space="preserve"> are associated with real estate appraisals and evaluations.  This represents an expansion from the current clearance for OMB No. 3064-0103, which was last renewed for a single IC in </w:t>
      </w:r>
      <w:r w:rsidR="00264EC1">
        <w:rPr>
          <w:rFonts w:ascii="Times New Roman" w:hAnsi="Times New Roman"/>
          <w:lang w:bidi="en-US"/>
        </w:rPr>
        <w:t>August 2024</w:t>
      </w:r>
      <w:r w:rsidRPr="003D36AF">
        <w:rPr>
          <w:rFonts w:ascii="Times New Roman" w:hAnsi="Times New Roman"/>
          <w:lang w:bidi="en-US"/>
        </w:rPr>
        <w:t xml:space="preserve">, due to the recently </w:t>
      </w:r>
      <w:r w:rsidR="00974B40">
        <w:rPr>
          <w:rFonts w:ascii="Times New Roman" w:hAnsi="Times New Roman"/>
          <w:lang w:bidi="en-US"/>
        </w:rPr>
        <w:t>issued</w:t>
      </w:r>
      <w:r w:rsidRPr="003D36AF">
        <w:rPr>
          <w:rFonts w:ascii="Times New Roman" w:hAnsi="Times New Roman"/>
          <w:lang w:bidi="en-US"/>
        </w:rPr>
        <w:t xml:space="preserve"> interagency Notice of Proposed Rulemaking (NPR) on automated valuation models (AVMs)</w:t>
      </w:r>
      <w:r>
        <w:rPr>
          <w:rFonts w:ascii="Times New Roman" w:hAnsi="Times New Roman"/>
          <w:vertAlign w:val="superscript"/>
          <w:lang w:bidi="en-US"/>
        </w:rPr>
        <w:footnoteReference w:id="6"/>
      </w:r>
      <w:r w:rsidRPr="003D36AF">
        <w:rPr>
          <w:rFonts w:ascii="Times New Roman" w:hAnsi="Times New Roman"/>
          <w:lang w:bidi="en-US"/>
        </w:rPr>
        <w:t xml:space="preserve"> and the incorporation of ICs associated with the existing </w:t>
      </w:r>
      <w:r w:rsidRPr="003D36AF">
        <w:rPr>
          <w:rFonts w:ascii="Times New Roman" w:hAnsi="Times New Roman"/>
          <w:i/>
          <w:lang w:bidi="en-US"/>
        </w:rPr>
        <w:t>Interagency Appraisal and Evaluation Guidelines</w:t>
      </w:r>
      <w:r w:rsidRPr="003D36AF">
        <w:rPr>
          <w:rFonts w:ascii="Times New Roman" w:hAnsi="Times New Roman"/>
          <w:lang w:bidi="en-US"/>
        </w:rPr>
        <w:t xml:space="preserve"> (Guidelines).  The first set of ICs is an existing line item in this ICR and covers records kept by FDIC-supervised institutions to demonstrate that appraisals used in their real estate lending activities comply with regulatory requirements stated in 12 CFR Part 323 (Part 323).  The second set is</w:t>
      </w:r>
      <w:r w:rsidR="00264EC1">
        <w:rPr>
          <w:rFonts w:ascii="Times New Roman" w:hAnsi="Times New Roman"/>
          <w:lang w:bidi="en-US"/>
        </w:rPr>
        <w:t xml:space="preserve"> two ICs associated with the Final Rule</w:t>
      </w:r>
      <w:r w:rsidRPr="003D36AF">
        <w:rPr>
          <w:rFonts w:ascii="Times New Roman" w:hAnsi="Times New Roman"/>
          <w:lang w:bidi="en-US"/>
        </w:rPr>
        <w:t>.  The third set is two ICs related to the Guidelines.</w:t>
      </w:r>
      <w:r>
        <w:rPr>
          <w:rFonts w:ascii="Times New Roman" w:hAnsi="Times New Roman"/>
          <w:vertAlign w:val="superscript"/>
          <w:lang w:bidi="en-US"/>
        </w:rPr>
        <w:footnoteReference w:id="7"/>
      </w:r>
    </w:p>
    <w:p w:rsidR="003D36AF" w:rsidRPr="00974B40" w:rsidP="00974B40" w14:paraId="24C941A2" w14:textId="77777777">
      <w:pPr>
        <w:tabs>
          <w:tab w:val="left" w:pos="288"/>
          <w:tab w:val="left" w:pos="1008"/>
          <w:tab w:val="left" w:pos="1728"/>
          <w:tab w:val="left" w:pos="2448"/>
          <w:tab w:val="left" w:pos="3168"/>
          <w:tab w:val="left" w:pos="3888"/>
        </w:tabs>
        <w:spacing w:after="120"/>
        <w:ind w:left="1008"/>
        <w:rPr>
          <w:rFonts w:ascii="Times New Roman" w:hAnsi="Times New Roman"/>
          <w:b/>
          <w:i/>
          <w:u w:val="single"/>
          <w:lang w:bidi="en-US"/>
        </w:rPr>
      </w:pPr>
      <w:r w:rsidRPr="00974B40">
        <w:rPr>
          <w:rFonts w:ascii="Times New Roman" w:hAnsi="Times New Roman"/>
          <w:b/>
          <w:i/>
          <w:u w:val="single"/>
          <w:lang w:bidi="en-US"/>
        </w:rPr>
        <w:t xml:space="preserve">A. Existing IC </w:t>
      </w:r>
    </w:p>
    <w:p w:rsidR="003D36AF" w:rsidRPr="003D36AF" w:rsidP="00974B40" w14:paraId="57E7A44A" w14:textId="77777777">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The Financial Institutions Reform, Recovery, and Enforcement Act of 1989 (FIRREA) directs the FDIC to prescribe appropriate standards for real estate appraisals connected with federally related transactions under its jurisdiction.  This existing IC (IC 1) stems from the statutory requirement and is implemented under Part 323 of the FDIC’s regulations.</w:t>
      </w:r>
      <w:r>
        <w:rPr>
          <w:rFonts w:ascii="Times New Roman" w:hAnsi="Times New Roman"/>
          <w:vertAlign w:val="superscript"/>
          <w:lang w:bidi="en-US"/>
        </w:rPr>
        <w:footnoteReference w:id="8"/>
      </w:r>
      <w:r w:rsidRPr="003D36AF">
        <w:rPr>
          <w:rFonts w:ascii="Times New Roman" w:hAnsi="Times New Roman"/>
          <w:lang w:bidi="en-US"/>
        </w:rPr>
        <w:t xml:space="preserve">  The FIRREA and its associated regulations are designed to provide protection for federal financial and public policy interests by requiring real estate appraisals used in connection with federally related transactions to be performed in writing, and in accordance with uniform standards, by an appraiser whose competency has been demonstrated and whose professional conduct will be subject to effective supervision.  It applies to all federally related transactions entered into by the FDIC or by institutions supervised by the FDIC (FDIC-supervised institutions).</w:t>
      </w:r>
      <w:r>
        <w:rPr>
          <w:rFonts w:ascii="Times New Roman" w:hAnsi="Times New Roman"/>
          <w:vertAlign w:val="superscript"/>
          <w:lang w:bidi="en-US"/>
        </w:rPr>
        <w:footnoteReference w:id="9"/>
      </w:r>
    </w:p>
    <w:p w:rsidR="003D36AF" w:rsidRPr="003D36AF" w:rsidP="00E4016B" w14:paraId="6C968CD0" w14:textId="77777777">
      <w:pPr>
        <w:tabs>
          <w:tab w:val="left" w:pos="288"/>
          <w:tab w:val="left" w:pos="1008"/>
          <w:tab w:val="left" w:pos="1728"/>
          <w:tab w:val="left" w:pos="2448"/>
          <w:tab w:val="left" w:pos="3168"/>
          <w:tab w:val="left" w:pos="3888"/>
        </w:tabs>
        <w:spacing w:after="240"/>
        <w:ind w:left="1008"/>
        <w:rPr>
          <w:rFonts w:ascii="Times New Roman" w:hAnsi="Times New Roman"/>
          <w:b/>
          <w:bCs/>
          <w:lang w:bidi="en-US"/>
        </w:rPr>
      </w:pPr>
      <w:r w:rsidRPr="00E4016B">
        <w:rPr>
          <w:rFonts w:ascii="Times New Roman" w:hAnsi="Times New Roman"/>
          <w:i/>
          <w:lang w:bidi="en-US"/>
        </w:rPr>
        <w:t xml:space="preserve">IC 1: Recordkeeping to Show </w:t>
      </w:r>
      <w:r w:rsidRPr="00E4016B">
        <w:rPr>
          <w:rFonts w:ascii="Times New Roman" w:hAnsi="Times New Roman"/>
          <w:i/>
        </w:rPr>
        <w:t>Compliance</w:t>
      </w:r>
      <w:r w:rsidRPr="00E4016B">
        <w:rPr>
          <w:rFonts w:ascii="Times New Roman" w:hAnsi="Times New Roman"/>
          <w:i/>
          <w:lang w:bidi="en-US"/>
        </w:rPr>
        <w:t xml:space="preserve"> with Appraisals Rule, 12 CFR Part 323, (Mandatory).</w:t>
      </w:r>
      <w:r w:rsidRPr="003D36AF">
        <w:rPr>
          <w:rFonts w:ascii="Times New Roman" w:hAnsi="Times New Roman"/>
          <w:lang w:bidi="en-US"/>
        </w:rPr>
        <w:t xml:space="preserve">  IC 1 covers the creation and maintenance of records by FDIC-supervised institutions that demonstrate that appraisals used in their real estate-related lending activities comply with the regulation.</w:t>
      </w:r>
    </w:p>
    <w:p w:rsidR="003D36AF" w:rsidP="00974B40" w14:paraId="66A4F0E9" w14:textId="72CC2132">
      <w:pPr>
        <w:tabs>
          <w:tab w:val="left" w:pos="288"/>
          <w:tab w:val="left" w:pos="1008"/>
          <w:tab w:val="left" w:pos="1728"/>
          <w:tab w:val="left" w:pos="2448"/>
          <w:tab w:val="left" w:pos="3168"/>
          <w:tab w:val="left" w:pos="3888"/>
        </w:tabs>
        <w:ind w:left="1008"/>
        <w:rPr>
          <w:rFonts w:ascii="Times New Roman" w:hAnsi="Times New Roman"/>
          <w:lang w:bidi="en-US"/>
        </w:rPr>
      </w:pPr>
      <w:r w:rsidRPr="003D36AF">
        <w:rPr>
          <w:rFonts w:ascii="Times New Roman" w:hAnsi="Times New Roman"/>
          <w:lang w:bidi="en-US"/>
        </w:rPr>
        <w:t xml:space="preserve">Part 323 includes a recordkeeping </w:t>
      </w:r>
      <w:r w:rsidRPr="003D36AF">
        <w:rPr>
          <w:rFonts w:ascii="Times New Roman" w:hAnsi="Times New Roman"/>
        </w:rPr>
        <w:t>requirement</w:t>
      </w:r>
      <w:r w:rsidRPr="003D36AF">
        <w:rPr>
          <w:rFonts w:ascii="Times New Roman" w:hAnsi="Times New Roman"/>
          <w:lang w:bidi="en-US"/>
        </w:rPr>
        <w:t xml:space="preserve"> for entities subject to the regulation.  For real estate transactions that are exempted from the Title XI</w:t>
      </w:r>
      <w:r>
        <w:rPr>
          <w:rFonts w:ascii="Times New Roman" w:hAnsi="Times New Roman"/>
          <w:vertAlign w:val="superscript"/>
          <w:lang w:bidi="en-US"/>
        </w:rPr>
        <w:footnoteReference w:id="10"/>
      </w:r>
      <w:r w:rsidRPr="003D36AF">
        <w:rPr>
          <w:rFonts w:ascii="Times New Roman" w:hAnsi="Times New Roman"/>
          <w:lang w:bidi="en-US"/>
        </w:rPr>
        <w:t xml:space="preserve"> appraisal requirements under Part 323, FDIC-supervised institutions are still required to obtain an evaluation to justify the transaction amount.  In a rulemaking published on April 9, 2018, the Federal Reserve (FRB), the Office of the Comptroller of the Currency (OCC), and the FDIC estimated that the amount of time required to document the review of an appraisal is the same as the amount of time required to document the review of an evaluation.</w:t>
      </w:r>
      <w:r>
        <w:rPr>
          <w:rFonts w:ascii="Times New Roman" w:hAnsi="Times New Roman"/>
          <w:vertAlign w:val="superscript"/>
          <w:lang w:bidi="en-US"/>
        </w:rPr>
        <w:footnoteReference w:id="11"/>
      </w:r>
      <w:r w:rsidRPr="003D36AF">
        <w:rPr>
          <w:rFonts w:ascii="Times New Roman" w:hAnsi="Times New Roman"/>
          <w:lang w:bidi="en-US"/>
        </w:rPr>
        <w:t xml:space="preserve">  As part of the existing OMB No. 3064-0103, IC 1 was l</w:t>
      </w:r>
      <w:r w:rsidR="00264EC1">
        <w:rPr>
          <w:rFonts w:ascii="Times New Roman" w:hAnsi="Times New Roman"/>
          <w:lang w:bidi="en-US"/>
        </w:rPr>
        <w:t>ast approved by OMB on August 15, 2024 and included an estimated 3,038</w:t>
      </w:r>
      <w:r w:rsidRPr="003D36AF">
        <w:rPr>
          <w:rFonts w:ascii="Times New Roman" w:hAnsi="Times New Roman"/>
          <w:lang w:bidi="en-US"/>
        </w:rPr>
        <w:t xml:space="preserve"> annual r</w:t>
      </w:r>
      <w:r w:rsidR="00264EC1">
        <w:rPr>
          <w:rFonts w:ascii="Times New Roman" w:hAnsi="Times New Roman"/>
          <w:lang w:bidi="en-US"/>
        </w:rPr>
        <w:t>espondents, an estimated 759,500</w:t>
      </w:r>
      <w:r w:rsidRPr="003D36AF">
        <w:rPr>
          <w:rFonts w:ascii="Times New Roman" w:hAnsi="Times New Roman"/>
          <w:lang w:bidi="en-US"/>
        </w:rPr>
        <w:t xml:space="preserve"> annual responses, and an estimated annual time burden o</w:t>
      </w:r>
      <w:r w:rsidR="00264EC1">
        <w:rPr>
          <w:rFonts w:ascii="Times New Roman" w:hAnsi="Times New Roman"/>
          <w:lang w:bidi="en-US"/>
        </w:rPr>
        <w:t>f  63,039hours (2024 ICR).</w:t>
      </w:r>
    </w:p>
    <w:p w:rsidR="00264EC1" w:rsidRPr="003D36AF" w:rsidP="00974B40" w14:paraId="10C56D1B" w14:textId="77777777">
      <w:pPr>
        <w:tabs>
          <w:tab w:val="left" w:pos="288"/>
          <w:tab w:val="left" w:pos="1008"/>
          <w:tab w:val="left" w:pos="1728"/>
          <w:tab w:val="left" w:pos="2448"/>
          <w:tab w:val="left" w:pos="3168"/>
          <w:tab w:val="left" w:pos="3888"/>
        </w:tabs>
        <w:ind w:left="1008"/>
        <w:rPr>
          <w:rFonts w:ascii="Times New Roman" w:hAnsi="Times New Roman"/>
          <w:lang w:bidi="en-US"/>
        </w:rPr>
      </w:pPr>
    </w:p>
    <w:p w:rsidR="003D36AF" w:rsidRPr="00E4016B" w:rsidP="00E4016B" w14:paraId="60BB0378" w14:textId="0DC3E6FA">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Pr>
          <w:rFonts w:ascii="Times New Roman" w:hAnsi="Times New Roman"/>
          <w:b/>
          <w:i/>
          <w:u w:val="single"/>
          <w:lang w:bidi="en-US"/>
        </w:rPr>
        <w:t>B. ICs Associated with the Final Rule</w:t>
      </w:r>
      <w:r w:rsidRPr="00E4016B">
        <w:rPr>
          <w:rFonts w:ascii="Times New Roman" w:hAnsi="Times New Roman"/>
          <w:b/>
          <w:i/>
          <w:u w:val="single"/>
          <w:lang w:bidi="en-US"/>
        </w:rPr>
        <w:t xml:space="preserve"> </w:t>
      </w:r>
    </w:p>
    <w:p w:rsidR="003D36AF" w:rsidRPr="003D36AF" w:rsidP="00E4016B" w14:paraId="0180F0DC" w14:textId="0F543490">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Section 1473(q) of the Dodd-Frank Act amended Title XI of the </w:t>
      </w:r>
      <w:r w:rsidRPr="003D36AF" w:rsidR="00E4016B">
        <w:rPr>
          <w:rFonts w:ascii="Times New Roman" w:hAnsi="Times New Roman"/>
          <w:lang w:bidi="en-US"/>
        </w:rPr>
        <w:t>FIRREA</w:t>
      </w:r>
      <w:r w:rsidRPr="003D36AF" w:rsidR="00E4016B">
        <w:rPr>
          <w:rFonts w:ascii="Times New Roman" w:hAnsi="Times New Roman"/>
          <w:vertAlign w:val="superscript"/>
          <w:lang w:bidi="en-US"/>
        </w:rPr>
        <w:t xml:space="preserve"> </w:t>
      </w:r>
      <w:r w:rsidRPr="003D36AF" w:rsidR="00E4016B">
        <w:rPr>
          <w:rFonts w:ascii="Times New Roman" w:hAnsi="Times New Roman"/>
          <w:lang w:bidi="en-US"/>
        </w:rPr>
        <w:t>to</w:t>
      </w:r>
      <w:r w:rsidRPr="003D36AF">
        <w:rPr>
          <w:rFonts w:ascii="Times New Roman" w:hAnsi="Times New Roman"/>
          <w:lang w:bidi="en-US"/>
        </w:rPr>
        <w:t xml:space="preserve"> add a new section 1125 relating to </w:t>
      </w:r>
      <w:r w:rsidRPr="003D36AF">
        <w:rPr>
          <w:rFonts w:ascii="Times New Roman" w:hAnsi="Times New Roman"/>
        </w:rPr>
        <w:t>the</w:t>
      </w:r>
      <w:r w:rsidRPr="003D36AF">
        <w:rPr>
          <w:rFonts w:ascii="Times New Roman" w:hAnsi="Times New Roman"/>
          <w:lang w:bidi="en-US"/>
        </w:rPr>
        <w:t xml:space="preserve"> use of AVMs </w:t>
      </w:r>
      <w:bookmarkStart w:id="1" w:name="_Hlk131497377"/>
      <w:r w:rsidRPr="003D36AF">
        <w:rPr>
          <w:rFonts w:ascii="Times New Roman" w:hAnsi="Times New Roman"/>
          <w:lang w:bidi="en-US"/>
        </w:rPr>
        <w:t>in valuing real estate collateral securing mortgage loans.</w:t>
      </w:r>
      <w:bookmarkEnd w:id="1"/>
      <w:r>
        <w:rPr>
          <w:rFonts w:ascii="Times New Roman" w:hAnsi="Times New Roman"/>
          <w:vertAlign w:val="superscript"/>
          <w:lang w:bidi="en-US"/>
        </w:rPr>
        <w:footnoteReference w:id="12"/>
      </w:r>
      <w:r w:rsidRPr="003D36AF">
        <w:rPr>
          <w:rFonts w:ascii="Times New Roman" w:hAnsi="Times New Roman"/>
          <w:lang w:bidi="en-US"/>
        </w:rPr>
        <w:t xml:space="preserve">  Section 1125 requires the FDIC and other agencies to issue quality control standards for AVMs.  The agencies include the FDIC, the Federal Reserve (FRB), the Office of the Comptroller of the Currency (OCC), the Consumer Financial Protection Bureau (CFPB), the Federal Housing Finance Agency (FHFA), and the National Credit Union</w:t>
      </w:r>
      <w:r w:rsidR="001336AD">
        <w:rPr>
          <w:rFonts w:ascii="Times New Roman" w:hAnsi="Times New Roman"/>
          <w:lang w:bidi="en-US"/>
        </w:rPr>
        <w:t xml:space="preserve"> Administration (NCUA).  The Final Rule</w:t>
      </w:r>
      <w:r w:rsidRPr="003D36AF">
        <w:rPr>
          <w:rFonts w:ascii="Times New Roman" w:hAnsi="Times New Roman"/>
          <w:lang w:bidi="en-US"/>
        </w:rPr>
        <w:t xml:space="preserve"> establish</w:t>
      </w:r>
      <w:r w:rsidR="001336AD">
        <w:rPr>
          <w:rFonts w:ascii="Times New Roman" w:hAnsi="Times New Roman"/>
          <w:lang w:bidi="en-US"/>
        </w:rPr>
        <w:t>es</w:t>
      </w:r>
      <w:r w:rsidRPr="003D36AF">
        <w:rPr>
          <w:rFonts w:ascii="Times New Roman" w:hAnsi="Times New Roman"/>
          <w:lang w:bidi="en-US"/>
        </w:rPr>
        <w:t xml:space="preserve"> quality control standards for the use of AVMs by mortgage originators and secondary market issuers in determining the collateral worth of a mortgage secured by a consumer’s p</w:t>
      </w:r>
      <w:r w:rsidR="001336AD">
        <w:rPr>
          <w:rFonts w:ascii="Times New Roman" w:hAnsi="Times New Roman"/>
          <w:lang w:bidi="en-US"/>
        </w:rPr>
        <w:t>rincipal dwelling.  The Final Rule</w:t>
      </w:r>
      <w:r w:rsidRPr="003D36AF">
        <w:rPr>
          <w:rFonts w:ascii="Times New Roman" w:hAnsi="Times New Roman"/>
          <w:lang w:bidi="en-US"/>
        </w:rPr>
        <w:t xml:space="preserve"> require</w:t>
      </w:r>
      <w:r w:rsidR="001336AD">
        <w:rPr>
          <w:rFonts w:ascii="Times New Roman" w:hAnsi="Times New Roman"/>
          <w:lang w:bidi="en-US"/>
        </w:rPr>
        <w:t>s</w:t>
      </w:r>
      <w:r w:rsidRPr="003D36AF">
        <w:rPr>
          <w:rFonts w:ascii="Times New Roman" w:hAnsi="Times New Roman"/>
          <w:lang w:bidi="en-US"/>
        </w:rPr>
        <w:t xml:space="preserve"> FDIC-supervised mortgage originators and secondary market issuers</w:t>
      </w:r>
      <w:r>
        <w:rPr>
          <w:rFonts w:ascii="Times New Roman" w:hAnsi="Times New Roman"/>
          <w:vertAlign w:val="superscript"/>
          <w:lang w:bidi="en-US"/>
        </w:rPr>
        <w:footnoteReference w:id="13"/>
      </w:r>
      <w:r w:rsidRPr="003D36AF">
        <w:rPr>
          <w:rFonts w:ascii="Times New Roman" w:hAnsi="Times New Roman"/>
          <w:lang w:bidi="en-US"/>
        </w:rPr>
        <w:t xml:space="preserve"> that engage in credit decisions or covered securitization determinations</w:t>
      </w:r>
      <w:r>
        <w:rPr>
          <w:rFonts w:ascii="Times New Roman" w:hAnsi="Times New Roman"/>
          <w:vertAlign w:val="superscript"/>
          <w:lang w:bidi="en-US"/>
        </w:rPr>
        <w:footnoteReference w:id="14"/>
      </w:r>
      <w:r w:rsidRPr="003D36AF">
        <w:rPr>
          <w:rFonts w:ascii="Times New Roman" w:hAnsi="Times New Roman"/>
          <w:lang w:bidi="en-US"/>
        </w:rPr>
        <w:t xml:space="preserve"> themselves, or through or in cooperation with a </w:t>
      </w:r>
      <w:r w:rsidRPr="003D36AF" w:rsidR="00904A85">
        <w:rPr>
          <w:rFonts w:ascii="Times New Roman" w:hAnsi="Times New Roman"/>
          <w:lang w:bidi="en-US"/>
        </w:rPr>
        <w:t>third party</w:t>
      </w:r>
      <w:r w:rsidRPr="003D36AF">
        <w:rPr>
          <w:rFonts w:ascii="Times New Roman" w:hAnsi="Times New Roman"/>
          <w:lang w:bidi="en-US"/>
        </w:rPr>
        <w:t xml:space="preserve"> or affiliate, to adopt and maintain policies, practices, procedures, and control systems to ensure that AVMs used in these transactions adhere to quality control standards designed to: </w:t>
      </w:r>
    </w:p>
    <w:p w:rsidR="003D36AF" w:rsidRPr="003D36AF" w:rsidP="00E4016B" w14:paraId="4AA4C85E" w14:textId="77777777">
      <w:pPr>
        <w:tabs>
          <w:tab w:val="left" w:pos="288"/>
          <w:tab w:val="left" w:pos="1008"/>
          <w:tab w:val="left" w:pos="1728"/>
          <w:tab w:val="left" w:pos="2448"/>
          <w:tab w:val="left" w:pos="3168"/>
          <w:tab w:val="left" w:pos="3888"/>
        </w:tabs>
        <w:spacing w:after="120"/>
        <w:ind w:left="1440"/>
        <w:rPr>
          <w:rFonts w:ascii="Times New Roman" w:hAnsi="Times New Roman"/>
          <w:lang w:bidi="en-US"/>
        </w:rPr>
      </w:pPr>
      <w:r w:rsidRPr="003D36AF">
        <w:rPr>
          <w:rFonts w:ascii="Times New Roman" w:hAnsi="Times New Roman"/>
          <w:lang w:bidi="en-US"/>
        </w:rPr>
        <w:t>(a) Ensure a high level of confidence in the estimates produced;</w:t>
      </w:r>
    </w:p>
    <w:p w:rsidR="003D36AF" w:rsidRPr="003D36AF" w:rsidP="00E4016B" w14:paraId="2EA78A94" w14:textId="77777777">
      <w:pPr>
        <w:tabs>
          <w:tab w:val="left" w:pos="288"/>
          <w:tab w:val="left" w:pos="1008"/>
          <w:tab w:val="left" w:pos="1728"/>
          <w:tab w:val="left" w:pos="2448"/>
          <w:tab w:val="left" w:pos="3168"/>
          <w:tab w:val="left" w:pos="3888"/>
        </w:tabs>
        <w:spacing w:after="120"/>
        <w:ind w:left="1440"/>
        <w:rPr>
          <w:rFonts w:ascii="Times New Roman" w:hAnsi="Times New Roman"/>
          <w:lang w:bidi="en-US"/>
        </w:rPr>
      </w:pPr>
      <w:r w:rsidRPr="003D36AF">
        <w:rPr>
          <w:rFonts w:ascii="Times New Roman" w:hAnsi="Times New Roman"/>
          <w:lang w:bidi="en-US"/>
        </w:rPr>
        <w:t xml:space="preserve">(b) Protect against the manipulation of data; </w:t>
      </w:r>
    </w:p>
    <w:p w:rsidR="003D36AF" w:rsidRPr="003D36AF" w:rsidP="00E4016B" w14:paraId="6C7C1931" w14:textId="77777777">
      <w:pPr>
        <w:tabs>
          <w:tab w:val="left" w:pos="288"/>
          <w:tab w:val="left" w:pos="1008"/>
          <w:tab w:val="left" w:pos="1728"/>
          <w:tab w:val="left" w:pos="2448"/>
          <w:tab w:val="left" w:pos="3168"/>
          <w:tab w:val="left" w:pos="3888"/>
        </w:tabs>
        <w:spacing w:after="120"/>
        <w:ind w:left="1440"/>
        <w:rPr>
          <w:rFonts w:ascii="Times New Roman" w:hAnsi="Times New Roman"/>
          <w:lang w:bidi="en-US"/>
        </w:rPr>
      </w:pPr>
      <w:r w:rsidRPr="003D36AF">
        <w:rPr>
          <w:rFonts w:ascii="Times New Roman" w:hAnsi="Times New Roman"/>
          <w:lang w:bidi="en-US"/>
        </w:rPr>
        <w:t xml:space="preserve">(c) Avoid conflicts of interest; </w:t>
      </w:r>
    </w:p>
    <w:p w:rsidR="003D36AF" w:rsidRPr="003D36AF" w:rsidP="00E4016B" w14:paraId="6FDF6D4D" w14:textId="77777777">
      <w:pPr>
        <w:tabs>
          <w:tab w:val="left" w:pos="288"/>
          <w:tab w:val="left" w:pos="1008"/>
          <w:tab w:val="left" w:pos="1728"/>
          <w:tab w:val="left" w:pos="2448"/>
          <w:tab w:val="left" w:pos="3168"/>
          <w:tab w:val="left" w:pos="3888"/>
        </w:tabs>
        <w:spacing w:after="120"/>
        <w:ind w:left="1440"/>
        <w:rPr>
          <w:rFonts w:ascii="Times New Roman" w:hAnsi="Times New Roman"/>
          <w:lang w:bidi="en-US"/>
        </w:rPr>
      </w:pPr>
      <w:r w:rsidRPr="003D36AF">
        <w:rPr>
          <w:rFonts w:ascii="Times New Roman" w:hAnsi="Times New Roman"/>
          <w:lang w:bidi="en-US"/>
        </w:rPr>
        <w:t xml:space="preserve">(d) Require random sample testing and reviews; and </w:t>
      </w:r>
    </w:p>
    <w:p w:rsidR="003D36AF" w:rsidRPr="003D36AF" w:rsidP="00E4016B" w14:paraId="69711097" w14:textId="77777777">
      <w:pPr>
        <w:tabs>
          <w:tab w:val="left" w:pos="288"/>
          <w:tab w:val="left" w:pos="1008"/>
          <w:tab w:val="left" w:pos="1728"/>
          <w:tab w:val="left" w:pos="2448"/>
          <w:tab w:val="left" w:pos="3168"/>
          <w:tab w:val="left" w:pos="3888"/>
        </w:tabs>
        <w:spacing w:after="120"/>
        <w:ind w:left="1440"/>
        <w:rPr>
          <w:rFonts w:ascii="Times New Roman" w:hAnsi="Times New Roman"/>
          <w:lang w:bidi="en-US"/>
        </w:rPr>
      </w:pPr>
      <w:r w:rsidRPr="003D36AF">
        <w:rPr>
          <w:rFonts w:ascii="Times New Roman" w:hAnsi="Times New Roman"/>
          <w:lang w:bidi="en-US"/>
        </w:rPr>
        <w:t>(e) Comply with applicable nondiscrimination laws.</w:t>
      </w:r>
      <w:r>
        <w:rPr>
          <w:rFonts w:ascii="Times New Roman" w:hAnsi="Times New Roman"/>
          <w:vertAlign w:val="superscript"/>
          <w:lang w:bidi="en-US"/>
        </w:rPr>
        <w:footnoteReference w:id="15"/>
      </w:r>
    </w:p>
    <w:p w:rsidR="003D36AF" w:rsidRPr="003D36AF" w:rsidP="00E4016B" w14:paraId="3196672B" w14:textId="3B8DB9A5">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The qual</w:t>
      </w:r>
      <w:r w:rsidR="001336AD">
        <w:rPr>
          <w:rFonts w:ascii="Times New Roman" w:hAnsi="Times New Roman"/>
          <w:lang w:bidi="en-US"/>
        </w:rPr>
        <w:t>ity control standards in the Final Rule</w:t>
      </w:r>
      <w:r w:rsidRPr="003D36AF">
        <w:rPr>
          <w:rFonts w:ascii="Times New Roman" w:hAnsi="Times New Roman"/>
          <w:lang w:bidi="en-US"/>
        </w:rPr>
        <w:t xml:space="preserve"> are applicable only to AVMs used in connection with making credit decisions or covered securitization determinations regarding a mortgage secured by a consumer’s principal </w:t>
      </w:r>
      <w:r w:rsidR="001336AD">
        <w:rPr>
          <w:rFonts w:ascii="Times New Roman" w:hAnsi="Times New Roman"/>
          <w:lang w:bidi="en-US"/>
        </w:rPr>
        <w:t>dwelling (covered AVMs). The Final Rule</w:t>
      </w:r>
      <w:r w:rsidRPr="003D36AF">
        <w:rPr>
          <w:rFonts w:ascii="Times New Roman" w:hAnsi="Times New Roman"/>
          <w:lang w:bidi="en-US"/>
        </w:rPr>
        <w:t xml:space="preserve"> require</w:t>
      </w:r>
      <w:r w:rsidR="001336AD">
        <w:rPr>
          <w:rFonts w:ascii="Times New Roman" w:hAnsi="Times New Roman"/>
          <w:lang w:bidi="en-US"/>
        </w:rPr>
        <w:t>s</w:t>
      </w:r>
      <w:r w:rsidRPr="003D36AF">
        <w:rPr>
          <w:rFonts w:ascii="Times New Roman" w:hAnsi="Times New Roman"/>
          <w:lang w:bidi="en-US"/>
        </w:rPr>
        <w:t xml:space="preserve"> regulated mortgage originators and secondary market issuers to adopt policies, procedures, and control systems to ensure that covered AVMs adhere to the specified quality control standards whenever the covered institutions use covered AVMs while engaging in certain credit decisions or covered securitization determinations. </w:t>
      </w:r>
    </w:p>
    <w:p w:rsidR="003D36AF" w:rsidRPr="003D36AF" w:rsidP="00E4016B" w14:paraId="7200AF30" w14:textId="3B00C038">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The</w:t>
      </w:r>
      <w:r w:rsidR="000F1A53">
        <w:rPr>
          <w:rFonts w:ascii="Times New Roman" w:hAnsi="Times New Roman"/>
          <w:lang w:bidi="en-US"/>
        </w:rPr>
        <w:t>re are</w:t>
      </w:r>
      <w:r w:rsidRPr="003D36AF">
        <w:rPr>
          <w:rFonts w:ascii="Times New Roman" w:hAnsi="Times New Roman"/>
          <w:lang w:bidi="en-US"/>
        </w:rPr>
        <w:t xml:space="preserve"> two ICs </w:t>
      </w:r>
      <w:r w:rsidR="000F1A53">
        <w:rPr>
          <w:rFonts w:ascii="Times New Roman" w:hAnsi="Times New Roman"/>
          <w:lang w:bidi="en-US"/>
        </w:rPr>
        <w:t>(“IC 2” and “IC 3” in this Supporting Statement</w:t>
      </w:r>
      <w:r w:rsidRPr="003D36AF">
        <w:rPr>
          <w:rFonts w:ascii="Times New Roman" w:hAnsi="Times New Roman"/>
          <w:lang w:bidi="en-US"/>
        </w:rPr>
        <w:t xml:space="preserve">) </w:t>
      </w:r>
      <w:r w:rsidR="000F1A53">
        <w:rPr>
          <w:rFonts w:ascii="Times New Roman" w:hAnsi="Times New Roman"/>
          <w:lang w:bidi="en-US"/>
        </w:rPr>
        <w:t xml:space="preserve">that </w:t>
      </w:r>
      <w:r w:rsidRPr="003D36AF">
        <w:rPr>
          <w:rFonts w:ascii="Times New Roman" w:hAnsi="Times New Roman"/>
          <w:lang w:bidi="en-US"/>
        </w:rPr>
        <w:t xml:space="preserve">pertain to requirements for covered institutions to maintain records that demonstrate that their use of AVMs for in-scope residential real estate-related transactions comply with the </w:t>
      </w:r>
      <w:r w:rsidR="001336AD">
        <w:rPr>
          <w:rFonts w:ascii="Times New Roman" w:hAnsi="Times New Roman"/>
          <w:lang w:bidi="en-US"/>
        </w:rPr>
        <w:t>Final R</w:t>
      </w:r>
      <w:r w:rsidR="000F1A53">
        <w:rPr>
          <w:rFonts w:ascii="Times New Roman" w:hAnsi="Times New Roman"/>
          <w:lang w:bidi="en-US"/>
        </w:rPr>
        <w:t>ule</w:t>
      </w:r>
      <w:r w:rsidRPr="003D36AF">
        <w:rPr>
          <w:rFonts w:ascii="Times New Roman" w:hAnsi="Times New Roman"/>
          <w:lang w:bidi="en-US"/>
        </w:rPr>
        <w:t xml:space="preserve">.  The PRA burdens for these activities can be divided into implementation burdens incurred during the first year that the rule enters into force and ongoing burdens incurred in all </w:t>
      </w:r>
      <w:r w:rsidR="000F1A53">
        <w:rPr>
          <w:rFonts w:ascii="Times New Roman" w:hAnsi="Times New Roman"/>
          <w:lang w:bidi="en-US"/>
        </w:rPr>
        <w:t xml:space="preserve">subsequent </w:t>
      </w:r>
      <w:r w:rsidRPr="003D36AF">
        <w:rPr>
          <w:rFonts w:ascii="Times New Roman" w:hAnsi="Times New Roman"/>
          <w:lang w:bidi="en-US"/>
        </w:rPr>
        <w:t>years, as described below.</w:t>
      </w:r>
    </w:p>
    <w:p w:rsidR="003D36AF" w:rsidRPr="003D36AF" w:rsidP="000F1A53" w14:paraId="1F4DCB16" w14:textId="49E0D86F">
      <w:pPr>
        <w:tabs>
          <w:tab w:val="left" w:pos="288"/>
          <w:tab w:val="left" w:pos="1008"/>
          <w:tab w:val="left" w:pos="1728"/>
          <w:tab w:val="left" w:pos="2448"/>
          <w:tab w:val="left" w:pos="3168"/>
          <w:tab w:val="left" w:pos="3888"/>
        </w:tabs>
        <w:spacing w:after="240"/>
        <w:ind w:left="1008"/>
        <w:rPr>
          <w:rFonts w:ascii="Times New Roman" w:hAnsi="Times New Roman"/>
          <w:b/>
          <w:bCs/>
          <w:lang w:bidi="en-US"/>
        </w:rPr>
      </w:pPr>
      <w:r w:rsidRPr="000F1A53">
        <w:rPr>
          <w:rFonts w:ascii="Times New Roman" w:hAnsi="Times New Roman"/>
          <w:i/>
          <w:lang w:bidi="en-US"/>
        </w:rPr>
        <w:t xml:space="preserve">IC 2: Implementation </w:t>
      </w:r>
      <w:r w:rsidRPr="000F1A53">
        <w:rPr>
          <w:rFonts w:ascii="Times New Roman" w:hAnsi="Times New Roman"/>
          <w:i/>
        </w:rPr>
        <w:t>of</w:t>
      </w:r>
      <w:r w:rsidRPr="000F1A53">
        <w:rPr>
          <w:rFonts w:ascii="Times New Roman" w:hAnsi="Times New Roman"/>
          <w:i/>
          <w:lang w:bidi="en-US"/>
        </w:rPr>
        <w:t xml:space="preserve"> Policies, Pr</w:t>
      </w:r>
      <w:r w:rsidR="001336AD">
        <w:rPr>
          <w:rFonts w:ascii="Times New Roman" w:hAnsi="Times New Roman"/>
          <w:i/>
          <w:lang w:bidi="en-US"/>
        </w:rPr>
        <w:t xml:space="preserve">ocedures, and Controls, </w:t>
      </w:r>
      <w:r w:rsidRPr="000F1A53">
        <w:rPr>
          <w:rFonts w:ascii="Times New Roman" w:hAnsi="Times New Roman"/>
          <w:i/>
          <w:lang w:bidi="en-US"/>
        </w:rPr>
        <w:t xml:space="preserve"> 12 CFR § 323.17, (Mandatory).</w:t>
      </w:r>
      <w:r w:rsidRPr="003D36AF">
        <w:rPr>
          <w:rFonts w:ascii="Times New Roman" w:hAnsi="Times New Roman"/>
          <w:lang w:bidi="en-US"/>
        </w:rPr>
        <w:t xml:space="preserve">  IC 2 captures the required recordkeeping activities of FDIC-supervised institutions associated with the establishment, development, and implementation of policies, procedures, and controls for the AVM quality control standards </w:t>
      </w:r>
      <w:r w:rsidR="000F1A53">
        <w:rPr>
          <w:rFonts w:ascii="Times New Roman" w:hAnsi="Times New Roman"/>
          <w:lang w:bidi="en-US"/>
        </w:rPr>
        <w:t xml:space="preserve">in the </w:t>
      </w:r>
      <w:r w:rsidR="001336AD">
        <w:rPr>
          <w:rFonts w:ascii="Times New Roman" w:hAnsi="Times New Roman"/>
          <w:lang w:bidi="en-US"/>
        </w:rPr>
        <w:t>final</w:t>
      </w:r>
      <w:r w:rsidRPr="003D36AF">
        <w:rPr>
          <w:rFonts w:ascii="Times New Roman" w:hAnsi="Times New Roman"/>
          <w:lang w:bidi="en-US"/>
        </w:rPr>
        <w:t xml:space="preserve"> </w:t>
      </w:r>
      <w:r w:rsidR="000F1A53">
        <w:rPr>
          <w:rFonts w:ascii="Times New Roman" w:hAnsi="Times New Roman"/>
          <w:lang w:bidi="en-US"/>
        </w:rPr>
        <w:t>rule</w:t>
      </w:r>
      <w:r w:rsidRPr="003D36AF">
        <w:rPr>
          <w:rFonts w:ascii="Times New Roman" w:hAnsi="Times New Roman"/>
          <w:lang w:bidi="en-US"/>
        </w:rPr>
        <w:t xml:space="preserve">.  </w:t>
      </w:r>
      <w:r w:rsidR="000F1A53">
        <w:rPr>
          <w:rFonts w:ascii="Times New Roman" w:hAnsi="Times New Roman"/>
          <w:lang w:bidi="en-US"/>
        </w:rPr>
        <w:t>FDIC</w:t>
      </w:r>
      <w:r w:rsidRPr="003D36AF">
        <w:rPr>
          <w:rFonts w:ascii="Times New Roman" w:hAnsi="Times New Roman"/>
          <w:lang w:bidi="en-US"/>
        </w:rPr>
        <w:t xml:space="preserve"> assume</w:t>
      </w:r>
      <w:r w:rsidR="000F1A53">
        <w:rPr>
          <w:rFonts w:ascii="Times New Roman" w:hAnsi="Times New Roman"/>
          <w:lang w:bidi="en-US"/>
        </w:rPr>
        <w:t>s</w:t>
      </w:r>
      <w:r w:rsidRPr="003D36AF">
        <w:rPr>
          <w:rFonts w:ascii="Times New Roman" w:hAnsi="Times New Roman"/>
          <w:lang w:bidi="en-US"/>
        </w:rPr>
        <w:t xml:space="preserve"> FDIC-supervised institutions using covered AVMs for in-scope activities would undertake these recordkeeping activities in the first year they are subjected</w:t>
      </w:r>
      <w:r w:rsidR="001336AD">
        <w:rPr>
          <w:rFonts w:ascii="Times New Roman" w:hAnsi="Times New Roman"/>
          <w:lang w:bidi="en-US"/>
        </w:rPr>
        <w:t xml:space="preserve"> to the requirements in</w:t>
      </w:r>
      <w:r w:rsidRPr="003D36AF">
        <w:rPr>
          <w:rFonts w:ascii="Times New Roman" w:hAnsi="Times New Roman"/>
          <w:lang w:bidi="en-US"/>
        </w:rPr>
        <w:t xml:space="preserve"> 12 CFR 323.17.</w:t>
      </w:r>
    </w:p>
    <w:p w:rsidR="003D36AF" w:rsidRPr="003D36AF" w:rsidP="000F1A53" w14:paraId="0674CE35" w14:textId="06BFB9F7">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0F1A53">
        <w:rPr>
          <w:rFonts w:ascii="Times New Roman" w:hAnsi="Times New Roman"/>
          <w:i/>
          <w:lang w:bidi="en-US"/>
        </w:rPr>
        <w:t xml:space="preserve">IC3: Ongoing AVM </w:t>
      </w:r>
      <w:r w:rsidRPr="000F1A53">
        <w:rPr>
          <w:rFonts w:ascii="Times New Roman" w:hAnsi="Times New Roman"/>
          <w:i/>
        </w:rPr>
        <w:t>Policies</w:t>
      </w:r>
      <w:r w:rsidRPr="000F1A53">
        <w:rPr>
          <w:rFonts w:ascii="Times New Roman" w:hAnsi="Times New Roman"/>
          <w:i/>
          <w:lang w:bidi="en-US"/>
        </w:rPr>
        <w:t>, Pr</w:t>
      </w:r>
      <w:r w:rsidR="001336AD">
        <w:rPr>
          <w:rFonts w:ascii="Times New Roman" w:hAnsi="Times New Roman"/>
          <w:i/>
          <w:lang w:bidi="en-US"/>
        </w:rPr>
        <w:t>ocedures, and Controls,</w:t>
      </w:r>
      <w:r w:rsidRPr="000F1A53">
        <w:rPr>
          <w:rFonts w:ascii="Times New Roman" w:hAnsi="Times New Roman"/>
          <w:i/>
          <w:lang w:bidi="en-US"/>
        </w:rPr>
        <w:t xml:space="preserve"> 12 CFR § 323.17,</w:t>
      </w:r>
      <w:r w:rsidRPr="000F1A53">
        <w:rPr>
          <w:rFonts w:ascii="Times New Roman" w:hAnsi="Times New Roman"/>
          <w:i/>
          <w:lang w:bidi="en-US"/>
        </w:rPr>
        <w:t xml:space="preserve"> </w:t>
      </w:r>
      <w:r w:rsidRPr="000F1A53">
        <w:rPr>
          <w:rFonts w:ascii="Times New Roman" w:hAnsi="Times New Roman"/>
          <w:i/>
          <w:lang w:bidi="en-US"/>
        </w:rPr>
        <w:t xml:space="preserve">(Mandatory). </w:t>
      </w:r>
      <w:r w:rsidRPr="003D36AF">
        <w:rPr>
          <w:rFonts w:ascii="Times New Roman" w:hAnsi="Times New Roman"/>
          <w:lang w:bidi="en-US"/>
        </w:rPr>
        <w:t xml:space="preserve">  IC </w:t>
      </w:r>
      <w:r w:rsidR="000F1A53">
        <w:rPr>
          <w:rFonts w:ascii="Times New Roman" w:hAnsi="Times New Roman"/>
          <w:lang w:bidi="en-US"/>
        </w:rPr>
        <w:t xml:space="preserve">3 </w:t>
      </w:r>
      <w:r w:rsidRPr="003D36AF">
        <w:rPr>
          <w:rFonts w:ascii="Times New Roman" w:hAnsi="Times New Roman"/>
          <w:lang w:bidi="en-US"/>
        </w:rPr>
        <w:t>captures the ongoing recordkeeping activities of FDIC-supervised institutions associated with their established policies, procedures, and controls for AVM quality control standards.</w:t>
      </w:r>
      <w:r w:rsidR="000F1A53">
        <w:rPr>
          <w:rFonts w:ascii="Times New Roman" w:hAnsi="Times New Roman"/>
          <w:lang w:bidi="en-US"/>
        </w:rPr>
        <w:t xml:space="preserve">  FDIC</w:t>
      </w:r>
      <w:r w:rsidRPr="003D36AF">
        <w:rPr>
          <w:rFonts w:ascii="Times New Roman" w:hAnsi="Times New Roman"/>
          <w:lang w:bidi="en-US"/>
        </w:rPr>
        <w:t xml:space="preserve"> assume</w:t>
      </w:r>
      <w:r w:rsidR="000F1A53">
        <w:rPr>
          <w:rFonts w:ascii="Times New Roman" w:hAnsi="Times New Roman"/>
          <w:lang w:bidi="en-US"/>
        </w:rPr>
        <w:t>s</w:t>
      </w:r>
      <w:r w:rsidRPr="003D36AF">
        <w:rPr>
          <w:rFonts w:ascii="Times New Roman" w:hAnsi="Times New Roman"/>
          <w:lang w:bidi="en-US"/>
        </w:rPr>
        <w:t xml:space="preserve"> all FDIC-supervised institutions would undertake these ongoing recordkeeping activities in each year, including the first year the rule is in effect.</w:t>
      </w:r>
    </w:p>
    <w:p w:rsidR="003D36AF" w:rsidRPr="000F1A53" w:rsidP="000F1A53" w14:paraId="4A17781B" w14:textId="77777777">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sidRPr="000F1A53">
        <w:rPr>
          <w:rFonts w:ascii="Times New Roman" w:hAnsi="Times New Roman"/>
          <w:b/>
          <w:i/>
          <w:u w:val="single"/>
          <w:lang w:bidi="en-US"/>
        </w:rPr>
        <w:t>C. ICs Associated with the 2010 Interagency Guidelines</w:t>
      </w:r>
    </w:p>
    <w:p w:rsidR="003D36AF" w:rsidRPr="003D36AF" w:rsidP="000F1A53" w14:paraId="01678E23" w14:textId="77777777">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As mentioned above, the Guidelines</w:t>
      </w:r>
      <w:r>
        <w:rPr>
          <w:rFonts w:ascii="Times New Roman" w:hAnsi="Times New Roman"/>
          <w:vertAlign w:val="superscript"/>
          <w:lang w:bidi="en-US"/>
        </w:rPr>
        <w:footnoteReference w:id="16"/>
      </w:r>
      <w:r w:rsidRPr="003D36AF">
        <w:rPr>
          <w:rFonts w:ascii="Times New Roman" w:hAnsi="Times New Roman"/>
          <w:lang w:bidi="en-US"/>
        </w:rPr>
        <w:t xml:space="preserve"> provide clarification of the agencies’ appraisal regulations</w:t>
      </w:r>
      <w:r>
        <w:rPr>
          <w:rFonts w:ascii="Times New Roman" w:hAnsi="Times New Roman"/>
          <w:vertAlign w:val="superscript"/>
          <w:lang w:bidi="en-US"/>
        </w:rPr>
        <w:footnoteReference w:id="17"/>
      </w:r>
      <w:r w:rsidRPr="003D36AF">
        <w:rPr>
          <w:rFonts w:ascii="Times New Roman" w:hAnsi="Times New Roman"/>
          <w:lang w:bidi="en-US"/>
        </w:rPr>
        <w:t xml:space="preserve">  for institutions subject to the supervisory authority of the agencies and for examiners about prudent appraisal and evaluation programs.  The Guidelines clarify agencies’ expectations that appraisal and evaluation programs of institutions subject to their supervisory authority conduct real estate transactions in a safe and sound manner.  The Guidelines also promote consistency in the application and enforcement of the agencies’ appraisal regulations.</w:t>
      </w:r>
    </w:p>
    <w:p w:rsidR="003D36AF" w:rsidRPr="003D36AF" w:rsidP="000F1A53" w14:paraId="7CC47E85" w14:textId="4D14B869">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 has</w:t>
      </w:r>
      <w:r w:rsidRPr="003D36AF">
        <w:rPr>
          <w:rFonts w:ascii="Times New Roman" w:hAnsi="Times New Roman"/>
          <w:lang w:bidi="en-US"/>
        </w:rPr>
        <w:t xml:space="preserve"> identified two ICs associated with the Guidelines</w:t>
      </w:r>
      <w:r w:rsidRPr="00974B40">
        <w:rPr>
          <w:rFonts w:ascii="Times New Roman" w:hAnsi="Times New Roman"/>
          <w:lang w:bidi="en-US"/>
        </w:rPr>
        <w:t xml:space="preserve"> </w:t>
      </w:r>
      <w:r w:rsidRPr="003D36AF">
        <w:rPr>
          <w:rFonts w:ascii="Times New Roman" w:hAnsi="Times New Roman"/>
          <w:lang w:bidi="en-US"/>
        </w:rPr>
        <w:t>that create PRA burdens for covered institutions.  The two ICs</w:t>
      </w:r>
      <w:r>
        <w:rPr>
          <w:rFonts w:ascii="Times New Roman" w:hAnsi="Times New Roman"/>
          <w:lang w:bidi="en-US"/>
        </w:rPr>
        <w:t xml:space="preserve"> (“IC 4” and “IC 5” in this Supporting Statement</w:t>
      </w:r>
      <w:r w:rsidRPr="003D36AF">
        <w:rPr>
          <w:rFonts w:ascii="Times New Roman" w:hAnsi="Times New Roman"/>
          <w:lang w:bidi="en-US"/>
        </w:rPr>
        <w:t xml:space="preserve">) pertain to recordkeeping related to maintaining policies and procedures and disclosures associated with the filing of complaints. </w:t>
      </w:r>
    </w:p>
    <w:p w:rsidR="003D36AF" w:rsidRPr="003D36AF" w:rsidP="000F1A53" w14:paraId="1936C229" w14:textId="7B08CF92">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0F1A53">
        <w:rPr>
          <w:rFonts w:ascii="Times New Roman" w:hAnsi="Times New Roman"/>
          <w:i/>
          <w:lang w:bidi="en-US"/>
        </w:rPr>
        <w:t>IC 4: Ongoing Policies, Procedures, and Controls for Apprai</w:t>
      </w:r>
      <w:r w:rsidR="006B7FED">
        <w:rPr>
          <w:rFonts w:ascii="Times New Roman" w:hAnsi="Times New Roman"/>
          <w:i/>
          <w:lang w:bidi="en-US"/>
        </w:rPr>
        <w:t>sals and Evaluations, (Voluntary</w:t>
      </w:r>
      <w:r w:rsidRPr="000F1A53">
        <w:rPr>
          <w:rFonts w:ascii="Times New Roman" w:hAnsi="Times New Roman"/>
          <w:i/>
          <w:lang w:bidi="en-US"/>
        </w:rPr>
        <w:t>).</w:t>
      </w:r>
      <w:r w:rsidRPr="003D36AF">
        <w:rPr>
          <w:rFonts w:ascii="Times New Roman" w:hAnsi="Times New Roman"/>
          <w:lang w:bidi="en-US"/>
        </w:rPr>
        <w:t xml:space="preserve">  This IC captures the ongoing recordkeeping activities of FDIC-supervised institutions associated with the policies, procedures, and controls for appraisals and evaluations that would have already been established by those institutions.  </w:t>
      </w:r>
      <w:r w:rsidR="000F1A53">
        <w:rPr>
          <w:rFonts w:ascii="Times New Roman" w:hAnsi="Times New Roman"/>
          <w:lang w:bidi="en-US"/>
        </w:rPr>
        <w:t>FDIC</w:t>
      </w:r>
      <w:r w:rsidRPr="003D36AF">
        <w:rPr>
          <w:rFonts w:ascii="Times New Roman" w:hAnsi="Times New Roman"/>
          <w:lang w:bidi="en-US"/>
        </w:rPr>
        <w:t xml:space="preserve"> assume</w:t>
      </w:r>
      <w:r w:rsidR="000F1A53">
        <w:rPr>
          <w:rFonts w:ascii="Times New Roman" w:hAnsi="Times New Roman"/>
          <w:lang w:bidi="en-US"/>
        </w:rPr>
        <w:t>s</w:t>
      </w:r>
      <w:r w:rsidRPr="003D36AF">
        <w:rPr>
          <w:rFonts w:ascii="Times New Roman" w:hAnsi="Times New Roman"/>
          <w:lang w:bidi="en-US"/>
        </w:rPr>
        <w:t xml:space="preserve"> all FDIC-supervised institutions would undertake these ongoing recordkeeping activities in each year.</w:t>
      </w:r>
      <w:r>
        <w:rPr>
          <w:rFonts w:ascii="Times New Roman" w:hAnsi="Times New Roman"/>
          <w:vertAlign w:val="superscript"/>
          <w:lang w:bidi="en-US"/>
        </w:rPr>
        <w:footnoteReference w:id="18"/>
      </w:r>
    </w:p>
    <w:p w:rsidR="003D36AF" w:rsidRPr="003D36AF" w:rsidP="00C7187B" w14:paraId="64C35810" w14:textId="4474D5C2">
      <w:pPr>
        <w:tabs>
          <w:tab w:val="left" w:pos="288"/>
          <w:tab w:val="left" w:pos="1008"/>
          <w:tab w:val="left" w:pos="1728"/>
          <w:tab w:val="left" w:pos="2448"/>
          <w:tab w:val="left" w:pos="3168"/>
          <w:tab w:val="left" w:pos="3888"/>
        </w:tabs>
        <w:spacing w:after="120"/>
        <w:ind w:left="1008"/>
        <w:rPr>
          <w:rFonts w:ascii="Times New Roman" w:hAnsi="Times New Roman"/>
          <w:lang w:bidi="en-US"/>
        </w:rPr>
      </w:pPr>
      <w:r w:rsidRPr="000F1A53">
        <w:rPr>
          <w:rFonts w:ascii="Times New Roman" w:hAnsi="Times New Roman"/>
          <w:i/>
          <w:lang w:bidi="en-US"/>
        </w:rPr>
        <w:t>IC 5: Complaints Regarding Unethical or Unlaw</w:t>
      </w:r>
      <w:r w:rsidR="006B7FED">
        <w:rPr>
          <w:rFonts w:ascii="Times New Roman" w:hAnsi="Times New Roman"/>
          <w:i/>
          <w:lang w:bidi="en-US"/>
        </w:rPr>
        <w:t>ful Appraiser Conduct (Voluntary</w:t>
      </w:r>
      <w:r w:rsidRPr="000F1A53">
        <w:rPr>
          <w:rFonts w:ascii="Times New Roman" w:hAnsi="Times New Roman"/>
          <w:i/>
          <w:lang w:bidi="en-US"/>
        </w:rPr>
        <w:t>).</w:t>
      </w:r>
      <w:r w:rsidRPr="003D36AF">
        <w:rPr>
          <w:rFonts w:ascii="Times New Roman" w:hAnsi="Times New Roman"/>
          <w:lang w:bidi="en-US"/>
        </w:rPr>
        <w:t xml:space="preserve">  IC 5 covers third-party disclosures by an FDIC-supervised institution that files a complaint with a state appraisal regulator because it suspects that a state certified or licensed appraiser failed to comply with the Uniform Standards of Professional Appraisal Practice (USPAP),</w:t>
      </w:r>
      <w:r>
        <w:rPr>
          <w:rFonts w:ascii="Times New Roman" w:hAnsi="Times New Roman"/>
          <w:vertAlign w:val="superscript"/>
          <w:lang w:bidi="en-US"/>
        </w:rPr>
        <w:footnoteReference w:id="19"/>
      </w:r>
      <w:r w:rsidRPr="003D36AF">
        <w:rPr>
          <w:rFonts w:ascii="Times New Roman" w:hAnsi="Times New Roman"/>
          <w:lang w:bidi="en-US"/>
        </w:rPr>
        <w:t xml:space="preserve"> applicable state laws, or engaged in unethical or unprofessional conduct.</w:t>
      </w:r>
    </w:p>
    <w:p w:rsidR="003D36AF" w:rsidRPr="003D36AF" w:rsidP="003D36AF" w14:paraId="394CDEDE" w14:textId="77777777">
      <w:pPr>
        <w:ind w:left="270"/>
        <w:rPr>
          <w:rFonts w:ascii="Times New Roman" w:hAnsi="Times New Roman"/>
          <w:b/>
          <w:bCs/>
          <w:lang w:bidi="en-US"/>
        </w:rPr>
      </w:pPr>
    </w:p>
    <w:p w:rsidR="003D36AF" w:rsidRPr="00C7187B" w:rsidP="00C7187B" w14:paraId="550EB74D" w14:textId="77777777">
      <w:pPr>
        <w:tabs>
          <w:tab w:val="left" w:pos="288"/>
          <w:tab w:val="left" w:pos="1008"/>
          <w:tab w:val="left" w:pos="1728"/>
          <w:tab w:val="left" w:pos="2448"/>
          <w:tab w:val="left" w:pos="3168"/>
          <w:tab w:val="left" w:pos="3888"/>
        </w:tabs>
        <w:spacing w:after="120"/>
        <w:ind w:left="1008"/>
        <w:rPr>
          <w:rFonts w:ascii="Times New Roman" w:hAnsi="Times New Roman"/>
          <w:b/>
          <w:i/>
          <w:lang w:bidi="en-US"/>
        </w:rPr>
      </w:pPr>
      <w:r w:rsidRPr="00C7187B">
        <w:rPr>
          <w:rFonts w:ascii="Times New Roman" w:hAnsi="Times New Roman"/>
          <w:b/>
          <w:bCs/>
          <w:i/>
          <w:lang w:bidi="en-US"/>
        </w:rPr>
        <w:t xml:space="preserve">Estimated </w:t>
      </w:r>
      <w:r w:rsidRPr="00C7187B">
        <w:rPr>
          <w:rFonts w:ascii="Times New Roman" w:hAnsi="Times New Roman"/>
          <w:b/>
          <w:i/>
          <w:lang w:bidi="en-US"/>
        </w:rPr>
        <w:t>Number</w:t>
      </w:r>
      <w:r w:rsidRPr="00C7187B">
        <w:rPr>
          <w:rFonts w:ascii="Times New Roman" w:hAnsi="Times New Roman"/>
          <w:b/>
          <w:bCs/>
          <w:i/>
          <w:lang w:bidi="en-US"/>
        </w:rPr>
        <w:t xml:space="preserve"> of Respondents and Responses per Respondent</w:t>
      </w:r>
    </w:p>
    <w:p w:rsidR="003D36AF" w:rsidRPr="00C7187B" w:rsidP="00C7187B" w14:paraId="309AD7D8" w14:textId="77777777">
      <w:pPr>
        <w:tabs>
          <w:tab w:val="left" w:pos="288"/>
          <w:tab w:val="left" w:pos="1008"/>
          <w:tab w:val="left" w:pos="1728"/>
          <w:tab w:val="left" w:pos="2448"/>
          <w:tab w:val="left" w:pos="3168"/>
          <w:tab w:val="left" w:pos="3888"/>
        </w:tabs>
        <w:spacing w:after="120"/>
        <w:ind w:left="1008"/>
        <w:rPr>
          <w:rFonts w:ascii="Times New Roman" w:hAnsi="Times New Roman"/>
          <w:b/>
          <w:i/>
          <w:u w:val="single"/>
          <w:lang w:bidi="en-US"/>
        </w:rPr>
      </w:pPr>
      <w:r w:rsidRPr="00C7187B">
        <w:rPr>
          <w:rFonts w:ascii="Times New Roman" w:hAnsi="Times New Roman"/>
          <w:b/>
          <w:i/>
          <w:u w:val="single"/>
          <w:lang w:bidi="en-US"/>
        </w:rPr>
        <w:t>A. Existing IC</w:t>
      </w:r>
    </w:p>
    <w:p w:rsidR="003D36AF" w:rsidRPr="003D36AF" w:rsidP="00C7187B" w14:paraId="3F574F43" w14:textId="25BD1611">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Potential </w:t>
      </w:r>
      <w:r w:rsidRPr="003D36AF">
        <w:rPr>
          <w:rFonts w:ascii="Times New Roman" w:hAnsi="Times New Roman"/>
        </w:rPr>
        <w:t>respondents</w:t>
      </w:r>
      <w:r w:rsidRPr="003D36AF">
        <w:rPr>
          <w:rFonts w:ascii="Times New Roman" w:hAnsi="Times New Roman"/>
          <w:lang w:bidi="en-US"/>
        </w:rPr>
        <w:t xml:space="preserve"> to IC 1 include all FDIC-supervised institutions that engage in real estate-related financial transactions, as defined in 12 CFR </w:t>
      </w:r>
      <w:r w:rsidRPr="003D36AF">
        <w:rPr>
          <w:rFonts w:ascii="Times New Roman" w:hAnsi="Times New Roman"/>
          <w:u w:val="single"/>
          <w:lang w:bidi="en-US"/>
        </w:rPr>
        <w:t>§</w:t>
      </w:r>
      <w:r w:rsidRPr="003D36AF">
        <w:rPr>
          <w:rFonts w:ascii="Times New Roman" w:hAnsi="Times New Roman"/>
          <w:lang w:bidi="en-US"/>
        </w:rPr>
        <w:t xml:space="preserve"> 323.2(j).</w:t>
      </w:r>
      <w:r>
        <w:rPr>
          <w:rFonts w:ascii="Times New Roman" w:hAnsi="Times New Roman"/>
          <w:vertAlign w:val="superscript"/>
          <w:lang w:bidi="en-US"/>
        </w:rPr>
        <w:footnoteReference w:id="20"/>
      </w:r>
      <w:r w:rsidRPr="003D36AF">
        <w:rPr>
          <w:rFonts w:ascii="Times New Roman" w:hAnsi="Times New Roman"/>
          <w:lang w:bidi="en-US"/>
        </w:rPr>
        <w:t xml:space="preserve">  </w:t>
      </w:r>
      <w:r w:rsidR="003774C9">
        <w:rPr>
          <w:rFonts w:ascii="Times New Roman" w:hAnsi="Times New Roman"/>
          <w:lang w:bidi="en-US"/>
        </w:rPr>
        <w:t>There are 2,936</w:t>
      </w:r>
      <w:r w:rsidRPr="003D36AF">
        <w:rPr>
          <w:rFonts w:ascii="Times New Roman" w:hAnsi="Times New Roman"/>
          <w:lang w:bidi="en-US"/>
        </w:rPr>
        <w:t xml:space="preserve"> FDIC-supervised inst</w:t>
      </w:r>
      <w:r w:rsidR="003774C9">
        <w:rPr>
          <w:rFonts w:ascii="Times New Roman" w:hAnsi="Times New Roman"/>
          <w:lang w:bidi="en-US"/>
        </w:rPr>
        <w:t>itutions, of which 2,173 are considered “small” for</w:t>
      </w:r>
      <w:r w:rsidRPr="003D36AF">
        <w:rPr>
          <w:rFonts w:ascii="Times New Roman" w:hAnsi="Times New Roman"/>
          <w:lang w:bidi="en-US"/>
        </w:rPr>
        <w:t xml:space="preserve"> purposes of the Regulatory Flexibility Act (RFA).</w:t>
      </w:r>
      <w:r>
        <w:rPr>
          <w:rFonts w:ascii="Times New Roman" w:hAnsi="Times New Roman"/>
          <w:vertAlign w:val="superscript"/>
          <w:lang w:bidi="en-US"/>
        </w:rPr>
        <w:footnoteReference w:id="21"/>
      </w:r>
      <w:r w:rsidRPr="003D36AF">
        <w:rPr>
          <w:rFonts w:ascii="Times New Roman" w:hAnsi="Times New Roman"/>
          <w:lang w:bidi="en-US"/>
        </w:rPr>
        <w:t xml:space="preserve">  For the purposes of estimating the bu</w:t>
      </w:r>
      <w:r w:rsidR="00C7187B">
        <w:rPr>
          <w:rFonts w:ascii="Times New Roman" w:hAnsi="Times New Roman"/>
          <w:lang w:bidi="en-US"/>
        </w:rPr>
        <w:t>rden associated with this ICR, FDIC</w:t>
      </w:r>
      <w:r w:rsidRPr="003D36AF">
        <w:rPr>
          <w:rFonts w:ascii="Times New Roman" w:hAnsi="Times New Roman"/>
          <w:lang w:bidi="en-US"/>
        </w:rPr>
        <w:t xml:space="preserve"> assume</w:t>
      </w:r>
      <w:r w:rsidR="00C7187B">
        <w:rPr>
          <w:rFonts w:ascii="Times New Roman" w:hAnsi="Times New Roman"/>
          <w:lang w:bidi="en-US"/>
        </w:rPr>
        <w:t>s</w:t>
      </w:r>
      <w:r w:rsidRPr="003D36AF">
        <w:rPr>
          <w:rFonts w:ascii="Times New Roman" w:hAnsi="Times New Roman"/>
          <w:lang w:bidi="en-US"/>
        </w:rPr>
        <w:t xml:space="preserve"> all FDIC-supervised institutions engage in real estate-related financial transactions.  I</w:t>
      </w:r>
      <w:r w:rsidR="00C7187B">
        <w:rPr>
          <w:rFonts w:ascii="Times New Roman" w:hAnsi="Times New Roman"/>
          <w:lang w:bidi="en-US"/>
        </w:rPr>
        <w:t>t</w:t>
      </w:r>
      <w:r w:rsidRPr="003D36AF">
        <w:rPr>
          <w:rFonts w:ascii="Times New Roman" w:hAnsi="Times New Roman"/>
          <w:lang w:bidi="en-US"/>
        </w:rPr>
        <w:t xml:space="preserve"> therefore </w:t>
      </w:r>
      <w:r w:rsidR="00C7187B">
        <w:rPr>
          <w:rFonts w:ascii="Times New Roman" w:hAnsi="Times New Roman"/>
          <w:bCs/>
          <w:lang w:bidi="en-US"/>
        </w:rPr>
        <w:t>estimates</w:t>
      </w:r>
      <w:r w:rsidR="003774C9">
        <w:rPr>
          <w:rFonts w:ascii="Times New Roman" w:hAnsi="Times New Roman"/>
          <w:bCs/>
          <w:lang w:bidi="en-US"/>
        </w:rPr>
        <w:t xml:space="preserve"> 2,936</w:t>
      </w:r>
      <w:r w:rsidRPr="00C7187B">
        <w:rPr>
          <w:rFonts w:ascii="Times New Roman" w:hAnsi="Times New Roman"/>
          <w:bCs/>
          <w:lang w:bidi="en-US"/>
        </w:rPr>
        <w:t xml:space="preserve"> respondents to this IC</w:t>
      </w:r>
      <w:r w:rsidRPr="00C7187B">
        <w:rPr>
          <w:rFonts w:ascii="Times New Roman" w:hAnsi="Times New Roman"/>
          <w:lang w:bidi="en-US"/>
        </w:rPr>
        <w:t>.</w:t>
      </w:r>
    </w:p>
    <w:p w:rsidR="003D36AF" w:rsidRPr="003D36AF" w:rsidP="00C7187B" w14:paraId="1388965C" w14:textId="7706E833">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To estimate the number of annual responses per respondent, </w:t>
      </w:r>
      <w:r w:rsidR="00C7187B">
        <w:rPr>
          <w:rFonts w:ascii="Times New Roman" w:hAnsi="Times New Roman"/>
          <w:lang w:bidi="en-US"/>
        </w:rPr>
        <w:t>FDIC</w:t>
      </w:r>
      <w:r w:rsidRPr="003D36AF">
        <w:rPr>
          <w:rFonts w:ascii="Times New Roman" w:hAnsi="Times New Roman"/>
          <w:lang w:bidi="en-US"/>
        </w:rPr>
        <w:t xml:space="preserve"> us</w:t>
      </w:r>
      <w:r w:rsidR="00C7187B">
        <w:rPr>
          <w:rFonts w:ascii="Times New Roman" w:hAnsi="Times New Roman"/>
          <w:lang w:bidi="en-US"/>
        </w:rPr>
        <w:t>es</w:t>
      </w:r>
      <w:r w:rsidRPr="003D36AF">
        <w:rPr>
          <w:rFonts w:ascii="Times New Roman" w:hAnsi="Times New Roman"/>
          <w:lang w:bidi="en-US"/>
        </w:rPr>
        <w:t xml:space="preserve"> the dollar volume, and where available, </w:t>
      </w:r>
      <w:r w:rsidRPr="003D36AF">
        <w:rPr>
          <w:rFonts w:ascii="Times New Roman" w:hAnsi="Times New Roman"/>
        </w:rPr>
        <w:t>loan</w:t>
      </w:r>
      <w:r w:rsidRPr="003D36AF">
        <w:rPr>
          <w:rFonts w:ascii="Times New Roman" w:hAnsi="Times New Roman"/>
          <w:lang w:bidi="en-US"/>
        </w:rPr>
        <w:t xml:space="preserve"> counts of real estate loans held by FDIC-supervised institutions to estimate the annual number of mortgages origin</w:t>
      </w:r>
      <w:r w:rsidR="00C7187B">
        <w:rPr>
          <w:rFonts w:ascii="Times New Roman" w:hAnsi="Times New Roman"/>
          <w:lang w:bidi="en-US"/>
        </w:rPr>
        <w:t>ated by each institution using the</w:t>
      </w:r>
      <w:r w:rsidRPr="003D36AF">
        <w:rPr>
          <w:rFonts w:ascii="Times New Roman" w:hAnsi="Times New Roman"/>
          <w:lang w:bidi="en-US"/>
        </w:rPr>
        <w:t xml:space="preserve"> methodology </w:t>
      </w:r>
      <w:r w:rsidR="00C7187B">
        <w:rPr>
          <w:rFonts w:ascii="Times New Roman" w:hAnsi="Times New Roman"/>
          <w:lang w:bidi="en-US"/>
        </w:rPr>
        <w:t>described below.</w:t>
      </w:r>
      <w:r w:rsidRPr="003D36AF">
        <w:rPr>
          <w:rFonts w:ascii="Times New Roman" w:hAnsi="Times New Roman"/>
          <w:lang w:bidi="en-US"/>
        </w:rPr>
        <w:t xml:space="preserve">  </w:t>
      </w:r>
    </w:p>
    <w:p w:rsidR="003D36AF" w:rsidRPr="00C7187B" w:rsidP="00C7187B" w14:paraId="79FCF2CD" w14:textId="28E3BC91">
      <w:pPr>
        <w:tabs>
          <w:tab w:val="left" w:pos="288"/>
          <w:tab w:val="left" w:pos="1008"/>
          <w:tab w:val="left" w:pos="1728"/>
          <w:tab w:val="left" w:pos="2448"/>
          <w:tab w:val="left" w:pos="3168"/>
          <w:tab w:val="left" w:pos="3888"/>
        </w:tabs>
        <w:spacing w:after="240"/>
        <w:ind w:left="1008"/>
        <w:rPr>
          <w:rFonts w:ascii="Times New Roman" w:hAnsi="Times New Roman"/>
          <w:i/>
          <w:lang w:bidi="en-US"/>
        </w:rPr>
      </w:pPr>
      <w:r w:rsidRPr="00C7187B">
        <w:rPr>
          <w:rFonts w:ascii="Times New Roman" w:hAnsi="Times New Roman"/>
          <w:i/>
          <w:lang w:bidi="en-US"/>
        </w:rPr>
        <w:t>Estimation Methodology</w:t>
      </w:r>
    </w:p>
    <w:p w:rsidR="003D36AF" w:rsidRPr="003D36AF" w:rsidP="00C7187B" w14:paraId="77FBA931" w14:textId="17DABEF6">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This subsection details the methodology used to estimate the annual responses per respondent.  For each institution, information is gathered from the Call Report on the reported dollar value of 1-4 family residential construction loans, other construction and development loans, loans secured by farmland, open-end loans secured by 1-4 family residential properties, closed-end loans secured by 1-4 family residential properties, loans secured by multifamily (5 or more) residential properties, loans secured by owner-occupied nonfarm nonresidential properties, and loans secured by other nonfarm</w:t>
      </w:r>
      <w:r w:rsidR="003774C9">
        <w:rPr>
          <w:rFonts w:ascii="Times New Roman" w:hAnsi="Times New Roman"/>
          <w:lang w:bidi="en-US"/>
        </w:rPr>
        <w:t xml:space="preserve"> nonresidential properties.  FDIC</w:t>
      </w:r>
      <w:r w:rsidRPr="003D36AF">
        <w:rPr>
          <w:rFonts w:ascii="Times New Roman" w:hAnsi="Times New Roman"/>
          <w:lang w:bidi="en-US"/>
        </w:rPr>
        <w:t xml:space="preserve"> obtained this data from Call Report Schedule RC-C as of December 31 of each year.</w:t>
      </w:r>
    </w:p>
    <w:p w:rsidR="003D36AF" w:rsidRPr="003D36AF" w:rsidP="00C7187B" w14:paraId="0C96AD6C" w14:textId="266F484C">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In order to convert the reported dollar volume of real estate related loans held by FDIC-supervised institutions into loan counts (a more appropriate denomination for estimating appraisal and evaluation activity), </w:t>
      </w:r>
      <w:r w:rsidR="00C7187B">
        <w:rPr>
          <w:rFonts w:ascii="Times New Roman" w:hAnsi="Times New Roman"/>
          <w:lang w:bidi="en-US"/>
        </w:rPr>
        <w:t>FDIC</w:t>
      </w:r>
      <w:r w:rsidRPr="003D36AF">
        <w:rPr>
          <w:rFonts w:ascii="Times New Roman" w:hAnsi="Times New Roman"/>
          <w:lang w:bidi="en-US"/>
        </w:rPr>
        <w:t xml:space="preserve"> applies estimated or derived information on average loan size for each category of loan secured by real estate.  </w:t>
      </w:r>
      <w:r w:rsidR="00C7187B">
        <w:rPr>
          <w:rFonts w:ascii="Times New Roman" w:hAnsi="Times New Roman"/>
          <w:lang w:bidi="en-US"/>
        </w:rPr>
        <w:t>It</w:t>
      </w:r>
      <w:r w:rsidRPr="003D36AF">
        <w:rPr>
          <w:rFonts w:ascii="Times New Roman" w:hAnsi="Times New Roman"/>
          <w:lang w:bidi="en-US"/>
        </w:rPr>
        <w:t xml:space="preserve"> divides the reported dollar value of 1-4 family residential construction loans, and closed-end loans secured by 1-4 family residential properties, by the U.S. Census’s Bureau estimate of the average sales price of new homes in order to estimate the number of loans for these loan categories.</w:t>
      </w:r>
      <w:r>
        <w:rPr>
          <w:rFonts w:ascii="Times New Roman" w:hAnsi="Times New Roman"/>
          <w:vertAlign w:val="superscript"/>
          <w:lang w:bidi="en-US"/>
        </w:rPr>
        <w:footnoteReference w:id="22"/>
      </w:r>
      <w:r w:rsidRPr="003D36AF">
        <w:rPr>
          <w:rFonts w:ascii="Times New Roman" w:hAnsi="Times New Roman"/>
          <w:lang w:bidi="en-US"/>
        </w:rPr>
        <w:t xml:space="preserve">  </w:t>
      </w:r>
      <w:r w:rsidR="00C7187B">
        <w:rPr>
          <w:rFonts w:ascii="Times New Roman" w:hAnsi="Times New Roman"/>
          <w:lang w:bidi="en-US"/>
        </w:rPr>
        <w:t>FDIC</w:t>
      </w:r>
      <w:r w:rsidRPr="003D36AF">
        <w:rPr>
          <w:rFonts w:ascii="Times New Roman" w:hAnsi="Times New Roman"/>
          <w:lang w:bidi="en-US"/>
        </w:rPr>
        <w:t xml:space="preserve"> assumes that the average loan size of open-end loans secured by 1-4 family residential properties is 20 percent of the U.S. Census Bureau’s estimate of the average sales price of new homes.  </w:t>
      </w:r>
      <w:r w:rsidR="00904A85">
        <w:rPr>
          <w:rFonts w:ascii="Times New Roman" w:hAnsi="Times New Roman"/>
          <w:lang w:bidi="en-US"/>
        </w:rPr>
        <w:t xml:space="preserve">FDIC </w:t>
      </w:r>
      <w:r w:rsidRPr="003D36AF" w:rsidR="00904A85">
        <w:rPr>
          <w:rFonts w:ascii="Times New Roman" w:hAnsi="Times New Roman"/>
          <w:lang w:bidi="en-US"/>
        </w:rPr>
        <w:t>uses</w:t>
      </w:r>
      <w:r w:rsidRPr="003D36AF">
        <w:rPr>
          <w:rFonts w:ascii="Times New Roman" w:hAnsi="Times New Roman"/>
          <w:lang w:bidi="en-US"/>
        </w:rPr>
        <w:t xml:space="preserve"> this assumption for the average loan size of open-end loans secured by 1-4 family residential properties based on supervisory experience because the FDIC does not currently have access to information that would enable a more empirical estimate.  </w:t>
      </w:r>
      <w:r w:rsidR="00C7187B">
        <w:rPr>
          <w:rFonts w:ascii="Times New Roman" w:hAnsi="Times New Roman"/>
          <w:lang w:bidi="en-US"/>
        </w:rPr>
        <w:t>FDIC</w:t>
      </w:r>
      <w:r w:rsidRPr="003D36AF">
        <w:rPr>
          <w:rFonts w:ascii="Times New Roman" w:hAnsi="Times New Roman"/>
          <w:lang w:bidi="en-US"/>
        </w:rPr>
        <w:t xml:space="preserve"> divides the reported dollar value of other construction and land development loans, and loans secured by multifamily (5 or more) residential properties, by the assumed average loan size of $1 million in order to estimate the number of loans for these loan categories.  </w:t>
      </w:r>
      <w:r w:rsidR="00C7187B">
        <w:rPr>
          <w:rFonts w:ascii="Times New Roman" w:hAnsi="Times New Roman"/>
          <w:lang w:bidi="en-US"/>
        </w:rPr>
        <w:t>FDIC</w:t>
      </w:r>
      <w:r w:rsidRPr="003D36AF">
        <w:rPr>
          <w:rFonts w:ascii="Times New Roman" w:hAnsi="Times New Roman"/>
          <w:lang w:bidi="en-US"/>
        </w:rPr>
        <w:t xml:space="preserve"> uses an assumption of $1 million for the average loan size based on supervisory experience because the FDIC does not currently have access to information that would enable a more empirical estimate.  Finally, </w:t>
      </w:r>
      <w:r w:rsidR="00C7187B">
        <w:rPr>
          <w:rFonts w:ascii="Times New Roman" w:hAnsi="Times New Roman"/>
          <w:lang w:bidi="en-US"/>
        </w:rPr>
        <w:t>FDIC</w:t>
      </w:r>
      <w:r w:rsidRPr="003D36AF">
        <w:rPr>
          <w:rFonts w:ascii="Times New Roman" w:hAnsi="Times New Roman"/>
          <w:lang w:bidi="en-US"/>
        </w:rPr>
        <w:t xml:space="preserve"> uses a statistical method to estimate the average loan size for loans secured by farmland and loans secured by owner-occupied and non-owner-occupied nonfarm nonresidential properties.  Call Report Schedule RC-C Part II contains information on the dollar volume and number of loans of these loan types for loans above and below specific dollar-value thresholds ($100,000 and less, $100,000 to $250,000, and $250,000 to $1 million for loans secured by nonfarm nonresidential properties, and $100,000 and less, $100,000 to $250,000, and $250,000 to $500,000 for loans secured by farmland).  </w:t>
      </w:r>
      <w:r w:rsidR="00C7187B">
        <w:rPr>
          <w:rFonts w:ascii="Times New Roman" w:hAnsi="Times New Roman"/>
          <w:lang w:bidi="en-US"/>
        </w:rPr>
        <w:t>FDIC</w:t>
      </w:r>
      <w:r w:rsidRPr="003D36AF">
        <w:rPr>
          <w:rFonts w:ascii="Times New Roman" w:hAnsi="Times New Roman"/>
          <w:lang w:bidi="en-US"/>
        </w:rPr>
        <w:t xml:space="preserve"> assumes that the dollar value of loans secured by farmland and nonfarm nonresidential properties held by FDIC-supervised institutions is normally distributed, and thereby estimates the average loan size for each of these loan types as of December 31 of each year by dividing the reported dollar volume of these loans by the reported number of loans corresponding to the same loan type.  For example, as of December 31, 2022 this methodology produces an estimate of $639,861 as the average loan size of loans secured by farmland, and $1,073,170 as the average loan size of loans secured by nonfarm nonresidential properties.</w:t>
      </w:r>
      <w:r>
        <w:rPr>
          <w:rFonts w:ascii="Times New Roman" w:hAnsi="Times New Roman"/>
          <w:vertAlign w:val="superscript"/>
          <w:lang w:bidi="en-US"/>
        </w:rPr>
        <w:footnoteReference w:id="23"/>
      </w:r>
      <w:r w:rsidRPr="003D36AF">
        <w:rPr>
          <w:rFonts w:ascii="Times New Roman" w:hAnsi="Times New Roman"/>
          <w:lang w:bidi="en-US"/>
        </w:rPr>
        <w:t xml:space="preserve">  </w:t>
      </w:r>
    </w:p>
    <w:p w:rsidR="003D36AF" w:rsidRPr="003D36AF" w:rsidP="00C96256" w14:paraId="0B87BC03" w14:textId="56CD3A14">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w:t>
      </w:r>
      <w:r w:rsidRPr="003D36AF">
        <w:rPr>
          <w:rFonts w:ascii="Times New Roman" w:hAnsi="Times New Roman"/>
          <w:lang w:bidi="en-US"/>
        </w:rPr>
        <w:t xml:space="preserve"> estimates the number of new loans for each FDIC-supervised institution by assuming that any positive change in the preceding 12-month period in the reported dollar value of a real estate related loan type represents new lending activity.  The change in the 12-month dollar value of loans held of each real estate loan type for each FDIC-supervised institution, if positive, is divided by the estimated average loan size for that loan type in order to produce an estimate of the number of new loans issued by each FDIC-supervised institution.  However, if the 12-month change in the reported dollar value of a loan type is zero or negative, </w:t>
      </w:r>
      <w:r>
        <w:rPr>
          <w:rFonts w:ascii="Times New Roman" w:hAnsi="Times New Roman"/>
          <w:lang w:bidi="en-US"/>
        </w:rPr>
        <w:t>FDIC</w:t>
      </w:r>
      <w:r w:rsidRPr="003D36AF">
        <w:rPr>
          <w:rFonts w:ascii="Times New Roman" w:hAnsi="Times New Roman"/>
          <w:lang w:bidi="en-US"/>
        </w:rPr>
        <w:t xml:space="preserve"> assumes that the number of new loans is zero.</w:t>
      </w:r>
    </w:p>
    <w:p w:rsidR="003D36AF" w:rsidRPr="003D36AF" w:rsidP="00C96256" w14:paraId="71448645" w14:textId="2F4074CA">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w:t>
      </w:r>
      <w:r w:rsidRPr="003D36AF">
        <w:rPr>
          <w:rFonts w:ascii="Times New Roman" w:hAnsi="Times New Roman"/>
          <w:lang w:bidi="en-US"/>
        </w:rPr>
        <w:t xml:space="preserve"> estimates refinancing activity by assuming that a fixed percentage of the estimated count of existing real estate loans of each loan type is representative of those loans in the portfolio that were refinanced in the preceding 12-month period.  For each institution, and each real estate-related loan type, </w:t>
      </w:r>
      <w:r>
        <w:rPr>
          <w:rFonts w:ascii="Times New Roman" w:hAnsi="Times New Roman"/>
          <w:lang w:bidi="en-US"/>
        </w:rPr>
        <w:t>FDIC</w:t>
      </w:r>
      <w:r w:rsidRPr="003D36AF">
        <w:rPr>
          <w:rFonts w:ascii="Times New Roman" w:hAnsi="Times New Roman"/>
          <w:lang w:bidi="en-US"/>
        </w:rPr>
        <w:t xml:space="preserve"> subtracts the estimated value of new loans from the reported dollar volume of loans as of each 12-month period end-date, divides that figure by the applicable estimate of average loan size, and multiplies that figure by 15 percent to derive an estimate of the number of existing loans that were refinanced in the preceding 12-month period.  The 15 percent estimate is based on supervisory experience since the FDIC does not currently have access to information that would enable a more empirical estimate.</w:t>
      </w:r>
    </w:p>
    <w:p w:rsidR="003D36AF" w:rsidRPr="003D36AF" w:rsidP="00C96256" w14:paraId="6CDFF455" w14:textId="0F8646BD">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w:t>
      </w:r>
      <w:r w:rsidRPr="003D36AF">
        <w:rPr>
          <w:rFonts w:ascii="Times New Roman" w:hAnsi="Times New Roman"/>
          <w:lang w:bidi="en-US"/>
        </w:rPr>
        <w:t xml:space="preserve"> also estimates the number of appraisals and evaluations commissioned by FDIC-supervised institutions over the previous 12-month period in order to monitor their real estate loan portfolios for credit risk. </w:t>
      </w:r>
      <w:r>
        <w:rPr>
          <w:rFonts w:ascii="Times New Roman" w:hAnsi="Times New Roman"/>
          <w:lang w:bidi="en-US"/>
        </w:rPr>
        <w:t>FDIC</w:t>
      </w:r>
      <w:r w:rsidRPr="003D36AF">
        <w:rPr>
          <w:rFonts w:ascii="Times New Roman" w:hAnsi="Times New Roman"/>
          <w:lang w:bidi="en-US"/>
        </w:rPr>
        <w:t xml:space="preserve"> assumes that three percent of the estimated loan count for existing loans secured by farmland, five percent of the estimated loan count for existing 1-4 family residential construction loans, eight percent of the estimated number of existing closed-end loans secured by 1-4 family residential properties, loans secured by multifamily (5 or more) residential properties, and loans secured by owner-occupied nonfarm nonresidential properties, and ten percent of the estimated number of existing other construction and development loans, open-end loans secured by 1-4 family residential properties, and loans secured by non-owner-occupied nonfarm nonresidential properties is representative of the number of loans for which the institution commissioned an appraisal or evaluation in the preceding 12-month period. These estimates are based on supervisory experience since the FDIC does not currently have access to information that would enable a more empirical estimate.</w:t>
      </w:r>
    </w:p>
    <w:p w:rsidR="003D36AF" w:rsidRPr="003D36AF" w:rsidP="00C96256" w14:paraId="66AD570A" w14:textId="34A7D946">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To calculate the total estimated volume of appraisals and evaluations associated with a real estate loan for which an FDIC-supervised institution would be required to comply with the applicable recordkeeping requirements of Part 323, </w:t>
      </w:r>
      <w:r w:rsidR="00C96256">
        <w:rPr>
          <w:rFonts w:ascii="Times New Roman" w:hAnsi="Times New Roman"/>
          <w:lang w:bidi="en-US"/>
        </w:rPr>
        <w:t>FDIC</w:t>
      </w:r>
      <w:r w:rsidRPr="003D36AF">
        <w:rPr>
          <w:rFonts w:ascii="Times New Roman" w:hAnsi="Times New Roman"/>
          <w:lang w:bidi="en-US"/>
        </w:rPr>
        <w:t xml:space="preserve"> sums the estimated count of new loans, existing loans that were refinanced, and loans for which the bank commissioned an appraisal or an evaluation over the preceding 12-month period and assumes that all of these loans would require an appraisal or evaluation.  Using this methodology, </w:t>
      </w:r>
      <w:r w:rsidR="00C96256">
        <w:rPr>
          <w:rFonts w:ascii="Times New Roman" w:hAnsi="Times New Roman"/>
          <w:lang w:bidi="en-US"/>
        </w:rPr>
        <w:t>FDIC</w:t>
      </w:r>
      <w:r w:rsidRPr="00974B40">
        <w:rPr>
          <w:rFonts w:ascii="Times New Roman" w:hAnsi="Times New Roman"/>
          <w:lang w:bidi="en-US"/>
        </w:rPr>
        <w:t xml:space="preserve"> estimate</w:t>
      </w:r>
      <w:r w:rsidR="00C96256">
        <w:rPr>
          <w:rFonts w:ascii="Times New Roman" w:hAnsi="Times New Roman"/>
          <w:lang w:bidi="en-US"/>
        </w:rPr>
        <w:t>s</w:t>
      </w:r>
      <w:r w:rsidR="003774C9">
        <w:rPr>
          <w:rFonts w:ascii="Times New Roman" w:hAnsi="Times New Roman"/>
          <w:lang w:bidi="en-US"/>
        </w:rPr>
        <w:t xml:space="preserve"> 259</w:t>
      </w:r>
      <w:r w:rsidRPr="00974B40">
        <w:rPr>
          <w:rFonts w:ascii="Times New Roman" w:hAnsi="Times New Roman"/>
          <w:lang w:bidi="en-US"/>
        </w:rPr>
        <w:t xml:space="preserve"> annual responses per respondent for IC</w:t>
      </w:r>
      <w:r w:rsidRPr="003D36AF">
        <w:rPr>
          <w:rFonts w:ascii="Times New Roman" w:hAnsi="Times New Roman"/>
          <w:lang w:bidi="en-US"/>
        </w:rPr>
        <w:t xml:space="preserve"> </w:t>
      </w:r>
      <w:r w:rsidRPr="00974B40">
        <w:rPr>
          <w:rFonts w:ascii="Times New Roman" w:hAnsi="Times New Roman"/>
          <w:lang w:bidi="en-US"/>
        </w:rPr>
        <w:t xml:space="preserve">1, </w:t>
      </w:r>
      <w:r w:rsidRPr="003D36AF">
        <w:rPr>
          <w:rFonts w:ascii="Times New Roman" w:hAnsi="Times New Roman"/>
          <w:lang w:bidi="en-US"/>
        </w:rPr>
        <w:t>a frequency I characterize</w:t>
      </w:r>
      <w:r w:rsidR="00C96256">
        <w:rPr>
          <w:rFonts w:ascii="Times New Roman" w:hAnsi="Times New Roman"/>
          <w:lang w:bidi="en-US"/>
        </w:rPr>
        <w:t>d</w:t>
      </w:r>
      <w:r w:rsidRPr="003D36AF">
        <w:rPr>
          <w:rFonts w:ascii="Times New Roman" w:hAnsi="Times New Roman"/>
          <w:lang w:bidi="en-US"/>
        </w:rPr>
        <w:t xml:space="preserve"> as “on occasion” in Table 1</w:t>
      </w:r>
      <w:r w:rsidR="00C96256">
        <w:rPr>
          <w:rFonts w:ascii="Times New Roman" w:hAnsi="Times New Roman"/>
          <w:lang w:bidi="en-US"/>
        </w:rPr>
        <w:t xml:space="preserve"> below</w:t>
      </w:r>
      <w:r w:rsidRPr="003D36AF">
        <w:rPr>
          <w:rFonts w:ascii="Times New Roman" w:hAnsi="Times New Roman"/>
          <w:lang w:bidi="en-US"/>
        </w:rPr>
        <w:t>.  This figure is obtained by dividing the estimated five-year average annual number of appraisals and evaluations (2018-2022 average) (760,384) by the reported number of FDIC-supervised institutions (3,038) in the December 31, 2022 Call Report.</w:t>
      </w:r>
      <w:r>
        <w:rPr>
          <w:rFonts w:ascii="Times New Roman" w:hAnsi="Times New Roman"/>
          <w:vertAlign w:val="superscript"/>
          <w:lang w:bidi="en-US"/>
        </w:rPr>
        <w:footnoteReference w:id="24"/>
      </w:r>
      <w:r w:rsidRPr="00C96256">
        <w:rPr>
          <w:rFonts w:ascii="Times New Roman" w:hAnsi="Times New Roman"/>
          <w:vertAlign w:val="superscript"/>
          <w:lang w:bidi="en-US"/>
        </w:rPr>
        <w:t xml:space="preserve"> </w:t>
      </w:r>
      <w:r w:rsidR="003774C9">
        <w:rPr>
          <w:rFonts w:ascii="Times New Roman" w:hAnsi="Times New Roman"/>
          <w:lang w:bidi="en-US"/>
        </w:rPr>
        <w:t xml:space="preserve"> </w:t>
      </w:r>
    </w:p>
    <w:p w:rsidR="003D36AF" w:rsidRPr="00145861" w:rsidP="00145861" w14:paraId="22F105B5" w14:textId="068BF0C8">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Pr>
          <w:rFonts w:ascii="Times New Roman" w:hAnsi="Times New Roman"/>
          <w:b/>
          <w:i/>
          <w:u w:val="single"/>
          <w:lang w:bidi="en-US"/>
        </w:rPr>
        <w:t>B. ICs Associated with the Final Rule</w:t>
      </w:r>
      <w:r w:rsidRPr="00145861">
        <w:rPr>
          <w:rFonts w:ascii="Times New Roman" w:hAnsi="Times New Roman"/>
          <w:b/>
          <w:i/>
          <w:u w:val="single"/>
          <w:lang w:bidi="en-US"/>
        </w:rPr>
        <w:t xml:space="preserve"> </w:t>
      </w:r>
    </w:p>
    <w:p w:rsidR="003D36AF" w:rsidRPr="003D36AF" w:rsidP="00145861" w14:paraId="1374B9E3" w14:textId="06B4852B">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As mentioned previ</w:t>
      </w:r>
      <w:r w:rsidR="003774C9">
        <w:rPr>
          <w:rFonts w:ascii="Times New Roman" w:hAnsi="Times New Roman"/>
          <w:lang w:bidi="en-US"/>
        </w:rPr>
        <w:t>ously, the FDIC supervised 2,936</w:t>
      </w:r>
      <w:r w:rsidRPr="003D36AF">
        <w:rPr>
          <w:rFonts w:ascii="Times New Roman" w:hAnsi="Times New Roman"/>
          <w:lang w:bidi="en-US"/>
        </w:rPr>
        <w:t xml:space="preserve"> institutions (FDIC-supervised institutions) as of December 31, 2022.</w:t>
      </w:r>
      <w:r w:rsidR="0086547B">
        <w:rPr>
          <w:rFonts w:ascii="Times New Roman" w:hAnsi="Times New Roman"/>
          <w:lang w:bidi="en-US"/>
        </w:rPr>
        <w:t xml:space="preserve"> </w:t>
      </w:r>
      <w:r w:rsidRPr="003D36AF">
        <w:rPr>
          <w:rFonts w:ascii="Times New Roman" w:hAnsi="Times New Roman"/>
          <w:lang w:bidi="en-US"/>
        </w:rPr>
        <w:t xml:space="preserve"> Of these, 2,976 reported positive balances of loans secured by 1-4 family residential real estate, suggesting they are active in residential real estate lending -- the focus of the NPR.  Therefore, the estimated number of FDIC-supervised institution</w:t>
      </w:r>
      <w:r w:rsidR="0086547B">
        <w:rPr>
          <w:rFonts w:ascii="Times New Roman" w:hAnsi="Times New Roman"/>
          <w:lang w:bidi="en-US"/>
        </w:rPr>
        <w:t>s potentially subject to the final rule</w:t>
      </w:r>
      <w:r w:rsidRPr="003D36AF">
        <w:rPr>
          <w:rFonts w:ascii="Times New Roman" w:hAnsi="Times New Roman"/>
          <w:lang w:bidi="en-US"/>
        </w:rPr>
        <w:t xml:space="preserve"> is 2,976</w:t>
      </w:r>
      <w:r w:rsidRPr="003D36AF" w:rsidR="00904A85">
        <w:rPr>
          <w:rFonts w:ascii="Times New Roman" w:hAnsi="Times New Roman"/>
          <w:lang w:bidi="en-US"/>
        </w:rPr>
        <w:t xml:space="preserve">.  </w:t>
      </w:r>
      <w:r w:rsidRPr="003D36AF">
        <w:rPr>
          <w:rFonts w:ascii="Times New Roman" w:hAnsi="Times New Roman"/>
          <w:lang w:bidi="en-US"/>
        </w:rPr>
        <w:t>Of these, 2,284 IDIs are considered small entities for purposes of the Regulatory Flexibility Act.</w:t>
      </w:r>
      <w:r>
        <w:rPr>
          <w:rFonts w:ascii="Times New Roman" w:hAnsi="Times New Roman"/>
          <w:vertAlign w:val="superscript"/>
          <w:lang w:bidi="en-US"/>
        </w:rPr>
        <w:footnoteReference w:id="25"/>
      </w:r>
      <w:r w:rsidRPr="003D36AF">
        <w:rPr>
          <w:rFonts w:ascii="Times New Roman" w:hAnsi="Times New Roman"/>
          <w:lang w:bidi="en-US"/>
        </w:rPr>
        <w:t xml:space="preserve">  However, for PRA burden estimate purposes, only a subset of the 2,976 institutions is likely to use AVMs and thus would be required to respond to PRA requirements.</w:t>
      </w:r>
    </w:p>
    <w:p w:rsidR="003D36AF" w:rsidRPr="00974B40" w:rsidP="00145861" w14:paraId="000BF7BC" w14:textId="783932B2">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w:t>
      </w:r>
      <w:r w:rsidRPr="003D36AF">
        <w:rPr>
          <w:rFonts w:ascii="Times New Roman" w:hAnsi="Times New Roman"/>
          <w:lang w:bidi="en-US"/>
        </w:rPr>
        <w:t xml:space="preserve"> </w:t>
      </w:r>
      <w:r>
        <w:rPr>
          <w:rFonts w:ascii="Times New Roman" w:hAnsi="Times New Roman"/>
          <w:lang w:bidi="en-US"/>
        </w:rPr>
        <w:t>assumes</w:t>
      </w:r>
      <w:r w:rsidRPr="003D36AF">
        <w:rPr>
          <w:rFonts w:ascii="Times New Roman" w:hAnsi="Times New Roman"/>
          <w:lang w:bidi="en-US"/>
        </w:rPr>
        <w:t xml:space="preserve"> that a small share of FDIC-supervised institutions use AVMs.  However, the FDIC lacks data on the number of institutions that use AVMs for the purposes covered by the NPR.  </w:t>
      </w:r>
      <w:r>
        <w:rPr>
          <w:rFonts w:ascii="Times New Roman" w:hAnsi="Times New Roman"/>
          <w:lang w:bidi="en-US"/>
        </w:rPr>
        <w:t>As a proxy, FDIC</w:t>
      </w:r>
      <w:r w:rsidRPr="003D36AF">
        <w:rPr>
          <w:rFonts w:ascii="Times New Roman" w:hAnsi="Times New Roman"/>
          <w:lang w:bidi="en-US"/>
        </w:rPr>
        <w:t xml:space="preserve"> use</w:t>
      </w:r>
      <w:r>
        <w:rPr>
          <w:rFonts w:ascii="Times New Roman" w:hAnsi="Times New Roman"/>
          <w:lang w:bidi="en-US"/>
        </w:rPr>
        <w:t>s</w:t>
      </w:r>
      <w:r w:rsidRPr="003D36AF">
        <w:rPr>
          <w:rFonts w:ascii="Times New Roman" w:hAnsi="Times New Roman"/>
          <w:lang w:bidi="en-US"/>
        </w:rPr>
        <w:t xml:space="preserve"> an internal Federal Reserve analysis based on Y-14M data for large banks that estimates that approximately 35 percent of the institutions active in residential real estate lending used an AVM in those transactions in 2021 and 2022.</w:t>
      </w:r>
      <w:r>
        <w:rPr>
          <w:rFonts w:ascii="Times New Roman" w:hAnsi="Times New Roman"/>
          <w:vertAlign w:val="superscript"/>
          <w:lang w:bidi="en-US"/>
        </w:rPr>
        <w:footnoteReference w:id="26"/>
      </w:r>
      <w:r w:rsidRPr="003D36AF">
        <w:rPr>
          <w:rFonts w:ascii="Times New Roman" w:hAnsi="Times New Roman"/>
          <w:lang w:bidi="en-US"/>
        </w:rPr>
        <w:t xml:space="preserve"> </w:t>
      </w:r>
      <w:r>
        <w:rPr>
          <w:rFonts w:ascii="Times New Roman" w:hAnsi="Times New Roman"/>
          <w:lang w:bidi="en-US"/>
        </w:rPr>
        <w:t>FDIC</w:t>
      </w:r>
      <w:r w:rsidR="0086547B">
        <w:rPr>
          <w:rFonts w:ascii="Times New Roman" w:hAnsi="Times New Roman"/>
          <w:lang w:bidi="en-US"/>
        </w:rPr>
        <w:t xml:space="preserve"> </w:t>
      </w:r>
      <w:r w:rsidRPr="003D36AF">
        <w:rPr>
          <w:rFonts w:ascii="Times New Roman" w:hAnsi="Times New Roman"/>
          <w:lang w:bidi="en-US"/>
        </w:rPr>
        <w:t>believe</w:t>
      </w:r>
      <w:r>
        <w:rPr>
          <w:rFonts w:ascii="Times New Roman" w:hAnsi="Times New Roman"/>
          <w:lang w:bidi="en-US"/>
        </w:rPr>
        <w:t>s</w:t>
      </w:r>
      <w:r w:rsidRPr="003D36AF">
        <w:rPr>
          <w:rFonts w:ascii="Times New Roman" w:hAnsi="Times New Roman"/>
          <w:lang w:bidi="en-US"/>
        </w:rPr>
        <w:t xml:space="preserve"> the assumption that 35 percent of FDIC-supervised institutions use AVMs is conservative, because FDIC-supervised institutions are generally smaller than those represented in the Y-14M data, and </w:t>
      </w:r>
      <w:r>
        <w:rPr>
          <w:rFonts w:ascii="Times New Roman" w:hAnsi="Times New Roman"/>
          <w:lang w:bidi="en-US"/>
        </w:rPr>
        <w:t xml:space="preserve">it </w:t>
      </w:r>
      <w:r w:rsidRPr="003D36AF">
        <w:rPr>
          <w:rFonts w:ascii="Times New Roman" w:hAnsi="Times New Roman"/>
          <w:lang w:bidi="en-US"/>
        </w:rPr>
        <w:t>believe</w:t>
      </w:r>
      <w:r w:rsidR="00E23315">
        <w:rPr>
          <w:rFonts w:ascii="Times New Roman" w:hAnsi="Times New Roman"/>
          <w:lang w:bidi="en-US"/>
        </w:rPr>
        <w:t>s</w:t>
      </w:r>
      <w:r w:rsidRPr="003D36AF">
        <w:rPr>
          <w:rFonts w:ascii="Times New Roman" w:hAnsi="Times New Roman"/>
          <w:lang w:bidi="en-US"/>
        </w:rPr>
        <w:t xml:space="preserve"> that AVM use is strongly positively correlated with institution size.  Applying this 35 percent AVM use rate to the count of 2,976 entities potentially subject to the NPR yields an </w:t>
      </w:r>
      <w:r w:rsidR="0086547B">
        <w:rPr>
          <w:rFonts w:ascii="Times New Roman" w:hAnsi="Times New Roman"/>
          <w:lang w:bidi="en-US"/>
        </w:rPr>
        <w:t>estimated 1,010</w:t>
      </w:r>
      <w:r w:rsidRPr="00974B40">
        <w:rPr>
          <w:rFonts w:ascii="Times New Roman" w:hAnsi="Times New Roman"/>
          <w:lang w:bidi="en-US"/>
        </w:rPr>
        <w:t xml:space="preserve"> annual respondents for both IC 2 and IC 3</w:t>
      </w:r>
      <w:r w:rsidRPr="003D36AF">
        <w:rPr>
          <w:rFonts w:ascii="Times New Roman" w:hAnsi="Times New Roman"/>
          <w:lang w:bidi="en-US"/>
        </w:rPr>
        <w:t>.</w:t>
      </w:r>
      <w:r w:rsidRPr="00974B40">
        <w:rPr>
          <w:rFonts w:ascii="Times New Roman" w:hAnsi="Times New Roman"/>
          <w:lang w:bidi="en-US"/>
        </w:rPr>
        <w:t xml:space="preserve"> </w:t>
      </w:r>
    </w:p>
    <w:p w:rsidR="003D36AF" w:rsidRPr="003D36AF" w:rsidP="00145861" w14:paraId="662B9899" w14:textId="18875B77">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 xml:space="preserve">This Supporting Statement </w:t>
      </w:r>
      <w:r w:rsidRPr="003D36AF">
        <w:rPr>
          <w:rFonts w:ascii="Times New Roman" w:hAnsi="Times New Roman"/>
          <w:lang w:bidi="en-US"/>
        </w:rPr>
        <w:t>covers PRA requirements over a</w:t>
      </w:r>
      <w:r w:rsidR="00E23315">
        <w:rPr>
          <w:rFonts w:ascii="Times New Roman" w:hAnsi="Times New Roman"/>
          <w:lang w:bidi="en-US"/>
        </w:rPr>
        <w:t xml:space="preserve"> three year period; therefore, FDIC</w:t>
      </w:r>
      <w:r w:rsidRPr="003D36AF">
        <w:rPr>
          <w:rFonts w:ascii="Times New Roman" w:hAnsi="Times New Roman"/>
          <w:lang w:bidi="en-US"/>
        </w:rPr>
        <w:t xml:space="preserve"> annualize</w:t>
      </w:r>
      <w:r w:rsidR="00E23315">
        <w:rPr>
          <w:rFonts w:ascii="Times New Roman" w:hAnsi="Times New Roman"/>
          <w:lang w:bidi="en-US"/>
        </w:rPr>
        <w:t xml:space="preserve">s the implementation burden associated with </w:t>
      </w:r>
      <w:r w:rsidRPr="003D36AF">
        <w:rPr>
          <w:rFonts w:ascii="Times New Roman" w:hAnsi="Times New Roman"/>
          <w:lang w:bidi="en-US"/>
        </w:rPr>
        <w:t xml:space="preserve"> IC 2, which would be incurred by all covered IDIs only in the first year in which respondents are subject to the requirements in proposed 12 CFR § 323.17.  This annualization is implemented through the time per response figure for IC</w:t>
      </w:r>
      <w:r w:rsidR="00E23315">
        <w:rPr>
          <w:rFonts w:ascii="Times New Roman" w:hAnsi="Times New Roman"/>
          <w:lang w:bidi="en-US"/>
        </w:rPr>
        <w:t xml:space="preserve"> 2.  For purposes of this ICR, FDIC</w:t>
      </w:r>
      <w:r w:rsidRPr="003D36AF">
        <w:rPr>
          <w:rFonts w:ascii="Times New Roman" w:hAnsi="Times New Roman"/>
          <w:lang w:bidi="en-US"/>
        </w:rPr>
        <w:t xml:space="preserve"> assume</w:t>
      </w:r>
      <w:r w:rsidR="00E23315">
        <w:rPr>
          <w:rFonts w:ascii="Times New Roman" w:hAnsi="Times New Roman"/>
          <w:lang w:bidi="en-US"/>
        </w:rPr>
        <w:t>s</w:t>
      </w:r>
      <w:r w:rsidR="0086547B">
        <w:rPr>
          <w:rFonts w:ascii="Times New Roman" w:hAnsi="Times New Roman"/>
          <w:lang w:bidi="en-US"/>
        </w:rPr>
        <w:t xml:space="preserve"> that all 1,010</w:t>
      </w:r>
      <w:r w:rsidRPr="003D36AF">
        <w:rPr>
          <w:rFonts w:ascii="Times New Roman" w:hAnsi="Times New Roman"/>
          <w:lang w:bidi="en-US"/>
        </w:rPr>
        <w:t xml:space="preserve"> estimated respondents would generate one response per year to each of the two ICs associated with recordkeeping for polic</w:t>
      </w:r>
      <w:r w:rsidR="0086547B">
        <w:rPr>
          <w:rFonts w:ascii="Times New Roman" w:hAnsi="Times New Roman"/>
          <w:lang w:bidi="en-US"/>
        </w:rPr>
        <w:t>ies and procedures under the final rule</w:t>
      </w:r>
      <w:r w:rsidRPr="003D36AF">
        <w:rPr>
          <w:rFonts w:ascii="Times New Roman" w:hAnsi="Times New Roman"/>
          <w:lang w:bidi="en-US"/>
        </w:rPr>
        <w:t>.</w:t>
      </w:r>
      <w:r>
        <w:rPr>
          <w:rFonts w:ascii="Times New Roman" w:hAnsi="Times New Roman"/>
          <w:vertAlign w:val="superscript"/>
          <w:lang w:bidi="en-US"/>
        </w:rPr>
        <w:footnoteReference w:id="27"/>
      </w:r>
    </w:p>
    <w:p w:rsidR="003D36AF" w:rsidRPr="008317D3" w:rsidP="008317D3" w14:paraId="318A135B" w14:textId="77777777">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sidRPr="008317D3">
        <w:rPr>
          <w:rFonts w:ascii="Times New Roman" w:hAnsi="Times New Roman"/>
          <w:b/>
          <w:i/>
          <w:u w:val="single"/>
          <w:lang w:bidi="en-US"/>
        </w:rPr>
        <w:t>C. ICs Associated with the Guidelines</w:t>
      </w:r>
    </w:p>
    <w:p w:rsidR="003D36AF" w:rsidRPr="003D36AF" w:rsidP="008317D3" w14:paraId="19154F25" w14:textId="753A916C">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All 2,936</w:t>
      </w:r>
      <w:r w:rsidRPr="003D36AF">
        <w:rPr>
          <w:rFonts w:ascii="Times New Roman" w:hAnsi="Times New Roman"/>
          <w:lang w:bidi="en-US"/>
        </w:rPr>
        <w:t xml:space="preserve"> FDIC-supervised institutions are potentially subject to the Guidelines.  Therefore, </w:t>
      </w:r>
      <w:r w:rsidR="008317D3">
        <w:rPr>
          <w:rFonts w:ascii="Times New Roman" w:hAnsi="Times New Roman"/>
          <w:lang w:bidi="en-US"/>
        </w:rPr>
        <w:t>FDIC</w:t>
      </w:r>
      <w:r w:rsidRPr="00974B40">
        <w:rPr>
          <w:rFonts w:ascii="Times New Roman" w:hAnsi="Times New Roman"/>
          <w:lang w:bidi="en-US"/>
        </w:rPr>
        <w:t xml:space="preserve"> estimate</w:t>
      </w:r>
      <w:r w:rsidR="008317D3">
        <w:rPr>
          <w:rFonts w:ascii="Times New Roman" w:hAnsi="Times New Roman"/>
          <w:lang w:bidi="en-US"/>
        </w:rPr>
        <w:t>s</w:t>
      </w:r>
      <w:r>
        <w:rPr>
          <w:rFonts w:ascii="Times New Roman" w:hAnsi="Times New Roman"/>
          <w:lang w:bidi="en-US"/>
        </w:rPr>
        <w:t xml:space="preserve"> 2,936</w:t>
      </w:r>
      <w:r w:rsidRPr="00974B40">
        <w:rPr>
          <w:rFonts w:ascii="Times New Roman" w:hAnsi="Times New Roman"/>
          <w:lang w:bidi="en-US"/>
        </w:rPr>
        <w:t xml:space="preserve"> annual </w:t>
      </w:r>
      <w:r w:rsidRPr="003D36AF">
        <w:rPr>
          <w:rFonts w:ascii="Times New Roman" w:hAnsi="Times New Roman"/>
          <w:lang w:bidi="en-US"/>
        </w:rPr>
        <w:t>respondents</w:t>
      </w:r>
      <w:r w:rsidRPr="00974B40">
        <w:rPr>
          <w:rFonts w:ascii="Times New Roman" w:hAnsi="Times New Roman"/>
          <w:lang w:bidi="en-US"/>
        </w:rPr>
        <w:t xml:space="preserve"> to IC 4 and IC 5. </w:t>
      </w:r>
      <w:r>
        <w:rPr>
          <w:rFonts w:ascii="Times New Roman" w:hAnsi="Times New Roman"/>
          <w:lang w:bidi="en-US"/>
        </w:rPr>
        <w:t xml:space="preserve"> Of these, 2,173</w:t>
      </w:r>
      <w:r w:rsidRPr="003D36AF">
        <w:rPr>
          <w:rFonts w:ascii="Times New Roman" w:hAnsi="Times New Roman"/>
          <w:lang w:bidi="en-US"/>
        </w:rPr>
        <w:t xml:space="preserve"> are considered to be </w:t>
      </w:r>
      <w:r w:rsidR="008317D3">
        <w:rPr>
          <w:rFonts w:ascii="Times New Roman" w:hAnsi="Times New Roman"/>
          <w:lang w:bidi="en-US"/>
        </w:rPr>
        <w:t>small under the RFA (footnote 24</w:t>
      </w:r>
      <w:r w:rsidRPr="003D36AF">
        <w:rPr>
          <w:rFonts w:ascii="Times New Roman" w:hAnsi="Times New Roman"/>
          <w:lang w:bidi="en-US"/>
        </w:rPr>
        <w:t xml:space="preserve"> above outlines the definition of small institutions).</w:t>
      </w:r>
    </w:p>
    <w:p w:rsidR="003D36AF" w:rsidRPr="003D36AF" w:rsidP="008317D3" w14:paraId="618A040C" w14:textId="2A2FB1F2">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IC 4 covers ongoing review and maintenance of policies and procedures associated with the Guidelines.  </w:t>
      </w:r>
      <w:r w:rsidR="008317D3">
        <w:rPr>
          <w:rFonts w:ascii="Times New Roman" w:hAnsi="Times New Roman"/>
          <w:lang w:bidi="en-US"/>
        </w:rPr>
        <w:t>FDIC</w:t>
      </w:r>
      <w:r w:rsidRPr="003D36AF">
        <w:rPr>
          <w:rFonts w:ascii="Times New Roman" w:hAnsi="Times New Roman"/>
          <w:lang w:bidi="en-US"/>
        </w:rPr>
        <w:t xml:space="preserve"> expect</w:t>
      </w:r>
      <w:r w:rsidR="008317D3">
        <w:rPr>
          <w:rFonts w:ascii="Times New Roman" w:hAnsi="Times New Roman"/>
          <w:lang w:bidi="en-US"/>
        </w:rPr>
        <w:t>s</w:t>
      </w:r>
      <w:r w:rsidRPr="003D36AF">
        <w:rPr>
          <w:rFonts w:ascii="Times New Roman" w:hAnsi="Times New Roman"/>
          <w:lang w:bidi="en-US"/>
        </w:rPr>
        <w:t xml:space="preserve"> all FDIC-supervised institutions to provide one annual response to IC 4.</w:t>
      </w:r>
    </w:p>
    <w:p w:rsidR="003D36AF" w:rsidRPr="003D36AF" w:rsidP="008317D3" w14:paraId="06CA36C0" w14:textId="1A78594A">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IC 5 represents third-party disclosure by institutions filing a complaint to their state regulators regarding the practices of a particular appraiser or ap</w:t>
      </w:r>
      <w:r w:rsidR="008317D3">
        <w:rPr>
          <w:rFonts w:ascii="Times New Roman" w:hAnsi="Times New Roman"/>
          <w:lang w:bidi="en-US"/>
        </w:rPr>
        <w:t>praisal firm.  FDIC has</w:t>
      </w:r>
      <w:r w:rsidRPr="003D36AF">
        <w:rPr>
          <w:rFonts w:ascii="Times New Roman" w:hAnsi="Times New Roman"/>
          <w:lang w:bidi="en-US"/>
        </w:rPr>
        <w:t xml:space="preserve"> not been able to find historical data on the number of applicable complaints filed by covered IDIs.  Based on supervisory experience, </w:t>
      </w:r>
      <w:r w:rsidR="008317D3">
        <w:rPr>
          <w:rFonts w:ascii="Times New Roman" w:hAnsi="Times New Roman"/>
          <w:lang w:bidi="en-US"/>
        </w:rPr>
        <w:t>FDIC</w:t>
      </w:r>
      <w:r w:rsidRPr="003D36AF">
        <w:rPr>
          <w:rFonts w:ascii="Times New Roman" w:hAnsi="Times New Roman"/>
          <w:lang w:bidi="en-US"/>
        </w:rPr>
        <w:t xml:space="preserve"> </w:t>
      </w:r>
      <w:r w:rsidR="008317D3">
        <w:rPr>
          <w:rFonts w:ascii="Times New Roman" w:hAnsi="Times New Roman"/>
          <w:lang w:bidi="en-US"/>
        </w:rPr>
        <w:t>estimates</w:t>
      </w:r>
      <w:r w:rsidRPr="003D36AF">
        <w:rPr>
          <w:rFonts w:ascii="Times New Roman" w:hAnsi="Times New Roman"/>
          <w:lang w:bidi="en-US"/>
        </w:rPr>
        <w:t xml:space="preserve"> that, on average, each institution files one </w:t>
      </w:r>
      <w:r w:rsidR="008317D3">
        <w:rPr>
          <w:rFonts w:ascii="Times New Roman" w:hAnsi="Times New Roman"/>
          <w:lang w:bidi="en-US"/>
        </w:rPr>
        <w:t>response per year.  Therefore, it</w:t>
      </w:r>
      <w:r w:rsidRPr="003D36AF">
        <w:rPr>
          <w:rFonts w:ascii="Times New Roman" w:hAnsi="Times New Roman"/>
          <w:lang w:bidi="en-US"/>
        </w:rPr>
        <w:t xml:space="preserve"> estimate</w:t>
      </w:r>
      <w:r w:rsidR="008317D3">
        <w:rPr>
          <w:rFonts w:ascii="Times New Roman" w:hAnsi="Times New Roman"/>
          <w:lang w:bidi="en-US"/>
        </w:rPr>
        <w:t>s</w:t>
      </w:r>
      <w:r w:rsidRPr="003D36AF">
        <w:rPr>
          <w:rFonts w:ascii="Times New Roman" w:hAnsi="Times New Roman"/>
          <w:lang w:bidi="en-US"/>
        </w:rPr>
        <w:t xml:space="preserve"> one response per respondent annually.</w:t>
      </w:r>
    </w:p>
    <w:p w:rsidR="003D36AF" w:rsidRPr="00822E3B" w:rsidP="00822E3B" w14:paraId="16A316EE" w14:textId="77777777">
      <w:pPr>
        <w:tabs>
          <w:tab w:val="left" w:pos="288"/>
          <w:tab w:val="left" w:pos="1008"/>
          <w:tab w:val="left" w:pos="1728"/>
          <w:tab w:val="left" w:pos="2448"/>
          <w:tab w:val="left" w:pos="3168"/>
          <w:tab w:val="left" w:pos="3888"/>
        </w:tabs>
        <w:spacing w:after="120"/>
        <w:ind w:left="1008"/>
        <w:rPr>
          <w:rFonts w:ascii="Times New Roman" w:hAnsi="Times New Roman"/>
          <w:b/>
          <w:bCs/>
          <w:i/>
          <w:lang w:bidi="en-US"/>
        </w:rPr>
      </w:pPr>
      <w:r w:rsidRPr="00822E3B">
        <w:rPr>
          <w:rFonts w:ascii="Times New Roman" w:hAnsi="Times New Roman"/>
          <w:b/>
          <w:bCs/>
          <w:i/>
          <w:lang w:bidi="en-US"/>
        </w:rPr>
        <w:t>Estimated Time per Response</w:t>
      </w:r>
    </w:p>
    <w:p w:rsidR="003D36AF" w:rsidRPr="00822E3B" w:rsidP="00822E3B" w14:paraId="09B35E43" w14:textId="77777777">
      <w:pPr>
        <w:tabs>
          <w:tab w:val="left" w:pos="288"/>
          <w:tab w:val="left" w:pos="1008"/>
          <w:tab w:val="left" w:pos="1728"/>
          <w:tab w:val="left" w:pos="2448"/>
          <w:tab w:val="left" w:pos="3168"/>
          <w:tab w:val="left" w:pos="3888"/>
        </w:tabs>
        <w:spacing w:after="120"/>
        <w:ind w:left="1008"/>
        <w:rPr>
          <w:rFonts w:ascii="Times New Roman" w:hAnsi="Times New Roman"/>
          <w:b/>
          <w:i/>
          <w:u w:val="single"/>
          <w:lang w:bidi="en-US"/>
        </w:rPr>
      </w:pPr>
      <w:r w:rsidRPr="00822E3B">
        <w:rPr>
          <w:rFonts w:ascii="Times New Roman" w:hAnsi="Times New Roman"/>
          <w:b/>
          <w:i/>
          <w:u w:val="single"/>
          <w:lang w:bidi="en-US"/>
        </w:rPr>
        <w:t>A. Existing IC</w:t>
      </w:r>
    </w:p>
    <w:p w:rsidR="003D36AF" w:rsidRPr="003D36AF" w:rsidP="00822E3B" w14:paraId="4133F3DA" w14:textId="4173F43C">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 believes</w:t>
      </w:r>
      <w:r w:rsidRPr="003D36AF">
        <w:rPr>
          <w:rFonts w:ascii="Times New Roman" w:hAnsi="Times New Roman"/>
          <w:lang w:bidi="en-US"/>
        </w:rPr>
        <w:t xml:space="preserve"> that 5 minutes is a</w:t>
      </w:r>
      <w:r>
        <w:rPr>
          <w:rFonts w:ascii="Times New Roman" w:hAnsi="Times New Roman"/>
          <w:lang w:bidi="en-US"/>
        </w:rPr>
        <w:t xml:space="preserve"> reasonable</w:t>
      </w:r>
      <w:r w:rsidRPr="003D36AF">
        <w:rPr>
          <w:rFonts w:ascii="Times New Roman" w:hAnsi="Times New Roman"/>
          <w:lang w:bidi="en-US"/>
        </w:rPr>
        <w:t xml:space="preserve"> estimate of the time needed to complete the recordkeeping req</w:t>
      </w:r>
      <w:r w:rsidR="00A948F8">
        <w:rPr>
          <w:rFonts w:ascii="Times New Roman" w:hAnsi="Times New Roman"/>
          <w:lang w:bidi="en-US"/>
        </w:rPr>
        <w:t xml:space="preserve">uirement associated with IC 1. </w:t>
      </w:r>
      <w:r>
        <w:rPr>
          <w:rFonts w:ascii="Times New Roman" w:hAnsi="Times New Roman"/>
          <w:vertAlign w:val="superscript"/>
          <w:lang w:bidi="en-US"/>
        </w:rPr>
        <w:footnoteReference w:id="28"/>
      </w:r>
      <w:r w:rsidRPr="003D36AF">
        <w:rPr>
          <w:rFonts w:ascii="Times New Roman" w:hAnsi="Times New Roman"/>
          <w:lang w:bidi="en-US"/>
        </w:rPr>
        <w:t xml:space="preserve">  This time per response est</w:t>
      </w:r>
      <w:r w:rsidR="0086547B">
        <w:rPr>
          <w:rFonts w:ascii="Times New Roman" w:hAnsi="Times New Roman"/>
          <w:lang w:bidi="en-US"/>
        </w:rPr>
        <w:t>imate is unchanged from the 2024</w:t>
      </w:r>
      <w:r w:rsidRPr="003D36AF">
        <w:rPr>
          <w:rFonts w:ascii="Times New Roman" w:hAnsi="Times New Roman"/>
          <w:lang w:bidi="en-US"/>
        </w:rPr>
        <w:t xml:space="preserve"> ICR. </w:t>
      </w:r>
    </w:p>
    <w:p w:rsidR="003D36AF" w:rsidRPr="00822E3B" w:rsidP="00822E3B" w14:paraId="011EBEED" w14:textId="719F00CE">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Pr>
          <w:rFonts w:ascii="Times New Roman" w:hAnsi="Times New Roman"/>
          <w:b/>
          <w:i/>
          <w:u w:val="single"/>
          <w:lang w:bidi="en-US"/>
        </w:rPr>
        <w:t>B. ICs Associated with the Final Rule</w:t>
      </w:r>
      <w:r w:rsidRPr="00822E3B">
        <w:rPr>
          <w:rFonts w:ascii="Times New Roman" w:hAnsi="Times New Roman"/>
          <w:b/>
          <w:i/>
          <w:u w:val="single"/>
          <w:lang w:bidi="en-US"/>
        </w:rPr>
        <w:t xml:space="preserve"> </w:t>
      </w:r>
    </w:p>
    <w:p w:rsidR="003D36AF" w:rsidRPr="003D36AF" w:rsidP="00822E3B" w14:paraId="138F3D94" w14:textId="32633C9C">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The FDIC lacks data on the amount of time needed for respondents to implement initial recordkeeping requirements (IC 2) and to conduct </w:t>
      </w:r>
      <w:r w:rsidR="00DA678C">
        <w:rPr>
          <w:rFonts w:ascii="Times New Roman" w:hAnsi="Times New Roman"/>
          <w:lang w:bidi="en-US"/>
        </w:rPr>
        <w:t xml:space="preserve">the </w:t>
      </w:r>
      <w:r w:rsidRPr="003D36AF">
        <w:rPr>
          <w:rFonts w:ascii="Times New Roman" w:hAnsi="Times New Roman"/>
          <w:lang w:bidi="en-US"/>
        </w:rPr>
        <w:t>ongoing review and maintenance of their record</w:t>
      </w:r>
      <w:r w:rsidR="0086547B">
        <w:rPr>
          <w:rFonts w:ascii="Times New Roman" w:hAnsi="Times New Roman"/>
          <w:lang w:bidi="en-US"/>
        </w:rPr>
        <w:t>s (IC 3) associated with the final rule</w:t>
      </w:r>
      <w:r w:rsidRPr="003D36AF">
        <w:rPr>
          <w:rFonts w:ascii="Times New Roman" w:hAnsi="Times New Roman"/>
          <w:lang w:bidi="en-US"/>
        </w:rPr>
        <w:t xml:space="preserve">.  The </w:t>
      </w:r>
      <w:r w:rsidR="00DA678C">
        <w:rPr>
          <w:rFonts w:ascii="Times New Roman" w:hAnsi="Times New Roman"/>
          <w:lang w:bidi="en-US"/>
        </w:rPr>
        <w:t>FDIC</w:t>
      </w:r>
      <w:r w:rsidRPr="003D36AF">
        <w:rPr>
          <w:rFonts w:ascii="Times New Roman" w:hAnsi="Times New Roman"/>
          <w:lang w:bidi="en-US"/>
        </w:rPr>
        <w:t xml:space="preserve"> estimates based on supervisory experience that, on average, </w:t>
      </w:r>
      <w:r w:rsidRPr="00974B40">
        <w:rPr>
          <w:rFonts w:ascii="Times New Roman" w:hAnsi="Times New Roman"/>
          <w:lang w:bidi="en-US"/>
        </w:rPr>
        <w:t xml:space="preserve">respondents spend 40 hours in year 1 to implement IC 2, and </w:t>
      </w:r>
      <w:r w:rsidR="00DA678C">
        <w:rPr>
          <w:rFonts w:ascii="Times New Roman" w:hAnsi="Times New Roman"/>
          <w:lang w:bidi="en-US"/>
        </w:rPr>
        <w:t xml:space="preserve">thereafter, </w:t>
      </w:r>
      <w:r w:rsidRPr="00974B40">
        <w:rPr>
          <w:rFonts w:ascii="Times New Roman" w:hAnsi="Times New Roman"/>
          <w:lang w:bidi="en-US"/>
        </w:rPr>
        <w:t>5 hours per year on IC 3</w:t>
      </w:r>
      <w:r w:rsidRPr="003D36AF">
        <w:rPr>
          <w:rFonts w:ascii="Times New Roman" w:hAnsi="Times New Roman"/>
          <w:lang w:bidi="en-US"/>
        </w:rPr>
        <w:t xml:space="preserve">.  </w:t>
      </w:r>
      <w:r w:rsidR="00DA678C">
        <w:rPr>
          <w:rFonts w:ascii="Times New Roman" w:hAnsi="Times New Roman"/>
          <w:lang w:bidi="en-US"/>
        </w:rPr>
        <w:t>FDIC</w:t>
      </w:r>
      <w:r w:rsidRPr="003D36AF">
        <w:rPr>
          <w:rFonts w:ascii="Times New Roman" w:hAnsi="Times New Roman"/>
          <w:lang w:bidi="en-US"/>
        </w:rPr>
        <w:t xml:space="preserve"> annualize</w:t>
      </w:r>
      <w:r w:rsidR="00DA678C">
        <w:rPr>
          <w:rFonts w:ascii="Times New Roman" w:hAnsi="Times New Roman"/>
          <w:lang w:bidi="en-US"/>
        </w:rPr>
        <w:t>s</w:t>
      </w:r>
      <w:r w:rsidRPr="003D36AF">
        <w:rPr>
          <w:rFonts w:ascii="Times New Roman" w:hAnsi="Times New Roman"/>
          <w:lang w:bidi="en-US"/>
        </w:rPr>
        <w:t xml:space="preserve"> </w:t>
      </w:r>
      <w:r w:rsidR="00DA678C">
        <w:rPr>
          <w:rFonts w:ascii="Times New Roman" w:hAnsi="Times New Roman"/>
          <w:lang w:bidi="en-US"/>
        </w:rPr>
        <w:t>its</w:t>
      </w:r>
      <w:r w:rsidRPr="003D36AF">
        <w:rPr>
          <w:rFonts w:ascii="Times New Roman" w:hAnsi="Times New Roman"/>
          <w:lang w:bidi="en-US"/>
        </w:rPr>
        <w:t xml:space="preserve"> burden calculation for IC 2 in order to arrive at annual burden estimates that sum up to the total burden incurred by respondents across all three years.  </w:t>
      </w:r>
      <w:r w:rsidR="00DA678C">
        <w:rPr>
          <w:rFonts w:ascii="Times New Roman" w:hAnsi="Times New Roman"/>
          <w:lang w:bidi="en-US"/>
        </w:rPr>
        <w:t>FDIC</w:t>
      </w:r>
      <w:r w:rsidRPr="003D36AF">
        <w:rPr>
          <w:rFonts w:ascii="Times New Roman" w:hAnsi="Times New Roman"/>
          <w:lang w:bidi="en-US"/>
        </w:rPr>
        <w:t xml:space="preserve"> annualize</w:t>
      </w:r>
      <w:r w:rsidR="00DA678C">
        <w:rPr>
          <w:rFonts w:ascii="Times New Roman" w:hAnsi="Times New Roman"/>
          <w:lang w:bidi="en-US"/>
        </w:rPr>
        <w:t>s</w:t>
      </w:r>
      <w:r w:rsidRPr="003D36AF">
        <w:rPr>
          <w:rFonts w:ascii="Times New Roman" w:hAnsi="Times New Roman"/>
          <w:lang w:bidi="en-US"/>
        </w:rPr>
        <w:t xml:space="preserve"> </w:t>
      </w:r>
      <w:r w:rsidR="00DA678C">
        <w:rPr>
          <w:rFonts w:ascii="Times New Roman" w:hAnsi="Times New Roman"/>
          <w:lang w:bidi="en-US"/>
        </w:rPr>
        <w:t xml:space="preserve">the burden </w:t>
      </w:r>
      <w:r w:rsidRPr="003D36AF">
        <w:rPr>
          <w:rFonts w:ascii="Times New Roman" w:hAnsi="Times New Roman"/>
          <w:lang w:bidi="en-US"/>
        </w:rPr>
        <w:t xml:space="preserve">by dividing the 40 hour per response burden by 3 years to yield 13.33 hours per yearly response on average over 3 years.  This approach </w:t>
      </w:r>
      <w:r w:rsidR="00DA678C">
        <w:rPr>
          <w:rFonts w:ascii="Times New Roman" w:hAnsi="Times New Roman"/>
          <w:lang w:bidi="en-US"/>
        </w:rPr>
        <w:t>is consistent with OMB guidance</w:t>
      </w:r>
      <w:r w:rsidRPr="003D36AF">
        <w:rPr>
          <w:rFonts w:ascii="Times New Roman" w:hAnsi="Times New Roman"/>
          <w:lang w:bidi="en-US"/>
        </w:rPr>
        <w:t>.</w:t>
      </w:r>
    </w:p>
    <w:p w:rsidR="003D36AF" w:rsidRPr="00822E3B" w:rsidP="00822E3B" w14:paraId="793A0212" w14:textId="77777777">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sidRPr="00822E3B">
        <w:rPr>
          <w:rFonts w:ascii="Times New Roman" w:hAnsi="Times New Roman"/>
          <w:b/>
          <w:i/>
          <w:u w:val="single"/>
          <w:lang w:bidi="en-US"/>
        </w:rPr>
        <w:t>C. ICs Associated with the 2010 Interagency Guidelines</w:t>
      </w:r>
    </w:p>
    <w:p w:rsidR="003D36AF" w:rsidRPr="003D36AF" w:rsidP="00822E3B" w14:paraId="416E77CB" w14:textId="796053A3">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The FDIC does not have access to reliable data on the time required for institutions to review and maintain their records on policies and procedures recommended by the Guidelines (IC 4).  Based on supervisory experience, the </w:t>
      </w:r>
      <w:r w:rsidR="00550937">
        <w:rPr>
          <w:rFonts w:ascii="Times New Roman" w:hAnsi="Times New Roman"/>
          <w:lang w:bidi="en-US"/>
        </w:rPr>
        <w:t>FDIC</w:t>
      </w:r>
      <w:r w:rsidRPr="003D36AF">
        <w:rPr>
          <w:rFonts w:ascii="Times New Roman" w:hAnsi="Times New Roman"/>
          <w:lang w:bidi="en-US"/>
        </w:rPr>
        <w:t xml:space="preserve"> estimates that </w:t>
      </w:r>
      <w:r w:rsidRPr="00974B40">
        <w:rPr>
          <w:rFonts w:ascii="Times New Roman" w:hAnsi="Times New Roman"/>
          <w:lang w:bidi="en-US"/>
        </w:rPr>
        <w:t>IDIs require 10 hours annually on average to conduct these ongoing recordkeeping activities</w:t>
      </w:r>
      <w:r w:rsidRPr="003D36AF">
        <w:rPr>
          <w:rFonts w:ascii="Times New Roman" w:hAnsi="Times New Roman"/>
          <w:lang w:bidi="en-US"/>
        </w:rPr>
        <w:t>.</w:t>
      </w:r>
    </w:p>
    <w:p w:rsidR="003D36AF" w:rsidRPr="003D36AF" w:rsidP="00822E3B" w14:paraId="45F683BB" w14:textId="4F5BD541">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Likewise, the FDIC lacks data on the annual time spent by institutions on average for disclosures related to submitting complaints about appraisers or appraisal management companies (IC 5).  Based on supervisory experience, the </w:t>
      </w:r>
      <w:r w:rsidR="00550937">
        <w:rPr>
          <w:rFonts w:ascii="Times New Roman" w:hAnsi="Times New Roman"/>
          <w:lang w:bidi="en-US"/>
        </w:rPr>
        <w:t>FDIC</w:t>
      </w:r>
      <w:r w:rsidRPr="003D36AF">
        <w:rPr>
          <w:rFonts w:ascii="Times New Roman" w:hAnsi="Times New Roman"/>
          <w:lang w:bidi="en-US"/>
        </w:rPr>
        <w:t xml:space="preserve"> estimates that </w:t>
      </w:r>
      <w:r w:rsidRPr="00974B40">
        <w:rPr>
          <w:rFonts w:ascii="Times New Roman" w:hAnsi="Times New Roman"/>
          <w:lang w:bidi="en-US"/>
        </w:rPr>
        <w:t>respondents spend 5 hours per response for such disclosures</w:t>
      </w:r>
      <w:r w:rsidRPr="003D36AF">
        <w:rPr>
          <w:rFonts w:ascii="Times New Roman" w:hAnsi="Times New Roman"/>
          <w:lang w:bidi="en-US"/>
        </w:rPr>
        <w:t>.</w:t>
      </w:r>
      <w:r>
        <w:rPr>
          <w:rFonts w:ascii="Times New Roman" w:hAnsi="Times New Roman"/>
          <w:vertAlign w:val="superscript"/>
          <w:lang w:bidi="en-US"/>
        </w:rPr>
        <w:footnoteReference w:id="29"/>
      </w:r>
    </w:p>
    <w:p w:rsidR="003D36AF" w:rsidRPr="003D36AF" w:rsidP="00822E3B" w14:paraId="1D2886BC" w14:textId="6884BF93">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FDIC multiplies</w:t>
      </w:r>
      <w:r w:rsidRPr="003D36AF">
        <w:rPr>
          <w:rFonts w:ascii="Times New Roman" w:hAnsi="Times New Roman"/>
          <w:lang w:bidi="en-US"/>
        </w:rPr>
        <w:t xml:space="preserve"> the estimated annual number of respondents, the estimated annual number of responses per respondent, and the estimated time per response for each IC line item to generate an estimate of annual burden hours, as shown in Table 1.</w:t>
      </w:r>
    </w:p>
    <w:tbl>
      <w:tblPr>
        <w:tblW w:w="10110" w:type="dxa"/>
        <w:tblLook w:val="04A0"/>
      </w:tblPr>
      <w:tblGrid>
        <w:gridCol w:w="1753"/>
        <w:gridCol w:w="1697"/>
        <w:gridCol w:w="1331"/>
        <w:gridCol w:w="1509"/>
        <w:gridCol w:w="1431"/>
        <w:gridCol w:w="1253"/>
        <w:gridCol w:w="1136"/>
      </w:tblGrid>
      <w:tr w14:paraId="569A170C" w14:textId="77777777" w:rsidTr="008C5F1B">
        <w:tblPrEx>
          <w:tblW w:w="10110" w:type="dxa"/>
          <w:tblLook w:val="04A0"/>
        </w:tblPrEx>
        <w:trPr>
          <w:trHeight w:val="432"/>
        </w:trPr>
        <w:tc>
          <w:tcPr>
            <w:tcW w:w="101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36AF" w:rsidRPr="00A672D4" w:rsidP="003D36AF" w14:paraId="36C5A00E" w14:textId="77777777">
            <w:pPr>
              <w:ind w:left="270"/>
              <w:rPr>
                <w:rFonts w:ascii="Times New Roman" w:hAnsi="Times New Roman"/>
                <w:sz w:val="20"/>
                <w:lang w:bidi="en-US"/>
              </w:rPr>
            </w:pPr>
            <w:r w:rsidRPr="00A672D4">
              <w:rPr>
                <w:rFonts w:ascii="Times New Roman" w:hAnsi="Times New Roman"/>
                <w:b/>
                <w:bCs/>
                <w:sz w:val="20"/>
                <w:lang w:bidi="en-US"/>
              </w:rPr>
              <w:t>Table 1</w:t>
            </w:r>
            <w:r w:rsidRPr="00A672D4">
              <w:rPr>
                <w:rFonts w:ascii="Times New Roman" w:hAnsi="Times New Roman"/>
                <w:b/>
                <w:bCs/>
                <w:sz w:val="20"/>
                <w:lang w:bidi="en-US"/>
              </w:rPr>
              <w:t xml:space="preserve">. </w:t>
            </w:r>
            <w:r w:rsidRPr="00A672D4">
              <w:rPr>
                <w:rFonts w:ascii="Times New Roman" w:hAnsi="Times New Roman"/>
                <w:b/>
                <w:bCs/>
                <w:sz w:val="20"/>
                <w:lang w:bidi="en-US"/>
              </w:rPr>
              <w:t>Summary of Estimated Annual Burdens (OMB No. 3064-0103)</w:t>
            </w:r>
          </w:p>
        </w:tc>
      </w:tr>
      <w:tr w14:paraId="23D28E46" w14:textId="77777777" w:rsidTr="008C5F1B">
        <w:tblPrEx>
          <w:tblW w:w="10110" w:type="dxa"/>
          <w:tblLook w:val="04A0"/>
        </w:tblPrEx>
        <w:trPr>
          <w:trHeight w:val="1056"/>
        </w:trPr>
        <w:tc>
          <w:tcPr>
            <w:tcW w:w="1753" w:type="dxa"/>
            <w:tcBorders>
              <w:top w:val="nil"/>
              <w:left w:val="single" w:sz="4" w:space="0" w:color="auto"/>
              <w:bottom w:val="single" w:sz="4" w:space="0" w:color="auto"/>
              <w:right w:val="single" w:sz="4" w:space="0" w:color="auto"/>
            </w:tcBorders>
            <w:shd w:val="clear" w:color="auto" w:fill="auto"/>
            <w:vAlign w:val="center"/>
            <w:hideMark/>
          </w:tcPr>
          <w:p w:rsidR="003D36AF" w:rsidRPr="00A672D4" w:rsidP="00A672D4" w14:paraId="7072F8A7" w14:textId="77777777">
            <w:pPr>
              <w:ind w:left="270"/>
              <w:jc w:val="center"/>
              <w:rPr>
                <w:rFonts w:ascii="Times New Roman" w:hAnsi="Times New Roman"/>
                <w:sz w:val="20"/>
                <w:lang w:bidi="en-US"/>
              </w:rPr>
            </w:pPr>
          </w:p>
          <w:p w:rsidR="003D36AF" w:rsidRPr="00A672D4" w:rsidP="00A672D4" w14:paraId="05BA21F2" w14:textId="607B16AF">
            <w:pPr>
              <w:ind w:left="270"/>
              <w:jc w:val="center"/>
              <w:rPr>
                <w:rFonts w:ascii="Times New Roman" w:hAnsi="Times New Roman"/>
                <w:sz w:val="20"/>
                <w:lang w:bidi="en-US"/>
              </w:rPr>
            </w:pPr>
            <w:r w:rsidRPr="00A672D4">
              <w:rPr>
                <w:rFonts w:ascii="Times New Roman" w:hAnsi="Times New Roman"/>
                <w:sz w:val="20"/>
                <w:lang w:bidi="en-US"/>
              </w:rPr>
              <w:t>IC Description</w:t>
            </w:r>
          </w:p>
        </w:tc>
        <w:tc>
          <w:tcPr>
            <w:tcW w:w="1697" w:type="dxa"/>
            <w:tcBorders>
              <w:top w:val="nil"/>
              <w:left w:val="nil"/>
              <w:bottom w:val="single" w:sz="4" w:space="0" w:color="auto"/>
              <w:right w:val="single" w:sz="4" w:space="0" w:color="auto"/>
            </w:tcBorders>
            <w:shd w:val="clear" w:color="auto" w:fill="auto"/>
            <w:vAlign w:val="center"/>
            <w:hideMark/>
          </w:tcPr>
          <w:p w:rsidR="003D36AF" w:rsidRPr="00A672D4" w:rsidP="00A672D4" w14:paraId="50B4FD61" w14:textId="77777777">
            <w:pPr>
              <w:ind w:left="270"/>
              <w:jc w:val="center"/>
              <w:rPr>
                <w:rFonts w:ascii="Times New Roman" w:hAnsi="Times New Roman"/>
                <w:sz w:val="20"/>
                <w:lang w:bidi="en-US"/>
              </w:rPr>
            </w:pPr>
            <w:r w:rsidRPr="00A672D4">
              <w:rPr>
                <w:rFonts w:ascii="Times New Roman" w:hAnsi="Times New Roman"/>
                <w:sz w:val="20"/>
                <w:lang w:bidi="en-US"/>
              </w:rPr>
              <w:t>Type of Burden (Obligation to Respond)</w:t>
            </w:r>
          </w:p>
        </w:tc>
        <w:tc>
          <w:tcPr>
            <w:tcW w:w="1331" w:type="dxa"/>
            <w:tcBorders>
              <w:top w:val="nil"/>
              <w:left w:val="nil"/>
              <w:bottom w:val="single" w:sz="4" w:space="0" w:color="auto"/>
              <w:right w:val="single" w:sz="4" w:space="0" w:color="auto"/>
            </w:tcBorders>
            <w:vAlign w:val="center"/>
          </w:tcPr>
          <w:p w:rsidR="003D36AF" w:rsidRPr="00A672D4" w:rsidP="00A672D4" w14:paraId="4A69627B" w14:textId="77777777">
            <w:pPr>
              <w:ind w:left="270"/>
              <w:jc w:val="center"/>
              <w:rPr>
                <w:rFonts w:ascii="Times New Roman" w:hAnsi="Times New Roman"/>
                <w:sz w:val="20"/>
                <w:lang w:bidi="en-US"/>
              </w:rPr>
            </w:pPr>
            <w:r w:rsidRPr="00A672D4">
              <w:rPr>
                <w:rFonts w:ascii="Times New Roman" w:hAnsi="Times New Roman"/>
                <w:sz w:val="20"/>
                <w:lang w:bidi="en-US"/>
              </w:rPr>
              <w:t>Frequency of Response</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rsidR="003D36AF" w:rsidRPr="00A672D4" w:rsidP="00A672D4" w14:paraId="47F3E645" w14:textId="77777777">
            <w:pPr>
              <w:ind w:left="270"/>
              <w:jc w:val="center"/>
              <w:rPr>
                <w:rFonts w:ascii="Times New Roman" w:hAnsi="Times New Roman"/>
                <w:sz w:val="20"/>
                <w:lang w:bidi="en-US"/>
              </w:rPr>
            </w:pPr>
            <w:r w:rsidRPr="00A672D4">
              <w:rPr>
                <w:rFonts w:ascii="Times New Roman" w:hAnsi="Times New Roman"/>
                <w:sz w:val="20"/>
                <w:lang w:bidi="en-US"/>
              </w:rPr>
              <w:t>Number of Respondents</w:t>
            </w:r>
          </w:p>
        </w:tc>
        <w:tc>
          <w:tcPr>
            <w:tcW w:w="1431" w:type="dxa"/>
            <w:tcBorders>
              <w:top w:val="nil"/>
              <w:left w:val="nil"/>
              <w:bottom w:val="single" w:sz="4" w:space="0" w:color="auto"/>
              <w:right w:val="single" w:sz="4" w:space="0" w:color="auto"/>
            </w:tcBorders>
            <w:shd w:val="clear" w:color="auto" w:fill="auto"/>
            <w:vAlign w:val="center"/>
            <w:hideMark/>
          </w:tcPr>
          <w:p w:rsidR="003D36AF" w:rsidRPr="00A672D4" w:rsidP="00A672D4" w14:paraId="72D5B9E2" w14:textId="77777777">
            <w:pPr>
              <w:ind w:left="270"/>
              <w:jc w:val="center"/>
              <w:rPr>
                <w:rFonts w:ascii="Times New Roman" w:hAnsi="Times New Roman"/>
                <w:sz w:val="20"/>
                <w:lang w:bidi="en-US"/>
              </w:rPr>
            </w:pPr>
            <w:r w:rsidRPr="00A672D4">
              <w:rPr>
                <w:rFonts w:ascii="Times New Roman" w:hAnsi="Times New Roman"/>
                <w:sz w:val="20"/>
                <w:lang w:bidi="en-US"/>
              </w:rPr>
              <w:t>Number of Responses per Respondent</w:t>
            </w:r>
          </w:p>
        </w:tc>
        <w:tc>
          <w:tcPr>
            <w:tcW w:w="1253" w:type="dxa"/>
            <w:tcBorders>
              <w:top w:val="nil"/>
              <w:left w:val="nil"/>
              <w:bottom w:val="single" w:sz="4" w:space="0" w:color="auto"/>
              <w:right w:val="single" w:sz="4" w:space="0" w:color="auto"/>
            </w:tcBorders>
            <w:shd w:val="clear" w:color="auto" w:fill="auto"/>
            <w:vAlign w:val="center"/>
            <w:hideMark/>
          </w:tcPr>
          <w:p w:rsidR="003D36AF" w:rsidRPr="00A672D4" w:rsidP="00A672D4" w14:paraId="0C49049F" w14:textId="6D221EE6">
            <w:pPr>
              <w:ind w:left="270"/>
              <w:jc w:val="center"/>
              <w:rPr>
                <w:rFonts w:ascii="Times New Roman" w:hAnsi="Times New Roman"/>
                <w:sz w:val="20"/>
                <w:lang w:bidi="en-US"/>
              </w:rPr>
            </w:pPr>
            <w:r w:rsidRPr="00A672D4">
              <w:rPr>
                <w:rFonts w:ascii="Times New Roman" w:hAnsi="Times New Roman"/>
                <w:sz w:val="20"/>
                <w:lang w:bidi="en-US"/>
              </w:rPr>
              <w:t>Time per Response</w:t>
            </w:r>
          </w:p>
          <w:p w:rsidR="003D36AF" w:rsidRPr="00A672D4" w:rsidP="00A672D4" w14:paraId="6843026E" w14:textId="510849E6">
            <w:pPr>
              <w:ind w:left="270"/>
              <w:jc w:val="center"/>
              <w:rPr>
                <w:rFonts w:ascii="Times New Roman" w:hAnsi="Times New Roman"/>
                <w:sz w:val="20"/>
                <w:lang w:bidi="en-US"/>
              </w:rPr>
            </w:pPr>
            <w:r w:rsidRPr="00A672D4">
              <w:rPr>
                <w:rFonts w:ascii="Times New Roman" w:hAnsi="Times New Roman"/>
                <w:sz w:val="20"/>
                <w:lang w:bidi="en-US"/>
              </w:rPr>
              <w:t>(Hours)</w:t>
            </w:r>
          </w:p>
        </w:tc>
        <w:tc>
          <w:tcPr>
            <w:tcW w:w="1136" w:type="dxa"/>
            <w:tcBorders>
              <w:top w:val="nil"/>
              <w:left w:val="nil"/>
              <w:bottom w:val="single" w:sz="4" w:space="0" w:color="auto"/>
              <w:right w:val="single" w:sz="4" w:space="0" w:color="auto"/>
            </w:tcBorders>
            <w:shd w:val="clear" w:color="auto" w:fill="auto"/>
            <w:vAlign w:val="center"/>
            <w:hideMark/>
          </w:tcPr>
          <w:p w:rsidR="003D36AF" w:rsidRPr="00A672D4" w:rsidP="00A672D4" w14:paraId="6DC1186A" w14:textId="77777777">
            <w:pPr>
              <w:ind w:left="270"/>
              <w:jc w:val="center"/>
              <w:rPr>
                <w:rFonts w:ascii="Times New Roman" w:hAnsi="Times New Roman"/>
                <w:sz w:val="20"/>
                <w:lang w:bidi="en-US"/>
              </w:rPr>
            </w:pPr>
            <w:r w:rsidRPr="00A672D4">
              <w:rPr>
                <w:rFonts w:ascii="Times New Roman" w:hAnsi="Times New Roman"/>
                <w:sz w:val="20"/>
                <w:lang w:bidi="en-US"/>
              </w:rPr>
              <w:t>Annual Burden (Hours)</w:t>
            </w:r>
          </w:p>
        </w:tc>
      </w:tr>
      <w:tr w14:paraId="75DE286B" w14:textId="77777777" w:rsidTr="008C5F1B">
        <w:tblPrEx>
          <w:tblW w:w="10110" w:type="dxa"/>
          <w:tblLook w:val="04A0"/>
        </w:tblPrEx>
        <w:trPr>
          <w:trHeight w:val="1178"/>
        </w:trPr>
        <w:tc>
          <w:tcPr>
            <w:tcW w:w="1753" w:type="dxa"/>
            <w:tcBorders>
              <w:top w:val="nil"/>
              <w:left w:val="single" w:sz="4" w:space="0" w:color="auto"/>
              <w:bottom w:val="single" w:sz="4" w:space="0" w:color="auto"/>
              <w:right w:val="single" w:sz="4" w:space="0" w:color="auto"/>
            </w:tcBorders>
            <w:shd w:val="clear" w:color="auto" w:fill="auto"/>
            <w:vAlign w:val="center"/>
            <w:hideMark/>
          </w:tcPr>
          <w:p w:rsidR="003D36AF" w:rsidRPr="00A672D4" w:rsidP="003D36AF" w14:paraId="5FA8DF55" w14:textId="77777777">
            <w:pPr>
              <w:ind w:left="270"/>
              <w:rPr>
                <w:rFonts w:ascii="Times New Roman" w:hAnsi="Times New Roman"/>
                <w:sz w:val="20"/>
                <w:lang w:bidi="en-US"/>
              </w:rPr>
            </w:pPr>
            <w:r w:rsidRPr="00A672D4">
              <w:rPr>
                <w:rFonts w:ascii="Times New Roman" w:hAnsi="Times New Roman"/>
                <w:sz w:val="20"/>
                <w:lang w:bidi="en-US"/>
              </w:rPr>
              <w:t>(Original) Recordkeeping Requirements Associated with Real Estate Appraisals and Evaluations</w:t>
            </w:r>
          </w:p>
          <w:p w:rsidR="003D36AF" w:rsidRPr="00A672D4" w:rsidP="003D36AF" w14:paraId="6C8C99CA" w14:textId="77777777">
            <w:pPr>
              <w:ind w:left="270"/>
              <w:rPr>
                <w:rFonts w:ascii="Times New Roman" w:hAnsi="Times New Roman"/>
                <w:sz w:val="20"/>
                <w:lang w:bidi="en-US"/>
              </w:rPr>
            </w:pPr>
            <w:r w:rsidRPr="00A672D4">
              <w:rPr>
                <w:rFonts w:ascii="Times New Roman" w:hAnsi="Times New Roman"/>
                <w:sz w:val="20"/>
                <w:lang w:bidi="en-US"/>
              </w:rPr>
              <w:t>(12 CFR 323)</w:t>
            </w:r>
          </w:p>
        </w:tc>
        <w:tc>
          <w:tcPr>
            <w:tcW w:w="1697" w:type="dxa"/>
            <w:tcBorders>
              <w:top w:val="nil"/>
              <w:left w:val="nil"/>
              <w:bottom w:val="single" w:sz="4" w:space="0" w:color="auto"/>
              <w:right w:val="single" w:sz="4" w:space="0" w:color="auto"/>
            </w:tcBorders>
            <w:shd w:val="clear" w:color="auto" w:fill="auto"/>
            <w:noWrap/>
            <w:vAlign w:val="center"/>
            <w:hideMark/>
          </w:tcPr>
          <w:p w:rsidR="003D36AF" w:rsidRPr="00A672D4" w:rsidP="003D36AF" w14:paraId="68F4D962" w14:textId="77777777">
            <w:pPr>
              <w:ind w:left="270"/>
              <w:rPr>
                <w:rFonts w:ascii="Times New Roman" w:hAnsi="Times New Roman"/>
                <w:sz w:val="20"/>
                <w:lang w:bidi="en-US"/>
              </w:rPr>
            </w:pPr>
            <w:r w:rsidRPr="00A672D4">
              <w:rPr>
                <w:rFonts w:ascii="Times New Roman" w:hAnsi="Times New Roman"/>
                <w:sz w:val="20"/>
                <w:lang w:bidi="en-US"/>
              </w:rPr>
              <w:t>Recordkeeping (Mandatory)</w:t>
            </w:r>
          </w:p>
        </w:tc>
        <w:tc>
          <w:tcPr>
            <w:tcW w:w="1331" w:type="dxa"/>
            <w:tcBorders>
              <w:top w:val="single" w:sz="4" w:space="0" w:color="auto"/>
              <w:left w:val="nil"/>
              <w:bottom w:val="single" w:sz="4" w:space="0" w:color="auto"/>
              <w:right w:val="single" w:sz="4" w:space="0" w:color="auto"/>
            </w:tcBorders>
            <w:vAlign w:val="center"/>
          </w:tcPr>
          <w:p w:rsidR="003D36AF" w:rsidRPr="00A672D4" w:rsidP="003D36AF" w14:paraId="14448050" w14:textId="77777777">
            <w:pPr>
              <w:ind w:left="270"/>
              <w:rPr>
                <w:rFonts w:ascii="Times New Roman" w:hAnsi="Times New Roman"/>
                <w:sz w:val="20"/>
                <w:lang w:bidi="en-US"/>
              </w:rPr>
            </w:pPr>
            <w:r w:rsidRPr="00A672D4">
              <w:rPr>
                <w:rFonts w:ascii="Times New Roman" w:hAnsi="Times New Roman"/>
                <w:sz w:val="20"/>
                <w:lang w:bidi="en-US"/>
              </w:rPr>
              <w:t>On occasion</w:t>
            </w: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3D36AF" w:rsidRPr="00A672D4" w:rsidP="003D36AF" w14:paraId="22FB2C45" w14:textId="19E19104">
            <w:pPr>
              <w:ind w:left="270"/>
              <w:rPr>
                <w:rFonts w:ascii="Times New Roman" w:hAnsi="Times New Roman"/>
                <w:sz w:val="20"/>
                <w:lang w:bidi="en-US"/>
              </w:rPr>
            </w:pPr>
            <w:r>
              <w:rPr>
                <w:rFonts w:ascii="Times New Roman" w:hAnsi="Times New Roman"/>
                <w:sz w:val="20"/>
                <w:lang w:bidi="en-US"/>
              </w:rPr>
              <w:t>2,936</w:t>
            </w:r>
          </w:p>
        </w:tc>
        <w:tc>
          <w:tcPr>
            <w:tcW w:w="1431" w:type="dxa"/>
            <w:tcBorders>
              <w:top w:val="nil"/>
              <w:left w:val="nil"/>
              <w:bottom w:val="single" w:sz="4" w:space="0" w:color="auto"/>
              <w:right w:val="single" w:sz="4" w:space="0" w:color="auto"/>
            </w:tcBorders>
            <w:shd w:val="clear" w:color="auto" w:fill="auto"/>
            <w:noWrap/>
            <w:vAlign w:val="center"/>
            <w:hideMark/>
          </w:tcPr>
          <w:p w:rsidR="003D36AF" w:rsidRPr="00A672D4" w:rsidP="003D36AF" w14:paraId="18DE172E" w14:textId="0C69DF58">
            <w:pPr>
              <w:ind w:left="270"/>
              <w:rPr>
                <w:rFonts w:ascii="Times New Roman" w:hAnsi="Times New Roman"/>
                <w:sz w:val="20"/>
                <w:lang w:bidi="en-US"/>
              </w:rPr>
            </w:pPr>
            <w:r w:rsidRPr="00A672D4">
              <w:rPr>
                <w:rFonts w:ascii="Times New Roman" w:hAnsi="Times New Roman"/>
                <w:sz w:val="20"/>
                <w:lang w:bidi="en-US"/>
              </w:rPr>
              <w:t>25</w:t>
            </w:r>
            <w:r w:rsidR="008B7B9E">
              <w:rPr>
                <w:rFonts w:ascii="Times New Roman" w:hAnsi="Times New Roman"/>
                <w:sz w:val="20"/>
                <w:lang w:bidi="en-US"/>
              </w:rPr>
              <w:t>9</w:t>
            </w:r>
          </w:p>
        </w:tc>
        <w:tc>
          <w:tcPr>
            <w:tcW w:w="1253" w:type="dxa"/>
            <w:tcBorders>
              <w:top w:val="nil"/>
              <w:left w:val="nil"/>
              <w:bottom w:val="single" w:sz="4" w:space="0" w:color="auto"/>
              <w:right w:val="single" w:sz="4" w:space="0" w:color="auto"/>
            </w:tcBorders>
            <w:shd w:val="clear" w:color="auto" w:fill="auto"/>
            <w:noWrap/>
            <w:vAlign w:val="center"/>
            <w:hideMark/>
          </w:tcPr>
          <w:p w:rsidR="003D36AF" w:rsidRPr="00A672D4" w:rsidP="003D36AF" w14:paraId="1B2BF776" w14:textId="77777777">
            <w:pPr>
              <w:ind w:left="270"/>
              <w:rPr>
                <w:rFonts w:ascii="Times New Roman" w:hAnsi="Times New Roman"/>
                <w:sz w:val="20"/>
                <w:lang w:bidi="en-US"/>
              </w:rPr>
            </w:pPr>
          </w:p>
          <w:p w:rsidR="003D36AF" w:rsidRPr="00A672D4" w:rsidP="003D36AF" w14:paraId="00C122BE" w14:textId="77777777">
            <w:pPr>
              <w:ind w:left="270"/>
              <w:rPr>
                <w:rFonts w:ascii="Times New Roman" w:hAnsi="Times New Roman"/>
                <w:sz w:val="20"/>
                <w:lang w:bidi="en-US"/>
              </w:rPr>
            </w:pPr>
            <w:r w:rsidRPr="00A672D4">
              <w:rPr>
                <w:rFonts w:ascii="Times New Roman" w:hAnsi="Times New Roman"/>
                <w:sz w:val="20"/>
                <w:lang w:bidi="en-US"/>
              </w:rPr>
              <w:t xml:space="preserve">0.083 </w:t>
            </w:r>
          </w:p>
          <w:p w:rsidR="003D36AF" w:rsidRPr="00A672D4" w:rsidP="003D36AF" w14:paraId="0C5E8155" w14:textId="77777777">
            <w:pPr>
              <w:ind w:left="270"/>
              <w:rPr>
                <w:rFonts w:ascii="Times New Roman" w:hAnsi="Times New Roman"/>
                <w:sz w:val="20"/>
                <w:lang w:bidi="en-US"/>
              </w:rPr>
            </w:pPr>
          </w:p>
        </w:tc>
        <w:tc>
          <w:tcPr>
            <w:tcW w:w="1136" w:type="dxa"/>
            <w:tcBorders>
              <w:top w:val="nil"/>
              <w:left w:val="nil"/>
              <w:bottom w:val="single" w:sz="4" w:space="0" w:color="auto"/>
              <w:right w:val="single" w:sz="4" w:space="0" w:color="auto"/>
            </w:tcBorders>
            <w:shd w:val="clear" w:color="auto" w:fill="auto"/>
            <w:noWrap/>
            <w:vAlign w:val="center"/>
            <w:hideMark/>
          </w:tcPr>
          <w:p w:rsidR="003D36AF" w:rsidRPr="00A672D4" w:rsidP="003D36AF" w14:paraId="20945719" w14:textId="26D3F230">
            <w:pPr>
              <w:ind w:left="270"/>
              <w:rPr>
                <w:rFonts w:ascii="Times New Roman" w:hAnsi="Times New Roman"/>
                <w:sz w:val="20"/>
                <w:lang w:bidi="en-US"/>
              </w:rPr>
            </w:pPr>
            <w:r>
              <w:rPr>
                <w:rFonts w:ascii="Times New Roman" w:hAnsi="Times New Roman"/>
                <w:sz w:val="20"/>
                <w:lang w:bidi="en-US"/>
              </w:rPr>
              <w:t>63,115</w:t>
            </w:r>
          </w:p>
        </w:tc>
      </w:tr>
      <w:tr w14:paraId="4A47AE66" w14:textId="77777777" w:rsidTr="008C5F1B">
        <w:tblPrEx>
          <w:tblW w:w="10110" w:type="dxa"/>
          <w:tblLook w:val="04A0"/>
        </w:tblPrEx>
        <w:trPr>
          <w:trHeight w:val="288"/>
        </w:trPr>
        <w:tc>
          <w:tcPr>
            <w:tcW w:w="1753" w:type="dxa"/>
            <w:tcBorders>
              <w:top w:val="nil"/>
              <w:left w:val="single" w:sz="4" w:space="0" w:color="auto"/>
              <w:bottom w:val="single" w:sz="4" w:space="0" w:color="auto"/>
              <w:right w:val="single" w:sz="4" w:space="0" w:color="auto"/>
            </w:tcBorders>
            <w:shd w:val="clear" w:color="auto" w:fill="auto"/>
            <w:vAlign w:val="center"/>
          </w:tcPr>
          <w:p w:rsidR="003D36AF" w:rsidRPr="00A672D4" w:rsidP="003D36AF" w14:paraId="66C17A41" w14:textId="16F36185">
            <w:pPr>
              <w:ind w:left="270"/>
              <w:rPr>
                <w:rFonts w:ascii="Times New Roman" w:hAnsi="Times New Roman"/>
                <w:sz w:val="20"/>
                <w:lang w:bidi="en-US"/>
              </w:rPr>
            </w:pPr>
            <w:r>
              <w:rPr>
                <w:rFonts w:ascii="Times New Roman" w:hAnsi="Times New Roman"/>
                <w:sz w:val="20"/>
                <w:lang w:bidi="en-US"/>
              </w:rPr>
              <w:t>(New) Final Rule</w:t>
            </w:r>
            <w:r w:rsidRPr="00A672D4">
              <w:rPr>
                <w:rFonts w:ascii="Times New Roman" w:hAnsi="Times New Roman"/>
                <w:sz w:val="20"/>
                <w:lang w:bidi="en-US"/>
              </w:rPr>
              <w:t xml:space="preserve"> – Policies and Proced</w:t>
            </w:r>
            <w:r w:rsidR="008B115E">
              <w:rPr>
                <w:rFonts w:ascii="Times New Roman" w:hAnsi="Times New Roman"/>
                <w:sz w:val="20"/>
                <w:lang w:bidi="en-US"/>
              </w:rPr>
              <w:t>ures - Implementation</w:t>
            </w:r>
            <w:r w:rsidR="008B115E">
              <w:rPr>
                <w:rFonts w:ascii="Times New Roman" w:hAnsi="Times New Roman"/>
                <w:sz w:val="20"/>
                <w:lang w:bidi="en-US"/>
              </w:rPr>
              <w:br/>
              <w:t>(</w:t>
            </w:r>
            <w:r w:rsidRPr="00A672D4">
              <w:rPr>
                <w:rFonts w:ascii="Times New Roman" w:hAnsi="Times New Roman"/>
                <w:sz w:val="20"/>
                <w:lang w:bidi="en-US"/>
              </w:rPr>
              <w:t>12 CFR 323.17)</w:t>
            </w:r>
          </w:p>
        </w:tc>
        <w:tc>
          <w:tcPr>
            <w:tcW w:w="1697" w:type="dxa"/>
            <w:tcBorders>
              <w:top w:val="nil"/>
              <w:left w:val="nil"/>
              <w:bottom w:val="single" w:sz="4" w:space="0" w:color="auto"/>
              <w:right w:val="single" w:sz="4" w:space="0" w:color="auto"/>
            </w:tcBorders>
            <w:shd w:val="clear" w:color="auto" w:fill="auto"/>
            <w:noWrap/>
            <w:vAlign w:val="center"/>
          </w:tcPr>
          <w:p w:rsidR="003D36AF" w:rsidRPr="00A672D4" w:rsidP="003D36AF" w14:paraId="277C0F11" w14:textId="77777777">
            <w:pPr>
              <w:ind w:left="270"/>
              <w:rPr>
                <w:rFonts w:ascii="Times New Roman" w:hAnsi="Times New Roman"/>
                <w:sz w:val="20"/>
                <w:lang w:bidi="en-US"/>
              </w:rPr>
            </w:pPr>
            <w:r w:rsidRPr="00A672D4">
              <w:rPr>
                <w:rFonts w:ascii="Times New Roman" w:hAnsi="Times New Roman"/>
                <w:sz w:val="20"/>
                <w:lang w:bidi="en-US"/>
              </w:rPr>
              <w:t>Recordkeeping</w:t>
            </w:r>
            <w:r w:rsidRPr="00A672D4">
              <w:rPr>
                <w:rFonts w:ascii="Times New Roman" w:hAnsi="Times New Roman"/>
                <w:sz w:val="20"/>
                <w:lang w:bidi="en-US"/>
              </w:rPr>
              <w:br/>
              <w:t>(Mandatory)</w:t>
            </w:r>
          </w:p>
        </w:tc>
        <w:tc>
          <w:tcPr>
            <w:tcW w:w="1331" w:type="dxa"/>
            <w:tcBorders>
              <w:top w:val="single" w:sz="4" w:space="0" w:color="auto"/>
              <w:left w:val="nil"/>
              <w:bottom w:val="single" w:sz="4" w:space="0" w:color="auto"/>
              <w:right w:val="single" w:sz="4" w:space="0" w:color="auto"/>
            </w:tcBorders>
            <w:vAlign w:val="center"/>
          </w:tcPr>
          <w:p w:rsidR="003D36AF" w:rsidRPr="00A672D4" w:rsidP="003D36AF" w14:paraId="5D5AD7E4" w14:textId="77777777">
            <w:pPr>
              <w:ind w:left="270"/>
              <w:rPr>
                <w:rFonts w:ascii="Times New Roman" w:hAnsi="Times New Roman"/>
                <w:sz w:val="20"/>
                <w:lang w:bidi="en-US"/>
              </w:rPr>
            </w:pPr>
            <w:r w:rsidRPr="00A672D4">
              <w:rPr>
                <w:rFonts w:ascii="Times New Roman" w:hAnsi="Times New Roman"/>
                <w:sz w:val="20"/>
                <w:lang w:bidi="en-US"/>
              </w:rPr>
              <w:t>Annual</w:t>
            </w:r>
          </w:p>
        </w:tc>
        <w:tc>
          <w:tcPr>
            <w:tcW w:w="1509" w:type="dxa"/>
            <w:tcBorders>
              <w:top w:val="nil"/>
              <w:left w:val="single" w:sz="4" w:space="0" w:color="auto"/>
              <w:bottom w:val="single" w:sz="4" w:space="0" w:color="auto"/>
              <w:right w:val="single" w:sz="4" w:space="0" w:color="auto"/>
            </w:tcBorders>
            <w:shd w:val="clear" w:color="auto" w:fill="auto"/>
            <w:noWrap/>
            <w:vAlign w:val="center"/>
          </w:tcPr>
          <w:p w:rsidR="003D36AF" w:rsidRPr="00A672D4" w:rsidP="003D36AF" w14:paraId="01192212" w14:textId="5EEB35F0">
            <w:pPr>
              <w:ind w:left="270"/>
              <w:rPr>
                <w:rFonts w:ascii="Times New Roman" w:hAnsi="Times New Roman"/>
                <w:sz w:val="20"/>
                <w:lang w:bidi="en-US"/>
              </w:rPr>
            </w:pPr>
            <w:r>
              <w:rPr>
                <w:rFonts w:ascii="Times New Roman" w:hAnsi="Times New Roman"/>
                <w:sz w:val="20"/>
                <w:lang w:bidi="en-US"/>
              </w:rPr>
              <w:t>1,010</w:t>
            </w:r>
          </w:p>
        </w:tc>
        <w:tc>
          <w:tcPr>
            <w:tcW w:w="1431" w:type="dxa"/>
            <w:tcBorders>
              <w:top w:val="nil"/>
              <w:left w:val="nil"/>
              <w:bottom w:val="single" w:sz="4" w:space="0" w:color="auto"/>
              <w:right w:val="single" w:sz="4" w:space="0" w:color="auto"/>
            </w:tcBorders>
            <w:shd w:val="clear" w:color="auto" w:fill="auto"/>
            <w:noWrap/>
            <w:vAlign w:val="center"/>
          </w:tcPr>
          <w:p w:rsidR="003D36AF" w:rsidRPr="00A672D4" w:rsidP="003D36AF" w14:paraId="3C3CB0A8" w14:textId="3D66BEA9">
            <w:pPr>
              <w:ind w:left="270"/>
              <w:rPr>
                <w:rFonts w:ascii="Times New Roman" w:hAnsi="Times New Roman"/>
                <w:sz w:val="20"/>
                <w:lang w:bidi="en-US"/>
              </w:rPr>
            </w:pPr>
            <w:r>
              <w:rPr>
                <w:rFonts w:ascii="Times New Roman" w:hAnsi="Times New Roman"/>
                <w:sz w:val="20"/>
                <w:lang w:bidi="en-US"/>
              </w:rPr>
              <w:t>.33</w:t>
            </w:r>
          </w:p>
        </w:tc>
        <w:tc>
          <w:tcPr>
            <w:tcW w:w="1253" w:type="dxa"/>
            <w:tcBorders>
              <w:top w:val="nil"/>
              <w:left w:val="nil"/>
              <w:bottom w:val="single" w:sz="4" w:space="0" w:color="auto"/>
              <w:right w:val="single" w:sz="4" w:space="0" w:color="auto"/>
            </w:tcBorders>
            <w:shd w:val="clear" w:color="auto" w:fill="auto"/>
            <w:noWrap/>
            <w:vAlign w:val="center"/>
          </w:tcPr>
          <w:p w:rsidR="003D36AF" w:rsidRPr="00A672D4" w:rsidP="003D36AF" w14:paraId="7F51E5A2" w14:textId="7ED526C6">
            <w:pPr>
              <w:ind w:left="270"/>
              <w:rPr>
                <w:rFonts w:ascii="Times New Roman" w:hAnsi="Times New Roman"/>
                <w:sz w:val="20"/>
                <w:lang w:bidi="en-US"/>
              </w:rPr>
            </w:pPr>
            <w:r>
              <w:rPr>
                <w:rFonts w:ascii="Times New Roman" w:hAnsi="Times New Roman"/>
                <w:sz w:val="20"/>
                <w:lang w:bidi="en-US"/>
              </w:rPr>
              <w:t>40</w:t>
            </w:r>
            <w:r w:rsidRPr="00A672D4">
              <w:rPr>
                <w:rFonts w:ascii="Times New Roman" w:hAnsi="Times New Roman"/>
                <w:sz w:val="20"/>
                <w:lang w:bidi="en-US"/>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3D36AF" w:rsidRPr="00A672D4" w:rsidP="003D36AF" w14:paraId="03E383E6" w14:textId="09657526">
            <w:pPr>
              <w:ind w:left="270"/>
              <w:rPr>
                <w:rFonts w:ascii="Times New Roman" w:hAnsi="Times New Roman"/>
                <w:sz w:val="20"/>
                <w:lang w:bidi="en-US"/>
              </w:rPr>
            </w:pPr>
            <w:r>
              <w:rPr>
                <w:rFonts w:ascii="Times New Roman" w:hAnsi="Times New Roman"/>
                <w:sz w:val="20"/>
                <w:lang w:bidi="en-US"/>
              </w:rPr>
              <w:t>13,320</w:t>
            </w:r>
          </w:p>
        </w:tc>
      </w:tr>
      <w:tr w14:paraId="7FC74DC3" w14:textId="77777777" w:rsidTr="008C5F1B">
        <w:tblPrEx>
          <w:tblW w:w="10110" w:type="dxa"/>
          <w:tblLook w:val="04A0"/>
        </w:tblPrEx>
        <w:trPr>
          <w:trHeight w:val="899"/>
        </w:trPr>
        <w:tc>
          <w:tcPr>
            <w:tcW w:w="1753" w:type="dxa"/>
            <w:tcBorders>
              <w:top w:val="nil"/>
              <w:left w:val="single" w:sz="4" w:space="0" w:color="auto"/>
              <w:bottom w:val="single" w:sz="4" w:space="0" w:color="auto"/>
              <w:right w:val="single" w:sz="4" w:space="0" w:color="auto"/>
            </w:tcBorders>
            <w:shd w:val="clear" w:color="auto" w:fill="auto"/>
            <w:vAlign w:val="center"/>
          </w:tcPr>
          <w:p w:rsidR="003D36AF" w:rsidRPr="00A672D4" w:rsidP="003D36AF" w14:paraId="3AFA6076" w14:textId="23E6D478">
            <w:pPr>
              <w:ind w:left="270"/>
              <w:rPr>
                <w:rFonts w:ascii="Times New Roman" w:hAnsi="Times New Roman"/>
                <w:sz w:val="20"/>
                <w:lang w:bidi="en-US"/>
              </w:rPr>
            </w:pPr>
            <w:r>
              <w:rPr>
                <w:rFonts w:ascii="Times New Roman" w:hAnsi="Times New Roman"/>
                <w:sz w:val="20"/>
                <w:lang w:bidi="en-US"/>
              </w:rPr>
              <w:t xml:space="preserve">(New) </w:t>
            </w:r>
            <w:r w:rsidRPr="00A672D4">
              <w:rPr>
                <w:rFonts w:ascii="Times New Roman" w:hAnsi="Times New Roman"/>
                <w:sz w:val="20"/>
                <w:lang w:bidi="en-US"/>
              </w:rPr>
              <w:t xml:space="preserve"> – </w:t>
            </w:r>
            <w:r>
              <w:rPr>
                <w:rFonts w:ascii="Times New Roman" w:hAnsi="Times New Roman"/>
                <w:sz w:val="20"/>
                <w:lang w:bidi="en-US"/>
              </w:rPr>
              <w:t>Final Rule</w:t>
            </w:r>
            <w:r w:rsidRPr="00A672D4">
              <w:rPr>
                <w:rFonts w:ascii="Times New Roman" w:hAnsi="Times New Roman"/>
                <w:sz w:val="20"/>
                <w:lang w:bidi="en-US"/>
              </w:rPr>
              <w:t xml:space="preserve"> –</w:t>
            </w:r>
            <w:r w:rsidRPr="00A672D4">
              <w:rPr>
                <w:rFonts w:ascii="Times New Roman" w:hAnsi="Times New Roman"/>
                <w:sz w:val="20"/>
                <w:lang w:bidi="en-US"/>
              </w:rPr>
              <w:t xml:space="preserve">Policies and Procedures – Ongoing </w:t>
            </w:r>
          </w:p>
          <w:p w:rsidR="003D36AF" w:rsidRPr="00A672D4" w:rsidP="003D36AF" w14:paraId="32536DCD" w14:textId="5D35FE55">
            <w:pPr>
              <w:ind w:left="270"/>
              <w:rPr>
                <w:rFonts w:ascii="Times New Roman" w:hAnsi="Times New Roman"/>
                <w:sz w:val="20"/>
                <w:lang w:bidi="en-US"/>
              </w:rPr>
            </w:pPr>
            <w:r>
              <w:rPr>
                <w:rFonts w:ascii="Times New Roman" w:hAnsi="Times New Roman"/>
                <w:sz w:val="20"/>
                <w:lang w:bidi="en-US"/>
              </w:rPr>
              <w:t xml:space="preserve">   (</w:t>
            </w:r>
            <w:r w:rsidRPr="00A672D4">
              <w:rPr>
                <w:rFonts w:ascii="Times New Roman" w:hAnsi="Times New Roman"/>
                <w:sz w:val="20"/>
                <w:lang w:bidi="en-US"/>
              </w:rPr>
              <w:t>12 CFR 323.17)</w:t>
            </w:r>
          </w:p>
        </w:tc>
        <w:tc>
          <w:tcPr>
            <w:tcW w:w="1697" w:type="dxa"/>
            <w:tcBorders>
              <w:top w:val="nil"/>
              <w:left w:val="nil"/>
              <w:bottom w:val="single" w:sz="4" w:space="0" w:color="auto"/>
              <w:right w:val="single" w:sz="4" w:space="0" w:color="auto"/>
            </w:tcBorders>
            <w:shd w:val="clear" w:color="auto" w:fill="auto"/>
            <w:noWrap/>
            <w:vAlign w:val="center"/>
          </w:tcPr>
          <w:p w:rsidR="003D36AF" w:rsidRPr="00A672D4" w:rsidP="003D36AF" w14:paraId="45A830A2" w14:textId="77777777">
            <w:pPr>
              <w:ind w:left="270"/>
              <w:rPr>
                <w:rFonts w:ascii="Times New Roman" w:hAnsi="Times New Roman"/>
                <w:sz w:val="20"/>
                <w:lang w:bidi="en-US"/>
              </w:rPr>
            </w:pPr>
            <w:r w:rsidRPr="00A672D4">
              <w:rPr>
                <w:rFonts w:ascii="Times New Roman" w:hAnsi="Times New Roman"/>
                <w:sz w:val="20"/>
                <w:lang w:bidi="en-US"/>
              </w:rPr>
              <w:t>Recordkeeping</w:t>
            </w:r>
            <w:r w:rsidRPr="00A672D4">
              <w:rPr>
                <w:rFonts w:ascii="Times New Roman" w:hAnsi="Times New Roman"/>
                <w:sz w:val="20"/>
                <w:lang w:bidi="en-US"/>
              </w:rPr>
              <w:br/>
              <w:t>(Mandatory)</w:t>
            </w:r>
          </w:p>
        </w:tc>
        <w:tc>
          <w:tcPr>
            <w:tcW w:w="1331" w:type="dxa"/>
            <w:tcBorders>
              <w:top w:val="single" w:sz="4" w:space="0" w:color="auto"/>
              <w:left w:val="nil"/>
              <w:bottom w:val="single" w:sz="4" w:space="0" w:color="auto"/>
              <w:right w:val="single" w:sz="4" w:space="0" w:color="auto"/>
            </w:tcBorders>
            <w:vAlign w:val="center"/>
          </w:tcPr>
          <w:p w:rsidR="003D36AF" w:rsidRPr="00A672D4" w:rsidP="003D36AF" w14:paraId="605E848D" w14:textId="77777777">
            <w:pPr>
              <w:ind w:left="270"/>
              <w:rPr>
                <w:rFonts w:ascii="Times New Roman" w:hAnsi="Times New Roman"/>
                <w:sz w:val="20"/>
                <w:lang w:bidi="en-US"/>
              </w:rPr>
            </w:pPr>
            <w:r w:rsidRPr="00A672D4">
              <w:rPr>
                <w:rFonts w:ascii="Times New Roman" w:hAnsi="Times New Roman"/>
                <w:sz w:val="20"/>
                <w:lang w:bidi="en-US"/>
              </w:rPr>
              <w:t>Annual</w:t>
            </w:r>
          </w:p>
        </w:tc>
        <w:tc>
          <w:tcPr>
            <w:tcW w:w="1509" w:type="dxa"/>
            <w:tcBorders>
              <w:top w:val="nil"/>
              <w:left w:val="single" w:sz="4" w:space="0" w:color="auto"/>
              <w:bottom w:val="single" w:sz="4" w:space="0" w:color="auto"/>
              <w:right w:val="single" w:sz="4" w:space="0" w:color="auto"/>
            </w:tcBorders>
            <w:shd w:val="clear" w:color="auto" w:fill="auto"/>
            <w:noWrap/>
            <w:vAlign w:val="center"/>
          </w:tcPr>
          <w:p w:rsidR="003D36AF" w:rsidRPr="00A672D4" w:rsidP="003D36AF" w14:paraId="250FFCED" w14:textId="759AFF7F">
            <w:pPr>
              <w:ind w:left="270"/>
              <w:rPr>
                <w:rFonts w:ascii="Times New Roman" w:hAnsi="Times New Roman"/>
                <w:sz w:val="20"/>
                <w:lang w:bidi="en-US"/>
              </w:rPr>
            </w:pPr>
            <w:r>
              <w:rPr>
                <w:rFonts w:ascii="Times New Roman" w:hAnsi="Times New Roman"/>
                <w:sz w:val="20"/>
                <w:lang w:bidi="en-US"/>
              </w:rPr>
              <w:t>1,010</w:t>
            </w:r>
          </w:p>
        </w:tc>
        <w:tc>
          <w:tcPr>
            <w:tcW w:w="1431" w:type="dxa"/>
            <w:tcBorders>
              <w:top w:val="nil"/>
              <w:left w:val="nil"/>
              <w:bottom w:val="single" w:sz="4" w:space="0" w:color="auto"/>
              <w:right w:val="single" w:sz="4" w:space="0" w:color="auto"/>
            </w:tcBorders>
            <w:shd w:val="clear" w:color="auto" w:fill="auto"/>
            <w:noWrap/>
            <w:vAlign w:val="center"/>
          </w:tcPr>
          <w:p w:rsidR="003D36AF" w:rsidRPr="00A672D4" w:rsidP="003D36AF" w14:paraId="7166D28E" w14:textId="77777777">
            <w:pPr>
              <w:ind w:left="270"/>
              <w:rPr>
                <w:rFonts w:ascii="Times New Roman" w:hAnsi="Times New Roman"/>
                <w:sz w:val="20"/>
                <w:lang w:bidi="en-US"/>
              </w:rPr>
            </w:pPr>
            <w:r w:rsidRPr="00A672D4">
              <w:rPr>
                <w:rFonts w:ascii="Times New Roman" w:hAnsi="Times New Roman"/>
                <w:sz w:val="20"/>
                <w:lang w:bidi="en-US"/>
              </w:rPr>
              <w:t>1</w:t>
            </w:r>
          </w:p>
        </w:tc>
        <w:tc>
          <w:tcPr>
            <w:tcW w:w="1253" w:type="dxa"/>
            <w:tcBorders>
              <w:top w:val="nil"/>
              <w:left w:val="nil"/>
              <w:bottom w:val="single" w:sz="4" w:space="0" w:color="auto"/>
              <w:right w:val="single" w:sz="4" w:space="0" w:color="auto"/>
            </w:tcBorders>
            <w:shd w:val="clear" w:color="auto" w:fill="auto"/>
            <w:noWrap/>
            <w:vAlign w:val="center"/>
          </w:tcPr>
          <w:p w:rsidR="003D36AF" w:rsidRPr="00A672D4" w:rsidP="003D36AF" w14:paraId="10A89636" w14:textId="77777777">
            <w:pPr>
              <w:ind w:left="270"/>
              <w:rPr>
                <w:rFonts w:ascii="Times New Roman" w:hAnsi="Times New Roman"/>
                <w:sz w:val="20"/>
                <w:lang w:bidi="en-US"/>
              </w:rPr>
            </w:pPr>
            <w:r w:rsidRPr="00A672D4">
              <w:rPr>
                <w:rFonts w:ascii="Times New Roman" w:hAnsi="Times New Roman"/>
                <w:sz w:val="20"/>
                <w:lang w:bidi="en-US"/>
              </w:rPr>
              <w:t>5</w:t>
            </w:r>
          </w:p>
        </w:tc>
        <w:tc>
          <w:tcPr>
            <w:tcW w:w="1136" w:type="dxa"/>
            <w:tcBorders>
              <w:top w:val="nil"/>
              <w:left w:val="nil"/>
              <w:bottom w:val="single" w:sz="4" w:space="0" w:color="auto"/>
              <w:right w:val="single" w:sz="4" w:space="0" w:color="auto"/>
            </w:tcBorders>
            <w:shd w:val="clear" w:color="auto" w:fill="auto"/>
            <w:noWrap/>
            <w:vAlign w:val="center"/>
          </w:tcPr>
          <w:p w:rsidR="003D36AF" w:rsidRPr="00A672D4" w:rsidP="003D36AF" w14:paraId="2E975C93" w14:textId="11A8B728">
            <w:pPr>
              <w:ind w:left="270"/>
              <w:rPr>
                <w:rFonts w:ascii="Times New Roman" w:hAnsi="Times New Roman"/>
                <w:sz w:val="20"/>
                <w:lang w:bidi="en-US"/>
              </w:rPr>
            </w:pPr>
            <w:r>
              <w:rPr>
                <w:rFonts w:ascii="Times New Roman" w:hAnsi="Times New Roman"/>
                <w:sz w:val="20"/>
                <w:lang w:bidi="en-US"/>
              </w:rPr>
              <w:t>5,050</w:t>
            </w:r>
          </w:p>
        </w:tc>
      </w:tr>
      <w:tr w14:paraId="75BBB128" w14:textId="77777777" w:rsidTr="008C5F1B">
        <w:tblPrEx>
          <w:tblW w:w="10110" w:type="dxa"/>
          <w:tblLook w:val="04A0"/>
        </w:tblPrEx>
        <w:trPr>
          <w:trHeight w:val="288"/>
        </w:trPr>
        <w:tc>
          <w:tcPr>
            <w:tcW w:w="1753" w:type="dxa"/>
            <w:tcBorders>
              <w:top w:val="nil"/>
              <w:left w:val="single" w:sz="4" w:space="0" w:color="auto"/>
              <w:bottom w:val="single" w:sz="4" w:space="0" w:color="auto"/>
              <w:right w:val="single" w:sz="4" w:space="0" w:color="auto"/>
            </w:tcBorders>
            <w:shd w:val="clear" w:color="auto" w:fill="auto"/>
            <w:vAlign w:val="center"/>
          </w:tcPr>
          <w:p w:rsidR="003D36AF" w:rsidRPr="00A672D4" w:rsidP="003D36AF" w14:paraId="1BFF344B" w14:textId="77777777">
            <w:pPr>
              <w:ind w:left="270"/>
              <w:rPr>
                <w:rFonts w:ascii="Times New Roman" w:hAnsi="Times New Roman"/>
                <w:sz w:val="20"/>
                <w:lang w:bidi="en-US"/>
              </w:rPr>
            </w:pPr>
            <w:r w:rsidRPr="00A672D4">
              <w:rPr>
                <w:rFonts w:ascii="Times New Roman" w:hAnsi="Times New Roman"/>
                <w:sz w:val="20"/>
                <w:lang w:bidi="en-US"/>
              </w:rPr>
              <w:t xml:space="preserve">(New) – Guidelines – Policies and Procedures – Ongoing </w:t>
            </w:r>
            <w:r w:rsidRPr="00A672D4">
              <w:rPr>
                <w:rFonts w:ascii="Times New Roman" w:hAnsi="Times New Roman"/>
                <w:sz w:val="20"/>
                <w:lang w:bidi="en-US"/>
              </w:rPr>
              <w:br/>
              <w:t>(Guidelines secs. IV, XV D)</w:t>
            </w:r>
          </w:p>
        </w:tc>
        <w:tc>
          <w:tcPr>
            <w:tcW w:w="1697" w:type="dxa"/>
            <w:tcBorders>
              <w:top w:val="nil"/>
              <w:left w:val="nil"/>
              <w:bottom w:val="single" w:sz="4" w:space="0" w:color="auto"/>
              <w:right w:val="single" w:sz="4" w:space="0" w:color="auto"/>
            </w:tcBorders>
            <w:shd w:val="clear" w:color="auto" w:fill="auto"/>
            <w:noWrap/>
            <w:vAlign w:val="center"/>
          </w:tcPr>
          <w:p w:rsidR="003D36AF" w:rsidRPr="00A672D4" w:rsidP="003D36AF" w14:paraId="2885DDDD" w14:textId="1E816BC1">
            <w:pPr>
              <w:ind w:left="270"/>
              <w:rPr>
                <w:rFonts w:ascii="Times New Roman" w:hAnsi="Times New Roman"/>
                <w:sz w:val="20"/>
                <w:lang w:bidi="en-US"/>
              </w:rPr>
            </w:pPr>
            <w:r w:rsidRPr="00A672D4">
              <w:rPr>
                <w:rFonts w:ascii="Times New Roman" w:hAnsi="Times New Roman"/>
                <w:sz w:val="20"/>
                <w:lang w:bidi="en-US"/>
              </w:rPr>
              <w:t>Recordkeeping</w:t>
            </w:r>
            <w:r w:rsidRPr="00A672D4">
              <w:rPr>
                <w:rFonts w:ascii="Times New Roman" w:hAnsi="Times New Roman"/>
                <w:sz w:val="20"/>
                <w:lang w:bidi="en-US"/>
              </w:rPr>
              <w:br/>
            </w:r>
            <w:r w:rsidR="006B7FED">
              <w:rPr>
                <w:rFonts w:ascii="Times New Roman" w:hAnsi="Times New Roman"/>
                <w:sz w:val="20"/>
                <w:lang w:bidi="en-US"/>
              </w:rPr>
              <w:t>(Voluntary</w:t>
            </w:r>
            <w:r w:rsidRPr="00A672D4">
              <w:rPr>
                <w:rFonts w:ascii="Times New Roman" w:hAnsi="Times New Roman"/>
                <w:sz w:val="20"/>
                <w:lang w:bidi="en-US"/>
              </w:rPr>
              <w:t>)</w:t>
            </w:r>
          </w:p>
        </w:tc>
        <w:tc>
          <w:tcPr>
            <w:tcW w:w="1331" w:type="dxa"/>
            <w:tcBorders>
              <w:top w:val="single" w:sz="4" w:space="0" w:color="auto"/>
              <w:left w:val="nil"/>
              <w:bottom w:val="single" w:sz="4" w:space="0" w:color="auto"/>
              <w:right w:val="single" w:sz="4" w:space="0" w:color="auto"/>
            </w:tcBorders>
            <w:vAlign w:val="center"/>
          </w:tcPr>
          <w:p w:rsidR="003D36AF" w:rsidRPr="00A672D4" w:rsidP="003D36AF" w14:paraId="329D3F1A" w14:textId="77777777">
            <w:pPr>
              <w:ind w:left="270"/>
              <w:rPr>
                <w:rFonts w:ascii="Times New Roman" w:hAnsi="Times New Roman"/>
                <w:sz w:val="20"/>
                <w:lang w:bidi="en-US"/>
              </w:rPr>
            </w:pPr>
            <w:r w:rsidRPr="00A672D4">
              <w:rPr>
                <w:rFonts w:ascii="Times New Roman" w:hAnsi="Times New Roman"/>
                <w:sz w:val="20"/>
                <w:lang w:bidi="en-US"/>
              </w:rPr>
              <w:t>Annual</w:t>
            </w:r>
          </w:p>
        </w:tc>
        <w:tc>
          <w:tcPr>
            <w:tcW w:w="1509" w:type="dxa"/>
            <w:tcBorders>
              <w:top w:val="nil"/>
              <w:left w:val="single" w:sz="4" w:space="0" w:color="auto"/>
              <w:bottom w:val="single" w:sz="4" w:space="0" w:color="auto"/>
              <w:right w:val="single" w:sz="4" w:space="0" w:color="auto"/>
            </w:tcBorders>
            <w:shd w:val="clear" w:color="auto" w:fill="auto"/>
            <w:noWrap/>
            <w:vAlign w:val="center"/>
          </w:tcPr>
          <w:p w:rsidR="003D36AF" w:rsidRPr="00A672D4" w:rsidP="003D36AF" w14:paraId="558A9DCA" w14:textId="2EC9E1E4">
            <w:pPr>
              <w:ind w:left="270"/>
              <w:rPr>
                <w:rFonts w:ascii="Times New Roman" w:hAnsi="Times New Roman"/>
                <w:sz w:val="20"/>
                <w:lang w:bidi="en-US"/>
              </w:rPr>
            </w:pPr>
            <w:r>
              <w:rPr>
                <w:rFonts w:ascii="Times New Roman" w:hAnsi="Times New Roman"/>
                <w:sz w:val="20"/>
                <w:lang w:bidi="en-US"/>
              </w:rPr>
              <w:t>2,936</w:t>
            </w:r>
          </w:p>
        </w:tc>
        <w:tc>
          <w:tcPr>
            <w:tcW w:w="1431" w:type="dxa"/>
            <w:tcBorders>
              <w:top w:val="nil"/>
              <w:left w:val="nil"/>
              <w:bottom w:val="single" w:sz="4" w:space="0" w:color="auto"/>
              <w:right w:val="single" w:sz="4" w:space="0" w:color="auto"/>
            </w:tcBorders>
            <w:shd w:val="clear" w:color="auto" w:fill="auto"/>
            <w:noWrap/>
            <w:vAlign w:val="center"/>
          </w:tcPr>
          <w:p w:rsidR="003D36AF" w:rsidRPr="00A672D4" w:rsidP="003D36AF" w14:paraId="41D423F3" w14:textId="77777777">
            <w:pPr>
              <w:ind w:left="270"/>
              <w:rPr>
                <w:rFonts w:ascii="Times New Roman" w:hAnsi="Times New Roman"/>
                <w:sz w:val="20"/>
                <w:lang w:bidi="en-US"/>
              </w:rPr>
            </w:pPr>
            <w:r w:rsidRPr="00A672D4">
              <w:rPr>
                <w:rFonts w:ascii="Times New Roman" w:hAnsi="Times New Roman"/>
                <w:sz w:val="20"/>
                <w:lang w:bidi="en-US"/>
              </w:rPr>
              <w:t>1</w:t>
            </w:r>
          </w:p>
        </w:tc>
        <w:tc>
          <w:tcPr>
            <w:tcW w:w="1253" w:type="dxa"/>
            <w:tcBorders>
              <w:top w:val="nil"/>
              <w:left w:val="nil"/>
              <w:bottom w:val="single" w:sz="4" w:space="0" w:color="auto"/>
              <w:right w:val="single" w:sz="4" w:space="0" w:color="auto"/>
            </w:tcBorders>
            <w:shd w:val="clear" w:color="auto" w:fill="auto"/>
            <w:noWrap/>
            <w:vAlign w:val="center"/>
          </w:tcPr>
          <w:p w:rsidR="003D36AF" w:rsidRPr="00A672D4" w:rsidP="003D36AF" w14:paraId="02740BC1" w14:textId="77777777">
            <w:pPr>
              <w:ind w:left="270"/>
              <w:rPr>
                <w:rFonts w:ascii="Times New Roman" w:hAnsi="Times New Roman"/>
                <w:sz w:val="20"/>
                <w:lang w:bidi="en-US"/>
              </w:rPr>
            </w:pPr>
            <w:r w:rsidRPr="00A672D4">
              <w:rPr>
                <w:rFonts w:ascii="Times New Roman" w:hAnsi="Times New Roman"/>
                <w:sz w:val="20"/>
                <w:lang w:bidi="en-US"/>
              </w:rPr>
              <w:t>10</w:t>
            </w:r>
          </w:p>
        </w:tc>
        <w:tc>
          <w:tcPr>
            <w:tcW w:w="1136" w:type="dxa"/>
            <w:tcBorders>
              <w:top w:val="nil"/>
              <w:left w:val="nil"/>
              <w:bottom w:val="single" w:sz="4" w:space="0" w:color="auto"/>
              <w:right w:val="single" w:sz="4" w:space="0" w:color="auto"/>
            </w:tcBorders>
            <w:shd w:val="clear" w:color="auto" w:fill="auto"/>
            <w:noWrap/>
            <w:vAlign w:val="center"/>
          </w:tcPr>
          <w:p w:rsidR="003D36AF" w:rsidRPr="00A672D4" w:rsidP="003D36AF" w14:paraId="38F3A2DC" w14:textId="599AEA55">
            <w:pPr>
              <w:ind w:left="270"/>
              <w:rPr>
                <w:rFonts w:ascii="Times New Roman" w:hAnsi="Times New Roman"/>
                <w:sz w:val="20"/>
                <w:lang w:bidi="en-US"/>
              </w:rPr>
            </w:pPr>
            <w:r>
              <w:rPr>
                <w:rFonts w:ascii="Times New Roman" w:hAnsi="Times New Roman"/>
                <w:sz w:val="20"/>
                <w:lang w:bidi="en-US"/>
              </w:rPr>
              <w:t>29,360</w:t>
            </w:r>
          </w:p>
        </w:tc>
      </w:tr>
      <w:tr w14:paraId="4FA6BDFA" w14:textId="77777777" w:rsidTr="008C5F1B">
        <w:tblPrEx>
          <w:tblW w:w="10110" w:type="dxa"/>
          <w:tblLook w:val="04A0"/>
        </w:tblPrEx>
        <w:trPr>
          <w:trHeight w:val="288"/>
        </w:trPr>
        <w:tc>
          <w:tcPr>
            <w:tcW w:w="1753" w:type="dxa"/>
            <w:tcBorders>
              <w:top w:val="nil"/>
              <w:left w:val="single" w:sz="4" w:space="0" w:color="auto"/>
              <w:bottom w:val="single" w:sz="4" w:space="0" w:color="auto"/>
              <w:right w:val="single" w:sz="4" w:space="0" w:color="auto"/>
            </w:tcBorders>
            <w:shd w:val="clear" w:color="auto" w:fill="auto"/>
            <w:vAlign w:val="center"/>
          </w:tcPr>
          <w:p w:rsidR="003D36AF" w:rsidRPr="00A672D4" w:rsidP="003D36AF" w14:paraId="3C883734" w14:textId="77777777">
            <w:pPr>
              <w:ind w:left="270"/>
              <w:rPr>
                <w:rFonts w:ascii="Times New Roman" w:hAnsi="Times New Roman"/>
                <w:sz w:val="20"/>
                <w:lang w:bidi="en-US"/>
              </w:rPr>
            </w:pPr>
            <w:r w:rsidRPr="00A672D4">
              <w:rPr>
                <w:rFonts w:ascii="Times New Roman" w:hAnsi="Times New Roman"/>
                <w:sz w:val="20"/>
                <w:lang w:bidi="en-US"/>
              </w:rPr>
              <w:t xml:space="preserve">(New) – Guidelines - Disclosure – Ongoing </w:t>
            </w:r>
          </w:p>
          <w:p w:rsidR="003D36AF" w:rsidRPr="00A672D4" w:rsidP="003D36AF" w14:paraId="50BAA07A" w14:textId="77777777">
            <w:pPr>
              <w:ind w:left="270"/>
              <w:rPr>
                <w:rFonts w:ascii="Times New Roman" w:hAnsi="Times New Roman"/>
                <w:sz w:val="20"/>
                <w:lang w:bidi="en-US"/>
              </w:rPr>
            </w:pPr>
            <w:r w:rsidRPr="00A672D4">
              <w:rPr>
                <w:rFonts w:ascii="Times New Roman" w:hAnsi="Times New Roman"/>
                <w:sz w:val="20"/>
                <w:lang w:bidi="en-US"/>
              </w:rPr>
              <w:t>(Guidelines, sec. XVIII)</w:t>
            </w:r>
          </w:p>
        </w:tc>
        <w:tc>
          <w:tcPr>
            <w:tcW w:w="1697" w:type="dxa"/>
            <w:tcBorders>
              <w:top w:val="nil"/>
              <w:left w:val="nil"/>
              <w:bottom w:val="single" w:sz="4" w:space="0" w:color="auto"/>
              <w:right w:val="single" w:sz="4" w:space="0" w:color="auto"/>
            </w:tcBorders>
            <w:shd w:val="clear" w:color="auto" w:fill="auto"/>
            <w:noWrap/>
            <w:vAlign w:val="center"/>
          </w:tcPr>
          <w:p w:rsidR="003D36AF" w:rsidRPr="00A672D4" w:rsidP="003D36AF" w14:paraId="22AB5950" w14:textId="53D1836B">
            <w:pPr>
              <w:ind w:left="270"/>
              <w:rPr>
                <w:rFonts w:ascii="Times New Roman" w:hAnsi="Times New Roman"/>
                <w:sz w:val="20"/>
                <w:lang w:bidi="en-US"/>
              </w:rPr>
            </w:pPr>
            <w:r>
              <w:rPr>
                <w:rFonts w:ascii="Times New Roman" w:hAnsi="Times New Roman"/>
                <w:sz w:val="20"/>
                <w:lang w:bidi="en-US"/>
              </w:rPr>
              <w:t>Disclosure</w:t>
            </w:r>
            <w:r w:rsidR="006B7FED">
              <w:rPr>
                <w:rFonts w:ascii="Times New Roman" w:hAnsi="Times New Roman"/>
                <w:sz w:val="20"/>
                <w:lang w:bidi="en-US"/>
              </w:rPr>
              <w:br/>
              <w:t>(Voluntary</w:t>
            </w:r>
            <w:r w:rsidRPr="00A672D4">
              <w:rPr>
                <w:rFonts w:ascii="Times New Roman" w:hAnsi="Times New Roman"/>
                <w:sz w:val="20"/>
                <w:lang w:bidi="en-US"/>
              </w:rPr>
              <w:t>)</w:t>
            </w:r>
          </w:p>
        </w:tc>
        <w:tc>
          <w:tcPr>
            <w:tcW w:w="1331" w:type="dxa"/>
            <w:tcBorders>
              <w:top w:val="single" w:sz="4" w:space="0" w:color="auto"/>
              <w:left w:val="nil"/>
              <w:bottom w:val="single" w:sz="4" w:space="0" w:color="auto"/>
              <w:right w:val="single" w:sz="4" w:space="0" w:color="auto"/>
            </w:tcBorders>
            <w:vAlign w:val="center"/>
          </w:tcPr>
          <w:p w:rsidR="003D36AF" w:rsidRPr="00A672D4" w:rsidP="003D36AF" w14:paraId="228E289B" w14:textId="77777777">
            <w:pPr>
              <w:ind w:left="270"/>
              <w:rPr>
                <w:rFonts w:ascii="Times New Roman" w:hAnsi="Times New Roman"/>
                <w:sz w:val="20"/>
                <w:lang w:bidi="en-US"/>
              </w:rPr>
            </w:pPr>
            <w:r w:rsidRPr="00A672D4">
              <w:rPr>
                <w:rFonts w:ascii="Times New Roman" w:hAnsi="Times New Roman"/>
                <w:sz w:val="20"/>
                <w:lang w:bidi="en-US"/>
              </w:rPr>
              <w:t>Annual</w:t>
            </w:r>
          </w:p>
        </w:tc>
        <w:tc>
          <w:tcPr>
            <w:tcW w:w="1509" w:type="dxa"/>
            <w:tcBorders>
              <w:top w:val="nil"/>
              <w:left w:val="single" w:sz="4" w:space="0" w:color="auto"/>
              <w:bottom w:val="single" w:sz="4" w:space="0" w:color="auto"/>
              <w:right w:val="single" w:sz="4" w:space="0" w:color="auto"/>
            </w:tcBorders>
            <w:shd w:val="clear" w:color="auto" w:fill="auto"/>
            <w:noWrap/>
            <w:vAlign w:val="center"/>
          </w:tcPr>
          <w:p w:rsidR="003D36AF" w:rsidRPr="00A672D4" w:rsidP="003D36AF" w14:paraId="42B89448" w14:textId="2A71553C">
            <w:pPr>
              <w:ind w:left="270"/>
              <w:rPr>
                <w:rFonts w:ascii="Times New Roman" w:hAnsi="Times New Roman"/>
                <w:sz w:val="20"/>
                <w:lang w:bidi="en-US"/>
              </w:rPr>
            </w:pPr>
            <w:r>
              <w:rPr>
                <w:rFonts w:ascii="Times New Roman" w:hAnsi="Times New Roman"/>
                <w:sz w:val="20"/>
                <w:lang w:bidi="en-US"/>
              </w:rPr>
              <w:t>2</w:t>
            </w:r>
            <w:r w:rsidR="008B7B9E">
              <w:rPr>
                <w:rFonts w:ascii="Times New Roman" w:hAnsi="Times New Roman"/>
                <w:sz w:val="20"/>
                <w:lang w:bidi="en-US"/>
              </w:rPr>
              <w:t>,936</w:t>
            </w:r>
          </w:p>
        </w:tc>
        <w:tc>
          <w:tcPr>
            <w:tcW w:w="1431" w:type="dxa"/>
            <w:tcBorders>
              <w:top w:val="nil"/>
              <w:left w:val="nil"/>
              <w:bottom w:val="single" w:sz="4" w:space="0" w:color="auto"/>
              <w:right w:val="single" w:sz="4" w:space="0" w:color="auto"/>
            </w:tcBorders>
            <w:shd w:val="clear" w:color="auto" w:fill="auto"/>
            <w:noWrap/>
            <w:vAlign w:val="center"/>
          </w:tcPr>
          <w:p w:rsidR="003D36AF" w:rsidRPr="00A672D4" w:rsidP="003D36AF" w14:paraId="3E1D5D0E" w14:textId="77777777">
            <w:pPr>
              <w:ind w:left="270"/>
              <w:rPr>
                <w:rFonts w:ascii="Times New Roman" w:hAnsi="Times New Roman"/>
                <w:sz w:val="20"/>
                <w:lang w:bidi="en-US"/>
              </w:rPr>
            </w:pPr>
            <w:r w:rsidRPr="00A672D4">
              <w:rPr>
                <w:rFonts w:ascii="Times New Roman" w:hAnsi="Times New Roman"/>
                <w:sz w:val="20"/>
                <w:lang w:bidi="en-US"/>
              </w:rPr>
              <w:t>1</w:t>
            </w:r>
          </w:p>
        </w:tc>
        <w:tc>
          <w:tcPr>
            <w:tcW w:w="1253" w:type="dxa"/>
            <w:tcBorders>
              <w:top w:val="nil"/>
              <w:left w:val="nil"/>
              <w:bottom w:val="single" w:sz="4" w:space="0" w:color="auto"/>
              <w:right w:val="single" w:sz="4" w:space="0" w:color="auto"/>
            </w:tcBorders>
            <w:shd w:val="clear" w:color="auto" w:fill="auto"/>
            <w:noWrap/>
            <w:vAlign w:val="center"/>
          </w:tcPr>
          <w:p w:rsidR="003D36AF" w:rsidRPr="00A672D4" w:rsidP="003D36AF" w14:paraId="0787C632" w14:textId="77777777">
            <w:pPr>
              <w:ind w:left="270"/>
              <w:rPr>
                <w:rFonts w:ascii="Times New Roman" w:hAnsi="Times New Roman"/>
                <w:sz w:val="20"/>
                <w:lang w:bidi="en-US"/>
              </w:rPr>
            </w:pPr>
            <w:r w:rsidRPr="00A672D4">
              <w:rPr>
                <w:rFonts w:ascii="Times New Roman" w:hAnsi="Times New Roman"/>
                <w:sz w:val="20"/>
                <w:lang w:bidi="en-US"/>
              </w:rPr>
              <w:t>5</w:t>
            </w:r>
          </w:p>
        </w:tc>
        <w:tc>
          <w:tcPr>
            <w:tcW w:w="1136" w:type="dxa"/>
            <w:tcBorders>
              <w:top w:val="nil"/>
              <w:left w:val="nil"/>
              <w:bottom w:val="single" w:sz="4" w:space="0" w:color="auto"/>
              <w:right w:val="single" w:sz="4" w:space="0" w:color="auto"/>
            </w:tcBorders>
            <w:shd w:val="clear" w:color="auto" w:fill="auto"/>
            <w:noWrap/>
            <w:vAlign w:val="center"/>
          </w:tcPr>
          <w:p w:rsidR="003D36AF" w:rsidRPr="00A672D4" w:rsidP="003D36AF" w14:paraId="7ECB130C" w14:textId="16E25083">
            <w:pPr>
              <w:ind w:left="270"/>
              <w:rPr>
                <w:rFonts w:ascii="Times New Roman" w:hAnsi="Times New Roman"/>
                <w:sz w:val="20"/>
                <w:lang w:bidi="en-US"/>
              </w:rPr>
            </w:pPr>
            <w:r>
              <w:rPr>
                <w:rFonts w:ascii="Times New Roman" w:hAnsi="Times New Roman"/>
                <w:sz w:val="20"/>
                <w:lang w:bidi="en-US"/>
              </w:rPr>
              <w:t>14,680</w:t>
            </w:r>
          </w:p>
        </w:tc>
      </w:tr>
      <w:tr w14:paraId="2D728E64" w14:textId="77777777" w:rsidTr="008C5F1B">
        <w:tblPrEx>
          <w:tblW w:w="10110" w:type="dxa"/>
          <w:tblLook w:val="04A0"/>
        </w:tblPrEx>
        <w:trPr>
          <w:trHeight w:val="288"/>
        </w:trPr>
        <w:tc>
          <w:tcPr>
            <w:tcW w:w="1753" w:type="dxa"/>
            <w:tcBorders>
              <w:top w:val="nil"/>
              <w:left w:val="single" w:sz="4" w:space="0" w:color="auto"/>
              <w:bottom w:val="single" w:sz="4" w:space="0" w:color="auto"/>
              <w:right w:val="single" w:sz="4" w:space="0" w:color="auto"/>
            </w:tcBorders>
            <w:shd w:val="clear" w:color="auto" w:fill="auto"/>
            <w:vAlign w:val="center"/>
          </w:tcPr>
          <w:p w:rsidR="002F03D5" w:rsidRPr="00A672D4" w:rsidP="003D36AF" w14:paraId="29B89BED" w14:textId="6BE3DB4E">
            <w:pPr>
              <w:ind w:left="270"/>
              <w:rPr>
                <w:rFonts w:ascii="Times New Roman" w:hAnsi="Times New Roman"/>
                <w:sz w:val="20"/>
                <w:lang w:bidi="en-US"/>
              </w:rPr>
            </w:pPr>
            <w:r>
              <w:rPr>
                <w:rFonts w:ascii="Times New Roman" w:hAnsi="Times New Roman"/>
                <w:sz w:val="20"/>
                <w:lang w:bidi="en-US"/>
              </w:rPr>
              <w:t xml:space="preserve">New </w:t>
            </w:r>
            <w:r w:rsidRPr="002F03D5">
              <w:rPr>
                <w:rFonts w:ascii="Times New Roman" w:hAnsi="Times New Roman"/>
                <w:sz w:val="20"/>
                <w:lang w:bidi="en-US"/>
              </w:rPr>
              <w:t xml:space="preserve"> – ROV Guidance – Policies and Proced</w:t>
            </w:r>
            <w:r>
              <w:rPr>
                <w:rFonts w:ascii="Times New Roman" w:hAnsi="Times New Roman"/>
                <w:sz w:val="20"/>
                <w:lang w:bidi="en-US"/>
              </w:rPr>
              <w:t xml:space="preserve">ures - Implementation </w:t>
            </w:r>
          </w:p>
        </w:tc>
        <w:tc>
          <w:tcPr>
            <w:tcW w:w="1697" w:type="dxa"/>
            <w:tcBorders>
              <w:top w:val="nil"/>
              <w:left w:val="nil"/>
              <w:bottom w:val="single" w:sz="4" w:space="0" w:color="auto"/>
              <w:right w:val="single" w:sz="4" w:space="0" w:color="auto"/>
            </w:tcBorders>
            <w:shd w:val="clear" w:color="auto" w:fill="auto"/>
            <w:noWrap/>
            <w:vAlign w:val="center"/>
          </w:tcPr>
          <w:p w:rsidR="002F03D5" w:rsidP="003D36AF" w14:paraId="2A428F44" w14:textId="54F041D4">
            <w:pPr>
              <w:ind w:left="270"/>
              <w:rPr>
                <w:rFonts w:ascii="Times New Roman" w:hAnsi="Times New Roman"/>
                <w:sz w:val="20"/>
                <w:lang w:bidi="en-US"/>
              </w:rPr>
            </w:pPr>
            <w:r>
              <w:rPr>
                <w:rFonts w:ascii="Times New Roman" w:hAnsi="Times New Roman"/>
                <w:sz w:val="20"/>
                <w:lang w:bidi="en-US"/>
              </w:rPr>
              <w:t>Recordkeeping (Voluntary)</w:t>
            </w:r>
          </w:p>
        </w:tc>
        <w:tc>
          <w:tcPr>
            <w:tcW w:w="1331" w:type="dxa"/>
            <w:tcBorders>
              <w:top w:val="single" w:sz="4" w:space="0" w:color="auto"/>
              <w:left w:val="nil"/>
              <w:bottom w:val="single" w:sz="4" w:space="0" w:color="auto"/>
              <w:right w:val="single" w:sz="4" w:space="0" w:color="auto"/>
            </w:tcBorders>
            <w:vAlign w:val="center"/>
          </w:tcPr>
          <w:p w:rsidR="002F03D5" w:rsidRPr="00A672D4" w:rsidP="003D36AF" w14:paraId="567EF812" w14:textId="65A53056">
            <w:pPr>
              <w:ind w:left="270"/>
              <w:rPr>
                <w:rFonts w:ascii="Times New Roman" w:hAnsi="Times New Roman"/>
                <w:sz w:val="20"/>
                <w:lang w:bidi="en-US"/>
              </w:rPr>
            </w:pPr>
            <w:r>
              <w:rPr>
                <w:rFonts w:ascii="Times New Roman" w:hAnsi="Times New Roman"/>
                <w:sz w:val="20"/>
                <w:lang w:bidi="en-US"/>
              </w:rPr>
              <w:t>Annual</w:t>
            </w:r>
          </w:p>
        </w:tc>
        <w:tc>
          <w:tcPr>
            <w:tcW w:w="1509" w:type="dxa"/>
            <w:tcBorders>
              <w:top w:val="nil"/>
              <w:left w:val="single" w:sz="4" w:space="0" w:color="auto"/>
              <w:bottom w:val="single" w:sz="4" w:space="0" w:color="auto"/>
              <w:right w:val="single" w:sz="4" w:space="0" w:color="auto"/>
            </w:tcBorders>
            <w:shd w:val="clear" w:color="auto" w:fill="auto"/>
            <w:noWrap/>
            <w:vAlign w:val="center"/>
          </w:tcPr>
          <w:p w:rsidR="002F03D5" w:rsidP="003D36AF" w14:paraId="5FFFB89B" w14:textId="760E6F6F">
            <w:pPr>
              <w:ind w:left="270"/>
              <w:rPr>
                <w:rFonts w:ascii="Times New Roman" w:hAnsi="Times New Roman"/>
                <w:sz w:val="20"/>
                <w:lang w:bidi="en-US"/>
              </w:rPr>
            </w:pPr>
            <w:r>
              <w:rPr>
                <w:rFonts w:ascii="Times New Roman" w:hAnsi="Times New Roman"/>
                <w:sz w:val="20"/>
                <w:lang w:bidi="en-US"/>
              </w:rPr>
              <w:t>2,887</w:t>
            </w:r>
          </w:p>
        </w:tc>
        <w:tc>
          <w:tcPr>
            <w:tcW w:w="1431" w:type="dxa"/>
            <w:tcBorders>
              <w:top w:val="nil"/>
              <w:left w:val="nil"/>
              <w:bottom w:val="single" w:sz="4" w:space="0" w:color="auto"/>
              <w:right w:val="single" w:sz="4" w:space="0" w:color="auto"/>
            </w:tcBorders>
            <w:shd w:val="clear" w:color="auto" w:fill="auto"/>
            <w:noWrap/>
            <w:vAlign w:val="center"/>
          </w:tcPr>
          <w:p w:rsidR="002F03D5" w:rsidRPr="00A672D4" w:rsidP="003D36AF" w14:paraId="705A0BFD" w14:textId="47679574">
            <w:pPr>
              <w:ind w:left="270"/>
              <w:rPr>
                <w:rFonts w:ascii="Times New Roman" w:hAnsi="Times New Roman"/>
                <w:sz w:val="20"/>
                <w:lang w:bidi="en-US"/>
              </w:rPr>
            </w:pPr>
            <w:r>
              <w:rPr>
                <w:rFonts w:ascii="Times New Roman" w:hAnsi="Times New Roman"/>
                <w:sz w:val="20"/>
                <w:lang w:bidi="en-US"/>
              </w:rPr>
              <w:t>.33</w:t>
            </w:r>
          </w:p>
        </w:tc>
        <w:tc>
          <w:tcPr>
            <w:tcW w:w="1253" w:type="dxa"/>
            <w:tcBorders>
              <w:top w:val="nil"/>
              <w:left w:val="nil"/>
              <w:bottom w:val="single" w:sz="4" w:space="0" w:color="auto"/>
              <w:right w:val="single" w:sz="4" w:space="0" w:color="auto"/>
            </w:tcBorders>
            <w:shd w:val="clear" w:color="auto" w:fill="auto"/>
            <w:noWrap/>
            <w:vAlign w:val="center"/>
          </w:tcPr>
          <w:p w:rsidR="002F03D5" w:rsidRPr="00A672D4" w:rsidP="003D36AF" w14:paraId="498AE883" w14:textId="249B6DFF">
            <w:pPr>
              <w:ind w:left="270"/>
              <w:rPr>
                <w:rFonts w:ascii="Times New Roman" w:hAnsi="Times New Roman"/>
                <w:sz w:val="20"/>
                <w:lang w:bidi="en-US"/>
              </w:rPr>
            </w:pPr>
            <w:r>
              <w:rPr>
                <w:rFonts w:ascii="Times New Roman" w:hAnsi="Times New Roman"/>
                <w:sz w:val="20"/>
                <w:lang w:bidi="en-US"/>
              </w:rPr>
              <w:t>40</w:t>
            </w:r>
          </w:p>
        </w:tc>
        <w:tc>
          <w:tcPr>
            <w:tcW w:w="1136" w:type="dxa"/>
            <w:tcBorders>
              <w:top w:val="nil"/>
              <w:left w:val="nil"/>
              <w:bottom w:val="single" w:sz="4" w:space="0" w:color="auto"/>
              <w:right w:val="single" w:sz="4" w:space="0" w:color="auto"/>
            </w:tcBorders>
            <w:shd w:val="clear" w:color="auto" w:fill="auto"/>
            <w:noWrap/>
            <w:vAlign w:val="center"/>
          </w:tcPr>
          <w:p w:rsidR="002F03D5" w:rsidP="003D36AF" w14:paraId="7106D050" w14:textId="2BCBC19C">
            <w:pPr>
              <w:ind w:left="270"/>
              <w:rPr>
                <w:rFonts w:ascii="Times New Roman" w:hAnsi="Times New Roman"/>
                <w:sz w:val="20"/>
                <w:lang w:bidi="en-US"/>
              </w:rPr>
            </w:pPr>
            <w:r>
              <w:rPr>
                <w:rFonts w:ascii="Times New Roman" w:hAnsi="Times New Roman"/>
                <w:sz w:val="20"/>
                <w:lang w:bidi="en-US"/>
              </w:rPr>
              <w:t>38,120</w:t>
            </w:r>
          </w:p>
        </w:tc>
      </w:tr>
      <w:tr w14:paraId="1AE19491" w14:textId="77777777" w:rsidTr="008C5F1B">
        <w:tblPrEx>
          <w:tblW w:w="10110" w:type="dxa"/>
          <w:tblLook w:val="04A0"/>
        </w:tblPrEx>
        <w:trPr>
          <w:trHeight w:val="288"/>
        </w:trPr>
        <w:tc>
          <w:tcPr>
            <w:tcW w:w="1753" w:type="dxa"/>
            <w:tcBorders>
              <w:top w:val="nil"/>
              <w:left w:val="single" w:sz="4" w:space="0" w:color="auto"/>
              <w:bottom w:val="single" w:sz="4" w:space="0" w:color="auto"/>
              <w:right w:val="single" w:sz="4" w:space="0" w:color="auto"/>
            </w:tcBorders>
            <w:shd w:val="clear" w:color="auto" w:fill="auto"/>
            <w:vAlign w:val="center"/>
          </w:tcPr>
          <w:p w:rsidR="002F03D5" w:rsidRPr="00A672D4" w:rsidP="003D36AF" w14:paraId="381F69F7" w14:textId="1119984D">
            <w:pPr>
              <w:ind w:left="270"/>
              <w:rPr>
                <w:rFonts w:ascii="Times New Roman" w:hAnsi="Times New Roman"/>
                <w:sz w:val="20"/>
                <w:lang w:bidi="en-US"/>
              </w:rPr>
            </w:pPr>
            <w:r>
              <w:rPr>
                <w:rFonts w:ascii="Times New Roman" w:hAnsi="Times New Roman"/>
                <w:sz w:val="20"/>
                <w:lang w:bidi="en-US"/>
              </w:rPr>
              <w:t>New</w:t>
            </w:r>
            <w:r w:rsidRPr="00825C90">
              <w:rPr>
                <w:rFonts w:ascii="Times New Roman" w:hAnsi="Times New Roman"/>
                <w:sz w:val="20"/>
                <w:lang w:bidi="en-US"/>
              </w:rPr>
              <w:t xml:space="preserve"> – ROV Guidance – Policies and Procedures – Ongoing</w:t>
            </w:r>
          </w:p>
        </w:tc>
        <w:tc>
          <w:tcPr>
            <w:tcW w:w="1697" w:type="dxa"/>
            <w:tcBorders>
              <w:top w:val="nil"/>
              <w:left w:val="nil"/>
              <w:bottom w:val="single" w:sz="4" w:space="0" w:color="auto"/>
              <w:right w:val="single" w:sz="4" w:space="0" w:color="auto"/>
            </w:tcBorders>
            <w:shd w:val="clear" w:color="auto" w:fill="auto"/>
            <w:noWrap/>
            <w:vAlign w:val="center"/>
          </w:tcPr>
          <w:p w:rsidR="002F03D5" w:rsidP="003D36AF" w14:paraId="2830F10A" w14:textId="28526842">
            <w:pPr>
              <w:ind w:left="270"/>
              <w:rPr>
                <w:rFonts w:ascii="Times New Roman" w:hAnsi="Times New Roman"/>
                <w:sz w:val="20"/>
                <w:lang w:bidi="en-US"/>
              </w:rPr>
            </w:pPr>
            <w:r>
              <w:rPr>
                <w:rFonts w:ascii="Times New Roman" w:hAnsi="Times New Roman"/>
                <w:sz w:val="20"/>
                <w:lang w:bidi="en-US"/>
              </w:rPr>
              <w:t>Recordkeeping (Voluntary)</w:t>
            </w:r>
          </w:p>
        </w:tc>
        <w:tc>
          <w:tcPr>
            <w:tcW w:w="1331" w:type="dxa"/>
            <w:tcBorders>
              <w:top w:val="single" w:sz="4" w:space="0" w:color="auto"/>
              <w:left w:val="nil"/>
              <w:bottom w:val="single" w:sz="4" w:space="0" w:color="auto"/>
              <w:right w:val="single" w:sz="4" w:space="0" w:color="auto"/>
            </w:tcBorders>
            <w:vAlign w:val="center"/>
          </w:tcPr>
          <w:p w:rsidR="002F03D5" w:rsidRPr="00A672D4" w:rsidP="003D36AF" w14:paraId="789BCAF8" w14:textId="4EF04082">
            <w:pPr>
              <w:ind w:left="270"/>
              <w:rPr>
                <w:rFonts w:ascii="Times New Roman" w:hAnsi="Times New Roman"/>
                <w:sz w:val="20"/>
                <w:lang w:bidi="en-US"/>
              </w:rPr>
            </w:pPr>
            <w:r>
              <w:rPr>
                <w:rFonts w:ascii="Times New Roman" w:hAnsi="Times New Roman"/>
                <w:sz w:val="20"/>
                <w:lang w:bidi="en-US"/>
              </w:rPr>
              <w:t>Annual</w:t>
            </w:r>
          </w:p>
        </w:tc>
        <w:tc>
          <w:tcPr>
            <w:tcW w:w="1509" w:type="dxa"/>
            <w:tcBorders>
              <w:top w:val="nil"/>
              <w:left w:val="single" w:sz="4" w:space="0" w:color="auto"/>
              <w:bottom w:val="single" w:sz="4" w:space="0" w:color="auto"/>
              <w:right w:val="single" w:sz="4" w:space="0" w:color="auto"/>
            </w:tcBorders>
            <w:shd w:val="clear" w:color="auto" w:fill="auto"/>
            <w:noWrap/>
            <w:vAlign w:val="center"/>
          </w:tcPr>
          <w:p w:rsidR="002F03D5" w:rsidP="003D36AF" w14:paraId="0BC69118" w14:textId="3AF75BBD">
            <w:pPr>
              <w:ind w:left="270"/>
              <w:rPr>
                <w:rFonts w:ascii="Times New Roman" w:hAnsi="Times New Roman"/>
                <w:sz w:val="20"/>
                <w:lang w:bidi="en-US"/>
              </w:rPr>
            </w:pPr>
            <w:r>
              <w:rPr>
                <w:rFonts w:ascii="Times New Roman" w:hAnsi="Times New Roman"/>
                <w:sz w:val="20"/>
                <w:lang w:bidi="en-US"/>
              </w:rPr>
              <w:t>2,887</w:t>
            </w:r>
          </w:p>
        </w:tc>
        <w:tc>
          <w:tcPr>
            <w:tcW w:w="1431" w:type="dxa"/>
            <w:tcBorders>
              <w:top w:val="nil"/>
              <w:left w:val="nil"/>
              <w:bottom w:val="single" w:sz="4" w:space="0" w:color="auto"/>
              <w:right w:val="single" w:sz="4" w:space="0" w:color="auto"/>
            </w:tcBorders>
            <w:shd w:val="clear" w:color="auto" w:fill="auto"/>
            <w:noWrap/>
            <w:vAlign w:val="center"/>
          </w:tcPr>
          <w:p w:rsidR="002F03D5" w:rsidRPr="00A672D4" w:rsidP="003D36AF" w14:paraId="5BB90914" w14:textId="3E8745EA">
            <w:pPr>
              <w:ind w:left="270"/>
              <w:rPr>
                <w:rFonts w:ascii="Times New Roman" w:hAnsi="Times New Roman"/>
                <w:sz w:val="20"/>
                <w:lang w:bidi="en-US"/>
              </w:rPr>
            </w:pPr>
            <w:r>
              <w:rPr>
                <w:rFonts w:ascii="Times New Roman" w:hAnsi="Times New Roman"/>
                <w:sz w:val="20"/>
                <w:lang w:bidi="en-US"/>
              </w:rPr>
              <w:t>1</w:t>
            </w:r>
          </w:p>
        </w:tc>
        <w:tc>
          <w:tcPr>
            <w:tcW w:w="1253" w:type="dxa"/>
            <w:tcBorders>
              <w:top w:val="nil"/>
              <w:left w:val="nil"/>
              <w:bottom w:val="single" w:sz="4" w:space="0" w:color="auto"/>
              <w:right w:val="single" w:sz="4" w:space="0" w:color="auto"/>
            </w:tcBorders>
            <w:shd w:val="clear" w:color="auto" w:fill="auto"/>
            <w:noWrap/>
            <w:vAlign w:val="center"/>
          </w:tcPr>
          <w:p w:rsidR="002F03D5" w:rsidRPr="00A672D4" w:rsidP="003D36AF" w14:paraId="649E296B" w14:textId="6691FD32">
            <w:pPr>
              <w:ind w:left="270"/>
              <w:rPr>
                <w:rFonts w:ascii="Times New Roman" w:hAnsi="Times New Roman"/>
                <w:sz w:val="20"/>
                <w:lang w:bidi="en-US"/>
              </w:rPr>
            </w:pPr>
            <w:r>
              <w:rPr>
                <w:rFonts w:ascii="Times New Roman" w:hAnsi="Times New Roman"/>
                <w:sz w:val="20"/>
                <w:lang w:bidi="en-US"/>
              </w:rPr>
              <w:t>2</w:t>
            </w:r>
          </w:p>
        </w:tc>
        <w:tc>
          <w:tcPr>
            <w:tcW w:w="1136" w:type="dxa"/>
            <w:tcBorders>
              <w:top w:val="nil"/>
              <w:left w:val="nil"/>
              <w:bottom w:val="single" w:sz="4" w:space="0" w:color="auto"/>
              <w:right w:val="single" w:sz="4" w:space="0" w:color="auto"/>
            </w:tcBorders>
            <w:shd w:val="clear" w:color="auto" w:fill="auto"/>
            <w:noWrap/>
            <w:vAlign w:val="center"/>
          </w:tcPr>
          <w:p w:rsidR="002F03D5" w:rsidP="003D36AF" w14:paraId="22A7CFF4" w14:textId="65242D37">
            <w:pPr>
              <w:ind w:left="270"/>
              <w:rPr>
                <w:rFonts w:ascii="Times New Roman" w:hAnsi="Times New Roman"/>
                <w:sz w:val="20"/>
                <w:lang w:bidi="en-US"/>
              </w:rPr>
            </w:pPr>
            <w:r>
              <w:rPr>
                <w:rFonts w:ascii="Times New Roman" w:hAnsi="Times New Roman"/>
                <w:sz w:val="20"/>
                <w:lang w:bidi="en-US"/>
              </w:rPr>
              <w:t>5,774</w:t>
            </w:r>
          </w:p>
        </w:tc>
      </w:tr>
      <w:tr w14:paraId="07639D62" w14:textId="77777777" w:rsidTr="008C5F1B">
        <w:tblPrEx>
          <w:tblW w:w="10110" w:type="dxa"/>
          <w:tblLook w:val="04A0"/>
        </w:tblPrEx>
        <w:trPr>
          <w:trHeight w:val="288"/>
        </w:trPr>
        <w:tc>
          <w:tcPr>
            <w:tcW w:w="8974" w:type="dxa"/>
            <w:gridSpan w:val="6"/>
            <w:tcBorders>
              <w:top w:val="single" w:sz="4" w:space="0" w:color="auto"/>
              <w:left w:val="single" w:sz="4" w:space="0" w:color="auto"/>
              <w:bottom w:val="single" w:sz="4" w:space="0" w:color="auto"/>
            </w:tcBorders>
            <w:shd w:val="clear" w:color="auto" w:fill="auto"/>
            <w:vAlign w:val="center"/>
          </w:tcPr>
          <w:p w:rsidR="003D36AF" w:rsidRPr="00A672D4" w:rsidP="003D36AF" w14:paraId="4AD2FB28" w14:textId="77777777">
            <w:pPr>
              <w:ind w:left="270"/>
              <w:rPr>
                <w:rFonts w:ascii="Times New Roman" w:hAnsi="Times New Roman"/>
                <w:sz w:val="20"/>
                <w:lang w:bidi="en-US"/>
              </w:rPr>
            </w:pPr>
            <w:r w:rsidRPr="00A672D4">
              <w:rPr>
                <w:rFonts w:ascii="Times New Roman" w:hAnsi="Times New Roman"/>
                <w:sz w:val="20"/>
                <w:lang w:bidi="en-US"/>
              </w:rPr>
              <w:t>Total Annual Burden Hours:</w:t>
            </w:r>
          </w:p>
        </w:tc>
        <w:tc>
          <w:tcPr>
            <w:tcW w:w="1136" w:type="dxa"/>
            <w:tcBorders>
              <w:top w:val="nil"/>
              <w:left w:val="nil"/>
              <w:bottom w:val="single" w:sz="4" w:space="0" w:color="auto"/>
              <w:right w:val="single" w:sz="4" w:space="0" w:color="auto"/>
            </w:tcBorders>
            <w:shd w:val="clear" w:color="auto" w:fill="auto"/>
            <w:noWrap/>
            <w:vAlign w:val="center"/>
          </w:tcPr>
          <w:p w:rsidR="003D36AF" w:rsidRPr="00A672D4" w:rsidP="003D36AF" w14:paraId="1AFA177C" w14:textId="653A7F1D">
            <w:pPr>
              <w:ind w:left="270"/>
              <w:rPr>
                <w:rFonts w:ascii="Times New Roman" w:hAnsi="Times New Roman"/>
                <w:sz w:val="20"/>
                <w:lang w:bidi="en-US"/>
              </w:rPr>
            </w:pPr>
            <w:r>
              <w:rPr>
                <w:rFonts w:ascii="Times New Roman" w:hAnsi="Times New Roman"/>
                <w:sz w:val="20"/>
                <w:lang w:bidi="en-US"/>
              </w:rPr>
              <w:t>169,419</w:t>
            </w:r>
          </w:p>
        </w:tc>
      </w:tr>
      <w:tr w14:paraId="7F35F40C" w14:textId="77777777" w:rsidTr="008C5F1B">
        <w:tblPrEx>
          <w:tblW w:w="10110" w:type="dxa"/>
          <w:tblLook w:val="04A0"/>
        </w:tblPrEx>
        <w:trPr>
          <w:trHeight w:val="288"/>
        </w:trPr>
        <w:tc>
          <w:tcPr>
            <w:tcW w:w="10110" w:type="dxa"/>
            <w:gridSpan w:val="7"/>
            <w:tcBorders>
              <w:top w:val="nil"/>
              <w:left w:val="single" w:sz="4" w:space="0" w:color="auto"/>
              <w:bottom w:val="nil"/>
              <w:right w:val="single" w:sz="4" w:space="0" w:color="auto"/>
            </w:tcBorders>
            <w:shd w:val="clear" w:color="auto" w:fill="auto"/>
            <w:vAlign w:val="center"/>
          </w:tcPr>
          <w:p w:rsidR="003D36AF" w:rsidRPr="00A672D4" w:rsidP="003D36AF" w14:paraId="139967F6" w14:textId="77777777">
            <w:pPr>
              <w:ind w:left="270"/>
              <w:rPr>
                <w:rFonts w:ascii="Times New Roman" w:hAnsi="Times New Roman"/>
                <w:sz w:val="20"/>
                <w:lang w:bidi="en-US"/>
              </w:rPr>
            </w:pPr>
            <w:r w:rsidRPr="00A672D4">
              <w:rPr>
                <w:rFonts w:ascii="Times New Roman" w:hAnsi="Times New Roman"/>
                <w:sz w:val="20"/>
                <w:lang w:bidi="en-US"/>
              </w:rPr>
              <w:t>Source: FDIC.</w:t>
            </w:r>
          </w:p>
        </w:tc>
      </w:tr>
      <w:tr w14:paraId="7DB7858A" w14:textId="77777777" w:rsidTr="008C5F1B">
        <w:tblPrEx>
          <w:tblW w:w="10110" w:type="dxa"/>
          <w:tblLook w:val="04A0"/>
        </w:tblPrEx>
        <w:trPr>
          <w:trHeight w:val="288"/>
        </w:trPr>
        <w:tc>
          <w:tcPr>
            <w:tcW w:w="10110" w:type="dxa"/>
            <w:gridSpan w:val="7"/>
            <w:tcBorders>
              <w:top w:val="nil"/>
              <w:left w:val="single" w:sz="4" w:space="0" w:color="auto"/>
              <w:bottom w:val="single" w:sz="4" w:space="0" w:color="auto"/>
              <w:right w:val="single" w:sz="4" w:space="0" w:color="auto"/>
            </w:tcBorders>
            <w:shd w:val="clear" w:color="auto" w:fill="auto"/>
            <w:vAlign w:val="center"/>
          </w:tcPr>
          <w:tbl>
            <w:tblPr>
              <w:tblW w:w="9160" w:type="dxa"/>
              <w:tblLook w:val="04A0"/>
            </w:tblPr>
            <w:tblGrid>
              <w:gridCol w:w="9160"/>
            </w:tblGrid>
            <w:tr w14:paraId="5B091179" w14:textId="77777777" w:rsidTr="00145861">
              <w:tblPrEx>
                <w:tblW w:w="9160" w:type="dxa"/>
                <w:tblLook w:val="04A0"/>
              </w:tblPrEx>
              <w:trPr>
                <w:trHeight w:val="737"/>
              </w:trPr>
              <w:tc>
                <w:tcPr>
                  <w:tcW w:w="9160" w:type="dxa"/>
                  <w:vMerge w:val="restart"/>
                  <w:shd w:val="clear" w:color="auto" w:fill="auto"/>
                  <w:vAlign w:val="center"/>
                  <w:hideMark/>
                </w:tcPr>
                <w:p w:rsidR="003D36AF" w:rsidRPr="00397E1D" w:rsidP="003D36AF" w14:paraId="53E06C97" w14:textId="3620E585">
                  <w:pPr>
                    <w:ind w:left="270"/>
                    <w:rPr>
                      <w:rFonts w:ascii="Times New Roman" w:hAnsi="Times New Roman"/>
                      <w:sz w:val="18"/>
                      <w:szCs w:val="18"/>
                      <w:lang w:bidi="en-US"/>
                    </w:rPr>
                  </w:pPr>
                  <w:r w:rsidRPr="00397E1D">
                    <w:rPr>
                      <w:rFonts w:ascii="Times New Roman" w:hAnsi="Times New Roman"/>
                      <w:sz w:val="18"/>
                      <w:szCs w:val="18"/>
                      <w:lang w:bidi="en-US"/>
                    </w:rPr>
                    <w:t>Note: The annual burden estimate for a given collection is calculated in two steps. First, the total number of annual responses is calculated as the whole number closest to the product of the annual number of respondents and the annual number of responses per respondent. Then, the total number of annual responses is multiplied by the time per response and rounded to the nearest hour to obtain the estimated annual burden for that collection. This rounding ensures the annual burden hours in the table are consistent with the values recorded in the OMB’s regulatory tracking system</w:t>
                  </w:r>
                  <w:r w:rsidR="00397E1D">
                    <w:rPr>
                      <w:rFonts w:ascii="Times New Roman" w:hAnsi="Times New Roman"/>
                      <w:sz w:val="18"/>
                      <w:szCs w:val="18"/>
                      <w:lang w:bidi="en-US"/>
                    </w:rPr>
                    <w:t xml:space="preserve"> (ROCIS)</w:t>
                  </w:r>
                  <w:r w:rsidRPr="00397E1D">
                    <w:rPr>
                      <w:rFonts w:ascii="Times New Roman" w:hAnsi="Times New Roman"/>
                      <w:sz w:val="18"/>
                      <w:szCs w:val="18"/>
                      <w:lang w:bidi="en-US"/>
                    </w:rPr>
                    <w:t>.</w:t>
                  </w:r>
                </w:p>
                <w:p w:rsidR="003D36AF" w:rsidRPr="00A672D4" w:rsidP="003D36AF" w14:paraId="63B2BCFD" w14:textId="7E663845">
                  <w:pPr>
                    <w:ind w:left="270"/>
                    <w:rPr>
                      <w:rFonts w:ascii="Times New Roman" w:hAnsi="Times New Roman"/>
                      <w:sz w:val="20"/>
                      <w:lang w:bidi="en-US"/>
                    </w:rPr>
                  </w:pPr>
                  <w:r>
                    <w:rPr>
                      <w:rFonts w:ascii="Times New Roman" w:hAnsi="Times New Roman"/>
                      <w:sz w:val="18"/>
                      <w:szCs w:val="18"/>
                      <w:lang w:bidi="en-US"/>
                    </w:rPr>
                    <w:t>Note: FDIC</w:t>
                  </w:r>
                  <w:r w:rsidRPr="00397E1D">
                    <w:rPr>
                      <w:rFonts w:ascii="Times New Roman" w:hAnsi="Times New Roman"/>
                      <w:sz w:val="18"/>
                      <w:szCs w:val="18"/>
                      <w:lang w:bidi="en-US"/>
                    </w:rPr>
                    <w:t xml:space="preserve"> annualize</w:t>
                  </w:r>
                  <w:r>
                    <w:rPr>
                      <w:rFonts w:ascii="Times New Roman" w:hAnsi="Times New Roman"/>
                      <w:sz w:val="18"/>
                      <w:szCs w:val="18"/>
                      <w:lang w:bidi="en-US"/>
                    </w:rPr>
                    <w:t>s</w:t>
                  </w:r>
                  <w:r w:rsidRPr="00397E1D">
                    <w:rPr>
                      <w:rFonts w:ascii="Times New Roman" w:hAnsi="Times New Roman"/>
                      <w:sz w:val="18"/>
                      <w:szCs w:val="18"/>
                      <w:lang w:bidi="en-US"/>
                    </w:rPr>
                    <w:t xml:space="preserve"> IC 2 by dividing the 40 hour per response burden by 3 years to yield 13.33 hours per yearly response on average over 3 years.  This is the approach used by the other agencies in the interagency AVM rulemaking process.</w:t>
                  </w:r>
                </w:p>
              </w:tc>
            </w:tr>
            <w:tr w14:paraId="69262E1B" w14:textId="77777777" w:rsidTr="00145861">
              <w:tblPrEx>
                <w:tblW w:w="9160" w:type="dxa"/>
                <w:tblLook w:val="04A0"/>
              </w:tblPrEx>
              <w:trPr>
                <w:trHeight w:val="431"/>
              </w:trPr>
              <w:tc>
                <w:tcPr>
                  <w:tcW w:w="9160" w:type="dxa"/>
                  <w:vMerge/>
                  <w:vAlign w:val="center"/>
                  <w:hideMark/>
                </w:tcPr>
                <w:p w:rsidR="003D36AF" w:rsidRPr="00A672D4" w:rsidP="003D36AF" w14:paraId="05F02774" w14:textId="77777777">
                  <w:pPr>
                    <w:ind w:left="270"/>
                    <w:rPr>
                      <w:rFonts w:ascii="Times New Roman" w:hAnsi="Times New Roman"/>
                      <w:sz w:val="20"/>
                      <w:lang w:bidi="en-US"/>
                    </w:rPr>
                  </w:pPr>
                </w:p>
              </w:tc>
            </w:tr>
            <w:tr w14:paraId="0883C3F0" w14:textId="77777777" w:rsidTr="00145861">
              <w:tblPrEx>
                <w:tblW w:w="9160" w:type="dxa"/>
                <w:tblLook w:val="04A0"/>
              </w:tblPrEx>
              <w:trPr>
                <w:trHeight w:val="431"/>
              </w:trPr>
              <w:tc>
                <w:tcPr>
                  <w:tcW w:w="9160" w:type="dxa"/>
                  <w:vMerge/>
                  <w:vAlign w:val="center"/>
                  <w:hideMark/>
                </w:tcPr>
                <w:p w:rsidR="003D36AF" w:rsidRPr="00A672D4" w:rsidP="003D36AF" w14:paraId="78C3BF03" w14:textId="77777777">
                  <w:pPr>
                    <w:ind w:left="270"/>
                    <w:rPr>
                      <w:rFonts w:ascii="Times New Roman" w:hAnsi="Times New Roman"/>
                      <w:sz w:val="20"/>
                      <w:lang w:bidi="en-US"/>
                    </w:rPr>
                  </w:pPr>
                </w:p>
              </w:tc>
            </w:tr>
            <w:tr w14:paraId="2A24954B" w14:textId="77777777" w:rsidTr="00145861">
              <w:tblPrEx>
                <w:tblW w:w="9160" w:type="dxa"/>
                <w:tblLook w:val="04A0"/>
              </w:tblPrEx>
              <w:trPr>
                <w:trHeight w:val="431"/>
              </w:trPr>
              <w:tc>
                <w:tcPr>
                  <w:tcW w:w="9160" w:type="dxa"/>
                  <w:vMerge/>
                  <w:vAlign w:val="center"/>
                  <w:hideMark/>
                </w:tcPr>
                <w:p w:rsidR="003D36AF" w:rsidRPr="00A672D4" w:rsidP="003D36AF" w14:paraId="42008CC1" w14:textId="77777777">
                  <w:pPr>
                    <w:ind w:left="270"/>
                    <w:rPr>
                      <w:rFonts w:ascii="Times New Roman" w:hAnsi="Times New Roman"/>
                      <w:sz w:val="20"/>
                      <w:lang w:bidi="en-US"/>
                    </w:rPr>
                  </w:pPr>
                </w:p>
              </w:tc>
            </w:tr>
            <w:tr w14:paraId="44B8F1EE" w14:textId="77777777" w:rsidTr="00145861">
              <w:tblPrEx>
                <w:tblW w:w="9160" w:type="dxa"/>
                <w:tblLook w:val="04A0"/>
              </w:tblPrEx>
              <w:trPr>
                <w:trHeight w:val="431"/>
              </w:trPr>
              <w:tc>
                <w:tcPr>
                  <w:tcW w:w="9160" w:type="dxa"/>
                  <w:vMerge/>
                  <w:vAlign w:val="center"/>
                  <w:hideMark/>
                </w:tcPr>
                <w:p w:rsidR="003D36AF" w:rsidRPr="00A672D4" w:rsidP="003D36AF" w14:paraId="5880152B" w14:textId="77777777">
                  <w:pPr>
                    <w:ind w:left="270"/>
                    <w:rPr>
                      <w:rFonts w:ascii="Times New Roman" w:hAnsi="Times New Roman"/>
                      <w:sz w:val="20"/>
                      <w:lang w:bidi="en-US"/>
                    </w:rPr>
                  </w:pPr>
                </w:p>
              </w:tc>
            </w:tr>
          </w:tbl>
          <w:p w:rsidR="003D36AF" w:rsidRPr="00A672D4" w:rsidP="003D36AF" w14:paraId="0626131A" w14:textId="77777777">
            <w:pPr>
              <w:ind w:left="270"/>
              <w:rPr>
                <w:rFonts w:ascii="Times New Roman" w:hAnsi="Times New Roman"/>
                <w:sz w:val="20"/>
                <w:lang w:bidi="en-US"/>
              </w:rPr>
            </w:pPr>
          </w:p>
        </w:tc>
      </w:tr>
    </w:tbl>
    <w:p w:rsidR="003D36AF" w:rsidRPr="003D36AF" w:rsidP="003D36AF" w14:paraId="048AE8B6" w14:textId="77777777">
      <w:pPr>
        <w:ind w:left="270"/>
        <w:rPr>
          <w:rFonts w:ascii="Times New Roman" w:hAnsi="Times New Roman"/>
          <w:lang w:bidi="en-US"/>
        </w:rPr>
      </w:pPr>
    </w:p>
    <w:p w:rsidR="003D36AF" w:rsidRPr="00774833" w:rsidP="00774833" w14:paraId="0A8134F0" w14:textId="77777777">
      <w:pPr>
        <w:tabs>
          <w:tab w:val="left" w:pos="288"/>
          <w:tab w:val="left" w:pos="1008"/>
          <w:tab w:val="left" w:pos="1728"/>
          <w:tab w:val="left" w:pos="2448"/>
          <w:tab w:val="left" w:pos="3168"/>
          <w:tab w:val="left" w:pos="3888"/>
        </w:tabs>
        <w:spacing w:after="120"/>
        <w:ind w:left="1008"/>
        <w:rPr>
          <w:rFonts w:ascii="Times New Roman" w:hAnsi="Times New Roman"/>
          <w:b/>
          <w:bCs/>
          <w:i/>
          <w:lang w:bidi="en-US"/>
        </w:rPr>
      </w:pPr>
      <w:r w:rsidRPr="00774833">
        <w:rPr>
          <w:rFonts w:ascii="Times New Roman" w:hAnsi="Times New Roman"/>
          <w:b/>
          <w:bCs/>
          <w:i/>
          <w:lang w:bidi="en-US"/>
        </w:rPr>
        <w:t>Labor Allocation and Hourly Compensation</w:t>
      </w:r>
    </w:p>
    <w:p w:rsidR="003D36AF" w:rsidRPr="00774833" w:rsidP="00774833" w14:paraId="19D89CAD" w14:textId="71BCB0D6">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Pr>
          <w:rFonts w:ascii="Times New Roman" w:hAnsi="Times New Roman"/>
          <w:b/>
          <w:i/>
          <w:u w:val="single"/>
          <w:lang w:bidi="en-US"/>
        </w:rPr>
        <w:t xml:space="preserve">A. </w:t>
      </w:r>
      <w:r w:rsidRPr="00774833">
        <w:rPr>
          <w:rFonts w:ascii="Times New Roman" w:hAnsi="Times New Roman"/>
          <w:b/>
          <w:i/>
          <w:u w:val="single"/>
          <w:lang w:bidi="en-US"/>
        </w:rPr>
        <w:t>Original IC</w:t>
      </w:r>
    </w:p>
    <w:p w:rsidR="003D36AF" w:rsidRPr="003D36AF" w:rsidP="00774833" w14:paraId="25FF693F" w14:textId="33546EAC">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In the 2024</w:t>
      </w:r>
      <w:r w:rsidRPr="003D36AF">
        <w:rPr>
          <w:rFonts w:ascii="Times New Roman" w:hAnsi="Times New Roman"/>
          <w:lang w:bidi="en-US"/>
        </w:rPr>
        <w:t xml:space="preserve"> ICR, the estimated annual cost associated with IC 1 was $2,315,264.  The estimate was obtained by multiplying the estimated annual burden hours by the estimated weighted hourly compensation rate for the mix of occupations expected to be used to comply with the IC, derived from the Bureau of Labor Statistics’ data on the Depository Credit Intermediation sector.</w:t>
      </w:r>
      <w:r>
        <w:rPr>
          <w:rFonts w:ascii="Times New Roman" w:hAnsi="Times New Roman"/>
          <w:vertAlign w:val="superscript"/>
          <w:lang w:bidi="en-US"/>
        </w:rPr>
        <w:footnoteReference w:id="30"/>
      </w:r>
      <w:r w:rsidRPr="00774833">
        <w:rPr>
          <w:rFonts w:ascii="Times New Roman" w:hAnsi="Times New Roman"/>
          <w:vertAlign w:val="superscript"/>
          <w:lang w:bidi="en-US"/>
        </w:rPr>
        <w:t xml:space="preserve"> </w:t>
      </w:r>
      <w:r w:rsidRPr="003D36AF">
        <w:rPr>
          <w:rFonts w:ascii="Times New Roman" w:hAnsi="Times New Roman"/>
          <w:lang w:bidi="en-US"/>
        </w:rPr>
        <w:t xml:space="preserve"> </w:t>
      </w:r>
    </w:p>
    <w:p w:rsidR="003D36AF" w:rsidRPr="003D36AF" w:rsidP="00774833" w14:paraId="52756BE7" w14:textId="66119A77">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 xml:space="preserve">In the current analysis, the </w:t>
      </w:r>
      <w:r w:rsidR="00774833">
        <w:rPr>
          <w:rFonts w:ascii="Times New Roman" w:hAnsi="Times New Roman"/>
          <w:lang w:bidi="en-US"/>
        </w:rPr>
        <w:t>FDIC has</w:t>
      </w:r>
      <w:r w:rsidRPr="003D36AF">
        <w:rPr>
          <w:rFonts w:ascii="Times New Roman" w:hAnsi="Times New Roman"/>
          <w:lang w:bidi="en-US"/>
        </w:rPr>
        <w:t xml:space="preserve"> revised the estimated allo</w:t>
      </w:r>
      <w:r w:rsidR="00CE3DC4">
        <w:rPr>
          <w:rFonts w:ascii="Times New Roman" w:hAnsi="Times New Roman"/>
          <w:lang w:bidi="en-US"/>
        </w:rPr>
        <w:t xml:space="preserve">cation of labor for this IC.  It </w:t>
      </w:r>
      <w:r w:rsidRPr="003D36AF" w:rsidR="00CE3DC4">
        <w:rPr>
          <w:rFonts w:ascii="Times New Roman" w:hAnsi="Times New Roman"/>
          <w:lang w:bidi="en-US"/>
        </w:rPr>
        <w:t>assumes</w:t>
      </w:r>
      <w:r w:rsidRPr="003D36AF">
        <w:rPr>
          <w:rFonts w:ascii="Times New Roman" w:hAnsi="Times New Roman"/>
          <w:lang w:bidi="en-US"/>
        </w:rPr>
        <w:t xml:space="preserve"> that all the labor associated with completing and submitting this IC would be performed by financial </w:t>
      </w:r>
      <w:r w:rsidR="00CE3DC4">
        <w:rPr>
          <w:rFonts w:ascii="Times New Roman" w:hAnsi="Times New Roman"/>
          <w:lang w:bidi="en-US"/>
        </w:rPr>
        <w:t xml:space="preserve">analysts.  Based on BLS data, FDIC </w:t>
      </w:r>
      <w:r w:rsidRPr="003D36AF">
        <w:rPr>
          <w:rFonts w:ascii="Times New Roman" w:hAnsi="Times New Roman"/>
          <w:lang w:bidi="en-US"/>
        </w:rPr>
        <w:t>estimate</w:t>
      </w:r>
      <w:r w:rsidR="00CE3DC4">
        <w:rPr>
          <w:rFonts w:ascii="Times New Roman" w:hAnsi="Times New Roman"/>
          <w:lang w:bidi="en-US"/>
        </w:rPr>
        <w:t>s</w:t>
      </w:r>
      <w:r w:rsidRPr="003D36AF">
        <w:rPr>
          <w:rFonts w:ascii="Times New Roman" w:hAnsi="Times New Roman"/>
          <w:lang w:bidi="en-US"/>
        </w:rPr>
        <w:t xml:space="preserve"> the total hourly compensation rate for financial analyst occupations is $101.15.</w:t>
      </w:r>
      <w:r>
        <w:rPr>
          <w:rFonts w:ascii="Times New Roman" w:hAnsi="Times New Roman"/>
          <w:lang w:bidi="en-US"/>
        </w:rPr>
        <w:footnoteReference w:id="31"/>
      </w:r>
      <w:r w:rsidRPr="003D36AF">
        <w:rPr>
          <w:rFonts w:ascii="Times New Roman" w:hAnsi="Times New Roman"/>
          <w:lang w:bidi="en-US"/>
        </w:rPr>
        <w:t xml:space="preserve">  The hourly cost estimate for this IC is therefore $101.1</w:t>
      </w:r>
      <w:r w:rsidR="00CE3DC4">
        <w:rPr>
          <w:rFonts w:ascii="Times New Roman" w:hAnsi="Times New Roman"/>
          <w:lang w:bidi="en-US"/>
        </w:rPr>
        <w:t>5.</w:t>
      </w:r>
    </w:p>
    <w:p w:rsidR="003D36AF" w:rsidRPr="00774833" w:rsidP="00774833" w14:paraId="7DB96AD6" w14:textId="0C430464">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Pr>
          <w:rFonts w:ascii="Times New Roman" w:hAnsi="Times New Roman"/>
          <w:b/>
          <w:i/>
          <w:u w:val="single"/>
          <w:lang w:bidi="en-US"/>
        </w:rPr>
        <w:t>B. ICs Associated with the final rule</w:t>
      </w:r>
    </w:p>
    <w:p w:rsidR="003D36AF" w:rsidRPr="003D36AF" w:rsidP="00BC6955" w14:paraId="4D447F7D" w14:textId="2FD10294">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The </w:t>
      </w:r>
      <w:r w:rsidR="00BC6955">
        <w:rPr>
          <w:rFonts w:ascii="Times New Roman" w:hAnsi="Times New Roman"/>
          <w:lang w:bidi="en-US"/>
        </w:rPr>
        <w:t>estimated</w:t>
      </w:r>
      <w:r w:rsidRPr="003D36AF">
        <w:rPr>
          <w:rFonts w:ascii="Times New Roman" w:hAnsi="Times New Roman"/>
          <w:lang w:bidi="en-US"/>
        </w:rPr>
        <w:t xml:space="preserve"> division of labor that would be employed by FDIC-supervised institutions to execute their PRA recordkeeping requirements for IC 2 and IC 3 are delineated in Table 2 below.  For both ICs, financial analysts and compliance officers provide the majority of lab</w:t>
      </w:r>
      <w:r w:rsidR="00BC6955">
        <w:rPr>
          <w:rFonts w:ascii="Times New Roman" w:hAnsi="Times New Roman"/>
          <w:lang w:bidi="en-US"/>
        </w:rPr>
        <w:t>or hours.  Additionally, FDIC</w:t>
      </w:r>
      <w:r w:rsidRPr="003D36AF">
        <w:rPr>
          <w:rFonts w:ascii="Times New Roman" w:hAnsi="Times New Roman"/>
          <w:lang w:bidi="en-US"/>
        </w:rPr>
        <w:t xml:space="preserve"> believes that the first year implementation (IC 2) of recordkeeping requirements would involve a greater share of labor hours devoted to legal advice and review relative to IC 3, as the institutions initially establish and validate their recordkeeping systems.  In subsequent years (IC 3), the </w:t>
      </w:r>
      <w:r w:rsidR="00BC6955">
        <w:rPr>
          <w:rFonts w:ascii="Times New Roman" w:hAnsi="Times New Roman"/>
          <w:lang w:bidi="en-US"/>
        </w:rPr>
        <w:t>FDIC</w:t>
      </w:r>
      <w:r w:rsidRPr="003D36AF">
        <w:rPr>
          <w:rFonts w:ascii="Times New Roman" w:hAnsi="Times New Roman"/>
          <w:lang w:bidi="en-US"/>
        </w:rPr>
        <w:t xml:space="preserve"> believes the IDIs would use less legal input and more financial analysis, as shown in Table 2.</w:t>
      </w:r>
    </w:p>
    <w:tbl>
      <w:tblPr>
        <w:tblpPr w:leftFromText="180" w:rightFromText="180" w:vertAnchor="text" w:horzAnchor="margin" w:tblpY="44"/>
        <w:tblW w:w="10884" w:type="dxa"/>
        <w:tblLook w:val="04A0"/>
      </w:tblPr>
      <w:tblGrid>
        <w:gridCol w:w="1626"/>
        <w:gridCol w:w="1016"/>
        <w:gridCol w:w="1191"/>
        <w:gridCol w:w="1191"/>
        <w:gridCol w:w="1101"/>
        <w:gridCol w:w="1191"/>
        <w:gridCol w:w="1191"/>
        <w:gridCol w:w="1101"/>
        <w:gridCol w:w="1526"/>
      </w:tblGrid>
      <w:tr w14:paraId="5B7BD57D" w14:textId="77777777" w:rsidTr="00BC6955">
        <w:tblPrEx>
          <w:tblW w:w="10884" w:type="dxa"/>
          <w:tblLook w:val="04A0"/>
        </w:tblPrEx>
        <w:trPr>
          <w:trHeight w:val="360"/>
        </w:trPr>
        <w:tc>
          <w:tcPr>
            <w:tcW w:w="10884" w:type="dxa"/>
            <w:gridSpan w:val="9"/>
            <w:tcBorders>
              <w:top w:val="single" w:sz="8" w:space="0" w:color="auto"/>
              <w:left w:val="single" w:sz="8" w:space="0" w:color="auto"/>
              <w:bottom w:val="single" w:sz="12" w:space="0" w:color="auto"/>
              <w:right w:val="single" w:sz="8" w:space="0" w:color="000000"/>
            </w:tcBorders>
            <w:shd w:val="clear" w:color="auto" w:fill="auto"/>
            <w:noWrap/>
            <w:vAlign w:val="bottom"/>
            <w:hideMark/>
          </w:tcPr>
          <w:p w:rsidR="00774833" w:rsidRPr="00774833" w:rsidP="00774833" w14:paraId="12BF99CC" w14:textId="77777777">
            <w:pPr>
              <w:ind w:left="270"/>
              <w:rPr>
                <w:rFonts w:ascii="Times New Roman" w:hAnsi="Times New Roman"/>
                <w:sz w:val="18"/>
                <w:szCs w:val="18"/>
                <w:lang w:bidi="en-US"/>
              </w:rPr>
            </w:pPr>
            <w:r w:rsidRPr="00774833">
              <w:rPr>
                <w:rFonts w:ascii="Times New Roman" w:hAnsi="Times New Roman"/>
                <w:sz w:val="18"/>
                <w:szCs w:val="18"/>
                <w:lang w:bidi="en-US"/>
              </w:rPr>
              <w:t>Table 2. Summary of Hourly Burden Cost Estimate (OMB No. 3064-0103)</w:t>
            </w:r>
          </w:p>
        </w:tc>
      </w:tr>
      <w:tr w14:paraId="7055B43B" w14:textId="77777777" w:rsidTr="00BC6955">
        <w:tblPrEx>
          <w:tblW w:w="10884" w:type="dxa"/>
          <w:tblLook w:val="04A0"/>
        </w:tblPrEx>
        <w:trPr>
          <w:trHeight w:val="600"/>
        </w:trPr>
        <w:tc>
          <w:tcPr>
            <w:tcW w:w="1626" w:type="dxa"/>
            <w:vMerge w:val="restart"/>
            <w:tcBorders>
              <w:top w:val="nil"/>
              <w:left w:val="single" w:sz="8" w:space="0" w:color="auto"/>
              <w:bottom w:val="single" w:sz="12" w:space="0" w:color="000000"/>
              <w:right w:val="single" w:sz="12" w:space="0" w:color="auto"/>
            </w:tcBorders>
            <w:shd w:val="clear" w:color="auto" w:fill="auto"/>
            <w:vAlign w:val="center"/>
            <w:hideMark/>
          </w:tcPr>
          <w:p w:rsidR="00774833" w:rsidRPr="00774833" w:rsidP="00774833" w14:paraId="38BA06F5"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Information Collection </w:t>
            </w:r>
          </w:p>
        </w:tc>
        <w:tc>
          <w:tcPr>
            <w:tcW w:w="1016" w:type="dxa"/>
            <w:vMerge w:val="restart"/>
            <w:tcBorders>
              <w:top w:val="nil"/>
              <w:left w:val="nil"/>
              <w:bottom w:val="single" w:sz="12" w:space="0" w:color="000000"/>
              <w:right w:val="single" w:sz="12" w:space="0" w:color="auto"/>
            </w:tcBorders>
            <w:shd w:val="clear" w:color="auto" w:fill="auto"/>
            <w:vAlign w:val="center"/>
            <w:hideMark/>
          </w:tcPr>
          <w:p w:rsidR="00774833" w:rsidRPr="00774833" w:rsidP="00774833" w14:paraId="53A9CA15"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Hourly Weight </w:t>
            </w:r>
            <w:r w:rsidRPr="00774833">
              <w:rPr>
                <w:rFonts w:ascii="Times New Roman" w:hAnsi="Times New Roman"/>
                <w:sz w:val="18"/>
                <w:szCs w:val="18"/>
                <w:lang w:bidi="en-US"/>
              </w:rPr>
              <w:br/>
              <w:t>(%)</w:t>
            </w:r>
          </w:p>
        </w:tc>
        <w:tc>
          <w:tcPr>
            <w:tcW w:w="6966" w:type="dxa"/>
            <w:gridSpan w:val="6"/>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33BA62BE"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Percentage Shares of Hours Spent by and </w:t>
            </w:r>
            <w:r w:rsidRPr="00774833">
              <w:rPr>
                <w:rFonts w:ascii="Times New Roman" w:hAnsi="Times New Roman"/>
                <w:sz w:val="18"/>
                <w:szCs w:val="18"/>
                <w:lang w:bidi="en-US"/>
              </w:rPr>
              <w:br/>
              <w:t xml:space="preserve">Hourly Compensation Rates for each Occupation Group </w:t>
            </w:r>
            <w:r w:rsidRPr="00774833">
              <w:rPr>
                <w:rFonts w:ascii="Times New Roman" w:hAnsi="Times New Roman"/>
                <w:sz w:val="18"/>
                <w:szCs w:val="18"/>
                <w:lang w:bidi="en-US"/>
              </w:rPr>
              <w:br/>
              <w:t>(by Collection)</w:t>
            </w:r>
          </w:p>
        </w:tc>
        <w:tc>
          <w:tcPr>
            <w:tcW w:w="1276" w:type="dxa"/>
            <w:vMerge w:val="restart"/>
            <w:tcBorders>
              <w:top w:val="nil"/>
              <w:left w:val="nil"/>
              <w:bottom w:val="single" w:sz="12" w:space="0" w:color="000000"/>
              <w:right w:val="single" w:sz="8" w:space="0" w:color="auto"/>
            </w:tcBorders>
            <w:shd w:val="clear" w:color="auto" w:fill="auto"/>
            <w:vAlign w:val="center"/>
            <w:hideMark/>
          </w:tcPr>
          <w:p w:rsidR="00774833" w:rsidRPr="00774833" w:rsidP="00774833" w14:paraId="106AE812" w14:textId="77777777">
            <w:pPr>
              <w:ind w:left="270"/>
              <w:rPr>
                <w:rFonts w:ascii="Times New Roman" w:hAnsi="Times New Roman"/>
                <w:sz w:val="18"/>
                <w:szCs w:val="18"/>
                <w:lang w:bidi="en-US"/>
              </w:rPr>
            </w:pPr>
            <w:r w:rsidRPr="00774833">
              <w:rPr>
                <w:rFonts w:ascii="Times New Roman" w:hAnsi="Times New Roman"/>
                <w:sz w:val="18"/>
                <w:szCs w:val="18"/>
                <w:lang w:bidi="en-US"/>
              </w:rPr>
              <w:t>Estimated Hourly Compensation Rate</w:t>
            </w:r>
          </w:p>
        </w:tc>
      </w:tr>
      <w:tr w14:paraId="0FA50026" w14:textId="77777777" w:rsidTr="00BC6955">
        <w:tblPrEx>
          <w:tblW w:w="10884" w:type="dxa"/>
          <w:tblLook w:val="04A0"/>
        </w:tblPrEx>
        <w:trPr>
          <w:trHeight w:val="431"/>
        </w:trPr>
        <w:tc>
          <w:tcPr>
            <w:tcW w:w="1626" w:type="dxa"/>
            <w:vMerge/>
            <w:tcBorders>
              <w:top w:val="nil"/>
              <w:left w:val="single" w:sz="8" w:space="0" w:color="auto"/>
              <w:bottom w:val="single" w:sz="12" w:space="0" w:color="000000"/>
              <w:right w:val="single" w:sz="12" w:space="0" w:color="auto"/>
            </w:tcBorders>
            <w:vAlign w:val="center"/>
            <w:hideMark/>
          </w:tcPr>
          <w:p w:rsidR="00774833" w:rsidRPr="00774833" w:rsidP="00774833" w14:paraId="22F03665" w14:textId="77777777">
            <w:pPr>
              <w:ind w:left="270"/>
              <w:rPr>
                <w:rFonts w:ascii="Times New Roman" w:hAnsi="Times New Roman"/>
                <w:sz w:val="18"/>
                <w:szCs w:val="18"/>
                <w:lang w:bidi="en-US"/>
              </w:rPr>
            </w:pPr>
          </w:p>
        </w:tc>
        <w:tc>
          <w:tcPr>
            <w:tcW w:w="1016" w:type="dxa"/>
            <w:vMerge/>
            <w:tcBorders>
              <w:top w:val="nil"/>
              <w:left w:val="nil"/>
              <w:bottom w:val="single" w:sz="12" w:space="0" w:color="000000"/>
              <w:right w:val="single" w:sz="12" w:space="0" w:color="auto"/>
            </w:tcBorders>
            <w:vAlign w:val="center"/>
            <w:hideMark/>
          </w:tcPr>
          <w:p w:rsidR="00774833" w:rsidRPr="00774833" w:rsidP="00774833" w14:paraId="74637703" w14:textId="77777777">
            <w:pPr>
              <w:ind w:left="270"/>
              <w:rPr>
                <w:rFonts w:ascii="Times New Roman" w:hAnsi="Times New Roman"/>
                <w:sz w:val="18"/>
                <w:szCs w:val="18"/>
                <w:lang w:bidi="en-US"/>
              </w:rPr>
            </w:pPr>
          </w:p>
        </w:tc>
        <w:tc>
          <w:tcPr>
            <w:tcW w:w="6966" w:type="dxa"/>
            <w:gridSpan w:val="6"/>
            <w:vMerge/>
            <w:tcBorders>
              <w:top w:val="nil"/>
              <w:left w:val="single" w:sz="12" w:space="0" w:color="auto"/>
              <w:bottom w:val="single" w:sz="12" w:space="0" w:color="auto"/>
              <w:right w:val="single" w:sz="12" w:space="0" w:color="auto"/>
            </w:tcBorders>
            <w:vAlign w:val="center"/>
            <w:hideMark/>
          </w:tcPr>
          <w:p w:rsidR="00774833" w:rsidRPr="00774833" w:rsidP="00774833" w14:paraId="26D9A261" w14:textId="77777777">
            <w:pPr>
              <w:ind w:left="270"/>
              <w:rPr>
                <w:rFonts w:ascii="Times New Roman" w:hAnsi="Times New Roman"/>
                <w:sz w:val="18"/>
                <w:szCs w:val="18"/>
                <w:lang w:bidi="en-US"/>
              </w:rPr>
            </w:pPr>
          </w:p>
        </w:tc>
        <w:tc>
          <w:tcPr>
            <w:tcW w:w="1276" w:type="dxa"/>
            <w:vMerge/>
            <w:tcBorders>
              <w:top w:val="nil"/>
              <w:left w:val="nil"/>
              <w:bottom w:val="single" w:sz="12" w:space="0" w:color="000000"/>
              <w:right w:val="single" w:sz="8" w:space="0" w:color="auto"/>
            </w:tcBorders>
            <w:vAlign w:val="center"/>
            <w:hideMark/>
          </w:tcPr>
          <w:p w:rsidR="00774833" w:rsidRPr="00774833" w:rsidP="00774833" w14:paraId="0637397C" w14:textId="77777777">
            <w:pPr>
              <w:ind w:left="270"/>
              <w:rPr>
                <w:rFonts w:ascii="Times New Roman" w:hAnsi="Times New Roman"/>
                <w:sz w:val="18"/>
                <w:szCs w:val="18"/>
                <w:lang w:bidi="en-US"/>
              </w:rPr>
            </w:pPr>
          </w:p>
        </w:tc>
      </w:tr>
      <w:tr w14:paraId="118AA404" w14:textId="77777777" w:rsidTr="00BC6955">
        <w:tblPrEx>
          <w:tblW w:w="10884" w:type="dxa"/>
          <w:tblLook w:val="04A0"/>
        </w:tblPrEx>
        <w:trPr>
          <w:trHeight w:val="431"/>
        </w:trPr>
        <w:tc>
          <w:tcPr>
            <w:tcW w:w="1626" w:type="dxa"/>
            <w:vMerge/>
            <w:tcBorders>
              <w:top w:val="nil"/>
              <w:left w:val="single" w:sz="8" w:space="0" w:color="auto"/>
              <w:bottom w:val="single" w:sz="12" w:space="0" w:color="000000"/>
              <w:right w:val="single" w:sz="12" w:space="0" w:color="auto"/>
            </w:tcBorders>
            <w:vAlign w:val="center"/>
            <w:hideMark/>
          </w:tcPr>
          <w:p w:rsidR="00774833" w:rsidRPr="00774833" w:rsidP="00774833" w14:paraId="48036AD3" w14:textId="77777777">
            <w:pPr>
              <w:ind w:left="270"/>
              <w:rPr>
                <w:rFonts w:ascii="Times New Roman" w:hAnsi="Times New Roman"/>
                <w:sz w:val="18"/>
                <w:szCs w:val="18"/>
                <w:lang w:bidi="en-US"/>
              </w:rPr>
            </w:pPr>
          </w:p>
        </w:tc>
        <w:tc>
          <w:tcPr>
            <w:tcW w:w="1016" w:type="dxa"/>
            <w:vMerge/>
            <w:tcBorders>
              <w:top w:val="nil"/>
              <w:left w:val="nil"/>
              <w:bottom w:val="single" w:sz="12" w:space="0" w:color="000000"/>
              <w:right w:val="single" w:sz="12" w:space="0" w:color="auto"/>
            </w:tcBorders>
            <w:vAlign w:val="center"/>
            <w:hideMark/>
          </w:tcPr>
          <w:p w:rsidR="00774833" w:rsidRPr="00774833" w:rsidP="00774833" w14:paraId="46260342" w14:textId="77777777">
            <w:pPr>
              <w:ind w:left="270"/>
              <w:rPr>
                <w:rFonts w:ascii="Times New Roman" w:hAnsi="Times New Roman"/>
                <w:sz w:val="18"/>
                <w:szCs w:val="18"/>
                <w:lang w:bidi="en-US"/>
              </w:rPr>
            </w:pPr>
          </w:p>
        </w:tc>
        <w:tc>
          <w:tcPr>
            <w:tcW w:w="1191" w:type="dxa"/>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3B57D651" w14:textId="77777777">
            <w:pPr>
              <w:ind w:left="270"/>
              <w:rPr>
                <w:rFonts w:ascii="Times New Roman" w:hAnsi="Times New Roman"/>
                <w:sz w:val="18"/>
                <w:szCs w:val="18"/>
                <w:lang w:bidi="en-US"/>
              </w:rPr>
            </w:pPr>
            <w:r w:rsidRPr="00774833">
              <w:rPr>
                <w:rFonts w:ascii="Times New Roman" w:hAnsi="Times New Roman"/>
                <w:sz w:val="18"/>
                <w:szCs w:val="18"/>
                <w:lang w:bidi="en-US"/>
              </w:rPr>
              <w:t>Exec. &amp; Mgr.      ($133.82)</w:t>
            </w:r>
          </w:p>
        </w:tc>
        <w:tc>
          <w:tcPr>
            <w:tcW w:w="1191" w:type="dxa"/>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33C5A503" w14:textId="77777777">
            <w:pPr>
              <w:ind w:left="270"/>
              <w:rPr>
                <w:rFonts w:ascii="Times New Roman" w:hAnsi="Times New Roman"/>
                <w:sz w:val="18"/>
                <w:szCs w:val="18"/>
                <w:lang w:bidi="en-US"/>
              </w:rPr>
            </w:pPr>
            <w:r w:rsidRPr="00774833">
              <w:rPr>
                <w:rFonts w:ascii="Times New Roman" w:hAnsi="Times New Roman"/>
                <w:sz w:val="18"/>
                <w:szCs w:val="18"/>
                <w:lang w:bidi="en-US"/>
              </w:rPr>
              <w:t>Lawyer   ($165.76)</w:t>
            </w:r>
          </w:p>
        </w:tc>
        <w:tc>
          <w:tcPr>
            <w:tcW w:w="1101" w:type="dxa"/>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405837C9" w14:textId="77777777">
            <w:pPr>
              <w:ind w:left="270"/>
              <w:rPr>
                <w:rFonts w:ascii="Times New Roman" w:hAnsi="Times New Roman"/>
                <w:sz w:val="18"/>
                <w:szCs w:val="18"/>
                <w:lang w:bidi="en-US"/>
              </w:rPr>
            </w:pPr>
            <w:r w:rsidRPr="00774833">
              <w:rPr>
                <w:rFonts w:ascii="Times New Roman" w:hAnsi="Times New Roman"/>
                <w:sz w:val="18"/>
                <w:szCs w:val="18"/>
                <w:lang w:bidi="en-US"/>
              </w:rPr>
              <w:t>Compl. Ofc.   ($64.61)</w:t>
            </w:r>
          </w:p>
        </w:tc>
        <w:tc>
          <w:tcPr>
            <w:tcW w:w="1191" w:type="dxa"/>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1360EFBE" w14:textId="77777777">
            <w:pPr>
              <w:ind w:left="270"/>
              <w:rPr>
                <w:rFonts w:ascii="Times New Roman" w:hAnsi="Times New Roman"/>
                <w:sz w:val="18"/>
                <w:szCs w:val="18"/>
                <w:lang w:bidi="en-US"/>
              </w:rPr>
            </w:pPr>
            <w:r w:rsidRPr="00774833">
              <w:rPr>
                <w:rFonts w:ascii="Times New Roman" w:hAnsi="Times New Roman"/>
                <w:sz w:val="18"/>
                <w:szCs w:val="18"/>
                <w:lang w:bidi="en-US"/>
              </w:rPr>
              <w:t>IT    ($102.64)</w:t>
            </w:r>
          </w:p>
        </w:tc>
        <w:tc>
          <w:tcPr>
            <w:tcW w:w="1191" w:type="dxa"/>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08D9F7B6" w14:textId="77777777">
            <w:pPr>
              <w:ind w:left="270"/>
              <w:rPr>
                <w:rFonts w:ascii="Times New Roman" w:hAnsi="Times New Roman"/>
                <w:sz w:val="18"/>
                <w:szCs w:val="18"/>
                <w:lang w:bidi="en-US"/>
              </w:rPr>
            </w:pPr>
            <w:r w:rsidRPr="00774833">
              <w:rPr>
                <w:rFonts w:ascii="Times New Roman" w:hAnsi="Times New Roman"/>
                <w:sz w:val="18"/>
                <w:szCs w:val="18"/>
                <w:lang w:bidi="en-US"/>
              </w:rPr>
              <w:t>Fin. Anlst.    ($101.15)</w:t>
            </w:r>
          </w:p>
        </w:tc>
        <w:tc>
          <w:tcPr>
            <w:tcW w:w="1101" w:type="dxa"/>
            <w:vMerge w:val="restart"/>
            <w:tcBorders>
              <w:top w:val="nil"/>
              <w:left w:val="single" w:sz="12" w:space="0" w:color="auto"/>
              <w:bottom w:val="single" w:sz="12" w:space="0" w:color="auto"/>
              <w:right w:val="single" w:sz="12" w:space="0" w:color="auto"/>
            </w:tcBorders>
            <w:shd w:val="clear" w:color="auto" w:fill="auto"/>
            <w:vAlign w:val="center"/>
            <w:hideMark/>
          </w:tcPr>
          <w:p w:rsidR="00774833" w:rsidRPr="00774833" w:rsidP="00774833" w14:paraId="2D00B0A0" w14:textId="77777777">
            <w:pPr>
              <w:ind w:left="270"/>
              <w:rPr>
                <w:rFonts w:ascii="Times New Roman" w:hAnsi="Times New Roman"/>
                <w:sz w:val="18"/>
                <w:szCs w:val="18"/>
                <w:lang w:bidi="en-US"/>
              </w:rPr>
            </w:pPr>
            <w:r w:rsidRPr="00774833">
              <w:rPr>
                <w:rFonts w:ascii="Times New Roman" w:hAnsi="Times New Roman"/>
                <w:sz w:val="18"/>
                <w:szCs w:val="18"/>
                <w:lang w:bidi="en-US"/>
              </w:rPr>
              <w:t>Clerical    ($37.83)</w:t>
            </w:r>
          </w:p>
        </w:tc>
        <w:tc>
          <w:tcPr>
            <w:tcW w:w="1276" w:type="dxa"/>
            <w:vMerge/>
            <w:tcBorders>
              <w:top w:val="nil"/>
              <w:left w:val="nil"/>
              <w:bottom w:val="single" w:sz="12" w:space="0" w:color="000000"/>
              <w:right w:val="single" w:sz="8" w:space="0" w:color="auto"/>
            </w:tcBorders>
            <w:vAlign w:val="center"/>
            <w:hideMark/>
          </w:tcPr>
          <w:p w:rsidR="00774833" w:rsidRPr="00774833" w:rsidP="00774833" w14:paraId="0E84A3C0" w14:textId="77777777">
            <w:pPr>
              <w:ind w:left="270"/>
              <w:rPr>
                <w:rFonts w:ascii="Times New Roman" w:hAnsi="Times New Roman"/>
                <w:sz w:val="18"/>
                <w:szCs w:val="18"/>
                <w:lang w:bidi="en-US"/>
              </w:rPr>
            </w:pPr>
          </w:p>
        </w:tc>
      </w:tr>
      <w:tr w14:paraId="44D15E84" w14:textId="77777777" w:rsidTr="00BC6955">
        <w:tblPrEx>
          <w:tblW w:w="10884" w:type="dxa"/>
          <w:tblLook w:val="04A0"/>
        </w:tblPrEx>
        <w:trPr>
          <w:trHeight w:val="431"/>
        </w:trPr>
        <w:tc>
          <w:tcPr>
            <w:tcW w:w="1626" w:type="dxa"/>
            <w:vMerge/>
            <w:tcBorders>
              <w:top w:val="nil"/>
              <w:left w:val="single" w:sz="8" w:space="0" w:color="auto"/>
              <w:bottom w:val="single" w:sz="12" w:space="0" w:color="000000"/>
              <w:right w:val="single" w:sz="12" w:space="0" w:color="auto"/>
            </w:tcBorders>
            <w:vAlign w:val="center"/>
            <w:hideMark/>
          </w:tcPr>
          <w:p w:rsidR="00774833" w:rsidRPr="00774833" w:rsidP="00774833" w14:paraId="0EC2E7D3" w14:textId="77777777">
            <w:pPr>
              <w:ind w:left="270"/>
              <w:rPr>
                <w:rFonts w:ascii="Times New Roman" w:hAnsi="Times New Roman"/>
                <w:sz w:val="18"/>
                <w:szCs w:val="18"/>
                <w:lang w:bidi="en-US"/>
              </w:rPr>
            </w:pPr>
          </w:p>
        </w:tc>
        <w:tc>
          <w:tcPr>
            <w:tcW w:w="1016" w:type="dxa"/>
            <w:vMerge/>
            <w:tcBorders>
              <w:top w:val="nil"/>
              <w:left w:val="nil"/>
              <w:bottom w:val="single" w:sz="12" w:space="0" w:color="000000"/>
              <w:right w:val="single" w:sz="12" w:space="0" w:color="auto"/>
            </w:tcBorders>
            <w:vAlign w:val="center"/>
            <w:hideMark/>
          </w:tcPr>
          <w:p w:rsidR="00774833" w:rsidRPr="00774833" w:rsidP="00774833" w14:paraId="6644503C" w14:textId="77777777">
            <w:pPr>
              <w:ind w:left="270"/>
              <w:rPr>
                <w:rFonts w:ascii="Times New Roman" w:hAnsi="Times New Roman"/>
                <w:sz w:val="18"/>
                <w:szCs w:val="18"/>
                <w:lang w:bidi="en-US"/>
              </w:rPr>
            </w:pPr>
          </w:p>
        </w:tc>
        <w:tc>
          <w:tcPr>
            <w:tcW w:w="1191" w:type="dxa"/>
            <w:vMerge/>
            <w:tcBorders>
              <w:top w:val="nil"/>
              <w:left w:val="single" w:sz="12" w:space="0" w:color="auto"/>
              <w:bottom w:val="single" w:sz="12" w:space="0" w:color="auto"/>
              <w:right w:val="single" w:sz="12" w:space="0" w:color="auto"/>
            </w:tcBorders>
            <w:vAlign w:val="center"/>
            <w:hideMark/>
          </w:tcPr>
          <w:p w:rsidR="00774833" w:rsidRPr="00774833" w:rsidP="00774833" w14:paraId="65C6EBAE" w14:textId="77777777">
            <w:pPr>
              <w:ind w:left="270"/>
              <w:rPr>
                <w:rFonts w:ascii="Times New Roman" w:hAnsi="Times New Roman"/>
                <w:sz w:val="18"/>
                <w:szCs w:val="18"/>
                <w:lang w:bidi="en-US"/>
              </w:rPr>
            </w:pPr>
          </w:p>
        </w:tc>
        <w:tc>
          <w:tcPr>
            <w:tcW w:w="1191" w:type="dxa"/>
            <w:vMerge/>
            <w:tcBorders>
              <w:top w:val="nil"/>
              <w:left w:val="single" w:sz="12" w:space="0" w:color="auto"/>
              <w:bottom w:val="single" w:sz="12" w:space="0" w:color="auto"/>
              <w:right w:val="single" w:sz="12" w:space="0" w:color="auto"/>
            </w:tcBorders>
            <w:vAlign w:val="center"/>
            <w:hideMark/>
          </w:tcPr>
          <w:p w:rsidR="00774833" w:rsidRPr="00774833" w:rsidP="00774833" w14:paraId="1B4C62E8" w14:textId="77777777">
            <w:pPr>
              <w:ind w:left="270"/>
              <w:rPr>
                <w:rFonts w:ascii="Times New Roman" w:hAnsi="Times New Roman"/>
                <w:sz w:val="18"/>
                <w:szCs w:val="18"/>
                <w:lang w:bidi="en-US"/>
              </w:rPr>
            </w:pPr>
          </w:p>
        </w:tc>
        <w:tc>
          <w:tcPr>
            <w:tcW w:w="1101" w:type="dxa"/>
            <w:vMerge/>
            <w:tcBorders>
              <w:top w:val="nil"/>
              <w:left w:val="single" w:sz="12" w:space="0" w:color="auto"/>
              <w:bottom w:val="single" w:sz="12" w:space="0" w:color="auto"/>
              <w:right w:val="single" w:sz="12" w:space="0" w:color="auto"/>
            </w:tcBorders>
            <w:vAlign w:val="center"/>
            <w:hideMark/>
          </w:tcPr>
          <w:p w:rsidR="00774833" w:rsidRPr="00774833" w:rsidP="00774833" w14:paraId="5C7B18F3" w14:textId="77777777">
            <w:pPr>
              <w:ind w:left="270"/>
              <w:rPr>
                <w:rFonts w:ascii="Times New Roman" w:hAnsi="Times New Roman"/>
                <w:sz w:val="18"/>
                <w:szCs w:val="18"/>
                <w:lang w:bidi="en-US"/>
              </w:rPr>
            </w:pPr>
          </w:p>
        </w:tc>
        <w:tc>
          <w:tcPr>
            <w:tcW w:w="1191" w:type="dxa"/>
            <w:vMerge/>
            <w:tcBorders>
              <w:top w:val="nil"/>
              <w:left w:val="single" w:sz="12" w:space="0" w:color="auto"/>
              <w:bottom w:val="single" w:sz="12" w:space="0" w:color="auto"/>
              <w:right w:val="single" w:sz="12" w:space="0" w:color="auto"/>
            </w:tcBorders>
            <w:vAlign w:val="center"/>
            <w:hideMark/>
          </w:tcPr>
          <w:p w:rsidR="00774833" w:rsidRPr="00774833" w:rsidP="00774833" w14:paraId="797904BB" w14:textId="77777777">
            <w:pPr>
              <w:ind w:left="270"/>
              <w:rPr>
                <w:rFonts w:ascii="Times New Roman" w:hAnsi="Times New Roman"/>
                <w:sz w:val="18"/>
                <w:szCs w:val="18"/>
                <w:lang w:bidi="en-US"/>
              </w:rPr>
            </w:pPr>
          </w:p>
        </w:tc>
        <w:tc>
          <w:tcPr>
            <w:tcW w:w="1191" w:type="dxa"/>
            <w:vMerge/>
            <w:tcBorders>
              <w:top w:val="nil"/>
              <w:left w:val="single" w:sz="12" w:space="0" w:color="auto"/>
              <w:bottom w:val="single" w:sz="12" w:space="0" w:color="auto"/>
              <w:right w:val="single" w:sz="12" w:space="0" w:color="auto"/>
            </w:tcBorders>
            <w:vAlign w:val="center"/>
            <w:hideMark/>
          </w:tcPr>
          <w:p w:rsidR="00774833" w:rsidRPr="00774833" w:rsidP="00774833" w14:paraId="32B76DB3" w14:textId="77777777">
            <w:pPr>
              <w:ind w:left="270"/>
              <w:rPr>
                <w:rFonts w:ascii="Times New Roman" w:hAnsi="Times New Roman"/>
                <w:sz w:val="18"/>
                <w:szCs w:val="18"/>
                <w:lang w:bidi="en-US"/>
              </w:rPr>
            </w:pPr>
          </w:p>
        </w:tc>
        <w:tc>
          <w:tcPr>
            <w:tcW w:w="1101" w:type="dxa"/>
            <w:vMerge/>
            <w:tcBorders>
              <w:top w:val="nil"/>
              <w:left w:val="single" w:sz="12" w:space="0" w:color="auto"/>
              <w:bottom w:val="single" w:sz="12" w:space="0" w:color="auto"/>
              <w:right w:val="single" w:sz="12" w:space="0" w:color="auto"/>
            </w:tcBorders>
            <w:vAlign w:val="center"/>
            <w:hideMark/>
          </w:tcPr>
          <w:p w:rsidR="00774833" w:rsidRPr="00774833" w:rsidP="00774833" w14:paraId="41F837EE" w14:textId="77777777">
            <w:pPr>
              <w:ind w:left="270"/>
              <w:rPr>
                <w:rFonts w:ascii="Times New Roman" w:hAnsi="Times New Roman"/>
                <w:sz w:val="18"/>
                <w:szCs w:val="18"/>
                <w:lang w:bidi="en-US"/>
              </w:rPr>
            </w:pPr>
          </w:p>
        </w:tc>
        <w:tc>
          <w:tcPr>
            <w:tcW w:w="1276" w:type="dxa"/>
            <w:vMerge/>
            <w:tcBorders>
              <w:top w:val="nil"/>
              <w:left w:val="nil"/>
              <w:bottom w:val="single" w:sz="12" w:space="0" w:color="000000"/>
              <w:right w:val="single" w:sz="8" w:space="0" w:color="auto"/>
            </w:tcBorders>
            <w:vAlign w:val="center"/>
            <w:hideMark/>
          </w:tcPr>
          <w:p w:rsidR="00774833" w:rsidRPr="00774833" w:rsidP="00774833" w14:paraId="6A867F5F" w14:textId="77777777">
            <w:pPr>
              <w:ind w:left="270"/>
              <w:rPr>
                <w:rFonts w:ascii="Times New Roman" w:hAnsi="Times New Roman"/>
                <w:sz w:val="18"/>
                <w:szCs w:val="18"/>
                <w:lang w:bidi="en-US"/>
              </w:rPr>
            </w:pPr>
          </w:p>
        </w:tc>
      </w:tr>
      <w:tr w14:paraId="06D0B1CD" w14:textId="77777777" w:rsidTr="00BC6955">
        <w:tblPrEx>
          <w:tblW w:w="10884" w:type="dxa"/>
          <w:tblLook w:val="04A0"/>
        </w:tblPrEx>
        <w:trPr>
          <w:trHeight w:val="1329"/>
        </w:trPr>
        <w:tc>
          <w:tcPr>
            <w:tcW w:w="1626" w:type="dxa"/>
            <w:tcBorders>
              <w:top w:val="nil"/>
              <w:left w:val="single" w:sz="8" w:space="0" w:color="auto"/>
              <w:bottom w:val="single" w:sz="8" w:space="0" w:color="auto"/>
              <w:right w:val="single" w:sz="8" w:space="0" w:color="auto"/>
            </w:tcBorders>
            <w:shd w:val="clear" w:color="auto" w:fill="auto"/>
            <w:vAlign w:val="center"/>
          </w:tcPr>
          <w:p w:rsidR="00774833" w:rsidRPr="00774833" w:rsidP="00774833" w14:paraId="2F23C339"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1. (Original) Recordkeeping Requirements Associated with Real Estate Appraisals and Evaluations </w:t>
            </w:r>
          </w:p>
        </w:tc>
        <w:tc>
          <w:tcPr>
            <w:tcW w:w="1016" w:type="dxa"/>
            <w:tcBorders>
              <w:top w:val="nil"/>
              <w:left w:val="nil"/>
              <w:bottom w:val="single" w:sz="8" w:space="0" w:color="auto"/>
              <w:right w:val="single" w:sz="8" w:space="0" w:color="auto"/>
            </w:tcBorders>
            <w:shd w:val="clear" w:color="auto" w:fill="auto"/>
            <w:vAlign w:val="center"/>
            <w:hideMark/>
          </w:tcPr>
          <w:p w:rsidR="00774833" w:rsidRPr="00774833" w:rsidP="00774833" w14:paraId="0A05304F" w14:textId="77777777">
            <w:pPr>
              <w:ind w:left="270"/>
              <w:rPr>
                <w:rFonts w:ascii="Times New Roman" w:hAnsi="Times New Roman"/>
                <w:sz w:val="18"/>
                <w:szCs w:val="18"/>
                <w:lang w:bidi="en-US"/>
              </w:rPr>
            </w:pPr>
            <w:r w:rsidRPr="00774833">
              <w:rPr>
                <w:rFonts w:ascii="Times New Roman" w:hAnsi="Times New Roman"/>
                <w:sz w:val="18"/>
                <w:szCs w:val="18"/>
                <w:lang w:bidi="en-US"/>
              </w:rPr>
              <w:t>49.36</w:t>
            </w:r>
          </w:p>
        </w:tc>
        <w:tc>
          <w:tcPr>
            <w:tcW w:w="1191" w:type="dxa"/>
            <w:tcBorders>
              <w:top w:val="nil"/>
              <w:left w:val="nil"/>
              <w:bottom w:val="single" w:sz="8" w:space="0" w:color="auto"/>
              <w:right w:val="single" w:sz="8" w:space="0" w:color="auto"/>
            </w:tcBorders>
            <w:shd w:val="clear" w:color="auto" w:fill="auto"/>
            <w:vAlign w:val="center"/>
            <w:hideMark/>
          </w:tcPr>
          <w:p w:rsidR="00774833" w:rsidRPr="00774833" w:rsidP="00774833" w14:paraId="041B0EEF"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hideMark/>
          </w:tcPr>
          <w:p w:rsidR="00774833" w:rsidRPr="00774833" w:rsidP="00774833" w14:paraId="1D189E33"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01" w:type="dxa"/>
            <w:tcBorders>
              <w:top w:val="nil"/>
              <w:left w:val="nil"/>
              <w:bottom w:val="single" w:sz="8" w:space="0" w:color="auto"/>
              <w:right w:val="single" w:sz="8" w:space="0" w:color="auto"/>
            </w:tcBorders>
            <w:shd w:val="clear" w:color="auto" w:fill="auto"/>
            <w:vAlign w:val="center"/>
            <w:hideMark/>
          </w:tcPr>
          <w:p w:rsidR="00774833" w:rsidRPr="00774833" w:rsidP="00774833" w14:paraId="5479C6EB"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hideMark/>
          </w:tcPr>
          <w:p w:rsidR="00774833" w:rsidRPr="00774833" w:rsidP="00774833" w14:paraId="5ED10EA5"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hideMark/>
          </w:tcPr>
          <w:p w:rsidR="00774833" w:rsidRPr="00774833" w:rsidP="00774833" w14:paraId="152BB1A7" w14:textId="77777777">
            <w:pPr>
              <w:ind w:left="270"/>
              <w:rPr>
                <w:rFonts w:ascii="Times New Roman" w:hAnsi="Times New Roman"/>
                <w:sz w:val="18"/>
                <w:szCs w:val="18"/>
                <w:lang w:bidi="en-US"/>
              </w:rPr>
            </w:pPr>
            <w:r w:rsidRPr="00774833">
              <w:rPr>
                <w:rFonts w:ascii="Times New Roman" w:hAnsi="Times New Roman"/>
                <w:sz w:val="18"/>
                <w:szCs w:val="18"/>
                <w:lang w:bidi="en-US"/>
              </w:rPr>
              <w:t>100</w:t>
            </w:r>
          </w:p>
        </w:tc>
        <w:tc>
          <w:tcPr>
            <w:tcW w:w="1101" w:type="dxa"/>
            <w:tcBorders>
              <w:top w:val="nil"/>
              <w:left w:val="nil"/>
              <w:bottom w:val="single" w:sz="8" w:space="0" w:color="auto"/>
              <w:right w:val="single" w:sz="8" w:space="0" w:color="auto"/>
            </w:tcBorders>
            <w:shd w:val="clear" w:color="auto" w:fill="auto"/>
            <w:vAlign w:val="center"/>
            <w:hideMark/>
          </w:tcPr>
          <w:p w:rsidR="00774833" w:rsidRPr="00774833" w:rsidP="00774833" w14:paraId="484B01C0"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276" w:type="dxa"/>
            <w:tcBorders>
              <w:top w:val="nil"/>
              <w:left w:val="nil"/>
              <w:bottom w:val="single" w:sz="8" w:space="0" w:color="auto"/>
              <w:right w:val="single" w:sz="8" w:space="0" w:color="auto"/>
            </w:tcBorders>
            <w:shd w:val="clear" w:color="auto" w:fill="auto"/>
            <w:vAlign w:val="center"/>
            <w:hideMark/>
          </w:tcPr>
          <w:p w:rsidR="00774833" w:rsidRPr="00774833" w:rsidP="00774833" w14:paraId="008EF16E"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$101.15 </w:t>
            </w:r>
          </w:p>
        </w:tc>
      </w:tr>
      <w:tr w14:paraId="5D4CFE2D" w14:textId="77777777" w:rsidTr="00BC6955">
        <w:tblPrEx>
          <w:tblW w:w="10884" w:type="dxa"/>
          <w:tblLook w:val="04A0"/>
        </w:tblPrEx>
        <w:trPr>
          <w:trHeight w:val="1033"/>
        </w:trPr>
        <w:tc>
          <w:tcPr>
            <w:tcW w:w="1626" w:type="dxa"/>
            <w:tcBorders>
              <w:top w:val="nil"/>
              <w:left w:val="single" w:sz="8" w:space="0" w:color="auto"/>
              <w:bottom w:val="single" w:sz="8" w:space="0" w:color="auto"/>
              <w:right w:val="single" w:sz="8" w:space="0" w:color="auto"/>
            </w:tcBorders>
            <w:shd w:val="clear" w:color="auto" w:fill="auto"/>
            <w:vAlign w:val="center"/>
          </w:tcPr>
          <w:p w:rsidR="00774833" w:rsidRPr="00774833" w:rsidP="00774833" w14:paraId="0F41B8BA" w14:textId="77777777">
            <w:pPr>
              <w:ind w:left="270"/>
              <w:rPr>
                <w:rFonts w:ascii="Times New Roman" w:hAnsi="Times New Roman"/>
                <w:sz w:val="18"/>
                <w:szCs w:val="18"/>
                <w:lang w:bidi="en-US"/>
              </w:rPr>
            </w:pPr>
            <w:r w:rsidRPr="00774833">
              <w:rPr>
                <w:rFonts w:ascii="Times New Roman" w:hAnsi="Times New Roman"/>
                <w:sz w:val="18"/>
                <w:szCs w:val="18"/>
                <w:lang w:bidi="en-US"/>
              </w:rPr>
              <w:t>2. (New) NPR – Policies and Procedures - Implementation</w:t>
            </w:r>
          </w:p>
        </w:tc>
        <w:tc>
          <w:tcPr>
            <w:tcW w:w="1016" w:type="dxa"/>
            <w:tcBorders>
              <w:top w:val="nil"/>
              <w:left w:val="nil"/>
              <w:bottom w:val="single" w:sz="8" w:space="0" w:color="auto"/>
              <w:right w:val="single" w:sz="8" w:space="0" w:color="auto"/>
            </w:tcBorders>
            <w:shd w:val="clear" w:color="auto" w:fill="auto"/>
            <w:vAlign w:val="center"/>
            <w:hideMark/>
          </w:tcPr>
          <w:p w:rsidR="00774833" w:rsidRPr="00774833" w:rsidP="00774833" w14:paraId="67587FD6" w14:textId="77777777">
            <w:pPr>
              <w:ind w:left="270"/>
              <w:rPr>
                <w:rFonts w:ascii="Times New Roman" w:hAnsi="Times New Roman"/>
                <w:sz w:val="18"/>
                <w:szCs w:val="18"/>
                <w:lang w:bidi="en-US"/>
              </w:rPr>
            </w:pPr>
            <w:r w:rsidRPr="00774833">
              <w:rPr>
                <w:rFonts w:ascii="Times New Roman" w:hAnsi="Times New Roman"/>
                <w:sz w:val="18"/>
                <w:szCs w:val="18"/>
                <w:lang w:bidi="en-US"/>
              </w:rPr>
              <w:t>10.88</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492D2925" w14:textId="77777777">
            <w:pPr>
              <w:ind w:left="270"/>
              <w:rPr>
                <w:rFonts w:ascii="Times New Roman" w:hAnsi="Times New Roman"/>
                <w:sz w:val="18"/>
                <w:szCs w:val="18"/>
                <w:lang w:bidi="en-US"/>
              </w:rPr>
            </w:pPr>
            <w:r w:rsidRPr="00774833">
              <w:rPr>
                <w:rFonts w:ascii="Times New Roman" w:hAnsi="Times New Roman"/>
                <w:sz w:val="18"/>
                <w:szCs w:val="18"/>
                <w:lang w:bidi="en-US"/>
              </w:rPr>
              <w:t>5</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64903DEA" w14:textId="77777777">
            <w:pPr>
              <w:ind w:left="270"/>
              <w:rPr>
                <w:rFonts w:ascii="Times New Roman" w:hAnsi="Times New Roman"/>
                <w:sz w:val="18"/>
                <w:szCs w:val="18"/>
                <w:lang w:bidi="en-US"/>
              </w:rPr>
            </w:pPr>
            <w:r w:rsidRPr="00774833">
              <w:rPr>
                <w:rFonts w:ascii="Times New Roman" w:hAnsi="Times New Roman"/>
                <w:sz w:val="18"/>
                <w:szCs w:val="18"/>
                <w:lang w:bidi="en-US"/>
              </w:rPr>
              <w:t>15</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0CA4332C" w14:textId="77777777">
            <w:pPr>
              <w:ind w:left="270"/>
              <w:rPr>
                <w:rFonts w:ascii="Times New Roman" w:hAnsi="Times New Roman"/>
                <w:sz w:val="18"/>
                <w:szCs w:val="18"/>
                <w:lang w:bidi="en-US"/>
              </w:rPr>
            </w:pPr>
            <w:r w:rsidRPr="00774833">
              <w:rPr>
                <w:rFonts w:ascii="Times New Roman" w:hAnsi="Times New Roman"/>
                <w:sz w:val="18"/>
                <w:szCs w:val="18"/>
                <w:lang w:bidi="en-US"/>
              </w:rPr>
              <w:t>40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124BC773"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002F3D8E" w14:textId="77777777">
            <w:pPr>
              <w:ind w:left="270"/>
              <w:rPr>
                <w:rFonts w:ascii="Times New Roman" w:hAnsi="Times New Roman"/>
                <w:sz w:val="18"/>
                <w:szCs w:val="18"/>
                <w:lang w:bidi="en-US"/>
              </w:rPr>
            </w:pPr>
            <w:r w:rsidRPr="00774833">
              <w:rPr>
                <w:rFonts w:ascii="Times New Roman" w:hAnsi="Times New Roman"/>
                <w:sz w:val="18"/>
                <w:szCs w:val="18"/>
                <w:lang w:bidi="en-US"/>
              </w:rPr>
              <w:t>40</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2F591B99"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276" w:type="dxa"/>
            <w:tcBorders>
              <w:top w:val="nil"/>
              <w:left w:val="nil"/>
              <w:bottom w:val="single" w:sz="8" w:space="0" w:color="auto"/>
              <w:right w:val="single" w:sz="8" w:space="0" w:color="auto"/>
            </w:tcBorders>
            <w:shd w:val="clear" w:color="auto" w:fill="auto"/>
            <w:vAlign w:val="center"/>
          </w:tcPr>
          <w:p w:rsidR="00774833" w:rsidRPr="00774833" w:rsidP="00774833" w14:paraId="08847A1A"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$97.86 </w:t>
            </w:r>
          </w:p>
        </w:tc>
      </w:tr>
      <w:tr w14:paraId="4010FE15" w14:textId="77777777" w:rsidTr="00BC6955">
        <w:tblPrEx>
          <w:tblW w:w="10884" w:type="dxa"/>
          <w:tblLook w:val="04A0"/>
        </w:tblPrEx>
        <w:trPr>
          <w:trHeight w:val="790"/>
        </w:trPr>
        <w:tc>
          <w:tcPr>
            <w:tcW w:w="1626" w:type="dxa"/>
            <w:tcBorders>
              <w:top w:val="nil"/>
              <w:left w:val="single" w:sz="8" w:space="0" w:color="auto"/>
              <w:bottom w:val="single" w:sz="8" w:space="0" w:color="auto"/>
              <w:right w:val="single" w:sz="8" w:space="0" w:color="auto"/>
            </w:tcBorders>
            <w:shd w:val="clear" w:color="auto" w:fill="auto"/>
            <w:vAlign w:val="center"/>
          </w:tcPr>
          <w:p w:rsidR="00774833" w:rsidRPr="00774833" w:rsidP="00774833" w14:paraId="6DBFF02B"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3. (New) NPR – Policies and Procedures – Ongoing </w:t>
            </w:r>
          </w:p>
        </w:tc>
        <w:tc>
          <w:tcPr>
            <w:tcW w:w="1016" w:type="dxa"/>
            <w:tcBorders>
              <w:top w:val="nil"/>
              <w:left w:val="nil"/>
              <w:bottom w:val="single" w:sz="8" w:space="0" w:color="auto"/>
              <w:right w:val="single" w:sz="8" w:space="0" w:color="auto"/>
            </w:tcBorders>
            <w:shd w:val="clear" w:color="auto" w:fill="auto"/>
            <w:vAlign w:val="center"/>
            <w:hideMark/>
          </w:tcPr>
          <w:p w:rsidR="00774833" w:rsidRPr="00774833" w:rsidP="00774833" w14:paraId="776D8A11" w14:textId="77777777">
            <w:pPr>
              <w:ind w:left="270"/>
              <w:rPr>
                <w:rFonts w:ascii="Times New Roman" w:hAnsi="Times New Roman"/>
                <w:sz w:val="18"/>
                <w:szCs w:val="18"/>
                <w:lang w:bidi="en-US"/>
              </w:rPr>
            </w:pPr>
            <w:r w:rsidRPr="00774833">
              <w:rPr>
                <w:rFonts w:ascii="Times New Roman" w:hAnsi="Times New Roman"/>
                <w:sz w:val="18"/>
                <w:szCs w:val="18"/>
                <w:lang w:bidi="en-US"/>
              </w:rPr>
              <w:t>4.08</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4056B678" w14:textId="77777777">
            <w:pPr>
              <w:ind w:left="270"/>
              <w:rPr>
                <w:rFonts w:ascii="Times New Roman" w:hAnsi="Times New Roman"/>
                <w:sz w:val="18"/>
                <w:szCs w:val="18"/>
                <w:lang w:bidi="en-US"/>
              </w:rPr>
            </w:pPr>
            <w:r w:rsidRPr="00774833">
              <w:rPr>
                <w:rFonts w:ascii="Times New Roman" w:hAnsi="Times New Roman"/>
                <w:sz w:val="18"/>
                <w:szCs w:val="18"/>
                <w:lang w:bidi="en-US"/>
              </w:rPr>
              <w:t>5</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59A30304" w14:textId="77777777">
            <w:pPr>
              <w:ind w:left="270"/>
              <w:rPr>
                <w:rFonts w:ascii="Times New Roman" w:hAnsi="Times New Roman"/>
                <w:sz w:val="18"/>
                <w:szCs w:val="18"/>
                <w:lang w:bidi="en-US"/>
              </w:rPr>
            </w:pPr>
            <w:r w:rsidRPr="00774833">
              <w:rPr>
                <w:rFonts w:ascii="Times New Roman" w:hAnsi="Times New Roman"/>
                <w:sz w:val="18"/>
                <w:szCs w:val="18"/>
                <w:lang w:bidi="en-US"/>
              </w:rPr>
              <w:t>5</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5DB7A018" w14:textId="77777777">
            <w:pPr>
              <w:ind w:left="270"/>
              <w:rPr>
                <w:rFonts w:ascii="Times New Roman" w:hAnsi="Times New Roman"/>
                <w:sz w:val="18"/>
                <w:szCs w:val="18"/>
                <w:lang w:bidi="en-US"/>
              </w:rPr>
            </w:pPr>
            <w:r w:rsidRPr="00774833">
              <w:rPr>
                <w:rFonts w:ascii="Times New Roman" w:hAnsi="Times New Roman"/>
                <w:sz w:val="18"/>
                <w:szCs w:val="18"/>
                <w:lang w:bidi="en-US"/>
              </w:rPr>
              <w:t>40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6885AB48"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6B08DEF1" w14:textId="77777777">
            <w:pPr>
              <w:ind w:left="270"/>
              <w:rPr>
                <w:rFonts w:ascii="Times New Roman" w:hAnsi="Times New Roman"/>
                <w:sz w:val="18"/>
                <w:szCs w:val="18"/>
                <w:lang w:bidi="en-US"/>
              </w:rPr>
            </w:pPr>
            <w:r w:rsidRPr="00774833">
              <w:rPr>
                <w:rFonts w:ascii="Times New Roman" w:hAnsi="Times New Roman"/>
                <w:sz w:val="18"/>
                <w:szCs w:val="18"/>
                <w:lang w:bidi="en-US"/>
              </w:rPr>
              <w:t>50</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4E5DB212"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276" w:type="dxa"/>
            <w:tcBorders>
              <w:top w:val="nil"/>
              <w:left w:val="nil"/>
              <w:bottom w:val="single" w:sz="8" w:space="0" w:color="auto"/>
              <w:right w:val="single" w:sz="8" w:space="0" w:color="auto"/>
            </w:tcBorders>
            <w:shd w:val="clear" w:color="auto" w:fill="auto"/>
            <w:vAlign w:val="center"/>
          </w:tcPr>
          <w:p w:rsidR="00774833" w:rsidRPr="00774833" w:rsidP="00774833" w14:paraId="7B853361"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$91.40 </w:t>
            </w:r>
          </w:p>
        </w:tc>
      </w:tr>
      <w:tr w14:paraId="23E9B6A2" w14:textId="77777777" w:rsidTr="00BC6955">
        <w:tblPrEx>
          <w:tblW w:w="10884" w:type="dxa"/>
          <w:tblLook w:val="04A0"/>
        </w:tblPrEx>
        <w:trPr>
          <w:trHeight w:val="1051"/>
        </w:trPr>
        <w:tc>
          <w:tcPr>
            <w:tcW w:w="1626" w:type="dxa"/>
            <w:tcBorders>
              <w:top w:val="nil"/>
              <w:left w:val="single" w:sz="8" w:space="0" w:color="auto"/>
              <w:bottom w:val="single" w:sz="8" w:space="0" w:color="auto"/>
              <w:right w:val="single" w:sz="8" w:space="0" w:color="auto"/>
            </w:tcBorders>
            <w:shd w:val="clear" w:color="auto" w:fill="auto"/>
            <w:vAlign w:val="center"/>
          </w:tcPr>
          <w:p w:rsidR="00774833" w:rsidRPr="00774833" w:rsidP="00774833" w14:paraId="66F0508E"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4. (New) –Guidelines – Policies and Procedures – Ongoing </w:t>
            </w:r>
          </w:p>
        </w:tc>
        <w:tc>
          <w:tcPr>
            <w:tcW w:w="1016" w:type="dxa"/>
            <w:tcBorders>
              <w:top w:val="nil"/>
              <w:left w:val="nil"/>
              <w:bottom w:val="single" w:sz="8" w:space="0" w:color="auto"/>
              <w:right w:val="single" w:sz="8" w:space="0" w:color="auto"/>
            </w:tcBorders>
            <w:shd w:val="clear" w:color="auto" w:fill="auto"/>
            <w:vAlign w:val="center"/>
          </w:tcPr>
          <w:p w:rsidR="00774833" w:rsidRPr="00774833" w:rsidP="00774833" w14:paraId="2C4F4B20" w14:textId="77777777">
            <w:pPr>
              <w:ind w:left="270"/>
              <w:rPr>
                <w:rFonts w:ascii="Times New Roman" w:hAnsi="Times New Roman"/>
                <w:sz w:val="18"/>
                <w:szCs w:val="18"/>
                <w:lang w:bidi="en-US"/>
              </w:rPr>
            </w:pPr>
            <w:r w:rsidRPr="00774833">
              <w:rPr>
                <w:rFonts w:ascii="Times New Roman" w:hAnsi="Times New Roman"/>
                <w:sz w:val="18"/>
                <w:szCs w:val="18"/>
                <w:lang w:bidi="en-US"/>
              </w:rPr>
              <w:t>23.79</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7901E7E8" w14:textId="77777777">
            <w:pPr>
              <w:ind w:left="270"/>
              <w:rPr>
                <w:rFonts w:ascii="Times New Roman" w:hAnsi="Times New Roman"/>
                <w:sz w:val="18"/>
                <w:szCs w:val="18"/>
                <w:lang w:bidi="en-US"/>
              </w:rPr>
            </w:pPr>
            <w:r w:rsidRPr="00774833">
              <w:rPr>
                <w:rFonts w:ascii="Times New Roman" w:hAnsi="Times New Roman"/>
                <w:sz w:val="18"/>
                <w:szCs w:val="18"/>
                <w:lang w:bidi="en-US"/>
              </w:rPr>
              <w:t>5</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592AB4F4" w14:textId="77777777">
            <w:pPr>
              <w:ind w:left="270"/>
              <w:rPr>
                <w:rFonts w:ascii="Times New Roman" w:hAnsi="Times New Roman"/>
                <w:sz w:val="18"/>
                <w:szCs w:val="18"/>
                <w:lang w:bidi="en-US"/>
              </w:rPr>
            </w:pPr>
            <w:r w:rsidRPr="00774833">
              <w:rPr>
                <w:rFonts w:ascii="Times New Roman" w:hAnsi="Times New Roman"/>
                <w:sz w:val="18"/>
                <w:szCs w:val="18"/>
                <w:lang w:bidi="en-US"/>
              </w:rPr>
              <w:t>5</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566CD047" w14:textId="77777777">
            <w:pPr>
              <w:ind w:left="270"/>
              <w:rPr>
                <w:rFonts w:ascii="Times New Roman" w:hAnsi="Times New Roman"/>
                <w:sz w:val="18"/>
                <w:szCs w:val="18"/>
                <w:lang w:bidi="en-US"/>
              </w:rPr>
            </w:pPr>
            <w:r w:rsidRPr="00774833">
              <w:rPr>
                <w:rFonts w:ascii="Times New Roman" w:hAnsi="Times New Roman"/>
                <w:sz w:val="18"/>
                <w:szCs w:val="18"/>
                <w:lang w:bidi="en-US"/>
              </w:rPr>
              <w:t>40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277F1341"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511267D3" w14:textId="77777777">
            <w:pPr>
              <w:ind w:left="270"/>
              <w:rPr>
                <w:rFonts w:ascii="Times New Roman" w:hAnsi="Times New Roman"/>
                <w:sz w:val="18"/>
                <w:szCs w:val="18"/>
                <w:lang w:bidi="en-US"/>
              </w:rPr>
            </w:pPr>
            <w:r w:rsidRPr="00774833">
              <w:rPr>
                <w:rFonts w:ascii="Times New Roman" w:hAnsi="Times New Roman"/>
                <w:sz w:val="18"/>
                <w:szCs w:val="18"/>
                <w:lang w:bidi="en-US"/>
              </w:rPr>
              <w:t>50</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4A25E0DE"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276" w:type="dxa"/>
            <w:tcBorders>
              <w:top w:val="nil"/>
              <w:left w:val="nil"/>
              <w:bottom w:val="single" w:sz="8" w:space="0" w:color="auto"/>
              <w:right w:val="single" w:sz="8" w:space="0" w:color="auto"/>
            </w:tcBorders>
            <w:shd w:val="clear" w:color="auto" w:fill="auto"/>
            <w:vAlign w:val="center"/>
          </w:tcPr>
          <w:p w:rsidR="00774833" w:rsidRPr="00774833" w:rsidP="00774833" w14:paraId="2A308EF9"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$91.40 </w:t>
            </w:r>
          </w:p>
        </w:tc>
      </w:tr>
      <w:tr w14:paraId="1E3196C3" w14:textId="77777777" w:rsidTr="00BC6955">
        <w:tblPrEx>
          <w:tblW w:w="10884" w:type="dxa"/>
          <w:tblLook w:val="04A0"/>
        </w:tblPrEx>
        <w:trPr>
          <w:trHeight w:val="799"/>
        </w:trPr>
        <w:tc>
          <w:tcPr>
            <w:tcW w:w="1626" w:type="dxa"/>
            <w:tcBorders>
              <w:top w:val="nil"/>
              <w:left w:val="single" w:sz="8" w:space="0" w:color="auto"/>
              <w:bottom w:val="single" w:sz="8" w:space="0" w:color="auto"/>
              <w:right w:val="single" w:sz="8" w:space="0" w:color="auto"/>
            </w:tcBorders>
            <w:shd w:val="clear" w:color="auto" w:fill="auto"/>
            <w:vAlign w:val="center"/>
          </w:tcPr>
          <w:p w:rsidR="00774833" w:rsidRPr="00774833" w:rsidP="00774833" w14:paraId="581025F7"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5. (New) –Guidelines - Disclosure – Ongoing </w:t>
            </w:r>
          </w:p>
        </w:tc>
        <w:tc>
          <w:tcPr>
            <w:tcW w:w="1016" w:type="dxa"/>
            <w:tcBorders>
              <w:top w:val="nil"/>
              <w:left w:val="nil"/>
              <w:bottom w:val="single" w:sz="8" w:space="0" w:color="auto"/>
              <w:right w:val="single" w:sz="8" w:space="0" w:color="auto"/>
            </w:tcBorders>
            <w:shd w:val="clear" w:color="auto" w:fill="auto"/>
            <w:vAlign w:val="center"/>
          </w:tcPr>
          <w:p w:rsidR="00774833" w:rsidRPr="00774833" w:rsidP="00774833" w14:paraId="7E8D48A6" w14:textId="77777777">
            <w:pPr>
              <w:ind w:left="270"/>
              <w:rPr>
                <w:rFonts w:ascii="Times New Roman" w:hAnsi="Times New Roman"/>
                <w:sz w:val="18"/>
                <w:szCs w:val="18"/>
                <w:lang w:bidi="en-US"/>
              </w:rPr>
            </w:pPr>
            <w:r w:rsidRPr="00774833">
              <w:rPr>
                <w:rFonts w:ascii="Times New Roman" w:hAnsi="Times New Roman"/>
                <w:sz w:val="18"/>
                <w:szCs w:val="18"/>
                <w:lang w:bidi="en-US"/>
              </w:rPr>
              <w:t>11.89</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0D28F2EE"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76FC5A37"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4A1DF44E"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7A3225C8"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191" w:type="dxa"/>
            <w:tcBorders>
              <w:top w:val="nil"/>
              <w:left w:val="nil"/>
              <w:bottom w:val="single" w:sz="8" w:space="0" w:color="auto"/>
              <w:right w:val="single" w:sz="8" w:space="0" w:color="auto"/>
            </w:tcBorders>
            <w:shd w:val="clear" w:color="auto" w:fill="auto"/>
            <w:vAlign w:val="center"/>
          </w:tcPr>
          <w:p w:rsidR="00774833" w:rsidRPr="00774833" w:rsidP="00774833" w14:paraId="70E05480" w14:textId="77777777">
            <w:pPr>
              <w:ind w:left="270"/>
              <w:rPr>
                <w:rFonts w:ascii="Times New Roman" w:hAnsi="Times New Roman"/>
                <w:sz w:val="18"/>
                <w:szCs w:val="18"/>
                <w:lang w:bidi="en-US"/>
              </w:rPr>
            </w:pPr>
            <w:r w:rsidRPr="00774833">
              <w:rPr>
                <w:rFonts w:ascii="Times New Roman" w:hAnsi="Times New Roman"/>
                <w:sz w:val="18"/>
                <w:szCs w:val="18"/>
                <w:lang w:bidi="en-US"/>
              </w:rPr>
              <w:t>100</w:t>
            </w:r>
          </w:p>
        </w:tc>
        <w:tc>
          <w:tcPr>
            <w:tcW w:w="1101" w:type="dxa"/>
            <w:tcBorders>
              <w:top w:val="nil"/>
              <w:left w:val="nil"/>
              <w:bottom w:val="single" w:sz="8" w:space="0" w:color="auto"/>
              <w:right w:val="single" w:sz="8" w:space="0" w:color="auto"/>
            </w:tcBorders>
            <w:shd w:val="clear" w:color="auto" w:fill="auto"/>
            <w:vAlign w:val="center"/>
          </w:tcPr>
          <w:p w:rsidR="00774833" w:rsidRPr="00774833" w:rsidP="00774833" w14:paraId="6916B399" w14:textId="77777777">
            <w:pPr>
              <w:ind w:left="270"/>
              <w:rPr>
                <w:rFonts w:ascii="Times New Roman" w:hAnsi="Times New Roman"/>
                <w:sz w:val="18"/>
                <w:szCs w:val="18"/>
                <w:lang w:bidi="en-US"/>
              </w:rPr>
            </w:pPr>
            <w:r w:rsidRPr="00774833">
              <w:rPr>
                <w:rFonts w:ascii="Times New Roman" w:hAnsi="Times New Roman"/>
                <w:sz w:val="18"/>
                <w:szCs w:val="18"/>
                <w:lang w:bidi="en-US"/>
              </w:rPr>
              <w:t>0</w:t>
            </w:r>
          </w:p>
        </w:tc>
        <w:tc>
          <w:tcPr>
            <w:tcW w:w="1276" w:type="dxa"/>
            <w:tcBorders>
              <w:top w:val="nil"/>
              <w:left w:val="nil"/>
              <w:bottom w:val="single" w:sz="8" w:space="0" w:color="auto"/>
              <w:right w:val="single" w:sz="8" w:space="0" w:color="auto"/>
            </w:tcBorders>
            <w:shd w:val="clear" w:color="auto" w:fill="auto"/>
            <w:vAlign w:val="center"/>
          </w:tcPr>
          <w:p w:rsidR="00774833" w:rsidRPr="00774833" w:rsidP="00774833" w14:paraId="26F4F396" w14:textId="77777777">
            <w:pPr>
              <w:ind w:left="270"/>
              <w:rPr>
                <w:rFonts w:ascii="Times New Roman" w:hAnsi="Times New Roman"/>
                <w:sz w:val="18"/>
                <w:szCs w:val="18"/>
                <w:lang w:bidi="en-US"/>
              </w:rPr>
            </w:pPr>
            <w:r w:rsidRPr="00774833">
              <w:rPr>
                <w:rFonts w:ascii="Times New Roman" w:hAnsi="Times New Roman"/>
                <w:sz w:val="18"/>
                <w:szCs w:val="18"/>
                <w:lang w:bidi="en-US"/>
              </w:rPr>
              <w:t>$101.15</w:t>
            </w:r>
          </w:p>
        </w:tc>
      </w:tr>
      <w:tr w14:paraId="685F8FE4" w14:textId="77777777" w:rsidTr="00BC6955">
        <w:tblPrEx>
          <w:tblW w:w="10884" w:type="dxa"/>
          <w:tblLook w:val="04A0"/>
        </w:tblPrEx>
        <w:trPr>
          <w:trHeight w:val="300"/>
        </w:trPr>
        <w:tc>
          <w:tcPr>
            <w:tcW w:w="9608" w:type="dxa"/>
            <w:gridSpan w:val="8"/>
            <w:tcBorders>
              <w:top w:val="single" w:sz="8" w:space="0" w:color="auto"/>
              <w:left w:val="single" w:sz="8" w:space="0" w:color="auto"/>
              <w:bottom w:val="nil"/>
              <w:right w:val="nil"/>
            </w:tcBorders>
            <w:shd w:val="clear" w:color="auto" w:fill="auto"/>
            <w:vAlign w:val="center"/>
            <w:hideMark/>
          </w:tcPr>
          <w:p w:rsidR="00774833" w:rsidRPr="00774833" w:rsidP="00774833" w14:paraId="6F718570" w14:textId="77777777">
            <w:pPr>
              <w:ind w:left="270"/>
              <w:rPr>
                <w:rFonts w:ascii="Times New Roman" w:hAnsi="Times New Roman"/>
                <w:b/>
                <w:bCs/>
                <w:i/>
                <w:iCs/>
                <w:sz w:val="18"/>
                <w:szCs w:val="18"/>
                <w:lang w:bidi="en-US"/>
              </w:rPr>
            </w:pPr>
            <w:r w:rsidRPr="00774833">
              <w:rPr>
                <w:rFonts w:ascii="Times New Roman" w:hAnsi="Times New Roman"/>
                <w:b/>
                <w:bCs/>
                <w:i/>
                <w:iCs/>
                <w:sz w:val="18"/>
                <w:szCs w:val="18"/>
                <w:lang w:bidi="en-US"/>
              </w:rPr>
              <w:t>Weighted Average Hourly Compensation Rate:</w:t>
            </w:r>
          </w:p>
        </w:tc>
        <w:tc>
          <w:tcPr>
            <w:tcW w:w="1276" w:type="dxa"/>
            <w:tcBorders>
              <w:top w:val="nil"/>
              <w:left w:val="nil"/>
              <w:bottom w:val="nil"/>
              <w:right w:val="single" w:sz="8" w:space="0" w:color="auto"/>
            </w:tcBorders>
            <w:shd w:val="clear" w:color="auto" w:fill="auto"/>
            <w:vAlign w:val="center"/>
            <w:hideMark/>
          </w:tcPr>
          <w:p w:rsidR="00774833" w:rsidRPr="00774833" w:rsidP="00774833" w14:paraId="71190847" w14:textId="77777777">
            <w:pPr>
              <w:ind w:left="270"/>
              <w:rPr>
                <w:rFonts w:ascii="Times New Roman" w:hAnsi="Times New Roman"/>
                <w:b/>
                <w:bCs/>
                <w:i/>
                <w:iCs/>
                <w:sz w:val="18"/>
                <w:szCs w:val="18"/>
                <w:lang w:bidi="en-US"/>
              </w:rPr>
            </w:pPr>
            <w:r w:rsidRPr="00774833">
              <w:rPr>
                <w:rFonts w:ascii="Times New Roman" w:hAnsi="Times New Roman"/>
                <w:b/>
                <w:bCs/>
                <w:i/>
                <w:iCs/>
                <w:sz w:val="18"/>
                <w:szCs w:val="18"/>
                <w:lang w:bidi="en-US"/>
              </w:rPr>
              <w:t xml:space="preserve">$98.07 </w:t>
            </w:r>
          </w:p>
        </w:tc>
      </w:tr>
      <w:tr w14:paraId="27C61D47" w14:textId="77777777" w:rsidTr="00BC6955">
        <w:tblPrEx>
          <w:tblW w:w="10884" w:type="dxa"/>
          <w:tblLook w:val="04A0"/>
        </w:tblPrEx>
        <w:trPr>
          <w:trHeight w:val="276"/>
        </w:trPr>
        <w:tc>
          <w:tcPr>
            <w:tcW w:w="10884"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774833" w:rsidRPr="00774833" w:rsidP="00774833" w14:paraId="352000A9" w14:textId="77777777">
            <w:pPr>
              <w:ind w:left="270"/>
              <w:rPr>
                <w:rFonts w:ascii="Times New Roman" w:hAnsi="Times New Roman"/>
                <w:sz w:val="18"/>
                <w:szCs w:val="18"/>
                <w:lang w:bidi="en-US"/>
              </w:rPr>
            </w:pPr>
            <w:r w:rsidRPr="00774833">
              <w:rPr>
                <w:rFonts w:ascii="Times New Roman" w:hAnsi="Times New Roman"/>
                <w:sz w:val="18"/>
                <w:szCs w:val="18"/>
                <w:lang w:bidi="en-US"/>
              </w:rPr>
              <w:t xml:space="preserve">Source: Bureau of Labor Statistics: 'National Industry-Specific Occupational Employment and Wage Estimates: Industry: Credit Intermediation and Related Activities (5221 And 5223 only)' (May 2021), Employer Cost of Employee Compensation (March 2021), and Employment Cost Index (March 2021 and December 2022).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0B014247" w14:textId="77777777" w:rsidTr="00BC6955">
        <w:tblPrEx>
          <w:tblW w:w="10884" w:type="dxa"/>
          <w:tblLook w:val="04A0"/>
        </w:tblPrEx>
        <w:trPr>
          <w:trHeight w:val="431"/>
        </w:trPr>
        <w:tc>
          <w:tcPr>
            <w:tcW w:w="10884" w:type="dxa"/>
            <w:gridSpan w:val="9"/>
            <w:vMerge/>
            <w:tcBorders>
              <w:top w:val="single" w:sz="8" w:space="0" w:color="auto"/>
              <w:left w:val="single" w:sz="8" w:space="0" w:color="auto"/>
              <w:bottom w:val="nil"/>
              <w:right w:val="single" w:sz="8" w:space="0" w:color="000000"/>
            </w:tcBorders>
            <w:vAlign w:val="center"/>
            <w:hideMark/>
          </w:tcPr>
          <w:p w:rsidR="00774833" w:rsidRPr="00774833" w:rsidP="00774833" w14:paraId="765DE403" w14:textId="77777777">
            <w:pPr>
              <w:ind w:left="270"/>
              <w:rPr>
                <w:rFonts w:ascii="Times New Roman" w:hAnsi="Times New Roman"/>
                <w:sz w:val="18"/>
                <w:szCs w:val="18"/>
                <w:lang w:bidi="en-US"/>
              </w:rPr>
            </w:pPr>
          </w:p>
        </w:tc>
      </w:tr>
      <w:tr w14:paraId="36FF2F16" w14:textId="77777777" w:rsidTr="00BC6955">
        <w:tblPrEx>
          <w:tblW w:w="10884" w:type="dxa"/>
          <w:tblLook w:val="04A0"/>
        </w:tblPrEx>
        <w:trPr>
          <w:trHeight w:val="431"/>
        </w:trPr>
        <w:tc>
          <w:tcPr>
            <w:tcW w:w="10884" w:type="dxa"/>
            <w:gridSpan w:val="9"/>
            <w:vMerge/>
            <w:tcBorders>
              <w:top w:val="single" w:sz="8" w:space="0" w:color="auto"/>
              <w:left w:val="single" w:sz="8" w:space="0" w:color="auto"/>
              <w:bottom w:val="nil"/>
              <w:right w:val="single" w:sz="8" w:space="0" w:color="000000"/>
            </w:tcBorders>
            <w:vAlign w:val="center"/>
            <w:hideMark/>
          </w:tcPr>
          <w:p w:rsidR="00774833" w:rsidRPr="00774833" w:rsidP="00774833" w14:paraId="4A584295" w14:textId="77777777">
            <w:pPr>
              <w:ind w:left="270"/>
              <w:rPr>
                <w:rFonts w:ascii="Times New Roman" w:hAnsi="Times New Roman"/>
                <w:sz w:val="18"/>
                <w:szCs w:val="18"/>
                <w:lang w:bidi="en-US"/>
              </w:rPr>
            </w:pPr>
          </w:p>
        </w:tc>
      </w:tr>
      <w:tr w14:paraId="7AD65234" w14:textId="77777777" w:rsidTr="00BC6955">
        <w:tblPrEx>
          <w:tblW w:w="10884" w:type="dxa"/>
          <w:tblLook w:val="04A0"/>
        </w:tblPrEx>
        <w:trPr>
          <w:trHeight w:val="431"/>
        </w:trPr>
        <w:tc>
          <w:tcPr>
            <w:tcW w:w="10884" w:type="dxa"/>
            <w:gridSpan w:val="9"/>
            <w:vMerge/>
            <w:tcBorders>
              <w:top w:val="single" w:sz="8" w:space="0" w:color="auto"/>
              <w:left w:val="single" w:sz="8" w:space="0" w:color="auto"/>
              <w:bottom w:val="nil"/>
              <w:right w:val="single" w:sz="8" w:space="0" w:color="000000"/>
            </w:tcBorders>
            <w:vAlign w:val="center"/>
            <w:hideMark/>
          </w:tcPr>
          <w:p w:rsidR="00774833" w:rsidRPr="00774833" w:rsidP="00774833" w14:paraId="76BE3A7A" w14:textId="77777777">
            <w:pPr>
              <w:ind w:left="270"/>
              <w:rPr>
                <w:rFonts w:ascii="Times New Roman" w:hAnsi="Times New Roman"/>
                <w:sz w:val="18"/>
                <w:szCs w:val="18"/>
                <w:lang w:bidi="en-US"/>
              </w:rPr>
            </w:pPr>
          </w:p>
        </w:tc>
      </w:tr>
      <w:tr w14:paraId="6068A44B" w14:textId="77777777" w:rsidTr="00BC6955">
        <w:tblPrEx>
          <w:tblW w:w="10884" w:type="dxa"/>
          <w:tblLook w:val="04A0"/>
        </w:tblPrEx>
        <w:trPr>
          <w:trHeight w:val="431"/>
        </w:trPr>
        <w:tc>
          <w:tcPr>
            <w:tcW w:w="10884" w:type="dxa"/>
            <w:gridSpan w:val="9"/>
            <w:vMerge/>
            <w:tcBorders>
              <w:top w:val="single" w:sz="8" w:space="0" w:color="auto"/>
              <w:left w:val="single" w:sz="8" w:space="0" w:color="auto"/>
              <w:bottom w:val="nil"/>
              <w:right w:val="single" w:sz="8" w:space="0" w:color="000000"/>
            </w:tcBorders>
            <w:vAlign w:val="center"/>
            <w:hideMark/>
          </w:tcPr>
          <w:p w:rsidR="00774833" w:rsidRPr="00774833" w:rsidP="00774833" w14:paraId="0B1C86B6" w14:textId="77777777">
            <w:pPr>
              <w:ind w:left="270"/>
              <w:rPr>
                <w:rFonts w:ascii="Times New Roman" w:hAnsi="Times New Roman"/>
                <w:sz w:val="18"/>
                <w:szCs w:val="18"/>
                <w:lang w:bidi="en-US"/>
              </w:rPr>
            </w:pPr>
          </w:p>
        </w:tc>
      </w:tr>
      <w:tr w14:paraId="5A092807" w14:textId="77777777" w:rsidTr="00BC6955">
        <w:tblPrEx>
          <w:tblW w:w="10884" w:type="dxa"/>
          <w:tblLook w:val="04A0"/>
        </w:tblPrEx>
        <w:trPr>
          <w:trHeight w:val="288"/>
        </w:trPr>
        <w:tc>
          <w:tcPr>
            <w:tcW w:w="10884" w:type="dxa"/>
            <w:gridSpan w:val="9"/>
            <w:vMerge w:val="restart"/>
            <w:tcBorders>
              <w:top w:val="nil"/>
              <w:left w:val="single" w:sz="8" w:space="0" w:color="auto"/>
              <w:bottom w:val="single" w:sz="8" w:space="0" w:color="000000"/>
              <w:right w:val="single" w:sz="8" w:space="0" w:color="000000"/>
            </w:tcBorders>
            <w:shd w:val="clear" w:color="auto" w:fill="auto"/>
            <w:vAlign w:val="center"/>
            <w:hideMark/>
          </w:tcPr>
          <w:p w:rsidR="00774833" w:rsidRPr="00774833" w:rsidP="00774833" w14:paraId="2973C995" w14:textId="77777777">
            <w:pPr>
              <w:ind w:left="270"/>
              <w:rPr>
                <w:rFonts w:ascii="Times New Roman" w:hAnsi="Times New Roman"/>
                <w:sz w:val="18"/>
                <w:szCs w:val="18"/>
                <w:lang w:bidi="en-US"/>
              </w:rPr>
            </w:pPr>
            <w:r w:rsidRPr="00774833">
              <w:rPr>
                <w:rFonts w:ascii="Times New Roman" w:hAnsi="Times New Roman"/>
                <w:sz w:val="18"/>
                <w:szCs w:val="18"/>
                <w:lang w:bidi="en-US"/>
              </w:rPr>
              <w:t>Note: The estimated hourly compensation rate for a given collection is the average of the hourly compensation rates for the occupations used to comply with that collection, weighted by the share of hours spent by each occupation. The weighted average hourly compensation rate is the average of the estimated hourly compensation rates for all information collections, weighted by the share of hourly burden for each collection. These hourly weights, calculated as the estimated number of annual burden hours in a given collection over the total estimated number of annual burden hours across all collections, are shown in the “Hourly Weight” column of this table.</w:t>
            </w:r>
          </w:p>
        </w:tc>
      </w:tr>
      <w:tr w14:paraId="4C8E458E" w14:textId="77777777" w:rsidTr="00BC6955">
        <w:tblPrEx>
          <w:tblW w:w="10884" w:type="dxa"/>
          <w:tblLook w:val="04A0"/>
        </w:tblPrEx>
        <w:trPr>
          <w:trHeight w:val="431"/>
        </w:trPr>
        <w:tc>
          <w:tcPr>
            <w:tcW w:w="10884" w:type="dxa"/>
            <w:gridSpan w:val="9"/>
            <w:vMerge/>
            <w:tcBorders>
              <w:top w:val="nil"/>
              <w:left w:val="single" w:sz="8" w:space="0" w:color="auto"/>
              <w:bottom w:val="single" w:sz="8" w:space="0" w:color="000000"/>
              <w:right w:val="single" w:sz="8" w:space="0" w:color="000000"/>
            </w:tcBorders>
            <w:vAlign w:val="center"/>
            <w:hideMark/>
          </w:tcPr>
          <w:p w:rsidR="00774833" w:rsidRPr="00774833" w:rsidP="00774833" w14:paraId="2C5178A6" w14:textId="77777777">
            <w:pPr>
              <w:ind w:left="270"/>
              <w:rPr>
                <w:rFonts w:ascii="Times New Roman" w:hAnsi="Times New Roman"/>
                <w:sz w:val="18"/>
                <w:szCs w:val="18"/>
                <w:lang w:bidi="en-US"/>
              </w:rPr>
            </w:pPr>
          </w:p>
        </w:tc>
      </w:tr>
      <w:tr w14:paraId="289DDF4C" w14:textId="77777777" w:rsidTr="00BC6955">
        <w:tblPrEx>
          <w:tblW w:w="10884" w:type="dxa"/>
          <w:tblLook w:val="04A0"/>
        </w:tblPrEx>
        <w:trPr>
          <w:trHeight w:val="431"/>
        </w:trPr>
        <w:tc>
          <w:tcPr>
            <w:tcW w:w="10884" w:type="dxa"/>
            <w:gridSpan w:val="9"/>
            <w:vMerge/>
            <w:tcBorders>
              <w:top w:val="nil"/>
              <w:left w:val="single" w:sz="8" w:space="0" w:color="auto"/>
              <w:bottom w:val="single" w:sz="8" w:space="0" w:color="000000"/>
              <w:right w:val="single" w:sz="8" w:space="0" w:color="000000"/>
            </w:tcBorders>
            <w:vAlign w:val="center"/>
            <w:hideMark/>
          </w:tcPr>
          <w:p w:rsidR="00774833" w:rsidRPr="00774833" w:rsidP="00774833" w14:paraId="090F3CD8" w14:textId="77777777">
            <w:pPr>
              <w:ind w:left="270"/>
              <w:rPr>
                <w:rFonts w:ascii="Times New Roman" w:hAnsi="Times New Roman"/>
                <w:sz w:val="18"/>
                <w:szCs w:val="18"/>
                <w:lang w:bidi="en-US"/>
              </w:rPr>
            </w:pPr>
          </w:p>
        </w:tc>
      </w:tr>
      <w:tr w14:paraId="5924EBEA" w14:textId="77777777" w:rsidTr="00BC6955">
        <w:tblPrEx>
          <w:tblW w:w="10884" w:type="dxa"/>
          <w:tblLook w:val="04A0"/>
        </w:tblPrEx>
        <w:trPr>
          <w:trHeight w:val="431"/>
        </w:trPr>
        <w:tc>
          <w:tcPr>
            <w:tcW w:w="10884" w:type="dxa"/>
            <w:gridSpan w:val="9"/>
            <w:vMerge/>
            <w:tcBorders>
              <w:top w:val="nil"/>
              <w:left w:val="single" w:sz="8" w:space="0" w:color="auto"/>
              <w:bottom w:val="single" w:sz="8" w:space="0" w:color="000000"/>
              <w:right w:val="single" w:sz="8" w:space="0" w:color="000000"/>
            </w:tcBorders>
            <w:vAlign w:val="center"/>
            <w:hideMark/>
          </w:tcPr>
          <w:p w:rsidR="00774833" w:rsidRPr="00774833" w:rsidP="00774833" w14:paraId="4B8C1C42" w14:textId="77777777">
            <w:pPr>
              <w:ind w:left="270"/>
              <w:rPr>
                <w:rFonts w:ascii="Times New Roman" w:hAnsi="Times New Roman"/>
                <w:sz w:val="18"/>
                <w:szCs w:val="18"/>
                <w:lang w:bidi="en-US"/>
              </w:rPr>
            </w:pPr>
          </w:p>
        </w:tc>
      </w:tr>
      <w:tr w14:paraId="2C1203E9" w14:textId="77777777" w:rsidTr="00BC6955">
        <w:tblPrEx>
          <w:tblW w:w="10884" w:type="dxa"/>
          <w:tblLook w:val="04A0"/>
        </w:tblPrEx>
        <w:trPr>
          <w:trHeight w:val="431"/>
        </w:trPr>
        <w:tc>
          <w:tcPr>
            <w:tcW w:w="10884" w:type="dxa"/>
            <w:gridSpan w:val="9"/>
            <w:vMerge/>
            <w:tcBorders>
              <w:top w:val="nil"/>
              <w:left w:val="single" w:sz="8" w:space="0" w:color="auto"/>
              <w:bottom w:val="single" w:sz="8" w:space="0" w:color="000000"/>
              <w:right w:val="single" w:sz="8" w:space="0" w:color="000000"/>
            </w:tcBorders>
            <w:vAlign w:val="center"/>
            <w:hideMark/>
          </w:tcPr>
          <w:p w:rsidR="00774833" w:rsidRPr="00774833" w:rsidP="00774833" w14:paraId="787B44F9" w14:textId="77777777">
            <w:pPr>
              <w:ind w:left="270"/>
              <w:rPr>
                <w:rFonts w:ascii="Times New Roman" w:hAnsi="Times New Roman"/>
                <w:sz w:val="18"/>
                <w:szCs w:val="18"/>
                <w:lang w:bidi="en-US"/>
              </w:rPr>
            </w:pPr>
          </w:p>
        </w:tc>
      </w:tr>
    </w:tbl>
    <w:p w:rsidR="0086547B" w:rsidP="00774833" w14:paraId="2789DEB7" w14:textId="77777777">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p>
    <w:p w:rsidR="003D36AF" w:rsidRPr="00774833" w:rsidP="00774833" w14:paraId="57DBC00A" w14:textId="020C28E7">
      <w:pPr>
        <w:tabs>
          <w:tab w:val="left" w:pos="288"/>
          <w:tab w:val="left" w:pos="1008"/>
          <w:tab w:val="left" w:pos="1728"/>
          <w:tab w:val="left" w:pos="2448"/>
          <w:tab w:val="left" w:pos="3168"/>
          <w:tab w:val="left" w:pos="3888"/>
        </w:tabs>
        <w:spacing w:after="240"/>
        <w:ind w:left="1008"/>
        <w:rPr>
          <w:rFonts w:ascii="Times New Roman" w:hAnsi="Times New Roman"/>
          <w:b/>
          <w:i/>
          <w:u w:val="single"/>
          <w:lang w:bidi="en-US"/>
        </w:rPr>
      </w:pPr>
      <w:r w:rsidRPr="00774833">
        <w:rPr>
          <w:rFonts w:ascii="Times New Roman" w:hAnsi="Times New Roman"/>
          <w:b/>
          <w:i/>
          <w:u w:val="single"/>
          <w:lang w:bidi="en-US"/>
        </w:rPr>
        <w:t>C. ICs Associated with the 2010 Interagency Guidelines</w:t>
      </w:r>
    </w:p>
    <w:p w:rsidR="003D36AF" w:rsidRPr="003D36AF" w:rsidP="00BC6955" w14:paraId="24633379" w14:textId="221562DC">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The FDIC </w:t>
      </w:r>
      <w:r w:rsidR="009822DB">
        <w:rPr>
          <w:rFonts w:ascii="Times New Roman" w:hAnsi="Times New Roman"/>
          <w:lang w:bidi="en-US"/>
        </w:rPr>
        <w:t>assumes</w:t>
      </w:r>
      <w:r w:rsidRPr="003D36AF">
        <w:rPr>
          <w:rFonts w:ascii="Times New Roman" w:hAnsi="Times New Roman"/>
          <w:lang w:bidi="en-US"/>
        </w:rPr>
        <w:t xml:space="preserve"> recordkeeping activities for policies and procedures under IC 4 to be similar to those conducted under IC 3, as both tasks relate to ongoing review and maintenance of previously established policies and procedures addressing closely related subjects.  Thus, </w:t>
      </w:r>
      <w:r w:rsidR="009822DB">
        <w:rPr>
          <w:rFonts w:ascii="Times New Roman" w:hAnsi="Times New Roman"/>
          <w:lang w:bidi="en-US"/>
        </w:rPr>
        <w:t>it</w:t>
      </w:r>
      <w:r w:rsidRPr="003D36AF">
        <w:rPr>
          <w:rFonts w:ascii="Times New Roman" w:hAnsi="Times New Roman"/>
          <w:lang w:bidi="en-US"/>
        </w:rPr>
        <w:t xml:space="preserve"> reasons that the allocation of labor hours across professions would approximately mirror that of IC 3, as shown in Table 2.</w:t>
      </w:r>
    </w:p>
    <w:p w:rsidR="003D36AF" w:rsidRPr="003D36AF" w:rsidP="009822DB" w14:paraId="692A69F0" w14:textId="72625155">
      <w:pPr>
        <w:tabs>
          <w:tab w:val="left" w:pos="288"/>
          <w:tab w:val="left" w:pos="1008"/>
          <w:tab w:val="left" w:pos="1728"/>
          <w:tab w:val="left" w:pos="2448"/>
          <w:tab w:val="left" w:pos="3168"/>
          <w:tab w:val="left" w:pos="3888"/>
        </w:tabs>
        <w:spacing w:after="240"/>
        <w:ind w:left="1008"/>
        <w:rPr>
          <w:rFonts w:ascii="Times New Roman" w:hAnsi="Times New Roman"/>
          <w:lang w:bidi="en-US"/>
        </w:rPr>
      </w:pPr>
      <w:r w:rsidRPr="003D36AF">
        <w:rPr>
          <w:rFonts w:ascii="Times New Roman" w:hAnsi="Times New Roman"/>
          <w:lang w:bidi="en-US"/>
        </w:rPr>
        <w:t xml:space="preserve">As described above, IC 5 involves third-party disclosure when an institution files a complaint with its state appraiser regulators when it suspects that a state certified or licensed appraiser failed to comply with USPAP, applicable state laws, or engaged in unethical or unprofessional conduct.  The FDIC lacks data on the expected allocation of labor used by FDIC-supervised institutions for this activity.  Based on supervisory experience, the </w:t>
      </w:r>
      <w:r w:rsidR="009822DB">
        <w:rPr>
          <w:rFonts w:ascii="Times New Roman" w:hAnsi="Times New Roman"/>
          <w:lang w:bidi="en-US"/>
        </w:rPr>
        <w:t>FDIC</w:t>
      </w:r>
      <w:r w:rsidRPr="003D36AF">
        <w:rPr>
          <w:rFonts w:ascii="Times New Roman" w:hAnsi="Times New Roman"/>
          <w:lang w:bidi="en-US"/>
        </w:rPr>
        <w:t xml:space="preserve"> estimates such disclosure would be conducted</w:t>
      </w:r>
      <w:r w:rsidR="009822DB">
        <w:rPr>
          <w:rFonts w:ascii="Times New Roman" w:hAnsi="Times New Roman"/>
          <w:lang w:bidi="en-US"/>
        </w:rPr>
        <w:t xml:space="preserve"> entirely by financial analysts.</w:t>
      </w:r>
    </w:p>
    <w:p w:rsidR="003D36AF" w:rsidRPr="003D36AF" w:rsidP="003D36AF" w14:paraId="4C8910FF" w14:textId="77777777">
      <w:pPr>
        <w:ind w:left="270"/>
        <w:rPr>
          <w:rFonts w:ascii="Times New Roman" w:hAnsi="Times New Roman"/>
          <w:lang w:bidi="en-US"/>
        </w:rPr>
      </w:pPr>
    </w:p>
    <w:p w:rsidR="003D36AF" w:rsidRPr="003D36AF" w:rsidP="009822DB" w14:paraId="415DD3F7" w14:textId="133DF3A4">
      <w:pPr>
        <w:spacing w:after="120"/>
        <w:ind w:left="274"/>
        <w:rPr>
          <w:rFonts w:ascii="Times New Roman" w:hAnsi="Times New Roman"/>
          <w:b/>
          <w:lang w:bidi="en-US"/>
        </w:rPr>
      </w:pPr>
      <w:r w:rsidRPr="003D36AF">
        <w:rPr>
          <w:rFonts w:ascii="Times New Roman" w:hAnsi="Times New Roman"/>
          <w:b/>
          <w:lang w:bidi="en-US"/>
        </w:rPr>
        <w:t xml:space="preserve">Total Estimated </w:t>
      </w:r>
      <w:r w:rsidR="009822DB">
        <w:rPr>
          <w:rFonts w:ascii="Times New Roman" w:hAnsi="Times New Roman"/>
          <w:b/>
          <w:lang w:bidi="en-US"/>
        </w:rPr>
        <w:t xml:space="preserve">Labor </w:t>
      </w:r>
      <w:r w:rsidRPr="003D36AF">
        <w:rPr>
          <w:rFonts w:ascii="Times New Roman" w:hAnsi="Times New Roman"/>
          <w:b/>
          <w:lang w:bidi="en-US"/>
        </w:rPr>
        <w:t xml:space="preserve">Cost Burden </w:t>
      </w:r>
    </w:p>
    <w:p w:rsidR="003D36AF" w:rsidRPr="003D36AF" w:rsidP="009822DB" w14:paraId="47996F97" w14:textId="353390DF">
      <w:pPr>
        <w:tabs>
          <w:tab w:val="left" w:pos="288"/>
          <w:tab w:val="left" w:pos="1008"/>
          <w:tab w:val="left" w:pos="1728"/>
          <w:tab w:val="left" w:pos="2448"/>
          <w:tab w:val="left" w:pos="3168"/>
          <w:tab w:val="left" w:pos="3888"/>
        </w:tabs>
        <w:spacing w:after="240"/>
        <w:ind w:left="1008"/>
        <w:rPr>
          <w:rFonts w:ascii="Times New Roman" w:hAnsi="Times New Roman"/>
          <w:lang w:bidi="en-US"/>
        </w:rPr>
      </w:pPr>
      <w:r>
        <w:rPr>
          <w:rFonts w:ascii="Times New Roman" w:hAnsi="Times New Roman"/>
          <w:lang w:bidi="en-US"/>
        </w:rPr>
        <w:t xml:space="preserve">FDIC </w:t>
      </w:r>
      <w:r w:rsidRPr="003D36AF">
        <w:rPr>
          <w:rFonts w:ascii="Times New Roman" w:hAnsi="Times New Roman"/>
          <w:lang w:bidi="en-US"/>
        </w:rPr>
        <w:t>estimate</w:t>
      </w:r>
      <w:r>
        <w:rPr>
          <w:rFonts w:ascii="Times New Roman" w:hAnsi="Times New Roman"/>
          <w:lang w:bidi="en-US"/>
        </w:rPr>
        <w:t>s</w:t>
      </w:r>
      <w:r w:rsidRPr="003D36AF">
        <w:rPr>
          <w:rFonts w:ascii="Times New Roman" w:hAnsi="Times New Roman"/>
          <w:lang w:bidi="en-US"/>
        </w:rPr>
        <w:t xml:space="preserve"> the annual </w:t>
      </w:r>
      <w:r>
        <w:rPr>
          <w:rFonts w:ascii="Times New Roman" w:hAnsi="Times New Roman"/>
          <w:lang w:bidi="en-US"/>
        </w:rPr>
        <w:t xml:space="preserve">labor </w:t>
      </w:r>
      <w:r w:rsidRPr="003D36AF">
        <w:rPr>
          <w:rFonts w:ascii="Times New Roman" w:hAnsi="Times New Roman"/>
          <w:lang w:bidi="en-US"/>
        </w:rPr>
        <w:t>costs to respondents of the IC for the existing real estate appraisals and evaluations regulation, the ICs for the NPR, and the ICs for the Guidelines by multiplying the total annual estimated burden hours reported in Table 1 by the weighted average hourly compensation rate in Table 2.  As shown in Table 3,</w:t>
      </w:r>
      <w:r w:rsidRPr="00974B40">
        <w:rPr>
          <w:rFonts w:ascii="Times New Roman" w:hAnsi="Times New Roman"/>
          <w:lang w:bidi="en-US"/>
        </w:rPr>
        <w:t xml:space="preserve"> the estimated annual cost for each of the three years after the effective date of the NPR would be $12,524,422.</w:t>
      </w:r>
      <w:r>
        <w:rPr>
          <w:rFonts w:ascii="Times New Roman" w:hAnsi="Times New Roman"/>
          <w:lang w:bidi="en-US"/>
        </w:rPr>
        <w:footnoteReference w:id="32"/>
      </w:r>
      <w:r w:rsidRPr="003D36AF">
        <w:rPr>
          <w:rFonts w:ascii="Times New Roman" w:hAnsi="Times New Roman"/>
          <w:lang w:bidi="en-US"/>
        </w:rPr>
        <w:t xml:space="preserve"> </w:t>
      </w:r>
    </w:p>
    <w:p w:rsidR="003D36AF" w:rsidRPr="003D36AF" w:rsidP="003D36AF" w14:paraId="645ACAEC" w14:textId="77777777">
      <w:pPr>
        <w:ind w:left="270"/>
        <w:rPr>
          <w:rFonts w:ascii="Times New Roman" w:hAnsi="Times New Roman"/>
          <w:lang w:bidi="en-US"/>
        </w:rPr>
      </w:pPr>
    </w:p>
    <w:tbl>
      <w:tblPr>
        <w:tblW w:w="9420" w:type="dxa"/>
        <w:tblLook w:val="04A0"/>
      </w:tblPr>
      <w:tblGrid>
        <w:gridCol w:w="2134"/>
        <w:gridCol w:w="3082"/>
        <w:gridCol w:w="2099"/>
        <w:gridCol w:w="2105"/>
      </w:tblGrid>
      <w:tr w14:paraId="2C9D29AE" w14:textId="77777777" w:rsidTr="00145861">
        <w:tblPrEx>
          <w:tblW w:w="9420" w:type="dxa"/>
          <w:tblLook w:val="04A0"/>
        </w:tblPrEx>
        <w:trPr>
          <w:trHeight w:val="360"/>
        </w:trPr>
        <w:tc>
          <w:tcPr>
            <w:tcW w:w="94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6AF" w:rsidRPr="009822DB" w:rsidP="003D36AF" w14:paraId="0A279C20" w14:textId="77777777">
            <w:pPr>
              <w:ind w:left="270"/>
              <w:rPr>
                <w:rFonts w:ascii="Times New Roman" w:hAnsi="Times New Roman"/>
                <w:sz w:val="20"/>
                <w:lang w:bidi="en-US"/>
              </w:rPr>
            </w:pPr>
            <w:r w:rsidRPr="009822DB">
              <w:rPr>
                <w:rFonts w:ascii="Times New Roman" w:hAnsi="Times New Roman"/>
                <w:sz w:val="20"/>
                <w:lang w:bidi="en-US"/>
              </w:rPr>
              <w:t>Table 3. Total Estimated Cost Burden (OMB No. 3064-0103)</w:t>
            </w:r>
          </w:p>
        </w:tc>
      </w:tr>
      <w:tr w14:paraId="1C98FCDB" w14:textId="77777777" w:rsidTr="00145861">
        <w:tblPrEx>
          <w:tblW w:w="9420" w:type="dxa"/>
          <w:tblLook w:val="04A0"/>
        </w:tblPrEx>
        <w:trPr>
          <w:trHeight w:val="600"/>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3D36AF" w:rsidRPr="009822DB" w:rsidP="003D36AF" w14:paraId="2454B894" w14:textId="77777777">
            <w:pPr>
              <w:ind w:left="270"/>
              <w:rPr>
                <w:rFonts w:ascii="Times New Roman" w:hAnsi="Times New Roman"/>
                <w:sz w:val="20"/>
                <w:lang w:bidi="en-US"/>
              </w:rPr>
            </w:pPr>
            <w:r w:rsidRPr="009822DB">
              <w:rPr>
                <w:rFonts w:ascii="Times New Roman" w:hAnsi="Times New Roman"/>
                <w:sz w:val="20"/>
                <w:lang w:bidi="en-US"/>
              </w:rPr>
              <w:t>Information Collection Request</w:t>
            </w:r>
          </w:p>
        </w:tc>
        <w:tc>
          <w:tcPr>
            <w:tcW w:w="3082" w:type="dxa"/>
            <w:tcBorders>
              <w:top w:val="nil"/>
              <w:left w:val="nil"/>
              <w:bottom w:val="single" w:sz="8" w:space="0" w:color="auto"/>
              <w:right w:val="single" w:sz="8" w:space="0" w:color="auto"/>
            </w:tcBorders>
            <w:shd w:val="clear" w:color="auto" w:fill="auto"/>
            <w:vAlign w:val="center"/>
            <w:hideMark/>
          </w:tcPr>
          <w:p w:rsidR="003D36AF" w:rsidRPr="009822DB" w:rsidP="003D36AF" w14:paraId="6139BA5D" w14:textId="77777777">
            <w:pPr>
              <w:ind w:left="270"/>
              <w:rPr>
                <w:rFonts w:ascii="Times New Roman" w:hAnsi="Times New Roman"/>
                <w:sz w:val="20"/>
                <w:lang w:bidi="en-US"/>
              </w:rPr>
            </w:pPr>
            <w:r w:rsidRPr="009822DB">
              <w:rPr>
                <w:rFonts w:ascii="Times New Roman" w:hAnsi="Times New Roman"/>
                <w:sz w:val="20"/>
                <w:lang w:bidi="en-US"/>
              </w:rPr>
              <w:t>Annual Burden (Hours)</w:t>
            </w:r>
          </w:p>
        </w:tc>
        <w:tc>
          <w:tcPr>
            <w:tcW w:w="2099" w:type="dxa"/>
            <w:tcBorders>
              <w:top w:val="nil"/>
              <w:left w:val="nil"/>
              <w:bottom w:val="single" w:sz="8" w:space="0" w:color="auto"/>
              <w:right w:val="single" w:sz="8" w:space="0" w:color="auto"/>
            </w:tcBorders>
            <w:shd w:val="clear" w:color="auto" w:fill="auto"/>
            <w:vAlign w:val="center"/>
            <w:hideMark/>
          </w:tcPr>
          <w:p w:rsidR="003D36AF" w:rsidRPr="009822DB" w:rsidP="003D36AF" w14:paraId="7EAF6F40" w14:textId="77777777">
            <w:pPr>
              <w:ind w:left="270"/>
              <w:rPr>
                <w:rFonts w:ascii="Times New Roman" w:hAnsi="Times New Roman"/>
                <w:sz w:val="20"/>
                <w:lang w:bidi="en-US"/>
              </w:rPr>
            </w:pPr>
            <w:r w:rsidRPr="009822DB">
              <w:rPr>
                <w:rFonts w:ascii="Times New Roman" w:hAnsi="Times New Roman"/>
                <w:sz w:val="20"/>
                <w:lang w:bidi="en-US"/>
              </w:rPr>
              <w:t>Weighted Average Hourly Compensation Rate</w:t>
            </w:r>
          </w:p>
        </w:tc>
        <w:tc>
          <w:tcPr>
            <w:tcW w:w="2105" w:type="dxa"/>
            <w:tcBorders>
              <w:top w:val="nil"/>
              <w:left w:val="nil"/>
              <w:bottom w:val="single" w:sz="8" w:space="0" w:color="auto"/>
              <w:right w:val="single" w:sz="8" w:space="0" w:color="auto"/>
            </w:tcBorders>
            <w:shd w:val="clear" w:color="auto" w:fill="auto"/>
            <w:vAlign w:val="center"/>
            <w:hideMark/>
          </w:tcPr>
          <w:p w:rsidR="003D36AF" w:rsidRPr="009822DB" w:rsidP="003D36AF" w14:paraId="2B4BF8EA" w14:textId="77777777">
            <w:pPr>
              <w:ind w:left="270"/>
              <w:rPr>
                <w:rFonts w:ascii="Times New Roman" w:hAnsi="Times New Roman"/>
                <w:sz w:val="20"/>
                <w:lang w:bidi="en-US"/>
              </w:rPr>
            </w:pPr>
            <w:r w:rsidRPr="009822DB">
              <w:rPr>
                <w:rFonts w:ascii="Times New Roman" w:hAnsi="Times New Roman"/>
                <w:sz w:val="20"/>
                <w:lang w:bidi="en-US"/>
              </w:rPr>
              <w:t>Annual Respondent Cost</w:t>
            </w:r>
          </w:p>
        </w:tc>
      </w:tr>
      <w:tr w14:paraId="1DA40B76" w14:textId="77777777" w:rsidTr="00145861">
        <w:tblPrEx>
          <w:tblW w:w="9420" w:type="dxa"/>
          <w:tblLook w:val="04A0"/>
        </w:tblPrEx>
        <w:trPr>
          <w:trHeight w:val="864"/>
        </w:trPr>
        <w:tc>
          <w:tcPr>
            <w:tcW w:w="2134" w:type="dxa"/>
            <w:tcBorders>
              <w:top w:val="nil"/>
              <w:left w:val="single" w:sz="8" w:space="0" w:color="auto"/>
              <w:bottom w:val="single" w:sz="8" w:space="0" w:color="auto"/>
              <w:right w:val="single" w:sz="8" w:space="0" w:color="auto"/>
            </w:tcBorders>
            <w:shd w:val="clear" w:color="auto" w:fill="auto"/>
            <w:vAlign w:val="center"/>
          </w:tcPr>
          <w:p w:rsidR="003D36AF" w:rsidRPr="009822DB" w:rsidP="003D36AF" w14:paraId="34291ADA" w14:textId="77777777">
            <w:pPr>
              <w:ind w:left="270"/>
              <w:rPr>
                <w:rFonts w:ascii="Times New Roman" w:hAnsi="Times New Roman"/>
                <w:sz w:val="20"/>
                <w:lang w:bidi="en-US"/>
              </w:rPr>
            </w:pPr>
            <w:r w:rsidRPr="009822DB">
              <w:rPr>
                <w:rFonts w:ascii="Times New Roman" w:hAnsi="Times New Roman"/>
                <w:sz w:val="20"/>
                <w:lang w:bidi="en-US"/>
              </w:rPr>
              <w:t>OMB No. 3064-0103</w:t>
            </w:r>
          </w:p>
        </w:tc>
        <w:tc>
          <w:tcPr>
            <w:tcW w:w="3082" w:type="dxa"/>
            <w:tcBorders>
              <w:top w:val="nil"/>
              <w:left w:val="nil"/>
              <w:bottom w:val="single" w:sz="8" w:space="0" w:color="auto"/>
              <w:right w:val="single" w:sz="8" w:space="0" w:color="auto"/>
            </w:tcBorders>
            <w:shd w:val="clear" w:color="auto" w:fill="auto"/>
            <w:noWrap/>
            <w:vAlign w:val="center"/>
          </w:tcPr>
          <w:p w:rsidR="003D36AF" w:rsidRPr="009822DB" w:rsidP="003D36AF" w14:paraId="27F7E700" w14:textId="77777777">
            <w:pPr>
              <w:ind w:left="270"/>
              <w:rPr>
                <w:rFonts w:ascii="Times New Roman" w:hAnsi="Times New Roman"/>
                <w:sz w:val="20"/>
                <w:lang w:bidi="en-US"/>
              </w:rPr>
            </w:pPr>
            <w:r w:rsidRPr="009822DB">
              <w:rPr>
                <w:rFonts w:ascii="Times New Roman" w:hAnsi="Times New Roman"/>
                <w:sz w:val="20"/>
                <w:lang w:bidi="en-US"/>
              </w:rPr>
              <w:t>127,709</w:t>
            </w:r>
          </w:p>
        </w:tc>
        <w:tc>
          <w:tcPr>
            <w:tcW w:w="2099" w:type="dxa"/>
            <w:tcBorders>
              <w:top w:val="nil"/>
              <w:left w:val="nil"/>
              <w:bottom w:val="single" w:sz="8" w:space="0" w:color="auto"/>
              <w:right w:val="single" w:sz="8" w:space="0" w:color="auto"/>
            </w:tcBorders>
            <w:shd w:val="clear" w:color="auto" w:fill="auto"/>
            <w:noWrap/>
            <w:vAlign w:val="center"/>
          </w:tcPr>
          <w:p w:rsidR="003D36AF" w:rsidRPr="009822DB" w:rsidP="003D36AF" w14:paraId="6C65C19D" w14:textId="77777777">
            <w:pPr>
              <w:ind w:left="270"/>
              <w:rPr>
                <w:rFonts w:ascii="Times New Roman" w:hAnsi="Times New Roman"/>
                <w:sz w:val="20"/>
                <w:lang w:bidi="en-US"/>
              </w:rPr>
            </w:pPr>
            <w:r w:rsidRPr="009822DB">
              <w:rPr>
                <w:rFonts w:ascii="Times New Roman" w:hAnsi="Times New Roman"/>
                <w:sz w:val="20"/>
                <w:lang w:bidi="en-US"/>
              </w:rPr>
              <w:t>$98.07</w:t>
            </w:r>
          </w:p>
        </w:tc>
        <w:tc>
          <w:tcPr>
            <w:tcW w:w="2105" w:type="dxa"/>
            <w:tcBorders>
              <w:top w:val="nil"/>
              <w:left w:val="nil"/>
              <w:bottom w:val="single" w:sz="8" w:space="0" w:color="auto"/>
              <w:right w:val="single" w:sz="8" w:space="0" w:color="auto"/>
            </w:tcBorders>
            <w:shd w:val="clear" w:color="auto" w:fill="auto"/>
            <w:noWrap/>
            <w:vAlign w:val="center"/>
          </w:tcPr>
          <w:p w:rsidR="003D36AF" w:rsidRPr="009822DB" w:rsidP="003D36AF" w14:paraId="16C1A357" w14:textId="77777777">
            <w:pPr>
              <w:ind w:left="270"/>
              <w:rPr>
                <w:rFonts w:ascii="Times New Roman" w:hAnsi="Times New Roman"/>
                <w:sz w:val="20"/>
                <w:lang w:bidi="en-US"/>
              </w:rPr>
            </w:pPr>
            <w:r w:rsidRPr="009822DB">
              <w:rPr>
                <w:rFonts w:ascii="Times New Roman" w:hAnsi="Times New Roman"/>
                <w:sz w:val="20"/>
                <w:lang w:bidi="en-US"/>
              </w:rPr>
              <w:t>12,524,422</w:t>
            </w:r>
          </w:p>
        </w:tc>
      </w:tr>
      <w:tr w14:paraId="2F622746" w14:textId="77777777" w:rsidTr="00145861">
        <w:tblPrEx>
          <w:tblW w:w="9420" w:type="dxa"/>
          <w:tblLook w:val="04A0"/>
        </w:tblPrEx>
        <w:trPr>
          <w:trHeight w:val="360"/>
        </w:trPr>
        <w:tc>
          <w:tcPr>
            <w:tcW w:w="7315"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3D36AF" w:rsidRPr="009822DB" w:rsidP="003D36AF" w14:paraId="395872F4" w14:textId="77777777">
            <w:pPr>
              <w:ind w:left="270"/>
              <w:rPr>
                <w:rFonts w:ascii="Times New Roman" w:hAnsi="Times New Roman"/>
                <w:b/>
                <w:bCs/>
                <w:i/>
                <w:iCs/>
                <w:sz w:val="20"/>
                <w:lang w:bidi="en-US"/>
              </w:rPr>
            </w:pPr>
            <w:r w:rsidRPr="009822DB">
              <w:rPr>
                <w:rFonts w:ascii="Times New Roman" w:hAnsi="Times New Roman"/>
                <w:b/>
                <w:bCs/>
                <w:i/>
                <w:iCs/>
                <w:sz w:val="20"/>
                <w:lang w:bidi="en-US"/>
              </w:rPr>
              <w:t>Total Annual Respondent Cost:</w:t>
            </w:r>
          </w:p>
        </w:tc>
        <w:tc>
          <w:tcPr>
            <w:tcW w:w="2105" w:type="dxa"/>
            <w:tcBorders>
              <w:top w:val="nil"/>
              <w:left w:val="nil"/>
              <w:bottom w:val="single" w:sz="8" w:space="0" w:color="auto"/>
              <w:right w:val="single" w:sz="8" w:space="0" w:color="auto"/>
            </w:tcBorders>
            <w:shd w:val="clear" w:color="000000" w:fill="FFFFFF"/>
            <w:vAlign w:val="center"/>
            <w:hideMark/>
          </w:tcPr>
          <w:p w:rsidR="003D36AF" w:rsidRPr="009822DB" w:rsidP="003D36AF" w14:paraId="113EC041" w14:textId="77777777">
            <w:pPr>
              <w:ind w:left="270"/>
              <w:rPr>
                <w:rFonts w:ascii="Times New Roman" w:hAnsi="Times New Roman"/>
                <w:b/>
                <w:bCs/>
                <w:i/>
                <w:iCs/>
                <w:sz w:val="20"/>
                <w:lang w:bidi="en-US"/>
              </w:rPr>
            </w:pPr>
            <w:r w:rsidRPr="009822DB">
              <w:rPr>
                <w:rFonts w:ascii="Times New Roman" w:hAnsi="Times New Roman"/>
                <w:b/>
                <w:bCs/>
                <w:i/>
                <w:iCs/>
                <w:sz w:val="20"/>
                <w:lang w:bidi="en-US"/>
              </w:rPr>
              <w:t xml:space="preserve">$12,524,422 </w:t>
            </w:r>
          </w:p>
        </w:tc>
      </w:tr>
      <w:tr w14:paraId="2D4BE342" w14:textId="77777777" w:rsidTr="00145861">
        <w:tblPrEx>
          <w:tblW w:w="9420" w:type="dxa"/>
          <w:tblLook w:val="04A0"/>
        </w:tblPrEx>
        <w:trPr>
          <w:trHeight w:val="288"/>
        </w:trPr>
        <w:tc>
          <w:tcPr>
            <w:tcW w:w="942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3D36AF" w:rsidRPr="009822DB" w:rsidP="003D36AF" w14:paraId="638981F8" w14:textId="77777777">
            <w:pPr>
              <w:ind w:left="270"/>
              <w:rPr>
                <w:rFonts w:ascii="Times New Roman" w:hAnsi="Times New Roman"/>
                <w:sz w:val="20"/>
                <w:lang w:bidi="en-US"/>
              </w:rPr>
            </w:pPr>
            <w:r w:rsidRPr="009822DB">
              <w:rPr>
                <w:rFonts w:ascii="Times New Roman" w:hAnsi="Times New Roman"/>
                <w:sz w:val="20"/>
                <w:lang w:bidi="en-US"/>
              </w:rPr>
              <w:t>Source: FDIC.</w:t>
            </w:r>
          </w:p>
        </w:tc>
      </w:tr>
    </w:tbl>
    <w:p w:rsidR="003D36AF" w:rsidRPr="003D36AF" w:rsidP="003D36AF" w14:paraId="535A1E7C" w14:textId="77777777">
      <w:pPr>
        <w:ind w:left="270"/>
        <w:rPr>
          <w:rFonts w:ascii="Times New Roman" w:hAnsi="Times New Roman"/>
          <w:lang w:bidi="en-US"/>
        </w:rPr>
      </w:pPr>
    </w:p>
    <w:p w:rsidR="00994EDE" w:rsidRPr="00CF34FA" w14:paraId="4DCE12B7"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13.</w:t>
      </w:r>
      <w:r w:rsidRPr="00CF34FA">
        <w:rPr>
          <w:rFonts w:ascii="Times New Roman" w:hAnsi="Times New Roman"/>
        </w:rPr>
        <w:tab/>
      </w:r>
      <w:r w:rsidRPr="00CF34FA" w:rsidR="002701C6">
        <w:rPr>
          <w:rFonts w:ascii="Times New Roman" w:hAnsi="Times New Roman"/>
          <w:u w:val="single"/>
        </w:rPr>
        <w:t>Estimate of start-up cost to respondents:</w:t>
      </w:r>
    </w:p>
    <w:p w:rsidR="00994EDE" w:rsidRPr="00CF34FA" w14:paraId="75B0E49F"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1E3FA86A"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rPr>
        <w:t>None.</w:t>
      </w:r>
    </w:p>
    <w:p w:rsidR="00994EDE" w:rsidRPr="00CF34FA" w14:paraId="0B2CBFB4"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4EC32406"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14.</w:t>
      </w:r>
      <w:r w:rsidRPr="00CF34FA">
        <w:rPr>
          <w:rFonts w:ascii="Times New Roman" w:hAnsi="Times New Roman"/>
        </w:rPr>
        <w:tab/>
      </w:r>
      <w:r w:rsidRPr="00CF34FA" w:rsidR="00586542">
        <w:rPr>
          <w:rFonts w:ascii="Times New Roman" w:hAnsi="Times New Roman"/>
          <w:u w:val="single"/>
        </w:rPr>
        <w:t>Estimate of annualized cost</w:t>
      </w:r>
      <w:r w:rsidRPr="00CF34FA" w:rsidR="002701C6">
        <w:rPr>
          <w:rFonts w:ascii="Times New Roman" w:hAnsi="Times New Roman"/>
          <w:u w:val="single"/>
        </w:rPr>
        <w:t>s</w:t>
      </w:r>
      <w:r w:rsidRPr="00CF34FA" w:rsidR="00586542">
        <w:rPr>
          <w:rFonts w:ascii="Times New Roman" w:hAnsi="Times New Roman"/>
          <w:u w:val="single"/>
        </w:rPr>
        <w:t xml:space="preserve"> to the g</w:t>
      </w:r>
      <w:r w:rsidRPr="00CF34FA">
        <w:rPr>
          <w:rFonts w:ascii="Times New Roman" w:hAnsi="Times New Roman"/>
          <w:u w:val="single"/>
        </w:rPr>
        <w:t>overnment</w:t>
      </w:r>
      <w:r w:rsidRPr="00CF34FA" w:rsidR="002701C6">
        <w:rPr>
          <w:rFonts w:ascii="Times New Roman" w:hAnsi="Times New Roman"/>
          <w:u w:val="single"/>
        </w:rPr>
        <w:t>:</w:t>
      </w:r>
    </w:p>
    <w:p w:rsidR="00994EDE" w:rsidRPr="00CF34FA" w14:paraId="2F49C688"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3C522CC4" w14:textId="77777777">
      <w:pPr>
        <w:widowControl/>
        <w:tabs>
          <w:tab w:val="left" w:pos="288"/>
          <w:tab w:val="left" w:pos="1008"/>
          <w:tab w:val="left" w:pos="1440"/>
          <w:tab w:val="left" w:pos="1872"/>
          <w:tab w:val="left" w:pos="3168"/>
          <w:tab w:val="left" w:pos="3888"/>
          <w:tab w:val="left" w:pos="7344"/>
        </w:tabs>
        <w:rPr>
          <w:rFonts w:ascii="Times New Roman" w:hAnsi="Times New Roman"/>
        </w:rPr>
      </w:pPr>
      <w:r w:rsidRPr="00CF34FA">
        <w:rPr>
          <w:rFonts w:ascii="Times New Roman" w:hAnsi="Times New Roman"/>
        </w:rPr>
        <w:tab/>
      </w:r>
      <w:r w:rsidRPr="00CF34FA">
        <w:rPr>
          <w:rFonts w:ascii="Times New Roman" w:hAnsi="Times New Roman"/>
        </w:rPr>
        <w:tab/>
        <w:t>None.</w:t>
      </w:r>
    </w:p>
    <w:p w:rsidR="00994EDE" w:rsidRPr="00CF34FA" w14:paraId="378C417B" w14:textId="77777777">
      <w:pPr>
        <w:widowControl/>
        <w:tabs>
          <w:tab w:val="left" w:pos="288"/>
          <w:tab w:val="left" w:pos="1008"/>
          <w:tab w:val="left" w:pos="1440"/>
          <w:tab w:val="left" w:pos="1872"/>
          <w:tab w:val="left" w:pos="3168"/>
          <w:tab w:val="left" w:pos="3888"/>
          <w:tab w:val="left" w:pos="7344"/>
        </w:tabs>
        <w:ind w:firstLine="1440"/>
        <w:rPr>
          <w:rFonts w:ascii="Times New Roman" w:hAnsi="Times New Roman"/>
        </w:rPr>
      </w:pPr>
    </w:p>
    <w:p w:rsidR="00994EDE" w:rsidRPr="00CF34FA" w14:paraId="1AB8E334"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15.</w:t>
      </w:r>
      <w:r w:rsidRPr="00CF34FA">
        <w:rPr>
          <w:rFonts w:ascii="Times New Roman" w:hAnsi="Times New Roman"/>
        </w:rPr>
        <w:tab/>
      </w:r>
      <w:r w:rsidRPr="00CF34FA" w:rsidR="00586542">
        <w:rPr>
          <w:rFonts w:ascii="Times New Roman" w:hAnsi="Times New Roman"/>
          <w:u w:val="single"/>
        </w:rPr>
        <w:t>Analysis of change in b</w:t>
      </w:r>
      <w:r w:rsidRPr="00CF34FA">
        <w:rPr>
          <w:rFonts w:ascii="Times New Roman" w:hAnsi="Times New Roman"/>
          <w:u w:val="single"/>
        </w:rPr>
        <w:t>urden</w:t>
      </w:r>
      <w:r w:rsidRPr="00CF34FA" w:rsidR="00586542">
        <w:rPr>
          <w:rFonts w:ascii="Times New Roman" w:hAnsi="Times New Roman"/>
          <w:u w:val="single"/>
        </w:rPr>
        <w:t>:</w:t>
      </w:r>
    </w:p>
    <w:p w:rsidR="00994EDE" w:rsidRPr="00CF34FA" w14:paraId="41F0FB5C"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A907C9" w:rsidRPr="00CF34FA" w:rsidP="00A907C9" w14:paraId="54E7DE79"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b/>
          <w:bCs/>
          <w:lang w:bidi="en-US"/>
        </w:rPr>
      </w:pPr>
      <w:r w:rsidRPr="00CF34FA">
        <w:rPr>
          <w:rFonts w:ascii="Times New Roman" w:hAnsi="Times New Roman"/>
          <w:iCs/>
        </w:rPr>
        <w:t>See discussion in Section 12 above.</w:t>
      </w:r>
      <w:r w:rsidRPr="00CF34FA">
        <w:rPr>
          <w:rFonts w:ascii="Times New Roman" w:hAnsi="Times New Roman"/>
          <w:lang w:bidi="en-US"/>
        </w:rPr>
        <w:t xml:space="preserve"> </w:t>
      </w:r>
    </w:p>
    <w:p w:rsidR="00994EDE" w:rsidRPr="00CF34FA" w14:paraId="5E4EB0EE"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0BE686A9"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16.</w:t>
      </w:r>
      <w:r w:rsidRPr="00CF34FA">
        <w:rPr>
          <w:rFonts w:ascii="Times New Roman" w:hAnsi="Times New Roman"/>
        </w:rPr>
        <w:tab/>
      </w:r>
      <w:r w:rsidRPr="00CF34FA" w:rsidR="00586542">
        <w:rPr>
          <w:rFonts w:ascii="Times New Roman" w:hAnsi="Times New Roman"/>
          <w:u w:val="single"/>
        </w:rPr>
        <w:t>Information regarding collections whose results are planned to be published for statistical use:</w:t>
      </w:r>
    </w:p>
    <w:p w:rsidR="00994EDE" w:rsidRPr="00CF34FA" w14:paraId="25C8BFF6"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21790D8C" w14:textId="77777777">
      <w:pPr>
        <w:widowControl/>
        <w:tabs>
          <w:tab w:val="left" w:pos="288"/>
          <w:tab w:val="left" w:pos="1008"/>
          <w:tab w:val="left" w:pos="1440"/>
          <w:tab w:val="left" w:pos="1872"/>
          <w:tab w:val="left" w:pos="3168"/>
          <w:tab w:val="left" w:pos="3888"/>
          <w:tab w:val="left" w:pos="7344"/>
        </w:tabs>
        <w:ind w:firstLine="1008"/>
        <w:rPr>
          <w:rFonts w:ascii="Times New Roman" w:hAnsi="Times New Roman"/>
        </w:rPr>
      </w:pPr>
      <w:r w:rsidRPr="00CF34FA">
        <w:rPr>
          <w:rFonts w:ascii="Times New Roman" w:hAnsi="Times New Roman"/>
        </w:rPr>
        <w:t xml:space="preserve">No publication is made of this collection of information.  </w:t>
      </w:r>
    </w:p>
    <w:p w:rsidR="001C7588" w:rsidRPr="00CF34FA" w14:paraId="3C096AC8" w14:textId="77777777">
      <w:pPr>
        <w:widowControl/>
        <w:tabs>
          <w:tab w:val="left" w:pos="288"/>
          <w:tab w:val="left" w:pos="1008"/>
          <w:tab w:val="left" w:pos="1440"/>
          <w:tab w:val="left" w:pos="1872"/>
          <w:tab w:val="left" w:pos="3168"/>
          <w:tab w:val="left" w:pos="3888"/>
          <w:tab w:val="left" w:pos="7344"/>
        </w:tabs>
        <w:ind w:firstLine="1008"/>
        <w:rPr>
          <w:rFonts w:ascii="Times New Roman" w:hAnsi="Times New Roman"/>
        </w:rPr>
      </w:pPr>
    </w:p>
    <w:p w:rsidR="00994EDE" w:rsidRPr="00CF34FA" w14:paraId="505259F7" w14:textId="77777777">
      <w:pPr>
        <w:widowControl/>
        <w:numPr>
          <w:ilvl w:val="0"/>
          <w:numId w:val="1"/>
        </w:numPr>
        <w:tabs>
          <w:tab w:val="left" w:pos="288"/>
          <w:tab w:val="left" w:pos="1440"/>
          <w:tab w:val="left" w:pos="1872"/>
          <w:tab w:val="left" w:pos="3168"/>
          <w:tab w:val="left" w:pos="3888"/>
          <w:tab w:val="left" w:pos="7344"/>
        </w:tabs>
        <w:rPr>
          <w:rFonts w:ascii="Times New Roman" w:hAnsi="Times New Roman"/>
          <w:u w:val="single"/>
        </w:rPr>
      </w:pPr>
      <w:r w:rsidRPr="00CF34FA">
        <w:rPr>
          <w:rFonts w:ascii="Times New Roman" w:hAnsi="Times New Roman"/>
          <w:u w:val="single"/>
        </w:rPr>
        <w:t>Exceptions to Display of Expiration Date</w:t>
      </w:r>
    </w:p>
    <w:p w:rsidR="00994EDE" w:rsidRPr="00CF34FA" w14:paraId="0252345F" w14:textId="77777777">
      <w:pPr>
        <w:widowControl/>
        <w:tabs>
          <w:tab w:val="left" w:pos="288"/>
          <w:tab w:val="left" w:pos="1008"/>
          <w:tab w:val="left" w:pos="1440"/>
          <w:tab w:val="left" w:pos="1872"/>
          <w:tab w:val="left" w:pos="3168"/>
          <w:tab w:val="left" w:pos="3888"/>
          <w:tab w:val="left" w:pos="7344"/>
        </w:tabs>
        <w:rPr>
          <w:rFonts w:ascii="Times New Roman" w:hAnsi="Times New Roman"/>
          <w:u w:val="single"/>
        </w:rPr>
      </w:pPr>
    </w:p>
    <w:p w:rsidR="00994EDE" w:rsidRPr="00CF34FA" w14:paraId="26AFD99C"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szCs w:val="24"/>
        </w:rPr>
        <w:t>Not applicable.</w:t>
      </w:r>
    </w:p>
    <w:p w:rsidR="00994EDE" w:rsidRPr="00CF34FA" w14:paraId="433BF8E3"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p>
    <w:p w:rsidR="00994EDE" w:rsidRPr="00CF34FA" w14:paraId="6EC7E452"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18.</w:t>
      </w:r>
      <w:r w:rsidRPr="00CF34FA">
        <w:rPr>
          <w:rFonts w:ascii="Times New Roman" w:hAnsi="Times New Roman"/>
        </w:rPr>
        <w:tab/>
      </w:r>
      <w:r w:rsidRPr="00CF34FA">
        <w:rPr>
          <w:rFonts w:ascii="Times New Roman" w:hAnsi="Times New Roman"/>
          <w:u w:val="single"/>
        </w:rPr>
        <w:t>Exceptions to Certification</w:t>
      </w:r>
    </w:p>
    <w:p w:rsidR="00994EDE" w:rsidRPr="00CF34FA" w14:paraId="058EFF0D"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59DB4081"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rPr>
        <w:t>None.</w:t>
      </w:r>
    </w:p>
    <w:p w:rsidR="00994EDE" w:rsidRPr="00CF34FA" w14:paraId="4B468A33"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p>
    <w:p w:rsidR="00994EDE" w:rsidRPr="00CF34FA" w14:paraId="6C30B199" w14:textId="77777777">
      <w:pPr>
        <w:widowControl/>
        <w:tabs>
          <w:tab w:val="left" w:pos="288"/>
          <w:tab w:val="left" w:pos="1008"/>
          <w:tab w:val="left" w:pos="1440"/>
          <w:tab w:val="left" w:pos="1872"/>
          <w:tab w:val="left" w:pos="3168"/>
          <w:tab w:val="left" w:pos="3888"/>
          <w:tab w:val="left" w:pos="7344"/>
        </w:tabs>
        <w:rPr>
          <w:rFonts w:ascii="Times New Roman" w:hAnsi="Times New Roman"/>
        </w:rPr>
      </w:pPr>
      <w:r w:rsidRPr="00CF34FA">
        <w:rPr>
          <w:rFonts w:ascii="Times New Roman" w:hAnsi="Times New Roman"/>
        </w:rPr>
        <w:t>B.</w:t>
      </w:r>
      <w:r w:rsidRPr="00CF34FA">
        <w:rPr>
          <w:rFonts w:ascii="Times New Roman" w:hAnsi="Times New Roman"/>
        </w:rPr>
        <w:tab/>
      </w:r>
      <w:r w:rsidRPr="00CF34FA">
        <w:rPr>
          <w:rFonts w:ascii="Times New Roman" w:hAnsi="Times New Roman"/>
          <w:u w:val="single"/>
        </w:rPr>
        <w:t>STATISTICAL METHODS</w:t>
      </w:r>
    </w:p>
    <w:p w:rsidR="00994EDE" w:rsidRPr="00CF34FA" w14:paraId="231A2A14"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3DCCFF88"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N</w:t>
      </w:r>
      <w:r w:rsidRPr="00CF34FA" w:rsidR="008426CB">
        <w:rPr>
          <w:rFonts w:ascii="Times New Roman" w:hAnsi="Times New Roman"/>
        </w:rPr>
        <w:t>ot applicable</w:t>
      </w:r>
      <w:r w:rsidRPr="00CF34FA">
        <w:rPr>
          <w:rFonts w:ascii="Times New Roman" w:hAnsi="Times New Roman"/>
        </w:rPr>
        <w:t>.</w:t>
      </w:r>
    </w:p>
    <w:sectPr>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61" w14:paraId="3B5BD05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5861" w14:paraId="4C54E5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61" w14:paraId="5EF441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61" w14:paraId="6870A9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5861" w14:paraId="56C61D52" w14:textId="77777777">
      <w:r>
        <w:separator/>
      </w:r>
    </w:p>
  </w:footnote>
  <w:footnote w:type="continuationSeparator" w:id="1">
    <w:p w:rsidR="00145861" w14:paraId="37B8FF4A" w14:textId="77777777">
      <w:r>
        <w:continuationSeparator/>
      </w:r>
    </w:p>
  </w:footnote>
  <w:footnote w:id="2">
    <w:p w:rsidR="00145861" w:rsidRPr="0064219D" w:rsidP="00827E49" w14:paraId="05B96E09" w14:textId="77777777">
      <w:pPr>
        <w:pStyle w:val="FootnoteText"/>
      </w:pPr>
      <w:r w:rsidRPr="0064219D">
        <w:rPr>
          <w:rStyle w:val="FootnoteReference"/>
        </w:rPr>
        <w:footnoteRef/>
      </w:r>
      <w:r w:rsidRPr="0064219D">
        <w:t xml:space="preserve"> 12 U.S.C. 3331 </w:t>
      </w:r>
      <w:r w:rsidRPr="0064219D">
        <w:rPr>
          <w:i/>
        </w:rPr>
        <w:t>et seq.</w:t>
      </w:r>
    </w:p>
  </w:footnote>
  <w:footnote w:id="3">
    <w:p w:rsidR="00145861" w:rsidRPr="0064219D" w:rsidP="00827E49" w14:paraId="35BF03F2" w14:textId="77777777">
      <w:pPr>
        <w:pStyle w:val="FootnoteText"/>
      </w:pPr>
      <w:r w:rsidRPr="0064219D">
        <w:rPr>
          <w:rStyle w:val="FootnoteReference"/>
        </w:rPr>
        <w:footnoteRef/>
      </w:r>
      <w:r w:rsidRPr="0064219D">
        <w:t xml:space="preserve"> Pub. L. 111-203, 124 Stat. 1376, 2198 (2010), </w:t>
      </w:r>
      <w:r w:rsidRPr="0064219D">
        <w:rPr>
          <w:i/>
          <w:iCs/>
        </w:rPr>
        <w:t xml:space="preserve">codified at </w:t>
      </w:r>
      <w:r w:rsidRPr="0064219D">
        <w:t>12 U.S.C. 3354.</w:t>
      </w:r>
    </w:p>
  </w:footnote>
  <w:footnote w:id="4">
    <w:p w:rsidR="00145861" w:rsidRPr="0064219D" w:rsidP="006E1676" w14:paraId="62999AA8" w14:textId="77777777">
      <w:pPr>
        <w:pStyle w:val="FootnoteText"/>
      </w:pPr>
      <w:r w:rsidRPr="0064219D">
        <w:rPr>
          <w:rStyle w:val="FootnoteReference"/>
        </w:rPr>
        <w:footnoteRef/>
      </w:r>
      <w:r w:rsidRPr="0064219D">
        <w:t xml:space="preserve"> See </w:t>
      </w:r>
      <w:r w:rsidRPr="0064219D">
        <w:rPr>
          <w:i/>
          <w:iCs/>
        </w:rPr>
        <w:t>Interagency Appraisal and Evaluation Guidelines</w:t>
      </w:r>
      <w:r w:rsidRPr="0064219D">
        <w:t>, 75 FR 774</w:t>
      </w:r>
      <w:r>
        <w:t>50</w:t>
      </w:r>
      <w:r w:rsidRPr="0064219D">
        <w:t>.</w:t>
      </w:r>
    </w:p>
  </w:footnote>
  <w:footnote w:id="5">
    <w:p w:rsidR="00F06F6A" w:rsidRPr="00F06F6A" w14:paraId="48F71332" w14:textId="637BF617">
      <w:pPr>
        <w:pStyle w:val="FootnoteText"/>
      </w:pPr>
      <w:r w:rsidRPr="00F06F6A">
        <w:rPr>
          <w:rStyle w:val="FootnoteReference"/>
          <w:vertAlign w:val="superscript"/>
        </w:rPr>
        <w:footnoteRef/>
      </w:r>
      <w:r w:rsidRPr="00F06F6A">
        <w:rPr>
          <w:vertAlign w:val="superscript"/>
        </w:rPr>
        <w:t xml:space="preserve"> </w:t>
      </w:r>
      <w:r>
        <w:rPr>
          <w:i/>
        </w:rPr>
        <w:t xml:space="preserve">See, </w:t>
      </w:r>
      <w:r>
        <w:t>89 FR 64538 (August 7, 2024, at 64562.</w:t>
      </w:r>
    </w:p>
  </w:footnote>
  <w:footnote w:id="6">
    <w:p w:rsidR="00145861" w:rsidRPr="00974B40" w:rsidP="003D36AF" w14:paraId="6DA12F41" w14:textId="77777777">
      <w:pPr>
        <w:pStyle w:val="FootnoteText"/>
      </w:pPr>
      <w:r w:rsidRPr="00974B40">
        <w:rPr>
          <w:rStyle w:val="FootnoteReference"/>
          <w:vertAlign w:val="superscript"/>
        </w:rPr>
        <w:footnoteRef/>
      </w:r>
      <w:r w:rsidRPr="00974B40">
        <w:rPr>
          <w:vertAlign w:val="superscript"/>
        </w:rPr>
        <w:t xml:space="preserve"> </w:t>
      </w:r>
      <w:r w:rsidRPr="00974B40">
        <w:t xml:space="preserve">NPR </w:t>
      </w:r>
      <w:r w:rsidRPr="00974B40">
        <w:rPr>
          <w:i/>
        </w:rPr>
        <w:t xml:space="preserve">Quality Control Standards for Automated Valuation Models </w:t>
      </w:r>
      <w:r w:rsidRPr="00974B40">
        <w:t>in 88 FR 40638, June 21, 2023.  FDIC RIN 3064-AE68.</w:t>
      </w:r>
    </w:p>
  </w:footnote>
  <w:footnote w:id="7">
    <w:p w:rsidR="00145861" w:rsidRPr="00974B40" w:rsidP="00974B40" w14:paraId="76B23430" w14:textId="774095F9">
      <w:pPr>
        <w:tabs>
          <w:tab w:val="left" w:pos="1440"/>
          <w:tab w:val="left" w:pos="5040"/>
        </w:tabs>
        <w:rPr>
          <w:rFonts w:ascii="Times New Roman" w:hAnsi="Times New Roman"/>
          <w:sz w:val="20"/>
        </w:rPr>
      </w:pPr>
      <w:r w:rsidRPr="00974B40">
        <w:rPr>
          <w:rStyle w:val="FootnoteReference"/>
          <w:rFonts w:ascii="Times New Roman" w:hAnsi="Times New Roman"/>
          <w:sz w:val="20"/>
          <w:vertAlign w:val="superscript"/>
        </w:rPr>
        <w:footnoteRef/>
      </w:r>
      <w:r w:rsidRPr="00974B40">
        <w:rPr>
          <w:rFonts w:ascii="Times New Roman" w:hAnsi="Times New Roman"/>
          <w:sz w:val="20"/>
        </w:rPr>
        <w:t xml:space="preserve"> 75 FR 77450, December 10, 2010.  </w:t>
      </w:r>
    </w:p>
  </w:footnote>
  <w:footnote w:id="8">
    <w:p w:rsidR="00145861" w:rsidRPr="00974B40" w:rsidP="003D36AF" w14:paraId="2D890648" w14:textId="77777777">
      <w:pPr>
        <w:pStyle w:val="FootnoteText"/>
      </w:pPr>
      <w:r w:rsidRPr="00974B40">
        <w:rPr>
          <w:rStyle w:val="FootnoteReference"/>
          <w:vertAlign w:val="superscript"/>
        </w:rPr>
        <w:footnoteRef/>
      </w:r>
      <w:r w:rsidRPr="00974B40">
        <w:rPr>
          <w:vertAlign w:val="superscript"/>
        </w:rPr>
        <w:t xml:space="preserve"> </w:t>
      </w:r>
      <w:r w:rsidRPr="00974B40">
        <w:t>12 CFR Part 323</w:t>
      </w:r>
    </w:p>
  </w:footnote>
  <w:footnote w:id="9">
    <w:p w:rsidR="00145861" w:rsidRPr="00974B40" w:rsidP="003D36AF" w14:paraId="7CC2C0E9" w14:textId="77777777">
      <w:pPr>
        <w:pStyle w:val="FootnoteText"/>
      </w:pPr>
      <w:r w:rsidRPr="00974B40">
        <w:rPr>
          <w:rStyle w:val="FootnoteReference"/>
          <w:vertAlign w:val="superscript"/>
        </w:rPr>
        <w:footnoteRef/>
      </w:r>
      <w:r w:rsidRPr="00974B40">
        <w:rPr>
          <w:vertAlign w:val="superscript"/>
        </w:rPr>
        <w:t xml:space="preserve"> </w:t>
      </w:r>
      <w:r w:rsidRPr="00974B40">
        <w:t>As defined in 12 CFR § 323.2(g), “federally related transaction” includes any real estate related financial transaction that the FDIC or any regulated institution engages in or contracts for and that requires the services of an appraiser.</w:t>
      </w:r>
    </w:p>
  </w:footnote>
  <w:footnote w:id="10">
    <w:p w:rsidR="00145861" w:rsidRPr="00974B40" w:rsidP="003D36AF" w14:paraId="566F92CB" w14:textId="77777777">
      <w:pPr>
        <w:pStyle w:val="FootnoteText"/>
      </w:pPr>
      <w:r w:rsidRPr="00974B40">
        <w:rPr>
          <w:rStyle w:val="FootnoteReference"/>
          <w:vertAlign w:val="superscript"/>
        </w:rPr>
        <w:footnoteRef/>
      </w:r>
      <w:r w:rsidRPr="00974B40">
        <w:rPr>
          <w:vertAlign w:val="superscript"/>
        </w:rPr>
        <w:t xml:space="preserve"> </w:t>
      </w:r>
      <w:r w:rsidRPr="00974B40">
        <w:t xml:space="preserve">12 U.S.C. 3331 </w:t>
      </w:r>
      <w:r w:rsidRPr="00974B40">
        <w:rPr>
          <w:i/>
        </w:rPr>
        <w:t>et seq.</w:t>
      </w:r>
    </w:p>
  </w:footnote>
  <w:footnote w:id="11">
    <w:p w:rsidR="00145861" w:rsidRPr="00513359" w:rsidP="003D36AF" w14:paraId="115F622C" w14:textId="77777777">
      <w:pPr>
        <w:pStyle w:val="FootnoteText"/>
        <w:rPr>
          <w:szCs w:val="18"/>
        </w:rPr>
      </w:pPr>
      <w:r w:rsidRPr="00E4016B">
        <w:rPr>
          <w:rStyle w:val="FootnoteReference"/>
          <w:szCs w:val="18"/>
          <w:vertAlign w:val="superscript"/>
        </w:rPr>
        <w:footnoteRef/>
      </w:r>
      <w:r w:rsidRPr="00E4016B">
        <w:rPr>
          <w:szCs w:val="18"/>
          <w:vertAlign w:val="superscript"/>
        </w:rPr>
        <w:t xml:space="preserve"> </w:t>
      </w:r>
      <w:r w:rsidRPr="00513359">
        <w:rPr>
          <w:szCs w:val="18"/>
        </w:rPr>
        <w:t>See 83 FR 15019 at 15034</w:t>
      </w:r>
    </w:p>
  </w:footnote>
  <w:footnote w:id="12">
    <w:p w:rsidR="00145861" w:rsidRPr="00513359" w:rsidP="003D36AF" w14:paraId="1345DF18" w14:textId="77777777">
      <w:pPr>
        <w:pStyle w:val="FootnoteText"/>
        <w:rPr>
          <w:szCs w:val="18"/>
        </w:rPr>
      </w:pPr>
      <w:r w:rsidRPr="00E4016B">
        <w:rPr>
          <w:rStyle w:val="FootnoteReference"/>
          <w:szCs w:val="18"/>
          <w:vertAlign w:val="superscript"/>
        </w:rPr>
        <w:footnoteRef/>
      </w:r>
      <w:r w:rsidRPr="00E4016B">
        <w:rPr>
          <w:szCs w:val="18"/>
          <w:vertAlign w:val="superscript"/>
        </w:rPr>
        <w:t xml:space="preserve"> </w:t>
      </w:r>
      <w:r w:rsidRPr="00513359">
        <w:rPr>
          <w:szCs w:val="18"/>
        </w:rPr>
        <w:t xml:space="preserve">Pub. L. 111-203, 124 Stat. 1376, 2198 (2010), </w:t>
      </w:r>
      <w:r w:rsidRPr="00513359">
        <w:rPr>
          <w:i/>
          <w:iCs/>
          <w:szCs w:val="18"/>
        </w:rPr>
        <w:t xml:space="preserve">codified at </w:t>
      </w:r>
      <w:r w:rsidRPr="00513359">
        <w:rPr>
          <w:szCs w:val="18"/>
        </w:rPr>
        <w:t>12 U.S.C. 3354.</w:t>
      </w:r>
    </w:p>
  </w:footnote>
  <w:footnote w:id="13">
    <w:p w:rsidR="00145861" w:rsidP="003D36AF" w14:paraId="7A8C5C87" w14:textId="7C51E648">
      <w:pPr>
        <w:pStyle w:val="FootnoteText"/>
      </w:pPr>
      <w:r w:rsidRPr="00E4016B">
        <w:rPr>
          <w:rStyle w:val="FootnoteReference"/>
          <w:vertAlign w:val="superscript"/>
        </w:rPr>
        <w:footnoteRef/>
      </w:r>
      <w:r w:rsidRPr="00E4016B">
        <w:rPr>
          <w:vertAlign w:val="superscript"/>
        </w:rPr>
        <w:t xml:space="preserve"> </w:t>
      </w:r>
      <w:r>
        <w:t>These mortgage originators and secondary market issuers that would be subject to the requirements described in the NPR are called “covered institutions” or “covered insured depos</w:t>
      </w:r>
      <w:r w:rsidR="00DD118D">
        <w:t>itory institutions” in this Supporting Statement</w:t>
      </w:r>
      <w:r>
        <w:t>.</w:t>
      </w:r>
    </w:p>
  </w:footnote>
  <w:footnote w:id="14">
    <w:p w:rsidR="00145861" w:rsidP="003D36AF" w14:paraId="75C6ABD0" w14:textId="77777777">
      <w:pPr>
        <w:pStyle w:val="FootnoteText"/>
      </w:pPr>
      <w:r w:rsidRPr="00E4016B">
        <w:rPr>
          <w:rStyle w:val="FootnoteReference"/>
          <w:vertAlign w:val="superscript"/>
        </w:rPr>
        <w:footnoteRef/>
      </w:r>
      <w:r w:rsidRPr="00E4016B">
        <w:rPr>
          <w:vertAlign w:val="superscript"/>
        </w:rPr>
        <w:t xml:space="preserve"> </w:t>
      </w:r>
      <w:r>
        <w:rPr>
          <w:iCs/>
        </w:rPr>
        <w:t>T</w:t>
      </w:r>
      <w:r w:rsidRPr="00A36DF7">
        <w:rPr>
          <w:iCs/>
        </w:rPr>
        <w:t xml:space="preserve">he </w:t>
      </w:r>
      <w:r>
        <w:rPr>
          <w:iCs/>
        </w:rPr>
        <w:t xml:space="preserve">NPR </w:t>
      </w:r>
      <w:r w:rsidRPr="00A36DF7">
        <w:rPr>
          <w:iCs/>
        </w:rPr>
        <w:t xml:space="preserve">would define “covered securitization determination” to include determinations regarding, among other things, whether to waive an appraisal requirement for a mortgage origination (appraisal waiver decisions).  </w:t>
      </w:r>
      <w:r w:rsidRPr="00065B3F">
        <w:rPr>
          <w:iCs/>
        </w:rPr>
        <w:t>Under the</w:t>
      </w:r>
      <w:r>
        <w:rPr>
          <w:iCs/>
        </w:rPr>
        <w:t xml:space="preserve"> NPR</w:t>
      </w:r>
      <w:r w:rsidRPr="00065B3F">
        <w:rPr>
          <w:iCs/>
        </w:rPr>
        <w:t>, a secondary market issuer</w:t>
      </w:r>
      <w:r w:rsidRPr="00F61A10">
        <w:t xml:space="preserve"> that</w:t>
      </w:r>
      <w:r w:rsidRPr="00065B3F">
        <w:rPr>
          <w:iCs/>
        </w:rPr>
        <w:t xml:space="preserve"> uses AVM</w:t>
      </w:r>
      <w:r w:rsidRPr="00F61A10">
        <w:t>s</w:t>
      </w:r>
      <w:r w:rsidRPr="00065B3F">
        <w:rPr>
          <w:iCs/>
        </w:rPr>
        <w:t xml:space="preserve"> in connection with making appraisal waiver decision</w:t>
      </w:r>
      <w:r w:rsidRPr="00F61A10">
        <w:t>s</w:t>
      </w:r>
      <w:r w:rsidRPr="008632E7">
        <w:t xml:space="preserve"> </w:t>
      </w:r>
      <w:r>
        <w:rPr>
          <w:iCs/>
        </w:rPr>
        <w:t xml:space="preserve">would be required to have policies, </w:t>
      </w:r>
      <w:r w:rsidRPr="007B478B">
        <w:rPr>
          <w:iCs/>
        </w:rPr>
        <w:t>practices,</w:t>
      </w:r>
      <w:r>
        <w:rPr>
          <w:iCs/>
        </w:rPr>
        <w:t xml:space="preserve"> procedures, and control systems in place</w:t>
      </w:r>
      <w:r>
        <w:rPr>
          <w:i/>
          <w:iCs/>
        </w:rPr>
        <w:t xml:space="preserve"> </w:t>
      </w:r>
      <w:r w:rsidRPr="00065B3F">
        <w:rPr>
          <w:iCs/>
        </w:rPr>
        <w:t>to ensure that the AVM</w:t>
      </w:r>
      <w:r w:rsidRPr="007A3985">
        <w:t xml:space="preserve"> </w:t>
      </w:r>
      <w:r w:rsidRPr="00065B3F">
        <w:rPr>
          <w:iCs/>
        </w:rPr>
        <w:t>supporting th</w:t>
      </w:r>
      <w:r>
        <w:rPr>
          <w:iCs/>
        </w:rPr>
        <w:t>ose</w:t>
      </w:r>
      <w:r w:rsidRPr="00065B3F">
        <w:rPr>
          <w:iCs/>
        </w:rPr>
        <w:t xml:space="preserve"> appraisal waiver</w:t>
      </w:r>
      <w:r>
        <w:rPr>
          <w:iCs/>
        </w:rPr>
        <w:t xml:space="preserve"> decisions</w:t>
      </w:r>
      <w:r w:rsidRPr="00065B3F">
        <w:rPr>
          <w:iCs/>
        </w:rPr>
        <w:t xml:space="preserve"> adhere</w:t>
      </w:r>
      <w:r>
        <w:rPr>
          <w:iCs/>
        </w:rPr>
        <w:t>s</w:t>
      </w:r>
      <w:r w:rsidRPr="00065B3F">
        <w:rPr>
          <w:iCs/>
        </w:rPr>
        <w:t xml:space="preserve"> to the rule’s quality control standards.  </w:t>
      </w:r>
    </w:p>
  </w:footnote>
  <w:footnote w:id="15">
    <w:p w:rsidR="00145861" w:rsidP="003D36AF" w14:paraId="61BA45AB" w14:textId="77777777">
      <w:pPr>
        <w:pStyle w:val="FootnoteText"/>
      </w:pPr>
      <w:r w:rsidRPr="00E4016B">
        <w:rPr>
          <w:rStyle w:val="FootnoteReference"/>
          <w:vertAlign w:val="superscript"/>
        </w:rPr>
        <w:footnoteRef/>
      </w:r>
      <w:r>
        <w:t xml:space="preserve"> As proposed in 12 CFR 323.17</w:t>
      </w:r>
    </w:p>
  </w:footnote>
  <w:footnote w:id="16">
    <w:p w:rsidR="00145861" w:rsidP="003D36AF" w14:paraId="6BD6B411" w14:textId="77777777">
      <w:pPr>
        <w:pStyle w:val="FootnoteText"/>
      </w:pPr>
      <w:r w:rsidRPr="000F1A53">
        <w:rPr>
          <w:rStyle w:val="FootnoteReference"/>
          <w:vertAlign w:val="superscript"/>
        </w:rPr>
        <w:footnoteRef/>
      </w:r>
      <w:r>
        <w:t xml:space="preserve"> The Guidelines were issued jointly by the FDIC, the FRB, the OCC, the Office of Thrift Supervision (OTS), and the NCUA and took effect on 12/10/2010.  See 75 FR 77450.</w:t>
      </w:r>
    </w:p>
  </w:footnote>
  <w:footnote w:id="17">
    <w:p w:rsidR="00145861" w:rsidP="003D36AF" w14:paraId="26C6ED88" w14:textId="77777777">
      <w:pPr>
        <w:pStyle w:val="FootnoteText"/>
      </w:pPr>
      <w:r w:rsidRPr="000F1A53">
        <w:rPr>
          <w:rStyle w:val="FootnoteReference"/>
          <w:vertAlign w:val="superscript"/>
        </w:rPr>
        <w:footnoteRef/>
      </w:r>
      <w:r>
        <w:t xml:space="preserve"> The FDIC’s primary appraisal regulation is 12 CFR 323.</w:t>
      </w:r>
    </w:p>
  </w:footnote>
  <w:footnote w:id="18">
    <w:p w:rsidR="00145861" w:rsidP="003D36AF" w14:paraId="38934FE6" w14:textId="5DD58AD3">
      <w:pPr>
        <w:pStyle w:val="FootnoteText"/>
      </w:pPr>
      <w:r w:rsidRPr="000F1A53">
        <w:rPr>
          <w:rStyle w:val="FootnoteReference"/>
          <w:vertAlign w:val="superscript"/>
        </w:rPr>
        <w:footnoteRef/>
      </w:r>
      <w:r w:rsidRPr="000F1A53">
        <w:rPr>
          <w:vertAlign w:val="superscript"/>
        </w:rPr>
        <w:t xml:space="preserve"> </w:t>
      </w:r>
      <w:r>
        <w:t xml:space="preserve">FDIC </w:t>
      </w:r>
      <w:r w:rsidRPr="00E0349D">
        <w:t>assume</w:t>
      </w:r>
      <w:r>
        <w:t>s</w:t>
      </w:r>
      <w:r w:rsidRPr="00E0349D">
        <w:t xml:space="preserve"> that all FDIC-supervised IDIs have already conducted their initial implementation activities</w:t>
      </w:r>
      <w:r>
        <w:t>.</w:t>
      </w:r>
    </w:p>
  </w:footnote>
  <w:footnote w:id="19">
    <w:p w:rsidR="00145861" w:rsidRPr="00C7187B" w:rsidP="003D36AF" w14:paraId="066D0E10" w14:textId="77777777">
      <w:pPr>
        <w:pStyle w:val="FootnoteText"/>
      </w:pPr>
      <w:r w:rsidRPr="00C7187B">
        <w:rPr>
          <w:rStyle w:val="FootnoteReference"/>
          <w:vertAlign w:val="superscript"/>
        </w:rPr>
        <w:footnoteRef/>
      </w:r>
      <w:r w:rsidRPr="00C7187B">
        <w:rPr>
          <w:vertAlign w:val="superscript"/>
        </w:rPr>
        <w:t xml:space="preserve"> </w:t>
      </w:r>
      <w:r w:rsidRPr="00C7187B">
        <w:t xml:space="preserve">USPAP is the set of generally recognized ethical and performance standards for the appraisal profession in the United States.  It was adopted by Congress in 1989, and includes standards for many types of appraisal services.  Compliance is mandatory for state-licensed and state-certified appraisers involved with federally related real estate transactions.  Source: The Appraisal Foundation.  </w:t>
      </w:r>
      <w:hyperlink r:id="rId1" w:history="1">
        <w:r w:rsidRPr="00C7187B">
          <w:rPr>
            <w:rStyle w:val="Hyperlink"/>
            <w:rFonts w:eastAsia="Source Sans Pro"/>
          </w:rPr>
          <w:t>https://www.appraisalfoundation.org/</w:t>
        </w:r>
      </w:hyperlink>
      <w:r w:rsidRPr="00C7187B">
        <w:t xml:space="preserve"> </w:t>
      </w:r>
    </w:p>
  </w:footnote>
  <w:footnote w:id="20">
    <w:p w:rsidR="00145861" w:rsidRPr="00C7187B" w:rsidP="003D36AF" w14:paraId="20C137AF" w14:textId="77777777">
      <w:pPr>
        <w:pStyle w:val="indent-2"/>
        <w:spacing w:before="0" w:beforeAutospacing="0" w:after="0" w:afterAutospacing="0"/>
        <w:rPr>
          <w:sz w:val="20"/>
          <w:szCs w:val="20"/>
        </w:rPr>
      </w:pPr>
      <w:r w:rsidRPr="00C7187B">
        <w:rPr>
          <w:rStyle w:val="FootnoteReference"/>
          <w:sz w:val="20"/>
          <w:szCs w:val="20"/>
          <w:vertAlign w:val="superscript"/>
        </w:rPr>
        <w:footnoteRef/>
      </w:r>
      <w:r w:rsidRPr="00C7187B">
        <w:rPr>
          <w:sz w:val="20"/>
          <w:szCs w:val="20"/>
        </w:rPr>
        <w:t xml:space="preserve"> 12 CFR § 323.2(j) defines “real estate-related financial transaction” as any transaction involving: (1) The sale, lease, purchase, investment in or exchange of real property, including interests in property, or the financing thereof; or </w:t>
      </w:r>
      <w:r w:rsidRPr="00C7187B">
        <w:rPr>
          <w:rStyle w:val="paren"/>
          <w:sz w:val="20"/>
          <w:szCs w:val="20"/>
        </w:rPr>
        <w:t>(</w:t>
      </w:r>
      <w:r w:rsidRPr="00C7187B">
        <w:rPr>
          <w:rStyle w:val="paragraph-hierarchy"/>
          <w:rFonts w:eastAsia="Source Sans Pro"/>
          <w:sz w:val="20"/>
          <w:szCs w:val="20"/>
        </w:rPr>
        <w:t>2</w:t>
      </w:r>
      <w:r w:rsidRPr="00C7187B">
        <w:rPr>
          <w:rStyle w:val="paren"/>
          <w:sz w:val="20"/>
          <w:szCs w:val="20"/>
        </w:rPr>
        <w:t>)</w:t>
      </w:r>
      <w:r w:rsidRPr="00C7187B">
        <w:rPr>
          <w:sz w:val="20"/>
          <w:szCs w:val="20"/>
        </w:rPr>
        <w:t xml:space="preserve"> The refinancing of real property or interests in real property; or </w:t>
      </w:r>
      <w:r w:rsidRPr="00C7187B">
        <w:rPr>
          <w:rStyle w:val="paren"/>
          <w:sz w:val="20"/>
          <w:szCs w:val="20"/>
        </w:rPr>
        <w:t>(</w:t>
      </w:r>
      <w:r w:rsidRPr="00C7187B">
        <w:rPr>
          <w:rStyle w:val="paragraph-hierarchy"/>
          <w:rFonts w:eastAsia="Source Sans Pro"/>
          <w:sz w:val="20"/>
          <w:szCs w:val="20"/>
        </w:rPr>
        <w:t>3</w:t>
      </w:r>
      <w:r w:rsidRPr="00C7187B">
        <w:rPr>
          <w:rStyle w:val="paren"/>
          <w:sz w:val="20"/>
          <w:szCs w:val="20"/>
        </w:rPr>
        <w:t>)</w:t>
      </w:r>
      <w:r w:rsidRPr="00C7187B">
        <w:rPr>
          <w:sz w:val="20"/>
          <w:szCs w:val="20"/>
        </w:rPr>
        <w:t xml:space="preserve"> The use of real property or interests in property as security for a loan or investment, including mortgage-backed securities.</w:t>
      </w:r>
    </w:p>
  </w:footnote>
  <w:footnote w:id="21">
    <w:p w:rsidR="00145861" w:rsidRPr="00C7187B" w:rsidP="003D36AF" w14:paraId="2F81ED12" w14:textId="77777777">
      <w:pPr>
        <w:pStyle w:val="FootnoteText"/>
      </w:pPr>
      <w:r w:rsidRPr="00E23315">
        <w:rPr>
          <w:rStyle w:val="FootnoteReference"/>
          <w:vertAlign w:val="superscript"/>
        </w:rPr>
        <w:footnoteRef/>
      </w:r>
      <w:r w:rsidRPr="00E23315">
        <w:rPr>
          <w:vertAlign w:val="superscript"/>
        </w:rPr>
        <w:t xml:space="preserve"> </w:t>
      </w:r>
      <w:r w:rsidRPr="00C7187B">
        <w:t>FDIC Call Report data, December 2022. The SBA defines a small banking organization as having $850 million or less in assets, where an organization's ''assets are determined by averaging the assets reported on its four quarterly financial statements for the preceding year.'' See 13 CFR 121.201 (as amended by 87 FR 69118, effective December 19, 2022). In its determination, the ''SBA counts the receipts, employees, or other measure of size of the concern whose size is at issue and all of its domestic and foreign affiliates.'' See 13 CFR 121.103. Following these regulations, the FDIC uses an insured depository institution's affiliated and acquired assets, averaged over the preceding four quarters, to determine whether the insured depository institution is ''small'' for the purposes of RFA.​</w:t>
      </w:r>
    </w:p>
  </w:footnote>
  <w:footnote w:id="22">
    <w:p w:rsidR="00145861" w:rsidP="003D36AF" w14:paraId="4A460EC1" w14:textId="77777777">
      <w:pPr>
        <w:pStyle w:val="FootnoteText"/>
      </w:pPr>
      <w:r w:rsidRPr="00E23315">
        <w:rPr>
          <w:rStyle w:val="FootnoteReference"/>
          <w:vertAlign w:val="superscript"/>
        </w:rPr>
        <w:footnoteRef/>
      </w:r>
      <w:r>
        <w:t xml:space="preserve"> </w:t>
      </w:r>
      <w:r w:rsidRPr="00083147">
        <w:rPr>
          <w:i/>
        </w:rPr>
        <w:t xml:space="preserve">See </w:t>
      </w:r>
      <w:r>
        <w:t xml:space="preserve">U.S. Census Bureau, “Median and Average Sale Price of Houses Sold.” Available at </w:t>
      </w:r>
      <w:r w:rsidRPr="00A66000">
        <w:t>https://www.census.gov/construction/nrs/historical_data/index.html</w:t>
      </w:r>
    </w:p>
  </w:footnote>
  <w:footnote w:id="23">
    <w:p w:rsidR="00145861" w:rsidP="003D36AF" w14:paraId="7CB0E970" w14:textId="77777777">
      <w:pPr>
        <w:pStyle w:val="FootnoteText"/>
      </w:pPr>
      <w:r w:rsidRPr="00E23315">
        <w:rPr>
          <w:rStyle w:val="FootnoteReference"/>
          <w:vertAlign w:val="superscript"/>
        </w:rPr>
        <w:footnoteRef/>
      </w:r>
      <w:r>
        <w:t xml:space="preserve"> The estimates of average loan size for each loan category can be found in the file “Final Updated Appraisal Threshold Burden Estimate v041423.xlsx” </w:t>
      </w:r>
      <w:r w:rsidRPr="00A348FA">
        <w:t xml:space="preserve">under the </w:t>
      </w:r>
      <w:r>
        <w:t xml:space="preserve">2023 </w:t>
      </w:r>
      <w:r w:rsidRPr="00A348FA">
        <w:t xml:space="preserve">folder for this ICR on the </w:t>
      </w:r>
      <w:r>
        <w:t xml:space="preserve">RAS </w:t>
      </w:r>
      <w:r w:rsidRPr="00A348FA">
        <w:t>SharePoint site</w:t>
      </w:r>
      <w:r>
        <w:t>.  For reference by RAS staff in future ICR renewals</w:t>
      </w:r>
      <w:r w:rsidRPr="00A348FA">
        <w:t xml:space="preserve">, </w:t>
      </w:r>
      <w:r>
        <w:t xml:space="preserve">the file is </w:t>
      </w:r>
      <w:r w:rsidRPr="00A348FA">
        <w:t xml:space="preserve">available internally at </w:t>
      </w:r>
      <w:hyperlink r:id="rId2" w:history="1">
        <w:r>
          <w:rPr>
            <w:rStyle w:val="Hyperlink"/>
            <w:rFonts w:eastAsia="Source Sans Pro"/>
          </w:rPr>
          <w:t>Final Updated Appraisal Threshold Burden Estimate v041423.xlsx</w:t>
        </w:r>
      </w:hyperlink>
      <w:r>
        <w:t>.</w:t>
      </w:r>
    </w:p>
  </w:footnote>
  <w:footnote w:id="24">
    <w:p w:rsidR="00145861" w:rsidP="003D36AF" w14:paraId="29F85A09" w14:textId="77777777">
      <w:pPr>
        <w:pStyle w:val="FootnoteText"/>
      </w:pPr>
      <w:r w:rsidRPr="00E23315">
        <w:rPr>
          <w:rStyle w:val="FootnoteReference"/>
          <w:vertAlign w:val="superscript"/>
        </w:rPr>
        <w:footnoteRef/>
      </w:r>
      <w:r>
        <w:t xml:space="preserve"> 760,384 / 3,038 = 250.</w:t>
      </w:r>
    </w:p>
  </w:footnote>
  <w:footnote w:id="25">
    <w:p w:rsidR="00145861" w:rsidRPr="00CA7D7A" w:rsidP="003D36AF" w14:paraId="37A2D7EC" w14:textId="6CBA8FC9">
      <w:pPr>
        <w:pStyle w:val="FootnoteText"/>
      </w:pPr>
      <w:r w:rsidRPr="00E23315">
        <w:rPr>
          <w:rStyle w:val="FootnoteReference"/>
          <w:vertAlign w:val="superscript"/>
        </w:rPr>
        <w:footnoteRef/>
      </w:r>
      <w:r w:rsidRPr="00CA7D7A">
        <w:rPr>
          <w:szCs w:val="18"/>
        </w:rPr>
        <w:t xml:space="preserve"> </w:t>
      </w:r>
      <w:r w:rsidR="00767DE5">
        <w:t>Footnote 24</w:t>
      </w:r>
      <w:r w:rsidRPr="03A55F20">
        <w:t xml:space="preserve"> describes how the FDIC determines and counts institutions that are considered to be</w:t>
      </w:r>
      <w:r w:rsidRPr="03A55F20">
        <w:rPr>
          <w:rFonts w:cs="Segoe UI"/>
        </w:rPr>
        <w:t xml:space="preserve"> ''small'' for the purposes of the RFA.</w:t>
      </w:r>
    </w:p>
  </w:footnote>
  <w:footnote w:id="26">
    <w:p w:rsidR="00145861" w:rsidRPr="00F04EC4" w:rsidP="003D36AF" w14:paraId="7D424B9A" w14:textId="77777777">
      <w:pPr>
        <w:pStyle w:val="FootnoteText"/>
        <w:rPr>
          <w:szCs w:val="18"/>
        </w:rPr>
      </w:pPr>
      <w:r w:rsidRPr="00E23315">
        <w:rPr>
          <w:rStyle w:val="FootnoteReference"/>
          <w:szCs w:val="18"/>
          <w:vertAlign w:val="superscript"/>
        </w:rPr>
        <w:footnoteRef/>
      </w:r>
      <w:r w:rsidRPr="00F04EC4">
        <w:rPr>
          <w:szCs w:val="18"/>
        </w:rPr>
        <w:t xml:space="preserve"> This is the only empirical estimate of AVM use rates by financial institutions I am aware of.</w:t>
      </w:r>
    </w:p>
  </w:footnote>
  <w:footnote w:id="27">
    <w:p w:rsidR="00145861" w:rsidP="003D36AF" w14:paraId="735B4F19" w14:textId="4BE138F5">
      <w:pPr>
        <w:pStyle w:val="FootnoteText"/>
      </w:pPr>
      <w:r w:rsidRPr="00E23315">
        <w:rPr>
          <w:rStyle w:val="FootnoteReference"/>
          <w:vertAlign w:val="superscript"/>
        </w:rPr>
        <w:footnoteRef/>
      </w:r>
      <w:r>
        <w:t xml:space="preserve"> The annualization process essentially spreads the response time that occurs in a single year (for IC 2) evenly across the three year PRA period.  As shown in Table 1, this results in the entry of 1,042 annual respondents, 1 annual response per respondent, and time per response of 40/3 hours over ea</w:t>
      </w:r>
      <w:r w:rsidR="00767DE5">
        <w:t>ch of the three years.  Since FDIC applies</w:t>
      </w:r>
      <w:r>
        <w:t xml:space="preserve"> the annualization through the average time per response, the value of that variable (40) is divided by three to yield 13.33 in each year.  This annualization approach is consistent with </w:t>
      </w:r>
      <w:r w:rsidR="00767DE5">
        <w:t>OMB guidance</w:t>
      </w:r>
      <w:r>
        <w:t>.</w:t>
      </w:r>
    </w:p>
  </w:footnote>
  <w:footnote w:id="28">
    <w:p w:rsidR="00145861" w:rsidP="003D36AF" w14:paraId="10F6718A" w14:textId="23866527">
      <w:pPr>
        <w:pStyle w:val="FootnoteText"/>
      </w:pPr>
      <w:r w:rsidRPr="00A948F8">
        <w:rPr>
          <w:rStyle w:val="FootnoteReference"/>
          <w:vertAlign w:val="superscript"/>
        </w:rPr>
        <w:footnoteRef/>
      </w:r>
      <w:r w:rsidR="00A948F8">
        <w:t xml:space="preserve"> FDIC</w:t>
      </w:r>
      <w:r>
        <w:t xml:space="preserve"> use</w:t>
      </w:r>
      <w:r w:rsidR="00A948F8">
        <w:t>s</w:t>
      </w:r>
      <w:r>
        <w:t xml:space="preserve"> 0.083 hours in the burden calculation to be consistent with the approach used by the other agencies that are jointly issuing the NPR with the FDIC.</w:t>
      </w:r>
    </w:p>
  </w:footnote>
  <w:footnote w:id="29">
    <w:p w:rsidR="00145861" w:rsidP="003D36AF" w14:paraId="596E6D8F" w14:textId="3FF29F9A">
      <w:pPr>
        <w:pStyle w:val="FootnoteText"/>
      </w:pPr>
      <w:r w:rsidRPr="00550937">
        <w:rPr>
          <w:rStyle w:val="FootnoteReference"/>
          <w:vertAlign w:val="superscript"/>
        </w:rPr>
        <w:footnoteRef/>
      </w:r>
      <w:r w:rsidRPr="00550937">
        <w:rPr>
          <w:vertAlign w:val="superscript"/>
        </w:rPr>
        <w:t xml:space="preserve"> </w:t>
      </w:r>
      <w:r>
        <w:t xml:space="preserve">This estimated time per response is consistent with the time per response estimated by other </w:t>
      </w:r>
      <w:r w:rsidR="00550937">
        <w:t>th</w:t>
      </w:r>
      <w:r w:rsidR="008B7B9E">
        <w:t>e other agencies issuing the Final Rule</w:t>
      </w:r>
      <w:r>
        <w:t xml:space="preserve">. </w:t>
      </w:r>
    </w:p>
  </w:footnote>
  <w:footnote w:id="30">
    <w:p w:rsidR="00145861" w:rsidP="003D36AF" w14:paraId="7C6DEA27" w14:textId="38D22BDC">
      <w:pPr>
        <w:pStyle w:val="FootnoteText"/>
      </w:pPr>
      <w:r w:rsidRPr="00774833">
        <w:rPr>
          <w:rStyle w:val="FootnoteReference"/>
          <w:vertAlign w:val="superscript"/>
        </w:rPr>
        <w:footnoteRef/>
      </w:r>
      <w:r>
        <w:t xml:space="preserve"> The actual estimated annual burden hours was 60,800, which when multiplied by the hourly labor compensation rate ($38.08), yields the estimated annual cost.  However, </w:t>
      </w:r>
      <w:r w:rsidR="00774833">
        <w:t xml:space="preserve">for purposes of comparison, </w:t>
      </w:r>
      <w:r>
        <w:t xml:space="preserve">throughout </w:t>
      </w:r>
      <w:r w:rsidR="00DD118D">
        <w:t xml:space="preserve">this Supporting Statement </w:t>
      </w:r>
      <w:r w:rsidR="00774833">
        <w:t>FDIC uses</w:t>
      </w:r>
      <w:r>
        <w:t xml:space="preserve"> the OMB-approved burden hour estimate of 61,044.  The 2021 estimated allocation of labor hours was 90 percent clerical staff, 5 percent IT specialists, and 5 percent compliance officers.</w:t>
      </w:r>
    </w:p>
  </w:footnote>
  <w:footnote w:id="31">
    <w:p w:rsidR="00145861" w:rsidP="003D36AF" w14:paraId="1FBCC6E4" w14:textId="77777777">
      <w:pPr>
        <w:pStyle w:val="FootnoteText"/>
      </w:pPr>
      <w:r w:rsidRPr="00774833">
        <w:rPr>
          <w:rStyle w:val="FootnoteReference"/>
          <w:vertAlign w:val="superscript"/>
        </w:rPr>
        <w:footnoteRef/>
      </w:r>
      <w:r>
        <w:t xml:space="preserve"> </w:t>
      </w:r>
      <w:r w:rsidRPr="008D485B">
        <w:t xml:space="preserve">The estimate </w:t>
      </w:r>
      <w:r>
        <w:t xml:space="preserve">is derived from </w:t>
      </w:r>
      <w:r w:rsidRPr="008D485B">
        <w:t>the May 2021 75</w:t>
      </w:r>
      <w:r w:rsidRPr="008D485B">
        <w:rPr>
          <w:vertAlign w:val="superscript"/>
        </w:rPr>
        <w:t>th</w:t>
      </w:r>
      <w:r w:rsidRPr="008D485B">
        <w:t xml:space="preserve"> percentile hourly wage rate for </w:t>
      </w:r>
      <w:r>
        <w:t>Financial Analysts</w:t>
      </w:r>
      <w:r w:rsidRPr="008D485B">
        <w:t xml:space="preserve"> ($</w:t>
      </w:r>
      <w:r>
        <w:t>61.02</w:t>
      </w:r>
      <w:r w:rsidRPr="008D485B">
        <w:t>) reported by the Bureau of Labor Statistics (BLS), National Industry-Specific Occupational Employment, and Wage Estimates. The wage rate</w:t>
      </w:r>
      <w:r>
        <w:t xml:space="preserve"> has</w:t>
      </w:r>
      <w:r w:rsidRPr="008D485B">
        <w:t xml:space="preserve"> been adjusted for changes in the BLS Employment Cost Index Historical Listing between Q1 2021 and Q</w:t>
      </w:r>
      <w:r>
        <w:t>4</w:t>
      </w:r>
      <w:r w:rsidRPr="008D485B">
        <w:t xml:space="preserve"> 2022 (</w:t>
      </w:r>
      <w:r>
        <w:t>9</w:t>
      </w:r>
      <w:r w:rsidRPr="008D485B">
        <w:t>.</w:t>
      </w:r>
      <w:r>
        <w:t>9</w:t>
      </w:r>
      <w:r w:rsidRPr="008D485B">
        <w:t xml:space="preserve"> percent) and grossed up by 5</w:t>
      </w:r>
      <w:r>
        <w:t>1</w:t>
      </w:r>
      <w:r w:rsidRPr="008D485B">
        <w:t xml:space="preserve"> percent to account for non-monetary compensation as reported by the </w:t>
      </w:r>
      <w:r>
        <w:t xml:space="preserve">March 2021 </w:t>
      </w:r>
      <w:r w:rsidRPr="008D485B">
        <w:t>BLS Employer Costs for Employee Compensation data (33.</w:t>
      </w:r>
      <w:r>
        <w:t>7</w:t>
      </w:r>
      <w:r w:rsidRPr="008D485B">
        <w:t xml:space="preserve"> percent of wages). </w:t>
      </w:r>
    </w:p>
  </w:footnote>
  <w:footnote w:id="32">
    <w:p w:rsidR="00145861" w:rsidP="003D36AF" w14:paraId="2826E1E3" w14:textId="77777777">
      <w:pPr>
        <w:pStyle w:val="FootnoteText"/>
      </w:pPr>
      <w:r w:rsidRPr="009822DB">
        <w:rPr>
          <w:rStyle w:val="FootnoteReference"/>
          <w:vertAlign w:val="superscript"/>
        </w:rPr>
        <w:footnoteRef/>
      </w:r>
      <w:r w:rsidRPr="009822DB">
        <w:rPr>
          <w:vertAlign w:val="superscript"/>
        </w:rPr>
        <w:t xml:space="preserve"> </w:t>
      </w:r>
      <w:r w:rsidRPr="00F51C6E">
        <w:t>127,70</w:t>
      </w:r>
      <w:r>
        <w:t>9</w:t>
      </w:r>
      <w:r w:rsidRPr="00F51C6E">
        <w:t xml:space="preserve"> hours per year at $98.0</w:t>
      </w:r>
      <w:r>
        <w:t>7</w:t>
      </w:r>
      <w:r w:rsidRPr="00F51C6E">
        <w:t xml:space="preserve"> per hour = $12,52</w:t>
      </w:r>
      <w:r>
        <w:t>4</w:t>
      </w:r>
      <w:r w:rsidRPr="00F51C6E">
        <w:t>,</w:t>
      </w:r>
      <w:r>
        <w:t>422</w:t>
      </w:r>
      <w:r w:rsidRPr="00F51C6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61" w14:paraId="7699B3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61" w14:paraId="68BD12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61" w14:paraId="10B95E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B0C4E"/>
    <w:multiLevelType w:val="hybridMultilevel"/>
    <w:tmpl w:val="72581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1C6F43"/>
    <w:multiLevelType w:val="hybridMultilevel"/>
    <w:tmpl w:val="1D04812E"/>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D501A5"/>
    <w:multiLevelType w:val="hybridMultilevel"/>
    <w:tmpl w:val="8CECD8E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320537"/>
    <w:multiLevelType w:val="singleLevel"/>
    <w:tmpl w:val="90EAF164"/>
    <w:lvl w:ilvl="0">
      <w:start w:val="17"/>
      <w:numFmt w:val="decimal"/>
      <w:lvlText w:val="%1."/>
      <w:lvlJc w:val="left"/>
      <w:pPr>
        <w:tabs>
          <w:tab w:val="num" w:pos="1008"/>
        </w:tabs>
        <w:ind w:left="1008" w:hanging="720"/>
      </w:pPr>
      <w:rPr>
        <w:rFonts w:hint="default"/>
        <w:u w:val="none"/>
      </w:rPr>
    </w:lvl>
  </w:abstractNum>
  <w:abstractNum w:abstractNumId="4">
    <w:nsid w:val="24A21148"/>
    <w:multiLevelType w:val="hybridMultilevel"/>
    <w:tmpl w:val="44C6F1A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CD062E"/>
    <w:multiLevelType w:val="hybridMultilevel"/>
    <w:tmpl w:val="E168D7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7A4EB6"/>
    <w:multiLevelType w:val="hybridMultilevel"/>
    <w:tmpl w:val="27BE0C9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4F2A56"/>
    <w:multiLevelType w:val="hybridMultilevel"/>
    <w:tmpl w:val="12F82B7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BD713C"/>
    <w:multiLevelType w:val="hybridMultilevel"/>
    <w:tmpl w:val="0DB64E50"/>
    <w:lvl w:ilvl="0">
      <w:start w:val="1"/>
      <w:numFmt w:val="decimal"/>
      <w:lvlText w:val="%1."/>
      <w:lvlJc w:val="left"/>
      <w:pPr>
        <w:ind w:left="216" w:hanging="72"/>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A342CD"/>
    <w:multiLevelType w:val="hybridMultilevel"/>
    <w:tmpl w:val="0CB0F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D47F7"/>
    <w:multiLevelType w:val="hybridMultilevel"/>
    <w:tmpl w:val="B59830B6"/>
    <w:lvl w:ilvl="0">
      <w:start w:val="1"/>
      <w:numFmt w:val="decimal"/>
      <w:pStyle w:val="ListParagraph"/>
      <w:lvlText w:val="%1."/>
      <w:lvlJc w:val="left"/>
      <w:pPr>
        <w:ind w:left="216" w:hanging="144"/>
      </w:pPr>
      <w:rPr>
        <w:rFonts w:hint="default"/>
        <w:color w:val="231F20"/>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11">
    <w:nsid w:val="4B506E14"/>
    <w:multiLevelType w:val="hybridMultilevel"/>
    <w:tmpl w:val="43EE4D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F907C4"/>
    <w:multiLevelType w:val="hybridMultilevel"/>
    <w:tmpl w:val="F8AEBC2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A362233"/>
    <w:multiLevelType w:val="hybridMultilevel"/>
    <w:tmpl w:val="DFD222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D80E22"/>
    <w:multiLevelType w:val="hybridMultilevel"/>
    <w:tmpl w:val="C3C04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867BD7"/>
    <w:multiLevelType w:val="hybridMultilevel"/>
    <w:tmpl w:val="6F94EE3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3A5485"/>
    <w:multiLevelType w:val="hybridMultilevel"/>
    <w:tmpl w:val="59FC93C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4E82C74"/>
    <w:multiLevelType w:val="hybridMultilevel"/>
    <w:tmpl w:val="1B74794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DD62AA"/>
    <w:multiLevelType w:val="hybridMultilevel"/>
    <w:tmpl w:val="9CC2463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FC4732"/>
    <w:multiLevelType w:val="hybridMultilevel"/>
    <w:tmpl w:val="82080BE2"/>
    <w:lvl w:ilvl="0">
      <w:start w:val="1"/>
      <w:numFmt w:val="decimal"/>
      <w:lvlText w:val="%1."/>
      <w:lvlJc w:val="left"/>
      <w:pPr>
        <w:ind w:left="835" w:hanging="360"/>
      </w:pPr>
      <w:rPr>
        <w:rFonts w:hint="default"/>
        <w:color w:val="231F20"/>
        <w:spacing w:val="-5"/>
        <w:w w:val="100"/>
        <w:sz w:val="20"/>
        <w:szCs w:val="20"/>
        <w:lang w:val="en-US" w:eastAsia="en-US" w:bidi="en-US"/>
      </w:rPr>
    </w:lvl>
    <w:lvl w:ilvl="1">
      <w:start w:val="0"/>
      <w:numFmt w:val="bullet"/>
      <w:lvlText w:val="•"/>
      <w:lvlJc w:val="left"/>
      <w:pPr>
        <w:ind w:left="1552" w:hanging="190"/>
      </w:pPr>
      <w:rPr>
        <w:rFonts w:hint="default"/>
        <w:lang w:val="en-US" w:eastAsia="en-US" w:bidi="en-US"/>
      </w:rPr>
    </w:lvl>
    <w:lvl w:ilvl="2">
      <w:start w:val="0"/>
      <w:numFmt w:val="bullet"/>
      <w:lvlText w:val="•"/>
      <w:lvlJc w:val="left"/>
      <w:pPr>
        <w:ind w:left="2444" w:hanging="190"/>
      </w:pPr>
      <w:rPr>
        <w:rFonts w:hint="default"/>
        <w:lang w:val="en-US" w:eastAsia="en-US" w:bidi="en-US"/>
      </w:rPr>
    </w:lvl>
    <w:lvl w:ilvl="3">
      <w:start w:val="0"/>
      <w:numFmt w:val="bullet"/>
      <w:lvlText w:val="•"/>
      <w:lvlJc w:val="left"/>
      <w:pPr>
        <w:ind w:left="3336" w:hanging="190"/>
      </w:pPr>
      <w:rPr>
        <w:rFonts w:hint="default"/>
        <w:lang w:val="en-US" w:eastAsia="en-US" w:bidi="en-US"/>
      </w:rPr>
    </w:lvl>
    <w:lvl w:ilvl="4">
      <w:start w:val="0"/>
      <w:numFmt w:val="bullet"/>
      <w:lvlText w:val="•"/>
      <w:lvlJc w:val="left"/>
      <w:pPr>
        <w:ind w:left="4228" w:hanging="190"/>
      </w:pPr>
      <w:rPr>
        <w:rFonts w:hint="default"/>
        <w:lang w:val="en-US" w:eastAsia="en-US" w:bidi="en-US"/>
      </w:rPr>
    </w:lvl>
    <w:lvl w:ilvl="5">
      <w:start w:val="0"/>
      <w:numFmt w:val="bullet"/>
      <w:lvlText w:val="•"/>
      <w:lvlJc w:val="left"/>
      <w:pPr>
        <w:ind w:left="5120" w:hanging="190"/>
      </w:pPr>
      <w:rPr>
        <w:rFonts w:hint="default"/>
        <w:lang w:val="en-US" w:eastAsia="en-US" w:bidi="en-US"/>
      </w:rPr>
    </w:lvl>
    <w:lvl w:ilvl="6">
      <w:start w:val="0"/>
      <w:numFmt w:val="bullet"/>
      <w:lvlText w:val="•"/>
      <w:lvlJc w:val="left"/>
      <w:pPr>
        <w:ind w:left="6012" w:hanging="190"/>
      </w:pPr>
      <w:rPr>
        <w:rFonts w:hint="default"/>
        <w:lang w:val="en-US" w:eastAsia="en-US" w:bidi="en-US"/>
      </w:rPr>
    </w:lvl>
    <w:lvl w:ilvl="7">
      <w:start w:val="0"/>
      <w:numFmt w:val="bullet"/>
      <w:lvlText w:val="•"/>
      <w:lvlJc w:val="left"/>
      <w:pPr>
        <w:ind w:left="6904" w:hanging="190"/>
      </w:pPr>
      <w:rPr>
        <w:rFonts w:hint="default"/>
        <w:lang w:val="en-US" w:eastAsia="en-US" w:bidi="en-US"/>
      </w:rPr>
    </w:lvl>
    <w:lvl w:ilvl="8">
      <w:start w:val="0"/>
      <w:numFmt w:val="bullet"/>
      <w:lvlText w:val="•"/>
      <w:lvlJc w:val="left"/>
      <w:pPr>
        <w:ind w:left="7796" w:hanging="190"/>
      </w:pPr>
      <w:rPr>
        <w:rFonts w:hint="default"/>
        <w:lang w:val="en-US" w:eastAsia="en-US" w:bidi="en-US"/>
      </w:rPr>
    </w:lvl>
  </w:abstractNum>
  <w:num w:numId="1">
    <w:abstractNumId w:val="3"/>
  </w:num>
  <w:num w:numId="2">
    <w:abstractNumId w:val="19"/>
  </w:num>
  <w:num w:numId="3">
    <w:abstractNumId w:val="2"/>
  </w:num>
  <w:num w:numId="4">
    <w:abstractNumId w:val="7"/>
  </w:num>
  <w:num w:numId="5">
    <w:abstractNumId w:val="6"/>
  </w:num>
  <w:num w:numId="6">
    <w:abstractNumId w:val="11"/>
  </w:num>
  <w:num w:numId="7">
    <w:abstractNumId w:val="13"/>
  </w:num>
  <w:num w:numId="8">
    <w:abstractNumId w:val="17"/>
  </w:num>
  <w:num w:numId="9">
    <w:abstractNumId w:val="18"/>
  </w:num>
  <w:num w:numId="10">
    <w:abstractNumId w:val="17"/>
    <w:lvlOverride w:ilvl="0">
      <w:startOverride w:val="3"/>
    </w:lvlOverride>
  </w:num>
  <w:num w:numId="11">
    <w:abstractNumId w:val="17"/>
    <w:lvlOverride w:ilvl="0">
      <w:startOverride w:val="2"/>
    </w:lvlOverride>
  </w:num>
  <w:num w:numId="12">
    <w:abstractNumId w:val="16"/>
  </w:num>
  <w:num w:numId="13">
    <w:abstractNumId w:val="5"/>
  </w:num>
  <w:num w:numId="14">
    <w:abstractNumId w:val="14"/>
  </w:num>
  <w:num w:numId="15">
    <w:abstractNumId w:val="1"/>
  </w:num>
  <w:num w:numId="16">
    <w:abstractNumId w:val="4"/>
  </w:num>
  <w:num w:numId="17">
    <w:abstractNumId w:val="15"/>
  </w:num>
  <w:num w:numId="18">
    <w:abstractNumId w:val="8"/>
  </w:num>
  <w:num w:numId="19">
    <w:abstractNumId w:val="10"/>
  </w:num>
  <w:num w:numId="20">
    <w:abstractNumId w:val="0"/>
  </w:num>
  <w:num w:numId="21">
    <w:abstractNumId w:val="9"/>
  </w:num>
  <w:num w:numId="22">
    <w:abstractNumId w:val="10"/>
    <w:lvlOverride w:ilvl="0">
      <w:startOverride w:val="3"/>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74"/>
    <w:rsid w:val="00065B3F"/>
    <w:rsid w:val="00083147"/>
    <w:rsid w:val="000863D6"/>
    <w:rsid w:val="000F1A53"/>
    <w:rsid w:val="000F577B"/>
    <w:rsid w:val="001336AD"/>
    <w:rsid w:val="00145861"/>
    <w:rsid w:val="001801A0"/>
    <w:rsid w:val="001A1B02"/>
    <w:rsid w:val="001C7588"/>
    <w:rsid w:val="00264EC1"/>
    <w:rsid w:val="002701C6"/>
    <w:rsid w:val="00276CBC"/>
    <w:rsid w:val="002F03D5"/>
    <w:rsid w:val="00366F1B"/>
    <w:rsid w:val="003774C9"/>
    <w:rsid w:val="00397E1D"/>
    <w:rsid w:val="003D36AF"/>
    <w:rsid w:val="004122AC"/>
    <w:rsid w:val="00483A02"/>
    <w:rsid w:val="005029F1"/>
    <w:rsid w:val="00505FF6"/>
    <w:rsid w:val="00513359"/>
    <w:rsid w:val="00520F64"/>
    <w:rsid w:val="005366DA"/>
    <w:rsid w:val="00547707"/>
    <w:rsid w:val="00550937"/>
    <w:rsid w:val="00551535"/>
    <w:rsid w:val="00563A78"/>
    <w:rsid w:val="00586542"/>
    <w:rsid w:val="005D018C"/>
    <w:rsid w:val="006306A0"/>
    <w:rsid w:val="0063384E"/>
    <w:rsid w:val="0064219D"/>
    <w:rsid w:val="006505EA"/>
    <w:rsid w:val="006549D7"/>
    <w:rsid w:val="00664F7F"/>
    <w:rsid w:val="00680823"/>
    <w:rsid w:val="006B7FED"/>
    <w:rsid w:val="006D1570"/>
    <w:rsid w:val="006E1676"/>
    <w:rsid w:val="006F2449"/>
    <w:rsid w:val="00726C89"/>
    <w:rsid w:val="00767DE5"/>
    <w:rsid w:val="00774833"/>
    <w:rsid w:val="007757D7"/>
    <w:rsid w:val="00797DDC"/>
    <w:rsid w:val="007A3985"/>
    <w:rsid w:val="007B478B"/>
    <w:rsid w:val="007D7E3F"/>
    <w:rsid w:val="00822E3B"/>
    <w:rsid w:val="00823A18"/>
    <w:rsid w:val="00825C90"/>
    <w:rsid w:val="00827E49"/>
    <w:rsid w:val="008317D3"/>
    <w:rsid w:val="0084189F"/>
    <w:rsid w:val="008426CB"/>
    <w:rsid w:val="00845C62"/>
    <w:rsid w:val="008632E7"/>
    <w:rsid w:val="0086547B"/>
    <w:rsid w:val="008B115E"/>
    <w:rsid w:val="008B7B9E"/>
    <w:rsid w:val="008C5F1B"/>
    <w:rsid w:val="008D0235"/>
    <w:rsid w:val="008D485B"/>
    <w:rsid w:val="008E4EB0"/>
    <w:rsid w:val="00904A85"/>
    <w:rsid w:val="00945A45"/>
    <w:rsid w:val="009535E3"/>
    <w:rsid w:val="009628B3"/>
    <w:rsid w:val="00974B40"/>
    <w:rsid w:val="009822DB"/>
    <w:rsid w:val="00994EDE"/>
    <w:rsid w:val="009A604B"/>
    <w:rsid w:val="009D7CBB"/>
    <w:rsid w:val="00A07F1F"/>
    <w:rsid w:val="00A30A9F"/>
    <w:rsid w:val="00A348FA"/>
    <w:rsid w:val="00A36DF7"/>
    <w:rsid w:val="00A66000"/>
    <w:rsid w:val="00A672D4"/>
    <w:rsid w:val="00A907C9"/>
    <w:rsid w:val="00A948F8"/>
    <w:rsid w:val="00AD1170"/>
    <w:rsid w:val="00AD191E"/>
    <w:rsid w:val="00AF7D8B"/>
    <w:rsid w:val="00B52D7B"/>
    <w:rsid w:val="00B97033"/>
    <w:rsid w:val="00BB1AA5"/>
    <w:rsid w:val="00BC6955"/>
    <w:rsid w:val="00C0435A"/>
    <w:rsid w:val="00C07C2D"/>
    <w:rsid w:val="00C36DBB"/>
    <w:rsid w:val="00C7187B"/>
    <w:rsid w:val="00C81EE6"/>
    <w:rsid w:val="00C96256"/>
    <w:rsid w:val="00CA7D7A"/>
    <w:rsid w:val="00CC5DA2"/>
    <w:rsid w:val="00CD3944"/>
    <w:rsid w:val="00CE2D0F"/>
    <w:rsid w:val="00CE3DC4"/>
    <w:rsid w:val="00CF34FA"/>
    <w:rsid w:val="00D17E74"/>
    <w:rsid w:val="00D219A4"/>
    <w:rsid w:val="00D566F2"/>
    <w:rsid w:val="00D71196"/>
    <w:rsid w:val="00DA678C"/>
    <w:rsid w:val="00DD0259"/>
    <w:rsid w:val="00DD118D"/>
    <w:rsid w:val="00DD39B4"/>
    <w:rsid w:val="00DF74FF"/>
    <w:rsid w:val="00E0349D"/>
    <w:rsid w:val="00E13550"/>
    <w:rsid w:val="00E23315"/>
    <w:rsid w:val="00E2798B"/>
    <w:rsid w:val="00E35E73"/>
    <w:rsid w:val="00E4016B"/>
    <w:rsid w:val="00E47A40"/>
    <w:rsid w:val="00E52016"/>
    <w:rsid w:val="00E9015C"/>
    <w:rsid w:val="00E90A8F"/>
    <w:rsid w:val="00EB5C71"/>
    <w:rsid w:val="00F04EC4"/>
    <w:rsid w:val="00F06F6A"/>
    <w:rsid w:val="00F36609"/>
    <w:rsid w:val="00F51C6E"/>
    <w:rsid w:val="00F61A10"/>
    <w:rsid w:val="00F76371"/>
    <w:rsid w:val="00FC035F"/>
    <w:rsid w:val="03A55F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39C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link w:val="Heading1Char"/>
    <w:autoRedefine/>
    <w:uiPriority w:val="1"/>
    <w:qFormat/>
    <w:rsid w:val="003D36AF"/>
    <w:pPr>
      <w:suppressAutoHyphens/>
      <w:autoSpaceDE w:val="0"/>
      <w:autoSpaceDN w:val="0"/>
      <w:spacing w:after="40" w:line="260" w:lineRule="exact"/>
      <w:ind w:right="-86"/>
      <w:outlineLvl w:val="0"/>
    </w:pPr>
    <w:rPr>
      <w:rFonts w:ascii="Source Sans Pro" w:eastAsia="Source Sans Pro" w:hAnsi="Source Sans Pro" w:cs="Source Sans Pro"/>
      <w:b/>
      <w:bCs/>
      <w:snapToGrid/>
      <w:color w:val="998543"/>
      <w:sz w:val="30"/>
      <w:szCs w:val="30"/>
      <w:lang w:bidi="en-US"/>
    </w:rPr>
  </w:style>
  <w:style w:type="paragraph" w:styleId="Heading2">
    <w:name w:val="heading 2"/>
    <w:basedOn w:val="Normal"/>
    <w:next w:val="Normal"/>
    <w:link w:val="Heading2Char"/>
    <w:uiPriority w:val="9"/>
    <w:semiHidden/>
    <w:unhideWhenUsed/>
    <w:qFormat/>
    <w:rsid w:val="003D36AF"/>
    <w:pPr>
      <w:keepNext/>
      <w:keepLines/>
      <w:suppressAutoHyphens/>
      <w:autoSpaceDE w:val="0"/>
      <w:autoSpaceDN w:val="0"/>
      <w:spacing w:before="40" w:line="260" w:lineRule="exact"/>
      <w:ind w:right="-86"/>
      <w:outlineLvl w:val="1"/>
    </w:pPr>
    <w:rPr>
      <w:rFonts w:asciiTheme="majorHAnsi" w:eastAsiaTheme="majorEastAsia" w:hAnsiTheme="majorHAnsi" w:cstheme="majorBidi"/>
      <w:snapToGrid/>
      <w:color w:val="2E74B5" w:themeColor="accent1" w:themeShade="BF"/>
      <w:sz w:val="26"/>
      <w:szCs w:val="26"/>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uiPriority w:val="59"/>
    <w:rsid w:val="007D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Car,Char,Footnote Text Char Char,Footnote Text Char Char Char Char Char Char Char Char Char Char Char Char Char Char Char Char Char,Footnote Text Char1 Char Char,ORP Footnote,Style 15,Style 40 Char,Style 40 Char Char,fn,ft"/>
    <w:basedOn w:val="Normal"/>
    <w:link w:val="FootnoteTextChar"/>
    <w:uiPriority w:val="99"/>
    <w:unhideWhenUsed/>
    <w:qFormat/>
    <w:rsid w:val="000863D6"/>
    <w:pPr>
      <w:widowControl/>
    </w:pPr>
    <w:rPr>
      <w:rFonts w:ascii="Times New Roman" w:hAnsi="Times New Roman"/>
      <w:snapToGrid/>
      <w:sz w:val="20"/>
    </w:rPr>
  </w:style>
  <w:style w:type="character" w:customStyle="1" w:styleId="FootnoteTextChar">
    <w:name w:val="Footnote Text Char"/>
    <w:aliases w:val="ALTS FOOTNOTE Char,Car Char,Footnote Text Char Char Char,Footnote Text Char Char Char Char Char Char Char Char Char Char Char Char Char Char Char Char Char Char,Style 15 Char,Style 40 Char Char Char,Style 40 Char Char1,fn Char,ft Char"/>
    <w:basedOn w:val="DefaultParagraphFont"/>
    <w:link w:val="FootnoteText"/>
    <w:uiPriority w:val="99"/>
    <w:rsid w:val="000863D6"/>
  </w:style>
  <w:style w:type="character" w:styleId="Hyperlink">
    <w:name w:val="Hyperlink"/>
    <w:uiPriority w:val="99"/>
    <w:unhideWhenUsed/>
    <w:rsid w:val="00C81EE6"/>
    <w:rPr>
      <w:color w:val="0000FF"/>
      <w:u w:val="single"/>
    </w:rPr>
  </w:style>
  <w:style w:type="character" w:styleId="FollowedHyperlink">
    <w:name w:val="FollowedHyperlink"/>
    <w:basedOn w:val="DefaultParagraphFont"/>
    <w:rsid w:val="00C07C2D"/>
    <w:rPr>
      <w:color w:val="954F72" w:themeColor="followedHyperlink"/>
      <w:u w:val="single"/>
    </w:rPr>
  </w:style>
  <w:style w:type="paragraph" w:styleId="BalloonText">
    <w:name w:val="Balloon Text"/>
    <w:basedOn w:val="Normal"/>
    <w:link w:val="BalloonTextChar"/>
    <w:uiPriority w:val="99"/>
    <w:rsid w:val="000F577B"/>
    <w:rPr>
      <w:rFonts w:ascii="Segoe UI" w:hAnsi="Segoe UI" w:cs="Segoe UI"/>
      <w:sz w:val="18"/>
      <w:szCs w:val="18"/>
    </w:rPr>
  </w:style>
  <w:style w:type="character" w:customStyle="1" w:styleId="BalloonTextChar">
    <w:name w:val="Balloon Text Char"/>
    <w:basedOn w:val="DefaultParagraphFont"/>
    <w:link w:val="BalloonText"/>
    <w:uiPriority w:val="99"/>
    <w:rsid w:val="000F577B"/>
    <w:rPr>
      <w:rFonts w:ascii="Segoe UI" w:hAnsi="Segoe UI" w:cs="Segoe UI"/>
      <w:snapToGrid w:val="0"/>
      <w:sz w:val="18"/>
      <w:szCs w:val="18"/>
    </w:rPr>
  </w:style>
  <w:style w:type="table" w:customStyle="1" w:styleId="TableGrid1">
    <w:name w:val="Table Grid1"/>
    <w:basedOn w:val="TableNormal"/>
    <w:next w:val="TableGrid"/>
    <w:uiPriority w:val="39"/>
    <w:rsid w:val="00E9015C"/>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A1B02"/>
    <w:rPr>
      <w:sz w:val="16"/>
      <w:szCs w:val="16"/>
    </w:rPr>
  </w:style>
  <w:style w:type="paragraph" w:styleId="CommentText">
    <w:name w:val="annotation text"/>
    <w:basedOn w:val="Normal"/>
    <w:link w:val="CommentTextChar"/>
    <w:uiPriority w:val="99"/>
    <w:rsid w:val="001A1B02"/>
    <w:rPr>
      <w:sz w:val="20"/>
    </w:rPr>
  </w:style>
  <w:style w:type="character" w:customStyle="1" w:styleId="CommentTextChar">
    <w:name w:val="Comment Text Char"/>
    <w:basedOn w:val="DefaultParagraphFont"/>
    <w:link w:val="CommentText"/>
    <w:uiPriority w:val="99"/>
    <w:rsid w:val="001A1B02"/>
    <w:rPr>
      <w:rFonts w:ascii="Courier" w:hAnsi="Courier"/>
      <w:snapToGrid w:val="0"/>
    </w:rPr>
  </w:style>
  <w:style w:type="paragraph" w:styleId="CommentSubject">
    <w:name w:val="annotation subject"/>
    <w:basedOn w:val="CommentText"/>
    <w:next w:val="CommentText"/>
    <w:link w:val="CommentSubjectChar"/>
    <w:uiPriority w:val="99"/>
    <w:rsid w:val="001A1B02"/>
    <w:rPr>
      <w:b/>
      <w:bCs/>
    </w:rPr>
  </w:style>
  <w:style w:type="character" w:customStyle="1" w:styleId="CommentSubjectChar">
    <w:name w:val="Comment Subject Char"/>
    <w:basedOn w:val="CommentTextChar"/>
    <w:link w:val="CommentSubject"/>
    <w:uiPriority w:val="99"/>
    <w:rsid w:val="001A1B02"/>
    <w:rPr>
      <w:rFonts w:ascii="Courier" w:hAnsi="Courier"/>
      <w:b/>
      <w:bCs/>
      <w:snapToGrid w:val="0"/>
    </w:rPr>
  </w:style>
  <w:style w:type="character" w:customStyle="1" w:styleId="Heading1Char">
    <w:name w:val="Heading 1 Char"/>
    <w:basedOn w:val="DefaultParagraphFont"/>
    <w:link w:val="Heading1"/>
    <w:uiPriority w:val="1"/>
    <w:rsid w:val="003D36AF"/>
    <w:rPr>
      <w:rFonts w:ascii="Source Sans Pro" w:eastAsia="Source Sans Pro" w:hAnsi="Source Sans Pro" w:cs="Source Sans Pro"/>
      <w:b/>
      <w:bCs/>
      <w:color w:val="998543"/>
      <w:sz w:val="30"/>
      <w:szCs w:val="30"/>
      <w:lang w:bidi="en-US"/>
    </w:rPr>
  </w:style>
  <w:style w:type="character" w:customStyle="1" w:styleId="Heading2Char">
    <w:name w:val="Heading 2 Char"/>
    <w:basedOn w:val="DefaultParagraphFont"/>
    <w:link w:val="Heading2"/>
    <w:uiPriority w:val="9"/>
    <w:semiHidden/>
    <w:rsid w:val="003D36AF"/>
    <w:rPr>
      <w:rFonts w:asciiTheme="majorHAnsi" w:eastAsiaTheme="majorEastAsia" w:hAnsiTheme="majorHAnsi" w:cstheme="majorBidi"/>
      <w:color w:val="2E74B5" w:themeColor="accent1" w:themeShade="BF"/>
      <w:sz w:val="26"/>
      <w:szCs w:val="26"/>
      <w:lang w:bidi="en-US"/>
    </w:rPr>
  </w:style>
  <w:style w:type="paragraph" w:styleId="BodyText">
    <w:name w:val="Body Text"/>
    <w:link w:val="BodyTextChar"/>
    <w:autoRedefine/>
    <w:uiPriority w:val="1"/>
    <w:qFormat/>
    <w:rsid w:val="003D36AF"/>
    <w:pPr>
      <w:widowControl w:val="0"/>
      <w:autoSpaceDE w:val="0"/>
      <w:autoSpaceDN w:val="0"/>
      <w:spacing w:before="240" w:after="120" w:line="360" w:lineRule="auto"/>
    </w:pPr>
    <w:rPr>
      <w:rFonts w:ascii="Source Sans Pro" w:eastAsia="Source Sans Pro" w:hAnsi="Source Sans Pro"/>
      <w:color w:val="000000" w:themeColor="text1"/>
    </w:rPr>
  </w:style>
  <w:style w:type="character" w:customStyle="1" w:styleId="BodyTextChar">
    <w:name w:val="Body Text Char"/>
    <w:basedOn w:val="DefaultParagraphFont"/>
    <w:link w:val="BodyText"/>
    <w:uiPriority w:val="1"/>
    <w:rsid w:val="003D36AF"/>
    <w:rPr>
      <w:rFonts w:ascii="Source Sans Pro" w:eastAsia="Source Sans Pro" w:hAnsi="Source Sans Pro"/>
      <w:color w:val="000000" w:themeColor="text1"/>
    </w:rPr>
  </w:style>
  <w:style w:type="character" w:customStyle="1" w:styleId="FooterChar">
    <w:name w:val="Footer Char"/>
    <w:basedOn w:val="DefaultParagraphFont"/>
    <w:link w:val="Footer"/>
    <w:uiPriority w:val="99"/>
    <w:rsid w:val="003D36AF"/>
    <w:rPr>
      <w:rFonts w:ascii="Courier" w:hAnsi="Courier"/>
      <w:snapToGrid w:val="0"/>
      <w:sz w:val="24"/>
    </w:rPr>
  </w:style>
  <w:style w:type="character" w:customStyle="1" w:styleId="FDICHeader">
    <w:name w:val="FDIC Header"/>
    <w:basedOn w:val="BodyTextChar"/>
    <w:uiPriority w:val="1"/>
    <w:rsid w:val="003D36AF"/>
    <w:rPr>
      <w:rFonts w:ascii="Source Sans Pro" w:eastAsia="Source Sans Pro" w:hAnsi="Source Sans Pro" w:cs="Times New Roman"/>
      <w:b/>
      <w:snapToGrid w:val="0"/>
      <w:color w:val="44546A" w:themeColor="text2"/>
      <w:sz w:val="19"/>
      <w:szCs w:val="19"/>
      <w:lang w:bidi="en-US"/>
    </w:rPr>
  </w:style>
  <w:style w:type="paragraph" w:customStyle="1" w:styleId="NameDateTopic">
    <w:name w:val="Name Date Topic"/>
    <w:autoRedefine/>
    <w:uiPriority w:val="1"/>
    <w:qFormat/>
    <w:rsid w:val="003D36AF"/>
    <w:pPr>
      <w:widowControl w:val="0"/>
      <w:autoSpaceDE w:val="0"/>
      <w:autoSpaceDN w:val="0"/>
      <w:spacing w:after="720" w:line="280" w:lineRule="exact"/>
      <w:ind w:left="1440" w:hanging="1440"/>
      <w:contextualSpacing/>
    </w:pPr>
    <w:rPr>
      <w:rFonts w:ascii="Source Sans Pro" w:eastAsia="Source Sans Pro" w:hAnsi="Source Sans Pro" w:cs="Source Sans Pro"/>
      <w:szCs w:val="19"/>
      <w:lang w:bidi="en-US"/>
    </w:rPr>
  </w:style>
  <w:style w:type="character" w:customStyle="1" w:styleId="TOGold">
    <w:name w:val="TO: Gold"/>
    <w:basedOn w:val="DefaultParagraphFont"/>
    <w:uiPriority w:val="1"/>
    <w:qFormat/>
    <w:rsid w:val="003D36AF"/>
    <w:rPr>
      <w:b/>
      <w:color w:val="998543"/>
      <w:spacing w:val="-4"/>
      <w:sz w:val="18"/>
    </w:rPr>
  </w:style>
  <w:style w:type="paragraph" w:styleId="ListParagraph">
    <w:name w:val="List Paragraph"/>
    <w:aliases w:val="Bullet List"/>
    <w:basedOn w:val="BodyText"/>
    <w:link w:val="ListParagraphChar"/>
    <w:autoRedefine/>
    <w:uiPriority w:val="34"/>
    <w:qFormat/>
    <w:rsid w:val="003D36AF"/>
    <w:pPr>
      <w:widowControl/>
      <w:numPr>
        <w:numId w:val="19"/>
      </w:numPr>
      <w:tabs>
        <w:tab w:val="left" w:pos="668"/>
      </w:tabs>
      <w:autoSpaceDE/>
      <w:autoSpaceDN/>
      <w:spacing w:before="0" w:after="0"/>
      <w:contextualSpacing/>
    </w:pPr>
    <w:rPr>
      <w:rFonts w:cs="Source Sans Pro"/>
      <w:color w:val="231F20"/>
    </w:rPr>
  </w:style>
  <w:style w:type="character" w:customStyle="1" w:styleId="ListParagraphChar">
    <w:name w:val="List Paragraph Char"/>
    <w:aliases w:val="Bullet List Char"/>
    <w:basedOn w:val="DefaultParagraphFont"/>
    <w:link w:val="ListParagraph"/>
    <w:uiPriority w:val="34"/>
    <w:locked/>
    <w:rsid w:val="003D36AF"/>
    <w:rPr>
      <w:rFonts w:ascii="Source Sans Pro" w:eastAsia="Source Sans Pro" w:hAnsi="Source Sans Pro" w:cs="Source Sans Pro"/>
      <w:color w:val="231F20"/>
    </w:rPr>
  </w:style>
  <w:style w:type="character" w:customStyle="1" w:styleId="HeaderChar">
    <w:name w:val="Header Char"/>
    <w:basedOn w:val="DefaultParagraphFont"/>
    <w:link w:val="Header"/>
    <w:uiPriority w:val="99"/>
    <w:rsid w:val="003D36AF"/>
    <w:rPr>
      <w:rFonts w:ascii="Courier" w:hAnsi="Courier"/>
      <w:snapToGrid w:val="0"/>
      <w:sz w:val="24"/>
    </w:rPr>
  </w:style>
  <w:style w:type="paragraph" w:customStyle="1" w:styleId="indent-2">
    <w:name w:val="indent-2"/>
    <w:basedOn w:val="Normal"/>
    <w:rsid w:val="003D36AF"/>
    <w:pPr>
      <w:widowControl/>
      <w:spacing w:before="100" w:beforeAutospacing="1" w:after="100" w:afterAutospacing="1"/>
    </w:pPr>
    <w:rPr>
      <w:rFonts w:ascii="Times New Roman" w:hAnsi="Times New Roman"/>
      <w:snapToGrid/>
      <w:szCs w:val="24"/>
    </w:rPr>
  </w:style>
  <w:style w:type="character" w:customStyle="1" w:styleId="paragraph-hierarchy">
    <w:name w:val="paragraph-hierarchy"/>
    <w:basedOn w:val="DefaultParagraphFont"/>
    <w:rsid w:val="003D36AF"/>
  </w:style>
  <w:style w:type="character" w:customStyle="1" w:styleId="paren">
    <w:name w:val="paren"/>
    <w:basedOn w:val="DefaultParagraphFont"/>
    <w:rsid w:val="003D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appraisalfoundation.org/" TargetMode="External" /><Relationship Id="rId2" Type="http://schemas.openxmlformats.org/officeDocument/2006/relationships/hyperlink" Target="https://fdicgov.sharepoint.com/:x:/r/sites/DIR/OCE/RAS/Documents/04%20Information%20Collections/30640103%20-%20Recordkeeping%20for%20Real%20Estate%20Appraisals%20and%20Evaluations/2023/Final%20Updated%20Appraisal%20Threshold%20Burden%20Estimate%20v041423.xlsx?d=w9d1da6b18d7f4f899edf06a518a0b5ce&amp;csf=1&amp;web=1&amp;e=fi6IP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4364-DF96-40FD-AB5A-41A47DD2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5909</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2024-09-11T19:53:00Z</dcterms:created>
  <dcterms:modified xsi:type="dcterms:W3CDTF">2024-09-12T15:24:00Z</dcterms:modified>
</cp:coreProperties>
</file>