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7453" w14:paraId="762A24F1" w14:textId="77777777">
      <w:pPr>
        <w:spacing w:line="240" w:lineRule="auto"/>
        <w:jc w:val="center"/>
        <w:rPr>
          <w:b/>
          <w:sz w:val="24"/>
          <w:szCs w:val="24"/>
        </w:rPr>
      </w:pPr>
      <w:r>
        <w:rPr>
          <w:b/>
          <w:sz w:val="24"/>
          <w:szCs w:val="24"/>
        </w:rPr>
        <w:t>Supporting Statement for Information Collection</w:t>
      </w:r>
    </w:p>
    <w:p w:rsidR="00CA7453" w14:paraId="49D81D39" w14:textId="77777777">
      <w:pPr>
        <w:spacing w:line="240" w:lineRule="auto"/>
        <w:jc w:val="center"/>
        <w:rPr>
          <w:b/>
          <w:sz w:val="24"/>
          <w:szCs w:val="24"/>
        </w:rPr>
      </w:pPr>
      <w:r>
        <w:rPr>
          <w:b/>
          <w:sz w:val="24"/>
          <w:szCs w:val="24"/>
        </w:rPr>
        <w:t>OMB Control Number 3090-0007</w:t>
      </w:r>
    </w:p>
    <w:p w:rsidR="00CA7453" w14:paraId="02E5EE4D" w14:textId="77777777">
      <w:pPr>
        <w:spacing w:line="240" w:lineRule="auto"/>
        <w:jc w:val="center"/>
        <w:rPr>
          <w:b/>
          <w:sz w:val="24"/>
          <w:szCs w:val="24"/>
        </w:rPr>
      </w:pPr>
    </w:p>
    <w:p w:rsidR="00CA7453" w14:paraId="49F3A43D" w14:textId="77777777">
      <w:pPr>
        <w:spacing w:line="240" w:lineRule="auto"/>
        <w:jc w:val="center"/>
        <w:rPr>
          <w:b/>
          <w:sz w:val="24"/>
          <w:szCs w:val="24"/>
        </w:rPr>
      </w:pPr>
      <w:r>
        <w:rPr>
          <w:b/>
          <w:sz w:val="24"/>
          <w:szCs w:val="24"/>
        </w:rPr>
        <w:t>Title: Contractor Qualifications and Financial Information</w:t>
      </w:r>
    </w:p>
    <w:p w:rsidR="00CA7453" w14:paraId="22F08EB5" w14:textId="77777777">
      <w:pPr>
        <w:spacing w:line="240" w:lineRule="auto"/>
        <w:jc w:val="center"/>
        <w:rPr>
          <w:b/>
          <w:sz w:val="24"/>
          <w:szCs w:val="24"/>
        </w:rPr>
      </w:pPr>
      <w:r>
        <w:rPr>
          <w:b/>
          <w:sz w:val="24"/>
          <w:szCs w:val="24"/>
        </w:rPr>
        <w:t>GSAR Sections Affected: 509.105, GSA Form 527</w:t>
      </w:r>
    </w:p>
    <w:p w:rsidR="00CA7453" w14:paraId="019F785F" w14:textId="77777777">
      <w:pPr>
        <w:pStyle w:val="Heading2"/>
        <w:keepNext w:val="0"/>
        <w:keepLines w:val="0"/>
        <w:spacing w:before="0" w:after="0" w:line="240" w:lineRule="auto"/>
        <w:rPr>
          <w:b/>
          <w:sz w:val="24"/>
          <w:szCs w:val="24"/>
        </w:rPr>
      </w:pPr>
      <w:bookmarkStart w:id="0" w:name="_gjdgxs" w:colFirst="0" w:colLast="0"/>
      <w:bookmarkEnd w:id="0"/>
      <w:r>
        <w:rPr>
          <w:b/>
          <w:sz w:val="24"/>
          <w:szCs w:val="24"/>
        </w:rPr>
        <w:t xml:space="preserve"> </w:t>
      </w:r>
    </w:p>
    <w:p w:rsidR="00CA7453" w14:paraId="5DD973FB" w14:textId="77777777">
      <w:pPr>
        <w:tabs>
          <w:tab w:val="left" w:pos="360"/>
        </w:tabs>
        <w:spacing w:line="240" w:lineRule="auto"/>
        <w:rPr>
          <w:b/>
          <w:sz w:val="24"/>
          <w:szCs w:val="24"/>
        </w:rPr>
      </w:pPr>
      <w:r>
        <w:rPr>
          <w:b/>
          <w:sz w:val="24"/>
          <w:szCs w:val="24"/>
        </w:rPr>
        <w:t>Overview of Information Collection</w:t>
      </w:r>
    </w:p>
    <w:p w:rsidR="00CA7453" w14:paraId="7A43491C" w14:textId="77777777">
      <w:pPr>
        <w:spacing w:line="240" w:lineRule="auto"/>
        <w:rPr>
          <w:b/>
          <w:sz w:val="24"/>
          <w:szCs w:val="24"/>
        </w:rPr>
      </w:pPr>
    </w:p>
    <w:p w:rsidR="00CA7453" w14:paraId="0258B62E" w14:textId="77777777">
      <w:pPr>
        <w:widowControl w:val="0"/>
        <w:tabs>
          <w:tab w:val="left" w:pos="820"/>
          <w:tab w:val="left" w:pos="821"/>
        </w:tabs>
        <w:spacing w:line="240" w:lineRule="auto"/>
        <w:ind w:right="195"/>
        <w:rPr>
          <w:sz w:val="24"/>
          <w:szCs w:val="24"/>
        </w:rPr>
      </w:pPr>
      <w:r>
        <w:rPr>
          <w:sz w:val="24"/>
          <w:szCs w:val="24"/>
        </w:rPr>
        <w:t xml:space="preserve">This is a request for approval of an extension to an existing information collection. </w:t>
      </w:r>
    </w:p>
    <w:p w:rsidR="00CA7453" w14:paraId="2051B1B1" w14:textId="77777777">
      <w:pPr>
        <w:spacing w:line="240" w:lineRule="auto"/>
        <w:rPr>
          <w:b/>
          <w:sz w:val="24"/>
          <w:szCs w:val="24"/>
        </w:rPr>
      </w:pPr>
    </w:p>
    <w:p w:rsidR="00CA7453" w14:paraId="791AA8DE" w14:textId="77777777">
      <w:pPr>
        <w:spacing w:line="240" w:lineRule="auto"/>
        <w:rPr>
          <w:sz w:val="24"/>
          <w:szCs w:val="24"/>
        </w:rPr>
      </w:pPr>
      <w:r>
        <w:rPr>
          <w:sz w:val="24"/>
          <w:szCs w:val="24"/>
        </w:rPr>
        <w:t xml:space="preserve">This information collection applies to General Services Administration (GSA) contracts requiring prospective contractors to submit additional financial information </w:t>
      </w:r>
      <w:r>
        <w:rPr>
          <w:sz w:val="24"/>
          <w:szCs w:val="24"/>
        </w:rPr>
        <w:t>in order for</w:t>
      </w:r>
      <w:r>
        <w:rPr>
          <w:sz w:val="24"/>
          <w:szCs w:val="24"/>
        </w:rPr>
        <w:t xml:space="preserve"> a contracting officer to make a determination that such prospective contractor is financially responsible for an award. </w:t>
      </w:r>
    </w:p>
    <w:p w:rsidR="00CA7453" w14:paraId="0ECD4E21" w14:textId="77777777">
      <w:pPr>
        <w:spacing w:line="240" w:lineRule="auto"/>
        <w:rPr>
          <w:sz w:val="24"/>
          <w:szCs w:val="24"/>
        </w:rPr>
      </w:pPr>
    </w:p>
    <w:p w:rsidR="00CA7453" w14:paraId="753AF6AA" w14:textId="77777777">
      <w:pPr>
        <w:spacing w:line="240" w:lineRule="auto"/>
        <w:rPr>
          <w:sz w:val="24"/>
          <w:szCs w:val="24"/>
        </w:rPr>
      </w:pPr>
      <w:r>
        <w:rPr>
          <w:sz w:val="24"/>
          <w:szCs w:val="24"/>
        </w:rPr>
        <w:t>The General Services Administration Acquisition Regulation (GSAR) sections and forms covered by this information collection include:</w:t>
      </w:r>
    </w:p>
    <w:p w:rsidR="00CA7453" w14:paraId="7215DE2D" w14:textId="77777777">
      <w:pPr>
        <w:numPr>
          <w:ilvl w:val="0"/>
          <w:numId w:val="3"/>
        </w:numPr>
        <w:spacing w:line="240" w:lineRule="auto"/>
        <w:rPr>
          <w:sz w:val="24"/>
          <w:szCs w:val="24"/>
        </w:rPr>
      </w:pPr>
      <w:r>
        <w:rPr>
          <w:sz w:val="24"/>
          <w:szCs w:val="24"/>
        </w:rPr>
        <w:t>509.105 Procedures</w:t>
      </w:r>
    </w:p>
    <w:p w:rsidR="00CA7453" w14:paraId="4BF95F74" w14:textId="77777777">
      <w:pPr>
        <w:numPr>
          <w:ilvl w:val="0"/>
          <w:numId w:val="3"/>
        </w:numPr>
        <w:spacing w:line="240" w:lineRule="auto"/>
        <w:rPr>
          <w:sz w:val="24"/>
          <w:szCs w:val="24"/>
        </w:rPr>
      </w:pPr>
      <w:r>
        <w:rPr>
          <w:sz w:val="24"/>
          <w:szCs w:val="24"/>
        </w:rPr>
        <w:t>GSA Form 527 Contractor's Qualifications and Financial Information</w:t>
      </w:r>
    </w:p>
    <w:p w:rsidR="00CA7453" w14:paraId="38CFCFC4" w14:textId="77777777">
      <w:pPr>
        <w:spacing w:line="240" w:lineRule="auto"/>
        <w:rPr>
          <w:sz w:val="24"/>
          <w:szCs w:val="24"/>
        </w:rPr>
      </w:pPr>
    </w:p>
    <w:p w:rsidR="00CA7453" w14:paraId="176257E4" w14:textId="77777777">
      <w:pPr>
        <w:spacing w:line="240" w:lineRule="auto"/>
        <w:rPr>
          <w:sz w:val="24"/>
          <w:szCs w:val="24"/>
        </w:rPr>
      </w:pPr>
      <w:r>
        <w:rPr>
          <w:sz w:val="24"/>
          <w:szCs w:val="24"/>
        </w:rPr>
        <w:t>The following are changes of importance that have occurred since the last extension approval:</w:t>
      </w:r>
    </w:p>
    <w:p w:rsidR="00CA7453" w14:paraId="32D27675" w14:textId="77777777">
      <w:pPr>
        <w:spacing w:line="240" w:lineRule="auto"/>
        <w:rPr>
          <w:sz w:val="24"/>
          <w:szCs w:val="24"/>
        </w:rPr>
      </w:pPr>
    </w:p>
    <w:p w:rsidR="00CA7453" w14:paraId="4F173BEC" w14:textId="77777777">
      <w:pPr>
        <w:numPr>
          <w:ilvl w:val="0"/>
          <w:numId w:val="2"/>
        </w:numPr>
        <w:spacing w:line="240" w:lineRule="auto"/>
        <w:rPr>
          <w:sz w:val="24"/>
          <w:szCs w:val="24"/>
        </w:rPr>
      </w:pPr>
      <w:r>
        <w:rPr>
          <w:sz w:val="24"/>
          <w:szCs w:val="24"/>
        </w:rPr>
        <w:t>The total estimated respondents per year decreased due to the widespread use of the option for prospective contractors to submit financial statements and balance sheets in lieu of completing the applicable fields on GSA Form 527. The total estimated respondents changed-</w:t>
      </w:r>
    </w:p>
    <w:p w:rsidR="00CA7453" w14:paraId="4962A945" w14:textId="77777777">
      <w:pPr>
        <w:numPr>
          <w:ilvl w:val="1"/>
          <w:numId w:val="2"/>
        </w:numPr>
        <w:spacing w:line="240" w:lineRule="auto"/>
        <w:rPr>
          <w:sz w:val="24"/>
          <w:szCs w:val="24"/>
        </w:rPr>
      </w:pPr>
      <w:r>
        <w:rPr>
          <w:sz w:val="24"/>
          <w:szCs w:val="24"/>
        </w:rPr>
        <w:t>From: 1,733</w:t>
      </w:r>
    </w:p>
    <w:p w:rsidR="00CA7453" w14:paraId="6904A26B" w14:textId="77777777">
      <w:pPr>
        <w:numPr>
          <w:ilvl w:val="1"/>
          <w:numId w:val="2"/>
        </w:numPr>
        <w:spacing w:line="240" w:lineRule="auto"/>
        <w:rPr>
          <w:sz w:val="24"/>
          <w:szCs w:val="24"/>
        </w:rPr>
      </w:pPr>
      <w:r>
        <w:rPr>
          <w:sz w:val="24"/>
          <w:szCs w:val="24"/>
        </w:rPr>
        <w:t>To: 868</w:t>
      </w:r>
    </w:p>
    <w:p w:rsidR="00CA7453" w14:paraId="71D7C15A" w14:textId="77777777">
      <w:pPr>
        <w:spacing w:line="240" w:lineRule="auto"/>
        <w:ind w:left="1440"/>
        <w:rPr>
          <w:sz w:val="24"/>
          <w:szCs w:val="24"/>
        </w:rPr>
      </w:pPr>
    </w:p>
    <w:p w:rsidR="00CA7453" w14:paraId="7D219BC4" w14:textId="77777777">
      <w:pPr>
        <w:numPr>
          <w:ilvl w:val="0"/>
          <w:numId w:val="2"/>
        </w:numPr>
        <w:spacing w:line="240" w:lineRule="auto"/>
        <w:rPr>
          <w:sz w:val="24"/>
          <w:szCs w:val="24"/>
        </w:rPr>
      </w:pPr>
      <w:r>
        <w:rPr>
          <w:sz w:val="24"/>
          <w:szCs w:val="24"/>
        </w:rPr>
        <w:t>The total estimated annual public cost burden decreased due to the widespread use of the option for prospective contractors to submit financial statements and balance sheets in lieu of completing the applicable fields on GSA Form 527 and the use of updated data. The total estimated annual public cost burden changed-</w:t>
      </w:r>
    </w:p>
    <w:p w:rsidR="00CA7453" w14:paraId="0D61BAFF" w14:textId="77777777">
      <w:pPr>
        <w:numPr>
          <w:ilvl w:val="1"/>
          <w:numId w:val="2"/>
        </w:numPr>
        <w:spacing w:line="240" w:lineRule="auto"/>
        <w:rPr>
          <w:sz w:val="24"/>
          <w:szCs w:val="24"/>
        </w:rPr>
      </w:pPr>
      <w:r>
        <w:rPr>
          <w:sz w:val="24"/>
          <w:szCs w:val="24"/>
        </w:rPr>
        <w:t>From: $81,400</w:t>
      </w:r>
    </w:p>
    <w:p w:rsidR="00CA7453" w14:paraId="794F87CC" w14:textId="77777777">
      <w:pPr>
        <w:numPr>
          <w:ilvl w:val="1"/>
          <w:numId w:val="2"/>
        </w:numPr>
        <w:spacing w:line="240" w:lineRule="auto"/>
        <w:rPr>
          <w:sz w:val="24"/>
          <w:szCs w:val="24"/>
        </w:rPr>
      </w:pPr>
      <w:r>
        <w:rPr>
          <w:sz w:val="24"/>
          <w:szCs w:val="24"/>
        </w:rPr>
        <w:t>To: $45,756</w:t>
      </w:r>
    </w:p>
    <w:p w:rsidR="00CA7453" w14:paraId="7B19A207" w14:textId="77777777">
      <w:pPr>
        <w:spacing w:line="240" w:lineRule="auto"/>
        <w:ind w:left="1440"/>
        <w:rPr>
          <w:sz w:val="24"/>
          <w:szCs w:val="24"/>
        </w:rPr>
      </w:pPr>
    </w:p>
    <w:p w:rsidR="00CA7453" w14:paraId="2169EFBD" w14:textId="77777777">
      <w:pPr>
        <w:numPr>
          <w:ilvl w:val="0"/>
          <w:numId w:val="2"/>
        </w:numPr>
        <w:spacing w:line="240" w:lineRule="auto"/>
        <w:rPr>
          <w:sz w:val="24"/>
          <w:szCs w:val="24"/>
        </w:rPr>
      </w:pPr>
      <w:r>
        <w:rPr>
          <w:sz w:val="24"/>
          <w:szCs w:val="24"/>
        </w:rPr>
        <w:t>The total estimated annual cost burden to the Government decreased due to the widespread use of the option for prospective contractors to submit financial statements and balance sheets in lieu of completing the applicable fields on GSA Form 527 and the use of updated data. The total estimated annual cost to the Government changed-</w:t>
      </w:r>
    </w:p>
    <w:p w:rsidR="00CA7453" w14:paraId="781EEF9C" w14:textId="77777777">
      <w:pPr>
        <w:numPr>
          <w:ilvl w:val="1"/>
          <w:numId w:val="2"/>
        </w:numPr>
        <w:spacing w:line="240" w:lineRule="auto"/>
        <w:rPr>
          <w:sz w:val="24"/>
          <w:szCs w:val="24"/>
        </w:rPr>
      </w:pPr>
      <w:r>
        <w:rPr>
          <w:sz w:val="24"/>
          <w:szCs w:val="24"/>
        </w:rPr>
        <w:t>From:$</w:t>
      </w:r>
      <w:r>
        <w:rPr>
          <w:sz w:val="24"/>
          <w:szCs w:val="24"/>
        </w:rPr>
        <w:t>178,870</w:t>
      </w:r>
    </w:p>
    <w:p w:rsidR="00CA7453" w14:paraId="55DB3E97" w14:textId="77777777">
      <w:pPr>
        <w:numPr>
          <w:ilvl w:val="1"/>
          <w:numId w:val="2"/>
        </w:numPr>
        <w:spacing w:line="240" w:lineRule="auto"/>
        <w:rPr>
          <w:sz w:val="24"/>
          <w:szCs w:val="24"/>
        </w:rPr>
      </w:pPr>
      <w:r>
        <w:rPr>
          <w:sz w:val="24"/>
          <w:szCs w:val="24"/>
        </w:rPr>
        <w:t>To: $100,563</w:t>
      </w:r>
    </w:p>
    <w:p w:rsidR="00CA7453" w14:paraId="56FCF7B4" w14:textId="77777777">
      <w:pPr>
        <w:spacing w:line="240" w:lineRule="auto"/>
        <w:rPr>
          <w:b/>
          <w:sz w:val="24"/>
          <w:szCs w:val="24"/>
        </w:rPr>
      </w:pPr>
    </w:p>
    <w:p w:rsidR="00CA7453" w14:paraId="41B78DDB" w14:textId="77777777">
      <w:pPr>
        <w:widowControl w:val="0"/>
        <w:tabs>
          <w:tab w:val="left" w:pos="657"/>
        </w:tabs>
        <w:spacing w:line="240" w:lineRule="auto"/>
        <w:rPr>
          <w:b/>
          <w:sz w:val="24"/>
          <w:szCs w:val="24"/>
          <w:u w:val="single"/>
        </w:rPr>
      </w:pPr>
      <w:r>
        <w:rPr>
          <w:b/>
          <w:sz w:val="24"/>
          <w:szCs w:val="24"/>
          <w:u w:val="single"/>
        </w:rPr>
        <w:t>1. Need and Method for the Information Collection.</w:t>
      </w:r>
    </w:p>
    <w:p w:rsidR="00CA7453" w14:paraId="39C9DFC1" w14:textId="77777777">
      <w:pPr>
        <w:spacing w:line="240" w:lineRule="auto"/>
        <w:rPr>
          <w:sz w:val="24"/>
          <w:szCs w:val="24"/>
        </w:rPr>
      </w:pPr>
    </w:p>
    <w:p w:rsidR="00CA7453" w14:paraId="1099B6BF" w14:textId="77777777">
      <w:pPr>
        <w:spacing w:line="240" w:lineRule="auto"/>
        <w:rPr>
          <w:sz w:val="24"/>
          <w:szCs w:val="24"/>
        </w:rPr>
      </w:pPr>
      <w:r>
        <w:rPr>
          <w:sz w:val="24"/>
          <w:szCs w:val="24"/>
        </w:rPr>
        <w:t xml:space="preserve">In accordance with Part 9 of the Federal Acquisition Regulation (FAR), Contracting Officers (COs), as good stewards of taxpayers’ dollars, must determine if a prospective contractor is financially responsible through the review and examination of documentation that demonstrates that the prospective contractor’s resources </w:t>
      </w:r>
      <w:r>
        <w:rPr>
          <w:sz w:val="24"/>
          <w:szCs w:val="24"/>
        </w:rPr>
        <w:t>are capable of meeting</w:t>
      </w:r>
      <w:r>
        <w:rPr>
          <w:sz w:val="24"/>
          <w:szCs w:val="24"/>
        </w:rPr>
        <w:t xml:space="preserve"> the needs outlined in the procurement. </w:t>
      </w:r>
    </w:p>
    <w:p w:rsidR="00CA7453" w14:paraId="740489BC" w14:textId="77777777">
      <w:pPr>
        <w:spacing w:line="240" w:lineRule="auto"/>
        <w:rPr>
          <w:sz w:val="24"/>
          <w:szCs w:val="24"/>
        </w:rPr>
      </w:pPr>
    </w:p>
    <w:p w:rsidR="00CA7453" w14:paraId="6D24F505" w14:textId="77777777">
      <w:pPr>
        <w:spacing w:line="240" w:lineRule="auto"/>
        <w:rPr>
          <w:sz w:val="24"/>
          <w:szCs w:val="24"/>
        </w:rPr>
      </w:pPr>
      <w:r>
        <w:rPr>
          <w:sz w:val="24"/>
          <w:szCs w:val="24"/>
        </w:rPr>
        <w:t xml:space="preserve">The information can be obtained by the CO through pre-award surveys, through audit reports, suppliers, subcontractors, customers of the prospective contractor, financial institutions, information available through Federal Awardee Performance and Integrity Information System (FAPIIS) such as information on the offeror and any immediate owner, predecessor, or subsidiary identified for that offeror in FAPIIS, including information that is linked to FAPIIS such as from System for Award Management (SAM), and Contractor Performance Assessment Reporting System (CPARS), as well as any other relevant and other verifiable information. </w:t>
      </w:r>
    </w:p>
    <w:p w:rsidR="00CA7453" w14:paraId="3DD8A73E" w14:textId="77777777">
      <w:pPr>
        <w:spacing w:line="240" w:lineRule="auto"/>
        <w:rPr>
          <w:sz w:val="24"/>
          <w:szCs w:val="24"/>
        </w:rPr>
      </w:pPr>
    </w:p>
    <w:p w:rsidR="00CA7453" w14:paraId="3B94DB0D" w14:textId="77777777">
      <w:pPr>
        <w:spacing w:line="240" w:lineRule="auto"/>
        <w:rPr>
          <w:sz w:val="24"/>
          <w:szCs w:val="24"/>
        </w:rPr>
      </w:pPr>
      <w:r>
        <w:rPr>
          <w:sz w:val="24"/>
          <w:szCs w:val="24"/>
        </w:rPr>
        <w:t>Although there are many systems and methods of collecting the data, there are times when the information collected does not provide sufficient information for the CO to determine if the potential contractor is responsible. In these incidents the COs will request that the prospective contractor complete the GSA Form 527.</w:t>
      </w:r>
    </w:p>
    <w:p w:rsidR="00CA7453" w14:paraId="58A46048" w14:textId="77777777">
      <w:pPr>
        <w:spacing w:line="240" w:lineRule="auto"/>
        <w:rPr>
          <w:sz w:val="24"/>
          <w:szCs w:val="24"/>
        </w:rPr>
      </w:pPr>
    </w:p>
    <w:p w:rsidR="00CA7453" w14:paraId="350E8CD6" w14:textId="77777777">
      <w:pPr>
        <w:spacing w:line="240" w:lineRule="auto"/>
        <w:rPr>
          <w:sz w:val="24"/>
          <w:szCs w:val="24"/>
        </w:rPr>
      </w:pPr>
      <w:r>
        <w:rPr>
          <w:sz w:val="24"/>
          <w:szCs w:val="24"/>
        </w:rPr>
        <w:t>After the CO has determined that there is a need for the prospective contractor to complete the GSA Form 527, an email request to the prospective contractor requesting the completion of the form is transmitted through the Office of Administrative Services (OAS). The form, once completed by the prospective contractor, is returned to OAS personnel for analysis, in accordance with industry guidelines and the provisions of the proposed contract.</w:t>
      </w:r>
    </w:p>
    <w:p w:rsidR="00CA7453" w14:paraId="0A3DD00D" w14:textId="77777777">
      <w:pPr>
        <w:spacing w:line="240" w:lineRule="auto"/>
        <w:rPr>
          <w:sz w:val="24"/>
          <w:szCs w:val="24"/>
        </w:rPr>
      </w:pPr>
    </w:p>
    <w:p w:rsidR="00CA7453" w14:paraId="00634231" w14:textId="77777777">
      <w:pPr>
        <w:widowControl w:val="0"/>
        <w:tabs>
          <w:tab w:val="left" w:pos="657"/>
        </w:tabs>
        <w:spacing w:line="240" w:lineRule="auto"/>
        <w:rPr>
          <w:sz w:val="24"/>
          <w:szCs w:val="24"/>
        </w:rPr>
      </w:pPr>
      <w:r>
        <w:rPr>
          <w:sz w:val="24"/>
          <w:szCs w:val="24"/>
        </w:rPr>
        <w:t>The information collected is submitted electronically (to the maximum extent possible).</w:t>
      </w:r>
    </w:p>
    <w:p w:rsidR="00CA7453" w14:paraId="7AEEFF81" w14:textId="77777777">
      <w:pPr>
        <w:spacing w:line="240" w:lineRule="auto"/>
        <w:rPr>
          <w:sz w:val="24"/>
          <w:szCs w:val="24"/>
        </w:rPr>
      </w:pPr>
    </w:p>
    <w:p w:rsidR="00CA7453" w14:paraId="3DCCF06D" w14:textId="77777777">
      <w:pPr>
        <w:widowControl w:val="0"/>
        <w:tabs>
          <w:tab w:val="left" w:pos="657"/>
        </w:tabs>
        <w:spacing w:line="240" w:lineRule="auto"/>
        <w:rPr>
          <w:sz w:val="24"/>
          <w:szCs w:val="24"/>
        </w:rPr>
      </w:pPr>
      <w:r>
        <w:rPr>
          <w:sz w:val="24"/>
          <w:szCs w:val="24"/>
        </w:rPr>
        <w:t xml:space="preserve">See Item 6 below for the consequences if the information collection is not conducted or conducted less frequently.   </w:t>
      </w:r>
    </w:p>
    <w:p w:rsidR="00CA7453" w14:paraId="7A30517F" w14:textId="77777777">
      <w:pPr>
        <w:spacing w:line="240" w:lineRule="auto"/>
        <w:rPr>
          <w:b/>
          <w:sz w:val="24"/>
          <w:szCs w:val="24"/>
        </w:rPr>
      </w:pPr>
    </w:p>
    <w:p w:rsidR="00CA7453" w14:paraId="2AB3756A" w14:textId="77777777">
      <w:pPr>
        <w:widowControl w:val="0"/>
        <w:tabs>
          <w:tab w:val="left" w:pos="657"/>
        </w:tabs>
        <w:spacing w:line="240" w:lineRule="auto"/>
        <w:rPr>
          <w:b/>
          <w:sz w:val="24"/>
          <w:szCs w:val="24"/>
          <w:u w:val="single"/>
        </w:rPr>
      </w:pPr>
      <w:r>
        <w:rPr>
          <w:b/>
          <w:sz w:val="24"/>
          <w:szCs w:val="24"/>
          <w:u w:val="single"/>
        </w:rPr>
        <w:t>2. Use of the Information.</w:t>
      </w:r>
    </w:p>
    <w:p w:rsidR="00CA7453" w14:paraId="41AC3C26" w14:textId="77777777">
      <w:pPr>
        <w:widowControl w:val="0"/>
        <w:tabs>
          <w:tab w:val="left" w:pos="657"/>
        </w:tabs>
        <w:spacing w:line="240" w:lineRule="auto"/>
        <w:rPr>
          <w:sz w:val="24"/>
          <w:szCs w:val="24"/>
        </w:rPr>
      </w:pPr>
    </w:p>
    <w:p w:rsidR="00CA7453" w14:paraId="078C5314" w14:textId="77777777">
      <w:pPr>
        <w:widowControl w:val="0"/>
        <w:tabs>
          <w:tab w:val="left" w:pos="657"/>
        </w:tabs>
        <w:spacing w:line="240" w:lineRule="auto"/>
        <w:rPr>
          <w:sz w:val="24"/>
          <w:szCs w:val="24"/>
        </w:rPr>
      </w:pPr>
      <w:r>
        <w:rPr>
          <w:sz w:val="24"/>
          <w:szCs w:val="24"/>
        </w:rPr>
        <w:t>GSA will use this information to verify that the contractor is or is not financially responsible to receive a potential award.</w:t>
      </w:r>
    </w:p>
    <w:p w:rsidR="00CA7453" w14:paraId="2D5BCE81" w14:textId="77777777">
      <w:pPr>
        <w:widowControl w:val="0"/>
        <w:tabs>
          <w:tab w:val="left" w:pos="657"/>
        </w:tabs>
        <w:spacing w:line="240" w:lineRule="auto"/>
        <w:rPr>
          <w:sz w:val="24"/>
          <w:szCs w:val="24"/>
        </w:rPr>
      </w:pPr>
    </w:p>
    <w:p w:rsidR="00CA7453" w14:paraId="360DF318" w14:textId="77777777">
      <w:pPr>
        <w:widowControl w:val="0"/>
        <w:tabs>
          <w:tab w:val="left" w:pos="657"/>
        </w:tabs>
        <w:spacing w:line="240" w:lineRule="auto"/>
        <w:rPr>
          <w:b/>
          <w:sz w:val="24"/>
          <w:szCs w:val="24"/>
          <w:u w:val="single"/>
        </w:rPr>
      </w:pPr>
      <w:r>
        <w:rPr>
          <w:b/>
          <w:sz w:val="24"/>
          <w:szCs w:val="24"/>
          <w:u w:val="single"/>
        </w:rPr>
        <w:t>3. Use of Information Technology.</w:t>
      </w:r>
    </w:p>
    <w:p w:rsidR="00CA7453" w14:paraId="5033BD74" w14:textId="77777777">
      <w:pPr>
        <w:widowControl w:val="0"/>
        <w:tabs>
          <w:tab w:val="left" w:pos="657"/>
        </w:tabs>
        <w:spacing w:line="240" w:lineRule="auto"/>
        <w:rPr>
          <w:sz w:val="24"/>
          <w:szCs w:val="24"/>
        </w:rPr>
      </w:pPr>
    </w:p>
    <w:p w:rsidR="00CA7453" w14:paraId="6BF7EDE5" w14:textId="77777777">
      <w:pPr>
        <w:tabs>
          <w:tab w:val="left" w:pos="90"/>
        </w:tabs>
        <w:spacing w:line="240" w:lineRule="auto"/>
        <w:rPr>
          <w:sz w:val="24"/>
          <w:szCs w:val="24"/>
        </w:rPr>
      </w:pPr>
      <w:r>
        <w:rPr>
          <w:sz w:val="24"/>
          <w:szCs w:val="24"/>
        </w:rPr>
        <w:t xml:space="preserve">GSA continues to improve and expand the use of information technology to the maximum extent practicable. Where both the Government and the contractor are capable of electronic interchange, these information collection requirements may be submitted electronically. </w:t>
      </w:r>
    </w:p>
    <w:p w:rsidR="00CA7453" w14:paraId="216E5378" w14:textId="77777777">
      <w:pPr>
        <w:tabs>
          <w:tab w:val="left" w:pos="90"/>
        </w:tabs>
        <w:spacing w:line="240" w:lineRule="auto"/>
        <w:rPr>
          <w:sz w:val="24"/>
          <w:szCs w:val="24"/>
        </w:rPr>
      </w:pPr>
    </w:p>
    <w:p w:rsidR="00CA7453" w14:paraId="2084DE04" w14:textId="77777777">
      <w:pPr>
        <w:widowControl w:val="0"/>
        <w:tabs>
          <w:tab w:val="left" w:pos="657"/>
        </w:tabs>
        <w:spacing w:line="240" w:lineRule="auto"/>
        <w:rPr>
          <w:b/>
          <w:sz w:val="24"/>
          <w:szCs w:val="24"/>
          <w:u w:val="single"/>
        </w:rPr>
      </w:pPr>
      <w:r>
        <w:rPr>
          <w:b/>
          <w:sz w:val="24"/>
          <w:szCs w:val="24"/>
          <w:u w:val="single"/>
        </w:rPr>
        <w:t>4. Non-Duplication.</w:t>
      </w:r>
    </w:p>
    <w:p w:rsidR="00CA7453" w14:paraId="2445F481" w14:textId="77777777">
      <w:pPr>
        <w:tabs>
          <w:tab w:val="left" w:pos="90"/>
        </w:tabs>
        <w:spacing w:line="240" w:lineRule="auto"/>
        <w:rPr>
          <w:sz w:val="24"/>
          <w:szCs w:val="24"/>
        </w:rPr>
      </w:pPr>
    </w:p>
    <w:p w:rsidR="00CA7453" w14:paraId="2AC1C36B" w14:textId="77777777">
      <w:pPr>
        <w:spacing w:line="240" w:lineRule="auto"/>
        <w:rPr>
          <w:sz w:val="24"/>
          <w:szCs w:val="24"/>
        </w:rPr>
      </w:pPr>
      <w:r>
        <w:rPr>
          <w:sz w:val="24"/>
          <w:szCs w:val="24"/>
        </w:rPr>
        <w:t>GSA has compared the Form 527 with Standard Forms 1403, 1404, 1405, 1406, 1407, and 1408 and found that there is some duplication between GSA Form 527 and SF 1407-</w:t>
      </w:r>
      <w:r>
        <w:rPr>
          <w:i/>
          <w:sz w:val="24"/>
          <w:szCs w:val="24"/>
        </w:rPr>
        <w:t>Preaward Survey of Prospective Contractor Financial Capability</w:t>
      </w:r>
      <w:r>
        <w:rPr>
          <w:sz w:val="24"/>
          <w:szCs w:val="24"/>
        </w:rPr>
        <w:t xml:space="preserve">; however, the details required in the forms are substantially different.  </w:t>
      </w:r>
    </w:p>
    <w:p w:rsidR="00CA7453" w14:paraId="6672AF71" w14:textId="77777777">
      <w:pPr>
        <w:spacing w:line="240" w:lineRule="auto"/>
        <w:rPr>
          <w:sz w:val="24"/>
          <w:szCs w:val="24"/>
        </w:rPr>
      </w:pPr>
      <w:r>
        <w:rPr>
          <w:sz w:val="24"/>
          <w:szCs w:val="24"/>
        </w:rPr>
        <w:t xml:space="preserve"> </w:t>
      </w:r>
    </w:p>
    <w:p w:rsidR="00CA7453" w14:paraId="58C17E81" w14:textId="77777777">
      <w:pPr>
        <w:spacing w:line="240" w:lineRule="auto"/>
        <w:rPr>
          <w:sz w:val="24"/>
          <w:szCs w:val="24"/>
        </w:rPr>
      </w:pPr>
      <w:r>
        <w:rPr>
          <w:sz w:val="24"/>
          <w:szCs w:val="24"/>
        </w:rPr>
        <w:t>GSA’s Form 527 is a request for detailed financial information and other relevant facts regarding the prospective contractor’s operation, including ownership of the prospective contractor and banking data of the prospective contractor and supply chains and past projects of the prospective contractor. The information provided and certified by the prospective contractor in Form 527, allows OAS personnel to perform an in-depth analysis of the prospective contractor’s financial position and gives the CO visibility into limited supply chain data and past project data of the prospective contractor. SF 1407 is instead a summary of the OAS personnel’s findings at the end of research, analysis, and interpretation of the prospective contractor’s financial data for the CO to use, in conjunction with, the OAS personnel’s opinion, to determine the financial responsibility of the prospective contractor. In contrast, GSA Form 527 also provides data which allows the CO to make responsibility decisions beyond merely financial responsibility.</w:t>
      </w:r>
    </w:p>
    <w:p w:rsidR="00CA7453" w14:paraId="121F0FC1" w14:textId="77777777">
      <w:pPr>
        <w:spacing w:line="240" w:lineRule="auto"/>
        <w:rPr>
          <w:sz w:val="24"/>
          <w:szCs w:val="24"/>
        </w:rPr>
      </w:pPr>
    </w:p>
    <w:p w:rsidR="00CA7453" w14:paraId="4CAC2060" w14:textId="77777777">
      <w:pPr>
        <w:widowControl w:val="0"/>
        <w:tabs>
          <w:tab w:val="left" w:pos="657"/>
        </w:tabs>
        <w:spacing w:line="240" w:lineRule="auto"/>
        <w:rPr>
          <w:b/>
          <w:sz w:val="24"/>
          <w:szCs w:val="24"/>
          <w:u w:val="single"/>
        </w:rPr>
      </w:pPr>
      <w:r>
        <w:rPr>
          <w:b/>
          <w:sz w:val="24"/>
          <w:szCs w:val="24"/>
          <w:u w:val="single"/>
        </w:rPr>
        <w:t>5. Burden on Small Business.</w:t>
      </w:r>
    </w:p>
    <w:p w:rsidR="00CA7453" w14:paraId="0262E4BC" w14:textId="77777777">
      <w:pPr>
        <w:widowControl w:val="0"/>
        <w:tabs>
          <w:tab w:val="left" w:pos="657"/>
        </w:tabs>
        <w:spacing w:line="240" w:lineRule="auto"/>
        <w:rPr>
          <w:sz w:val="24"/>
          <w:szCs w:val="24"/>
        </w:rPr>
      </w:pPr>
    </w:p>
    <w:p w:rsidR="00CA7453" w14:paraId="26EDBC51" w14:textId="77777777">
      <w:pPr>
        <w:widowControl w:val="0"/>
        <w:tabs>
          <w:tab w:val="left" w:pos="657"/>
        </w:tabs>
        <w:spacing w:line="240" w:lineRule="auto"/>
        <w:rPr>
          <w:sz w:val="24"/>
          <w:szCs w:val="24"/>
        </w:rPr>
      </w:pPr>
      <w:r>
        <w:rPr>
          <w:sz w:val="24"/>
          <w:szCs w:val="24"/>
        </w:rPr>
        <w:t>The collections associated with small businesses are the minimum consistent with applicable laws, executive orders, and prudent business practices. The information on financial data will be collected, as needed, from both small and other than small businesses. The nature of the reporting requirements precludes reducing the information collection burden for small businesses.</w:t>
      </w:r>
    </w:p>
    <w:p w:rsidR="00CA7453" w14:paraId="095E35DD" w14:textId="77777777">
      <w:pPr>
        <w:widowControl w:val="0"/>
        <w:tabs>
          <w:tab w:val="left" w:pos="657"/>
        </w:tabs>
        <w:spacing w:line="240" w:lineRule="auto"/>
        <w:rPr>
          <w:sz w:val="24"/>
          <w:szCs w:val="24"/>
        </w:rPr>
      </w:pPr>
    </w:p>
    <w:p w:rsidR="00CA7453" w14:paraId="7E451FDF" w14:textId="77777777">
      <w:pPr>
        <w:widowControl w:val="0"/>
        <w:tabs>
          <w:tab w:val="left" w:pos="657"/>
        </w:tabs>
        <w:spacing w:line="240" w:lineRule="auto"/>
        <w:rPr>
          <w:b/>
          <w:sz w:val="24"/>
          <w:szCs w:val="24"/>
          <w:u w:val="single"/>
        </w:rPr>
      </w:pPr>
      <w:r>
        <w:rPr>
          <w:b/>
          <w:sz w:val="24"/>
          <w:szCs w:val="24"/>
          <w:u w:val="single"/>
        </w:rPr>
        <w:t>6. Less Frequent Collection.</w:t>
      </w:r>
    </w:p>
    <w:p w:rsidR="00CA7453" w14:paraId="3CE49DE1" w14:textId="77777777">
      <w:pPr>
        <w:widowControl w:val="0"/>
        <w:tabs>
          <w:tab w:val="left" w:pos="657"/>
        </w:tabs>
        <w:spacing w:line="240" w:lineRule="auto"/>
        <w:rPr>
          <w:sz w:val="24"/>
          <w:szCs w:val="24"/>
        </w:rPr>
      </w:pPr>
    </w:p>
    <w:p w:rsidR="00CA7453" w14:paraId="2989A1EC" w14:textId="77777777">
      <w:pPr>
        <w:spacing w:line="240" w:lineRule="auto"/>
        <w:rPr>
          <w:sz w:val="24"/>
          <w:szCs w:val="24"/>
        </w:rPr>
      </w:pPr>
      <w:r>
        <w:rPr>
          <w:sz w:val="24"/>
          <w:szCs w:val="24"/>
        </w:rPr>
        <w:t xml:space="preserve">One consequence of not collecting the financial data from the prospective contractor is that sufficient data may not be available from other sources to find an otherwise viable entity financially responsible, and the reliance on non-verified external sources alone may result in the award of a contract to a non-responsible contractor. It is important to remember that this form is permitted to be used by a CO only when all other sources of information have already been exhausted and are not sufficient to </w:t>
      </w:r>
      <w:r>
        <w:rPr>
          <w:sz w:val="24"/>
          <w:szCs w:val="24"/>
        </w:rPr>
        <w:t>make a determination</w:t>
      </w:r>
      <w:r>
        <w:rPr>
          <w:sz w:val="24"/>
          <w:szCs w:val="24"/>
        </w:rPr>
        <w:t xml:space="preserve"> of responsibility (or not responsible). Non-responsible contractors are more likely to default on the contract resulting in excess </w:t>
      </w:r>
      <w:r>
        <w:rPr>
          <w:sz w:val="24"/>
          <w:szCs w:val="24"/>
        </w:rPr>
        <w:t>reprocurement</w:t>
      </w:r>
      <w:r>
        <w:rPr>
          <w:sz w:val="24"/>
          <w:szCs w:val="24"/>
        </w:rPr>
        <w:t xml:space="preserve"> costs.</w:t>
      </w:r>
    </w:p>
    <w:p w:rsidR="00CA7453" w14:paraId="2015A4C4" w14:textId="77777777">
      <w:pPr>
        <w:spacing w:line="240" w:lineRule="auto"/>
        <w:rPr>
          <w:sz w:val="24"/>
          <w:szCs w:val="24"/>
        </w:rPr>
      </w:pPr>
      <w:r>
        <w:rPr>
          <w:sz w:val="24"/>
          <w:szCs w:val="24"/>
        </w:rPr>
        <w:t xml:space="preserve"> </w:t>
      </w:r>
    </w:p>
    <w:p w:rsidR="00CA7453" w14:paraId="795EB85C" w14:textId="77777777">
      <w:pPr>
        <w:spacing w:line="240" w:lineRule="auto"/>
        <w:rPr>
          <w:sz w:val="24"/>
          <w:szCs w:val="24"/>
        </w:rPr>
      </w:pPr>
      <w:r>
        <w:rPr>
          <w:sz w:val="24"/>
          <w:szCs w:val="24"/>
        </w:rPr>
        <w:t xml:space="preserve">Another consequence is that the CO would not </w:t>
      </w:r>
      <w:r>
        <w:rPr>
          <w:sz w:val="24"/>
          <w:szCs w:val="24"/>
        </w:rPr>
        <w:t>be in compliance with</w:t>
      </w:r>
      <w:r>
        <w:rPr>
          <w:sz w:val="24"/>
          <w:szCs w:val="24"/>
        </w:rPr>
        <w:t xml:space="preserve"> the FAR or GSAR regulations and policies which may increase the agency’s risk of having protests sustained or having to pay claims that would otherwise be avoidable. </w:t>
      </w:r>
    </w:p>
    <w:p w:rsidR="00CA7453" w14:paraId="41D3945D" w14:textId="77777777">
      <w:pPr>
        <w:spacing w:line="240" w:lineRule="auto"/>
        <w:rPr>
          <w:sz w:val="24"/>
          <w:szCs w:val="24"/>
        </w:rPr>
      </w:pPr>
    </w:p>
    <w:p w:rsidR="00CA7453" w14:paraId="6CEF7FD6" w14:textId="77777777">
      <w:pPr>
        <w:widowControl w:val="0"/>
        <w:tabs>
          <w:tab w:val="left" w:pos="657"/>
        </w:tabs>
        <w:spacing w:line="240" w:lineRule="auto"/>
        <w:rPr>
          <w:b/>
          <w:sz w:val="24"/>
          <w:szCs w:val="24"/>
          <w:u w:val="single"/>
        </w:rPr>
      </w:pPr>
      <w:r>
        <w:rPr>
          <w:b/>
          <w:sz w:val="24"/>
          <w:szCs w:val="24"/>
          <w:u w:val="single"/>
        </w:rPr>
        <w:t>7. Paperwork Reduction Act Guidelines.</w:t>
      </w:r>
    </w:p>
    <w:p w:rsidR="00CA7453" w14:paraId="3B081C98" w14:textId="77777777">
      <w:pPr>
        <w:widowControl w:val="0"/>
        <w:tabs>
          <w:tab w:val="left" w:pos="657"/>
        </w:tabs>
        <w:spacing w:line="240" w:lineRule="auto"/>
        <w:rPr>
          <w:sz w:val="24"/>
          <w:szCs w:val="24"/>
        </w:rPr>
      </w:pPr>
    </w:p>
    <w:p w:rsidR="00CA7453" w14:paraId="413DC3C4" w14:textId="77777777">
      <w:pPr>
        <w:widowControl w:val="0"/>
        <w:tabs>
          <w:tab w:val="left" w:pos="657"/>
        </w:tabs>
        <w:spacing w:line="240" w:lineRule="auto"/>
        <w:rPr>
          <w:sz w:val="24"/>
          <w:szCs w:val="24"/>
        </w:rPr>
      </w:pPr>
      <w:r>
        <w:rPr>
          <w:sz w:val="24"/>
          <w:szCs w:val="24"/>
        </w:rPr>
        <w:t>Not applicable, no special circumstances exist for this information collection.</w:t>
      </w:r>
    </w:p>
    <w:p w:rsidR="00CA7453" w14:paraId="798C1A27" w14:textId="77777777">
      <w:pPr>
        <w:widowControl w:val="0"/>
        <w:tabs>
          <w:tab w:val="left" w:pos="657"/>
        </w:tabs>
        <w:spacing w:line="240" w:lineRule="auto"/>
        <w:rPr>
          <w:sz w:val="24"/>
          <w:szCs w:val="24"/>
        </w:rPr>
      </w:pPr>
    </w:p>
    <w:p w:rsidR="00CA7453" w14:paraId="0ED45636" w14:textId="77777777">
      <w:pPr>
        <w:widowControl w:val="0"/>
        <w:tabs>
          <w:tab w:val="left" w:pos="657"/>
        </w:tabs>
        <w:spacing w:line="240" w:lineRule="auto"/>
        <w:rPr>
          <w:b/>
          <w:sz w:val="24"/>
          <w:szCs w:val="24"/>
          <w:u w:val="single"/>
        </w:rPr>
      </w:pPr>
      <w:r>
        <w:rPr>
          <w:b/>
          <w:sz w:val="24"/>
          <w:szCs w:val="24"/>
          <w:u w:val="single"/>
        </w:rPr>
        <w:t>8. Consultation and Public Comments.</w:t>
      </w:r>
    </w:p>
    <w:p w:rsidR="00CA7453" w14:paraId="02FC1BD4" w14:textId="77777777">
      <w:pPr>
        <w:widowControl w:val="0"/>
        <w:tabs>
          <w:tab w:val="left" w:pos="657"/>
        </w:tabs>
        <w:spacing w:line="240" w:lineRule="auto"/>
        <w:rPr>
          <w:sz w:val="24"/>
          <w:szCs w:val="24"/>
        </w:rPr>
      </w:pPr>
    </w:p>
    <w:p w:rsidR="00EA5C41" w:rsidRPr="00EA5C41" w:rsidP="00EA5C41" w14:paraId="6D07C396" w14:textId="3420D56E">
      <w:pPr>
        <w:widowControl w:val="0"/>
        <w:tabs>
          <w:tab w:val="left" w:pos="657"/>
        </w:tabs>
        <w:spacing w:line="240" w:lineRule="auto"/>
        <w:rPr>
          <w:sz w:val="24"/>
          <w:szCs w:val="24"/>
          <w:lang w:val="en-US"/>
        </w:rPr>
      </w:pPr>
      <w:r w:rsidRPr="00EA5C41">
        <w:rPr>
          <w:sz w:val="24"/>
          <w:szCs w:val="24"/>
          <w:lang w:val="en-US"/>
        </w:rPr>
        <w:t xml:space="preserve">A 60-day notice published in the </w:t>
      </w:r>
      <w:r w:rsidRPr="00EA5C41">
        <w:rPr>
          <w:i/>
          <w:iCs/>
          <w:sz w:val="24"/>
          <w:szCs w:val="24"/>
          <w:lang w:val="en-US"/>
        </w:rPr>
        <w:t>Federal Register</w:t>
      </w:r>
      <w:r w:rsidRPr="00EA5C41">
        <w:rPr>
          <w:sz w:val="24"/>
          <w:szCs w:val="24"/>
          <w:lang w:val="en-US"/>
        </w:rPr>
        <w:t xml:space="preserve"> at</w:t>
      </w:r>
      <w:r>
        <w:rPr>
          <w:sz w:val="24"/>
          <w:szCs w:val="24"/>
          <w:lang w:val="en-US"/>
        </w:rPr>
        <w:t xml:space="preserve"> </w:t>
      </w:r>
      <w:r w:rsidRPr="00EA5C41">
        <w:rPr>
          <w:sz w:val="24"/>
          <w:szCs w:val="24"/>
          <w:lang w:val="en-US"/>
        </w:rPr>
        <w:t>89 FR 55594 on July 5, 2024. No comments were</w:t>
      </w:r>
      <w:r>
        <w:rPr>
          <w:sz w:val="24"/>
          <w:szCs w:val="24"/>
          <w:lang w:val="en-US"/>
        </w:rPr>
        <w:t xml:space="preserve"> </w:t>
      </w:r>
      <w:r w:rsidRPr="00EA5C41">
        <w:rPr>
          <w:sz w:val="24"/>
          <w:szCs w:val="24"/>
          <w:lang w:val="en-US"/>
        </w:rPr>
        <w:t>received.</w:t>
      </w:r>
      <w:r w:rsidR="00AD1650">
        <w:rPr>
          <w:sz w:val="24"/>
          <w:szCs w:val="24"/>
          <w:lang w:val="en-US"/>
        </w:rPr>
        <w:t xml:space="preserve"> A 30-day notice published in the </w:t>
      </w:r>
      <w:r w:rsidRPr="00AD1650" w:rsidR="00AD1650">
        <w:rPr>
          <w:i/>
          <w:iCs/>
          <w:sz w:val="24"/>
          <w:szCs w:val="24"/>
          <w:lang w:val="en-US"/>
        </w:rPr>
        <w:t>Federal Register</w:t>
      </w:r>
      <w:r w:rsidR="00AD1650">
        <w:rPr>
          <w:sz w:val="24"/>
          <w:szCs w:val="24"/>
          <w:lang w:val="en-US"/>
        </w:rPr>
        <w:t xml:space="preserve"> at 89 FR 76830 on September 19, 2024. </w:t>
      </w:r>
    </w:p>
    <w:p w:rsidR="00CA7453" w14:paraId="3219D163" w14:textId="77777777">
      <w:pPr>
        <w:widowControl w:val="0"/>
        <w:tabs>
          <w:tab w:val="left" w:pos="657"/>
        </w:tabs>
        <w:spacing w:line="240" w:lineRule="auto"/>
        <w:rPr>
          <w:sz w:val="24"/>
          <w:szCs w:val="24"/>
        </w:rPr>
      </w:pPr>
    </w:p>
    <w:p w:rsidR="00CA7453" w14:paraId="238292C4" w14:textId="77777777">
      <w:pPr>
        <w:widowControl w:val="0"/>
        <w:tabs>
          <w:tab w:val="left" w:pos="657"/>
        </w:tabs>
        <w:spacing w:line="240" w:lineRule="auto"/>
        <w:rPr>
          <w:b/>
          <w:sz w:val="24"/>
          <w:szCs w:val="24"/>
          <w:u w:val="single"/>
        </w:rPr>
      </w:pPr>
      <w:r>
        <w:rPr>
          <w:b/>
          <w:sz w:val="24"/>
          <w:szCs w:val="24"/>
          <w:u w:val="single"/>
        </w:rPr>
        <w:t>9. Gifts or Payment.</w:t>
      </w:r>
    </w:p>
    <w:p w:rsidR="00CA7453" w14:paraId="63452DD6" w14:textId="77777777">
      <w:pPr>
        <w:widowControl w:val="0"/>
        <w:tabs>
          <w:tab w:val="left" w:pos="657"/>
        </w:tabs>
        <w:spacing w:line="240" w:lineRule="auto"/>
        <w:rPr>
          <w:sz w:val="24"/>
          <w:szCs w:val="24"/>
        </w:rPr>
      </w:pPr>
    </w:p>
    <w:p w:rsidR="00CA7453" w14:paraId="6FFC5344" w14:textId="77777777">
      <w:pPr>
        <w:widowControl w:val="0"/>
        <w:tabs>
          <w:tab w:val="left" w:pos="657"/>
        </w:tabs>
        <w:spacing w:line="240" w:lineRule="auto"/>
        <w:rPr>
          <w:sz w:val="24"/>
          <w:szCs w:val="24"/>
        </w:rPr>
      </w:pPr>
      <w:r>
        <w:rPr>
          <w:sz w:val="24"/>
          <w:szCs w:val="24"/>
        </w:rPr>
        <w:t>Not applicable, GSA makes no such payments or gifts to respondents under this information collection.</w:t>
      </w:r>
    </w:p>
    <w:p w:rsidR="00CA7453" w14:paraId="3E134074" w14:textId="77777777">
      <w:pPr>
        <w:widowControl w:val="0"/>
        <w:tabs>
          <w:tab w:val="left" w:pos="657"/>
        </w:tabs>
        <w:spacing w:line="240" w:lineRule="auto"/>
        <w:rPr>
          <w:sz w:val="24"/>
          <w:szCs w:val="24"/>
        </w:rPr>
      </w:pPr>
    </w:p>
    <w:p w:rsidR="00CA7453" w14:paraId="039C7996" w14:textId="77777777">
      <w:pPr>
        <w:widowControl w:val="0"/>
        <w:tabs>
          <w:tab w:val="left" w:pos="657"/>
        </w:tabs>
        <w:spacing w:line="240" w:lineRule="auto"/>
        <w:rPr>
          <w:b/>
          <w:sz w:val="24"/>
          <w:szCs w:val="24"/>
          <w:u w:val="single"/>
        </w:rPr>
      </w:pPr>
      <w:r>
        <w:rPr>
          <w:b/>
          <w:sz w:val="24"/>
          <w:szCs w:val="24"/>
          <w:u w:val="single"/>
        </w:rPr>
        <w:t>10. Privacy and Confidentiality.</w:t>
      </w:r>
    </w:p>
    <w:p w:rsidR="00CA7453" w14:paraId="24F121FF" w14:textId="77777777">
      <w:pPr>
        <w:widowControl w:val="0"/>
        <w:tabs>
          <w:tab w:val="left" w:pos="657"/>
        </w:tabs>
        <w:spacing w:line="240" w:lineRule="auto"/>
        <w:rPr>
          <w:sz w:val="24"/>
          <w:szCs w:val="24"/>
        </w:rPr>
      </w:pPr>
    </w:p>
    <w:p w:rsidR="00CA7453" w14:paraId="51B1F772" w14:textId="77777777">
      <w:pPr>
        <w:widowControl w:val="0"/>
        <w:tabs>
          <w:tab w:val="left" w:pos="657"/>
        </w:tabs>
        <w:spacing w:line="240" w:lineRule="auto"/>
        <w:rPr>
          <w:sz w:val="24"/>
          <w:szCs w:val="24"/>
        </w:rPr>
      </w:pPr>
      <w:r>
        <w:rPr>
          <w:sz w:val="24"/>
          <w:szCs w:val="24"/>
        </w:rPr>
        <w:t>Not applicable, GSA makes no additional assurances under this information collection beyond what is already applicable to contract information (i.e., information collected is disclosed only to the extent consistent with prudent business practices, agency regulations, and applicable statutes).</w:t>
      </w:r>
    </w:p>
    <w:p w:rsidR="00CA7453" w14:paraId="336EB904" w14:textId="77777777">
      <w:pPr>
        <w:widowControl w:val="0"/>
        <w:tabs>
          <w:tab w:val="left" w:pos="657"/>
        </w:tabs>
        <w:spacing w:line="240" w:lineRule="auto"/>
        <w:rPr>
          <w:sz w:val="24"/>
          <w:szCs w:val="24"/>
        </w:rPr>
      </w:pPr>
    </w:p>
    <w:p w:rsidR="00CA7453" w14:paraId="39BC97CF" w14:textId="77777777">
      <w:pPr>
        <w:widowControl w:val="0"/>
        <w:tabs>
          <w:tab w:val="left" w:pos="657"/>
        </w:tabs>
        <w:spacing w:line="240" w:lineRule="auto"/>
        <w:rPr>
          <w:b/>
          <w:sz w:val="24"/>
          <w:szCs w:val="24"/>
          <w:u w:val="single"/>
        </w:rPr>
      </w:pPr>
      <w:r>
        <w:rPr>
          <w:b/>
          <w:sz w:val="24"/>
          <w:szCs w:val="24"/>
          <w:u w:val="single"/>
        </w:rPr>
        <w:t>11. Sensitive Questions.</w:t>
      </w:r>
    </w:p>
    <w:p w:rsidR="00CA7453" w14:paraId="1318B35F" w14:textId="77777777">
      <w:pPr>
        <w:widowControl w:val="0"/>
        <w:tabs>
          <w:tab w:val="left" w:pos="657"/>
        </w:tabs>
        <w:spacing w:line="240" w:lineRule="auto"/>
        <w:rPr>
          <w:sz w:val="24"/>
          <w:szCs w:val="24"/>
        </w:rPr>
      </w:pPr>
    </w:p>
    <w:p w:rsidR="00CA7453" w14:paraId="35A60ED1" w14:textId="77777777">
      <w:pPr>
        <w:widowControl w:val="0"/>
        <w:tabs>
          <w:tab w:val="left" w:pos="657"/>
        </w:tabs>
        <w:spacing w:line="240" w:lineRule="auto"/>
        <w:rPr>
          <w:sz w:val="24"/>
          <w:szCs w:val="24"/>
        </w:rPr>
      </w:pPr>
      <w:r>
        <w:rPr>
          <w:sz w:val="24"/>
          <w:szCs w:val="24"/>
        </w:rPr>
        <w:t>Not applicable, no sensitive questions are involved under this information collection.</w:t>
      </w:r>
    </w:p>
    <w:p w:rsidR="00CA7453" w14:paraId="3E933075" w14:textId="77777777">
      <w:pPr>
        <w:widowControl w:val="0"/>
        <w:tabs>
          <w:tab w:val="left" w:pos="657"/>
        </w:tabs>
        <w:spacing w:line="240" w:lineRule="auto"/>
        <w:rPr>
          <w:sz w:val="24"/>
          <w:szCs w:val="24"/>
        </w:rPr>
      </w:pPr>
    </w:p>
    <w:p w:rsidR="00CA7453" w14:paraId="2FB6CBC0" w14:textId="77777777">
      <w:pPr>
        <w:widowControl w:val="0"/>
        <w:tabs>
          <w:tab w:val="left" w:pos="657"/>
        </w:tabs>
        <w:spacing w:line="240" w:lineRule="auto"/>
        <w:rPr>
          <w:b/>
          <w:sz w:val="24"/>
          <w:szCs w:val="24"/>
          <w:u w:val="single"/>
        </w:rPr>
      </w:pPr>
      <w:r>
        <w:rPr>
          <w:b/>
          <w:sz w:val="24"/>
          <w:szCs w:val="24"/>
          <w:u w:val="single"/>
        </w:rPr>
        <w:t>12. Burden Estimate.</w:t>
      </w:r>
    </w:p>
    <w:p w:rsidR="00CA7453" w14:paraId="12B35706" w14:textId="77777777">
      <w:pPr>
        <w:widowControl w:val="0"/>
        <w:tabs>
          <w:tab w:val="left" w:pos="657"/>
        </w:tabs>
        <w:spacing w:line="240" w:lineRule="auto"/>
        <w:rPr>
          <w:sz w:val="24"/>
          <w:szCs w:val="24"/>
        </w:rPr>
      </w:pPr>
    </w:p>
    <w:p w:rsidR="00CA7453" w14:paraId="051E4598" w14:textId="77777777">
      <w:pPr>
        <w:spacing w:line="240" w:lineRule="auto"/>
        <w:rPr>
          <w:sz w:val="24"/>
          <w:szCs w:val="24"/>
        </w:rPr>
      </w:pPr>
      <w:r>
        <w:rPr>
          <w:sz w:val="24"/>
          <w:szCs w:val="24"/>
        </w:rPr>
        <w:t>GSA based the estimated burden of the collection of information on information obtained from subject matter experts familiar with analyzing GSA Form 527 in the Credit and Finance Division. The burden addressed in this information collection requirement is the burden of developing, preparing, and submitting the required information. The dataset comes from the GSA Credit and Finance Division, who process GSA Form 527 submissions. The average number of GSA Forms 527 processed from fiscal year 2021 through fiscal year 2023 was 868.  The number of respondents estimated to be affected has decreased slightly since the last information collection renewal (approximately a 50% reduction from the most recent renewal). Each response is estimated to take 1.5 hours, on average. This estimate has been reduced from prior estimates due to the widespread use of the option for prospective contractors to submit financial statements and balance sheets in lieu of completing the applicable fields on GSA Form 527. The alternate submission of financial statements and balance sheets significantly reduces the burden on prospective contractors, as these documents are generally readily available.</w:t>
      </w:r>
    </w:p>
    <w:p w:rsidR="00CA7453" w14:paraId="75608579" w14:textId="77777777">
      <w:pPr>
        <w:spacing w:line="240" w:lineRule="auto"/>
        <w:rPr>
          <w:sz w:val="24"/>
          <w:szCs w:val="24"/>
        </w:rPr>
      </w:pPr>
    </w:p>
    <w:p w:rsidR="00CA7453" w14:paraId="12ED6813" w14:textId="77777777">
      <w:pPr>
        <w:spacing w:line="240" w:lineRule="auto"/>
        <w:rPr>
          <w:b/>
          <w:sz w:val="24"/>
          <w:szCs w:val="24"/>
        </w:rPr>
      </w:pPr>
      <w:r>
        <w:rPr>
          <w:sz w:val="24"/>
          <w:szCs w:val="24"/>
        </w:rPr>
        <w:t>The information requested on the GSA Form 527 is not of a special nature. It falls into the category of customary and usual business practice. The information is already available and is used for other requestors. No special capital or start-up costs are required for this form to be completed.</w:t>
      </w:r>
    </w:p>
    <w:p w:rsidR="00CA7453" w14:paraId="38BE50C8" w14:textId="77777777">
      <w:pPr>
        <w:spacing w:line="240" w:lineRule="auto"/>
        <w:rPr>
          <w:sz w:val="24"/>
          <w:szCs w:val="24"/>
        </w:rPr>
      </w:pPr>
    </w:p>
    <w:p w:rsidR="00CA7453" w14:paraId="782DE51D" w14:textId="77777777">
      <w:pPr>
        <w:tabs>
          <w:tab w:val="left" w:pos="5760"/>
        </w:tabs>
        <w:spacing w:line="240" w:lineRule="auto"/>
        <w:rPr>
          <w:sz w:val="24"/>
          <w:szCs w:val="24"/>
        </w:rPr>
      </w:pPr>
      <w:r>
        <w:rPr>
          <w:sz w:val="24"/>
          <w:szCs w:val="24"/>
        </w:rPr>
        <w:t>Estimated Respondents Per Year:</w:t>
      </w:r>
      <w:r>
        <w:rPr>
          <w:sz w:val="24"/>
          <w:szCs w:val="24"/>
        </w:rPr>
        <w:tab/>
        <w:t>868</w:t>
      </w:r>
    </w:p>
    <w:p w:rsidR="00CA7453" w14:paraId="13BB8F49" w14:textId="77777777">
      <w:pPr>
        <w:tabs>
          <w:tab w:val="left" w:pos="5760"/>
        </w:tabs>
        <w:spacing w:line="240" w:lineRule="auto"/>
        <w:rPr>
          <w:sz w:val="24"/>
          <w:szCs w:val="24"/>
        </w:rPr>
      </w:pPr>
      <w:r>
        <w:rPr>
          <w:sz w:val="24"/>
          <w:szCs w:val="24"/>
        </w:rPr>
        <w:t>Estimated Responses Per Respondent:</w:t>
      </w:r>
      <w:r>
        <w:rPr>
          <w:sz w:val="24"/>
          <w:szCs w:val="24"/>
        </w:rPr>
        <w:tab/>
      </w:r>
      <w:r>
        <w:rPr>
          <w:sz w:val="24"/>
          <w:szCs w:val="24"/>
          <w:u w:val="single"/>
        </w:rPr>
        <w:t>x  1</w:t>
      </w:r>
      <w:r>
        <w:rPr>
          <w:sz w:val="24"/>
          <w:szCs w:val="24"/>
          <w:u w:val="single"/>
        </w:rPr>
        <w:t>.2</w:t>
      </w:r>
      <w:r>
        <w:rPr>
          <w:sz w:val="24"/>
          <w:szCs w:val="24"/>
          <w:vertAlign w:val="superscript"/>
        </w:rPr>
        <w:footnoteReference w:id="2"/>
      </w:r>
    </w:p>
    <w:p w:rsidR="00CA7453" w14:paraId="1D749FD7" w14:textId="77777777">
      <w:pPr>
        <w:tabs>
          <w:tab w:val="left" w:pos="5760"/>
        </w:tabs>
        <w:spacing w:line="240" w:lineRule="auto"/>
        <w:rPr>
          <w:sz w:val="24"/>
          <w:szCs w:val="24"/>
        </w:rPr>
      </w:pPr>
      <w:r>
        <w:rPr>
          <w:sz w:val="24"/>
          <w:szCs w:val="24"/>
        </w:rPr>
        <w:t>Total Annual Responses:</w:t>
      </w:r>
      <w:r>
        <w:rPr>
          <w:sz w:val="24"/>
          <w:szCs w:val="24"/>
        </w:rPr>
        <w:tab/>
        <w:t>1,042</w:t>
      </w:r>
    </w:p>
    <w:p w:rsidR="00CA7453" w14:paraId="1E24B70D" w14:textId="77777777">
      <w:pPr>
        <w:tabs>
          <w:tab w:val="left" w:pos="5760"/>
        </w:tabs>
        <w:spacing w:line="240" w:lineRule="auto"/>
        <w:rPr>
          <w:sz w:val="24"/>
          <w:szCs w:val="24"/>
          <w:u w:val="single"/>
        </w:rPr>
      </w:pPr>
      <w:r>
        <w:rPr>
          <w:sz w:val="24"/>
          <w:szCs w:val="24"/>
        </w:rPr>
        <w:t>Estimates Burden Hours Per Response:</w:t>
      </w:r>
      <w:r>
        <w:rPr>
          <w:sz w:val="24"/>
          <w:szCs w:val="24"/>
        </w:rPr>
        <w:tab/>
      </w:r>
      <w:r>
        <w:rPr>
          <w:sz w:val="24"/>
          <w:szCs w:val="24"/>
          <w:u w:val="single"/>
        </w:rPr>
        <w:t>x  1.5</w:t>
      </w:r>
    </w:p>
    <w:p w:rsidR="00CA7453" w14:paraId="018F2D31" w14:textId="77777777">
      <w:pPr>
        <w:tabs>
          <w:tab w:val="left" w:pos="5760"/>
        </w:tabs>
        <w:spacing w:line="240" w:lineRule="auto"/>
        <w:rPr>
          <w:sz w:val="24"/>
          <w:szCs w:val="24"/>
        </w:rPr>
      </w:pPr>
      <w:r>
        <w:rPr>
          <w:sz w:val="24"/>
          <w:szCs w:val="24"/>
        </w:rPr>
        <w:t>Total Response Burden Hours:</w:t>
      </w:r>
      <w:r>
        <w:rPr>
          <w:sz w:val="24"/>
          <w:szCs w:val="24"/>
        </w:rPr>
        <w:tab/>
        <w:t>1563</w:t>
      </w:r>
    </w:p>
    <w:p w:rsidR="00CA7453" w14:paraId="6CC55E81" w14:textId="77777777">
      <w:pPr>
        <w:tabs>
          <w:tab w:val="left" w:pos="5760"/>
        </w:tabs>
        <w:spacing w:line="240" w:lineRule="auto"/>
        <w:rPr>
          <w:sz w:val="24"/>
          <w:szCs w:val="24"/>
          <w:u w:val="single"/>
        </w:rPr>
      </w:pPr>
      <w:r>
        <w:rPr>
          <w:sz w:val="24"/>
          <w:szCs w:val="24"/>
        </w:rPr>
        <w:t>Estimated Cost Per Hour:</w:t>
      </w:r>
      <w:r>
        <w:rPr>
          <w:sz w:val="24"/>
          <w:szCs w:val="24"/>
        </w:rPr>
        <w:tab/>
      </w:r>
      <w:r>
        <w:rPr>
          <w:sz w:val="24"/>
          <w:szCs w:val="24"/>
          <w:u w:val="single"/>
        </w:rPr>
        <w:t>x  $</w:t>
      </w:r>
      <w:r>
        <w:rPr>
          <w:sz w:val="24"/>
          <w:szCs w:val="24"/>
          <w:u w:val="single"/>
        </w:rPr>
        <w:t>29.28*</w:t>
      </w:r>
    </w:p>
    <w:p w:rsidR="00CA7453" w14:paraId="6AC7736C" w14:textId="77777777">
      <w:pPr>
        <w:pStyle w:val="Heading4"/>
        <w:keepNext w:val="0"/>
        <w:keepLines w:val="0"/>
        <w:tabs>
          <w:tab w:val="left" w:pos="5760"/>
        </w:tabs>
        <w:spacing w:before="0" w:after="0" w:line="240" w:lineRule="auto"/>
        <w:rPr>
          <w:color w:val="000000"/>
        </w:rPr>
      </w:pPr>
      <w:bookmarkStart w:id="1" w:name="_sv44vo8i5gmc" w:colFirst="0" w:colLast="0"/>
      <w:bookmarkEnd w:id="1"/>
      <w:r>
        <w:rPr>
          <w:color w:val="000000"/>
        </w:rPr>
        <w:t>Total Estimated Annual Cost Burden:</w:t>
      </w:r>
      <w:r>
        <w:rPr>
          <w:color w:val="000000"/>
        </w:rPr>
        <w:tab/>
        <w:t>$45,765</w:t>
      </w:r>
    </w:p>
    <w:p w:rsidR="00CA7453" w14:paraId="00A3E5A8" w14:textId="77777777">
      <w:pPr>
        <w:spacing w:line="240" w:lineRule="auto"/>
        <w:rPr>
          <w:sz w:val="24"/>
          <w:szCs w:val="24"/>
        </w:rPr>
      </w:pPr>
    </w:p>
    <w:p w:rsidR="00CA7453" w14:paraId="2AAE1568" w14:textId="77777777">
      <w:pPr>
        <w:spacing w:line="240" w:lineRule="auto"/>
        <w:rPr>
          <w:sz w:val="24"/>
          <w:szCs w:val="24"/>
        </w:rPr>
      </w:pPr>
      <w:r>
        <w:rPr>
          <w:sz w:val="24"/>
          <w:szCs w:val="24"/>
        </w:rPr>
        <w:t>* The estimated cost of $29.28 per hour is based on the task being accomplished by contractor personnel equivalent to a GS-5, Step 5 (Base Pay and Rest of US Locality Pay) (Salary Table 2024-RUS, General Schedule, Effective January 2024), with fringe of 36.25% (OMB Memo M-08-13).</w:t>
      </w:r>
    </w:p>
    <w:p w:rsidR="00CA7453" w14:paraId="7377F32C" w14:textId="77777777">
      <w:pPr>
        <w:spacing w:line="240" w:lineRule="auto"/>
        <w:rPr>
          <w:sz w:val="24"/>
          <w:szCs w:val="24"/>
        </w:rPr>
      </w:pPr>
    </w:p>
    <w:p w:rsidR="00CA7453" w14:paraId="5BB8D3C2" w14:textId="77777777">
      <w:pPr>
        <w:widowControl w:val="0"/>
        <w:spacing w:line="240" w:lineRule="auto"/>
        <w:rPr>
          <w:sz w:val="24"/>
          <w:szCs w:val="24"/>
          <w:highlight w:val="yellow"/>
        </w:rPr>
      </w:pPr>
    </w:p>
    <w:tbl>
      <w:tblPr>
        <w:tblStyle w:val="a"/>
        <w:tblW w:w="9315" w:type="dxa"/>
        <w:tblBorders>
          <w:top w:val="single" w:sz="6" w:space="0" w:color="000000"/>
          <w:left w:val="single" w:sz="6" w:space="0" w:color="000000"/>
          <w:bottom w:val="single" w:sz="6" w:space="0" w:color="000000"/>
          <w:right w:val="single" w:sz="6" w:space="0" w:color="000000"/>
        </w:tblBorders>
        <w:tblLayout w:type="fixed"/>
        <w:tblLook w:val="0400"/>
      </w:tblPr>
      <w:tblGrid>
        <w:gridCol w:w="1815"/>
        <w:gridCol w:w="1250"/>
        <w:gridCol w:w="1250"/>
        <w:gridCol w:w="1250"/>
        <w:gridCol w:w="1250"/>
        <w:gridCol w:w="1250"/>
        <w:gridCol w:w="1250"/>
      </w:tblGrid>
      <w:tr w14:paraId="2E9040D4" w14:textId="77777777">
        <w:tblPrEx>
          <w:tblW w:w="9315" w:type="dxa"/>
          <w:tblBorders>
            <w:top w:val="single" w:sz="6" w:space="0" w:color="000000"/>
            <w:left w:val="single" w:sz="6" w:space="0" w:color="000000"/>
            <w:bottom w:val="single" w:sz="6" w:space="0" w:color="000000"/>
            <w:right w:val="single" w:sz="6" w:space="0" w:color="000000"/>
          </w:tblBorders>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4A86E8"/>
            <w:vAlign w:val="center"/>
          </w:tcPr>
          <w:p w:rsidR="00CA7453" w14:paraId="5CA0A9F1" w14:textId="77777777">
            <w:pPr>
              <w:widowControl w:val="0"/>
              <w:spacing w:line="240" w:lineRule="auto"/>
              <w:rPr>
                <w:b/>
                <w:sz w:val="24"/>
                <w:szCs w:val="24"/>
              </w:rPr>
            </w:pPr>
          </w:p>
        </w:tc>
        <w:tc>
          <w:tcPr>
            <w:tcW w:w="1250" w:type="dxa"/>
            <w:tcBorders>
              <w:top w:val="single" w:sz="6" w:space="0" w:color="000000"/>
              <w:left w:val="single" w:sz="6" w:space="0" w:color="000000"/>
              <w:bottom w:val="single" w:sz="6" w:space="0" w:color="000000"/>
              <w:right w:val="single" w:sz="6" w:space="0" w:color="000000"/>
            </w:tcBorders>
            <w:shd w:val="clear" w:color="auto" w:fill="4A86E8"/>
            <w:vAlign w:val="center"/>
          </w:tcPr>
          <w:p w:rsidR="00CA7453" w14:paraId="1AA4750B" w14:textId="77777777">
            <w:pPr>
              <w:widowControl w:val="0"/>
              <w:spacing w:line="240" w:lineRule="auto"/>
              <w:jc w:val="center"/>
              <w:rPr>
                <w:b/>
                <w:color w:val="FFFFFF"/>
                <w:sz w:val="24"/>
                <w:szCs w:val="24"/>
              </w:rPr>
            </w:pPr>
            <w:r>
              <w:rPr>
                <w:b/>
                <w:color w:val="FFFFFF"/>
                <w:sz w:val="24"/>
                <w:szCs w:val="24"/>
              </w:rPr>
              <w:t>Requested</w:t>
            </w:r>
          </w:p>
        </w:tc>
        <w:tc>
          <w:tcPr>
            <w:tcW w:w="1250" w:type="dxa"/>
            <w:tcBorders>
              <w:top w:val="single" w:sz="6" w:space="0" w:color="000000"/>
              <w:left w:val="single" w:sz="6" w:space="0" w:color="000000"/>
              <w:bottom w:val="single" w:sz="6" w:space="0" w:color="000000"/>
              <w:right w:val="single" w:sz="6" w:space="0" w:color="000000"/>
            </w:tcBorders>
            <w:shd w:val="clear" w:color="auto" w:fill="4A86E8"/>
            <w:vAlign w:val="center"/>
          </w:tcPr>
          <w:p w:rsidR="00CA7453" w14:paraId="322AEF74" w14:textId="77777777">
            <w:pPr>
              <w:widowControl w:val="0"/>
              <w:spacing w:line="240" w:lineRule="auto"/>
              <w:jc w:val="center"/>
              <w:rPr>
                <w:b/>
                <w:color w:val="FFFFFF"/>
                <w:sz w:val="24"/>
                <w:szCs w:val="24"/>
              </w:rPr>
            </w:pPr>
            <w:r>
              <w:rPr>
                <w:b/>
                <w:color w:val="FFFFFF"/>
                <w:sz w:val="24"/>
                <w:szCs w:val="24"/>
              </w:rPr>
              <w:t>Program Change Due to New Statute</w:t>
            </w:r>
          </w:p>
        </w:tc>
        <w:tc>
          <w:tcPr>
            <w:tcW w:w="1250" w:type="dxa"/>
            <w:tcBorders>
              <w:top w:val="single" w:sz="6" w:space="0" w:color="000000"/>
              <w:left w:val="single" w:sz="6" w:space="0" w:color="000000"/>
              <w:bottom w:val="single" w:sz="6" w:space="0" w:color="000000"/>
              <w:right w:val="single" w:sz="6" w:space="0" w:color="000000"/>
            </w:tcBorders>
            <w:shd w:val="clear" w:color="auto" w:fill="4A86E8"/>
            <w:vAlign w:val="center"/>
          </w:tcPr>
          <w:p w:rsidR="00CA7453" w14:paraId="3431016B" w14:textId="77777777">
            <w:pPr>
              <w:widowControl w:val="0"/>
              <w:spacing w:line="240" w:lineRule="auto"/>
              <w:jc w:val="center"/>
              <w:rPr>
                <w:b/>
                <w:color w:val="FFFFFF"/>
                <w:sz w:val="24"/>
                <w:szCs w:val="24"/>
              </w:rPr>
            </w:pPr>
            <w:r>
              <w:rPr>
                <w:b/>
                <w:color w:val="FFFFFF"/>
                <w:sz w:val="24"/>
                <w:szCs w:val="24"/>
              </w:rPr>
              <w:t>Program Change Due to Agency Discretion</w:t>
            </w:r>
          </w:p>
        </w:tc>
        <w:tc>
          <w:tcPr>
            <w:tcW w:w="1250" w:type="dxa"/>
            <w:tcBorders>
              <w:top w:val="single" w:sz="6" w:space="0" w:color="000000"/>
              <w:left w:val="single" w:sz="6" w:space="0" w:color="000000"/>
              <w:bottom w:val="single" w:sz="6" w:space="0" w:color="000000"/>
              <w:right w:val="single" w:sz="6" w:space="0" w:color="000000"/>
            </w:tcBorders>
            <w:shd w:val="clear" w:color="auto" w:fill="4A86E8"/>
            <w:vAlign w:val="center"/>
          </w:tcPr>
          <w:p w:rsidR="00CA7453" w14:paraId="57103C43" w14:textId="77777777">
            <w:pPr>
              <w:widowControl w:val="0"/>
              <w:spacing w:line="240" w:lineRule="auto"/>
              <w:jc w:val="center"/>
              <w:rPr>
                <w:b/>
                <w:color w:val="FFFFFF"/>
                <w:sz w:val="24"/>
                <w:szCs w:val="24"/>
              </w:rPr>
            </w:pPr>
            <w:r>
              <w:rPr>
                <w:b/>
                <w:color w:val="FFFFFF"/>
                <w:sz w:val="24"/>
                <w:szCs w:val="24"/>
              </w:rPr>
              <w:t>Change Due to Adjustment in Agency Estimate</w:t>
            </w:r>
          </w:p>
        </w:tc>
        <w:tc>
          <w:tcPr>
            <w:tcW w:w="1250" w:type="dxa"/>
            <w:tcBorders>
              <w:top w:val="single" w:sz="6" w:space="0" w:color="000000"/>
              <w:left w:val="single" w:sz="6" w:space="0" w:color="000000"/>
              <w:bottom w:val="single" w:sz="6" w:space="0" w:color="000000"/>
              <w:right w:val="single" w:sz="6" w:space="0" w:color="000000"/>
            </w:tcBorders>
            <w:shd w:val="clear" w:color="auto" w:fill="4A86E8"/>
            <w:vAlign w:val="center"/>
          </w:tcPr>
          <w:p w:rsidR="00CA7453" w14:paraId="24E4C0BD" w14:textId="77777777">
            <w:pPr>
              <w:widowControl w:val="0"/>
              <w:spacing w:line="240" w:lineRule="auto"/>
              <w:jc w:val="center"/>
              <w:rPr>
                <w:b/>
                <w:color w:val="FFFFFF"/>
                <w:sz w:val="24"/>
                <w:szCs w:val="24"/>
              </w:rPr>
            </w:pPr>
            <w:r>
              <w:rPr>
                <w:b/>
                <w:color w:val="FFFFFF"/>
                <w:sz w:val="24"/>
                <w:szCs w:val="24"/>
              </w:rPr>
              <w:t>Change Due to Potential Violation of the PRA</w:t>
            </w:r>
          </w:p>
        </w:tc>
        <w:tc>
          <w:tcPr>
            <w:tcW w:w="1250" w:type="dxa"/>
            <w:tcBorders>
              <w:top w:val="single" w:sz="6" w:space="0" w:color="000000"/>
              <w:left w:val="single" w:sz="6" w:space="0" w:color="000000"/>
              <w:bottom w:val="single" w:sz="6" w:space="0" w:color="000000"/>
              <w:right w:val="single" w:sz="6" w:space="0" w:color="000000"/>
            </w:tcBorders>
            <w:shd w:val="clear" w:color="auto" w:fill="4A86E8"/>
            <w:vAlign w:val="center"/>
          </w:tcPr>
          <w:p w:rsidR="00CA7453" w14:paraId="76C2E9CC" w14:textId="77777777">
            <w:pPr>
              <w:widowControl w:val="0"/>
              <w:spacing w:line="240" w:lineRule="auto"/>
              <w:jc w:val="center"/>
              <w:rPr>
                <w:b/>
                <w:color w:val="FFFFFF"/>
                <w:sz w:val="24"/>
                <w:szCs w:val="24"/>
              </w:rPr>
            </w:pPr>
            <w:r>
              <w:rPr>
                <w:b/>
                <w:color w:val="FFFFFF"/>
                <w:sz w:val="24"/>
                <w:szCs w:val="24"/>
              </w:rPr>
              <w:t>Previously Approved</w:t>
            </w:r>
          </w:p>
        </w:tc>
      </w:tr>
      <w:tr w14:paraId="0D3AEDB9" w14:textId="77777777">
        <w:tblPrEx>
          <w:tblW w:w="9315" w:type="dxa"/>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A7453" w14:paraId="6F13D975" w14:textId="77777777">
            <w:pPr>
              <w:widowControl w:val="0"/>
              <w:spacing w:line="240" w:lineRule="auto"/>
              <w:rPr>
                <w:sz w:val="24"/>
                <w:szCs w:val="24"/>
              </w:rPr>
            </w:pPr>
            <w:r>
              <w:rPr>
                <w:sz w:val="24"/>
                <w:szCs w:val="24"/>
              </w:rPr>
              <w:t>Annual Number of Responses for this IC</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A7453" w14:paraId="678A528A" w14:textId="77777777">
            <w:pPr>
              <w:widowControl w:val="0"/>
              <w:spacing w:line="240" w:lineRule="auto"/>
              <w:jc w:val="center"/>
              <w:rPr>
                <w:sz w:val="24"/>
                <w:szCs w:val="24"/>
              </w:rPr>
            </w:pPr>
            <w:r>
              <w:rPr>
                <w:sz w:val="24"/>
                <w:szCs w:val="24"/>
              </w:rPr>
              <w:t>1,042</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CA7453" w14:paraId="408D6DD8" w14:textId="77777777">
            <w:pPr>
              <w:widowControl w:val="0"/>
              <w:spacing w:line="240" w:lineRule="auto"/>
              <w:jc w:val="center"/>
              <w:rPr>
                <w:sz w:val="24"/>
                <w:szCs w:val="24"/>
              </w:rPr>
            </w:pPr>
            <w:r>
              <w:rPr>
                <w:sz w:val="24"/>
                <w:szCs w:val="24"/>
              </w:rPr>
              <w:t>N/A</w:t>
            </w:r>
          </w:p>
        </w:tc>
        <w:tc>
          <w:tcPr>
            <w:tcW w:w="1250" w:type="dxa"/>
            <w:tcBorders>
              <w:top w:val="single" w:sz="6" w:space="0" w:color="000000"/>
              <w:left w:val="nil"/>
              <w:bottom w:val="single" w:sz="6" w:space="0" w:color="000000"/>
              <w:right w:val="single" w:sz="6" w:space="0" w:color="000000"/>
            </w:tcBorders>
            <w:shd w:val="clear" w:color="auto" w:fill="FFFFFF"/>
            <w:tcMar>
              <w:top w:w="20" w:type="dxa"/>
              <w:left w:w="20" w:type="dxa"/>
              <w:bottom w:w="20" w:type="dxa"/>
              <w:right w:w="20" w:type="dxa"/>
            </w:tcMar>
            <w:vAlign w:val="center"/>
          </w:tcPr>
          <w:p w:rsidR="00CA7453" w14:paraId="0CBBDF06" w14:textId="77777777">
            <w:pPr>
              <w:widowControl w:val="0"/>
              <w:spacing w:line="240" w:lineRule="auto"/>
              <w:jc w:val="center"/>
              <w:rPr>
                <w:sz w:val="24"/>
                <w:szCs w:val="24"/>
              </w:rPr>
            </w:pPr>
            <w:r>
              <w:rPr>
                <w:sz w:val="24"/>
                <w:szCs w:val="24"/>
              </w:rPr>
              <w:t>N/A</w:t>
            </w:r>
          </w:p>
        </w:tc>
        <w:tc>
          <w:tcPr>
            <w:tcW w:w="1250" w:type="dxa"/>
            <w:tcBorders>
              <w:top w:val="single" w:sz="6" w:space="0" w:color="000000"/>
              <w:left w:val="nil"/>
              <w:bottom w:val="single" w:sz="6" w:space="0" w:color="000000"/>
              <w:right w:val="single" w:sz="6" w:space="0" w:color="000000"/>
            </w:tcBorders>
            <w:shd w:val="clear" w:color="auto" w:fill="FFFFFF"/>
            <w:tcMar>
              <w:top w:w="20" w:type="dxa"/>
              <w:left w:w="20" w:type="dxa"/>
              <w:bottom w:w="20" w:type="dxa"/>
              <w:right w:w="20" w:type="dxa"/>
            </w:tcMar>
            <w:vAlign w:val="center"/>
          </w:tcPr>
          <w:p w:rsidR="00CA7453" w14:paraId="1E679DB5" w14:textId="77777777">
            <w:pPr>
              <w:widowControl w:val="0"/>
              <w:spacing w:line="240" w:lineRule="auto"/>
              <w:jc w:val="center"/>
              <w:rPr>
                <w:sz w:val="24"/>
                <w:szCs w:val="24"/>
              </w:rPr>
            </w:pPr>
            <w:r>
              <w:rPr>
                <w:sz w:val="24"/>
                <w:szCs w:val="24"/>
              </w:rPr>
              <w:t>(1,038)</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CA7453" w14:paraId="0819E8E5" w14:textId="77777777">
            <w:pPr>
              <w:widowControl w:val="0"/>
              <w:spacing w:line="240" w:lineRule="auto"/>
              <w:jc w:val="center"/>
              <w:rPr>
                <w:sz w:val="24"/>
                <w:szCs w:val="24"/>
              </w:rPr>
            </w:pPr>
            <w:r>
              <w:rPr>
                <w:sz w:val="24"/>
                <w:szCs w:val="24"/>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A7453" w14:paraId="65085F3F" w14:textId="77777777">
            <w:pPr>
              <w:widowControl w:val="0"/>
              <w:spacing w:line="240" w:lineRule="auto"/>
              <w:jc w:val="center"/>
              <w:rPr>
                <w:sz w:val="24"/>
                <w:szCs w:val="24"/>
              </w:rPr>
            </w:pPr>
            <w:r>
              <w:rPr>
                <w:sz w:val="24"/>
                <w:szCs w:val="24"/>
              </w:rPr>
              <w:t>2,080</w:t>
            </w:r>
          </w:p>
        </w:tc>
      </w:tr>
      <w:tr w14:paraId="0C386214" w14:textId="77777777">
        <w:tblPrEx>
          <w:tblW w:w="9315" w:type="dxa"/>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A7453" w14:paraId="28BE9306" w14:textId="77777777">
            <w:pPr>
              <w:widowControl w:val="0"/>
              <w:spacing w:line="240" w:lineRule="auto"/>
              <w:rPr>
                <w:sz w:val="24"/>
                <w:szCs w:val="24"/>
              </w:rPr>
            </w:pPr>
            <w:r>
              <w:rPr>
                <w:sz w:val="24"/>
                <w:szCs w:val="24"/>
              </w:rPr>
              <w:t>Annual IC Time Burden (Hour)</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A7453" w14:paraId="321B053A" w14:textId="77777777">
            <w:pPr>
              <w:widowControl w:val="0"/>
              <w:spacing w:line="240" w:lineRule="auto"/>
              <w:jc w:val="center"/>
              <w:rPr>
                <w:sz w:val="24"/>
                <w:szCs w:val="24"/>
              </w:rPr>
            </w:pPr>
            <w:r>
              <w:rPr>
                <w:sz w:val="24"/>
                <w:szCs w:val="24"/>
              </w:rPr>
              <w:t>1,563</w:t>
            </w:r>
          </w:p>
        </w:tc>
        <w:tc>
          <w:tcPr>
            <w:tcW w:w="125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CA7453" w14:paraId="51A456D0" w14:textId="77777777">
            <w:pPr>
              <w:widowControl w:val="0"/>
              <w:spacing w:line="240" w:lineRule="auto"/>
              <w:jc w:val="center"/>
              <w:rPr>
                <w:sz w:val="24"/>
                <w:szCs w:val="24"/>
              </w:rPr>
            </w:pPr>
            <w:r>
              <w:rPr>
                <w:sz w:val="24"/>
                <w:szCs w:val="24"/>
              </w:rPr>
              <w:t>N/A</w:t>
            </w:r>
          </w:p>
        </w:tc>
        <w:tc>
          <w:tcPr>
            <w:tcW w:w="12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vAlign w:val="center"/>
          </w:tcPr>
          <w:p w:rsidR="00CA7453" w14:paraId="28A3541D" w14:textId="77777777">
            <w:pPr>
              <w:widowControl w:val="0"/>
              <w:spacing w:line="240" w:lineRule="auto"/>
              <w:jc w:val="center"/>
              <w:rPr>
                <w:sz w:val="24"/>
                <w:szCs w:val="24"/>
              </w:rPr>
            </w:pPr>
            <w:r>
              <w:rPr>
                <w:sz w:val="24"/>
                <w:szCs w:val="24"/>
              </w:rPr>
              <w:t>N/A</w:t>
            </w:r>
          </w:p>
        </w:tc>
        <w:tc>
          <w:tcPr>
            <w:tcW w:w="12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vAlign w:val="center"/>
          </w:tcPr>
          <w:p w:rsidR="00CA7453" w14:paraId="1CDE9B41" w14:textId="77777777">
            <w:pPr>
              <w:widowControl w:val="0"/>
              <w:spacing w:line="240" w:lineRule="auto"/>
              <w:jc w:val="center"/>
              <w:rPr>
                <w:sz w:val="24"/>
                <w:szCs w:val="24"/>
              </w:rPr>
            </w:pPr>
            <w:r>
              <w:rPr>
                <w:sz w:val="24"/>
                <w:szCs w:val="24"/>
              </w:rPr>
              <w:t>(1557)</w:t>
            </w:r>
          </w:p>
        </w:tc>
        <w:tc>
          <w:tcPr>
            <w:tcW w:w="125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CA7453" w14:paraId="22F6C15D" w14:textId="77777777">
            <w:pPr>
              <w:widowControl w:val="0"/>
              <w:spacing w:line="240" w:lineRule="auto"/>
              <w:jc w:val="center"/>
              <w:rPr>
                <w:sz w:val="24"/>
                <w:szCs w:val="24"/>
              </w:rPr>
            </w:pPr>
            <w:r>
              <w:rPr>
                <w:sz w:val="24"/>
                <w:szCs w:val="24"/>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A7453" w14:paraId="6F64E1D4" w14:textId="77777777">
            <w:pPr>
              <w:widowControl w:val="0"/>
              <w:spacing w:line="240" w:lineRule="auto"/>
              <w:jc w:val="center"/>
              <w:rPr>
                <w:sz w:val="24"/>
                <w:szCs w:val="24"/>
              </w:rPr>
            </w:pPr>
            <w:r>
              <w:rPr>
                <w:sz w:val="24"/>
                <w:szCs w:val="24"/>
              </w:rPr>
              <w:t>3,120</w:t>
            </w:r>
          </w:p>
        </w:tc>
      </w:tr>
      <w:tr w14:paraId="59CF28A7" w14:textId="77777777">
        <w:tblPrEx>
          <w:tblW w:w="9315" w:type="dxa"/>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A7453" w14:paraId="6A1747A5" w14:textId="77777777">
            <w:pPr>
              <w:widowControl w:val="0"/>
              <w:spacing w:line="240" w:lineRule="auto"/>
              <w:rPr>
                <w:sz w:val="24"/>
                <w:szCs w:val="24"/>
              </w:rPr>
            </w:pPr>
            <w:r>
              <w:rPr>
                <w:sz w:val="24"/>
                <w:szCs w:val="24"/>
              </w:rPr>
              <w:t>Annual IC Cost Burden (Dollars)</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A7453" w14:paraId="1A246F7E" w14:textId="77777777">
            <w:pPr>
              <w:widowControl w:val="0"/>
              <w:spacing w:line="240" w:lineRule="auto"/>
              <w:jc w:val="center"/>
              <w:rPr>
                <w:sz w:val="24"/>
                <w:szCs w:val="24"/>
              </w:rPr>
            </w:pPr>
            <w:r>
              <w:rPr>
                <w:sz w:val="24"/>
                <w:szCs w:val="24"/>
              </w:rPr>
              <w:t>$45,756</w:t>
            </w:r>
          </w:p>
        </w:tc>
        <w:tc>
          <w:tcPr>
            <w:tcW w:w="125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CA7453" w14:paraId="02D5F37E" w14:textId="77777777">
            <w:pPr>
              <w:widowControl w:val="0"/>
              <w:spacing w:line="240" w:lineRule="auto"/>
              <w:jc w:val="center"/>
              <w:rPr>
                <w:sz w:val="24"/>
                <w:szCs w:val="24"/>
              </w:rPr>
            </w:pPr>
            <w:r>
              <w:rPr>
                <w:sz w:val="24"/>
                <w:szCs w:val="24"/>
              </w:rPr>
              <w:t>N/A</w:t>
            </w:r>
          </w:p>
        </w:tc>
        <w:tc>
          <w:tcPr>
            <w:tcW w:w="12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vAlign w:val="center"/>
          </w:tcPr>
          <w:p w:rsidR="00CA7453" w14:paraId="64EADD85" w14:textId="77777777">
            <w:pPr>
              <w:widowControl w:val="0"/>
              <w:spacing w:line="240" w:lineRule="auto"/>
              <w:jc w:val="center"/>
              <w:rPr>
                <w:sz w:val="24"/>
                <w:szCs w:val="24"/>
              </w:rPr>
            </w:pPr>
            <w:r>
              <w:rPr>
                <w:sz w:val="24"/>
                <w:szCs w:val="24"/>
              </w:rPr>
              <w:t>N/A</w:t>
            </w:r>
          </w:p>
        </w:tc>
        <w:tc>
          <w:tcPr>
            <w:tcW w:w="12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vAlign w:val="center"/>
          </w:tcPr>
          <w:p w:rsidR="00CA7453" w14:paraId="214132BA" w14:textId="77777777">
            <w:pPr>
              <w:widowControl w:val="0"/>
              <w:spacing w:line="240" w:lineRule="auto"/>
              <w:jc w:val="center"/>
              <w:rPr>
                <w:sz w:val="24"/>
                <w:szCs w:val="24"/>
              </w:rPr>
            </w:pPr>
            <w:r>
              <w:rPr>
                <w:sz w:val="24"/>
                <w:szCs w:val="24"/>
              </w:rPr>
              <w:t>($35,644)</w:t>
            </w:r>
          </w:p>
        </w:tc>
        <w:tc>
          <w:tcPr>
            <w:tcW w:w="125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CA7453" w14:paraId="5D43DA44" w14:textId="77777777">
            <w:pPr>
              <w:widowControl w:val="0"/>
              <w:spacing w:line="240" w:lineRule="auto"/>
              <w:jc w:val="center"/>
              <w:rPr>
                <w:sz w:val="24"/>
                <w:szCs w:val="24"/>
              </w:rPr>
            </w:pPr>
            <w:r>
              <w:rPr>
                <w:sz w:val="24"/>
                <w:szCs w:val="24"/>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A7453" w14:paraId="0F195499" w14:textId="77777777">
            <w:pPr>
              <w:widowControl w:val="0"/>
              <w:spacing w:line="240" w:lineRule="auto"/>
              <w:jc w:val="center"/>
              <w:rPr>
                <w:sz w:val="24"/>
                <w:szCs w:val="24"/>
              </w:rPr>
            </w:pPr>
            <w:r>
              <w:rPr>
                <w:sz w:val="24"/>
                <w:szCs w:val="24"/>
              </w:rPr>
              <w:t>$81,400</w:t>
            </w:r>
          </w:p>
        </w:tc>
      </w:tr>
    </w:tbl>
    <w:p w:rsidR="00CA7453" w14:paraId="7B577BE9" w14:textId="77777777">
      <w:pPr>
        <w:widowControl w:val="0"/>
        <w:tabs>
          <w:tab w:val="left" w:pos="657"/>
        </w:tabs>
        <w:spacing w:line="240" w:lineRule="auto"/>
        <w:rPr>
          <w:sz w:val="24"/>
          <w:szCs w:val="24"/>
        </w:rPr>
      </w:pPr>
    </w:p>
    <w:tbl>
      <w:tblPr>
        <w:tblStyle w:val="a0"/>
        <w:tblW w:w="9360" w:type="dxa"/>
        <w:tblBorders>
          <w:top w:val="nil"/>
          <w:left w:val="nil"/>
          <w:bottom w:val="nil"/>
          <w:right w:val="nil"/>
          <w:insideH w:val="nil"/>
          <w:insideV w:val="nil"/>
        </w:tblBorders>
        <w:tblLayout w:type="fixed"/>
        <w:tblLook w:val="0600"/>
      </w:tblPr>
      <w:tblGrid>
        <w:gridCol w:w="9255"/>
        <w:gridCol w:w="105"/>
      </w:tblGrid>
      <w:tr w14:paraId="13696455" w14:textId="77777777">
        <w:tblPrEx>
          <w:tblW w:w="9360" w:type="dxa"/>
          <w:tblBorders>
            <w:top w:val="nil"/>
            <w:left w:val="nil"/>
            <w:bottom w:val="nil"/>
            <w:right w:val="nil"/>
            <w:insideH w:val="nil"/>
            <w:insideV w:val="nil"/>
          </w:tblBorders>
          <w:tblLayout w:type="fixed"/>
          <w:tblLook w:val="0600"/>
        </w:tblPrEx>
        <w:trPr>
          <w:trHeight w:val="2625"/>
          <w:tblHeader/>
        </w:trPr>
        <w:tc>
          <w:tcPr>
            <w:tcW w:w="9255" w:type="dxa"/>
            <w:tcBorders>
              <w:top w:val="nil"/>
              <w:left w:val="nil"/>
              <w:bottom w:val="nil"/>
              <w:right w:val="nil"/>
            </w:tcBorders>
            <w:tcMar>
              <w:top w:w="20" w:type="dxa"/>
              <w:left w:w="20" w:type="dxa"/>
              <w:bottom w:w="20" w:type="dxa"/>
              <w:right w:w="20" w:type="dxa"/>
            </w:tcMar>
          </w:tcPr>
          <w:p w:rsidR="00CA7453" w14:paraId="66399367" w14:textId="77777777">
            <w:pPr>
              <w:widowControl w:val="0"/>
              <w:tabs>
                <w:tab w:val="left" w:pos="657"/>
              </w:tabs>
              <w:spacing w:line="240" w:lineRule="auto"/>
              <w:ind w:left="-20"/>
              <w:rPr>
                <w:sz w:val="24"/>
                <w:szCs w:val="24"/>
              </w:rPr>
            </w:pPr>
            <w:r>
              <w:rPr>
                <w:sz w:val="24"/>
                <w:szCs w:val="24"/>
              </w:rPr>
              <w:t>Burden per Response:</w:t>
            </w:r>
          </w:p>
          <w:tbl>
            <w:tblPr>
              <w:tblStyle w:val="a1"/>
              <w:tblW w:w="7380" w:type="dxa"/>
              <w:tblBorders>
                <w:top w:val="nil"/>
                <w:left w:val="nil"/>
                <w:bottom w:val="nil"/>
                <w:right w:val="nil"/>
                <w:insideH w:val="nil"/>
                <w:insideV w:val="nil"/>
              </w:tblBorders>
              <w:tblLayout w:type="fixed"/>
              <w:tblLook w:val="0600"/>
            </w:tblPr>
            <w:tblGrid>
              <w:gridCol w:w="1770"/>
              <w:gridCol w:w="1800"/>
              <w:gridCol w:w="1755"/>
              <w:gridCol w:w="2055"/>
            </w:tblGrid>
            <w:tr w14:paraId="2C6F1C51" w14:textId="77777777">
              <w:tblPrEx>
                <w:tblW w:w="7380" w:type="dxa"/>
                <w:tblBorders>
                  <w:top w:val="nil"/>
                  <w:left w:val="nil"/>
                  <w:bottom w:val="nil"/>
                  <w:right w:val="nil"/>
                  <w:insideH w:val="nil"/>
                  <w:insideV w:val="nil"/>
                </w:tblBorders>
                <w:tblLayout w:type="fixed"/>
                <w:tblLook w:val="0600"/>
              </w:tblPrEx>
              <w:trPr>
                <w:trHeight w:val="315"/>
              </w:trPr>
              <w:tc>
                <w:tcPr>
                  <w:tcW w:w="1770"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CA7453" w14:paraId="49D8B6B3" w14:textId="77777777">
                  <w:pPr>
                    <w:widowControl w:val="0"/>
                    <w:tabs>
                      <w:tab w:val="left" w:pos="657"/>
                    </w:tabs>
                    <w:spacing w:line="240" w:lineRule="auto"/>
                    <w:ind w:left="-20"/>
                    <w:jc w:val="center"/>
                    <w:rPr>
                      <w:b/>
                      <w:color w:val="FFFFFF"/>
                      <w:sz w:val="24"/>
                      <w:szCs w:val="24"/>
                    </w:rPr>
                  </w:pPr>
                  <w:r>
                    <w:rPr>
                      <w:b/>
                      <w:color w:val="FFFFFF"/>
                      <w:sz w:val="24"/>
                      <w:szCs w:val="24"/>
                    </w:rPr>
                    <w:t xml:space="preserve"> </w:t>
                  </w:r>
                </w:p>
              </w:tc>
              <w:tc>
                <w:tcPr>
                  <w:tcW w:w="180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CA7453" w14:paraId="19E5DA87" w14:textId="77777777">
                  <w:pPr>
                    <w:widowControl w:val="0"/>
                    <w:tabs>
                      <w:tab w:val="left" w:pos="657"/>
                    </w:tabs>
                    <w:spacing w:line="240" w:lineRule="auto"/>
                    <w:ind w:left="-20"/>
                    <w:jc w:val="center"/>
                    <w:rPr>
                      <w:b/>
                      <w:color w:val="FFFFFF"/>
                      <w:sz w:val="24"/>
                      <w:szCs w:val="24"/>
                    </w:rPr>
                  </w:pPr>
                  <w:r>
                    <w:rPr>
                      <w:b/>
                      <w:color w:val="FFFFFF"/>
                      <w:sz w:val="24"/>
                      <w:szCs w:val="24"/>
                    </w:rPr>
                    <w:t>Time Per Response</w:t>
                  </w:r>
                </w:p>
              </w:tc>
              <w:tc>
                <w:tcPr>
                  <w:tcW w:w="175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CA7453" w14:paraId="21FD3D4B" w14:textId="77777777">
                  <w:pPr>
                    <w:widowControl w:val="0"/>
                    <w:tabs>
                      <w:tab w:val="left" w:pos="657"/>
                    </w:tabs>
                    <w:spacing w:line="240" w:lineRule="auto"/>
                    <w:ind w:left="-20"/>
                    <w:jc w:val="center"/>
                    <w:rPr>
                      <w:b/>
                      <w:color w:val="FFFFFF"/>
                      <w:sz w:val="24"/>
                      <w:szCs w:val="24"/>
                    </w:rPr>
                  </w:pPr>
                  <w:r>
                    <w:rPr>
                      <w:b/>
                      <w:color w:val="FFFFFF"/>
                      <w:sz w:val="24"/>
                      <w:szCs w:val="24"/>
                    </w:rPr>
                    <w:t>Hours</w:t>
                  </w:r>
                </w:p>
              </w:tc>
              <w:tc>
                <w:tcPr>
                  <w:tcW w:w="205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CA7453" w14:paraId="0B252E55" w14:textId="77777777">
                  <w:pPr>
                    <w:widowControl w:val="0"/>
                    <w:tabs>
                      <w:tab w:val="left" w:pos="657"/>
                    </w:tabs>
                    <w:spacing w:line="240" w:lineRule="auto"/>
                    <w:ind w:left="-20"/>
                    <w:jc w:val="center"/>
                    <w:rPr>
                      <w:b/>
                      <w:color w:val="FFFFFF"/>
                      <w:sz w:val="24"/>
                      <w:szCs w:val="24"/>
                    </w:rPr>
                  </w:pPr>
                  <w:r>
                    <w:rPr>
                      <w:b/>
                      <w:color w:val="FFFFFF"/>
                      <w:sz w:val="24"/>
                      <w:szCs w:val="24"/>
                    </w:rPr>
                    <w:t>Cost Per Response</w:t>
                  </w:r>
                </w:p>
              </w:tc>
            </w:tr>
            <w:tr w14:paraId="67C60587"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A7453" w14:paraId="3D9E1410" w14:textId="77777777">
                  <w:pPr>
                    <w:widowControl w:val="0"/>
                    <w:tabs>
                      <w:tab w:val="left" w:pos="657"/>
                    </w:tabs>
                    <w:spacing w:line="240" w:lineRule="auto"/>
                    <w:ind w:left="-20"/>
                    <w:jc w:val="center"/>
                    <w:rPr>
                      <w:sz w:val="24"/>
                      <w:szCs w:val="24"/>
                    </w:rPr>
                  </w:pPr>
                  <w:r>
                    <w:rPr>
                      <w:sz w:val="24"/>
                      <w:szCs w:val="24"/>
                    </w:rPr>
                    <w:t>Reporting</w:t>
                  </w:r>
                </w:p>
              </w:tc>
              <w:tc>
                <w:tcPr>
                  <w:tcW w:w="180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CA7453" w14:paraId="74746BF9" w14:textId="77777777">
                  <w:pPr>
                    <w:widowControl w:val="0"/>
                    <w:tabs>
                      <w:tab w:val="left" w:pos="657"/>
                    </w:tabs>
                    <w:spacing w:line="240" w:lineRule="auto"/>
                    <w:ind w:left="-20"/>
                    <w:jc w:val="center"/>
                    <w:rPr>
                      <w:sz w:val="24"/>
                      <w:szCs w:val="24"/>
                    </w:rPr>
                  </w:pPr>
                  <w:r>
                    <w:rPr>
                      <w:sz w:val="24"/>
                      <w:szCs w:val="24"/>
                    </w:rPr>
                    <w:t>1.5</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CA7453" w14:paraId="315F1835" w14:textId="77777777">
                  <w:pPr>
                    <w:widowControl w:val="0"/>
                    <w:tabs>
                      <w:tab w:val="left" w:pos="657"/>
                    </w:tabs>
                    <w:spacing w:line="240" w:lineRule="auto"/>
                    <w:ind w:left="-20"/>
                    <w:jc w:val="center"/>
                    <w:rPr>
                      <w:sz w:val="24"/>
                      <w:szCs w:val="24"/>
                    </w:rPr>
                  </w:pPr>
                  <w:r>
                    <w:rPr>
                      <w:sz w:val="24"/>
                      <w:szCs w:val="24"/>
                    </w:rPr>
                    <w:t>1.5</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CA7453" w14:paraId="283080B2" w14:textId="77777777">
                  <w:pPr>
                    <w:widowControl w:val="0"/>
                    <w:tabs>
                      <w:tab w:val="left" w:pos="657"/>
                    </w:tabs>
                    <w:spacing w:line="240" w:lineRule="auto"/>
                    <w:ind w:left="-20"/>
                    <w:jc w:val="center"/>
                    <w:rPr>
                      <w:sz w:val="24"/>
                      <w:szCs w:val="24"/>
                    </w:rPr>
                  </w:pPr>
                  <w:r>
                    <w:rPr>
                      <w:sz w:val="24"/>
                      <w:szCs w:val="24"/>
                    </w:rPr>
                    <w:t>$47</w:t>
                  </w:r>
                </w:p>
              </w:tc>
            </w:tr>
            <w:tr w14:paraId="5BF350A5"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A7453" w14:paraId="32CEF638" w14:textId="77777777">
                  <w:pPr>
                    <w:widowControl w:val="0"/>
                    <w:tabs>
                      <w:tab w:val="left" w:pos="657"/>
                    </w:tabs>
                    <w:spacing w:line="240" w:lineRule="auto"/>
                    <w:ind w:left="-20"/>
                    <w:jc w:val="center"/>
                    <w:rPr>
                      <w:sz w:val="24"/>
                      <w:szCs w:val="24"/>
                    </w:rPr>
                  </w:pPr>
                  <w:r>
                    <w:rPr>
                      <w:sz w:val="24"/>
                      <w:szCs w:val="24"/>
                    </w:rPr>
                    <w:t>Record Keeping</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A7453" w14:paraId="48C88495" w14:textId="77777777">
                  <w:pPr>
                    <w:widowControl w:val="0"/>
                    <w:spacing w:line="240" w:lineRule="auto"/>
                    <w:jc w:val="center"/>
                    <w:rPr>
                      <w:sz w:val="24"/>
                      <w:szCs w:val="24"/>
                    </w:rPr>
                  </w:pPr>
                  <w:r>
                    <w:rPr>
                      <w:sz w:val="24"/>
                      <w:szCs w:val="24"/>
                    </w:rPr>
                    <w:t>N/A</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CA7453" w14:paraId="4F93117C" w14:textId="77777777">
                  <w:pPr>
                    <w:widowControl w:val="0"/>
                    <w:spacing w:line="240" w:lineRule="auto"/>
                    <w:jc w:val="center"/>
                    <w:rPr>
                      <w:sz w:val="24"/>
                      <w:szCs w:val="24"/>
                    </w:rPr>
                  </w:pPr>
                  <w:r>
                    <w:rPr>
                      <w:sz w:val="24"/>
                      <w:szCs w:val="24"/>
                    </w:rPr>
                    <w:t>N/A</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CA7453" w14:paraId="58129537" w14:textId="77777777">
                  <w:pPr>
                    <w:widowControl w:val="0"/>
                    <w:spacing w:line="240" w:lineRule="auto"/>
                    <w:jc w:val="center"/>
                    <w:rPr>
                      <w:sz w:val="24"/>
                      <w:szCs w:val="24"/>
                    </w:rPr>
                  </w:pPr>
                  <w:r>
                    <w:rPr>
                      <w:sz w:val="24"/>
                      <w:szCs w:val="24"/>
                    </w:rPr>
                    <w:t>N/A</w:t>
                  </w:r>
                </w:p>
              </w:tc>
            </w:tr>
            <w:tr w14:paraId="7B04E3BD" w14:textId="77777777">
              <w:tblPrEx>
                <w:tblW w:w="7380" w:type="dxa"/>
                <w:tblLayout w:type="fixed"/>
                <w:tblLook w:val="0600"/>
              </w:tblPrEx>
              <w:trPr>
                <w:trHeight w:val="505"/>
              </w:trPr>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A7453" w14:paraId="2069B8D6" w14:textId="77777777">
                  <w:pPr>
                    <w:widowControl w:val="0"/>
                    <w:tabs>
                      <w:tab w:val="left" w:pos="657"/>
                    </w:tabs>
                    <w:spacing w:line="240" w:lineRule="auto"/>
                    <w:ind w:left="-20"/>
                    <w:jc w:val="center"/>
                    <w:rPr>
                      <w:sz w:val="24"/>
                      <w:szCs w:val="24"/>
                    </w:rPr>
                  </w:pPr>
                  <w:r>
                    <w:rPr>
                      <w:sz w:val="24"/>
                      <w:szCs w:val="24"/>
                    </w:rPr>
                    <w:t>Third Party Disclosure</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A7453" w14:paraId="12E4BCFE" w14:textId="77777777">
                  <w:pPr>
                    <w:widowControl w:val="0"/>
                    <w:spacing w:line="240" w:lineRule="auto"/>
                    <w:jc w:val="center"/>
                    <w:rPr>
                      <w:sz w:val="24"/>
                      <w:szCs w:val="24"/>
                    </w:rPr>
                  </w:pPr>
                  <w:r>
                    <w:rPr>
                      <w:sz w:val="24"/>
                      <w:szCs w:val="24"/>
                    </w:rPr>
                    <w:t>N/A</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CA7453" w14:paraId="6C33082E" w14:textId="77777777">
                  <w:pPr>
                    <w:widowControl w:val="0"/>
                    <w:spacing w:line="240" w:lineRule="auto"/>
                    <w:jc w:val="center"/>
                    <w:rPr>
                      <w:sz w:val="24"/>
                      <w:szCs w:val="24"/>
                    </w:rPr>
                  </w:pPr>
                  <w:r>
                    <w:rPr>
                      <w:sz w:val="24"/>
                      <w:szCs w:val="24"/>
                    </w:rPr>
                    <w:t>N/A</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CA7453" w14:paraId="7CCDB77B" w14:textId="77777777">
                  <w:pPr>
                    <w:widowControl w:val="0"/>
                    <w:spacing w:line="240" w:lineRule="auto"/>
                    <w:jc w:val="center"/>
                    <w:rPr>
                      <w:sz w:val="24"/>
                      <w:szCs w:val="24"/>
                    </w:rPr>
                  </w:pPr>
                  <w:r>
                    <w:rPr>
                      <w:sz w:val="24"/>
                      <w:szCs w:val="24"/>
                    </w:rPr>
                    <w:t>N/A</w:t>
                  </w:r>
                </w:p>
              </w:tc>
            </w:tr>
            <w:tr w14:paraId="5120E966"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A7453" w14:paraId="05A1C5D2" w14:textId="77777777">
                  <w:pPr>
                    <w:widowControl w:val="0"/>
                    <w:tabs>
                      <w:tab w:val="left" w:pos="657"/>
                    </w:tabs>
                    <w:spacing w:line="240" w:lineRule="auto"/>
                    <w:ind w:left="-20"/>
                    <w:jc w:val="center"/>
                    <w:rPr>
                      <w:sz w:val="24"/>
                      <w:szCs w:val="24"/>
                    </w:rPr>
                  </w:pPr>
                  <w:r>
                    <w:rPr>
                      <w:sz w:val="24"/>
                      <w:szCs w:val="24"/>
                    </w:rPr>
                    <w:t>Total</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A7453" w14:paraId="2A2EBC04" w14:textId="77777777">
                  <w:pPr>
                    <w:widowControl w:val="0"/>
                    <w:spacing w:line="240" w:lineRule="auto"/>
                    <w:jc w:val="center"/>
                    <w:rPr>
                      <w:sz w:val="24"/>
                      <w:szCs w:val="24"/>
                    </w:rPr>
                  </w:pPr>
                  <w:r>
                    <w:rPr>
                      <w:sz w:val="24"/>
                      <w:szCs w:val="24"/>
                    </w:rPr>
                    <w:t>1.5</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CA7453" w14:paraId="5DEFBE2B" w14:textId="77777777">
                  <w:pPr>
                    <w:widowControl w:val="0"/>
                    <w:spacing w:line="240" w:lineRule="auto"/>
                    <w:jc w:val="center"/>
                    <w:rPr>
                      <w:sz w:val="24"/>
                      <w:szCs w:val="24"/>
                    </w:rPr>
                  </w:pPr>
                  <w:r>
                    <w:rPr>
                      <w:sz w:val="24"/>
                      <w:szCs w:val="24"/>
                    </w:rPr>
                    <w:t>1.5</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CA7453" w14:paraId="515F53DB" w14:textId="77777777">
                  <w:pPr>
                    <w:widowControl w:val="0"/>
                    <w:tabs>
                      <w:tab w:val="left" w:pos="657"/>
                    </w:tabs>
                    <w:spacing w:line="240" w:lineRule="auto"/>
                    <w:ind w:left="-20"/>
                    <w:jc w:val="center"/>
                    <w:rPr>
                      <w:sz w:val="24"/>
                      <w:szCs w:val="24"/>
                    </w:rPr>
                  </w:pPr>
                  <w:r>
                    <w:rPr>
                      <w:sz w:val="24"/>
                      <w:szCs w:val="24"/>
                    </w:rPr>
                    <w:t>$47</w:t>
                  </w:r>
                </w:p>
              </w:tc>
            </w:tr>
          </w:tbl>
          <w:p w:rsidR="00CA7453" w14:paraId="76A6DD05" w14:textId="77777777">
            <w:pPr>
              <w:widowControl w:val="0"/>
              <w:tabs>
                <w:tab w:val="left" w:pos="657"/>
              </w:tabs>
              <w:spacing w:line="240" w:lineRule="auto"/>
              <w:ind w:left="-20"/>
              <w:rPr>
                <w:sz w:val="24"/>
                <w:szCs w:val="24"/>
              </w:rPr>
            </w:pPr>
          </w:p>
          <w:p w:rsidR="00CA7453" w14:paraId="7A7A0964" w14:textId="77777777">
            <w:pPr>
              <w:widowControl w:val="0"/>
              <w:tabs>
                <w:tab w:val="left" w:pos="657"/>
              </w:tabs>
              <w:spacing w:line="240" w:lineRule="auto"/>
              <w:ind w:left="-20"/>
              <w:rPr>
                <w:sz w:val="24"/>
                <w:szCs w:val="24"/>
              </w:rPr>
            </w:pPr>
          </w:p>
        </w:tc>
        <w:tc>
          <w:tcPr>
            <w:tcW w:w="105" w:type="dxa"/>
            <w:tcBorders>
              <w:top w:val="nil"/>
              <w:left w:val="nil"/>
              <w:bottom w:val="nil"/>
              <w:right w:val="nil"/>
            </w:tcBorders>
            <w:tcMar>
              <w:top w:w="0" w:type="dxa"/>
              <w:left w:w="0" w:type="dxa"/>
              <w:bottom w:w="0" w:type="dxa"/>
              <w:right w:w="0" w:type="dxa"/>
            </w:tcMar>
          </w:tcPr>
          <w:p w:rsidR="00CA7453" w14:paraId="36C735D8" w14:textId="77777777">
            <w:pPr>
              <w:widowControl w:val="0"/>
              <w:tabs>
                <w:tab w:val="left" w:pos="657"/>
              </w:tabs>
              <w:spacing w:line="240" w:lineRule="auto"/>
              <w:ind w:left="-20"/>
              <w:rPr>
                <w:sz w:val="24"/>
                <w:szCs w:val="24"/>
              </w:rPr>
            </w:pPr>
            <w:r>
              <w:rPr>
                <w:sz w:val="24"/>
                <w:szCs w:val="24"/>
              </w:rPr>
              <w:t xml:space="preserve"> </w:t>
            </w:r>
          </w:p>
        </w:tc>
      </w:tr>
      <w:tr w14:paraId="1D3DFE0B" w14:textId="77777777">
        <w:tblPrEx>
          <w:tblW w:w="9360" w:type="dxa"/>
          <w:tblLayout w:type="fixed"/>
          <w:tblLook w:val="0600"/>
        </w:tblPrEx>
        <w:trPr>
          <w:trHeight w:val="2595"/>
        </w:trPr>
        <w:tc>
          <w:tcPr>
            <w:tcW w:w="9360" w:type="dxa"/>
            <w:gridSpan w:val="2"/>
            <w:tcBorders>
              <w:top w:val="nil"/>
              <w:left w:val="nil"/>
              <w:bottom w:val="nil"/>
              <w:right w:val="nil"/>
            </w:tcBorders>
            <w:tcMar>
              <w:top w:w="20" w:type="dxa"/>
              <w:left w:w="20" w:type="dxa"/>
              <w:bottom w:w="20" w:type="dxa"/>
              <w:right w:w="20" w:type="dxa"/>
            </w:tcMar>
          </w:tcPr>
          <w:p w:rsidR="00CA7453" w14:paraId="4D3AC195" w14:textId="77777777">
            <w:pPr>
              <w:widowControl w:val="0"/>
              <w:tabs>
                <w:tab w:val="left" w:pos="657"/>
              </w:tabs>
              <w:spacing w:line="240" w:lineRule="auto"/>
              <w:ind w:left="-20"/>
              <w:rPr>
                <w:sz w:val="24"/>
                <w:szCs w:val="24"/>
              </w:rPr>
            </w:pPr>
            <w:r>
              <w:rPr>
                <w:sz w:val="24"/>
                <w:szCs w:val="24"/>
              </w:rPr>
              <w:t>Annual Burden:</w:t>
            </w:r>
          </w:p>
          <w:tbl>
            <w:tblPr>
              <w:tblStyle w:val="a2"/>
              <w:tblW w:w="7365" w:type="dxa"/>
              <w:tblBorders>
                <w:top w:val="nil"/>
                <w:left w:val="nil"/>
                <w:bottom w:val="nil"/>
                <w:right w:val="nil"/>
                <w:insideH w:val="nil"/>
                <w:insideV w:val="nil"/>
              </w:tblBorders>
              <w:tblLayout w:type="fixed"/>
              <w:tblLook w:val="0600"/>
            </w:tblPr>
            <w:tblGrid>
              <w:gridCol w:w="1785"/>
              <w:gridCol w:w="2430"/>
              <w:gridCol w:w="3150"/>
            </w:tblGrid>
            <w:tr w14:paraId="1F08E5B7" w14:textId="77777777">
              <w:tblPrEx>
                <w:tblW w:w="7365" w:type="dxa"/>
                <w:tblBorders>
                  <w:top w:val="nil"/>
                  <w:left w:val="nil"/>
                  <w:bottom w:val="nil"/>
                  <w:right w:val="nil"/>
                  <w:insideH w:val="nil"/>
                  <w:insideV w:val="nil"/>
                </w:tblBorders>
                <w:tblLayout w:type="fixed"/>
                <w:tblLook w:val="0600"/>
              </w:tblPrEx>
              <w:trPr>
                <w:trHeight w:val="547"/>
              </w:trPr>
              <w:tc>
                <w:tcPr>
                  <w:tcW w:w="1785"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CA7453" w14:paraId="62214D84" w14:textId="77777777">
                  <w:pPr>
                    <w:widowControl w:val="0"/>
                    <w:tabs>
                      <w:tab w:val="left" w:pos="657"/>
                    </w:tabs>
                    <w:spacing w:line="240" w:lineRule="auto"/>
                    <w:ind w:left="-20"/>
                    <w:jc w:val="center"/>
                    <w:rPr>
                      <w:b/>
                      <w:color w:val="FFFFFF"/>
                      <w:sz w:val="24"/>
                      <w:szCs w:val="24"/>
                    </w:rPr>
                  </w:pPr>
                  <w:r>
                    <w:rPr>
                      <w:b/>
                      <w:color w:val="FFFFFF"/>
                      <w:sz w:val="24"/>
                      <w:szCs w:val="24"/>
                    </w:rPr>
                    <w:t xml:space="preserve"> </w:t>
                  </w:r>
                </w:p>
              </w:tc>
              <w:tc>
                <w:tcPr>
                  <w:tcW w:w="243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CA7453" w14:paraId="32A7995F" w14:textId="77777777">
                  <w:pPr>
                    <w:widowControl w:val="0"/>
                    <w:tabs>
                      <w:tab w:val="left" w:pos="657"/>
                    </w:tabs>
                    <w:spacing w:line="240" w:lineRule="auto"/>
                    <w:ind w:left="-20"/>
                    <w:jc w:val="center"/>
                    <w:rPr>
                      <w:b/>
                      <w:color w:val="FFFFFF"/>
                      <w:sz w:val="24"/>
                      <w:szCs w:val="24"/>
                    </w:rPr>
                  </w:pPr>
                  <w:r>
                    <w:rPr>
                      <w:b/>
                      <w:color w:val="FFFFFF"/>
                      <w:sz w:val="24"/>
                      <w:szCs w:val="24"/>
                    </w:rPr>
                    <w:t>Annual Time Burden (Hours)</w:t>
                  </w:r>
                </w:p>
              </w:tc>
              <w:tc>
                <w:tcPr>
                  <w:tcW w:w="315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CA7453" w14:paraId="62B391E0" w14:textId="77777777">
                  <w:pPr>
                    <w:widowControl w:val="0"/>
                    <w:tabs>
                      <w:tab w:val="left" w:pos="657"/>
                    </w:tabs>
                    <w:spacing w:line="240" w:lineRule="auto"/>
                    <w:ind w:left="-20"/>
                    <w:jc w:val="center"/>
                    <w:rPr>
                      <w:b/>
                      <w:color w:val="FFFFFF"/>
                      <w:sz w:val="24"/>
                      <w:szCs w:val="24"/>
                    </w:rPr>
                  </w:pPr>
                  <w:r>
                    <w:rPr>
                      <w:b/>
                      <w:color w:val="FFFFFF"/>
                      <w:sz w:val="24"/>
                      <w:szCs w:val="24"/>
                    </w:rPr>
                    <w:t>Annual Cost Burden</w:t>
                  </w:r>
                </w:p>
                <w:p w:rsidR="00CA7453" w14:paraId="1DF01957" w14:textId="77777777">
                  <w:pPr>
                    <w:widowControl w:val="0"/>
                    <w:tabs>
                      <w:tab w:val="left" w:pos="657"/>
                    </w:tabs>
                    <w:spacing w:line="240" w:lineRule="auto"/>
                    <w:ind w:left="-20"/>
                    <w:jc w:val="center"/>
                    <w:rPr>
                      <w:b/>
                      <w:color w:val="FFFFFF"/>
                      <w:sz w:val="24"/>
                      <w:szCs w:val="24"/>
                    </w:rPr>
                  </w:pPr>
                  <w:r>
                    <w:rPr>
                      <w:b/>
                      <w:color w:val="FFFFFF"/>
                      <w:sz w:val="24"/>
                      <w:szCs w:val="24"/>
                    </w:rPr>
                    <w:t>(Dollars)</w:t>
                  </w:r>
                </w:p>
              </w:tc>
            </w:tr>
            <w:tr w14:paraId="10CAAF86"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A7453" w14:paraId="33615F6B" w14:textId="77777777">
                  <w:pPr>
                    <w:widowControl w:val="0"/>
                    <w:tabs>
                      <w:tab w:val="left" w:pos="657"/>
                    </w:tabs>
                    <w:spacing w:line="240" w:lineRule="auto"/>
                    <w:ind w:left="-20"/>
                    <w:jc w:val="center"/>
                    <w:rPr>
                      <w:sz w:val="24"/>
                      <w:szCs w:val="24"/>
                    </w:rPr>
                  </w:pPr>
                  <w:r>
                    <w:rPr>
                      <w:sz w:val="24"/>
                      <w:szCs w:val="24"/>
                    </w:rPr>
                    <w:t>Reporting</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CA7453" w14:paraId="39965FB7" w14:textId="77777777">
                  <w:pPr>
                    <w:widowControl w:val="0"/>
                    <w:tabs>
                      <w:tab w:val="left" w:pos="657"/>
                    </w:tabs>
                    <w:spacing w:line="240" w:lineRule="auto"/>
                    <w:ind w:left="-20"/>
                    <w:jc w:val="center"/>
                    <w:rPr>
                      <w:sz w:val="24"/>
                      <w:szCs w:val="24"/>
                    </w:rPr>
                  </w:pPr>
                  <w:r>
                    <w:rPr>
                      <w:sz w:val="24"/>
                      <w:szCs w:val="24"/>
                    </w:rPr>
                    <w:t>1,563</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CA7453" w14:paraId="58E2D322" w14:textId="77777777">
                  <w:pPr>
                    <w:widowControl w:val="0"/>
                    <w:tabs>
                      <w:tab w:val="left" w:pos="657"/>
                    </w:tabs>
                    <w:spacing w:line="240" w:lineRule="auto"/>
                    <w:ind w:left="-20"/>
                    <w:jc w:val="center"/>
                    <w:rPr>
                      <w:sz w:val="24"/>
                      <w:szCs w:val="24"/>
                    </w:rPr>
                  </w:pPr>
                  <w:r>
                    <w:rPr>
                      <w:sz w:val="24"/>
                      <w:szCs w:val="24"/>
                    </w:rPr>
                    <w:t>$45,756</w:t>
                  </w:r>
                </w:p>
              </w:tc>
            </w:tr>
            <w:tr w14:paraId="6738CAA9"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A7453" w14:paraId="4ABC57EF" w14:textId="77777777">
                  <w:pPr>
                    <w:widowControl w:val="0"/>
                    <w:tabs>
                      <w:tab w:val="left" w:pos="657"/>
                    </w:tabs>
                    <w:spacing w:line="240" w:lineRule="auto"/>
                    <w:ind w:left="-20"/>
                    <w:jc w:val="center"/>
                    <w:rPr>
                      <w:sz w:val="24"/>
                      <w:szCs w:val="24"/>
                    </w:rPr>
                  </w:pPr>
                  <w:r>
                    <w:rPr>
                      <w:sz w:val="24"/>
                      <w:szCs w:val="24"/>
                    </w:rPr>
                    <w:t>Record Keeping</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CA7453" w14:paraId="368644C4" w14:textId="77777777">
                  <w:pPr>
                    <w:widowControl w:val="0"/>
                    <w:tabs>
                      <w:tab w:val="left" w:pos="657"/>
                    </w:tabs>
                    <w:spacing w:line="240" w:lineRule="auto"/>
                    <w:ind w:left="-20"/>
                    <w:jc w:val="center"/>
                    <w:rPr>
                      <w:sz w:val="24"/>
                      <w:szCs w:val="24"/>
                    </w:rPr>
                  </w:pPr>
                  <w:r>
                    <w:rPr>
                      <w:sz w:val="24"/>
                      <w:szCs w:val="24"/>
                    </w:rPr>
                    <w:t>N/A</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CA7453" w14:paraId="5808DDFB" w14:textId="77777777">
                  <w:pPr>
                    <w:widowControl w:val="0"/>
                    <w:tabs>
                      <w:tab w:val="left" w:pos="657"/>
                    </w:tabs>
                    <w:spacing w:line="240" w:lineRule="auto"/>
                    <w:ind w:left="-20"/>
                    <w:jc w:val="center"/>
                    <w:rPr>
                      <w:sz w:val="24"/>
                      <w:szCs w:val="24"/>
                    </w:rPr>
                  </w:pPr>
                  <w:r>
                    <w:rPr>
                      <w:sz w:val="24"/>
                      <w:szCs w:val="24"/>
                    </w:rPr>
                    <w:t xml:space="preserve">N/A </w:t>
                  </w:r>
                </w:p>
              </w:tc>
            </w:tr>
            <w:tr w14:paraId="7BE2F3FE" w14:textId="77777777">
              <w:tblPrEx>
                <w:tblW w:w="7365" w:type="dxa"/>
                <w:tblLayout w:type="fixed"/>
                <w:tblLook w:val="0600"/>
              </w:tblPrEx>
              <w:trPr>
                <w:trHeight w:val="577"/>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A7453" w14:paraId="08C3A57E" w14:textId="77777777">
                  <w:pPr>
                    <w:widowControl w:val="0"/>
                    <w:tabs>
                      <w:tab w:val="left" w:pos="657"/>
                    </w:tabs>
                    <w:spacing w:line="240" w:lineRule="auto"/>
                    <w:ind w:left="-20"/>
                    <w:jc w:val="center"/>
                    <w:rPr>
                      <w:sz w:val="24"/>
                      <w:szCs w:val="24"/>
                    </w:rPr>
                  </w:pPr>
                  <w:r>
                    <w:rPr>
                      <w:sz w:val="24"/>
                      <w:szCs w:val="24"/>
                    </w:rPr>
                    <w:t>Third Party Disclosure</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CA7453" w14:paraId="54B07C0F" w14:textId="77777777">
                  <w:pPr>
                    <w:widowControl w:val="0"/>
                    <w:tabs>
                      <w:tab w:val="left" w:pos="657"/>
                    </w:tabs>
                    <w:spacing w:line="240" w:lineRule="auto"/>
                    <w:ind w:left="-20"/>
                    <w:jc w:val="center"/>
                    <w:rPr>
                      <w:sz w:val="24"/>
                      <w:szCs w:val="24"/>
                    </w:rPr>
                  </w:pPr>
                  <w:r>
                    <w:rPr>
                      <w:sz w:val="24"/>
                      <w:szCs w:val="24"/>
                    </w:rPr>
                    <w:t>N/A</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CA7453" w14:paraId="11942883" w14:textId="77777777">
                  <w:pPr>
                    <w:widowControl w:val="0"/>
                    <w:tabs>
                      <w:tab w:val="left" w:pos="657"/>
                    </w:tabs>
                    <w:spacing w:line="240" w:lineRule="auto"/>
                    <w:ind w:left="-20"/>
                    <w:jc w:val="center"/>
                    <w:rPr>
                      <w:sz w:val="24"/>
                      <w:szCs w:val="24"/>
                    </w:rPr>
                  </w:pPr>
                  <w:r>
                    <w:rPr>
                      <w:sz w:val="24"/>
                      <w:szCs w:val="24"/>
                    </w:rPr>
                    <w:t xml:space="preserve">N/A </w:t>
                  </w:r>
                </w:p>
              </w:tc>
            </w:tr>
            <w:tr w14:paraId="3A5E0F7D"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A7453" w14:paraId="4CB73F46" w14:textId="77777777">
                  <w:pPr>
                    <w:widowControl w:val="0"/>
                    <w:tabs>
                      <w:tab w:val="left" w:pos="657"/>
                    </w:tabs>
                    <w:spacing w:line="240" w:lineRule="auto"/>
                    <w:ind w:left="-20"/>
                    <w:jc w:val="center"/>
                    <w:rPr>
                      <w:sz w:val="24"/>
                      <w:szCs w:val="24"/>
                    </w:rPr>
                  </w:pPr>
                  <w:r>
                    <w:rPr>
                      <w:sz w:val="24"/>
                      <w:szCs w:val="24"/>
                    </w:rPr>
                    <w:t>Total</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CA7453" w14:paraId="2D033EC4" w14:textId="77777777">
                  <w:pPr>
                    <w:widowControl w:val="0"/>
                    <w:tabs>
                      <w:tab w:val="left" w:pos="657"/>
                    </w:tabs>
                    <w:spacing w:line="240" w:lineRule="auto"/>
                    <w:ind w:left="-20"/>
                    <w:jc w:val="center"/>
                    <w:rPr>
                      <w:sz w:val="24"/>
                      <w:szCs w:val="24"/>
                    </w:rPr>
                  </w:pPr>
                  <w:r>
                    <w:rPr>
                      <w:sz w:val="24"/>
                      <w:szCs w:val="24"/>
                    </w:rPr>
                    <w:t>1,563</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CA7453" w14:paraId="708BB2FA" w14:textId="77777777">
                  <w:pPr>
                    <w:widowControl w:val="0"/>
                    <w:tabs>
                      <w:tab w:val="left" w:pos="657"/>
                    </w:tabs>
                    <w:spacing w:line="240" w:lineRule="auto"/>
                    <w:ind w:left="-20"/>
                    <w:jc w:val="center"/>
                    <w:rPr>
                      <w:sz w:val="24"/>
                      <w:szCs w:val="24"/>
                    </w:rPr>
                  </w:pPr>
                  <w:r>
                    <w:rPr>
                      <w:sz w:val="24"/>
                      <w:szCs w:val="24"/>
                    </w:rPr>
                    <w:t>$45,756</w:t>
                  </w:r>
                </w:p>
              </w:tc>
            </w:tr>
          </w:tbl>
          <w:p w:rsidR="00CA7453" w14:paraId="45851330" w14:textId="77777777">
            <w:pPr>
              <w:widowControl w:val="0"/>
              <w:tabs>
                <w:tab w:val="left" w:pos="657"/>
              </w:tabs>
              <w:spacing w:line="240" w:lineRule="auto"/>
              <w:rPr>
                <w:b/>
                <w:sz w:val="24"/>
                <w:szCs w:val="24"/>
                <w:u w:val="single"/>
              </w:rPr>
            </w:pPr>
          </w:p>
        </w:tc>
      </w:tr>
    </w:tbl>
    <w:p w:rsidR="00CA7453" w14:paraId="6E47AB28" w14:textId="77777777">
      <w:pPr>
        <w:widowControl w:val="0"/>
        <w:tabs>
          <w:tab w:val="left" w:pos="657"/>
        </w:tabs>
        <w:spacing w:line="240" w:lineRule="auto"/>
        <w:rPr>
          <w:b/>
          <w:sz w:val="24"/>
          <w:szCs w:val="24"/>
          <w:u w:val="single"/>
        </w:rPr>
      </w:pPr>
      <w:r>
        <w:rPr>
          <w:b/>
          <w:sz w:val="24"/>
          <w:szCs w:val="24"/>
          <w:u w:val="single"/>
        </w:rPr>
        <w:t>13. Estimated Nonrecurring Costs.</w:t>
      </w:r>
    </w:p>
    <w:p w:rsidR="00CA7453" w14:paraId="4E7E2274" w14:textId="77777777">
      <w:pPr>
        <w:widowControl w:val="0"/>
        <w:tabs>
          <w:tab w:val="left" w:pos="657"/>
        </w:tabs>
        <w:spacing w:line="240" w:lineRule="auto"/>
        <w:ind w:left="720"/>
        <w:rPr>
          <w:b/>
          <w:sz w:val="24"/>
          <w:szCs w:val="24"/>
          <w:u w:val="single"/>
        </w:rPr>
      </w:pPr>
    </w:p>
    <w:p w:rsidR="00CA7453" w14:paraId="57FC9EF8" w14:textId="77777777">
      <w:pPr>
        <w:widowControl w:val="0"/>
        <w:tabs>
          <w:tab w:val="left" w:pos="657"/>
        </w:tabs>
        <w:spacing w:line="240" w:lineRule="auto"/>
        <w:rPr>
          <w:sz w:val="24"/>
          <w:szCs w:val="24"/>
        </w:rPr>
      </w:pPr>
      <w:r>
        <w:rPr>
          <w:sz w:val="24"/>
          <w:szCs w:val="24"/>
        </w:rPr>
        <w:t>Not applicable to this information collection.</w:t>
      </w:r>
    </w:p>
    <w:p w:rsidR="00CA7453" w14:paraId="116B8057" w14:textId="77777777">
      <w:pPr>
        <w:spacing w:line="240" w:lineRule="auto"/>
        <w:rPr>
          <w:sz w:val="24"/>
          <w:szCs w:val="24"/>
        </w:rPr>
      </w:pPr>
    </w:p>
    <w:p w:rsidR="00CA7453" w14:paraId="642740D3" w14:textId="77777777">
      <w:pPr>
        <w:widowControl w:val="0"/>
        <w:tabs>
          <w:tab w:val="left" w:pos="657"/>
        </w:tabs>
        <w:spacing w:line="240" w:lineRule="auto"/>
        <w:rPr>
          <w:b/>
          <w:sz w:val="24"/>
          <w:szCs w:val="24"/>
          <w:u w:val="single"/>
        </w:rPr>
      </w:pPr>
      <w:r>
        <w:rPr>
          <w:b/>
          <w:sz w:val="24"/>
          <w:szCs w:val="24"/>
          <w:u w:val="single"/>
        </w:rPr>
        <w:t>14. Estimated Cost of the Government</w:t>
      </w:r>
    </w:p>
    <w:p w:rsidR="00CA7453" w14:paraId="50EED9D5" w14:textId="77777777">
      <w:pPr>
        <w:widowControl w:val="0"/>
        <w:tabs>
          <w:tab w:val="left" w:pos="657"/>
        </w:tabs>
        <w:spacing w:line="240" w:lineRule="auto"/>
        <w:rPr>
          <w:b/>
          <w:sz w:val="24"/>
          <w:szCs w:val="24"/>
          <w:u w:val="single"/>
        </w:rPr>
      </w:pPr>
    </w:p>
    <w:p w:rsidR="00CA7453" w14:paraId="7627B1E4" w14:textId="77777777">
      <w:pPr>
        <w:spacing w:line="240" w:lineRule="auto"/>
        <w:rPr>
          <w:sz w:val="24"/>
          <w:szCs w:val="24"/>
        </w:rPr>
      </w:pPr>
      <w:r>
        <w:rPr>
          <w:sz w:val="24"/>
          <w:szCs w:val="24"/>
        </w:rPr>
        <w:t>The forms must be reviewed and analyzed by representatives in the Credit and Finance Division. This processing time is estimated at approximately 1 hour.</w:t>
      </w:r>
    </w:p>
    <w:p w:rsidR="00CA7453" w14:paraId="6BE07F25" w14:textId="77777777">
      <w:pPr>
        <w:spacing w:line="240" w:lineRule="auto"/>
        <w:rPr>
          <w:sz w:val="24"/>
          <w:szCs w:val="24"/>
        </w:rPr>
      </w:pPr>
      <w:r>
        <w:rPr>
          <w:sz w:val="24"/>
          <w:szCs w:val="24"/>
        </w:rPr>
        <w:t xml:space="preserve"> </w:t>
      </w:r>
    </w:p>
    <w:p w:rsidR="00CA7453" w14:paraId="1E7AB072" w14:textId="77777777">
      <w:pPr>
        <w:tabs>
          <w:tab w:val="left" w:pos="5760"/>
        </w:tabs>
        <w:spacing w:line="240" w:lineRule="auto"/>
        <w:rPr>
          <w:sz w:val="24"/>
          <w:szCs w:val="24"/>
        </w:rPr>
      </w:pPr>
      <w:r>
        <w:rPr>
          <w:sz w:val="24"/>
          <w:szCs w:val="24"/>
        </w:rPr>
        <w:t>Estimated Respondents Per Year:</w:t>
      </w:r>
      <w:r>
        <w:rPr>
          <w:sz w:val="24"/>
          <w:szCs w:val="24"/>
        </w:rPr>
        <w:tab/>
        <w:t>868</w:t>
      </w:r>
    </w:p>
    <w:p w:rsidR="00CA7453" w14:paraId="63CFBE95" w14:textId="77777777">
      <w:pPr>
        <w:tabs>
          <w:tab w:val="left" w:pos="5760"/>
        </w:tabs>
        <w:spacing w:line="240" w:lineRule="auto"/>
        <w:rPr>
          <w:sz w:val="24"/>
          <w:szCs w:val="24"/>
          <w:u w:val="single"/>
        </w:rPr>
      </w:pPr>
      <w:r>
        <w:rPr>
          <w:sz w:val="24"/>
          <w:szCs w:val="24"/>
        </w:rPr>
        <w:t>Estimated Responses Per Respondent:</w:t>
      </w:r>
      <w:r>
        <w:rPr>
          <w:sz w:val="24"/>
          <w:szCs w:val="24"/>
        </w:rPr>
        <w:tab/>
      </w:r>
      <w:r>
        <w:rPr>
          <w:sz w:val="24"/>
          <w:szCs w:val="24"/>
          <w:u w:val="single"/>
        </w:rPr>
        <w:t>x  1.2</w:t>
      </w:r>
    </w:p>
    <w:p w:rsidR="00CA7453" w14:paraId="33CF4AAC" w14:textId="77777777">
      <w:pPr>
        <w:tabs>
          <w:tab w:val="left" w:pos="5760"/>
        </w:tabs>
        <w:spacing w:line="240" w:lineRule="auto"/>
        <w:rPr>
          <w:sz w:val="24"/>
          <w:szCs w:val="24"/>
        </w:rPr>
      </w:pPr>
      <w:r>
        <w:rPr>
          <w:sz w:val="24"/>
          <w:szCs w:val="24"/>
        </w:rPr>
        <w:t>Total Annual Responses:</w:t>
      </w:r>
      <w:r>
        <w:rPr>
          <w:sz w:val="24"/>
          <w:szCs w:val="24"/>
        </w:rPr>
        <w:tab/>
        <w:t>1,042</w:t>
      </w:r>
      <w:r>
        <w:rPr>
          <w:sz w:val="24"/>
          <w:szCs w:val="24"/>
        </w:rPr>
        <w:tab/>
      </w:r>
      <w:r>
        <w:rPr>
          <w:sz w:val="24"/>
          <w:szCs w:val="24"/>
        </w:rPr>
        <w:tab/>
      </w:r>
      <w:r>
        <w:rPr>
          <w:sz w:val="24"/>
          <w:szCs w:val="24"/>
        </w:rPr>
        <w:tab/>
      </w:r>
      <w:r>
        <w:rPr>
          <w:sz w:val="24"/>
          <w:szCs w:val="24"/>
        </w:rPr>
        <w:tab/>
      </w:r>
      <w:r>
        <w:rPr>
          <w:sz w:val="24"/>
          <w:szCs w:val="24"/>
        </w:rPr>
        <w:tab/>
      </w:r>
    </w:p>
    <w:p w:rsidR="00CA7453" w14:paraId="32707B95" w14:textId="77777777">
      <w:pPr>
        <w:tabs>
          <w:tab w:val="left" w:pos="5760"/>
        </w:tabs>
        <w:spacing w:line="240" w:lineRule="auto"/>
        <w:rPr>
          <w:sz w:val="24"/>
          <w:szCs w:val="24"/>
          <w:u w:val="single"/>
        </w:rPr>
      </w:pPr>
      <w:r>
        <w:rPr>
          <w:sz w:val="24"/>
          <w:szCs w:val="24"/>
        </w:rPr>
        <w:t>Estimated Burden Hours Per Response:</w:t>
      </w:r>
      <w:r>
        <w:rPr>
          <w:sz w:val="24"/>
          <w:szCs w:val="24"/>
        </w:rPr>
        <w:tab/>
      </w:r>
      <w:r>
        <w:rPr>
          <w:sz w:val="24"/>
          <w:szCs w:val="24"/>
          <w:u w:val="single"/>
        </w:rPr>
        <w:t>x  1.5</w:t>
      </w:r>
    </w:p>
    <w:p w:rsidR="00CA7453" w14:paraId="2041C777" w14:textId="77777777">
      <w:pPr>
        <w:tabs>
          <w:tab w:val="left" w:pos="5760"/>
        </w:tabs>
        <w:spacing w:line="240" w:lineRule="auto"/>
        <w:rPr>
          <w:sz w:val="24"/>
          <w:szCs w:val="24"/>
        </w:rPr>
      </w:pPr>
      <w:r>
        <w:rPr>
          <w:sz w:val="24"/>
          <w:szCs w:val="24"/>
        </w:rPr>
        <w:t>Total Estimated Burden Hours:</w:t>
      </w:r>
      <w:r>
        <w:rPr>
          <w:sz w:val="24"/>
          <w:szCs w:val="24"/>
        </w:rPr>
        <w:tab/>
        <w:t>1563</w:t>
      </w:r>
    </w:p>
    <w:p w:rsidR="00CA7453" w14:paraId="168DECE3" w14:textId="77777777">
      <w:pPr>
        <w:tabs>
          <w:tab w:val="left" w:pos="5760"/>
        </w:tabs>
        <w:spacing w:line="240" w:lineRule="auto"/>
        <w:rPr>
          <w:sz w:val="24"/>
          <w:szCs w:val="24"/>
          <w:u w:val="single"/>
        </w:rPr>
      </w:pPr>
      <w:r>
        <w:rPr>
          <w:sz w:val="24"/>
          <w:szCs w:val="24"/>
        </w:rPr>
        <w:t>Estimated Cost Per Hour:</w:t>
      </w:r>
      <w:r>
        <w:rPr>
          <w:sz w:val="24"/>
          <w:szCs w:val="24"/>
        </w:rPr>
        <w:tab/>
      </w:r>
      <w:r>
        <w:rPr>
          <w:sz w:val="24"/>
          <w:szCs w:val="24"/>
          <w:u w:val="single"/>
        </w:rPr>
        <w:t>x  $</w:t>
      </w:r>
      <w:r>
        <w:rPr>
          <w:sz w:val="24"/>
          <w:szCs w:val="24"/>
          <w:u w:val="single"/>
        </w:rPr>
        <w:t>64.34**</w:t>
      </w:r>
    </w:p>
    <w:p w:rsidR="00CA7453" w14:paraId="5DC56CF9" w14:textId="77777777">
      <w:pPr>
        <w:tabs>
          <w:tab w:val="left" w:pos="5760"/>
        </w:tabs>
        <w:spacing w:line="240" w:lineRule="auto"/>
        <w:rPr>
          <w:sz w:val="24"/>
          <w:szCs w:val="24"/>
        </w:rPr>
      </w:pPr>
      <w:r>
        <w:rPr>
          <w:sz w:val="24"/>
          <w:szCs w:val="24"/>
        </w:rPr>
        <w:t>Total Estimated Annual Cost Burden:</w:t>
      </w:r>
      <w:r>
        <w:rPr>
          <w:sz w:val="24"/>
          <w:szCs w:val="24"/>
        </w:rPr>
        <w:tab/>
        <w:t>$100,563</w:t>
      </w:r>
    </w:p>
    <w:p w:rsidR="00CA7453" w14:paraId="79F2623F" w14:textId="77777777">
      <w:pPr>
        <w:spacing w:line="240" w:lineRule="auto"/>
        <w:rPr>
          <w:sz w:val="24"/>
          <w:szCs w:val="24"/>
        </w:rPr>
      </w:pPr>
    </w:p>
    <w:p w:rsidR="00CA7453" w14:paraId="62B00A43" w14:textId="77777777">
      <w:pPr>
        <w:spacing w:line="240" w:lineRule="auto"/>
        <w:rPr>
          <w:sz w:val="24"/>
          <w:szCs w:val="24"/>
        </w:rPr>
      </w:pPr>
      <w:r>
        <w:rPr>
          <w:sz w:val="24"/>
          <w:szCs w:val="24"/>
        </w:rPr>
        <w:t xml:space="preserve">** The estimated cost of $64.34 per hour is based on the task being accomplished by personnel equivalent to a GS-12, Step 5 (Base Pay and Rest of US Locality Pay) (Salary Table 2023-RUS, General Schedule, Effective January 2023), with fringe of 36.25% (OMB Memo M-08-13). </w:t>
      </w:r>
    </w:p>
    <w:p w:rsidR="00CA7453" w14:paraId="1686A474" w14:textId="77777777">
      <w:pPr>
        <w:widowControl w:val="0"/>
        <w:tabs>
          <w:tab w:val="left" w:pos="657"/>
        </w:tabs>
        <w:spacing w:line="240" w:lineRule="auto"/>
        <w:rPr>
          <w:b/>
          <w:sz w:val="24"/>
          <w:szCs w:val="24"/>
          <w:u w:val="single"/>
        </w:rPr>
      </w:pPr>
    </w:p>
    <w:p w:rsidR="00CA7453" w14:paraId="465FB023" w14:textId="77777777">
      <w:pPr>
        <w:widowControl w:val="0"/>
        <w:tabs>
          <w:tab w:val="left" w:pos="657"/>
        </w:tabs>
        <w:spacing w:line="240" w:lineRule="auto"/>
        <w:rPr>
          <w:b/>
          <w:sz w:val="24"/>
          <w:szCs w:val="24"/>
          <w:u w:val="single"/>
        </w:rPr>
      </w:pPr>
      <w:r>
        <w:rPr>
          <w:b/>
          <w:sz w:val="24"/>
          <w:szCs w:val="24"/>
          <w:u w:val="single"/>
        </w:rPr>
        <w:t>15. Reasons for Changes.</w:t>
      </w:r>
    </w:p>
    <w:p w:rsidR="00CA7453" w14:paraId="5FF4F8D1" w14:textId="77777777">
      <w:pPr>
        <w:spacing w:line="240" w:lineRule="auto"/>
        <w:rPr>
          <w:sz w:val="24"/>
          <w:szCs w:val="24"/>
        </w:rPr>
      </w:pPr>
    </w:p>
    <w:p w:rsidR="00CA7453" w14:paraId="53FA5C6A" w14:textId="77777777">
      <w:pPr>
        <w:spacing w:line="240" w:lineRule="auto"/>
        <w:rPr>
          <w:sz w:val="24"/>
          <w:szCs w:val="24"/>
        </w:rPr>
      </w:pPr>
      <w:r>
        <w:rPr>
          <w:sz w:val="24"/>
          <w:szCs w:val="24"/>
        </w:rPr>
        <w:t>Costs changed due to several factors:</w:t>
      </w:r>
    </w:p>
    <w:p w:rsidR="00CA7453" w14:paraId="46B83D54" w14:textId="77777777">
      <w:pPr>
        <w:spacing w:line="240" w:lineRule="auto"/>
        <w:rPr>
          <w:sz w:val="24"/>
          <w:szCs w:val="24"/>
        </w:rPr>
      </w:pPr>
    </w:p>
    <w:p w:rsidR="00CA7453" w14:paraId="25158BCB" w14:textId="77777777">
      <w:pPr>
        <w:numPr>
          <w:ilvl w:val="0"/>
          <w:numId w:val="1"/>
        </w:numPr>
        <w:spacing w:line="240" w:lineRule="auto"/>
        <w:rPr>
          <w:sz w:val="24"/>
          <w:szCs w:val="24"/>
        </w:rPr>
      </w:pPr>
      <w:r>
        <w:rPr>
          <w:sz w:val="24"/>
          <w:szCs w:val="24"/>
        </w:rPr>
        <w:t xml:space="preserve">Since the last report, the estimated total burden hours for the public decreased from 3,120 hours to 1,562 hours, and the number of requests for financial information to prospective contractors was reduced by 865, </w:t>
      </w:r>
      <w:r>
        <w:rPr>
          <w:sz w:val="24"/>
          <w:szCs w:val="24"/>
        </w:rPr>
        <w:t>as a result of</w:t>
      </w:r>
      <w:r>
        <w:rPr>
          <w:sz w:val="24"/>
          <w:szCs w:val="24"/>
        </w:rPr>
        <w:t xml:space="preserve"> the widespread use of the option for potential contractors to submit readily available financial statements and balance sheets, in lieu of completing the applicable fields on GSA Form 527.</w:t>
      </w:r>
    </w:p>
    <w:p w:rsidR="00CA7453" w14:paraId="46A0C123" w14:textId="77777777">
      <w:pPr>
        <w:numPr>
          <w:ilvl w:val="0"/>
          <w:numId w:val="1"/>
        </w:numPr>
        <w:spacing w:line="240" w:lineRule="auto"/>
        <w:rPr>
          <w:sz w:val="24"/>
          <w:szCs w:val="24"/>
        </w:rPr>
      </w:pPr>
      <w:r>
        <w:rPr>
          <w:sz w:val="24"/>
          <w:szCs w:val="24"/>
        </w:rPr>
        <w:t xml:space="preserve">The hourly rate (plus fringe) was updated to reflect the rates effective January 2024, as opposed to January 2021.   </w:t>
      </w:r>
    </w:p>
    <w:p w:rsidR="00CA7453" w14:paraId="201E461E" w14:textId="77777777">
      <w:pPr>
        <w:spacing w:line="240" w:lineRule="auto"/>
        <w:rPr>
          <w:sz w:val="24"/>
          <w:szCs w:val="24"/>
        </w:rPr>
      </w:pPr>
    </w:p>
    <w:p w:rsidR="00CA7453" w14:paraId="44749DAD" w14:textId="77777777">
      <w:pPr>
        <w:widowControl w:val="0"/>
        <w:tabs>
          <w:tab w:val="left" w:pos="657"/>
        </w:tabs>
        <w:spacing w:line="240" w:lineRule="auto"/>
        <w:rPr>
          <w:sz w:val="24"/>
          <w:szCs w:val="24"/>
        </w:rPr>
      </w:pPr>
      <w:r>
        <w:rPr>
          <w:b/>
          <w:sz w:val="24"/>
          <w:szCs w:val="24"/>
          <w:u w:val="single"/>
        </w:rPr>
        <w:t>16. Publicizing Results.</w:t>
      </w:r>
    </w:p>
    <w:p w:rsidR="00CA7453" w14:paraId="48D1D934" w14:textId="77777777">
      <w:pPr>
        <w:widowControl w:val="0"/>
        <w:tabs>
          <w:tab w:val="left" w:pos="657"/>
        </w:tabs>
        <w:spacing w:line="240" w:lineRule="auto"/>
        <w:rPr>
          <w:sz w:val="24"/>
          <w:szCs w:val="24"/>
        </w:rPr>
      </w:pPr>
    </w:p>
    <w:p w:rsidR="00CA7453" w14:paraId="35867430" w14:textId="77777777">
      <w:pPr>
        <w:widowControl w:val="0"/>
        <w:tabs>
          <w:tab w:val="left" w:pos="657"/>
        </w:tabs>
        <w:spacing w:line="240" w:lineRule="auto"/>
        <w:rPr>
          <w:sz w:val="24"/>
          <w:szCs w:val="24"/>
        </w:rPr>
      </w:pPr>
      <w:r>
        <w:rPr>
          <w:sz w:val="24"/>
          <w:szCs w:val="24"/>
        </w:rPr>
        <w:t>Not applicable, results of this information collection will not be published. Information collected is used for internal purposes only.</w:t>
      </w:r>
    </w:p>
    <w:p w:rsidR="00CA7453" w14:paraId="0224162E" w14:textId="77777777">
      <w:pPr>
        <w:widowControl w:val="0"/>
        <w:tabs>
          <w:tab w:val="left" w:pos="657"/>
        </w:tabs>
        <w:spacing w:line="240" w:lineRule="auto"/>
        <w:rPr>
          <w:sz w:val="24"/>
          <w:szCs w:val="24"/>
        </w:rPr>
      </w:pPr>
    </w:p>
    <w:p w:rsidR="00CA7453" w14:paraId="3D7393CA" w14:textId="77777777">
      <w:pPr>
        <w:widowControl w:val="0"/>
        <w:tabs>
          <w:tab w:val="left" w:pos="657"/>
        </w:tabs>
        <w:spacing w:line="240" w:lineRule="auto"/>
        <w:rPr>
          <w:sz w:val="24"/>
          <w:szCs w:val="24"/>
        </w:rPr>
      </w:pPr>
      <w:r>
        <w:rPr>
          <w:b/>
          <w:sz w:val="24"/>
          <w:szCs w:val="24"/>
          <w:u w:val="single"/>
        </w:rPr>
        <w:t>17. OMB Not to Display Approval.</w:t>
      </w:r>
      <w:r>
        <w:rPr>
          <w:sz w:val="24"/>
          <w:szCs w:val="24"/>
        </w:rPr>
        <w:t xml:space="preserve"> </w:t>
      </w:r>
    </w:p>
    <w:p w:rsidR="00CA7453" w14:paraId="15F98541" w14:textId="77777777">
      <w:pPr>
        <w:widowControl w:val="0"/>
        <w:tabs>
          <w:tab w:val="left" w:pos="657"/>
        </w:tabs>
        <w:spacing w:line="240" w:lineRule="auto"/>
        <w:rPr>
          <w:sz w:val="24"/>
          <w:szCs w:val="24"/>
        </w:rPr>
      </w:pPr>
    </w:p>
    <w:p w:rsidR="00CA7453" w14:paraId="2079C311" w14:textId="77777777">
      <w:pPr>
        <w:widowControl w:val="0"/>
        <w:tabs>
          <w:tab w:val="left" w:pos="657"/>
        </w:tabs>
        <w:spacing w:line="240" w:lineRule="auto"/>
        <w:rPr>
          <w:sz w:val="24"/>
          <w:szCs w:val="24"/>
        </w:rPr>
      </w:pPr>
      <w:r>
        <w:rPr>
          <w:sz w:val="24"/>
          <w:szCs w:val="24"/>
        </w:rPr>
        <w:t>Not applicable, GSA is not seeking such approval for this collection.</w:t>
      </w:r>
    </w:p>
    <w:p w:rsidR="00CA7453" w14:paraId="7A3D1C58" w14:textId="77777777">
      <w:pPr>
        <w:widowControl w:val="0"/>
        <w:tabs>
          <w:tab w:val="left" w:pos="657"/>
        </w:tabs>
        <w:spacing w:line="240" w:lineRule="auto"/>
        <w:rPr>
          <w:sz w:val="24"/>
          <w:szCs w:val="24"/>
        </w:rPr>
      </w:pPr>
    </w:p>
    <w:p w:rsidR="00CA7453" w14:paraId="15754C84" w14:textId="77777777">
      <w:pPr>
        <w:widowControl w:val="0"/>
        <w:tabs>
          <w:tab w:val="left" w:pos="657"/>
        </w:tabs>
        <w:spacing w:line="240" w:lineRule="auto"/>
        <w:rPr>
          <w:sz w:val="24"/>
          <w:szCs w:val="24"/>
        </w:rPr>
      </w:pPr>
      <w:r>
        <w:rPr>
          <w:b/>
          <w:sz w:val="24"/>
          <w:szCs w:val="24"/>
          <w:u w:val="single"/>
        </w:rPr>
        <w:t>18. Exceptions to “Certification for Paperwork Reduction Submissions”.</w:t>
      </w:r>
    </w:p>
    <w:p w:rsidR="00CA7453" w14:paraId="500510D6" w14:textId="77777777">
      <w:pPr>
        <w:widowControl w:val="0"/>
        <w:tabs>
          <w:tab w:val="left" w:pos="657"/>
        </w:tabs>
        <w:spacing w:line="240" w:lineRule="auto"/>
        <w:rPr>
          <w:sz w:val="24"/>
          <w:szCs w:val="24"/>
        </w:rPr>
      </w:pPr>
    </w:p>
    <w:p w:rsidR="00CA7453" w14:paraId="6D63B403" w14:textId="77777777">
      <w:pPr>
        <w:widowControl w:val="0"/>
        <w:tabs>
          <w:tab w:val="left" w:pos="657"/>
        </w:tabs>
        <w:spacing w:line="240" w:lineRule="auto"/>
        <w:rPr>
          <w:sz w:val="24"/>
          <w:szCs w:val="24"/>
        </w:rPr>
      </w:pPr>
      <w:r>
        <w:rPr>
          <w:sz w:val="24"/>
          <w:szCs w:val="24"/>
        </w:rPr>
        <w:t>Not applicable, GSA has no exceptions to the certification statement.</w:t>
      </w:r>
    </w:p>
    <w:p w:rsidR="00CA7453" w14:paraId="24FDC1DD" w14:textId="77777777">
      <w:pPr>
        <w:widowControl w:val="0"/>
        <w:tabs>
          <w:tab w:val="left" w:pos="657"/>
        </w:tabs>
        <w:spacing w:line="240" w:lineRule="auto"/>
        <w:rPr>
          <w:sz w:val="24"/>
          <w:szCs w:val="24"/>
        </w:rPr>
      </w:pPr>
    </w:p>
    <w:p w:rsidR="00CA7453" w14:paraId="36030EFB" w14:textId="77777777">
      <w:pPr>
        <w:widowControl w:val="0"/>
        <w:tabs>
          <w:tab w:val="left" w:pos="657"/>
        </w:tabs>
        <w:spacing w:line="240" w:lineRule="auto"/>
        <w:rPr>
          <w:sz w:val="24"/>
          <w:szCs w:val="24"/>
        </w:rPr>
      </w:pPr>
      <w:r>
        <w:rPr>
          <w:b/>
          <w:sz w:val="24"/>
          <w:szCs w:val="24"/>
          <w:u w:val="single"/>
        </w:rPr>
        <w:t>19. Surveys, Censuses, and Other Collections that Employ Statistical Methods.</w:t>
      </w:r>
    </w:p>
    <w:p w:rsidR="00CA7453" w14:paraId="2E6288E7" w14:textId="77777777">
      <w:pPr>
        <w:widowControl w:val="0"/>
        <w:tabs>
          <w:tab w:val="left" w:pos="657"/>
        </w:tabs>
        <w:spacing w:line="240" w:lineRule="auto"/>
        <w:rPr>
          <w:sz w:val="24"/>
          <w:szCs w:val="24"/>
        </w:rPr>
      </w:pPr>
    </w:p>
    <w:p w:rsidR="00CA7453" w14:paraId="152AD7F8" w14:textId="77777777">
      <w:pPr>
        <w:spacing w:line="240" w:lineRule="auto"/>
        <w:rPr>
          <w:sz w:val="24"/>
          <w:szCs w:val="24"/>
        </w:rPr>
      </w:pPr>
      <w:r>
        <w:rPr>
          <w:sz w:val="24"/>
          <w:szCs w:val="24"/>
        </w:rPr>
        <w:t xml:space="preserve">Surveys, censuses or statistical methods are not used for this information collection. </w:t>
      </w:r>
    </w:p>
    <w:p w:rsidR="00CA7453" w14:paraId="27ABF49A" w14:textId="77777777">
      <w:pPr>
        <w:spacing w:line="240" w:lineRule="auto"/>
        <w:rPr>
          <w:sz w:val="24"/>
          <w:szCs w:val="24"/>
        </w:rPr>
      </w:pPr>
    </w:p>
    <w:p w:rsidR="00CA7453" w14:paraId="0AD37192" w14:textId="77777777">
      <w:pPr>
        <w:spacing w:line="240" w:lineRule="auto"/>
        <w:rPr>
          <w:b/>
          <w:sz w:val="24"/>
          <w:szCs w:val="24"/>
        </w:rPr>
      </w:pPr>
    </w:p>
    <w:sectPr>
      <w:footerReference w:type="default" r:id="rId5"/>
      <w:footerReference w:type="first" r:id="rId6"/>
      <w:pgSz w:w="12240" w:h="15840"/>
      <w:pgMar w:top="1440" w:right="1440" w:bottom="1440" w:left="1440" w:header="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453" w14:paraId="1EA63B99" w14:textId="77777777">
    <w:pPr>
      <w:tabs>
        <w:tab w:val="center" w:pos="4320"/>
        <w:tab w:val="right" w:pos="8640"/>
      </w:tabs>
      <w:spacing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453" w14:paraId="1460AE6E" w14:textId="77777777">
    <w:pPr>
      <w:rPr>
        <w:rFonts w:ascii="Times New Roman" w:eastAsia="Times New Roman" w:hAnsi="Times New Roman" w:cs="Times New Roman"/>
      </w:rPr>
    </w:pPr>
    <w:r>
      <w:pict>
        <v:rect id="_x0000_i2049" style="width:0;height:1.5pt" o:hralign="center" o:hrstd="t" o:hr="t" fillcolor="#a0a0a0" stroked="f"/>
      </w:pict>
    </w:r>
  </w:p>
  <w:p w:rsidR="00CA7453" w14:paraId="5C1060CA" w14:textId="77777777">
    <w:r>
      <w:t>[1] FAR Part 2 and</w:t>
    </w:r>
    <w:hyperlink r:id="rId1">
      <w:r>
        <w:t xml:space="preserve"> </w:t>
      </w:r>
    </w:hyperlink>
    <w:hyperlink r:id="rId1">
      <w:r>
        <w:rPr>
          <w:u w:val="single"/>
        </w:rPr>
        <w:t>48 C.F.R § 2.101</w:t>
      </w:r>
    </w:hyperlink>
    <w:r>
      <w:t xml:space="preserve"> defines a </w:t>
    </w:r>
    <w:r>
      <w:rPr>
        <w:i/>
      </w:rPr>
      <w:t>Responsible prospective contractor</w:t>
    </w:r>
    <w:r>
      <w:t xml:space="preserve"> as contractor that meets the standards in 9.104</w:t>
    </w:r>
  </w:p>
  <w:p w:rsidR="00CA7453" w14:paraId="7B5E1360" w14:textId="7777777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5C41" w14:paraId="00448BB6" w14:textId="77777777">
      <w:pPr>
        <w:spacing w:line="240" w:lineRule="auto"/>
      </w:pPr>
      <w:r>
        <w:separator/>
      </w:r>
    </w:p>
  </w:footnote>
  <w:footnote w:type="continuationSeparator" w:id="1">
    <w:p w:rsidR="00EA5C41" w14:paraId="6A2F51FF" w14:textId="77777777">
      <w:pPr>
        <w:spacing w:line="240" w:lineRule="auto"/>
      </w:pPr>
      <w:r>
        <w:continuationSeparator/>
      </w:r>
    </w:p>
  </w:footnote>
  <w:footnote w:id="2">
    <w:p w:rsidR="00CA7453" w14:paraId="6AAA5362" w14:textId="77777777">
      <w:pPr>
        <w:spacing w:line="240" w:lineRule="auto"/>
      </w:pPr>
      <w:r>
        <w:rPr>
          <w:vertAlign w:val="superscript"/>
        </w:rPr>
        <w:footnoteRef/>
      </w:r>
      <w:r>
        <w:t xml:space="preserve"> The 1.2 responses per respondent reflects burden associated with revisions by the respondent to their GSA Form 527 which may be necessary after their initial submission.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17C23"/>
    <w:multiLevelType w:val="multilevel"/>
    <w:tmpl w:val="3D86B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0A018D1"/>
    <w:multiLevelType w:val="multilevel"/>
    <w:tmpl w:val="6E705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FFB32CE"/>
    <w:multiLevelType w:val="multilevel"/>
    <w:tmpl w:val="AF18A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2188517">
    <w:abstractNumId w:val="1"/>
  </w:num>
  <w:num w:numId="2" w16cid:durableId="9765433">
    <w:abstractNumId w:val="0"/>
  </w:num>
  <w:num w:numId="3" w16cid:durableId="1272935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53"/>
    <w:rsid w:val="00AD1650"/>
    <w:rsid w:val="00B03998"/>
    <w:rsid w:val="00CA7453"/>
    <w:rsid w:val="00D36D92"/>
    <w:rsid w:val="00E96484"/>
    <w:rsid w:val="00EA5C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FEB995"/>
  <w15:docId w15:val="{EFE3F536-83B1-4543-BE75-BE1E61D6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2.xml.rels><?xml version="1.0" encoding="utf-8" standalone="yes"?><Relationships xmlns="http://schemas.openxmlformats.org/package/2006/relationships"><Relationship Id="rId1" Type="http://schemas.openxmlformats.org/officeDocument/2006/relationships/hyperlink" Target="https://definedterm.com/a/document/104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1925</Words>
  <Characters>10978</Characters>
  <Application>Microsoft Office Word</Application>
  <DocSecurity>0</DocSecurity>
  <Lines>91</Lines>
  <Paragraphs>25</Paragraphs>
  <ScaleCrop>false</ScaleCrop>
  <Company>General Services Administration</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3</cp:revision>
  <dcterms:created xsi:type="dcterms:W3CDTF">2024-09-05T14:56:00Z</dcterms:created>
  <dcterms:modified xsi:type="dcterms:W3CDTF">2024-09-19T18:00:00Z</dcterms:modified>
</cp:coreProperties>
</file>