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72E6" w:rsidP="00BA72E6" w14:paraId="268FDFAE" w14:textId="73F610BD">
      <w:pPr>
        <w:pStyle w:val="Default"/>
        <w:jc w:val="center"/>
      </w:pPr>
      <w:r w:rsidRPr="0077306C">
        <w:t>National Credit Union Administration</w:t>
      </w:r>
    </w:p>
    <w:p w:rsidR="00BA72E6" w:rsidRPr="005633A3" w:rsidP="00BA72E6" w14:paraId="7884DD51" w14:textId="77777777">
      <w:pPr>
        <w:pStyle w:val="Default"/>
        <w:jc w:val="center"/>
        <w:rPr>
          <w:b/>
        </w:rPr>
      </w:pPr>
      <w:r w:rsidRPr="005633A3">
        <w:rPr>
          <w:b/>
        </w:rPr>
        <w:t>SUPPORTING STATEMENT</w:t>
      </w:r>
    </w:p>
    <w:p w:rsidR="007C3AFD" w:rsidP="00386004" w14:paraId="1667C58B" w14:textId="77777777">
      <w:pPr>
        <w:pStyle w:val="ListParagraph"/>
        <w:ind w:left="0"/>
        <w:jc w:val="center"/>
        <w:rPr>
          <w:b/>
        </w:rPr>
      </w:pPr>
    </w:p>
    <w:p w:rsidR="00386004" w:rsidRPr="00BA72E6" w:rsidP="00386004" w14:paraId="31155EC9" w14:textId="77777777">
      <w:pPr>
        <w:pStyle w:val="ListParagraph"/>
        <w:ind w:left="0"/>
        <w:jc w:val="center"/>
      </w:pPr>
      <w:r w:rsidRPr="00BA72E6">
        <w:t>Loans to Members and Lines of Credit to Members</w:t>
      </w:r>
    </w:p>
    <w:p w:rsidR="00386004" w:rsidRPr="00BA72E6" w:rsidP="00386004" w14:paraId="1BE20755" w14:textId="29B53907">
      <w:pPr>
        <w:pStyle w:val="ListParagraph"/>
        <w:ind w:left="0"/>
        <w:jc w:val="center"/>
      </w:pPr>
      <w:r w:rsidRPr="00BA72E6">
        <w:t xml:space="preserve">12 CFR 701.21 and </w:t>
      </w:r>
      <w:r w:rsidR="00222BF6">
        <w:t xml:space="preserve">Appendix B to </w:t>
      </w:r>
      <w:r w:rsidRPr="00BA72E6">
        <w:t>12 CFR 741</w:t>
      </w:r>
    </w:p>
    <w:p w:rsidR="007C3AFD" w:rsidRPr="00BA72E6" w:rsidP="00386004" w14:paraId="4D05EE40" w14:textId="77777777">
      <w:pPr>
        <w:pStyle w:val="ListParagraph"/>
        <w:ind w:left="0"/>
        <w:jc w:val="center"/>
      </w:pPr>
    </w:p>
    <w:p w:rsidR="007C3AFD" w:rsidP="007C3AFD" w14:paraId="1A29B4B3" w14:textId="69F01E52">
      <w:pPr>
        <w:pStyle w:val="ListParagraph"/>
        <w:ind w:left="0"/>
        <w:jc w:val="center"/>
        <w:rPr>
          <w:b/>
        </w:rPr>
      </w:pPr>
      <w:r>
        <w:rPr>
          <w:b/>
        </w:rPr>
        <w:t xml:space="preserve">OMB </w:t>
      </w:r>
      <w:r w:rsidR="000163AF">
        <w:rPr>
          <w:b/>
        </w:rPr>
        <w:t>No.</w:t>
      </w:r>
      <w:r>
        <w:rPr>
          <w:b/>
        </w:rPr>
        <w:t xml:space="preserve"> 3133-0092</w:t>
      </w:r>
    </w:p>
    <w:p w:rsidR="003A0D60" w:rsidP="003A0D60" w14:paraId="3AED51F1" w14:textId="77EC5A7D">
      <w:pPr>
        <w:pStyle w:val="ListParagraph"/>
        <w:ind w:left="0"/>
        <w:rPr>
          <w:b/>
        </w:rPr>
      </w:pPr>
    </w:p>
    <w:p w:rsidR="00686A1C" w:rsidRPr="005E57F1" w:rsidP="003A0D60" w14:paraId="760E963B" w14:textId="5A0D0E33">
      <w:pPr>
        <w:pStyle w:val="ListParagraph"/>
        <w:ind w:left="0"/>
        <w:rPr>
          <w:bCs/>
          <w:i/>
          <w:iCs/>
        </w:rPr>
      </w:pPr>
      <w:r w:rsidRPr="00BC0227">
        <w:rPr>
          <w:bCs/>
          <w:i/>
          <w:iCs/>
          <w:u w:val="single"/>
        </w:rPr>
        <w:t>Summary of Regulatory Actions</w:t>
      </w:r>
      <w:r w:rsidRPr="005E57F1">
        <w:rPr>
          <w:bCs/>
          <w:i/>
          <w:iCs/>
        </w:rPr>
        <w:t>:</w:t>
      </w:r>
    </w:p>
    <w:p w:rsidR="005E57F1" w:rsidRPr="001923EC" w:rsidP="005E57F1" w14:paraId="64699096" w14:textId="2EC852F2">
      <w:pPr>
        <w:autoSpaceDE w:val="0"/>
        <w:autoSpaceDN w:val="0"/>
        <w:adjustRightInd w:val="0"/>
      </w:pPr>
      <w:r>
        <w:t xml:space="preserve">The NCUA </w:t>
      </w:r>
      <w:r w:rsidR="00E72324">
        <w:t>amend</w:t>
      </w:r>
      <w:r w:rsidR="003363EF">
        <w:t>ed</w:t>
      </w:r>
      <w:r>
        <w:t xml:space="preserve"> its </w:t>
      </w:r>
      <w:r w:rsidRPr="001923EC">
        <w:t xml:space="preserve">regulations </w:t>
      </w:r>
      <w:r w:rsidR="0021703B">
        <w:t xml:space="preserve">to </w:t>
      </w:r>
      <w:r w:rsidRPr="001923EC">
        <w:t>remov</w:t>
      </w:r>
      <w:r w:rsidR="0021703B">
        <w:t>e</w:t>
      </w:r>
      <w:r w:rsidRPr="001923EC">
        <w:t xml:space="preserve"> the prohibition on the capitalization of interest in connection with loan workouts and modifications.</w:t>
      </w:r>
      <w:r>
        <w:t xml:space="preserve">  </w:t>
      </w:r>
      <w:r w:rsidRPr="001923EC">
        <w:t xml:space="preserve">The </w:t>
      </w:r>
      <w:r w:rsidR="001636F8">
        <w:t xml:space="preserve">final </w:t>
      </w:r>
      <w:r w:rsidRPr="001923EC">
        <w:t xml:space="preserve">rule </w:t>
      </w:r>
      <w:r w:rsidR="001636F8">
        <w:t>also</w:t>
      </w:r>
      <w:r w:rsidRPr="001923EC" w:rsidR="001636F8">
        <w:t xml:space="preserve"> </w:t>
      </w:r>
      <w:r w:rsidRPr="001923EC">
        <w:t>establish</w:t>
      </w:r>
      <w:r w:rsidR="001636F8">
        <w:t>e</w:t>
      </w:r>
      <w:r w:rsidR="003363EF">
        <w:t>d</w:t>
      </w:r>
      <w:r w:rsidRPr="001923EC">
        <w:t xml:space="preserve"> documentation requirements to help ensure that the addition of unpaid interest to the principal balance of a mortgage loan does not hinder the borrower’s ability to become current on the loan. </w:t>
      </w:r>
      <w:r w:rsidR="00BB5FA1">
        <w:t xml:space="preserve"> </w:t>
      </w:r>
    </w:p>
    <w:p w:rsidR="00BB5FA1" w:rsidRPr="001923EC" w:rsidP="005E57F1" w14:paraId="153AAD63" w14:textId="3A7D9CB0">
      <w:pPr>
        <w:autoSpaceDE w:val="0"/>
        <w:autoSpaceDN w:val="0"/>
        <w:adjustRightInd w:val="0"/>
      </w:pPr>
    </w:p>
    <w:p w:rsidR="00686A1C" w:rsidRPr="00686A1C" w:rsidP="005E57F1" w14:paraId="41E690FF" w14:textId="77777777">
      <w:pPr>
        <w:pStyle w:val="ListParagraph"/>
        <w:ind w:left="0"/>
        <w:rPr>
          <w:bCs/>
        </w:rPr>
      </w:pPr>
    </w:p>
    <w:p w:rsidR="00BA72E6" w:rsidRPr="0077306C" w:rsidP="00BA72E6" w14:paraId="4DB35B0B" w14:textId="77777777">
      <w:pPr>
        <w:pStyle w:val="Default"/>
        <w:tabs>
          <w:tab w:val="left" w:pos="720"/>
        </w:tabs>
        <w:ind w:left="720" w:hanging="720"/>
      </w:pPr>
      <w:r>
        <w:rPr>
          <w:b/>
          <w:bCs/>
        </w:rPr>
        <w:t>A.</w:t>
      </w:r>
      <w:r>
        <w:rPr>
          <w:b/>
          <w:bCs/>
        </w:rPr>
        <w:tab/>
      </w:r>
      <w:r w:rsidRPr="0077306C">
        <w:rPr>
          <w:b/>
          <w:bCs/>
        </w:rPr>
        <w:t>JUSTIFICATION</w:t>
      </w:r>
    </w:p>
    <w:p w:rsidR="00BA72E6" w:rsidRPr="0077306C" w:rsidP="00BA72E6" w14:paraId="74B887CA" w14:textId="77777777">
      <w:pPr>
        <w:pStyle w:val="Default"/>
        <w:tabs>
          <w:tab w:val="left" w:pos="720"/>
        </w:tabs>
        <w:ind w:left="720" w:hanging="720"/>
      </w:pPr>
    </w:p>
    <w:p w:rsidR="00BA72E6" w:rsidRPr="0077306C" w:rsidP="00BA72E6" w14:paraId="663E4592" w14:textId="77777777">
      <w:pPr>
        <w:pStyle w:val="Default"/>
        <w:tabs>
          <w:tab w:val="left" w:pos="720"/>
        </w:tabs>
        <w:ind w:left="720" w:hanging="720"/>
      </w:pPr>
      <w:r>
        <w:rPr>
          <w:b/>
          <w:bCs/>
        </w:rPr>
        <w:t>1.</w:t>
      </w:r>
      <w:r>
        <w:rPr>
          <w:b/>
          <w:bCs/>
        </w:rPr>
        <w:tab/>
        <w:t>Circumstances that make the collection of information necessary.</w:t>
      </w:r>
      <w:r w:rsidRPr="0077306C">
        <w:rPr>
          <w:b/>
          <w:bCs/>
        </w:rPr>
        <w:t xml:space="preserve"> </w:t>
      </w:r>
    </w:p>
    <w:p w:rsidR="00BA72E6" w:rsidP="004D634C" w14:paraId="15950CE0" w14:textId="77777777">
      <w:pPr>
        <w:tabs>
          <w:tab w:val="left" w:pos="720"/>
        </w:tabs>
        <w:autoSpaceDE w:val="0"/>
        <w:autoSpaceDN w:val="0"/>
        <w:adjustRightInd w:val="0"/>
        <w:ind w:left="720"/>
      </w:pPr>
    </w:p>
    <w:p w:rsidR="0067104B" w:rsidP="004D634C" w14:paraId="4EB0222C" w14:textId="2A0E3481">
      <w:pPr>
        <w:autoSpaceDE w:val="0"/>
        <w:autoSpaceDN w:val="0"/>
        <w:adjustRightInd w:val="0"/>
        <w:ind w:left="720"/>
      </w:pPr>
      <w:r>
        <w:t xml:space="preserve">Section 107(5) of the Federal Credit Union Act </w:t>
      </w:r>
      <w:r w:rsidR="00143173">
        <w:t xml:space="preserve">(12 U.S.C. 1757(5)) </w:t>
      </w:r>
      <w:r>
        <w:t>authorizes Federal Credit Unions to make loans to members and issue lines of credit (including credit cards) to members</w:t>
      </w:r>
      <w:r w:rsidR="00143173">
        <w:t xml:space="preserve">.  </w:t>
      </w:r>
      <w:r w:rsidR="004F3D15">
        <w:t xml:space="preserve">NCUA’s rules and regulations </w:t>
      </w:r>
      <w:r w:rsidR="006351F6">
        <w:t>§</w:t>
      </w:r>
      <w:r w:rsidR="004F3D15">
        <w:t>701.21 govern</w:t>
      </w:r>
      <w:r>
        <w:t>s</w:t>
      </w:r>
      <w:r w:rsidR="004F3D15">
        <w:t xml:space="preserve"> the requirements related to loans to members and lines of credit to members for federal credit unions.  </w:t>
      </w:r>
      <w:r>
        <w:t xml:space="preserve">Additionally, Part 741 of NCUA’s rules and regulations established requirements for all federally insured credit unions </w:t>
      </w:r>
      <w:r w:rsidR="0093181C">
        <w:t xml:space="preserve">(both Federal and </w:t>
      </w:r>
      <w:r w:rsidR="00516965">
        <w:t>state</w:t>
      </w:r>
      <w:r w:rsidR="0093181C">
        <w:t xml:space="preserve"> charters) </w:t>
      </w:r>
      <w:r>
        <w:t xml:space="preserve">related to loans to members and lines of credit </w:t>
      </w:r>
      <w:r w:rsidR="006761E3">
        <w:t xml:space="preserve">to credit </w:t>
      </w:r>
      <w:r>
        <w:t>union members</w:t>
      </w:r>
      <w:r w:rsidR="00E22CE8">
        <w:t>.</w:t>
      </w:r>
    </w:p>
    <w:p w:rsidR="0067104B" w:rsidP="004D634C" w14:paraId="561BD171" w14:textId="77777777">
      <w:pPr>
        <w:autoSpaceDE w:val="0"/>
        <w:autoSpaceDN w:val="0"/>
        <w:adjustRightInd w:val="0"/>
        <w:ind w:left="720"/>
      </w:pPr>
    </w:p>
    <w:p w:rsidR="00BA72E6" w:rsidRPr="0077306C" w:rsidP="00BA72E6" w14:paraId="4D53F0F5" w14:textId="77777777">
      <w:pPr>
        <w:pStyle w:val="Default"/>
      </w:pPr>
      <w:r>
        <w:rPr>
          <w:b/>
          <w:bCs/>
        </w:rPr>
        <w:t>2.</w:t>
      </w:r>
      <w:r>
        <w:rPr>
          <w:b/>
          <w:bCs/>
        </w:rPr>
        <w:tab/>
        <w:t>Purpose and use of the information collection.</w:t>
      </w:r>
    </w:p>
    <w:p w:rsidR="00BA72E6" w:rsidP="004D634C" w14:paraId="4208004F" w14:textId="7A185A40">
      <w:pPr>
        <w:tabs>
          <w:tab w:val="left" w:pos="720"/>
        </w:tabs>
        <w:autoSpaceDE w:val="0"/>
        <w:autoSpaceDN w:val="0"/>
        <w:adjustRightInd w:val="0"/>
        <w:ind w:left="720" w:hanging="720"/>
      </w:pPr>
    </w:p>
    <w:p w:rsidR="00523324" w:rsidP="00523324" w14:paraId="1819363C" w14:textId="5622DC4A">
      <w:pPr>
        <w:autoSpaceDE w:val="0"/>
        <w:autoSpaceDN w:val="0"/>
        <w:adjustRightInd w:val="0"/>
        <w:ind w:left="720"/>
      </w:pPr>
      <w:r>
        <w:t>The information collection requirements of §701.21 include various recordkeeping requirements to retain and maintain:</w:t>
      </w:r>
      <w:r w:rsidR="00100E37">
        <w:t xml:space="preserve"> </w:t>
      </w:r>
      <w:r>
        <w:t>credit application for each borrower; written overdraft policy;</w:t>
      </w:r>
      <w:r w:rsidR="00100E37">
        <w:t xml:space="preserve"> </w:t>
      </w:r>
      <w:r>
        <w:t>an attorney’s opinion if the credit union uses mortgage loan application forms that are not one of the approved forms; an attorney’s opinion if the credit union uses a security instrument and note for mortgage loans that are not one of the approved forms;</w:t>
      </w:r>
      <w:r w:rsidR="00100E37">
        <w:t xml:space="preserve"> </w:t>
      </w:r>
      <w:r>
        <w:t>title for a perfected lien on a first security interest, and</w:t>
      </w:r>
      <w:r w:rsidR="00100E37">
        <w:t xml:space="preserve"> </w:t>
      </w:r>
      <w:r>
        <w:t>written policies for financial option contracts.</w:t>
      </w:r>
      <w:r>
        <w:t xml:space="preserve">  Appendix B to 12 CFR part 741 requires Federal credit unions to retain and maintain enhanced reporting for loan workout activity that exceeds the thresholds established in the written policy.  </w:t>
      </w:r>
    </w:p>
    <w:p w:rsidR="00523324" w:rsidP="00100E37" w14:paraId="321FE221" w14:textId="77777777">
      <w:pPr>
        <w:pStyle w:val="ListParagraph"/>
        <w:autoSpaceDE w:val="0"/>
        <w:autoSpaceDN w:val="0"/>
        <w:adjustRightInd w:val="0"/>
      </w:pPr>
    </w:p>
    <w:p w:rsidR="0027557C" w:rsidP="00100E37" w14:paraId="433E7C29" w14:textId="33CF4892">
      <w:pPr>
        <w:pStyle w:val="ListParagraph"/>
        <w:autoSpaceDE w:val="0"/>
        <w:autoSpaceDN w:val="0"/>
        <w:adjustRightInd w:val="0"/>
      </w:pPr>
      <w:r>
        <w:t xml:space="preserve">Reporting requirements include: </w:t>
      </w:r>
      <w:r>
        <w:t>m</w:t>
      </w:r>
      <w:r w:rsidR="00C05A3A">
        <w:t xml:space="preserve">onthly </w:t>
      </w:r>
      <w:r>
        <w:t>rep</w:t>
      </w:r>
      <w:r>
        <w:t>orting to NCUA</w:t>
      </w:r>
      <w:r>
        <w:t xml:space="preserve"> related to financial option contracts</w:t>
      </w:r>
      <w:r w:rsidR="00C05A3A">
        <w:t xml:space="preserve"> and</w:t>
      </w:r>
      <w:r>
        <w:t xml:space="preserve"> r</w:t>
      </w:r>
      <w:r w:rsidR="00C05A3A">
        <w:t>equest</w:t>
      </w:r>
      <w:r>
        <w:t>s to wave this monthly reporting and</w:t>
      </w:r>
      <w:r w:rsidR="00100E37">
        <w:t xml:space="preserve"> </w:t>
      </w:r>
      <w:r>
        <w:t>waiver of third party servicer limits.</w:t>
      </w:r>
    </w:p>
    <w:p w:rsidR="00523324" w:rsidP="0027557C" w14:paraId="22CF7B1C" w14:textId="77777777">
      <w:pPr>
        <w:autoSpaceDE w:val="0"/>
        <w:autoSpaceDN w:val="0"/>
        <w:adjustRightInd w:val="0"/>
        <w:ind w:left="720"/>
      </w:pPr>
    </w:p>
    <w:p w:rsidR="003A0D60" w:rsidP="004D634C" w14:paraId="1CB32655" w14:textId="6F58F04F">
      <w:pPr>
        <w:tabs>
          <w:tab w:val="left" w:pos="720"/>
        </w:tabs>
        <w:autoSpaceDE w:val="0"/>
        <w:autoSpaceDN w:val="0"/>
        <w:adjustRightInd w:val="0"/>
        <w:ind w:left="720" w:hanging="720"/>
      </w:pPr>
      <w:r>
        <w:tab/>
      </w:r>
      <w:r w:rsidR="004F3D15">
        <w:t xml:space="preserve">NCUA reviews the information collections to ensure compliance with applicable regulations and laws, and </w:t>
      </w:r>
      <w:r w:rsidR="00E762DE">
        <w:t xml:space="preserve">to </w:t>
      </w:r>
      <w:r w:rsidR="004F3D15">
        <w:t xml:space="preserve">assess the safety and soundness of the credit union’s lending program.  </w:t>
      </w:r>
    </w:p>
    <w:p w:rsidR="00386004" w:rsidRPr="00E44F63" w:rsidP="004D634C" w14:paraId="61EB00FE" w14:textId="77777777">
      <w:pPr>
        <w:tabs>
          <w:tab w:val="left" w:pos="720"/>
        </w:tabs>
        <w:ind w:left="720" w:hanging="720"/>
      </w:pPr>
    </w:p>
    <w:p w:rsidR="00BA72E6" w:rsidRPr="005633A3" w:rsidP="00BA72E6" w14:paraId="5102B961" w14:textId="7937736F">
      <w:pPr>
        <w:rPr>
          <w:b/>
        </w:rPr>
      </w:pPr>
      <w:r w:rsidRPr="005633A3">
        <w:rPr>
          <w:b/>
        </w:rPr>
        <w:t>3.</w:t>
      </w:r>
      <w:r w:rsidRPr="005633A3">
        <w:rPr>
          <w:b/>
        </w:rPr>
        <w:tab/>
        <w:t>Use of information technology.</w:t>
      </w:r>
    </w:p>
    <w:p w:rsidR="00BA72E6" w:rsidP="004D634C" w14:paraId="21A68411" w14:textId="77777777">
      <w:pPr>
        <w:tabs>
          <w:tab w:val="left" w:pos="720"/>
        </w:tabs>
        <w:suppressAutoHyphens/>
        <w:ind w:left="720" w:hanging="720"/>
      </w:pPr>
    </w:p>
    <w:p w:rsidR="00AA2CBC" w:rsidP="004D634C" w14:paraId="6F52E3BA" w14:textId="659F0C44">
      <w:pPr>
        <w:tabs>
          <w:tab w:val="left" w:pos="720"/>
        </w:tabs>
        <w:suppressAutoHyphens/>
        <w:ind w:left="720" w:hanging="720"/>
      </w:pPr>
      <w:r>
        <w:tab/>
      </w:r>
      <w:r>
        <w:t xml:space="preserve">Credit unions may submit and retain the information collections in a number of ways, including electronically. </w:t>
      </w:r>
    </w:p>
    <w:p w:rsidR="007C3AFD" w:rsidP="004D634C" w14:paraId="7791E211" w14:textId="77777777">
      <w:pPr>
        <w:tabs>
          <w:tab w:val="left" w:pos="720"/>
        </w:tabs>
        <w:suppressAutoHyphens/>
        <w:ind w:left="720" w:hanging="720"/>
      </w:pPr>
    </w:p>
    <w:p w:rsidR="00BA72E6" w:rsidRPr="0077306C" w:rsidP="00BA72E6" w14:paraId="22B699A1" w14:textId="021EF724">
      <w:pPr>
        <w:pStyle w:val="Default"/>
        <w:ind w:left="720" w:hanging="720"/>
      </w:pPr>
      <w:r>
        <w:rPr>
          <w:b/>
          <w:bCs/>
        </w:rPr>
        <w:t>4.</w:t>
      </w:r>
      <w:r>
        <w:rPr>
          <w:b/>
          <w:bCs/>
        </w:rPr>
        <w:tab/>
      </w:r>
      <w:r w:rsidRPr="0077306C">
        <w:rPr>
          <w:b/>
          <w:bCs/>
        </w:rPr>
        <w:t xml:space="preserve">Duplication </w:t>
      </w:r>
      <w:r>
        <w:rPr>
          <w:b/>
          <w:bCs/>
        </w:rPr>
        <w:t>of information.</w:t>
      </w:r>
    </w:p>
    <w:p w:rsidR="00BA72E6" w:rsidP="004D634C" w14:paraId="330F76B8" w14:textId="77777777">
      <w:pPr>
        <w:pStyle w:val="ListParagraph"/>
        <w:suppressAutoHyphens/>
        <w:ind w:hanging="720"/>
      </w:pPr>
    </w:p>
    <w:p w:rsidR="003A0D60" w:rsidP="004D634C" w14:paraId="30732D9D" w14:textId="55BF9DA4">
      <w:pPr>
        <w:pStyle w:val="ListParagraph"/>
        <w:suppressAutoHyphens/>
        <w:ind w:hanging="720"/>
      </w:pPr>
      <w:r>
        <w:tab/>
      </w:r>
      <w:r w:rsidR="000239F9">
        <w:t xml:space="preserve">Federal credit unions are required to have written loan policies under §701.21(c)(2).  All federally insured credit unions must have written loan policies to determine whether the credit union’s operations are safe and sound, per §741.3(b)(2).  The credit union can use the same written policies to comply with both sections of the regulation.  </w:t>
      </w:r>
    </w:p>
    <w:p w:rsidR="00327AFA" w:rsidRPr="00631257" w:rsidP="004D634C" w14:paraId="4DA99F80" w14:textId="77777777">
      <w:pPr>
        <w:pStyle w:val="ListParagraph"/>
        <w:suppressAutoHyphens/>
        <w:ind w:hanging="720"/>
      </w:pPr>
    </w:p>
    <w:p w:rsidR="00BA72E6" w:rsidRPr="005633A3" w:rsidP="00BA72E6" w14:paraId="64D62FE2" w14:textId="77777777">
      <w:pPr>
        <w:rPr>
          <w:b/>
        </w:rPr>
      </w:pPr>
      <w:r w:rsidRPr="005633A3">
        <w:rPr>
          <w:b/>
        </w:rPr>
        <w:t>5.</w:t>
      </w:r>
      <w:r w:rsidRPr="005633A3">
        <w:rPr>
          <w:b/>
        </w:rPr>
        <w:tab/>
        <w:t>Efforts to reduce burden on small entities.</w:t>
      </w:r>
    </w:p>
    <w:p w:rsidR="00BA72E6" w:rsidP="004D634C" w14:paraId="1DD58C14" w14:textId="77777777">
      <w:pPr>
        <w:pStyle w:val="ListParagraph"/>
        <w:suppressAutoHyphens/>
        <w:ind w:hanging="720"/>
        <w:rPr>
          <w:szCs w:val="20"/>
        </w:rPr>
      </w:pPr>
    </w:p>
    <w:p w:rsidR="00327AFA" w:rsidRPr="00631257" w:rsidP="005E57F1" w14:paraId="0BA0443D" w14:textId="1CE87B79">
      <w:pPr>
        <w:pStyle w:val="ListParagraph"/>
        <w:suppressAutoHyphens/>
        <w:ind w:hanging="720"/>
      </w:pPr>
      <w:r>
        <w:rPr>
          <w:szCs w:val="20"/>
        </w:rPr>
        <w:tab/>
      </w:r>
      <w:r w:rsidRPr="00AA2CBC" w:rsidR="00AA2CBC">
        <w:rPr>
          <w:szCs w:val="20"/>
        </w:rPr>
        <w:t>The information required cannot be different for smaller institutions, thus the burden to small credit unions is no greater than for any other institution.</w:t>
      </w:r>
      <w:r w:rsidRPr="008D0AE0" w:rsidR="00AA2CBC">
        <w:rPr>
          <w:rFonts w:asciiTheme="majorHAnsi" w:hAnsiTheme="majorHAnsi"/>
          <w:szCs w:val="20"/>
        </w:rPr>
        <w:t xml:space="preserve">  </w:t>
      </w:r>
      <w:r w:rsidRPr="005E57F1" w:rsidR="00AA2CBC">
        <w:t>H</w:t>
      </w:r>
      <w:r w:rsidR="00AA2CBC">
        <w:t>owever, most of t</w:t>
      </w:r>
      <w:r>
        <w:t>hese requirements do not have a signi</w:t>
      </w:r>
      <w:r w:rsidR="00AA2CBC">
        <w:t>ficant e</w:t>
      </w:r>
      <w:r w:rsidR="00107525">
        <w:t>ffect on small entities, as these institutions</w:t>
      </w:r>
      <w:r w:rsidR="00AA2CBC">
        <w:t xml:space="preserve"> are less likely to engage in more complex lending activities.  Most small entities will only be subject to the information collection</w:t>
      </w:r>
      <w:r w:rsidR="00AA0943">
        <w:t>s</w:t>
      </w:r>
      <w:r w:rsidR="00AA2CBC">
        <w:t xml:space="preserve"> requiring them to maintain written loan policies and credit applications. </w:t>
      </w:r>
    </w:p>
    <w:p w:rsidR="003A0D60" w:rsidRPr="00631257" w:rsidP="005E57F1" w14:paraId="1E6695AE" w14:textId="77777777">
      <w:pPr>
        <w:pStyle w:val="ListParagraph"/>
        <w:suppressAutoHyphens/>
        <w:ind w:hanging="720"/>
      </w:pPr>
    </w:p>
    <w:p w:rsidR="00BA72E6" w:rsidRPr="0077306C" w:rsidP="005E57F1" w14:paraId="17B86C0A" w14:textId="77777777">
      <w:pPr>
        <w:pStyle w:val="Default"/>
        <w:tabs>
          <w:tab w:val="left" w:pos="720"/>
        </w:tabs>
      </w:pPr>
      <w:r>
        <w:rPr>
          <w:b/>
          <w:bCs/>
        </w:rPr>
        <w:t>6.</w:t>
      </w:r>
      <w:r>
        <w:rPr>
          <w:b/>
          <w:bCs/>
        </w:rPr>
        <w:tab/>
        <w:t>Consequences of not conducting the c</w:t>
      </w:r>
      <w:r w:rsidRPr="0077306C">
        <w:rPr>
          <w:b/>
          <w:bCs/>
        </w:rPr>
        <w:t>ollection</w:t>
      </w:r>
      <w:r>
        <w:rPr>
          <w:b/>
          <w:bCs/>
        </w:rPr>
        <w:t>.</w:t>
      </w:r>
    </w:p>
    <w:p w:rsidR="00C95B9A" w:rsidP="005E57F1" w14:paraId="288E86EE" w14:textId="77777777">
      <w:pPr>
        <w:pStyle w:val="ListParagraph"/>
        <w:suppressAutoHyphens/>
        <w:ind w:hanging="720"/>
      </w:pPr>
      <w:r>
        <w:tab/>
      </w:r>
    </w:p>
    <w:p w:rsidR="003A0D60" w:rsidRPr="00631257" w:rsidP="005E57F1" w14:paraId="7FE7F433" w14:textId="7EDB3059">
      <w:pPr>
        <w:pStyle w:val="ListParagraph"/>
        <w:suppressAutoHyphens/>
        <w:ind w:hanging="720"/>
      </w:pPr>
      <w:r>
        <w:tab/>
      </w:r>
      <w:r w:rsidR="00816E4A">
        <w:t xml:space="preserve">The collection of these items serve to protect the federal credit union from risk exposure and promotes a safe and sound credit union system. </w:t>
      </w:r>
      <w:r w:rsidR="004F3D15">
        <w:t xml:space="preserve"> </w:t>
      </w:r>
      <w:r w:rsidR="00AA0943">
        <w:t>Failure to comply could lead to excessive</w:t>
      </w:r>
      <w:r w:rsidR="00335073">
        <w:t xml:space="preserve"> credit, transaction</w:t>
      </w:r>
      <w:r w:rsidR="00107525">
        <w:t>,</w:t>
      </w:r>
      <w:r w:rsidR="00335073">
        <w:t xml:space="preserve"> and compliance risk if loan applications, attorney opinions, titles and financial option contracts are not</w:t>
      </w:r>
      <w:r w:rsidR="00107525">
        <w:t xml:space="preserve"> maintained and</w:t>
      </w:r>
      <w:r w:rsidR="00335073">
        <w:t xml:space="preserve"> reviewed.  </w:t>
      </w:r>
    </w:p>
    <w:p w:rsidR="003A0D60" w:rsidRPr="00E44F63" w:rsidP="004D634C" w14:paraId="009048F5" w14:textId="77777777">
      <w:pPr>
        <w:ind w:left="720" w:hanging="720"/>
      </w:pPr>
    </w:p>
    <w:p w:rsidR="00BA72E6" w:rsidRPr="0077306C" w:rsidP="00BA72E6" w14:paraId="6C0A59B0" w14:textId="77777777">
      <w:pPr>
        <w:pStyle w:val="Default"/>
        <w:tabs>
          <w:tab w:val="left" w:pos="720"/>
        </w:tabs>
        <w:ind w:left="720" w:hanging="720"/>
      </w:pPr>
      <w:r>
        <w:rPr>
          <w:b/>
          <w:bCs/>
        </w:rPr>
        <w:t>7.</w:t>
      </w:r>
      <w:r>
        <w:rPr>
          <w:b/>
          <w:bCs/>
        </w:rPr>
        <w:tab/>
        <w:t>Inconsistencies with guidelines in 5 CFR 1320.5(d)(2).</w:t>
      </w:r>
    </w:p>
    <w:p w:rsidR="00BA72E6" w:rsidP="004D634C" w14:paraId="716CE981" w14:textId="77777777">
      <w:pPr>
        <w:autoSpaceDE w:val="0"/>
        <w:autoSpaceDN w:val="0"/>
        <w:adjustRightInd w:val="0"/>
        <w:ind w:left="720" w:hanging="720"/>
        <w:rPr>
          <w:rFonts w:eastAsiaTheme="minorHAnsi"/>
        </w:rPr>
      </w:pPr>
    </w:p>
    <w:p w:rsidR="003A0D60" w:rsidRPr="0098413C" w:rsidP="004D634C" w14:paraId="022DB41E" w14:textId="1269DC93">
      <w:pPr>
        <w:autoSpaceDE w:val="0"/>
        <w:autoSpaceDN w:val="0"/>
        <w:adjustRightInd w:val="0"/>
        <w:ind w:left="720" w:hanging="720"/>
        <w:rPr>
          <w:rFonts w:eastAsiaTheme="minorHAnsi"/>
        </w:rPr>
      </w:pPr>
      <w:r>
        <w:rPr>
          <w:rFonts w:eastAsiaTheme="minorHAnsi"/>
        </w:rPr>
        <w:tab/>
      </w:r>
      <w:r w:rsidRPr="0098413C" w:rsidR="0098413C">
        <w:rPr>
          <w:rFonts w:eastAsiaTheme="minorHAnsi"/>
        </w:rPr>
        <w:t>The reports described in §701.21</w:t>
      </w:r>
      <w:r w:rsidR="00C26A91">
        <w:rPr>
          <w:rFonts w:eastAsiaTheme="minorHAnsi"/>
        </w:rPr>
        <w:t xml:space="preserve">(i)(3) </w:t>
      </w:r>
      <w:r w:rsidR="0098413C">
        <w:rPr>
          <w:rFonts w:eastAsiaTheme="minorHAnsi"/>
        </w:rPr>
        <w:t xml:space="preserve">(financial options contracts) for each month </w:t>
      </w:r>
      <w:r w:rsidRPr="0098413C" w:rsidR="0098413C">
        <w:rPr>
          <w:rFonts w:eastAsiaTheme="minorHAnsi"/>
        </w:rPr>
        <w:t>must be submitted to the appropriate NCUA Regional Office by the e</w:t>
      </w:r>
      <w:r w:rsidR="0098413C">
        <w:rPr>
          <w:rFonts w:eastAsiaTheme="minorHAnsi"/>
        </w:rPr>
        <w:t xml:space="preserve">nd of the following month. This </w:t>
      </w:r>
      <w:r w:rsidRPr="0098413C" w:rsidR="0098413C">
        <w:rPr>
          <w:rFonts w:eastAsiaTheme="minorHAnsi"/>
        </w:rPr>
        <w:t>monthly reporting requirement may be waived by the appropriate NCUA</w:t>
      </w:r>
      <w:r w:rsidR="0098413C">
        <w:rPr>
          <w:rFonts w:eastAsiaTheme="minorHAnsi"/>
        </w:rPr>
        <w:t xml:space="preserve"> Regional Director on a case-by-</w:t>
      </w:r>
      <w:r w:rsidRPr="0098413C" w:rsidR="0098413C">
        <w:rPr>
          <w:rFonts w:eastAsiaTheme="minorHAnsi"/>
        </w:rPr>
        <w:t xml:space="preserve">case basis for those Federal credit unions with a proven record </w:t>
      </w:r>
      <w:r w:rsidR="0098413C">
        <w:rPr>
          <w:rFonts w:eastAsiaTheme="minorHAnsi"/>
        </w:rPr>
        <w:t xml:space="preserve">of responsible use of permitted </w:t>
      </w:r>
      <w:r w:rsidRPr="0098413C" w:rsidR="0098413C">
        <w:rPr>
          <w:rFonts w:eastAsiaTheme="minorHAnsi"/>
        </w:rPr>
        <w:t>financial options contracts.</w:t>
      </w:r>
    </w:p>
    <w:p w:rsidR="003A0D60" w:rsidRPr="00E44F63" w:rsidP="004D634C" w14:paraId="2E638F1C" w14:textId="77777777">
      <w:pPr>
        <w:pStyle w:val="ListParagraph"/>
        <w:ind w:hanging="720"/>
        <w:rPr>
          <w:b/>
        </w:rPr>
      </w:pPr>
    </w:p>
    <w:p w:rsidR="00BA72E6" w:rsidRPr="0077306C" w:rsidP="00BA72E6" w14:paraId="6B7CA916" w14:textId="0F67A5B4">
      <w:pPr>
        <w:pStyle w:val="Default"/>
        <w:tabs>
          <w:tab w:val="left" w:pos="720"/>
        </w:tabs>
        <w:ind w:left="720" w:hanging="720"/>
      </w:pPr>
      <w:r>
        <w:rPr>
          <w:b/>
          <w:bCs/>
        </w:rPr>
        <w:t>8.</w:t>
      </w:r>
      <w:r>
        <w:rPr>
          <w:b/>
          <w:bCs/>
        </w:rPr>
        <w:tab/>
      </w:r>
      <w:r w:rsidR="00C26A91">
        <w:rPr>
          <w:b/>
        </w:rPr>
        <w:t>Efforts to consult</w:t>
      </w:r>
      <w:r w:rsidRPr="00625090" w:rsidR="00C26A91">
        <w:rPr>
          <w:b/>
        </w:rPr>
        <w:t xml:space="preserve"> </w:t>
      </w:r>
      <w:r w:rsidR="00C26A91">
        <w:rPr>
          <w:b/>
        </w:rPr>
        <w:t>with p</w:t>
      </w:r>
      <w:r w:rsidRPr="00625090" w:rsidR="00C26A91">
        <w:rPr>
          <w:b/>
        </w:rPr>
        <w:t xml:space="preserve">ersons </w:t>
      </w:r>
      <w:r w:rsidR="00C26A91">
        <w:rPr>
          <w:b/>
        </w:rPr>
        <w:t>outside the a</w:t>
      </w:r>
      <w:r w:rsidRPr="00625090" w:rsidR="00C26A91">
        <w:rPr>
          <w:b/>
        </w:rPr>
        <w:t>gency</w:t>
      </w:r>
      <w:r w:rsidR="00C26A91">
        <w:rPr>
          <w:b/>
        </w:rPr>
        <w:t>.</w:t>
      </w:r>
    </w:p>
    <w:p w:rsidR="00BA72E6" w:rsidP="004D634C" w14:paraId="1E40ED2A" w14:textId="77777777">
      <w:pPr>
        <w:pStyle w:val="ListParagraph"/>
        <w:suppressAutoHyphens/>
        <w:ind w:hanging="720"/>
      </w:pPr>
    </w:p>
    <w:p w:rsidR="002912DF" w:rsidRPr="00D12A59" w:rsidP="002912DF" w14:paraId="4337A19D" w14:textId="1652C85A">
      <w:pPr>
        <w:ind w:left="720" w:hanging="720"/>
      </w:pPr>
      <w:r>
        <w:tab/>
      </w:r>
      <w:bookmarkStart w:id="0" w:name="_Hlk57907486"/>
      <w:r w:rsidRPr="00D12A59" w:rsidR="002603B1">
        <w:t xml:space="preserve">A notice of proposed rulemaking was published on </w:t>
      </w:r>
      <w:r w:rsidR="00A540A6">
        <w:t>April</w:t>
      </w:r>
      <w:r w:rsidR="00DD296A">
        <w:t xml:space="preserve"> </w:t>
      </w:r>
      <w:r w:rsidR="00A540A6">
        <w:t>9</w:t>
      </w:r>
      <w:r w:rsidR="00DD296A">
        <w:t>, 202</w:t>
      </w:r>
      <w:r w:rsidR="009A1DE6">
        <w:t>4</w:t>
      </w:r>
      <w:r w:rsidRPr="00D12A59" w:rsidR="002603B1">
        <w:t xml:space="preserve">, at </w:t>
      </w:r>
      <w:r w:rsidR="00DD296A">
        <w:t>8</w:t>
      </w:r>
      <w:r w:rsidR="009A1DE6">
        <w:t>9</w:t>
      </w:r>
      <w:r w:rsidR="00DD296A">
        <w:t xml:space="preserve"> FR </w:t>
      </w:r>
      <w:r w:rsidR="00DF7AA4">
        <w:t>24868</w:t>
      </w:r>
      <w:r w:rsidRPr="00D12A59" w:rsidR="002603B1">
        <w:t>, soliciting</w:t>
      </w:r>
      <w:r w:rsidR="002603B1">
        <w:t xml:space="preserve"> comments from the public, including the information collection requirements.  No comments were received in response to </w:t>
      </w:r>
      <w:bookmarkEnd w:id="0"/>
      <w:r w:rsidR="00E353F5">
        <w:t>this notice.</w:t>
      </w:r>
    </w:p>
    <w:p w:rsidR="003A0D60" w:rsidRPr="00E44F63" w:rsidP="004D634C" w14:paraId="4042401B" w14:textId="15A2ACA4">
      <w:pPr>
        <w:pStyle w:val="ListParagraph"/>
        <w:suppressAutoHyphens/>
        <w:ind w:hanging="720"/>
        <w:rPr>
          <w:b/>
        </w:rPr>
      </w:pPr>
    </w:p>
    <w:p w:rsidR="00BA72E6" w:rsidRPr="005633A3" w:rsidP="00BA72E6" w14:paraId="48521379" w14:textId="77777777">
      <w:pPr>
        <w:rPr>
          <w:b/>
        </w:rPr>
      </w:pPr>
      <w:r w:rsidRPr="005633A3">
        <w:rPr>
          <w:b/>
        </w:rPr>
        <w:t>9.</w:t>
      </w:r>
      <w:r w:rsidRPr="005633A3">
        <w:rPr>
          <w:b/>
        </w:rPr>
        <w:tab/>
        <w:t>Payment or gifts to respondents.</w:t>
      </w:r>
    </w:p>
    <w:p w:rsidR="00BA72E6" w:rsidP="004D634C" w14:paraId="4D3CE0BF" w14:textId="77777777">
      <w:pPr>
        <w:suppressAutoHyphens/>
        <w:ind w:left="720" w:hanging="720"/>
      </w:pPr>
    </w:p>
    <w:p w:rsidR="006923ED" w:rsidP="004D634C" w14:paraId="0D018035" w14:textId="3F3E1F20">
      <w:pPr>
        <w:suppressAutoHyphens/>
        <w:ind w:left="720" w:hanging="720"/>
      </w:pPr>
      <w:r>
        <w:tab/>
      </w:r>
      <w:r>
        <w:t>There is no intent by NCUA to provide payment or g</w:t>
      </w:r>
      <w:r w:rsidR="0069645F">
        <w:t>ifts for information collected.</w:t>
      </w:r>
      <w:r>
        <w:t xml:space="preserve"> </w:t>
      </w:r>
      <w:r w:rsidR="004D0FCD">
        <w:t xml:space="preserve"> </w:t>
      </w:r>
    </w:p>
    <w:p w:rsidR="003A0D60" w:rsidRPr="00E44F63" w:rsidP="004D634C" w14:paraId="0DA02EEC" w14:textId="77777777">
      <w:pPr>
        <w:ind w:left="720" w:hanging="720"/>
      </w:pPr>
    </w:p>
    <w:p w:rsidR="00BA72E6" w:rsidRPr="005633A3" w:rsidP="00BA72E6" w14:paraId="70F92EFE" w14:textId="349A4040">
      <w:pPr>
        <w:rPr>
          <w:b/>
        </w:rPr>
      </w:pPr>
      <w:r w:rsidRPr="005633A3">
        <w:rPr>
          <w:b/>
        </w:rPr>
        <w:t>10.</w:t>
      </w:r>
      <w:r w:rsidRPr="005633A3">
        <w:rPr>
          <w:b/>
        </w:rPr>
        <w:tab/>
        <w:t>Assurance of confidentiality.</w:t>
      </w:r>
    </w:p>
    <w:p w:rsidR="00BA72E6" w:rsidP="004D634C" w14:paraId="5EAE4246" w14:textId="77777777">
      <w:pPr>
        <w:suppressAutoHyphens/>
        <w:ind w:left="720" w:hanging="720"/>
      </w:pPr>
    </w:p>
    <w:p w:rsidR="006923ED" w:rsidP="004D634C" w14:paraId="679CB3D3" w14:textId="67370AC9">
      <w:pPr>
        <w:suppressAutoHyphens/>
        <w:ind w:left="720" w:hanging="720"/>
      </w:pPr>
      <w:r>
        <w:tab/>
      </w:r>
      <w:r w:rsidR="00C26A91">
        <w:t xml:space="preserve">There is no assurance of confidentiality other than that provided by law.  </w:t>
      </w:r>
    </w:p>
    <w:p w:rsidR="003A0D60" w:rsidRPr="00E44F63" w:rsidP="004D634C" w14:paraId="01ABA6D5" w14:textId="2AA98738">
      <w:pPr>
        <w:ind w:left="720" w:hanging="720"/>
      </w:pPr>
    </w:p>
    <w:p w:rsidR="00BA72E6" w:rsidRPr="005633A3" w:rsidP="00BA72E6" w14:paraId="6C674866" w14:textId="09C39C45">
      <w:pPr>
        <w:rPr>
          <w:b/>
        </w:rPr>
      </w:pPr>
      <w:r w:rsidRPr="005633A3">
        <w:rPr>
          <w:b/>
        </w:rPr>
        <w:t>11.</w:t>
      </w:r>
      <w:r w:rsidRPr="005633A3">
        <w:rPr>
          <w:b/>
        </w:rPr>
        <w:tab/>
        <w:t>Questions of a sensitive nature.</w:t>
      </w:r>
    </w:p>
    <w:p w:rsidR="00BA72E6" w:rsidP="004D634C" w14:paraId="05D9347F" w14:textId="77777777">
      <w:pPr>
        <w:pStyle w:val="ListParagraph"/>
        <w:tabs>
          <w:tab w:val="left" w:pos="-8213"/>
          <w:tab w:val="left" w:pos="-7207"/>
          <w:tab w:val="left" w:pos="-7090"/>
          <w:tab w:val="left" w:pos="-3415"/>
          <w:tab w:val="left" w:pos="-3298"/>
          <w:tab w:val="left" w:pos="-2159"/>
          <w:tab w:val="left" w:pos="-2041"/>
        </w:tabs>
        <w:suppressAutoHyphens/>
        <w:ind w:hanging="720"/>
      </w:pPr>
    </w:p>
    <w:p w:rsidR="003A0D60" w:rsidP="004D634C" w14:paraId="7E04D567" w14:textId="286355A4">
      <w:pPr>
        <w:pStyle w:val="ListParagraph"/>
        <w:tabs>
          <w:tab w:val="left" w:pos="-8213"/>
          <w:tab w:val="left" w:pos="-7207"/>
          <w:tab w:val="left" w:pos="-7090"/>
          <w:tab w:val="left" w:pos="-3415"/>
          <w:tab w:val="left" w:pos="-3298"/>
          <w:tab w:val="left" w:pos="-2159"/>
          <w:tab w:val="left" w:pos="-2041"/>
        </w:tabs>
        <w:suppressAutoHyphens/>
        <w:ind w:hanging="720"/>
        <w:rPr>
          <w:szCs w:val="20"/>
        </w:rPr>
      </w:pPr>
      <w:r>
        <w:tab/>
      </w:r>
      <w:r w:rsidRPr="0069645F" w:rsidR="0069645F">
        <w:rPr>
          <w:spacing w:val="-3"/>
          <w:szCs w:val="20"/>
        </w:rPr>
        <w:t xml:space="preserve">No questions of a sensitive nature are asked.  </w:t>
      </w:r>
      <w:r w:rsidRPr="0069645F" w:rsidR="0069645F">
        <w:rPr>
          <w:szCs w:val="20"/>
        </w:rPr>
        <w:t>The information collection does not collect any Personally Identifiable Information (PII).</w:t>
      </w:r>
    </w:p>
    <w:p w:rsidR="003A0D60" w:rsidRPr="004D634C" w:rsidP="004D634C" w14:paraId="17AF3B96" w14:textId="77777777">
      <w:pPr>
        <w:rPr>
          <w:bCs/>
        </w:rPr>
      </w:pPr>
    </w:p>
    <w:p w:rsidR="00BA72E6" w:rsidP="00BA72E6" w14:paraId="78F71690" w14:textId="77777777">
      <w:pPr>
        <w:rPr>
          <w:b/>
        </w:rPr>
      </w:pPr>
      <w:r w:rsidRPr="00596BA6">
        <w:rPr>
          <w:b/>
        </w:rPr>
        <w:t>12.</w:t>
      </w:r>
      <w:r w:rsidRPr="00596BA6">
        <w:rPr>
          <w:b/>
        </w:rPr>
        <w:tab/>
        <w:t>Burden of information collection.</w:t>
      </w:r>
    </w:p>
    <w:p w:rsidR="00A46930" w:rsidP="00BA72E6" w14:paraId="10841442" w14:textId="77777777">
      <w:pPr>
        <w:rPr>
          <w:b/>
        </w:rPr>
      </w:pPr>
    </w:p>
    <w:p w:rsidR="00517E35" w:rsidP="00732FD3" w14:paraId="404D8D5C" w14:textId="0AEF1435">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 xml:space="preserve">The annual burden is estimated to be </w:t>
      </w:r>
      <w:r w:rsidR="00902068">
        <w:t>16,343</w:t>
      </w:r>
      <w:r w:rsidR="00732FD3">
        <w:t xml:space="preserve"> (see table below)</w:t>
      </w:r>
      <w:r w:rsidR="00BE67FF">
        <w:t>.</w:t>
      </w:r>
      <w:r>
        <w:t xml:space="preserve">  </w:t>
      </w:r>
      <w:r>
        <w:t xml:space="preserve">The annual cost for the </w:t>
      </w:r>
      <w:r w:rsidR="003B7AA3">
        <w:t>4,533</w:t>
      </w:r>
      <w:r>
        <w:t xml:space="preserve"> federal credit union respondents is estimated to be </w:t>
      </w:r>
      <w:r w:rsidRPr="00A13CE9">
        <w:t>$</w:t>
      </w:r>
      <w:r w:rsidRPr="003B7AA3" w:rsidR="003B7AA3">
        <w:t>572,005</w:t>
      </w:r>
      <w:r w:rsidRPr="00A13CE9">
        <w:t xml:space="preserve"> (at $35 hourly cost)</w:t>
      </w:r>
      <w:r w:rsidR="00ED5B5C">
        <w:t>.</w:t>
      </w:r>
    </w:p>
    <w:p w:rsidR="00A46930" w:rsidP="00BA72E6" w14:paraId="2C3028D2" w14:textId="77777777">
      <w:pPr>
        <w:rPr>
          <w:b/>
        </w:rPr>
      </w:pPr>
    </w:p>
    <w:p w:rsidR="00517E35" w:rsidP="00BA72E6" w14:paraId="34A4267E" w14:textId="77777777">
      <w:pPr>
        <w:rPr>
          <w:b/>
        </w:rPr>
      </w:pPr>
    </w:p>
    <w:p w:rsidR="00517E35" w:rsidRPr="00596BA6" w:rsidP="00BA72E6" w14:paraId="073841EC" w14:textId="77777777">
      <w:pPr>
        <w:rPr>
          <w:b/>
        </w:rPr>
      </w:pPr>
    </w:p>
    <w:p w:rsidR="004D634C" w:rsidP="004D634C" w14:paraId="6685D8ED" w14:textId="77777777">
      <w:pPr>
        <w:pStyle w:val="ListParagraph"/>
        <w:tabs>
          <w:tab w:val="left" w:pos="-720"/>
        </w:tabs>
        <w:suppressAutoHyphens/>
      </w:pPr>
    </w:p>
    <w:p w:rsidR="007D38AE" w:rsidP="004D634C" w14:paraId="1AD04739" w14:textId="77777777">
      <w:pPr>
        <w:pStyle w:val="ListParagraph"/>
        <w:tabs>
          <w:tab w:val="left" w:pos="-720"/>
        </w:tabs>
        <w:suppressAutoHyphens/>
        <w:sectPr w:rsidSect="007D38AE">
          <w:footerReference w:type="default" r:id="rId5"/>
          <w:pgSz w:w="12240" w:h="15840"/>
          <w:pgMar w:top="1440" w:right="1440" w:bottom="1440" w:left="1440" w:header="720" w:footer="720" w:gutter="0"/>
          <w:cols w:space="720"/>
          <w:docGrid w:linePitch="360"/>
        </w:sectPr>
      </w:pPr>
    </w:p>
    <w:tbl>
      <w:tblPr>
        <w:tblW w:w="12060" w:type="dxa"/>
        <w:tblInd w:w="612" w:type="dxa"/>
        <w:tblLook w:val="04A0"/>
      </w:tblPr>
      <w:tblGrid>
        <w:gridCol w:w="381"/>
        <w:gridCol w:w="1419"/>
        <w:gridCol w:w="3240"/>
        <w:gridCol w:w="1260"/>
        <w:gridCol w:w="1170"/>
        <w:gridCol w:w="1213"/>
        <w:gridCol w:w="1217"/>
        <w:gridCol w:w="990"/>
        <w:gridCol w:w="1170"/>
      </w:tblGrid>
      <w:tr w14:paraId="675FE31B" w14:textId="77777777" w:rsidTr="009A5A2D">
        <w:tblPrEx>
          <w:tblW w:w="12060" w:type="dxa"/>
          <w:tblInd w:w="612" w:type="dxa"/>
          <w:tblLook w:val="04A0"/>
        </w:tblPrEx>
        <w:trPr>
          <w:trHeight w:val="780"/>
        </w:trPr>
        <w:tc>
          <w:tcPr>
            <w:tcW w:w="381" w:type="dxa"/>
            <w:tcBorders>
              <w:top w:val="nil"/>
              <w:left w:val="nil"/>
              <w:bottom w:val="nil"/>
              <w:right w:val="nil"/>
            </w:tcBorders>
            <w:shd w:val="clear" w:color="auto" w:fill="auto"/>
            <w:vAlign w:val="bottom"/>
            <w:hideMark/>
          </w:tcPr>
          <w:p w:rsidR="008F5242" w:rsidRPr="007D38AE" w:rsidP="007D38AE" w14:paraId="4C4003ED" w14:textId="77777777">
            <w:pP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F5242" w:rsidRPr="007D38AE" w:rsidP="007D38AE" w14:paraId="4EE37383"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CFR Citation</w:t>
            </w:r>
          </w:p>
        </w:tc>
        <w:tc>
          <w:tcPr>
            <w:tcW w:w="3240" w:type="dxa"/>
            <w:tcBorders>
              <w:top w:val="single" w:sz="4" w:space="0" w:color="auto"/>
              <w:left w:val="nil"/>
              <w:bottom w:val="single" w:sz="4" w:space="0" w:color="auto"/>
              <w:right w:val="single" w:sz="4" w:space="0" w:color="auto"/>
            </w:tcBorders>
            <w:shd w:val="clear" w:color="000000" w:fill="F2F2F2"/>
            <w:vAlign w:val="center"/>
            <w:hideMark/>
          </w:tcPr>
          <w:p w:rsidR="008F5242" w:rsidRPr="007D38AE" w:rsidP="007D38AE" w14:paraId="06D34F52"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Information Collection</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8F5242" w:rsidRPr="007D38AE" w:rsidP="007D38AE" w14:paraId="7396B163"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Type of Burden</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8F5242" w:rsidRPr="007D38AE" w:rsidP="007D38AE" w14:paraId="7720106F"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 Respondents</w:t>
            </w:r>
          </w:p>
        </w:tc>
        <w:tc>
          <w:tcPr>
            <w:tcW w:w="1213" w:type="dxa"/>
            <w:tcBorders>
              <w:top w:val="single" w:sz="4" w:space="0" w:color="auto"/>
              <w:left w:val="nil"/>
              <w:bottom w:val="single" w:sz="4" w:space="0" w:color="auto"/>
              <w:right w:val="single" w:sz="4" w:space="0" w:color="auto"/>
            </w:tcBorders>
            <w:shd w:val="clear" w:color="000000" w:fill="F2F2F2"/>
            <w:vAlign w:val="center"/>
            <w:hideMark/>
          </w:tcPr>
          <w:p w:rsidR="008F5242" w:rsidRPr="007D38AE" w:rsidP="007D38AE" w14:paraId="24235AB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 Responses per Respondent</w:t>
            </w:r>
          </w:p>
        </w:tc>
        <w:tc>
          <w:tcPr>
            <w:tcW w:w="1217" w:type="dxa"/>
            <w:tcBorders>
              <w:top w:val="single" w:sz="4" w:space="0" w:color="auto"/>
              <w:left w:val="nil"/>
              <w:bottom w:val="single" w:sz="4" w:space="0" w:color="auto"/>
              <w:right w:val="single" w:sz="4" w:space="0" w:color="auto"/>
            </w:tcBorders>
            <w:shd w:val="clear" w:color="000000" w:fill="F2F2F2"/>
            <w:vAlign w:val="center"/>
            <w:hideMark/>
          </w:tcPr>
          <w:p w:rsidR="008F5242" w:rsidRPr="007D38AE" w:rsidP="007D38AE" w14:paraId="7B5B5FE9"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 Annual Responses</w:t>
            </w:r>
          </w:p>
        </w:tc>
        <w:tc>
          <w:tcPr>
            <w:tcW w:w="990" w:type="dxa"/>
            <w:tcBorders>
              <w:top w:val="single" w:sz="4" w:space="0" w:color="auto"/>
              <w:left w:val="nil"/>
              <w:bottom w:val="single" w:sz="4" w:space="0" w:color="auto"/>
              <w:right w:val="single" w:sz="4" w:space="0" w:color="auto"/>
            </w:tcBorders>
            <w:shd w:val="clear" w:color="000000" w:fill="F2F2F2"/>
            <w:vAlign w:val="center"/>
            <w:hideMark/>
          </w:tcPr>
          <w:p w:rsidR="008F5242" w:rsidRPr="007D38AE" w:rsidP="007D38AE" w14:paraId="7B7B7A82"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Hours per Response</w:t>
            </w:r>
          </w:p>
        </w:tc>
        <w:tc>
          <w:tcPr>
            <w:tcW w:w="1170" w:type="dxa"/>
            <w:tcBorders>
              <w:top w:val="single" w:sz="4" w:space="0" w:color="auto"/>
              <w:left w:val="nil"/>
              <w:bottom w:val="single" w:sz="4" w:space="0" w:color="auto"/>
              <w:right w:val="single" w:sz="12" w:space="0" w:color="auto"/>
            </w:tcBorders>
            <w:shd w:val="clear" w:color="000000" w:fill="F2F2F2"/>
            <w:vAlign w:val="center"/>
            <w:hideMark/>
          </w:tcPr>
          <w:p w:rsidR="008F5242" w:rsidRPr="007D38AE" w:rsidP="007D38AE" w14:paraId="4B17B9A6"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Total Est. Burden</w:t>
            </w:r>
          </w:p>
        </w:tc>
      </w:tr>
      <w:tr w14:paraId="4FDFB789" w14:textId="77777777" w:rsidTr="009A5A2D">
        <w:tblPrEx>
          <w:tblW w:w="12060" w:type="dxa"/>
          <w:tblInd w:w="612" w:type="dxa"/>
          <w:tblLook w:val="04A0"/>
        </w:tblPrEx>
        <w:trPr>
          <w:trHeight w:val="500"/>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CF9" w:rsidRPr="007D38AE" w:rsidP="000F0CF9" w14:paraId="64987E4A"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w:t>
            </w:r>
          </w:p>
        </w:tc>
        <w:tc>
          <w:tcPr>
            <w:tcW w:w="1419" w:type="dxa"/>
            <w:tcBorders>
              <w:top w:val="nil"/>
              <w:left w:val="nil"/>
              <w:bottom w:val="single" w:sz="4" w:space="0" w:color="auto"/>
              <w:right w:val="single" w:sz="4" w:space="0" w:color="auto"/>
            </w:tcBorders>
            <w:shd w:val="clear" w:color="auto" w:fill="auto"/>
            <w:vAlign w:val="center"/>
            <w:hideMark/>
          </w:tcPr>
          <w:p w:rsidR="000F0CF9" w:rsidRPr="007D38AE" w:rsidP="000F0CF9" w14:paraId="4931C3E9" w14:textId="61619B58">
            <w:pPr>
              <w:rPr>
                <w:rFonts w:ascii="Arial" w:hAnsi="Arial" w:cs="Arial"/>
                <w:color w:val="000000"/>
                <w:sz w:val="18"/>
                <w:szCs w:val="18"/>
              </w:rPr>
            </w:pPr>
            <w:r>
              <w:rPr>
                <w:rFonts w:ascii="Arial" w:hAnsi="Arial" w:cs="Arial"/>
                <w:color w:val="000000"/>
                <w:sz w:val="18"/>
                <w:szCs w:val="18"/>
              </w:rPr>
              <w:t>701.21 (c)(2)</w:t>
            </w:r>
          </w:p>
        </w:tc>
        <w:tc>
          <w:tcPr>
            <w:tcW w:w="3240" w:type="dxa"/>
            <w:tcBorders>
              <w:top w:val="nil"/>
              <w:left w:val="nil"/>
              <w:bottom w:val="single" w:sz="4" w:space="0" w:color="auto"/>
              <w:right w:val="single" w:sz="4" w:space="0" w:color="auto"/>
            </w:tcBorders>
            <w:shd w:val="clear" w:color="auto" w:fill="auto"/>
            <w:vAlign w:val="center"/>
            <w:hideMark/>
          </w:tcPr>
          <w:p w:rsidR="000F0CF9" w:rsidRPr="007D38AE" w:rsidP="000F0CF9" w14:paraId="1535921F" w14:textId="789172CF">
            <w:pPr>
              <w:rPr>
                <w:rFonts w:ascii="Arial" w:hAnsi="Arial" w:cs="Arial"/>
                <w:color w:val="000000"/>
                <w:sz w:val="18"/>
                <w:szCs w:val="18"/>
              </w:rPr>
            </w:pPr>
            <w:r>
              <w:rPr>
                <w:rFonts w:ascii="Arial" w:hAnsi="Arial" w:cs="Arial"/>
                <w:color w:val="000000"/>
                <w:sz w:val="18"/>
                <w:szCs w:val="18"/>
              </w:rPr>
              <w:t>Retain and maintain a written loan and line of credit policies</w:t>
            </w:r>
          </w:p>
        </w:tc>
        <w:tc>
          <w:tcPr>
            <w:tcW w:w="1260" w:type="dxa"/>
            <w:tcBorders>
              <w:top w:val="nil"/>
              <w:left w:val="nil"/>
              <w:bottom w:val="single" w:sz="4" w:space="0" w:color="auto"/>
              <w:right w:val="single" w:sz="4" w:space="0" w:color="auto"/>
            </w:tcBorders>
            <w:shd w:val="clear" w:color="auto" w:fill="auto"/>
            <w:vAlign w:val="center"/>
            <w:hideMark/>
          </w:tcPr>
          <w:p w:rsidR="000F0CF9" w:rsidRPr="007D38AE" w:rsidP="000F0CF9" w14:paraId="433365E2" w14:textId="7EEE58FF">
            <w:pPr>
              <w:rPr>
                <w:rFonts w:ascii="Arial Narrow" w:hAnsi="Arial Narrow" w:cs="Arial"/>
                <w:color w:val="000000"/>
                <w:sz w:val="18"/>
                <w:szCs w:val="18"/>
              </w:rPr>
            </w:pPr>
            <w:r>
              <w:rPr>
                <w:rFonts w:ascii="Arial Narrow" w:hAnsi="Arial Narrow" w:cs="Calibri"/>
                <w:color w:val="000000"/>
                <w:sz w:val="18"/>
                <w:szCs w:val="18"/>
              </w:rPr>
              <w:t>Recordkeeping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7D38AE" w:rsidP="000F0CF9" w14:paraId="25D878E7" w14:textId="18D91AC3">
            <w:pPr>
              <w:jc w:val="right"/>
              <w:rPr>
                <w:rFonts w:ascii="Arial" w:hAnsi="Arial" w:cs="Arial"/>
                <w:color w:val="000000"/>
                <w:sz w:val="18"/>
                <w:szCs w:val="18"/>
              </w:rPr>
            </w:pPr>
            <w:r>
              <w:rPr>
                <w:rFonts w:ascii="Arial" w:hAnsi="Arial" w:cs="Arial"/>
                <w:color w:val="000000"/>
                <w:sz w:val="18"/>
                <w:szCs w:val="18"/>
              </w:rPr>
              <w:t>4,533</w:t>
            </w:r>
          </w:p>
        </w:tc>
        <w:tc>
          <w:tcPr>
            <w:tcW w:w="1213" w:type="dxa"/>
            <w:tcBorders>
              <w:top w:val="nil"/>
              <w:left w:val="nil"/>
              <w:bottom w:val="single" w:sz="4" w:space="0" w:color="auto"/>
              <w:right w:val="single" w:sz="4" w:space="0" w:color="auto"/>
            </w:tcBorders>
            <w:shd w:val="clear" w:color="auto" w:fill="auto"/>
            <w:vAlign w:val="center"/>
            <w:hideMark/>
          </w:tcPr>
          <w:p w:rsidR="000F0CF9" w:rsidRPr="007D38AE" w:rsidP="000F0CF9" w14:paraId="7CA2FBAC" w14:textId="5BE46283">
            <w:pPr>
              <w:jc w:val="right"/>
              <w:rPr>
                <w:rFonts w:ascii="Arial" w:hAnsi="Arial" w:cs="Arial"/>
                <w:color w:val="000000"/>
                <w:sz w:val="18"/>
                <w:szCs w:val="18"/>
              </w:rPr>
            </w:pPr>
            <w:r>
              <w:rPr>
                <w:rFonts w:ascii="Arial" w:hAnsi="Arial" w:cs="Arial"/>
                <w:color w:val="000000"/>
                <w:sz w:val="18"/>
                <w:szCs w:val="18"/>
              </w:rPr>
              <w:t>1</w:t>
            </w:r>
          </w:p>
        </w:tc>
        <w:tc>
          <w:tcPr>
            <w:tcW w:w="1217" w:type="dxa"/>
            <w:tcBorders>
              <w:top w:val="nil"/>
              <w:left w:val="nil"/>
              <w:bottom w:val="single" w:sz="4" w:space="0" w:color="auto"/>
              <w:right w:val="single" w:sz="4" w:space="0" w:color="auto"/>
            </w:tcBorders>
            <w:shd w:val="clear" w:color="auto" w:fill="auto"/>
            <w:vAlign w:val="center"/>
            <w:hideMark/>
          </w:tcPr>
          <w:p w:rsidR="000F0CF9" w:rsidRPr="007D38AE" w:rsidP="000F0CF9" w14:paraId="139DF9D0" w14:textId="63A413DB">
            <w:pPr>
              <w:jc w:val="right"/>
              <w:rPr>
                <w:rFonts w:ascii="Arial" w:hAnsi="Arial" w:cs="Arial"/>
                <w:color w:val="000000"/>
                <w:sz w:val="18"/>
                <w:szCs w:val="18"/>
              </w:rPr>
            </w:pPr>
            <w:r>
              <w:rPr>
                <w:rFonts w:ascii="Arial" w:hAnsi="Arial" w:cs="Arial"/>
                <w:color w:val="000000"/>
                <w:sz w:val="18"/>
                <w:szCs w:val="18"/>
              </w:rPr>
              <w:t>4,533</w:t>
            </w:r>
          </w:p>
        </w:tc>
        <w:tc>
          <w:tcPr>
            <w:tcW w:w="990" w:type="dxa"/>
            <w:tcBorders>
              <w:top w:val="nil"/>
              <w:left w:val="nil"/>
              <w:bottom w:val="single" w:sz="4" w:space="0" w:color="auto"/>
              <w:right w:val="single" w:sz="4" w:space="0" w:color="auto"/>
            </w:tcBorders>
            <w:shd w:val="clear" w:color="auto" w:fill="auto"/>
            <w:vAlign w:val="center"/>
            <w:hideMark/>
          </w:tcPr>
          <w:p w:rsidR="000F0CF9" w:rsidRPr="007D38AE" w:rsidP="000F0CF9" w14:paraId="2E854BA6" w14:textId="289A915A">
            <w:pPr>
              <w:jc w:val="right"/>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4AB3E3CA" w14:textId="4CC6E689">
            <w:pPr>
              <w:jc w:val="right"/>
              <w:rPr>
                <w:rFonts w:ascii="Arial" w:hAnsi="Arial" w:cs="Arial"/>
                <w:color w:val="000000"/>
                <w:sz w:val="18"/>
                <w:szCs w:val="18"/>
              </w:rPr>
            </w:pPr>
            <w:r>
              <w:rPr>
                <w:rFonts w:ascii="Arial" w:hAnsi="Arial" w:cs="Arial"/>
                <w:color w:val="000000"/>
                <w:sz w:val="18"/>
                <w:szCs w:val="18"/>
              </w:rPr>
              <w:t>4,533</w:t>
            </w:r>
          </w:p>
        </w:tc>
      </w:tr>
      <w:tr w14:paraId="56C44FD6" w14:textId="77777777" w:rsidTr="009A5A2D">
        <w:tblPrEx>
          <w:tblW w:w="12060" w:type="dxa"/>
          <w:tblInd w:w="612" w:type="dxa"/>
          <w:tblLook w:val="04A0"/>
        </w:tblPrEx>
        <w:trPr>
          <w:trHeight w:val="500"/>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0F0CF9" w:rsidRPr="007D38AE" w:rsidP="000F0CF9" w14:paraId="5490D4BD"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2</w:t>
            </w:r>
          </w:p>
        </w:tc>
        <w:tc>
          <w:tcPr>
            <w:tcW w:w="1419" w:type="dxa"/>
            <w:tcBorders>
              <w:top w:val="nil"/>
              <w:left w:val="nil"/>
              <w:bottom w:val="single" w:sz="4" w:space="0" w:color="auto"/>
              <w:right w:val="single" w:sz="4" w:space="0" w:color="auto"/>
            </w:tcBorders>
            <w:shd w:val="clear" w:color="auto" w:fill="auto"/>
            <w:vAlign w:val="center"/>
            <w:hideMark/>
          </w:tcPr>
          <w:p w:rsidR="000F0CF9" w:rsidRPr="007D38AE" w:rsidP="000F0CF9" w14:paraId="533E4BEC" w14:textId="0587027F">
            <w:pPr>
              <w:rPr>
                <w:rFonts w:ascii="Arial" w:hAnsi="Arial" w:cs="Arial"/>
                <w:color w:val="000000"/>
                <w:sz w:val="18"/>
                <w:szCs w:val="18"/>
              </w:rPr>
            </w:pPr>
            <w:r>
              <w:rPr>
                <w:rFonts w:ascii="Arial" w:hAnsi="Arial" w:cs="Arial"/>
                <w:color w:val="000000"/>
                <w:sz w:val="18"/>
                <w:szCs w:val="18"/>
              </w:rPr>
              <w:t>701.21 (c)(3)</w:t>
            </w:r>
          </w:p>
        </w:tc>
        <w:tc>
          <w:tcPr>
            <w:tcW w:w="3240" w:type="dxa"/>
            <w:tcBorders>
              <w:top w:val="nil"/>
              <w:left w:val="nil"/>
              <w:bottom w:val="single" w:sz="4" w:space="0" w:color="auto"/>
              <w:right w:val="single" w:sz="4" w:space="0" w:color="auto"/>
            </w:tcBorders>
            <w:shd w:val="clear" w:color="auto" w:fill="auto"/>
            <w:vAlign w:val="center"/>
            <w:hideMark/>
          </w:tcPr>
          <w:p w:rsidR="000F0CF9" w:rsidRPr="007D38AE" w:rsidP="000F0CF9" w14:paraId="17F380D7" w14:textId="277764C1">
            <w:pPr>
              <w:rPr>
                <w:rFonts w:ascii="Arial" w:hAnsi="Arial" w:cs="Arial"/>
                <w:color w:val="000000"/>
                <w:sz w:val="18"/>
                <w:szCs w:val="18"/>
              </w:rPr>
            </w:pPr>
            <w:r>
              <w:rPr>
                <w:rFonts w:ascii="Arial" w:hAnsi="Arial" w:cs="Arial"/>
                <w:color w:val="000000"/>
                <w:sz w:val="18"/>
                <w:szCs w:val="18"/>
              </w:rPr>
              <w:t>Retain a credit application for each loan</w:t>
            </w:r>
          </w:p>
        </w:tc>
        <w:tc>
          <w:tcPr>
            <w:tcW w:w="1260" w:type="dxa"/>
            <w:tcBorders>
              <w:top w:val="nil"/>
              <w:left w:val="nil"/>
              <w:bottom w:val="single" w:sz="4" w:space="0" w:color="auto"/>
              <w:right w:val="single" w:sz="4" w:space="0" w:color="auto"/>
            </w:tcBorders>
            <w:shd w:val="clear" w:color="auto" w:fill="auto"/>
            <w:vAlign w:val="center"/>
            <w:hideMark/>
          </w:tcPr>
          <w:p w:rsidR="000F0CF9" w:rsidRPr="007D38AE" w:rsidP="000F0CF9" w14:paraId="73A2855B" w14:textId="2A6116CF">
            <w:pPr>
              <w:rPr>
                <w:rFonts w:ascii="Arial Narrow" w:hAnsi="Arial Narrow" w:cs="Arial"/>
                <w:color w:val="000000"/>
                <w:sz w:val="18"/>
                <w:szCs w:val="18"/>
              </w:rPr>
            </w:pPr>
            <w:r>
              <w:rPr>
                <w:rFonts w:ascii="Arial Narrow" w:hAnsi="Arial Narrow" w:cs="Calibri"/>
                <w:color w:val="000000"/>
                <w:sz w:val="18"/>
                <w:szCs w:val="18"/>
              </w:rPr>
              <w:t>Recordkeeping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7D38AE" w:rsidP="000F0CF9" w14:paraId="3CE2D850" w14:textId="69B4BCBE">
            <w:pPr>
              <w:jc w:val="right"/>
              <w:rPr>
                <w:rFonts w:ascii="Arial" w:hAnsi="Arial" w:cs="Arial"/>
                <w:color w:val="000000"/>
                <w:sz w:val="18"/>
                <w:szCs w:val="18"/>
              </w:rPr>
            </w:pPr>
            <w:r>
              <w:rPr>
                <w:rFonts w:ascii="Arial" w:hAnsi="Arial" w:cs="Arial"/>
                <w:color w:val="000000"/>
                <w:sz w:val="18"/>
                <w:szCs w:val="18"/>
              </w:rPr>
              <w:t>4,533</w:t>
            </w:r>
          </w:p>
        </w:tc>
        <w:tc>
          <w:tcPr>
            <w:tcW w:w="1213" w:type="dxa"/>
            <w:tcBorders>
              <w:top w:val="nil"/>
              <w:left w:val="nil"/>
              <w:bottom w:val="single" w:sz="4" w:space="0" w:color="auto"/>
              <w:right w:val="single" w:sz="4" w:space="0" w:color="auto"/>
            </w:tcBorders>
            <w:shd w:val="clear" w:color="auto" w:fill="auto"/>
            <w:vAlign w:val="center"/>
            <w:hideMark/>
          </w:tcPr>
          <w:p w:rsidR="000F0CF9" w:rsidRPr="007D38AE" w:rsidP="000F0CF9" w14:paraId="65915066" w14:textId="55B9B20B">
            <w:pPr>
              <w:jc w:val="right"/>
              <w:rPr>
                <w:rFonts w:ascii="Arial" w:hAnsi="Arial" w:cs="Arial"/>
                <w:color w:val="000000"/>
                <w:sz w:val="18"/>
                <w:szCs w:val="18"/>
              </w:rPr>
            </w:pPr>
            <w:r>
              <w:rPr>
                <w:rFonts w:ascii="Arial" w:hAnsi="Arial" w:cs="Arial"/>
                <w:color w:val="000000"/>
                <w:sz w:val="18"/>
                <w:szCs w:val="18"/>
              </w:rPr>
              <w:t>1</w:t>
            </w:r>
          </w:p>
        </w:tc>
        <w:tc>
          <w:tcPr>
            <w:tcW w:w="1217" w:type="dxa"/>
            <w:tcBorders>
              <w:top w:val="nil"/>
              <w:left w:val="nil"/>
              <w:bottom w:val="single" w:sz="4" w:space="0" w:color="auto"/>
              <w:right w:val="single" w:sz="4" w:space="0" w:color="auto"/>
            </w:tcBorders>
            <w:shd w:val="clear" w:color="auto" w:fill="auto"/>
            <w:vAlign w:val="center"/>
            <w:hideMark/>
          </w:tcPr>
          <w:p w:rsidR="000F0CF9" w:rsidRPr="007D38AE" w:rsidP="000F0CF9" w14:paraId="12C64302" w14:textId="4FF034D9">
            <w:pPr>
              <w:jc w:val="right"/>
              <w:rPr>
                <w:rFonts w:ascii="Arial" w:hAnsi="Arial" w:cs="Arial"/>
                <w:color w:val="000000"/>
                <w:sz w:val="18"/>
                <w:szCs w:val="18"/>
              </w:rPr>
            </w:pPr>
            <w:r>
              <w:rPr>
                <w:rFonts w:ascii="Arial" w:hAnsi="Arial" w:cs="Arial"/>
                <w:color w:val="000000"/>
                <w:sz w:val="18"/>
                <w:szCs w:val="18"/>
              </w:rPr>
              <w:t>4,533</w:t>
            </w:r>
          </w:p>
        </w:tc>
        <w:tc>
          <w:tcPr>
            <w:tcW w:w="990" w:type="dxa"/>
            <w:tcBorders>
              <w:top w:val="nil"/>
              <w:left w:val="nil"/>
              <w:bottom w:val="single" w:sz="4" w:space="0" w:color="auto"/>
              <w:right w:val="single" w:sz="4" w:space="0" w:color="auto"/>
            </w:tcBorders>
            <w:shd w:val="clear" w:color="auto" w:fill="auto"/>
            <w:vAlign w:val="center"/>
            <w:hideMark/>
          </w:tcPr>
          <w:p w:rsidR="000F0CF9" w:rsidRPr="007D38AE" w:rsidP="000F0CF9" w14:paraId="5B05510F" w14:textId="4D285567">
            <w:pPr>
              <w:jc w:val="right"/>
              <w:rPr>
                <w:rFonts w:ascii="Arial" w:hAnsi="Arial" w:cs="Arial"/>
                <w:color w:val="000000"/>
                <w:sz w:val="18"/>
                <w:szCs w:val="18"/>
              </w:rPr>
            </w:pPr>
            <w:r>
              <w:rPr>
                <w:rFonts w:ascii="Arial" w:hAnsi="Arial" w:cs="Arial"/>
                <w:color w:val="000000"/>
                <w:sz w:val="18"/>
                <w:szCs w:val="18"/>
              </w:rPr>
              <w:t>0.083</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7603822A" w14:textId="1F6131D4">
            <w:pPr>
              <w:jc w:val="right"/>
              <w:rPr>
                <w:rFonts w:ascii="Arial" w:hAnsi="Arial" w:cs="Arial"/>
                <w:color w:val="000000"/>
                <w:sz w:val="18"/>
                <w:szCs w:val="18"/>
              </w:rPr>
            </w:pPr>
            <w:r>
              <w:rPr>
                <w:rFonts w:ascii="Arial" w:hAnsi="Arial" w:cs="Arial"/>
                <w:color w:val="000000"/>
                <w:sz w:val="18"/>
                <w:szCs w:val="18"/>
              </w:rPr>
              <w:t>376</w:t>
            </w:r>
          </w:p>
        </w:tc>
      </w:tr>
      <w:tr w14:paraId="06ED2BAC" w14:textId="77777777" w:rsidTr="009A5A2D">
        <w:tblPrEx>
          <w:tblW w:w="12060" w:type="dxa"/>
          <w:tblInd w:w="612" w:type="dxa"/>
          <w:tblLook w:val="04A0"/>
        </w:tblPrEx>
        <w:trPr>
          <w:trHeight w:val="500"/>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0F0CF9" w:rsidRPr="007D38AE" w:rsidP="000F0CF9" w14:paraId="4437BB9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3</w:t>
            </w:r>
          </w:p>
        </w:tc>
        <w:tc>
          <w:tcPr>
            <w:tcW w:w="1419" w:type="dxa"/>
            <w:tcBorders>
              <w:top w:val="nil"/>
              <w:left w:val="nil"/>
              <w:bottom w:val="single" w:sz="4" w:space="0" w:color="auto"/>
              <w:right w:val="single" w:sz="4" w:space="0" w:color="auto"/>
            </w:tcBorders>
            <w:shd w:val="clear" w:color="auto" w:fill="auto"/>
            <w:vAlign w:val="center"/>
            <w:hideMark/>
          </w:tcPr>
          <w:p w:rsidR="000F0CF9" w:rsidRPr="007D38AE" w:rsidP="000F0CF9" w14:paraId="2923F9C1" w14:textId="6EC14A95">
            <w:pPr>
              <w:rPr>
                <w:rFonts w:ascii="Arial" w:hAnsi="Arial" w:cs="Arial"/>
                <w:color w:val="000000"/>
                <w:sz w:val="18"/>
                <w:szCs w:val="18"/>
              </w:rPr>
            </w:pPr>
            <w:r>
              <w:rPr>
                <w:rFonts w:ascii="Arial" w:hAnsi="Arial" w:cs="Arial"/>
                <w:color w:val="000000"/>
                <w:sz w:val="18"/>
                <w:szCs w:val="18"/>
              </w:rPr>
              <w:t>701.21 (c)(3)</w:t>
            </w:r>
          </w:p>
        </w:tc>
        <w:tc>
          <w:tcPr>
            <w:tcW w:w="3240" w:type="dxa"/>
            <w:tcBorders>
              <w:top w:val="nil"/>
              <w:left w:val="nil"/>
              <w:bottom w:val="single" w:sz="4" w:space="0" w:color="auto"/>
              <w:right w:val="single" w:sz="4" w:space="0" w:color="auto"/>
            </w:tcBorders>
            <w:shd w:val="clear" w:color="auto" w:fill="auto"/>
            <w:vAlign w:val="center"/>
            <w:hideMark/>
          </w:tcPr>
          <w:p w:rsidR="000F0CF9" w:rsidRPr="007D38AE" w:rsidP="000F0CF9" w14:paraId="6431248C" w14:textId="08573BA8">
            <w:pPr>
              <w:rPr>
                <w:rFonts w:ascii="Arial" w:hAnsi="Arial" w:cs="Arial"/>
                <w:color w:val="000000"/>
                <w:sz w:val="18"/>
                <w:szCs w:val="18"/>
              </w:rPr>
            </w:pPr>
            <w:r>
              <w:rPr>
                <w:rFonts w:ascii="Arial" w:hAnsi="Arial" w:cs="Arial"/>
                <w:color w:val="000000"/>
                <w:sz w:val="18"/>
                <w:szCs w:val="18"/>
              </w:rPr>
              <w:t>Retain and maintain a written overdraft policy</w:t>
            </w:r>
          </w:p>
        </w:tc>
        <w:tc>
          <w:tcPr>
            <w:tcW w:w="1260" w:type="dxa"/>
            <w:tcBorders>
              <w:top w:val="nil"/>
              <w:left w:val="nil"/>
              <w:bottom w:val="single" w:sz="4" w:space="0" w:color="auto"/>
              <w:right w:val="single" w:sz="4" w:space="0" w:color="auto"/>
            </w:tcBorders>
            <w:shd w:val="clear" w:color="auto" w:fill="auto"/>
            <w:vAlign w:val="center"/>
            <w:hideMark/>
          </w:tcPr>
          <w:p w:rsidR="000F0CF9" w:rsidRPr="007D38AE" w:rsidP="000F0CF9" w14:paraId="4C53FAFB" w14:textId="15984385">
            <w:pPr>
              <w:rPr>
                <w:rFonts w:ascii="Arial Narrow" w:hAnsi="Arial Narrow" w:cs="Arial"/>
                <w:color w:val="000000"/>
                <w:sz w:val="18"/>
                <w:szCs w:val="18"/>
              </w:rPr>
            </w:pPr>
            <w:r>
              <w:rPr>
                <w:rFonts w:ascii="Arial Narrow" w:hAnsi="Arial Narrow" w:cs="Calibri"/>
                <w:color w:val="000000"/>
                <w:sz w:val="18"/>
                <w:szCs w:val="18"/>
              </w:rPr>
              <w:t>Recordkeeping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7D38AE" w:rsidP="000F0CF9" w14:paraId="4CD04D25" w14:textId="0D631498">
            <w:pPr>
              <w:jc w:val="right"/>
              <w:rPr>
                <w:rFonts w:ascii="Arial" w:hAnsi="Arial" w:cs="Arial"/>
                <w:color w:val="000000"/>
                <w:sz w:val="18"/>
                <w:szCs w:val="18"/>
              </w:rPr>
            </w:pPr>
            <w:r>
              <w:rPr>
                <w:rFonts w:ascii="Arial" w:hAnsi="Arial" w:cs="Arial"/>
                <w:color w:val="000000"/>
                <w:sz w:val="18"/>
                <w:szCs w:val="18"/>
              </w:rPr>
              <w:t>3,022</w:t>
            </w:r>
          </w:p>
        </w:tc>
        <w:tc>
          <w:tcPr>
            <w:tcW w:w="1213" w:type="dxa"/>
            <w:tcBorders>
              <w:top w:val="nil"/>
              <w:left w:val="nil"/>
              <w:bottom w:val="single" w:sz="4" w:space="0" w:color="auto"/>
              <w:right w:val="single" w:sz="4" w:space="0" w:color="auto"/>
            </w:tcBorders>
            <w:shd w:val="clear" w:color="auto" w:fill="auto"/>
            <w:vAlign w:val="center"/>
            <w:hideMark/>
          </w:tcPr>
          <w:p w:rsidR="000F0CF9" w:rsidRPr="007D38AE" w:rsidP="000F0CF9" w14:paraId="6E2C55BC" w14:textId="2D19C571">
            <w:pPr>
              <w:jc w:val="right"/>
              <w:rPr>
                <w:rFonts w:ascii="Arial" w:hAnsi="Arial" w:cs="Arial"/>
                <w:color w:val="000000"/>
                <w:sz w:val="18"/>
                <w:szCs w:val="18"/>
              </w:rPr>
            </w:pPr>
            <w:r>
              <w:rPr>
                <w:rFonts w:ascii="Arial" w:hAnsi="Arial" w:cs="Arial"/>
                <w:color w:val="000000"/>
                <w:sz w:val="18"/>
                <w:szCs w:val="18"/>
              </w:rPr>
              <w:t>1</w:t>
            </w:r>
          </w:p>
        </w:tc>
        <w:tc>
          <w:tcPr>
            <w:tcW w:w="1217" w:type="dxa"/>
            <w:tcBorders>
              <w:top w:val="nil"/>
              <w:left w:val="nil"/>
              <w:bottom w:val="single" w:sz="4" w:space="0" w:color="auto"/>
              <w:right w:val="single" w:sz="4" w:space="0" w:color="auto"/>
            </w:tcBorders>
            <w:shd w:val="clear" w:color="auto" w:fill="auto"/>
            <w:vAlign w:val="center"/>
            <w:hideMark/>
          </w:tcPr>
          <w:p w:rsidR="000F0CF9" w:rsidRPr="007D38AE" w:rsidP="000F0CF9" w14:paraId="35E21092" w14:textId="50B838B2">
            <w:pPr>
              <w:jc w:val="right"/>
              <w:rPr>
                <w:rFonts w:ascii="Arial" w:hAnsi="Arial" w:cs="Arial"/>
                <w:color w:val="000000"/>
                <w:sz w:val="18"/>
                <w:szCs w:val="18"/>
              </w:rPr>
            </w:pPr>
            <w:r>
              <w:rPr>
                <w:rFonts w:ascii="Arial" w:hAnsi="Arial" w:cs="Arial"/>
                <w:color w:val="000000"/>
                <w:sz w:val="18"/>
                <w:szCs w:val="18"/>
              </w:rPr>
              <w:t>3,022</w:t>
            </w:r>
          </w:p>
        </w:tc>
        <w:tc>
          <w:tcPr>
            <w:tcW w:w="990" w:type="dxa"/>
            <w:tcBorders>
              <w:top w:val="nil"/>
              <w:left w:val="nil"/>
              <w:bottom w:val="single" w:sz="4" w:space="0" w:color="auto"/>
              <w:right w:val="single" w:sz="4" w:space="0" w:color="auto"/>
            </w:tcBorders>
            <w:shd w:val="clear" w:color="auto" w:fill="auto"/>
            <w:vAlign w:val="center"/>
            <w:hideMark/>
          </w:tcPr>
          <w:p w:rsidR="000F0CF9" w:rsidRPr="007D38AE" w:rsidP="000F0CF9" w14:paraId="3CA293DF" w14:textId="4663EACB">
            <w:pPr>
              <w:jc w:val="right"/>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440F9BE4" w14:textId="02333754">
            <w:pPr>
              <w:jc w:val="right"/>
              <w:rPr>
                <w:rFonts w:ascii="Arial" w:hAnsi="Arial" w:cs="Arial"/>
                <w:color w:val="000000"/>
                <w:sz w:val="18"/>
                <w:szCs w:val="18"/>
              </w:rPr>
            </w:pPr>
            <w:r>
              <w:rPr>
                <w:rFonts w:ascii="Arial" w:hAnsi="Arial" w:cs="Arial"/>
                <w:color w:val="000000"/>
                <w:sz w:val="18"/>
                <w:szCs w:val="18"/>
              </w:rPr>
              <w:t>3,022</w:t>
            </w:r>
          </w:p>
        </w:tc>
      </w:tr>
      <w:tr w14:paraId="00A61DEC" w14:textId="77777777" w:rsidTr="009A5A2D">
        <w:tblPrEx>
          <w:tblW w:w="12060" w:type="dxa"/>
          <w:tblInd w:w="612" w:type="dxa"/>
          <w:tblLook w:val="04A0"/>
        </w:tblPrEx>
        <w:trPr>
          <w:trHeight w:val="750"/>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0F0CF9" w:rsidRPr="007D38AE" w:rsidP="000F0CF9" w14:paraId="53B1201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4</w:t>
            </w:r>
          </w:p>
        </w:tc>
        <w:tc>
          <w:tcPr>
            <w:tcW w:w="1419" w:type="dxa"/>
            <w:tcBorders>
              <w:top w:val="nil"/>
              <w:left w:val="nil"/>
              <w:bottom w:val="single" w:sz="4" w:space="0" w:color="auto"/>
              <w:right w:val="single" w:sz="4" w:space="0" w:color="auto"/>
            </w:tcBorders>
            <w:shd w:val="clear" w:color="auto" w:fill="auto"/>
            <w:vAlign w:val="center"/>
            <w:hideMark/>
          </w:tcPr>
          <w:p w:rsidR="000F0CF9" w:rsidRPr="007D38AE" w:rsidP="000F0CF9" w14:paraId="4D287AC1" w14:textId="01DE533B">
            <w:pPr>
              <w:rPr>
                <w:rFonts w:ascii="Arial" w:hAnsi="Arial" w:cs="Arial"/>
                <w:color w:val="000000"/>
                <w:sz w:val="18"/>
                <w:szCs w:val="18"/>
              </w:rPr>
            </w:pPr>
            <w:r>
              <w:rPr>
                <w:rFonts w:ascii="Arial" w:hAnsi="Arial" w:cs="Arial"/>
                <w:color w:val="000000"/>
                <w:sz w:val="18"/>
                <w:szCs w:val="18"/>
              </w:rPr>
              <w:t>701.21 (c)(8)(iii)(C)</w:t>
            </w:r>
          </w:p>
        </w:tc>
        <w:tc>
          <w:tcPr>
            <w:tcW w:w="3240" w:type="dxa"/>
            <w:tcBorders>
              <w:top w:val="nil"/>
              <w:left w:val="nil"/>
              <w:bottom w:val="single" w:sz="4" w:space="0" w:color="auto"/>
              <w:right w:val="single" w:sz="4" w:space="0" w:color="auto"/>
            </w:tcBorders>
            <w:shd w:val="clear" w:color="auto" w:fill="auto"/>
            <w:vAlign w:val="center"/>
            <w:hideMark/>
          </w:tcPr>
          <w:p w:rsidR="000F0CF9" w:rsidRPr="007D38AE" w:rsidP="000F0CF9" w14:paraId="24FA0FA3" w14:textId="492BBD60">
            <w:pPr>
              <w:rPr>
                <w:rFonts w:ascii="Arial" w:hAnsi="Arial" w:cs="Arial"/>
                <w:color w:val="000000"/>
                <w:sz w:val="18"/>
                <w:szCs w:val="18"/>
              </w:rPr>
            </w:pPr>
            <w:r>
              <w:rPr>
                <w:rFonts w:ascii="Arial" w:hAnsi="Arial" w:cs="Arial"/>
                <w:color w:val="000000"/>
                <w:sz w:val="18"/>
                <w:szCs w:val="18"/>
              </w:rPr>
              <w:t>Retain and maintain written policies in connection with employee incentives and bonuses for loans</w:t>
            </w:r>
          </w:p>
        </w:tc>
        <w:tc>
          <w:tcPr>
            <w:tcW w:w="1260" w:type="dxa"/>
            <w:tcBorders>
              <w:top w:val="nil"/>
              <w:left w:val="nil"/>
              <w:bottom w:val="single" w:sz="4" w:space="0" w:color="auto"/>
              <w:right w:val="single" w:sz="4" w:space="0" w:color="auto"/>
            </w:tcBorders>
            <w:shd w:val="clear" w:color="auto" w:fill="auto"/>
            <w:vAlign w:val="center"/>
            <w:hideMark/>
          </w:tcPr>
          <w:p w:rsidR="000F0CF9" w:rsidRPr="007D38AE" w:rsidP="000F0CF9" w14:paraId="2836ABAB" w14:textId="2E0CEC87">
            <w:pPr>
              <w:rPr>
                <w:rFonts w:ascii="Arial Narrow" w:hAnsi="Arial Narrow" w:cs="Arial"/>
                <w:color w:val="000000"/>
                <w:sz w:val="18"/>
                <w:szCs w:val="18"/>
              </w:rPr>
            </w:pPr>
            <w:r>
              <w:rPr>
                <w:rFonts w:ascii="Arial Narrow" w:hAnsi="Arial Narrow" w:cs="Calibri"/>
                <w:color w:val="000000"/>
                <w:sz w:val="18"/>
                <w:szCs w:val="18"/>
              </w:rPr>
              <w:t>Recordkeeping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7D38AE" w:rsidP="000F0CF9" w14:paraId="54649596" w14:textId="40DAD561">
            <w:pPr>
              <w:jc w:val="right"/>
              <w:rPr>
                <w:rFonts w:ascii="Arial" w:hAnsi="Arial" w:cs="Arial"/>
                <w:color w:val="000000"/>
                <w:sz w:val="18"/>
                <w:szCs w:val="18"/>
              </w:rPr>
            </w:pPr>
            <w:r>
              <w:rPr>
                <w:rFonts w:ascii="Arial" w:hAnsi="Arial" w:cs="Arial"/>
                <w:color w:val="000000"/>
                <w:sz w:val="18"/>
                <w:szCs w:val="18"/>
              </w:rPr>
              <w:t>442</w:t>
            </w:r>
          </w:p>
        </w:tc>
        <w:tc>
          <w:tcPr>
            <w:tcW w:w="1213" w:type="dxa"/>
            <w:tcBorders>
              <w:top w:val="nil"/>
              <w:left w:val="nil"/>
              <w:bottom w:val="single" w:sz="4" w:space="0" w:color="auto"/>
              <w:right w:val="single" w:sz="4" w:space="0" w:color="auto"/>
            </w:tcBorders>
            <w:shd w:val="clear" w:color="auto" w:fill="auto"/>
            <w:vAlign w:val="center"/>
            <w:hideMark/>
          </w:tcPr>
          <w:p w:rsidR="000F0CF9" w:rsidRPr="007D38AE" w:rsidP="000F0CF9" w14:paraId="31CB8CDC" w14:textId="2638B804">
            <w:pPr>
              <w:jc w:val="right"/>
              <w:rPr>
                <w:rFonts w:ascii="Arial" w:hAnsi="Arial" w:cs="Arial"/>
                <w:color w:val="000000"/>
                <w:sz w:val="18"/>
                <w:szCs w:val="18"/>
              </w:rPr>
            </w:pPr>
            <w:r>
              <w:rPr>
                <w:rFonts w:ascii="Arial" w:hAnsi="Arial" w:cs="Arial"/>
                <w:color w:val="000000"/>
                <w:sz w:val="18"/>
                <w:szCs w:val="18"/>
              </w:rPr>
              <w:t>1</w:t>
            </w:r>
          </w:p>
        </w:tc>
        <w:tc>
          <w:tcPr>
            <w:tcW w:w="1217" w:type="dxa"/>
            <w:tcBorders>
              <w:top w:val="nil"/>
              <w:left w:val="nil"/>
              <w:bottom w:val="single" w:sz="4" w:space="0" w:color="auto"/>
              <w:right w:val="single" w:sz="4" w:space="0" w:color="auto"/>
            </w:tcBorders>
            <w:shd w:val="clear" w:color="auto" w:fill="auto"/>
            <w:vAlign w:val="center"/>
            <w:hideMark/>
          </w:tcPr>
          <w:p w:rsidR="000F0CF9" w:rsidRPr="007D38AE" w:rsidP="000F0CF9" w14:paraId="68E7A6F1" w14:textId="68F839C2">
            <w:pPr>
              <w:jc w:val="right"/>
              <w:rPr>
                <w:rFonts w:ascii="Arial" w:hAnsi="Arial" w:cs="Arial"/>
                <w:color w:val="000000"/>
                <w:sz w:val="18"/>
                <w:szCs w:val="18"/>
              </w:rPr>
            </w:pPr>
            <w:r>
              <w:rPr>
                <w:rFonts w:ascii="Arial" w:hAnsi="Arial" w:cs="Arial"/>
                <w:color w:val="000000"/>
                <w:sz w:val="18"/>
                <w:szCs w:val="18"/>
              </w:rPr>
              <w:t>442</w:t>
            </w:r>
          </w:p>
        </w:tc>
        <w:tc>
          <w:tcPr>
            <w:tcW w:w="990" w:type="dxa"/>
            <w:tcBorders>
              <w:top w:val="nil"/>
              <w:left w:val="nil"/>
              <w:bottom w:val="single" w:sz="4" w:space="0" w:color="auto"/>
              <w:right w:val="single" w:sz="4" w:space="0" w:color="auto"/>
            </w:tcBorders>
            <w:shd w:val="clear" w:color="auto" w:fill="auto"/>
            <w:vAlign w:val="center"/>
            <w:hideMark/>
          </w:tcPr>
          <w:p w:rsidR="000F0CF9" w:rsidRPr="007D38AE" w:rsidP="000F0CF9" w14:paraId="19FC4F48" w14:textId="15CCAC2F">
            <w:pPr>
              <w:jc w:val="right"/>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7F7A4DED" w14:textId="67F63F58">
            <w:pPr>
              <w:jc w:val="right"/>
              <w:rPr>
                <w:rFonts w:ascii="Arial" w:hAnsi="Arial" w:cs="Arial"/>
                <w:color w:val="000000"/>
                <w:sz w:val="18"/>
                <w:szCs w:val="18"/>
              </w:rPr>
            </w:pPr>
            <w:r>
              <w:rPr>
                <w:rFonts w:ascii="Arial" w:hAnsi="Arial" w:cs="Arial"/>
                <w:color w:val="000000"/>
                <w:sz w:val="18"/>
                <w:szCs w:val="18"/>
              </w:rPr>
              <w:t>442</w:t>
            </w:r>
          </w:p>
        </w:tc>
      </w:tr>
      <w:tr w14:paraId="2BF9A992" w14:textId="77777777" w:rsidTr="009A5A2D">
        <w:tblPrEx>
          <w:tblW w:w="12060" w:type="dxa"/>
          <w:tblInd w:w="612" w:type="dxa"/>
          <w:tblLook w:val="04A0"/>
        </w:tblPrEx>
        <w:trPr>
          <w:trHeight w:val="500"/>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0F0CF9" w:rsidRPr="007D38AE" w:rsidP="000F0CF9" w14:paraId="7FD68C1F"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5</w:t>
            </w:r>
          </w:p>
        </w:tc>
        <w:tc>
          <w:tcPr>
            <w:tcW w:w="1419" w:type="dxa"/>
            <w:tcBorders>
              <w:top w:val="nil"/>
              <w:left w:val="nil"/>
              <w:bottom w:val="single" w:sz="4" w:space="0" w:color="auto"/>
              <w:right w:val="single" w:sz="4" w:space="0" w:color="auto"/>
            </w:tcBorders>
            <w:shd w:val="clear" w:color="auto" w:fill="auto"/>
            <w:vAlign w:val="center"/>
            <w:hideMark/>
          </w:tcPr>
          <w:p w:rsidR="000F0CF9" w:rsidRPr="007D38AE" w:rsidP="000F0CF9" w14:paraId="64CA8A99" w14:textId="6CE8FC9D">
            <w:pPr>
              <w:rPr>
                <w:rFonts w:ascii="Arial" w:hAnsi="Arial" w:cs="Arial"/>
                <w:color w:val="000000"/>
                <w:sz w:val="18"/>
                <w:szCs w:val="18"/>
              </w:rPr>
            </w:pPr>
            <w:r>
              <w:rPr>
                <w:rFonts w:ascii="Arial" w:hAnsi="Arial" w:cs="Arial"/>
                <w:color w:val="000000"/>
                <w:sz w:val="18"/>
                <w:szCs w:val="18"/>
              </w:rPr>
              <w:t>701.21 (g)(3)</w:t>
            </w:r>
          </w:p>
        </w:tc>
        <w:tc>
          <w:tcPr>
            <w:tcW w:w="3240" w:type="dxa"/>
            <w:tcBorders>
              <w:top w:val="nil"/>
              <w:left w:val="nil"/>
              <w:bottom w:val="single" w:sz="4" w:space="0" w:color="auto"/>
              <w:right w:val="single" w:sz="4" w:space="0" w:color="auto"/>
            </w:tcBorders>
            <w:shd w:val="clear" w:color="auto" w:fill="auto"/>
            <w:vAlign w:val="center"/>
            <w:hideMark/>
          </w:tcPr>
          <w:p w:rsidR="000F0CF9" w:rsidRPr="007D38AE" w:rsidP="000F0CF9" w14:paraId="4933FAA8" w14:textId="41301795">
            <w:pPr>
              <w:rPr>
                <w:rFonts w:ascii="Arial" w:hAnsi="Arial" w:cs="Arial"/>
                <w:color w:val="000000"/>
                <w:sz w:val="18"/>
                <w:szCs w:val="18"/>
              </w:rPr>
            </w:pPr>
            <w:r>
              <w:rPr>
                <w:rFonts w:ascii="Arial" w:hAnsi="Arial" w:cs="Arial"/>
                <w:color w:val="000000"/>
                <w:sz w:val="18"/>
                <w:szCs w:val="18"/>
              </w:rPr>
              <w:t>Obtain an attorney's opinion for long-term real estate loans (applications)</w:t>
            </w:r>
          </w:p>
        </w:tc>
        <w:tc>
          <w:tcPr>
            <w:tcW w:w="1260" w:type="dxa"/>
            <w:tcBorders>
              <w:top w:val="nil"/>
              <w:left w:val="nil"/>
              <w:bottom w:val="single" w:sz="4" w:space="0" w:color="auto"/>
              <w:right w:val="single" w:sz="4" w:space="0" w:color="auto"/>
            </w:tcBorders>
            <w:shd w:val="clear" w:color="auto" w:fill="auto"/>
            <w:vAlign w:val="center"/>
            <w:hideMark/>
          </w:tcPr>
          <w:p w:rsidR="000F0CF9" w:rsidRPr="007D38AE" w:rsidP="000F0CF9" w14:paraId="6A23C829" w14:textId="6D059567">
            <w:pPr>
              <w:rPr>
                <w:rFonts w:ascii="Arial Narrow" w:hAnsi="Arial Narrow" w:cs="Arial"/>
                <w:color w:val="000000"/>
                <w:sz w:val="18"/>
                <w:szCs w:val="18"/>
              </w:rPr>
            </w:pPr>
            <w:r>
              <w:rPr>
                <w:rFonts w:ascii="Arial Narrow" w:hAnsi="Arial Narrow" w:cs="Calibri"/>
                <w:color w:val="000000"/>
                <w:sz w:val="18"/>
                <w:szCs w:val="18"/>
              </w:rPr>
              <w:t>Recordkeeping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7D38AE" w:rsidP="000F0CF9" w14:paraId="79C2B185" w14:textId="0A418E4D">
            <w:pPr>
              <w:jc w:val="right"/>
              <w:rPr>
                <w:rFonts w:ascii="Arial" w:hAnsi="Arial" w:cs="Arial"/>
                <w:color w:val="000000"/>
                <w:sz w:val="18"/>
                <w:szCs w:val="18"/>
              </w:rPr>
            </w:pPr>
            <w:r>
              <w:rPr>
                <w:rFonts w:ascii="Arial" w:hAnsi="Arial" w:cs="Arial"/>
                <w:color w:val="000000"/>
                <w:sz w:val="18"/>
                <w:szCs w:val="18"/>
              </w:rPr>
              <w:t>442</w:t>
            </w:r>
          </w:p>
        </w:tc>
        <w:tc>
          <w:tcPr>
            <w:tcW w:w="1213" w:type="dxa"/>
            <w:tcBorders>
              <w:top w:val="nil"/>
              <w:left w:val="nil"/>
              <w:bottom w:val="single" w:sz="4" w:space="0" w:color="auto"/>
              <w:right w:val="single" w:sz="4" w:space="0" w:color="auto"/>
            </w:tcBorders>
            <w:shd w:val="clear" w:color="auto" w:fill="auto"/>
            <w:vAlign w:val="center"/>
            <w:hideMark/>
          </w:tcPr>
          <w:p w:rsidR="000F0CF9" w:rsidRPr="007D38AE" w:rsidP="000F0CF9" w14:paraId="3D213959" w14:textId="0FFCD972">
            <w:pPr>
              <w:jc w:val="right"/>
              <w:rPr>
                <w:rFonts w:ascii="Arial" w:hAnsi="Arial" w:cs="Arial"/>
                <w:color w:val="000000"/>
                <w:sz w:val="18"/>
                <w:szCs w:val="18"/>
              </w:rPr>
            </w:pPr>
            <w:r>
              <w:rPr>
                <w:rFonts w:ascii="Arial" w:hAnsi="Arial" w:cs="Arial"/>
                <w:color w:val="000000"/>
                <w:sz w:val="18"/>
                <w:szCs w:val="18"/>
              </w:rPr>
              <w:t>1</w:t>
            </w:r>
          </w:p>
        </w:tc>
        <w:tc>
          <w:tcPr>
            <w:tcW w:w="1217" w:type="dxa"/>
            <w:tcBorders>
              <w:top w:val="nil"/>
              <w:left w:val="nil"/>
              <w:bottom w:val="single" w:sz="4" w:space="0" w:color="auto"/>
              <w:right w:val="single" w:sz="4" w:space="0" w:color="auto"/>
            </w:tcBorders>
            <w:shd w:val="clear" w:color="auto" w:fill="auto"/>
            <w:vAlign w:val="center"/>
            <w:hideMark/>
          </w:tcPr>
          <w:p w:rsidR="000F0CF9" w:rsidRPr="007D38AE" w:rsidP="000F0CF9" w14:paraId="3EA1D2E4" w14:textId="722EAA1A">
            <w:pPr>
              <w:jc w:val="right"/>
              <w:rPr>
                <w:rFonts w:ascii="Arial" w:hAnsi="Arial" w:cs="Arial"/>
                <w:color w:val="000000"/>
                <w:sz w:val="18"/>
                <w:szCs w:val="18"/>
              </w:rPr>
            </w:pPr>
            <w:r>
              <w:rPr>
                <w:rFonts w:ascii="Arial" w:hAnsi="Arial" w:cs="Arial"/>
                <w:color w:val="000000"/>
                <w:sz w:val="18"/>
                <w:szCs w:val="18"/>
              </w:rPr>
              <w:t>442</w:t>
            </w:r>
          </w:p>
        </w:tc>
        <w:tc>
          <w:tcPr>
            <w:tcW w:w="990" w:type="dxa"/>
            <w:tcBorders>
              <w:top w:val="nil"/>
              <w:left w:val="nil"/>
              <w:bottom w:val="single" w:sz="4" w:space="0" w:color="auto"/>
              <w:right w:val="single" w:sz="4" w:space="0" w:color="auto"/>
            </w:tcBorders>
            <w:shd w:val="clear" w:color="auto" w:fill="auto"/>
            <w:vAlign w:val="center"/>
            <w:hideMark/>
          </w:tcPr>
          <w:p w:rsidR="000F0CF9" w:rsidRPr="007D38AE" w:rsidP="000F0CF9" w14:paraId="61243A36" w14:textId="0340906D">
            <w:pPr>
              <w:jc w:val="right"/>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45DA0B19" w14:textId="5EF14524">
            <w:pPr>
              <w:jc w:val="right"/>
              <w:rPr>
                <w:rFonts w:ascii="Arial" w:hAnsi="Arial" w:cs="Arial"/>
                <w:color w:val="000000"/>
                <w:sz w:val="18"/>
                <w:szCs w:val="18"/>
              </w:rPr>
            </w:pPr>
            <w:r>
              <w:rPr>
                <w:rFonts w:ascii="Arial" w:hAnsi="Arial" w:cs="Arial"/>
                <w:color w:val="000000"/>
                <w:sz w:val="18"/>
                <w:szCs w:val="18"/>
              </w:rPr>
              <w:t>442</w:t>
            </w:r>
          </w:p>
        </w:tc>
      </w:tr>
      <w:tr w14:paraId="611D6DA8" w14:textId="77777777" w:rsidTr="009A5A2D">
        <w:tblPrEx>
          <w:tblW w:w="12060" w:type="dxa"/>
          <w:tblInd w:w="612" w:type="dxa"/>
          <w:tblLook w:val="04A0"/>
        </w:tblPrEx>
        <w:trPr>
          <w:trHeight w:val="500"/>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0F0CF9" w:rsidRPr="007D38AE" w:rsidP="000F0CF9" w14:paraId="23EB0402"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6</w:t>
            </w:r>
          </w:p>
        </w:tc>
        <w:tc>
          <w:tcPr>
            <w:tcW w:w="1419" w:type="dxa"/>
            <w:tcBorders>
              <w:top w:val="nil"/>
              <w:left w:val="nil"/>
              <w:bottom w:val="single" w:sz="4" w:space="0" w:color="auto"/>
              <w:right w:val="single" w:sz="4" w:space="0" w:color="auto"/>
            </w:tcBorders>
            <w:shd w:val="clear" w:color="auto" w:fill="auto"/>
            <w:vAlign w:val="center"/>
            <w:hideMark/>
          </w:tcPr>
          <w:p w:rsidR="000F0CF9" w:rsidRPr="007D38AE" w:rsidP="000F0CF9" w14:paraId="0A057C86" w14:textId="68F661FA">
            <w:pPr>
              <w:rPr>
                <w:rFonts w:ascii="Arial" w:hAnsi="Arial" w:cs="Arial"/>
                <w:color w:val="000000"/>
                <w:sz w:val="18"/>
                <w:szCs w:val="18"/>
              </w:rPr>
            </w:pPr>
            <w:r>
              <w:rPr>
                <w:rFonts w:ascii="Arial" w:hAnsi="Arial" w:cs="Arial"/>
                <w:color w:val="000000"/>
                <w:sz w:val="18"/>
                <w:szCs w:val="18"/>
              </w:rPr>
              <w:t>701.21 (g)(4)</w:t>
            </w:r>
          </w:p>
        </w:tc>
        <w:tc>
          <w:tcPr>
            <w:tcW w:w="3240" w:type="dxa"/>
            <w:tcBorders>
              <w:top w:val="nil"/>
              <w:left w:val="nil"/>
              <w:bottom w:val="single" w:sz="4" w:space="0" w:color="auto"/>
              <w:right w:val="single" w:sz="4" w:space="0" w:color="auto"/>
            </w:tcBorders>
            <w:shd w:val="clear" w:color="auto" w:fill="auto"/>
            <w:vAlign w:val="center"/>
            <w:hideMark/>
          </w:tcPr>
          <w:p w:rsidR="000F0CF9" w:rsidRPr="007D38AE" w:rsidP="000F0CF9" w14:paraId="0F86D236" w14:textId="4F1993E1">
            <w:pPr>
              <w:rPr>
                <w:rFonts w:ascii="Arial" w:hAnsi="Arial" w:cs="Arial"/>
                <w:color w:val="000000"/>
                <w:sz w:val="18"/>
                <w:szCs w:val="18"/>
              </w:rPr>
            </w:pPr>
            <w:r>
              <w:rPr>
                <w:rFonts w:ascii="Arial" w:hAnsi="Arial" w:cs="Arial"/>
                <w:color w:val="000000"/>
                <w:sz w:val="18"/>
                <w:szCs w:val="18"/>
              </w:rPr>
              <w:t>Obtain an attorney's opinion for long-term real estate loans (notes)</w:t>
            </w:r>
          </w:p>
        </w:tc>
        <w:tc>
          <w:tcPr>
            <w:tcW w:w="1260" w:type="dxa"/>
            <w:tcBorders>
              <w:top w:val="nil"/>
              <w:left w:val="nil"/>
              <w:bottom w:val="single" w:sz="4" w:space="0" w:color="auto"/>
              <w:right w:val="single" w:sz="4" w:space="0" w:color="auto"/>
            </w:tcBorders>
            <w:shd w:val="clear" w:color="auto" w:fill="auto"/>
            <w:vAlign w:val="center"/>
            <w:hideMark/>
          </w:tcPr>
          <w:p w:rsidR="000F0CF9" w:rsidRPr="007D38AE" w:rsidP="000F0CF9" w14:paraId="423B1791" w14:textId="234AF356">
            <w:pPr>
              <w:rPr>
                <w:rFonts w:ascii="Arial Narrow" w:hAnsi="Arial Narrow" w:cs="Arial"/>
                <w:color w:val="000000"/>
                <w:sz w:val="18"/>
                <w:szCs w:val="18"/>
              </w:rPr>
            </w:pPr>
            <w:r>
              <w:rPr>
                <w:rFonts w:ascii="Arial Narrow" w:hAnsi="Arial Narrow" w:cs="Calibri"/>
                <w:color w:val="000000"/>
                <w:sz w:val="18"/>
                <w:szCs w:val="18"/>
              </w:rPr>
              <w:t>Recordkeeping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7D38AE" w:rsidP="000F0CF9" w14:paraId="7003E71F" w14:textId="0D65E07E">
            <w:pPr>
              <w:jc w:val="right"/>
              <w:rPr>
                <w:rFonts w:ascii="Arial" w:hAnsi="Arial" w:cs="Arial"/>
                <w:color w:val="000000"/>
                <w:sz w:val="18"/>
                <w:szCs w:val="18"/>
              </w:rPr>
            </w:pPr>
            <w:r>
              <w:rPr>
                <w:rFonts w:ascii="Arial" w:hAnsi="Arial" w:cs="Arial"/>
                <w:color w:val="000000"/>
                <w:sz w:val="18"/>
                <w:szCs w:val="18"/>
              </w:rPr>
              <w:t>442</w:t>
            </w:r>
          </w:p>
        </w:tc>
        <w:tc>
          <w:tcPr>
            <w:tcW w:w="1213" w:type="dxa"/>
            <w:tcBorders>
              <w:top w:val="nil"/>
              <w:left w:val="nil"/>
              <w:bottom w:val="single" w:sz="4" w:space="0" w:color="auto"/>
              <w:right w:val="single" w:sz="4" w:space="0" w:color="auto"/>
            </w:tcBorders>
            <w:shd w:val="clear" w:color="auto" w:fill="auto"/>
            <w:vAlign w:val="center"/>
            <w:hideMark/>
          </w:tcPr>
          <w:p w:rsidR="000F0CF9" w:rsidRPr="007D38AE" w:rsidP="000F0CF9" w14:paraId="60C67B1C" w14:textId="186208BC">
            <w:pPr>
              <w:jc w:val="right"/>
              <w:rPr>
                <w:rFonts w:ascii="Arial" w:hAnsi="Arial" w:cs="Arial"/>
                <w:color w:val="000000"/>
                <w:sz w:val="18"/>
                <w:szCs w:val="18"/>
              </w:rPr>
            </w:pPr>
            <w:r>
              <w:rPr>
                <w:rFonts w:ascii="Arial" w:hAnsi="Arial" w:cs="Arial"/>
                <w:color w:val="000000"/>
                <w:sz w:val="18"/>
                <w:szCs w:val="18"/>
              </w:rPr>
              <w:t>1</w:t>
            </w:r>
          </w:p>
        </w:tc>
        <w:tc>
          <w:tcPr>
            <w:tcW w:w="1217" w:type="dxa"/>
            <w:tcBorders>
              <w:top w:val="nil"/>
              <w:left w:val="nil"/>
              <w:bottom w:val="single" w:sz="4" w:space="0" w:color="auto"/>
              <w:right w:val="single" w:sz="4" w:space="0" w:color="auto"/>
            </w:tcBorders>
            <w:shd w:val="clear" w:color="auto" w:fill="auto"/>
            <w:vAlign w:val="center"/>
            <w:hideMark/>
          </w:tcPr>
          <w:p w:rsidR="000F0CF9" w:rsidRPr="007D38AE" w:rsidP="000F0CF9" w14:paraId="396DBBE9" w14:textId="03F5C84D">
            <w:pPr>
              <w:jc w:val="right"/>
              <w:rPr>
                <w:rFonts w:ascii="Arial" w:hAnsi="Arial" w:cs="Arial"/>
                <w:color w:val="000000"/>
                <w:sz w:val="18"/>
                <w:szCs w:val="18"/>
              </w:rPr>
            </w:pPr>
            <w:r>
              <w:rPr>
                <w:rFonts w:ascii="Arial" w:hAnsi="Arial" w:cs="Arial"/>
                <w:color w:val="000000"/>
                <w:sz w:val="18"/>
                <w:szCs w:val="18"/>
              </w:rPr>
              <w:t>442</w:t>
            </w:r>
          </w:p>
        </w:tc>
        <w:tc>
          <w:tcPr>
            <w:tcW w:w="990" w:type="dxa"/>
            <w:tcBorders>
              <w:top w:val="nil"/>
              <w:left w:val="nil"/>
              <w:bottom w:val="single" w:sz="4" w:space="0" w:color="auto"/>
              <w:right w:val="single" w:sz="4" w:space="0" w:color="auto"/>
            </w:tcBorders>
            <w:shd w:val="clear" w:color="auto" w:fill="auto"/>
            <w:vAlign w:val="center"/>
            <w:hideMark/>
          </w:tcPr>
          <w:p w:rsidR="000F0CF9" w:rsidRPr="007D38AE" w:rsidP="000F0CF9" w14:paraId="41CEB236" w14:textId="0711E7B3">
            <w:pPr>
              <w:jc w:val="right"/>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31978FEB" w14:textId="54F27A92">
            <w:pPr>
              <w:jc w:val="right"/>
              <w:rPr>
                <w:rFonts w:ascii="Arial" w:hAnsi="Arial" w:cs="Arial"/>
                <w:color w:val="000000"/>
                <w:sz w:val="18"/>
                <w:szCs w:val="18"/>
              </w:rPr>
            </w:pPr>
            <w:r>
              <w:rPr>
                <w:rFonts w:ascii="Arial" w:hAnsi="Arial" w:cs="Arial"/>
                <w:color w:val="000000"/>
                <w:sz w:val="18"/>
                <w:szCs w:val="18"/>
              </w:rPr>
              <w:t>442</w:t>
            </w:r>
          </w:p>
        </w:tc>
      </w:tr>
      <w:tr w14:paraId="7EBE6895" w14:textId="77777777" w:rsidTr="009A5A2D">
        <w:tblPrEx>
          <w:tblW w:w="12060" w:type="dxa"/>
          <w:tblInd w:w="612" w:type="dxa"/>
          <w:tblLook w:val="04A0"/>
        </w:tblPrEx>
        <w:trPr>
          <w:trHeight w:val="500"/>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0F0CF9" w:rsidRPr="007D38AE" w:rsidP="000F0CF9" w14:paraId="4104BD64"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7</w:t>
            </w:r>
          </w:p>
        </w:tc>
        <w:tc>
          <w:tcPr>
            <w:tcW w:w="1419" w:type="dxa"/>
            <w:tcBorders>
              <w:top w:val="nil"/>
              <w:left w:val="nil"/>
              <w:bottom w:val="single" w:sz="4" w:space="0" w:color="auto"/>
              <w:right w:val="single" w:sz="4" w:space="0" w:color="auto"/>
            </w:tcBorders>
            <w:shd w:val="clear" w:color="auto" w:fill="auto"/>
            <w:vAlign w:val="center"/>
            <w:hideMark/>
          </w:tcPr>
          <w:p w:rsidR="000F0CF9" w:rsidRPr="007D38AE" w:rsidP="000F0CF9" w14:paraId="6DE28CBA" w14:textId="755503E2">
            <w:pPr>
              <w:rPr>
                <w:rFonts w:ascii="Arial" w:hAnsi="Arial" w:cs="Arial"/>
                <w:color w:val="000000"/>
                <w:sz w:val="18"/>
                <w:szCs w:val="18"/>
              </w:rPr>
            </w:pPr>
            <w:r>
              <w:rPr>
                <w:rFonts w:ascii="Arial" w:hAnsi="Arial" w:cs="Arial"/>
                <w:color w:val="000000"/>
                <w:sz w:val="18"/>
                <w:szCs w:val="18"/>
              </w:rPr>
              <w:t xml:space="preserve">701.21 (g)(5) </w:t>
            </w:r>
          </w:p>
        </w:tc>
        <w:tc>
          <w:tcPr>
            <w:tcW w:w="3240" w:type="dxa"/>
            <w:tcBorders>
              <w:top w:val="nil"/>
              <w:left w:val="nil"/>
              <w:bottom w:val="single" w:sz="4" w:space="0" w:color="auto"/>
              <w:right w:val="single" w:sz="4" w:space="0" w:color="auto"/>
            </w:tcBorders>
            <w:shd w:val="clear" w:color="auto" w:fill="auto"/>
            <w:vAlign w:val="center"/>
            <w:hideMark/>
          </w:tcPr>
          <w:p w:rsidR="000F0CF9" w:rsidRPr="007D38AE" w:rsidP="000F0CF9" w14:paraId="273DAEE3" w14:textId="5982F4EE">
            <w:pPr>
              <w:rPr>
                <w:rFonts w:ascii="Arial" w:hAnsi="Arial" w:cs="Arial"/>
                <w:color w:val="000000"/>
                <w:sz w:val="18"/>
                <w:szCs w:val="18"/>
              </w:rPr>
            </w:pPr>
            <w:r>
              <w:rPr>
                <w:rFonts w:ascii="Arial" w:hAnsi="Arial" w:cs="Arial"/>
                <w:color w:val="000000"/>
                <w:sz w:val="18"/>
                <w:szCs w:val="18"/>
              </w:rPr>
              <w:t>Retain title documentation showing a perfected lien</w:t>
            </w:r>
          </w:p>
        </w:tc>
        <w:tc>
          <w:tcPr>
            <w:tcW w:w="1260" w:type="dxa"/>
            <w:tcBorders>
              <w:top w:val="nil"/>
              <w:left w:val="nil"/>
              <w:bottom w:val="single" w:sz="4" w:space="0" w:color="auto"/>
              <w:right w:val="single" w:sz="4" w:space="0" w:color="auto"/>
            </w:tcBorders>
            <w:shd w:val="clear" w:color="auto" w:fill="auto"/>
            <w:vAlign w:val="center"/>
            <w:hideMark/>
          </w:tcPr>
          <w:p w:rsidR="000F0CF9" w:rsidRPr="007D38AE" w:rsidP="000F0CF9" w14:paraId="046B02ED" w14:textId="0FFB23CF">
            <w:pPr>
              <w:rPr>
                <w:rFonts w:ascii="Arial Narrow" w:hAnsi="Arial Narrow" w:cs="Arial"/>
                <w:color w:val="000000"/>
                <w:sz w:val="18"/>
                <w:szCs w:val="18"/>
              </w:rPr>
            </w:pPr>
            <w:r>
              <w:rPr>
                <w:rFonts w:ascii="Arial Narrow" w:hAnsi="Arial Narrow" w:cs="Calibri"/>
                <w:color w:val="000000"/>
                <w:sz w:val="18"/>
                <w:szCs w:val="18"/>
              </w:rPr>
              <w:t>Recordkeeping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7D38AE" w:rsidP="000F0CF9" w14:paraId="185BE404" w14:textId="30996B68">
            <w:pPr>
              <w:jc w:val="right"/>
              <w:rPr>
                <w:rFonts w:ascii="Arial" w:hAnsi="Arial" w:cs="Arial"/>
                <w:color w:val="000000"/>
                <w:sz w:val="18"/>
                <w:szCs w:val="18"/>
              </w:rPr>
            </w:pPr>
            <w:r>
              <w:rPr>
                <w:rFonts w:ascii="Arial" w:hAnsi="Arial" w:cs="Arial"/>
                <w:color w:val="000000"/>
                <w:sz w:val="18"/>
                <w:szCs w:val="18"/>
              </w:rPr>
              <w:t>4,533</w:t>
            </w:r>
          </w:p>
        </w:tc>
        <w:tc>
          <w:tcPr>
            <w:tcW w:w="1213" w:type="dxa"/>
            <w:tcBorders>
              <w:top w:val="nil"/>
              <w:left w:val="nil"/>
              <w:bottom w:val="single" w:sz="4" w:space="0" w:color="auto"/>
              <w:right w:val="single" w:sz="4" w:space="0" w:color="auto"/>
            </w:tcBorders>
            <w:shd w:val="clear" w:color="auto" w:fill="auto"/>
            <w:vAlign w:val="center"/>
            <w:hideMark/>
          </w:tcPr>
          <w:p w:rsidR="000F0CF9" w:rsidRPr="007D38AE" w:rsidP="000F0CF9" w14:paraId="18471D7C" w14:textId="08BA38E5">
            <w:pPr>
              <w:jc w:val="right"/>
              <w:rPr>
                <w:rFonts w:ascii="Arial" w:hAnsi="Arial" w:cs="Arial"/>
                <w:color w:val="000000"/>
                <w:sz w:val="18"/>
                <w:szCs w:val="18"/>
              </w:rPr>
            </w:pPr>
            <w:r>
              <w:rPr>
                <w:rFonts w:ascii="Arial" w:hAnsi="Arial" w:cs="Arial"/>
                <w:color w:val="000000"/>
                <w:sz w:val="18"/>
                <w:szCs w:val="18"/>
              </w:rPr>
              <w:t>36</w:t>
            </w:r>
          </w:p>
        </w:tc>
        <w:tc>
          <w:tcPr>
            <w:tcW w:w="1217" w:type="dxa"/>
            <w:tcBorders>
              <w:top w:val="nil"/>
              <w:left w:val="nil"/>
              <w:bottom w:val="single" w:sz="4" w:space="0" w:color="auto"/>
              <w:right w:val="single" w:sz="4" w:space="0" w:color="auto"/>
            </w:tcBorders>
            <w:shd w:val="clear" w:color="auto" w:fill="auto"/>
            <w:vAlign w:val="center"/>
            <w:hideMark/>
          </w:tcPr>
          <w:p w:rsidR="000F0CF9" w:rsidRPr="007D38AE" w:rsidP="000F0CF9" w14:paraId="7B42E214" w14:textId="6B2560F0">
            <w:pPr>
              <w:jc w:val="right"/>
              <w:rPr>
                <w:rFonts w:ascii="Arial" w:hAnsi="Arial" w:cs="Arial"/>
                <w:color w:val="000000"/>
                <w:sz w:val="18"/>
                <w:szCs w:val="18"/>
              </w:rPr>
            </w:pPr>
            <w:r>
              <w:rPr>
                <w:rFonts w:ascii="Arial" w:hAnsi="Arial" w:cs="Arial"/>
                <w:color w:val="000000"/>
                <w:sz w:val="18"/>
                <w:szCs w:val="18"/>
              </w:rPr>
              <w:t>163,188</w:t>
            </w:r>
          </w:p>
        </w:tc>
        <w:tc>
          <w:tcPr>
            <w:tcW w:w="990" w:type="dxa"/>
            <w:tcBorders>
              <w:top w:val="nil"/>
              <w:left w:val="nil"/>
              <w:bottom w:val="single" w:sz="4" w:space="0" w:color="auto"/>
              <w:right w:val="single" w:sz="4" w:space="0" w:color="auto"/>
            </w:tcBorders>
            <w:shd w:val="clear" w:color="auto" w:fill="auto"/>
            <w:vAlign w:val="center"/>
            <w:hideMark/>
          </w:tcPr>
          <w:p w:rsidR="000F0CF9" w:rsidRPr="007D38AE" w:rsidP="000F0CF9" w14:paraId="4FE816C5" w14:textId="1404B66D">
            <w:pPr>
              <w:jc w:val="right"/>
              <w:rPr>
                <w:rFonts w:ascii="Arial" w:hAnsi="Arial" w:cs="Arial"/>
                <w:color w:val="000000"/>
                <w:sz w:val="18"/>
                <w:szCs w:val="18"/>
              </w:rPr>
            </w:pPr>
            <w:r>
              <w:rPr>
                <w:rFonts w:ascii="Arial" w:hAnsi="Arial" w:cs="Arial"/>
                <w:color w:val="000000"/>
                <w:sz w:val="18"/>
                <w:szCs w:val="18"/>
              </w:rPr>
              <w:t>0.017</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15BE6700" w14:textId="13D721FB">
            <w:pPr>
              <w:jc w:val="right"/>
              <w:rPr>
                <w:rFonts w:ascii="Arial" w:hAnsi="Arial" w:cs="Arial"/>
                <w:color w:val="000000"/>
                <w:sz w:val="18"/>
                <w:szCs w:val="18"/>
              </w:rPr>
            </w:pPr>
            <w:r>
              <w:rPr>
                <w:rFonts w:ascii="Arial" w:hAnsi="Arial" w:cs="Arial"/>
                <w:color w:val="000000"/>
                <w:sz w:val="18"/>
                <w:szCs w:val="18"/>
              </w:rPr>
              <w:t>2,774</w:t>
            </w:r>
          </w:p>
        </w:tc>
      </w:tr>
      <w:tr w14:paraId="7C751EB3" w14:textId="77777777" w:rsidTr="009A5A2D">
        <w:tblPrEx>
          <w:tblW w:w="12060" w:type="dxa"/>
          <w:tblInd w:w="612" w:type="dxa"/>
          <w:tblLook w:val="04A0"/>
        </w:tblPrEx>
        <w:trPr>
          <w:trHeight w:val="500"/>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0F0CF9" w:rsidRPr="007D38AE" w:rsidP="000F0CF9" w14:paraId="69BF17D5"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8</w:t>
            </w:r>
          </w:p>
        </w:tc>
        <w:tc>
          <w:tcPr>
            <w:tcW w:w="1419" w:type="dxa"/>
            <w:tcBorders>
              <w:top w:val="nil"/>
              <w:left w:val="nil"/>
              <w:bottom w:val="single" w:sz="4" w:space="0" w:color="auto"/>
              <w:right w:val="single" w:sz="4" w:space="0" w:color="auto"/>
            </w:tcBorders>
            <w:shd w:val="clear" w:color="auto" w:fill="auto"/>
            <w:vAlign w:val="center"/>
            <w:hideMark/>
          </w:tcPr>
          <w:p w:rsidR="000F0CF9" w:rsidRPr="007D38AE" w:rsidP="000F0CF9" w14:paraId="63024262" w14:textId="3F3F5E5E">
            <w:pPr>
              <w:rPr>
                <w:rFonts w:ascii="Arial" w:hAnsi="Arial" w:cs="Arial"/>
                <w:color w:val="000000"/>
                <w:sz w:val="18"/>
                <w:szCs w:val="18"/>
              </w:rPr>
            </w:pPr>
            <w:r>
              <w:rPr>
                <w:rFonts w:ascii="Arial" w:hAnsi="Arial" w:cs="Arial"/>
                <w:color w:val="000000"/>
                <w:sz w:val="18"/>
                <w:szCs w:val="18"/>
              </w:rPr>
              <w:t>701.21 (i)(2)(iii)</w:t>
            </w:r>
          </w:p>
        </w:tc>
        <w:tc>
          <w:tcPr>
            <w:tcW w:w="3240" w:type="dxa"/>
            <w:tcBorders>
              <w:top w:val="nil"/>
              <w:left w:val="nil"/>
              <w:bottom w:val="single" w:sz="4" w:space="0" w:color="auto"/>
              <w:right w:val="single" w:sz="4" w:space="0" w:color="auto"/>
            </w:tcBorders>
            <w:shd w:val="clear" w:color="auto" w:fill="auto"/>
            <w:vAlign w:val="center"/>
            <w:hideMark/>
          </w:tcPr>
          <w:p w:rsidR="000F0CF9" w:rsidRPr="007D38AE" w:rsidP="000F0CF9" w14:paraId="68B99B0A" w14:textId="7D142139">
            <w:pPr>
              <w:rPr>
                <w:rFonts w:ascii="Arial" w:hAnsi="Arial" w:cs="Arial"/>
                <w:color w:val="000000"/>
                <w:sz w:val="18"/>
                <w:szCs w:val="18"/>
              </w:rPr>
            </w:pPr>
            <w:r>
              <w:rPr>
                <w:rFonts w:ascii="Arial" w:hAnsi="Arial" w:cs="Arial"/>
                <w:color w:val="000000"/>
                <w:sz w:val="18"/>
                <w:szCs w:val="18"/>
              </w:rPr>
              <w:t>Retain and maintain written policies to engage in financial options contracts</w:t>
            </w:r>
          </w:p>
        </w:tc>
        <w:tc>
          <w:tcPr>
            <w:tcW w:w="1260" w:type="dxa"/>
            <w:tcBorders>
              <w:top w:val="nil"/>
              <w:left w:val="nil"/>
              <w:bottom w:val="single" w:sz="4" w:space="0" w:color="auto"/>
              <w:right w:val="single" w:sz="4" w:space="0" w:color="auto"/>
            </w:tcBorders>
            <w:shd w:val="clear" w:color="auto" w:fill="auto"/>
            <w:vAlign w:val="center"/>
            <w:hideMark/>
          </w:tcPr>
          <w:p w:rsidR="000F0CF9" w:rsidRPr="007D38AE" w:rsidP="000F0CF9" w14:paraId="337DCEFC" w14:textId="084B8930">
            <w:pPr>
              <w:rPr>
                <w:rFonts w:ascii="Arial Narrow" w:hAnsi="Arial Narrow" w:cs="Arial"/>
                <w:color w:val="000000"/>
                <w:sz w:val="18"/>
                <w:szCs w:val="18"/>
              </w:rPr>
            </w:pPr>
            <w:r>
              <w:rPr>
                <w:rFonts w:ascii="Arial Narrow" w:hAnsi="Arial Narrow" w:cs="Calibri"/>
                <w:color w:val="000000"/>
                <w:sz w:val="18"/>
                <w:szCs w:val="18"/>
              </w:rPr>
              <w:t>Recordkeeping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7D38AE" w:rsidP="000F0CF9" w14:paraId="7C7A7927" w14:textId="54DAA51E">
            <w:pPr>
              <w:jc w:val="right"/>
              <w:rPr>
                <w:rFonts w:ascii="Arial" w:hAnsi="Arial" w:cs="Arial"/>
                <w:color w:val="000000"/>
                <w:sz w:val="18"/>
                <w:szCs w:val="18"/>
              </w:rPr>
            </w:pPr>
            <w:r>
              <w:rPr>
                <w:rFonts w:ascii="Arial" w:hAnsi="Arial" w:cs="Arial"/>
                <w:color w:val="000000"/>
                <w:sz w:val="18"/>
                <w:szCs w:val="18"/>
              </w:rPr>
              <w:t>100</w:t>
            </w:r>
          </w:p>
        </w:tc>
        <w:tc>
          <w:tcPr>
            <w:tcW w:w="1213" w:type="dxa"/>
            <w:tcBorders>
              <w:top w:val="nil"/>
              <w:left w:val="nil"/>
              <w:bottom w:val="single" w:sz="4" w:space="0" w:color="auto"/>
              <w:right w:val="single" w:sz="4" w:space="0" w:color="auto"/>
            </w:tcBorders>
            <w:shd w:val="clear" w:color="auto" w:fill="auto"/>
            <w:vAlign w:val="center"/>
            <w:hideMark/>
          </w:tcPr>
          <w:p w:rsidR="000F0CF9" w:rsidRPr="007D38AE" w:rsidP="000F0CF9" w14:paraId="0186C4AF" w14:textId="62FD4FF4">
            <w:pPr>
              <w:jc w:val="right"/>
              <w:rPr>
                <w:rFonts w:ascii="Arial" w:hAnsi="Arial" w:cs="Arial"/>
                <w:color w:val="000000"/>
                <w:sz w:val="18"/>
                <w:szCs w:val="18"/>
              </w:rPr>
            </w:pPr>
            <w:r>
              <w:rPr>
                <w:rFonts w:ascii="Arial" w:hAnsi="Arial" w:cs="Arial"/>
                <w:color w:val="000000"/>
                <w:sz w:val="18"/>
                <w:szCs w:val="18"/>
              </w:rPr>
              <w:t>1</w:t>
            </w:r>
          </w:p>
        </w:tc>
        <w:tc>
          <w:tcPr>
            <w:tcW w:w="1217" w:type="dxa"/>
            <w:tcBorders>
              <w:top w:val="nil"/>
              <w:left w:val="nil"/>
              <w:bottom w:val="single" w:sz="4" w:space="0" w:color="auto"/>
              <w:right w:val="single" w:sz="4" w:space="0" w:color="auto"/>
            </w:tcBorders>
            <w:shd w:val="clear" w:color="auto" w:fill="auto"/>
            <w:vAlign w:val="center"/>
            <w:hideMark/>
          </w:tcPr>
          <w:p w:rsidR="000F0CF9" w:rsidRPr="007D38AE" w:rsidP="000F0CF9" w14:paraId="2A341643" w14:textId="2AF13E99">
            <w:pPr>
              <w:jc w:val="right"/>
              <w:rPr>
                <w:rFonts w:ascii="Arial" w:hAnsi="Arial" w:cs="Arial"/>
                <w:color w:val="000000"/>
                <w:sz w:val="18"/>
                <w:szCs w:val="18"/>
              </w:rPr>
            </w:pPr>
            <w:r>
              <w:rPr>
                <w:rFonts w:ascii="Arial" w:hAnsi="Arial" w:cs="Arial"/>
                <w:color w:val="000000"/>
                <w:sz w:val="18"/>
                <w:szCs w:val="18"/>
              </w:rPr>
              <w:t>100</w:t>
            </w:r>
          </w:p>
        </w:tc>
        <w:tc>
          <w:tcPr>
            <w:tcW w:w="990" w:type="dxa"/>
            <w:tcBorders>
              <w:top w:val="nil"/>
              <w:left w:val="nil"/>
              <w:bottom w:val="single" w:sz="4" w:space="0" w:color="auto"/>
              <w:right w:val="single" w:sz="4" w:space="0" w:color="auto"/>
            </w:tcBorders>
            <w:shd w:val="clear" w:color="auto" w:fill="auto"/>
            <w:vAlign w:val="center"/>
            <w:hideMark/>
          </w:tcPr>
          <w:p w:rsidR="000F0CF9" w:rsidRPr="007D38AE" w:rsidP="000F0CF9" w14:paraId="2B46D405" w14:textId="03FB5033">
            <w:pPr>
              <w:jc w:val="right"/>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57409453" w14:textId="5B40551F">
            <w:pPr>
              <w:jc w:val="right"/>
              <w:rPr>
                <w:rFonts w:ascii="Arial" w:hAnsi="Arial" w:cs="Arial"/>
                <w:color w:val="000000"/>
                <w:sz w:val="18"/>
                <w:szCs w:val="18"/>
              </w:rPr>
            </w:pPr>
            <w:r>
              <w:rPr>
                <w:rFonts w:ascii="Arial" w:hAnsi="Arial" w:cs="Arial"/>
                <w:color w:val="000000"/>
                <w:sz w:val="18"/>
                <w:szCs w:val="18"/>
              </w:rPr>
              <w:t>100</w:t>
            </w:r>
          </w:p>
        </w:tc>
      </w:tr>
      <w:tr w14:paraId="5609F3FC" w14:textId="77777777" w:rsidTr="009A5A2D">
        <w:tblPrEx>
          <w:tblW w:w="12060" w:type="dxa"/>
          <w:tblInd w:w="612" w:type="dxa"/>
          <w:tblLook w:val="04A0"/>
        </w:tblPrEx>
        <w:trPr>
          <w:trHeight w:val="1000"/>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0F0CF9" w:rsidRPr="008F5242" w:rsidP="000F0CF9" w14:paraId="3427AA78" w14:textId="77777777">
            <w:pPr>
              <w:jc w:val="center"/>
              <w:rPr>
                <w:rFonts w:ascii="Arial Narrow" w:hAnsi="Arial Narrow" w:cs="Calibri"/>
                <w:color w:val="000000"/>
                <w:sz w:val="18"/>
                <w:szCs w:val="18"/>
              </w:rPr>
            </w:pPr>
            <w:r w:rsidRPr="008F5242">
              <w:rPr>
                <w:rFonts w:ascii="Arial Narrow" w:hAnsi="Arial Narrow" w:cs="Calibri"/>
                <w:color w:val="000000"/>
                <w:sz w:val="18"/>
                <w:szCs w:val="18"/>
              </w:rPr>
              <w:t>9</w:t>
            </w:r>
          </w:p>
        </w:tc>
        <w:tc>
          <w:tcPr>
            <w:tcW w:w="1419" w:type="dxa"/>
            <w:tcBorders>
              <w:top w:val="nil"/>
              <w:left w:val="nil"/>
              <w:bottom w:val="single" w:sz="4" w:space="0" w:color="auto"/>
              <w:right w:val="single" w:sz="4" w:space="0" w:color="auto"/>
            </w:tcBorders>
            <w:shd w:val="clear" w:color="auto" w:fill="auto"/>
            <w:vAlign w:val="center"/>
            <w:hideMark/>
          </w:tcPr>
          <w:p w:rsidR="000F0CF9" w:rsidRPr="008F5242" w:rsidP="000F0CF9" w14:paraId="70C397BB" w14:textId="4E0E60A0">
            <w:pPr>
              <w:rPr>
                <w:rFonts w:ascii="Arial" w:hAnsi="Arial" w:cs="Arial"/>
                <w:color w:val="000000"/>
                <w:sz w:val="18"/>
                <w:szCs w:val="18"/>
              </w:rPr>
            </w:pPr>
            <w:r>
              <w:rPr>
                <w:rFonts w:ascii="Arial" w:hAnsi="Arial" w:cs="Arial"/>
                <w:color w:val="000000"/>
                <w:sz w:val="18"/>
                <w:szCs w:val="18"/>
              </w:rPr>
              <w:t>Appx B to 741</w:t>
            </w:r>
          </w:p>
        </w:tc>
        <w:tc>
          <w:tcPr>
            <w:tcW w:w="3240" w:type="dxa"/>
            <w:tcBorders>
              <w:top w:val="nil"/>
              <w:left w:val="nil"/>
              <w:bottom w:val="single" w:sz="4" w:space="0" w:color="auto"/>
              <w:right w:val="single" w:sz="4" w:space="0" w:color="auto"/>
            </w:tcBorders>
            <w:shd w:val="clear" w:color="auto" w:fill="auto"/>
            <w:vAlign w:val="center"/>
            <w:hideMark/>
          </w:tcPr>
          <w:p w:rsidR="000F0CF9" w:rsidRPr="008F5242" w:rsidP="000F0CF9" w14:paraId="1AA0CE7B" w14:textId="189DB637">
            <w:pPr>
              <w:rPr>
                <w:rFonts w:ascii="Arial" w:hAnsi="Arial" w:cs="Arial"/>
                <w:color w:val="000000"/>
                <w:sz w:val="18"/>
                <w:szCs w:val="18"/>
              </w:rPr>
            </w:pPr>
            <w:r>
              <w:rPr>
                <w:rFonts w:ascii="Arial" w:hAnsi="Arial" w:cs="Arial"/>
                <w:color w:val="000000"/>
                <w:sz w:val="18"/>
                <w:szCs w:val="18"/>
              </w:rPr>
              <w:t>Retain and maintain enhanced reporting for loan workout activity that exceeds thresholds established in the policy</w:t>
            </w:r>
          </w:p>
        </w:tc>
        <w:tc>
          <w:tcPr>
            <w:tcW w:w="1260" w:type="dxa"/>
            <w:tcBorders>
              <w:top w:val="nil"/>
              <w:left w:val="nil"/>
              <w:bottom w:val="single" w:sz="4" w:space="0" w:color="auto"/>
              <w:right w:val="single" w:sz="4" w:space="0" w:color="auto"/>
            </w:tcBorders>
            <w:shd w:val="clear" w:color="auto" w:fill="auto"/>
            <w:vAlign w:val="center"/>
            <w:hideMark/>
          </w:tcPr>
          <w:p w:rsidR="000F0CF9" w:rsidRPr="008F5242" w:rsidP="000F0CF9" w14:paraId="261E0DBE" w14:textId="75641885">
            <w:pPr>
              <w:rPr>
                <w:rFonts w:ascii="Arial Narrow" w:hAnsi="Arial Narrow" w:cs="Arial"/>
                <w:color w:val="000000"/>
                <w:sz w:val="18"/>
                <w:szCs w:val="18"/>
              </w:rPr>
            </w:pPr>
            <w:r>
              <w:rPr>
                <w:rFonts w:ascii="Arial Narrow" w:hAnsi="Arial Narrow" w:cs="Calibri"/>
                <w:color w:val="000000"/>
                <w:sz w:val="18"/>
                <w:szCs w:val="18"/>
              </w:rPr>
              <w:t>Recordkeeping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8F5242" w:rsidP="000F0CF9" w14:paraId="6A01E951" w14:textId="1C0D9D88">
            <w:pPr>
              <w:jc w:val="right"/>
              <w:rPr>
                <w:rFonts w:ascii="Arial" w:hAnsi="Arial" w:cs="Arial"/>
                <w:color w:val="000000"/>
                <w:sz w:val="18"/>
                <w:szCs w:val="18"/>
              </w:rPr>
            </w:pPr>
            <w:r>
              <w:rPr>
                <w:rFonts w:ascii="Arial" w:hAnsi="Arial" w:cs="Arial"/>
                <w:color w:val="000000"/>
                <w:sz w:val="18"/>
                <w:szCs w:val="18"/>
              </w:rPr>
              <w:t>718</w:t>
            </w:r>
          </w:p>
        </w:tc>
        <w:tc>
          <w:tcPr>
            <w:tcW w:w="1213" w:type="dxa"/>
            <w:tcBorders>
              <w:top w:val="nil"/>
              <w:left w:val="nil"/>
              <w:bottom w:val="single" w:sz="4" w:space="0" w:color="auto"/>
              <w:right w:val="single" w:sz="4" w:space="0" w:color="auto"/>
            </w:tcBorders>
            <w:shd w:val="clear" w:color="auto" w:fill="auto"/>
            <w:vAlign w:val="center"/>
            <w:hideMark/>
          </w:tcPr>
          <w:p w:rsidR="000F0CF9" w:rsidRPr="008F5242" w:rsidP="000F0CF9" w14:paraId="6660CA93" w14:textId="51611D95">
            <w:pPr>
              <w:jc w:val="right"/>
              <w:rPr>
                <w:rFonts w:ascii="Arial" w:hAnsi="Arial" w:cs="Arial"/>
                <w:color w:val="000000"/>
                <w:sz w:val="18"/>
                <w:szCs w:val="18"/>
              </w:rPr>
            </w:pPr>
            <w:r>
              <w:rPr>
                <w:rFonts w:ascii="Arial" w:hAnsi="Arial" w:cs="Arial"/>
                <w:color w:val="000000"/>
                <w:sz w:val="18"/>
                <w:szCs w:val="18"/>
              </w:rPr>
              <w:t>4</w:t>
            </w:r>
          </w:p>
        </w:tc>
        <w:tc>
          <w:tcPr>
            <w:tcW w:w="1217" w:type="dxa"/>
            <w:tcBorders>
              <w:top w:val="nil"/>
              <w:left w:val="nil"/>
              <w:bottom w:val="single" w:sz="4" w:space="0" w:color="auto"/>
              <w:right w:val="single" w:sz="4" w:space="0" w:color="auto"/>
            </w:tcBorders>
            <w:shd w:val="clear" w:color="auto" w:fill="auto"/>
            <w:vAlign w:val="center"/>
            <w:hideMark/>
          </w:tcPr>
          <w:p w:rsidR="000F0CF9" w:rsidRPr="008F5242" w:rsidP="000F0CF9" w14:paraId="2A4856CD" w14:textId="15B8B94B">
            <w:pPr>
              <w:jc w:val="right"/>
              <w:rPr>
                <w:rFonts w:ascii="Arial" w:hAnsi="Arial" w:cs="Arial"/>
                <w:color w:val="000000"/>
                <w:sz w:val="18"/>
                <w:szCs w:val="18"/>
              </w:rPr>
            </w:pPr>
            <w:r>
              <w:rPr>
                <w:rFonts w:ascii="Arial" w:hAnsi="Arial" w:cs="Arial"/>
                <w:color w:val="000000"/>
                <w:sz w:val="18"/>
                <w:szCs w:val="18"/>
              </w:rPr>
              <w:t>2,872</w:t>
            </w:r>
          </w:p>
        </w:tc>
        <w:tc>
          <w:tcPr>
            <w:tcW w:w="990" w:type="dxa"/>
            <w:tcBorders>
              <w:top w:val="nil"/>
              <w:left w:val="nil"/>
              <w:bottom w:val="single" w:sz="4" w:space="0" w:color="auto"/>
              <w:right w:val="single" w:sz="4" w:space="0" w:color="auto"/>
            </w:tcBorders>
            <w:shd w:val="clear" w:color="auto" w:fill="auto"/>
            <w:vAlign w:val="center"/>
            <w:hideMark/>
          </w:tcPr>
          <w:p w:rsidR="000F0CF9" w:rsidRPr="008F5242" w:rsidP="000F0CF9" w14:paraId="3436B171" w14:textId="6AA935C1">
            <w:pPr>
              <w:jc w:val="right"/>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31421405" w14:textId="78802033">
            <w:pPr>
              <w:jc w:val="right"/>
              <w:rPr>
                <w:rFonts w:ascii="Arial" w:hAnsi="Arial" w:cs="Arial"/>
                <w:color w:val="000000"/>
                <w:sz w:val="18"/>
                <w:szCs w:val="18"/>
              </w:rPr>
            </w:pPr>
            <w:r>
              <w:rPr>
                <w:rFonts w:ascii="Arial" w:hAnsi="Arial" w:cs="Arial"/>
                <w:color w:val="000000"/>
                <w:sz w:val="18"/>
                <w:szCs w:val="18"/>
              </w:rPr>
              <w:t>2,872</w:t>
            </w:r>
          </w:p>
        </w:tc>
      </w:tr>
      <w:tr w14:paraId="0018E4B0" w14:textId="77777777" w:rsidTr="009A5A2D">
        <w:tblPrEx>
          <w:tblW w:w="12060" w:type="dxa"/>
          <w:tblInd w:w="612" w:type="dxa"/>
          <w:tblLook w:val="04A0"/>
        </w:tblPrEx>
        <w:trPr>
          <w:trHeight w:val="500"/>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0F0CF9" w:rsidRPr="007D38AE" w:rsidP="000F0CF9" w14:paraId="56E1E19D"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10</w:t>
            </w:r>
          </w:p>
        </w:tc>
        <w:tc>
          <w:tcPr>
            <w:tcW w:w="1419" w:type="dxa"/>
            <w:tcBorders>
              <w:top w:val="nil"/>
              <w:left w:val="nil"/>
              <w:bottom w:val="single" w:sz="4" w:space="0" w:color="auto"/>
              <w:right w:val="single" w:sz="4" w:space="0" w:color="auto"/>
            </w:tcBorders>
            <w:shd w:val="clear" w:color="auto" w:fill="auto"/>
            <w:vAlign w:val="center"/>
            <w:hideMark/>
          </w:tcPr>
          <w:p w:rsidR="000F0CF9" w:rsidRPr="007D38AE" w:rsidP="000F0CF9" w14:paraId="3299206C" w14:textId="666044BA">
            <w:pPr>
              <w:rPr>
                <w:rFonts w:ascii="Arial" w:hAnsi="Arial" w:cs="Arial"/>
                <w:color w:val="000000"/>
                <w:sz w:val="18"/>
                <w:szCs w:val="18"/>
              </w:rPr>
            </w:pPr>
            <w:r>
              <w:rPr>
                <w:rFonts w:ascii="Arial" w:hAnsi="Arial" w:cs="Arial"/>
                <w:color w:val="000000"/>
                <w:sz w:val="18"/>
                <w:szCs w:val="18"/>
              </w:rPr>
              <w:t>701.21 (h)(2)</w:t>
            </w:r>
          </w:p>
        </w:tc>
        <w:tc>
          <w:tcPr>
            <w:tcW w:w="3240" w:type="dxa"/>
            <w:tcBorders>
              <w:top w:val="nil"/>
              <w:left w:val="nil"/>
              <w:bottom w:val="single" w:sz="4" w:space="0" w:color="auto"/>
              <w:right w:val="single" w:sz="4" w:space="0" w:color="auto"/>
            </w:tcBorders>
            <w:shd w:val="clear" w:color="auto" w:fill="auto"/>
            <w:vAlign w:val="center"/>
            <w:hideMark/>
          </w:tcPr>
          <w:p w:rsidR="000F0CF9" w:rsidRPr="007D38AE" w:rsidP="000F0CF9" w14:paraId="377DA7A7" w14:textId="64281524">
            <w:pPr>
              <w:rPr>
                <w:rFonts w:ascii="Arial" w:hAnsi="Arial" w:cs="Arial"/>
                <w:color w:val="000000"/>
                <w:sz w:val="18"/>
                <w:szCs w:val="18"/>
              </w:rPr>
            </w:pPr>
            <w:r>
              <w:rPr>
                <w:rFonts w:ascii="Arial" w:hAnsi="Arial" w:cs="Arial"/>
                <w:color w:val="000000"/>
                <w:sz w:val="18"/>
                <w:szCs w:val="18"/>
              </w:rPr>
              <w:t>Submit request to NCUA for waiver of third-party servicer limits</w:t>
            </w:r>
          </w:p>
        </w:tc>
        <w:tc>
          <w:tcPr>
            <w:tcW w:w="1260" w:type="dxa"/>
            <w:tcBorders>
              <w:top w:val="nil"/>
              <w:left w:val="nil"/>
              <w:bottom w:val="single" w:sz="4" w:space="0" w:color="auto"/>
              <w:right w:val="single" w:sz="4" w:space="0" w:color="auto"/>
            </w:tcBorders>
            <w:shd w:val="clear" w:color="auto" w:fill="auto"/>
            <w:vAlign w:val="center"/>
            <w:hideMark/>
          </w:tcPr>
          <w:p w:rsidR="000F0CF9" w:rsidRPr="007D38AE" w:rsidP="000F0CF9" w14:paraId="6A957207" w14:textId="70BFF891">
            <w:pPr>
              <w:rPr>
                <w:rFonts w:ascii="Arial" w:hAnsi="Arial" w:cs="Arial"/>
                <w:color w:val="000000"/>
                <w:sz w:val="18"/>
                <w:szCs w:val="18"/>
              </w:rPr>
            </w:pPr>
            <w:r>
              <w:rPr>
                <w:rFonts w:ascii="Arial" w:hAnsi="Arial" w:cs="Arial"/>
                <w:color w:val="000000"/>
                <w:sz w:val="18"/>
                <w:szCs w:val="18"/>
              </w:rPr>
              <w:t>Reporting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7D38AE" w:rsidP="000F0CF9" w14:paraId="024477E0" w14:textId="0FAFC17F">
            <w:pPr>
              <w:jc w:val="right"/>
              <w:rPr>
                <w:rFonts w:ascii="Arial" w:hAnsi="Arial" w:cs="Arial"/>
                <w:color w:val="000000"/>
                <w:sz w:val="18"/>
                <w:szCs w:val="18"/>
              </w:rPr>
            </w:pPr>
            <w:r>
              <w:rPr>
                <w:rFonts w:ascii="Arial" w:hAnsi="Arial" w:cs="Arial"/>
                <w:color w:val="000000"/>
                <w:sz w:val="18"/>
                <w:szCs w:val="18"/>
              </w:rPr>
              <w:t>45</w:t>
            </w:r>
          </w:p>
        </w:tc>
        <w:tc>
          <w:tcPr>
            <w:tcW w:w="1213" w:type="dxa"/>
            <w:tcBorders>
              <w:top w:val="nil"/>
              <w:left w:val="nil"/>
              <w:bottom w:val="single" w:sz="4" w:space="0" w:color="auto"/>
              <w:right w:val="single" w:sz="4" w:space="0" w:color="auto"/>
            </w:tcBorders>
            <w:shd w:val="clear" w:color="auto" w:fill="auto"/>
            <w:vAlign w:val="center"/>
            <w:hideMark/>
          </w:tcPr>
          <w:p w:rsidR="000F0CF9" w:rsidRPr="007D38AE" w:rsidP="000F0CF9" w14:paraId="17B76D1F" w14:textId="649EF17D">
            <w:pPr>
              <w:jc w:val="right"/>
              <w:rPr>
                <w:rFonts w:ascii="Arial" w:hAnsi="Arial" w:cs="Arial"/>
                <w:color w:val="000000"/>
                <w:sz w:val="18"/>
                <w:szCs w:val="18"/>
              </w:rPr>
            </w:pPr>
            <w:r>
              <w:rPr>
                <w:rFonts w:ascii="Arial" w:hAnsi="Arial" w:cs="Arial"/>
                <w:color w:val="000000"/>
                <w:sz w:val="18"/>
                <w:szCs w:val="18"/>
              </w:rPr>
              <w:t>1</w:t>
            </w:r>
          </w:p>
        </w:tc>
        <w:tc>
          <w:tcPr>
            <w:tcW w:w="1217" w:type="dxa"/>
            <w:tcBorders>
              <w:top w:val="nil"/>
              <w:left w:val="nil"/>
              <w:bottom w:val="single" w:sz="4" w:space="0" w:color="auto"/>
              <w:right w:val="single" w:sz="4" w:space="0" w:color="auto"/>
            </w:tcBorders>
            <w:shd w:val="clear" w:color="auto" w:fill="auto"/>
            <w:vAlign w:val="center"/>
            <w:hideMark/>
          </w:tcPr>
          <w:p w:rsidR="000F0CF9" w:rsidRPr="007D38AE" w:rsidP="000F0CF9" w14:paraId="72E20033" w14:textId="40A325C5">
            <w:pPr>
              <w:jc w:val="right"/>
              <w:rPr>
                <w:rFonts w:ascii="Arial" w:hAnsi="Arial" w:cs="Arial"/>
                <w:color w:val="000000"/>
                <w:sz w:val="18"/>
                <w:szCs w:val="18"/>
              </w:rPr>
            </w:pPr>
            <w:r>
              <w:rPr>
                <w:rFonts w:ascii="Arial" w:hAnsi="Arial" w:cs="Arial"/>
                <w:color w:val="000000"/>
                <w:sz w:val="18"/>
                <w:szCs w:val="18"/>
              </w:rPr>
              <w:t>45</w:t>
            </w:r>
          </w:p>
        </w:tc>
        <w:tc>
          <w:tcPr>
            <w:tcW w:w="990" w:type="dxa"/>
            <w:tcBorders>
              <w:top w:val="nil"/>
              <w:left w:val="nil"/>
              <w:bottom w:val="single" w:sz="4" w:space="0" w:color="auto"/>
              <w:right w:val="single" w:sz="4" w:space="0" w:color="auto"/>
            </w:tcBorders>
            <w:shd w:val="clear" w:color="auto" w:fill="auto"/>
            <w:vAlign w:val="center"/>
            <w:hideMark/>
          </w:tcPr>
          <w:p w:rsidR="000F0CF9" w:rsidRPr="007D38AE" w:rsidP="000F0CF9" w14:paraId="632E8F60" w14:textId="4DECDCD8">
            <w:pPr>
              <w:jc w:val="right"/>
              <w:rPr>
                <w:rFonts w:ascii="Arial" w:hAnsi="Arial" w:cs="Arial"/>
                <w:color w:val="000000"/>
                <w:sz w:val="18"/>
                <w:szCs w:val="18"/>
              </w:rPr>
            </w:pPr>
            <w:r>
              <w:rPr>
                <w:rFonts w:ascii="Arial" w:hAnsi="Arial" w:cs="Arial"/>
                <w:color w:val="000000"/>
                <w:sz w:val="18"/>
                <w:szCs w:val="18"/>
              </w:rPr>
              <w:t>3</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0C3F309E" w14:textId="12E121FD">
            <w:pPr>
              <w:jc w:val="right"/>
              <w:rPr>
                <w:rFonts w:ascii="Arial" w:hAnsi="Arial" w:cs="Arial"/>
                <w:color w:val="000000"/>
                <w:sz w:val="18"/>
                <w:szCs w:val="18"/>
              </w:rPr>
            </w:pPr>
            <w:r>
              <w:rPr>
                <w:rFonts w:ascii="Arial" w:hAnsi="Arial" w:cs="Arial"/>
                <w:color w:val="000000"/>
                <w:sz w:val="18"/>
                <w:szCs w:val="18"/>
              </w:rPr>
              <w:t>135</w:t>
            </w:r>
          </w:p>
        </w:tc>
      </w:tr>
      <w:tr w14:paraId="383A01E0" w14:textId="77777777" w:rsidTr="009A5A2D">
        <w:tblPrEx>
          <w:tblW w:w="12060" w:type="dxa"/>
          <w:tblInd w:w="612" w:type="dxa"/>
          <w:tblLook w:val="04A0"/>
        </w:tblPrEx>
        <w:trPr>
          <w:trHeight w:val="750"/>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0F0CF9" w:rsidRPr="007D38AE" w:rsidP="000F0CF9" w14:paraId="5609DC79"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11</w:t>
            </w:r>
          </w:p>
        </w:tc>
        <w:tc>
          <w:tcPr>
            <w:tcW w:w="1419" w:type="dxa"/>
            <w:vMerge w:val="restart"/>
            <w:tcBorders>
              <w:top w:val="nil"/>
              <w:left w:val="single" w:sz="4" w:space="0" w:color="auto"/>
              <w:bottom w:val="single" w:sz="4" w:space="0" w:color="000000"/>
              <w:right w:val="single" w:sz="4" w:space="0" w:color="auto"/>
            </w:tcBorders>
            <w:shd w:val="clear" w:color="auto" w:fill="auto"/>
            <w:vAlign w:val="center"/>
            <w:hideMark/>
          </w:tcPr>
          <w:p w:rsidR="000F0CF9" w:rsidRPr="007D38AE" w:rsidP="000F0CF9" w14:paraId="535BF210" w14:textId="61E1A061">
            <w:pPr>
              <w:rPr>
                <w:rFonts w:ascii="Arial" w:hAnsi="Arial" w:cs="Arial"/>
                <w:color w:val="000000"/>
                <w:sz w:val="18"/>
                <w:szCs w:val="18"/>
              </w:rPr>
            </w:pPr>
            <w:r>
              <w:rPr>
                <w:rFonts w:ascii="Arial" w:hAnsi="Arial" w:cs="Arial"/>
                <w:color w:val="000000"/>
                <w:sz w:val="18"/>
                <w:szCs w:val="18"/>
              </w:rPr>
              <w:t>701.21 (i)(3)(i)</w:t>
            </w:r>
          </w:p>
        </w:tc>
        <w:tc>
          <w:tcPr>
            <w:tcW w:w="3240" w:type="dxa"/>
            <w:tcBorders>
              <w:top w:val="nil"/>
              <w:left w:val="nil"/>
              <w:bottom w:val="single" w:sz="4" w:space="0" w:color="auto"/>
              <w:right w:val="single" w:sz="4" w:space="0" w:color="auto"/>
            </w:tcBorders>
            <w:shd w:val="clear" w:color="auto" w:fill="auto"/>
            <w:vAlign w:val="center"/>
            <w:hideMark/>
          </w:tcPr>
          <w:p w:rsidR="000F0CF9" w:rsidRPr="007D38AE" w:rsidP="000F0CF9" w14:paraId="09622AB4" w14:textId="27D28F4B">
            <w:pPr>
              <w:rPr>
                <w:rFonts w:ascii="Arial" w:hAnsi="Arial" w:cs="Arial"/>
                <w:color w:val="000000"/>
                <w:sz w:val="18"/>
                <w:szCs w:val="18"/>
              </w:rPr>
            </w:pPr>
            <w:r>
              <w:rPr>
                <w:rFonts w:ascii="Arial" w:hAnsi="Arial" w:cs="Arial"/>
                <w:color w:val="000000"/>
                <w:sz w:val="18"/>
                <w:szCs w:val="18"/>
              </w:rPr>
              <w:t>Submit financial options contract report to the regional office on a monthly basis</w:t>
            </w:r>
          </w:p>
        </w:tc>
        <w:tc>
          <w:tcPr>
            <w:tcW w:w="1260" w:type="dxa"/>
            <w:tcBorders>
              <w:top w:val="nil"/>
              <w:left w:val="nil"/>
              <w:bottom w:val="single" w:sz="4" w:space="0" w:color="auto"/>
              <w:right w:val="single" w:sz="4" w:space="0" w:color="auto"/>
            </w:tcBorders>
            <w:shd w:val="clear" w:color="auto" w:fill="auto"/>
            <w:vAlign w:val="center"/>
            <w:hideMark/>
          </w:tcPr>
          <w:p w:rsidR="000F0CF9" w:rsidRPr="007D38AE" w:rsidP="000F0CF9" w14:paraId="160CFB88" w14:textId="53CFF2DB">
            <w:pPr>
              <w:rPr>
                <w:rFonts w:ascii="Arial" w:hAnsi="Arial" w:cs="Arial"/>
                <w:color w:val="000000"/>
                <w:sz w:val="18"/>
                <w:szCs w:val="18"/>
              </w:rPr>
            </w:pPr>
            <w:r>
              <w:rPr>
                <w:rFonts w:ascii="Arial" w:hAnsi="Arial" w:cs="Arial"/>
                <w:color w:val="000000"/>
                <w:sz w:val="18"/>
                <w:szCs w:val="18"/>
              </w:rPr>
              <w:t>Reporting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7D38AE" w:rsidP="000F0CF9" w14:paraId="0B1A5678" w14:textId="6BA4A7C1">
            <w:pPr>
              <w:jc w:val="right"/>
              <w:rPr>
                <w:rFonts w:ascii="Arial" w:hAnsi="Arial" w:cs="Arial"/>
                <w:color w:val="000000"/>
                <w:sz w:val="18"/>
                <w:szCs w:val="18"/>
              </w:rPr>
            </w:pPr>
            <w:r>
              <w:rPr>
                <w:rFonts w:ascii="Arial" w:hAnsi="Arial" w:cs="Arial"/>
                <w:color w:val="000000"/>
                <w:sz w:val="18"/>
                <w:szCs w:val="18"/>
              </w:rPr>
              <w:t>100</w:t>
            </w:r>
          </w:p>
        </w:tc>
        <w:tc>
          <w:tcPr>
            <w:tcW w:w="1213" w:type="dxa"/>
            <w:tcBorders>
              <w:top w:val="nil"/>
              <w:left w:val="nil"/>
              <w:bottom w:val="single" w:sz="4" w:space="0" w:color="auto"/>
              <w:right w:val="single" w:sz="4" w:space="0" w:color="auto"/>
            </w:tcBorders>
            <w:shd w:val="clear" w:color="auto" w:fill="auto"/>
            <w:vAlign w:val="center"/>
            <w:hideMark/>
          </w:tcPr>
          <w:p w:rsidR="000F0CF9" w:rsidRPr="007D38AE" w:rsidP="000F0CF9" w14:paraId="0C73E6B4" w14:textId="26C47C0B">
            <w:pPr>
              <w:jc w:val="right"/>
              <w:rPr>
                <w:rFonts w:ascii="Arial" w:hAnsi="Arial" w:cs="Arial"/>
                <w:color w:val="000000"/>
                <w:sz w:val="18"/>
                <w:szCs w:val="18"/>
              </w:rPr>
            </w:pPr>
            <w:r>
              <w:rPr>
                <w:rFonts w:ascii="Arial" w:hAnsi="Arial" w:cs="Arial"/>
                <w:color w:val="000000"/>
                <w:sz w:val="18"/>
                <w:szCs w:val="18"/>
              </w:rPr>
              <w:t>12</w:t>
            </w:r>
          </w:p>
        </w:tc>
        <w:tc>
          <w:tcPr>
            <w:tcW w:w="1217" w:type="dxa"/>
            <w:tcBorders>
              <w:top w:val="nil"/>
              <w:left w:val="nil"/>
              <w:bottom w:val="single" w:sz="4" w:space="0" w:color="auto"/>
              <w:right w:val="single" w:sz="4" w:space="0" w:color="auto"/>
            </w:tcBorders>
            <w:shd w:val="clear" w:color="auto" w:fill="auto"/>
            <w:vAlign w:val="center"/>
            <w:hideMark/>
          </w:tcPr>
          <w:p w:rsidR="000F0CF9" w:rsidRPr="007D38AE" w:rsidP="000F0CF9" w14:paraId="55664834" w14:textId="5AD77F3F">
            <w:pPr>
              <w:jc w:val="right"/>
              <w:rPr>
                <w:rFonts w:ascii="Arial" w:hAnsi="Arial" w:cs="Arial"/>
                <w:color w:val="000000"/>
                <w:sz w:val="18"/>
                <w:szCs w:val="18"/>
              </w:rPr>
            </w:pPr>
            <w:r>
              <w:rPr>
                <w:rFonts w:ascii="Arial" w:hAnsi="Arial" w:cs="Arial"/>
                <w:color w:val="000000"/>
                <w:sz w:val="18"/>
                <w:szCs w:val="18"/>
              </w:rPr>
              <w:t>1,200</w:t>
            </w:r>
          </w:p>
        </w:tc>
        <w:tc>
          <w:tcPr>
            <w:tcW w:w="990" w:type="dxa"/>
            <w:tcBorders>
              <w:top w:val="nil"/>
              <w:left w:val="nil"/>
              <w:bottom w:val="single" w:sz="4" w:space="0" w:color="auto"/>
              <w:right w:val="single" w:sz="4" w:space="0" w:color="auto"/>
            </w:tcBorders>
            <w:shd w:val="clear" w:color="auto" w:fill="auto"/>
            <w:vAlign w:val="center"/>
            <w:hideMark/>
          </w:tcPr>
          <w:p w:rsidR="000F0CF9" w:rsidRPr="007D38AE" w:rsidP="000F0CF9" w14:paraId="4FECD14D" w14:textId="18397825">
            <w:pPr>
              <w:jc w:val="right"/>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4B264BB7" w14:textId="6FC2D843">
            <w:pPr>
              <w:jc w:val="right"/>
              <w:rPr>
                <w:rFonts w:ascii="Arial" w:hAnsi="Arial" w:cs="Arial"/>
                <w:color w:val="000000"/>
                <w:sz w:val="18"/>
                <w:szCs w:val="18"/>
              </w:rPr>
            </w:pPr>
            <w:r>
              <w:rPr>
                <w:rFonts w:ascii="Arial" w:hAnsi="Arial" w:cs="Arial"/>
                <w:color w:val="000000"/>
                <w:sz w:val="18"/>
                <w:szCs w:val="18"/>
              </w:rPr>
              <w:t>1,200</w:t>
            </w:r>
          </w:p>
        </w:tc>
      </w:tr>
      <w:tr w14:paraId="6628EB83" w14:textId="77777777" w:rsidTr="009A5A2D">
        <w:tblPrEx>
          <w:tblW w:w="12060" w:type="dxa"/>
          <w:tblInd w:w="612" w:type="dxa"/>
          <w:tblLook w:val="04A0"/>
        </w:tblPrEx>
        <w:trPr>
          <w:trHeight w:val="500"/>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0F0CF9" w:rsidRPr="007D38AE" w:rsidP="000F0CF9" w14:paraId="2466C36C" w14:textId="77777777">
            <w:pPr>
              <w:jc w:val="center"/>
              <w:rPr>
                <w:rFonts w:ascii="Arial Narrow" w:hAnsi="Arial Narrow" w:cs="Calibri"/>
                <w:color w:val="000000"/>
                <w:sz w:val="18"/>
                <w:szCs w:val="18"/>
              </w:rPr>
            </w:pPr>
            <w:r w:rsidRPr="007D38AE">
              <w:rPr>
                <w:rFonts w:ascii="Arial Narrow" w:hAnsi="Arial Narrow" w:cs="Calibri"/>
                <w:color w:val="000000"/>
                <w:sz w:val="18"/>
                <w:szCs w:val="18"/>
              </w:rPr>
              <w:t>12</w:t>
            </w:r>
          </w:p>
        </w:tc>
        <w:tc>
          <w:tcPr>
            <w:tcW w:w="1419" w:type="dxa"/>
            <w:vMerge/>
            <w:tcBorders>
              <w:top w:val="nil"/>
              <w:left w:val="single" w:sz="4" w:space="0" w:color="auto"/>
              <w:bottom w:val="single" w:sz="4" w:space="0" w:color="000000"/>
              <w:right w:val="single" w:sz="4" w:space="0" w:color="auto"/>
            </w:tcBorders>
            <w:vAlign w:val="center"/>
            <w:hideMark/>
          </w:tcPr>
          <w:p w:rsidR="000F0CF9" w:rsidRPr="007D38AE" w:rsidP="000F0CF9" w14:paraId="1563BFEF" w14:textId="77777777">
            <w:pPr>
              <w:rPr>
                <w:rFonts w:ascii="Arial" w:hAnsi="Arial" w:cs="Arial"/>
                <w:color w:val="000000"/>
                <w:sz w:val="18"/>
                <w:szCs w:val="18"/>
              </w:rPr>
            </w:pPr>
          </w:p>
        </w:tc>
        <w:tc>
          <w:tcPr>
            <w:tcW w:w="3240" w:type="dxa"/>
            <w:tcBorders>
              <w:top w:val="nil"/>
              <w:left w:val="nil"/>
              <w:bottom w:val="single" w:sz="4" w:space="0" w:color="auto"/>
              <w:right w:val="single" w:sz="4" w:space="0" w:color="auto"/>
            </w:tcBorders>
            <w:shd w:val="clear" w:color="auto" w:fill="auto"/>
            <w:vAlign w:val="center"/>
            <w:hideMark/>
          </w:tcPr>
          <w:p w:rsidR="000F0CF9" w:rsidRPr="007D38AE" w:rsidP="000F0CF9" w14:paraId="2EC6E20E" w14:textId="20EF84B8">
            <w:pPr>
              <w:rPr>
                <w:rFonts w:ascii="Arial" w:hAnsi="Arial" w:cs="Arial"/>
                <w:color w:val="000000"/>
                <w:sz w:val="18"/>
                <w:szCs w:val="18"/>
              </w:rPr>
            </w:pPr>
            <w:r>
              <w:rPr>
                <w:rFonts w:ascii="Arial" w:hAnsi="Arial" w:cs="Arial"/>
                <w:color w:val="000000"/>
                <w:sz w:val="18"/>
                <w:szCs w:val="18"/>
              </w:rPr>
              <w:t>Submit request to NCUA to waiver the monthly reporting requirements</w:t>
            </w:r>
          </w:p>
        </w:tc>
        <w:tc>
          <w:tcPr>
            <w:tcW w:w="1260" w:type="dxa"/>
            <w:tcBorders>
              <w:top w:val="nil"/>
              <w:left w:val="nil"/>
              <w:bottom w:val="single" w:sz="4" w:space="0" w:color="auto"/>
              <w:right w:val="single" w:sz="4" w:space="0" w:color="auto"/>
            </w:tcBorders>
            <w:shd w:val="clear" w:color="auto" w:fill="auto"/>
            <w:vAlign w:val="center"/>
            <w:hideMark/>
          </w:tcPr>
          <w:p w:rsidR="000F0CF9" w:rsidRPr="007D38AE" w:rsidP="000F0CF9" w14:paraId="1EDB0FB3" w14:textId="1FC33C6B">
            <w:pPr>
              <w:rPr>
                <w:rFonts w:ascii="Arial" w:hAnsi="Arial" w:cs="Arial"/>
                <w:color w:val="000000"/>
                <w:sz w:val="18"/>
                <w:szCs w:val="18"/>
              </w:rPr>
            </w:pPr>
            <w:r>
              <w:rPr>
                <w:rFonts w:ascii="Arial" w:hAnsi="Arial" w:cs="Arial"/>
                <w:color w:val="000000"/>
                <w:sz w:val="18"/>
                <w:szCs w:val="18"/>
              </w:rPr>
              <w:t>Reporting</w:t>
            </w:r>
          </w:p>
        </w:tc>
        <w:tc>
          <w:tcPr>
            <w:tcW w:w="1170" w:type="dxa"/>
            <w:tcBorders>
              <w:top w:val="nil"/>
              <w:left w:val="nil"/>
              <w:bottom w:val="single" w:sz="4" w:space="0" w:color="auto"/>
              <w:right w:val="single" w:sz="4" w:space="0" w:color="auto"/>
            </w:tcBorders>
            <w:shd w:val="clear" w:color="auto" w:fill="auto"/>
            <w:vAlign w:val="center"/>
            <w:hideMark/>
          </w:tcPr>
          <w:p w:rsidR="000F0CF9" w:rsidRPr="007D38AE" w:rsidP="000F0CF9" w14:paraId="54F60CFC" w14:textId="1FF1A9D8">
            <w:pPr>
              <w:jc w:val="right"/>
              <w:rPr>
                <w:rFonts w:ascii="Arial" w:hAnsi="Arial" w:cs="Arial"/>
                <w:color w:val="000000"/>
                <w:sz w:val="18"/>
                <w:szCs w:val="18"/>
              </w:rPr>
            </w:pPr>
            <w:r>
              <w:rPr>
                <w:rFonts w:ascii="Arial" w:hAnsi="Arial" w:cs="Arial"/>
                <w:color w:val="000000"/>
                <w:sz w:val="18"/>
                <w:szCs w:val="18"/>
              </w:rPr>
              <w:t>5</w:t>
            </w:r>
          </w:p>
        </w:tc>
        <w:tc>
          <w:tcPr>
            <w:tcW w:w="1213" w:type="dxa"/>
            <w:tcBorders>
              <w:top w:val="nil"/>
              <w:left w:val="nil"/>
              <w:bottom w:val="single" w:sz="4" w:space="0" w:color="auto"/>
              <w:right w:val="single" w:sz="4" w:space="0" w:color="auto"/>
            </w:tcBorders>
            <w:shd w:val="clear" w:color="auto" w:fill="auto"/>
            <w:vAlign w:val="center"/>
            <w:hideMark/>
          </w:tcPr>
          <w:p w:rsidR="000F0CF9" w:rsidRPr="007D38AE" w:rsidP="000F0CF9" w14:paraId="7E5CF9E8" w14:textId="150D7633">
            <w:pPr>
              <w:jc w:val="right"/>
              <w:rPr>
                <w:rFonts w:ascii="Arial" w:hAnsi="Arial" w:cs="Arial"/>
                <w:color w:val="000000"/>
                <w:sz w:val="18"/>
                <w:szCs w:val="18"/>
              </w:rPr>
            </w:pPr>
            <w:r>
              <w:rPr>
                <w:rFonts w:ascii="Arial" w:hAnsi="Arial" w:cs="Arial"/>
                <w:color w:val="000000"/>
                <w:sz w:val="18"/>
                <w:szCs w:val="18"/>
              </w:rPr>
              <w:t>1</w:t>
            </w:r>
          </w:p>
        </w:tc>
        <w:tc>
          <w:tcPr>
            <w:tcW w:w="1217" w:type="dxa"/>
            <w:tcBorders>
              <w:top w:val="nil"/>
              <w:left w:val="nil"/>
              <w:bottom w:val="single" w:sz="4" w:space="0" w:color="auto"/>
              <w:right w:val="single" w:sz="4" w:space="0" w:color="auto"/>
            </w:tcBorders>
            <w:shd w:val="clear" w:color="auto" w:fill="auto"/>
            <w:vAlign w:val="center"/>
            <w:hideMark/>
          </w:tcPr>
          <w:p w:rsidR="000F0CF9" w:rsidRPr="007D38AE" w:rsidP="000F0CF9" w14:paraId="4FEC3BBB" w14:textId="407C34E1">
            <w:pPr>
              <w:jc w:val="right"/>
              <w:rPr>
                <w:rFonts w:ascii="Arial" w:hAnsi="Arial" w:cs="Arial"/>
                <w:color w:val="000000"/>
                <w:sz w:val="18"/>
                <w:szCs w:val="18"/>
              </w:rPr>
            </w:pPr>
            <w:r>
              <w:rPr>
                <w:rFonts w:ascii="Arial" w:hAnsi="Arial" w:cs="Arial"/>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hideMark/>
          </w:tcPr>
          <w:p w:rsidR="000F0CF9" w:rsidRPr="007D38AE" w:rsidP="000F0CF9" w14:paraId="34BC57EA" w14:textId="780577F9">
            <w:pPr>
              <w:jc w:val="right"/>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auto"/>
              <w:right w:val="single" w:sz="12" w:space="0" w:color="auto"/>
            </w:tcBorders>
            <w:shd w:val="clear" w:color="auto" w:fill="auto"/>
            <w:vAlign w:val="center"/>
            <w:hideMark/>
          </w:tcPr>
          <w:p w:rsidR="000F0CF9" w:rsidRPr="007D38AE" w:rsidP="000F0CF9" w14:paraId="388583D3" w14:textId="04D87C4E">
            <w:pPr>
              <w:jc w:val="right"/>
              <w:rPr>
                <w:rFonts w:ascii="Arial" w:hAnsi="Arial" w:cs="Arial"/>
                <w:color w:val="000000"/>
                <w:sz w:val="18"/>
                <w:szCs w:val="18"/>
              </w:rPr>
            </w:pPr>
            <w:r>
              <w:rPr>
                <w:rFonts w:ascii="Arial" w:hAnsi="Arial" w:cs="Arial"/>
                <w:color w:val="000000"/>
                <w:sz w:val="18"/>
                <w:szCs w:val="18"/>
              </w:rPr>
              <w:t>5</w:t>
            </w:r>
          </w:p>
        </w:tc>
      </w:tr>
      <w:tr w14:paraId="0C2E3188" w14:textId="77777777" w:rsidTr="00C32FC0">
        <w:tblPrEx>
          <w:tblW w:w="12060" w:type="dxa"/>
          <w:tblInd w:w="612" w:type="dxa"/>
          <w:tblLook w:val="04A0"/>
        </w:tblPrEx>
        <w:trPr>
          <w:trHeight w:val="430"/>
        </w:trPr>
        <w:tc>
          <w:tcPr>
            <w:tcW w:w="6300" w:type="dxa"/>
            <w:gridSpan w:val="4"/>
            <w:tcBorders>
              <w:top w:val="nil"/>
              <w:left w:val="single" w:sz="4" w:space="0" w:color="auto"/>
              <w:bottom w:val="single" w:sz="4" w:space="0" w:color="auto"/>
              <w:right w:val="single" w:sz="4" w:space="0" w:color="000000"/>
            </w:tcBorders>
            <w:shd w:val="clear" w:color="auto" w:fill="auto"/>
            <w:vAlign w:val="center"/>
            <w:hideMark/>
          </w:tcPr>
          <w:p w:rsidR="00C32FC0" w:rsidRPr="007D38AE" w:rsidP="00C32FC0" w14:paraId="4ADFECA3" w14:textId="77777777">
            <w:pPr>
              <w:jc w:val="right"/>
              <w:rPr>
                <w:rFonts w:ascii="Arial" w:hAnsi="Arial" w:cs="Arial"/>
                <w:b/>
                <w:bCs/>
                <w:color w:val="000000"/>
                <w:sz w:val="18"/>
                <w:szCs w:val="18"/>
              </w:rPr>
            </w:pPr>
            <w:r w:rsidRPr="007D38AE">
              <w:rPr>
                <w:rFonts w:ascii="Arial" w:hAnsi="Arial" w:cs="Arial"/>
                <w:b/>
                <w:bCs/>
                <w:color w:val="000000"/>
                <w:sz w:val="18"/>
                <w:szCs w:val="18"/>
              </w:rPr>
              <w:t>TOTAL</w:t>
            </w:r>
          </w:p>
        </w:tc>
        <w:tc>
          <w:tcPr>
            <w:tcW w:w="1170" w:type="dxa"/>
            <w:tcBorders>
              <w:top w:val="nil"/>
              <w:left w:val="nil"/>
              <w:bottom w:val="single" w:sz="4" w:space="0" w:color="auto"/>
              <w:right w:val="single" w:sz="4" w:space="0" w:color="auto"/>
            </w:tcBorders>
            <w:shd w:val="clear" w:color="auto" w:fill="auto"/>
            <w:vAlign w:val="center"/>
            <w:hideMark/>
          </w:tcPr>
          <w:p w:rsidR="00C32FC0" w:rsidRPr="007D38AE" w:rsidP="00C32FC0" w14:paraId="0B860036" w14:textId="631A52E3">
            <w:pPr>
              <w:jc w:val="right"/>
              <w:rPr>
                <w:rFonts w:ascii="Arial" w:hAnsi="Arial" w:cs="Arial"/>
                <w:color w:val="000000"/>
                <w:sz w:val="18"/>
                <w:szCs w:val="18"/>
              </w:rPr>
            </w:pPr>
            <w:r>
              <w:rPr>
                <w:rFonts w:ascii="Arial" w:hAnsi="Arial" w:cs="Arial"/>
                <w:color w:val="000000"/>
                <w:sz w:val="18"/>
                <w:szCs w:val="18"/>
              </w:rPr>
              <w:t>4,533</w:t>
            </w:r>
          </w:p>
        </w:tc>
        <w:tc>
          <w:tcPr>
            <w:tcW w:w="1213" w:type="dxa"/>
            <w:tcBorders>
              <w:top w:val="nil"/>
              <w:left w:val="nil"/>
              <w:bottom w:val="single" w:sz="4" w:space="0" w:color="auto"/>
              <w:right w:val="single" w:sz="4" w:space="0" w:color="auto"/>
            </w:tcBorders>
            <w:shd w:val="clear" w:color="auto" w:fill="808080" w:themeFill="background1" w:themeFillShade="80"/>
            <w:vAlign w:val="center"/>
            <w:hideMark/>
          </w:tcPr>
          <w:p w:rsidR="00C32FC0" w:rsidRPr="007D38AE" w:rsidP="00C32FC0" w14:paraId="2EC2C6AC" w14:textId="5C6168D8">
            <w:pPr>
              <w:jc w:val="right"/>
              <w:rPr>
                <w:rFonts w:ascii="Arial" w:hAnsi="Arial" w:cs="Arial"/>
                <w:color w:val="000000"/>
                <w:sz w:val="18"/>
                <w:szCs w:val="18"/>
              </w:rPr>
            </w:pPr>
            <w:r>
              <w:rPr>
                <w:rFonts w:ascii="Arial" w:hAnsi="Arial" w:cs="Arial"/>
                <w:color w:val="000000"/>
                <w:sz w:val="18"/>
                <w:szCs w:val="18"/>
              </w:rPr>
              <w:t xml:space="preserve"> </w:t>
            </w:r>
          </w:p>
        </w:tc>
        <w:tc>
          <w:tcPr>
            <w:tcW w:w="1217" w:type="dxa"/>
            <w:tcBorders>
              <w:top w:val="nil"/>
              <w:left w:val="nil"/>
              <w:bottom w:val="single" w:sz="4" w:space="0" w:color="auto"/>
              <w:right w:val="single" w:sz="4" w:space="0" w:color="auto"/>
            </w:tcBorders>
            <w:shd w:val="clear" w:color="auto" w:fill="auto"/>
            <w:vAlign w:val="center"/>
            <w:hideMark/>
          </w:tcPr>
          <w:p w:rsidR="00C32FC0" w:rsidRPr="007D38AE" w:rsidP="00C32FC0" w14:paraId="014C9106" w14:textId="3B3846F3">
            <w:pPr>
              <w:jc w:val="right"/>
              <w:rPr>
                <w:rFonts w:ascii="Arial" w:hAnsi="Arial" w:cs="Arial"/>
                <w:color w:val="000000"/>
                <w:sz w:val="18"/>
                <w:szCs w:val="18"/>
              </w:rPr>
            </w:pPr>
            <w:r>
              <w:rPr>
                <w:rFonts w:ascii="Arial" w:hAnsi="Arial" w:cs="Arial"/>
                <w:color w:val="000000"/>
                <w:sz w:val="18"/>
                <w:szCs w:val="18"/>
              </w:rPr>
              <w:t>180,824</w:t>
            </w:r>
          </w:p>
        </w:tc>
        <w:tc>
          <w:tcPr>
            <w:tcW w:w="990" w:type="dxa"/>
            <w:tcBorders>
              <w:top w:val="nil"/>
              <w:left w:val="nil"/>
              <w:bottom w:val="single" w:sz="4" w:space="0" w:color="auto"/>
              <w:right w:val="single" w:sz="4" w:space="0" w:color="auto"/>
            </w:tcBorders>
            <w:shd w:val="clear" w:color="auto" w:fill="808080" w:themeFill="background1" w:themeFillShade="80"/>
            <w:vAlign w:val="center"/>
            <w:hideMark/>
          </w:tcPr>
          <w:p w:rsidR="00C32FC0" w:rsidRPr="007D38AE" w:rsidP="00C32FC0" w14:paraId="7164532A" w14:textId="7906AAB2">
            <w:pPr>
              <w:rPr>
                <w:rFonts w:ascii="Arial" w:hAnsi="Arial" w:cs="Arial"/>
                <w:color w:val="000000"/>
                <w:sz w:val="18"/>
                <w:szCs w:val="18"/>
              </w:rPr>
            </w:pPr>
            <w:r>
              <w:rPr>
                <w:rFonts w:ascii="Arial" w:hAnsi="Arial" w:cs="Arial"/>
                <w:color w:val="000000"/>
                <w:sz w:val="18"/>
                <w:szCs w:val="18"/>
              </w:rPr>
              <w:t xml:space="preserve"> </w:t>
            </w:r>
          </w:p>
        </w:tc>
        <w:tc>
          <w:tcPr>
            <w:tcW w:w="1170" w:type="dxa"/>
            <w:tcBorders>
              <w:top w:val="nil"/>
              <w:left w:val="nil"/>
              <w:bottom w:val="single" w:sz="4" w:space="0" w:color="auto"/>
              <w:right w:val="single" w:sz="12" w:space="0" w:color="auto"/>
            </w:tcBorders>
            <w:shd w:val="clear" w:color="auto" w:fill="auto"/>
            <w:vAlign w:val="center"/>
            <w:hideMark/>
          </w:tcPr>
          <w:p w:rsidR="00C32FC0" w:rsidRPr="007D38AE" w:rsidP="00C32FC0" w14:paraId="30D7771C" w14:textId="22BD9954">
            <w:pPr>
              <w:jc w:val="right"/>
              <w:rPr>
                <w:rFonts w:ascii="Arial" w:hAnsi="Arial" w:cs="Arial"/>
                <w:b/>
                <w:bCs/>
                <w:color w:val="000000"/>
                <w:sz w:val="18"/>
                <w:szCs w:val="18"/>
              </w:rPr>
            </w:pPr>
            <w:r w:rsidRPr="00C32FC0">
              <w:rPr>
                <w:rFonts w:ascii="Arial" w:hAnsi="Arial" w:cs="Arial"/>
                <w:b/>
                <w:bCs/>
                <w:color w:val="000000"/>
                <w:sz w:val="18"/>
                <w:szCs w:val="18"/>
              </w:rPr>
              <w:t>16</w:t>
            </w:r>
            <w:r>
              <w:rPr>
                <w:rFonts w:ascii="Arial" w:hAnsi="Arial" w:cs="Arial"/>
                <w:b/>
                <w:bCs/>
                <w:color w:val="000000"/>
                <w:sz w:val="18"/>
                <w:szCs w:val="18"/>
              </w:rPr>
              <w:t>,343</w:t>
            </w:r>
          </w:p>
        </w:tc>
      </w:tr>
      <w:tr w14:paraId="5A128368" w14:textId="77777777" w:rsidTr="009A5A2D">
        <w:tblPrEx>
          <w:tblW w:w="12060" w:type="dxa"/>
          <w:tblInd w:w="612" w:type="dxa"/>
          <w:tblLook w:val="04A0"/>
        </w:tblPrEx>
        <w:trPr>
          <w:trHeight w:val="410"/>
        </w:trPr>
        <w:tc>
          <w:tcPr>
            <w:tcW w:w="381" w:type="dxa"/>
            <w:tcBorders>
              <w:top w:val="nil"/>
              <w:left w:val="nil"/>
              <w:bottom w:val="nil"/>
              <w:right w:val="nil"/>
            </w:tcBorders>
            <w:shd w:val="clear" w:color="auto" w:fill="auto"/>
            <w:vAlign w:val="bottom"/>
            <w:hideMark/>
          </w:tcPr>
          <w:p w:rsidR="008F5242" w:rsidRPr="007D38AE" w:rsidP="007D38AE" w14:paraId="632EF357" w14:textId="77777777">
            <w:pPr>
              <w:jc w:val="right"/>
              <w:rPr>
                <w:rFonts w:ascii="Arial" w:hAnsi="Arial" w:cs="Arial"/>
                <w:color w:val="000000"/>
                <w:sz w:val="20"/>
                <w:szCs w:val="20"/>
              </w:rPr>
            </w:pPr>
          </w:p>
        </w:tc>
        <w:tc>
          <w:tcPr>
            <w:tcW w:w="1419" w:type="dxa"/>
            <w:tcBorders>
              <w:top w:val="nil"/>
              <w:left w:val="nil"/>
              <w:bottom w:val="nil"/>
              <w:right w:val="nil"/>
            </w:tcBorders>
            <w:shd w:val="clear" w:color="auto" w:fill="auto"/>
            <w:vAlign w:val="bottom"/>
            <w:hideMark/>
          </w:tcPr>
          <w:p w:rsidR="008F5242" w:rsidRPr="007D38AE" w:rsidP="007D38AE" w14:paraId="1B3A2EA5" w14:textId="77777777">
            <w:pPr>
              <w:rPr>
                <w:rFonts w:ascii="Arial" w:hAnsi="Arial" w:cs="Arial"/>
                <w:sz w:val="18"/>
                <w:szCs w:val="18"/>
              </w:rPr>
            </w:pPr>
          </w:p>
        </w:tc>
        <w:tc>
          <w:tcPr>
            <w:tcW w:w="3240" w:type="dxa"/>
            <w:tcBorders>
              <w:top w:val="nil"/>
              <w:left w:val="nil"/>
              <w:bottom w:val="nil"/>
              <w:right w:val="nil"/>
            </w:tcBorders>
            <w:shd w:val="clear" w:color="auto" w:fill="auto"/>
            <w:vAlign w:val="bottom"/>
            <w:hideMark/>
          </w:tcPr>
          <w:p w:rsidR="008F5242" w:rsidRPr="007D38AE" w:rsidP="007D38AE" w14:paraId="221C21D9" w14:textId="77777777">
            <w:pPr>
              <w:rPr>
                <w:rFonts w:ascii="Arial" w:hAnsi="Arial" w:cs="Arial"/>
                <w:sz w:val="18"/>
                <w:szCs w:val="18"/>
              </w:rPr>
            </w:pPr>
          </w:p>
        </w:tc>
        <w:tc>
          <w:tcPr>
            <w:tcW w:w="1260" w:type="dxa"/>
            <w:tcBorders>
              <w:top w:val="nil"/>
              <w:left w:val="nil"/>
              <w:bottom w:val="nil"/>
              <w:right w:val="nil"/>
            </w:tcBorders>
            <w:shd w:val="clear" w:color="auto" w:fill="auto"/>
            <w:vAlign w:val="bottom"/>
            <w:hideMark/>
          </w:tcPr>
          <w:p w:rsidR="008F5242" w:rsidRPr="007D38AE" w:rsidP="007D38AE" w14:paraId="2C4B3443" w14:textId="77777777">
            <w:pPr>
              <w:rPr>
                <w:rFonts w:ascii="Arial" w:hAnsi="Arial" w:cs="Arial"/>
                <w:sz w:val="18"/>
                <w:szCs w:val="18"/>
              </w:rPr>
            </w:pPr>
          </w:p>
        </w:tc>
        <w:tc>
          <w:tcPr>
            <w:tcW w:w="1170" w:type="dxa"/>
            <w:tcBorders>
              <w:top w:val="nil"/>
              <w:left w:val="nil"/>
              <w:bottom w:val="nil"/>
              <w:right w:val="nil"/>
            </w:tcBorders>
            <w:shd w:val="clear" w:color="auto" w:fill="auto"/>
            <w:vAlign w:val="bottom"/>
            <w:hideMark/>
          </w:tcPr>
          <w:p w:rsidR="008F5242" w:rsidRPr="007D38AE" w:rsidP="007D38AE" w14:paraId="5C20AB2E" w14:textId="77777777">
            <w:pPr>
              <w:rPr>
                <w:rFonts w:ascii="Arial" w:hAnsi="Arial" w:cs="Arial"/>
                <w:sz w:val="18"/>
                <w:szCs w:val="18"/>
              </w:rPr>
            </w:pPr>
          </w:p>
        </w:tc>
        <w:tc>
          <w:tcPr>
            <w:tcW w:w="1213" w:type="dxa"/>
            <w:tcBorders>
              <w:top w:val="nil"/>
              <w:left w:val="nil"/>
              <w:bottom w:val="nil"/>
              <w:right w:val="nil"/>
            </w:tcBorders>
            <w:shd w:val="clear" w:color="auto" w:fill="auto"/>
            <w:vAlign w:val="bottom"/>
            <w:hideMark/>
          </w:tcPr>
          <w:p w:rsidR="008F5242" w:rsidRPr="007D38AE" w:rsidP="007D38AE" w14:paraId="6C53F06E" w14:textId="77777777">
            <w:pPr>
              <w:rPr>
                <w:rFonts w:ascii="Arial" w:hAnsi="Arial" w:cs="Arial"/>
                <w:sz w:val="18"/>
                <w:szCs w:val="18"/>
              </w:rPr>
            </w:pPr>
          </w:p>
        </w:tc>
        <w:tc>
          <w:tcPr>
            <w:tcW w:w="1217" w:type="dxa"/>
            <w:tcBorders>
              <w:top w:val="nil"/>
              <w:left w:val="nil"/>
              <w:bottom w:val="nil"/>
              <w:right w:val="nil"/>
            </w:tcBorders>
            <w:shd w:val="clear" w:color="auto" w:fill="auto"/>
            <w:vAlign w:val="bottom"/>
            <w:hideMark/>
          </w:tcPr>
          <w:p w:rsidR="008F5242" w:rsidRPr="007D38AE" w:rsidP="007D38AE" w14:paraId="6B3B9B4D" w14:textId="77777777">
            <w:pPr>
              <w:rPr>
                <w:rFonts w:ascii="Arial" w:hAnsi="Arial" w:cs="Arial"/>
                <w:sz w:val="18"/>
                <w:szCs w:val="18"/>
              </w:rPr>
            </w:pPr>
          </w:p>
        </w:tc>
        <w:tc>
          <w:tcPr>
            <w:tcW w:w="990" w:type="dxa"/>
            <w:tcBorders>
              <w:top w:val="nil"/>
              <w:left w:val="nil"/>
              <w:bottom w:val="nil"/>
              <w:right w:val="nil"/>
            </w:tcBorders>
            <w:shd w:val="clear" w:color="auto" w:fill="auto"/>
            <w:vAlign w:val="bottom"/>
            <w:hideMark/>
          </w:tcPr>
          <w:p w:rsidR="008F5242" w:rsidRPr="007D38AE" w:rsidP="007D38AE" w14:paraId="68C1D62D" w14:textId="77777777">
            <w:pPr>
              <w:rPr>
                <w:rFonts w:ascii="Arial" w:hAnsi="Arial" w:cs="Arial"/>
                <w:sz w:val="18"/>
                <w:szCs w:val="18"/>
              </w:rPr>
            </w:pPr>
          </w:p>
        </w:tc>
        <w:tc>
          <w:tcPr>
            <w:tcW w:w="1170" w:type="dxa"/>
            <w:tcBorders>
              <w:top w:val="nil"/>
              <w:left w:val="nil"/>
              <w:bottom w:val="nil"/>
              <w:right w:val="nil"/>
            </w:tcBorders>
            <w:shd w:val="clear" w:color="auto" w:fill="auto"/>
            <w:vAlign w:val="bottom"/>
            <w:hideMark/>
          </w:tcPr>
          <w:p w:rsidR="008F5242" w:rsidRPr="007D38AE" w:rsidP="007D38AE" w14:paraId="6F426A44" w14:textId="77777777">
            <w:pPr>
              <w:jc w:val="center"/>
              <w:rPr>
                <w:rFonts w:ascii="Arial" w:hAnsi="Arial" w:cs="Arial"/>
                <w:b/>
                <w:bCs/>
                <w:color w:val="000000"/>
                <w:sz w:val="18"/>
                <w:szCs w:val="18"/>
              </w:rPr>
            </w:pPr>
            <w:r w:rsidRPr="007D38AE">
              <w:rPr>
                <w:rFonts w:ascii="Arial" w:hAnsi="Arial" w:cs="Arial"/>
                <w:b/>
                <w:bCs/>
                <w:color w:val="000000"/>
                <w:sz w:val="18"/>
                <w:szCs w:val="18"/>
              </w:rPr>
              <w:t> </w:t>
            </w:r>
          </w:p>
        </w:tc>
      </w:tr>
    </w:tbl>
    <w:p w:rsidR="00487C5E" w:rsidP="00487C5E" w14:paraId="1EBCFCE2" w14:textId="76C8A12F">
      <w:pPr>
        <w:pStyle w:val="ListParagraph"/>
        <w:suppressAutoHyphens/>
      </w:pPr>
    </w:p>
    <w:p w:rsidR="009156C4" w14:paraId="1AA77C49" w14:textId="10FAF5DA">
      <w:pPr>
        <w:spacing w:after="200" w:line="276" w:lineRule="auto"/>
        <w:sectPr w:rsidSect="009C79FA">
          <w:pgSz w:w="15840" w:h="12240" w:orient="landscape"/>
          <w:pgMar w:top="1440" w:right="1440" w:bottom="1440" w:left="540" w:header="720" w:footer="720" w:gutter="0"/>
          <w:cols w:space="720"/>
          <w:docGrid w:linePitch="360"/>
        </w:sectPr>
      </w:pPr>
    </w:p>
    <w:p w:rsidR="00BA72E6" w:rsidRPr="0077306C" w:rsidP="00BA72E6" w14:paraId="3271463A" w14:textId="77777777">
      <w:pPr>
        <w:pStyle w:val="Default"/>
        <w:tabs>
          <w:tab w:val="left" w:pos="720"/>
        </w:tabs>
        <w:ind w:left="720" w:hanging="720"/>
      </w:pPr>
      <w:r>
        <w:rPr>
          <w:b/>
          <w:bCs/>
        </w:rPr>
        <w:t>13.</w:t>
      </w:r>
      <w:r>
        <w:rPr>
          <w:b/>
          <w:bCs/>
        </w:rPr>
        <w:tab/>
        <w:t>Capital start-up and on-going operation and maintenance c</w:t>
      </w:r>
      <w:r w:rsidRPr="0077306C">
        <w:rPr>
          <w:b/>
          <w:bCs/>
        </w:rPr>
        <w:t>ost</w:t>
      </w:r>
      <w:r>
        <w:rPr>
          <w:b/>
          <w:bCs/>
        </w:rPr>
        <w:t>.</w:t>
      </w:r>
      <w:r w:rsidRPr="0077306C">
        <w:rPr>
          <w:b/>
          <w:bCs/>
        </w:rPr>
        <w:t xml:space="preserve"> </w:t>
      </w:r>
    </w:p>
    <w:p w:rsidR="00BA72E6" w:rsidP="007C3AFD" w14:paraId="2DBAE11E" w14:textId="77777777">
      <w:pPr>
        <w:tabs>
          <w:tab w:val="left" w:pos="720"/>
        </w:tabs>
        <w:ind w:left="720" w:hanging="720"/>
      </w:pPr>
    </w:p>
    <w:p w:rsidR="009156C4" w:rsidP="009156C4" w14:paraId="5CE65B1B" w14:textId="747773CB">
      <w:pPr>
        <w:tabs>
          <w:tab w:val="left" w:pos="720"/>
        </w:tabs>
        <w:ind w:left="720"/>
      </w:pPr>
      <w:r>
        <w:t>There are no capital start-up or maintenance costs.</w:t>
      </w:r>
    </w:p>
    <w:p w:rsidR="009156C4" w:rsidP="00BA72E6" w14:paraId="23A44D43" w14:textId="77777777">
      <w:pPr>
        <w:pStyle w:val="Default"/>
        <w:tabs>
          <w:tab w:val="left" w:pos="720"/>
        </w:tabs>
        <w:ind w:left="720" w:hanging="720"/>
        <w:rPr>
          <w:b/>
          <w:bCs/>
        </w:rPr>
      </w:pPr>
    </w:p>
    <w:p w:rsidR="00BA72E6" w:rsidRPr="0077306C" w:rsidP="00BA72E6" w14:paraId="6FA96679" w14:textId="234B87C5">
      <w:pPr>
        <w:pStyle w:val="Default"/>
        <w:tabs>
          <w:tab w:val="left" w:pos="720"/>
        </w:tabs>
        <w:ind w:left="720" w:hanging="720"/>
      </w:pPr>
      <w:r>
        <w:rPr>
          <w:b/>
          <w:bCs/>
        </w:rPr>
        <w:t>14.</w:t>
      </w:r>
      <w:r>
        <w:rPr>
          <w:b/>
          <w:bCs/>
        </w:rPr>
        <w:tab/>
        <w:t>Annualized costs to federal g</w:t>
      </w:r>
      <w:r w:rsidRPr="0077306C">
        <w:rPr>
          <w:b/>
          <w:bCs/>
        </w:rPr>
        <w:t>overnment</w:t>
      </w:r>
      <w:r>
        <w:rPr>
          <w:b/>
          <w:bCs/>
        </w:rPr>
        <w:t>.</w:t>
      </w:r>
      <w:r w:rsidRPr="0077306C">
        <w:rPr>
          <w:b/>
          <w:bCs/>
        </w:rPr>
        <w:t xml:space="preserve"> </w:t>
      </w:r>
    </w:p>
    <w:p w:rsidR="00BA72E6" w:rsidP="007C3AFD" w14:paraId="58407199" w14:textId="77777777">
      <w:pPr>
        <w:suppressAutoHyphens/>
        <w:ind w:left="720" w:hanging="720"/>
      </w:pPr>
    </w:p>
    <w:p w:rsidR="003A0D60" w:rsidRPr="008D6F3D" w:rsidP="007C3AFD" w14:paraId="4D88FAE2" w14:textId="49278D83">
      <w:pPr>
        <w:suppressAutoHyphens/>
        <w:ind w:left="720" w:hanging="720"/>
      </w:pPr>
      <w:r>
        <w:tab/>
      </w:r>
      <w:r w:rsidRPr="008D6F3D" w:rsidR="00C26A91">
        <w:t xml:space="preserve">The </w:t>
      </w:r>
      <w:r w:rsidRPr="008D6F3D" w:rsidR="00120F56">
        <w:t xml:space="preserve">recordkeeping </w:t>
      </w:r>
      <w:r w:rsidRPr="008D6F3D" w:rsidR="00C26A91">
        <w:t>requirements</w:t>
      </w:r>
      <w:r w:rsidRPr="008D6F3D" w:rsidR="00120F56">
        <w:t xml:space="preserve"> will be reviewed as part of the exam process and result in no additional cost to NCUA.  The cost to NCUA of the reporting information collection is detailed below. </w:t>
      </w:r>
    </w:p>
    <w:p w:rsidR="009156C4" w:rsidRPr="008D6F3D" w:rsidP="007C3AFD" w14:paraId="50F2E43A" w14:textId="5E31AA47">
      <w:pPr>
        <w:tabs>
          <w:tab w:val="left" w:pos="-4466"/>
          <w:tab w:val="left" w:pos="-3460"/>
          <w:tab w:val="left" w:pos="-3343"/>
          <w:tab w:val="left" w:pos="332"/>
          <w:tab w:val="left" w:pos="449"/>
          <w:tab w:val="left" w:pos="720"/>
          <w:tab w:val="left" w:pos="810"/>
          <w:tab w:val="left" w:pos="1588"/>
          <w:tab w:val="left" w:pos="1706"/>
          <w:tab w:val="left" w:pos="4078"/>
          <w:tab w:val="left" w:pos="4196"/>
          <w:tab w:val="left" w:pos="4490"/>
          <w:tab w:val="left" w:pos="4607"/>
          <w:tab w:val="left" w:pos="5908"/>
          <w:tab w:val="left" w:pos="6026"/>
        </w:tabs>
        <w:suppressAutoHyphens/>
        <w:ind w:left="720" w:hanging="720"/>
      </w:pPr>
    </w:p>
    <w:p w:rsidR="00100E37" w:rsidRPr="008D6F3D" w:rsidP="00100E37" w14:paraId="668A2B45" w14:textId="29AE28BB">
      <w:pPr>
        <w:pStyle w:val="ListParagraph"/>
        <w:numPr>
          <w:ilvl w:val="0"/>
          <w:numId w:val="21"/>
        </w:numPr>
        <w:suppressAutoHyphens/>
        <w:ind w:left="1080"/>
      </w:pPr>
      <w:r w:rsidRPr="008D6F3D">
        <w:t>NCUA estimates that it will take NCUA staff 4 hours, on average, to review and respond to a credit union’s waive</w:t>
      </w:r>
      <w:r w:rsidRPr="008D6F3D" w:rsidR="00D90098">
        <w:t>r</w:t>
      </w:r>
      <w:r w:rsidRPr="008D6F3D">
        <w:t xml:space="preserve"> request</w:t>
      </w:r>
      <w:r w:rsidRPr="008D6F3D" w:rsidR="00C056B2">
        <w:t>.</w:t>
      </w:r>
      <w:r w:rsidRPr="008D6F3D">
        <w:t xml:space="preserve">  </w:t>
      </w:r>
      <w:r w:rsidRPr="008D6F3D" w:rsidR="00321D7C">
        <w:t>At a rate of $</w:t>
      </w:r>
      <w:r w:rsidRPr="008D6F3D" w:rsidR="00BB0EE7">
        <w:t>89</w:t>
      </w:r>
      <w:r w:rsidRPr="008D6F3D" w:rsidR="00321D7C">
        <w:t xml:space="preserve"> per hour, the estimated cost for NCUA to </w:t>
      </w:r>
      <w:r w:rsidRPr="008D6F3D">
        <w:t>review these requests is $</w:t>
      </w:r>
      <w:r w:rsidRPr="008D6F3D" w:rsidR="00DD471B">
        <w:t>17,800.</w:t>
      </w:r>
      <w:r w:rsidRPr="008D6F3D">
        <w:t xml:space="preserve">  </w:t>
      </w:r>
    </w:p>
    <w:p w:rsidR="00100E37" w:rsidRPr="008D6F3D" w:rsidP="00100E37" w14:paraId="5005E9CD" w14:textId="77777777">
      <w:pPr>
        <w:suppressAutoHyphens/>
        <w:ind w:left="1080" w:hanging="720"/>
      </w:pPr>
    </w:p>
    <w:p w:rsidR="00120F56" w:rsidRPr="008D6F3D" w:rsidP="00100E37" w14:paraId="5D49A1AD" w14:textId="2435B27B">
      <w:pPr>
        <w:pStyle w:val="ListParagraph"/>
        <w:numPr>
          <w:ilvl w:val="0"/>
          <w:numId w:val="21"/>
        </w:numPr>
        <w:suppressAutoHyphens/>
        <w:ind w:left="1080"/>
      </w:pPr>
      <w:r w:rsidRPr="008D6F3D">
        <w:t>NCUA estimates that it will take NCUA staff 2 hours, on average, to review a</w:t>
      </w:r>
      <w:r w:rsidRPr="008D6F3D" w:rsidR="006F1824">
        <w:t>nd</w:t>
      </w:r>
      <w:r w:rsidRPr="008D6F3D">
        <w:t xml:space="preserve"> retain a credit union’s financial option contract reports.  </w:t>
      </w:r>
      <w:r w:rsidRPr="008D6F3D" w:rsidR="00321D7C">
        <w:t>At a rate of $</w:t>
      </w:r>
      <w:r w:rsidRPr="008D6F3D" w:rsidR="00197976">
        <w:t>89</w:t>
      </w:r>
      <w:r w:rsidRPr="008D6F3D" w:rsidR="00321D7C">
        <w:t xml:space="preserve"> per hour, the estimated cost for NCUA to review these requests is</w:t>
      </w:r>
      <w:r w:rsidRPr="008D6F3D" w:rsidR="00170334">
        <w:t xml:space="preserve"> $</w:t>
      </w:r>
      <w:r w:rsidRPr="008D6F3D" w:rsidR="00DE31FF">
        <w:t>213</w:t>
      </w:r>
      <w:r w:rsidRPr="008D6F3D" w:rsidR="00197976">
        <w:t>,</w:t>
      </w:r>
      <w:r w:rsidRPr="008D6F3D" w:rsidR="00DE31FF">
        <w:t>6</w:t>
      </w:r>
      <w:r w:rsidRPr="008D6F3D" w:rsidR="00197976">
        <w:t>00</w:t>
      </w:r>
      <w:r w:rsidRPr="008D6F3D">
        <w:t>.</w:t>
      </w:r>
      <w:r w:rsidRPr="008D6F3D" w:rsidR="00C26A91">
        <w:t xml:space="preserve"> </w:t>
      </w:r>
    </w:p>
    <w:p w:rsidR="00120F56" w:rsidRPr="00077601" w:rsidP="007C3AFD" w14:paraId="6CCC5511" w14:textId="77777777">
      <w:pPr>
        <w:tabs>
          <w:tab w:val="left" w:pos="720"/>
        </w:tabs>
        <w:ind w:left="720"/>
      </w:pPr>
    </w:p>
    <w:p w:rsidR="00120F56" w:rsidP="007C3AFD" w14:paraId="75E86A9A" w14:textId="5C806099">
      <w:pPr>
        <w:tabs>
          <w:tab w:val="left" w:pos="720"/>
        </w:tabs>
        <w:ind w:left="720"/>
      </w:pPr>
      <w:r w:rsidRPr="00077601">
        <w:t>The total cost to NCUA is $</w:t>
      </w:r>
      <w:r w:rsidRPr="00077601" w:rsidR="00077601">
        <w:t>231</w:t>
      </w:r>
      <w:r w:rsidRPr="00077601" w:rsidR="00197976">
        <w:t>,</w:t>
      </w:r>
      <w:r w:rsidRPr="00077601" w:rsidR="00077601">
        <w:t>400</w:t>
      </w:r>
      <w:r w:rsidRPr="00077601">
        <w:t>.</w:t>
      </w:r>
    </w:p>
    <w:p w:rsidR="003A0D60" w:rsidRPr="00E44F63" w:rsidP="007C3AFD" w14:paraId="704E98D8" w14:textId="77777777">
      <w:pPr>
        <w:pStyle w:val="ListParagraph"/>
        <w:tabs>
          <w:tab w:val="left" w:pos="720"/>
        </w:tabs>
        <w:rPr>
          <w:b/>
        </w:rPr>
      </w:pPr>
    </w:p>
    <w:p w:rsidR="00BA72E6" w:rsidRPr="00F332EE" w:rsidP="00BA72E6" w14:paraId="1F1BDE23" w14:textId="77777777">
      <w:pPr>
        <w:rPr>
          <w:b/>
        </w:rPr>
      </w:pPr>
      <w:r w:rsidRPr="00F332EE">
        <w:rPr>
          <w:b/>
        </w:rPr>
        <w:t>15.</w:t>
      </w:r>
      <w:r w:rsidRPr="00F332EE">
        <w:rPr>
          <w:b/>
        </w:rPr>
        <w:tab/>
        <w:t>Changes in burden.</w:t>
      </w:r>
    </w:p>
    <w:p w:rsidR="00EB7129" w:rsidP="00970581" w14:paraId="1A59CD68" w14:textId="77777777">
      <w:pPr>
        <w:autoSpaceDE w:val="0"/>
        <w:autoSpaceDN w:val="0"/>
        <w:adjustRightInd w:val="0"/>
      </w:pPr>
    </w:p>
    <w:p w:rsidR="00EB7129" w:rsidRPr="00487C5E" w:rsidP="00487C5E" w14:paraId="196414C0" w14:textId="0B0E74E5">
      <w:pPr>
        <w:autoSpaceDE w:val="0"/>
        <w:autoSpaceDN w:val="0"/>
        <w:adjustRightInd w:val="0"/>
        <w:ind w:left="720"/>
      </w:pPr>
      <w:r w:rsidRPr="00970581">
        <w:t>The information collection burden has changed due to adjustments in the estimate of respondents.</w:t>
      </w:r>
      <w:r w:rsidRPr="00970581" w:rsidR="00B16194">
        <w:t xml:space="preserve"> The number of respondents decreased </w:t>
      </w:r>
      <w:r w:rsidRPr="00970581" w:rsidR="004742C0">
        <w:t>due to the number of applicable credit unions.</w:t>
      </w:r>
      <w:r w:rsidRPr="00970581" w:rsidR="005B2414">
        <w:t xml:space="preserve"> </w:t>
      </w:r>
      <w:r w:rsidRPr="00970581" w:rsidR="00970581">
        <w:t>This revision would decrease the</w:t>
      </w:r>
      <w:r w:rsidRPr="00970581" w:rsidR="005B2414">
        <w:t xml:space="preserve"> annual burden </w:t>
      </w:r>
      <w:r w:rsidRPr="00970581" w:rsidR="0002434A">
        <w:t>from 23,584 to 16,343 for a total decrease of</w:t>
      </w:r>
      <w:r w:rsidRPr="00970581" w:rsidR="005B2414">
        <w:t xml:space="preserve"> 7,</w:t>
      </w:r>
      <w:r w:rsidRPr="00970581" w:rsidR="0002434A">
        <w:t>241 annual burden hours.</w:t>
      </w:r>
    </w:p>
    <w:p w:rsidR="003A0D60" w:rsidRPr="00E44F63" w:rsidP="009E6D0E" w14:paraId="5B5A6B67" w14:textId="66EF07BA">
      <w:pPr>
        <w:ind w:left="720"/>
        <w:rPr>
          <w:b/>
        </w:rPr>
      </w:pPr>
    </w:p>
    <w:p w:rsidR="00BA72E6" w:rsidRPr="00F332EE" w:rsidP="00BA72E6" w14:paraId="671C5B26" w14:textId="77777777">
      <w:pPr>
        <w:rPr>
          <w:b/>
        </w:rPr>
      </w:pPr>
      <w:r w:rsidRPr="00F332EE">
        <w:rPr>
          <w:b/>
        </w:rPr>
        <w:t>16.</w:t>
      </w:r>
      <w:r w:rsidRPr="00F332EE">
        <w:rPr>
          <w:b/>
        </w:rPr>
        <w:tab/>
        <w:t>Information collection planned for statistical purposes.</w:t>
      </w:r>
    </w:p>
    <w:p w:rsidR="00BA72E6" w:rsidP="007C3AFD" w14:paraId="19E4583C" w14:textId="77777777">
      <w:pPr>
        <w:tabs>
          <w:tab w:val="left" w:pos="-4466"/>
          <w:tab w:val="left" w:pos="-3460"/>
          <w:tab w:val="left" w:pos="-3343"/>
        </w:tabs>
        <w:suppressAutoHyphens/>
        <w:ind w:left="720" w:hanging="720"/>
      </w:pPr>
    </w:p>
    <w:p w:rsidR="003A0D60" w:rsidP="007C3AFD" w14:paraId="78836E63" w14:textId="01D9C196">
      <w:pPr>
        <w:tabs>
          <w:tab w:val="left" w:pos="-4466"/>
          <w:tab w:val="left" w:pos="-3460"/>
          <w:tab w:val="left" w:pos="-3343"/>
        </w:tabs>
        <w:suppressAutoHyphens/>
        <w:ind w:left="720" w:hanging="720"/>
      </w:pPr>
      <w:r>
        <w:tab/>
      </w:r>
      <w:r w:rsidR="00AF3A7F">
        <w:t>Not applicable. The information collection is not used for statistical purposes.</w:t>
      </w:r>
    </w:p>
    <w:p w:rsidR="003A0D60" w:rsidRPr="00E44F63" w:rsidP="007C3AFD" w14:paraId="652EB1CA" w14:textId="77777777">
      <w:pPr>
        <w:ind w:left="720" w:hanging="720"/>
      </w:pPr>
    </w:p>
    <w:p w:rsidR="00BA72E6" w:rsidRPr="00F332EE" w:rsidP="00BA72E6" w14:paraId="0F62DC4E" w14:textId="77777777">
      <w:pPr>
        <w:rPr>
          <w:b/>
        </w:rPr>
      </w:pPr>
      <w:r w:rsidRPr="00F332EE">
        <w:rPr>
          <w:b/>
        </w:rPr>
        <w:t>17.</w:t>
      </w:r>
      <w:r w:rsidRPr="00F332EE">
        <w:rPr>
          <w:b/>
        </w:rPr>
        <w:tab/>
        <w:t>Request non-display the expiration date of the OMB control number.</w:t>
      </w:r>
    </w:p>
    <w:p w:rsidR="00BA72E6" w:rsidP="007C3AFD" w14:paraId="08D8D33E" w14:textId="77777777">
      <w:pPr>
        <w:tabs>
          <w:tab w:val="left" w:pos="-4466"/>
          <w:tab w:val="left" w:pos="-3460"/>
          <w:tab w:val="left" w:pos="-3343"/>
        </w:tabs>
        <w:suppressAutoHyphens/>
        <w:ind w:left="720" w:hanging="720"/>
      </w:pPr>
    </w:p>
    <w:p w:rsidR="00A0721D" w:rsidP="00A0721D" w14:paraId="1099FDFB" w14:textId="7B2FFDDA">
      <w:pPr>
        <w:ind w:left="720"/>
      </w:pPr>
      <w:r>
        <w:t xml:space="preserve">There are no traditional forms associated with this information collection requirement.  The OMB control number and expiration date associated with this PRA submission will be displayed on the Federal Government’s electronic PRA docket website at </w:t>
      </w:r>
      <w:hyperlink r:id="rId6" w:history="1">
        <w:r w:rsidRPr="007F1BFB">
          <w:rPr>
            <w:rStyle w:val="Hyperlink"/>
          </w:rPr>
          <w:t>www.reginfo.gov</w:t>
        </w:r>
      </w:hyperlink>
      <w:r>
        <w:t>.</w:t>
      </w:r>
    </w:p>
    <w:p w:rsidR="003A0D60" w:rsidRPr="00E44F63" w:rsidP="007C3AFD" w14:paraId="1061F2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00BA72E6" w:rsidRPr="00F332EE" w:rsidP="00BA72E6" w14:paraId="580D5413" w14:textId="77777777">
      <w:pPr>
        <w:rPr>
          <w:b/>
        </w:rPr>
      </w:pPr>
      <w:r w:rsidRPr="00F332EE">
        <w:rPr>
          <w:b/>
        </w:rPr>
        <w:t>18.</w:t>
      </w:r>
      <w:r w:rsidRPr="00F332EE">
        <w:rPr>
          <w:b/>
        </w:rPr>
        <w:tab/>
        <w:t>Exceptions to the Certification for Paperwork Reduction Act Submission.</w:t>
      </w:r>
    </w:p>
    <w:p w:rsidR="00BA72E6" w:rsidP="007C3AFD" w14:paraId="25382B2A" w14:textId="77777777">
      <w:pPr>
        <w:tabs>
          <w:tab w:val="left" w:pos="-720"/>
        </w:tabs>
        <w:suppressAutoHyphens/>
        <w:ind w:left="720" w:hanging="720"/>
      </w:pPr>
    </w:p>
    <w:p w:rsidR="003A0D60" w:rsidP="007C3AFD" w14:paraId="11DD651E" w14:textId="60A1409A">
      <w:pPr>
        <w:tabs>
          <w:tab w:val="left" w:pos="-720"/>
        </w:tabs>
        <w:suppressAutoHyphens/>
        <w:ind w:left="720" w:hanging="720"/>
      </w:pPr>
      <w:r>
        <w:tab/>
        <w:t>This collection complies with th</w:t>
      </w:r>
      <w:r w:rsidR="00AF3A7F">
        <w:t>e requirements in 5 CFR 1320.9.</w:t>
      </w:r>
    </w:p>
    <w:p w:rsidR="003A0D60" w:rsidP="007C3AFD" w14:paraId="55CF2D27" w14:textId="77777777">
      <w:pPr>
        <w:tabs>
          <w:tab w:val="left" w:pos="-8213"/>
          <w:tab w:val="left" w:pos="-7207"/>
          <w:tab w:val="left" w:pos="-7090"/>
          <w:tab w:val="left" w:pos="-3415"/>
          <w:tab w:val="left" w:pos="-3298"/>
          <w:tab w:val="left" w:pos="-2159"/>
          <w:tab w:val="left" w:pos="-2041"/>
          <w:tab w:val="left" w:pos="-360"/>
          <w:tab w:val="left" w:pos="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rPr>
          <w:caps/>
        </w:rPr>
      </w:pPr>
    </w:p>
    <w:p w:rsidR="007C3AFD" w:rsidRPr="004C0136" w:rsidP="007C3AFD" w14:paraId="07F712DF" w14:textId="77777777">
      <w:pPr>
        <w:tabs>
          <w:tab w:val="left" w:pos="-8213"/>
          <w:tab w:val="left" w:pos="-7207"/>
          <w:tab w:val="left" w:pos="-7090"/>
          <w:tab w:val="left" w:pos="-3415"/>
          <w:tab w:val="left" w:pos="-3298"/>
          <w:tab w:val="left" w:pos="-2159"/>
          <w:tab w:val="left" w:pos="-2041"/>
          <w:tab w:val="left" w:pos="-360"/>
          <w:tab w:val="left" w:pos="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rPr>
          <w:caps/>
        </w:rPr>
      </w:pPr>
    </w:p>
    <w:p w:rsidR="003A0D60" w:rsidRPr="00BA72E6" w:rsidP="00BA72E6" w14:paraId="080427A2" w14:textId="0341E10A">
      <w:pPr>
        <w:pStyle w:val="ListParagraph"/>
        <w:numPr>
          <w:ilvl w:val="0"/>
          <w:numId w:val="20"/>
        </w:numPr>
        <w:tabs>
          <w:tab w:val="left" w:pos="-8213"/>
          <w:tab w:val="left" w:pos="-7207"/>
          <w:tab w:val="left" w:pos="-7090"/>
          <w:tab w:val="left" w:pos="-3415"/>
          <w:tab w:val="left" w:pos="-3298"/>
          <w:tab w:val="left" w:pos="-2159"/>
          <w:tab w:val="left" w:pos="-2041"/>
          <w:tab w:val="left" w:pos="-360"/>
        </w:tabs>
        <w:suppressAutoHyphens/>
        <w:ind w:hanging="720"/>
        <w:rPr>
          <w:b/>
          <w:caps/>
        </w:rPr>
      </w:pPr>
      <w:r w:rsidRPr="00BA72E6">
        <w:rPr>
          <w:b/>
          <w:caps/>
        </w:rPr>
        <w:t>Collections of Information Employing Statistical Methods</w:t>
      </w:r>
    </w:p>
    <w:p w:rsidR="003A0D60" w:rsidP="00AF3A7F" w14:paraId="22712C00" w14:textId="20E74C2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3A0D60" w:rsidP="007C3AFD" w14:paraId="6AB1ADAD" w14:textId="1FBC34B5">
      <w:pPr>
        <w:suppressAutoHyphens/>
        <w:ind w:hanging="360"/>
      </w:pPr>
      <w:r>
        <w:tab/>
      </w:r>
      <w:r w:rsidR="007C3AFD">
        <w:tab/>
      </w:r>
      <w:r>
        <w:t>This collection does n</w:t>
      </w:r>
      <w:r>
        <w:t>ot involve statistical methods.</w:t>
      </w:r>
      <w:r>
        <w:t xml:space="preserve">  </w:t>
      </w:r>
    </w:p>
    <w:sectPr w:rsidSect="009156C4">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04" w:rsidP="009156C4" w14:paraId="004010AA" w14:textId="1D99AA85">
    <w:pPr>
      <w:pStyle w:val="Footer"/>
      <w:tabs>
        <w:tab w:val="clear" w:pos="4680"/>
        <w:tab w:val="clear" w:pos="9360"/>
        <w:tab w:val="right" w:pos="13860"/>
      </w:tabs>
      <w:rPr>
        <w:caps/>
        <w:noProof/>
      </w:rPr>
    </w:pPr>
    <w:r w:rsidRPr="00BA72E6">
      <w:rPr>
        <w:i/>
        <w:caps/>
        <w:sz w:val="20"/>
        <w:szCs w:val="20"/>
      </w:rPr>
      <w:t>OMB # 3133-0092;</w:t>
    </w:r>
    <w:r w:rsidR="009C79FA">
      <w:rPr>
        <w:i/>
        <w:sz w:val="20"/>
        <w:szCs w:val="20"/>
      </w:rPr>
      <w:t xml:space="preserve"> </w:t>
    </w:r>
    <w:r w:rsidR="00531C52">
      <w:rPr>
        <w:i/>
        <w:sz w:val="20"/>
        <w:szCs w:val="20"/>
      </w:rPr>
      <w:t>September</w:t>
    </w:r>
    <w:r w:rsidR="00345CE9">
      <w:rPr>
        <w:i/>
        <w:sz w:val="20"/>
        <w:szCs w:val="20"/>
      </w:rPr>
      <w:t xml:space="preserve"> 2</w:t>
    </w:r>
    <w:r w:rsidR="00E72324">
      <w:rPr>
        <w:i/>
        <w:sz w:val="20"/>
        <w:szCs w:val="20"/>
      </w:rPr>
      <w:t>02</w:t>
    </w:r>
    <w:r w:rsidR="00915D87">
      <w:rPr>
        <w:i/>
        <w:sz w:val="20"/>
        <w:szCs w:val="20"/>
      </w:rPr>
      <w:t>4</w:t>
    </w:r>
    <w:r w:rsidR="004D634C">
      <w:rPr>
        <w:caps/>
        <w:color w:val="4F81BD" w:themeColor="accent1"/>
      </w:rPr>
      <w:tab/>
    </w:r>
    <w:r w:rsidRPr="004D634C">
      <w:rPr>
        <w:caps/>
      </w:rPr>
      <w:fldChar w:fldCharType="begin"/>
    </w:r>
    <w:r w:rsidRPr="004D634C">
      <w:rPr>
        <w:caps/>
      </w:rPr>
      <w:instrText xml:space="preserve"> PAGE   \* MERGEFORMAT </w:instrText>
    </w:r>
    <w:r w:rsidRPr="004D634C">
      <w:rPr>
        <w:caps/>
      </w:rPr>
      <w:fldChar w:fldCharType="separate"/>
    </w:r>
    <w:r w:rsidR="001A6FFD">
      <w:rPr>
        <w:caps/>
        <w:noProof/>
      </w:rPr>
      <w:t>5</w:t>
    </w:r>
    <w:r w:rsidRPr="004D634C">
      <w:rPr>
        <w:caps/>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621DD8"/>
    <w:multiLevelType w:val="hybridMultilevel"/>
    <w:tmpl w:val="54D6310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49D6464"/>
    <w:multiLevelType w:val="hybridMultilevel"/>
    <w:tmpl w:val="4F086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9">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E636359"/>
    <w:multiLevelType w:val="hybridMultilevel"/>
    <w:tmpl w:val="566E3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5C16C1E"/>
    <w:multiLevelType w:val="hybridMultilevel"/>
    <w:tmpl w:val="08FAD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D412705"/>
    <w:multiLevelType w:val="hybridMultilevel"/>
    <w:tmpl w:val="1A686B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
    <w:nsid w:val="77EC6ACE"/>
    <w:multiLevelType w:val="hybridMultilevel"/>
    <w:tmpl w:val="3F8EB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49548737">
    <w:abstractNumId w:val="9"/>
  </w:num>
  <w:num w:numId="2" w16cid:durableId="73674492">
    <w:abstractNumId w:val="11"/>
  </w:num>
  <w:num w:numId="3" w16cid:durableId="570773091">
    <w:abstractNumId w:val="17"/>
  </w:num>
  <w:num w:numId="4" w16cid:durableId="1995142430">
    <w:abstractNumId w:val="6"/>
  </w:num>
  <w:num w:numId="5" w16cid:durableId="581571789">
    <w:abstractNumId w:val="2"/>
  </w:num>
  <w:num w:numId="6" w16cid:durableId="785467276">
    <w:abstractNumId w:val="10"/>
  </w:num>
  <w:num w:numId="7" w16cid:durableId="252511753">
    <w:abstractNumId w:val="8"/>
  </w:num>
  <w:num w:numId="8" w16cid:durableId="666249388">
    <w:abstractNumId w:val="5"/>
  </w:num>
  <w:num w:numId="9" w16cid:durableId="1849828457">
    <w:abstractNumId w:val="13"/>
  </w:num>
  <w:num w:numId="10" w16cid:durableId="68965723">
    <w:abstractNumId w:val="16"/>
  </w:num>
  <w:num w:numId="11" w16cid:durableId="2030401438">
    <w:abstractNumId w:val="14"/>
  </w:num>
  <w:num w:numId="12" w16cid:durableId="122190964">
    <w:abstractNumId w:val="7"/>
  </w:num>
  <w:num w:numId="13" w16cid:durableId="1774589123">
    <w:abstractNumId w:val="12"/>
  </w:num>
  <w:num w:numId="14" w16cid:durableId="1648243538">
    <w:abstractNumId w:val="19"/>
  </w:num>
  <w:num w:numId="15" w16cid:durableId="18128527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861478632">
    <w:abstractNumId w:val="20"/>
  </w:num>
  <w:num w:numId="17" w16cid:durableId="1086997045">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8" w16cid:durableId="287249921">
    <w:abstractNumId w:val="4"/>
  </w:num>
  <w:num w:numId="19" w16cid:durableId="1780950066">
    <w:abstractNumId w:val="18"/>
  </w:num>
  <w:num w:numId="20" w16cid:durableId="1534609953">
    <w:abstractNumId w:val="3"/>
  </w:num>
  <w:num w:numId="21" w16cid:durableId="1325280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157A4"/>
    <w:rsid w:val="000163AF"/>
    <w:rsid w:val="000239F9"/>
    <w:rsid w:val="0002434A"/>
    <w:rsid w:val="000359AA"/>
    <w:rsid w:val="0004494C"/>
    <w:rsid w:val="00051991"/>
    <w:rsid w:val="00055DBF"/>
    <w:rsid w:val="00077601"/>
    <w:rsid w:val="00083019"/>
    <w:rsid w:val="0008398F"/>
    <w:rsid w:val="000A1AF5"/>
    <w:rsid w:val="000B7022"/>
    <w:rsid w:val="000C4ACA"/>
    <w:rsid w:val="000E0B66"/>
    <w:rsid w:val="000F0CF9"/>
    <w:rsid w:val="00100E37"/>
    <w:rsid w:val="00100F21"/>
    <w:rsid w:val="00107525"/>
    <w:rsid w:val="00120F56"/>
    <w:rsid w:val="00143173"/>
    <w:rsid w:val="00151D71"/>
    <w:rsid w:val="001532BC"/>
    <w:rsid w:val="00155631"/>
    <w:rsid w:val="001636F8"/>
    <w:rsid w:val="00163F4B"/>
    <w:rsid w:val="00170334"/>
    <w:rsid w:val="00180A28"/>
    <w:rsid w:val="00190716"/>
    <w:rsid w:val="001923EC"/>
    <w:rsid w:val="00197976"/>
    <w:rsid w:val="001A6FFD"/>
    <w:rsid w:val="001B5E93"/>
    <w:rsid w:val="001C7244"/>
    <w:rsid w:val="002072EA"/>
    <w:rsid w:val="0021703B"/>
    <w:rsid w:val="00221200"/>
    <w:rsid w:val="00222BF6"/>
    <w:rsid w:val="002318C4"/>
    <w:rsid w:val="00241FA6"/>
    <w:rsid w:val="0025025F"/>
    <w:rsid w:val="002603B1"/>
    <w:rsid w:val="00264E68"/>
    <w:rsid w:val="0027557C"/>
    <w:rsid w:val="00284337"/>
    <w:rsid w:val="00290769"/>
    <w:rsid w:val="002912DF"/>
    <w:rsid w:val="00291430"/>
    <w:rsid w:val="002A36A0"/>
    <w:rsid w:val="002B0045"/>
    <w:rsid w:val="002B3F75"/>
    <w:rsid w:val="002C3934"/>
    <w:rsid w:val="002D2D8B"/>
    <w:rsid w:val="002F0B57"/>
    <w:rsid w:val="00321D7C"/>
    <w:rsid w:val="00327AFA"/>
    <w:rsid w:val="00335073"/>
    <w:rsid w:val="003363EF"/>
    <w:rsid w:val="00337436"/>
    <w:rsid w:val="00345CE9"/>
    <w:rsid w:val="00363001"/>
    <w:rsid w:val="00381567"/>
    <w:rsid w:val="00386004"/>
    <w:rsid w:val="00386B25"/>
    <w:rsid w:val="00393F3C"/>
    <w:rsid w:val="003A0D60"/>
    <w:rsid w:val="003A6D9B"/>
    <w:rsid w:val="003B5637"/>
    <w:rsid w:val="003B7AA3"/>
    <w:rsid w:val="003C64F2"/>
    <w:rsid w:val="003D197B"/>
    <w:rsid w:val="003D361D"/>
    <w:rsid w:val="003E588F"/>
    <w:rsid w:val="003F20A4"/>
    <w:rsid w:val="003F20FE"/>
    <w:rsid w:val="00401621"/>
    <w:rsid w:val="004020A3"/>
    <w:rsid w:val="00405912"/>
    <w:rsid w:val="0042268A"/>
    <w:rsid w:val="00435ECB"/>
    <w:rsid w:val="004458A8"/>
    <w:rsid w:val="004742C0"/>
    <w:rsid w:val="004754A8"/>
    <w:rsid w:val="00487C5E"/>
    <w:rsid w:val="00487D74"/>
    <w:rsid w:val="00496788"/>
    <w:rsid w:val="004A652D"/>
    <w:rsid w:val="004B7D99"/>
    <w:rsid w:val="004C0136"/>
    <w:rsid w:val="004D0FCD"/>
    <w:rsid w:val="004D62DA"/>
    <w:rsid w:val="004D634C"/>
    <w:rsid w:val="004E1CCE"/>
    <w:rsid w:val="004F3D15"/>
    <w:rsid w:val="0050479F"/>
    <w:rsid w:val="00516965"/>
    <w:rsid w:val="00517E35"/>
    <w:rsid w:val="00523324"/>
    <w:rsid w:val="00525815"/>
    <w:rsid w:val="00531C52"/>
    <w:rsid w:val="0053379C"/>
    <w:rsid w:val="00541DB7"/>
    <w:rsid w:val="00560C95"/>
    <w:rsid w:val="005633A3"/>
    <w:rsid w:val="00596BA6"/>
    <w:rsid w:val="005A588F"/>
    <w:rsid w:val="005A6E1B"/>
    <w:rsid w:val="005B2414"/>
    <w:rsid w:val="005D402C"/>
    <w:rsid w:val="005E1685"/>
    <w:rsid w:val="005E57F1"/>
    <w:rsid w:val="005E5E8D"/>
    <w:rsid w:val="005E71CC"/>
    <w:rsid w:val="00616689"/>
    <w:rsid w:val="00622E7A"/>
    <w:rsid w:val="00625090"/>
    <w:rsid w:val="00631257"/>
    <w:rsid w:val="00634BF5"/>
    <w:rsid w:val="006351F6"/>
    <w:rsid w:val="00645171"/>
    <w:rsid w:val="00656C0B"/>
    <w:rsid w:val="00667D5C"/>
    <w:rsid w:val="0067104B"/>
    <w:rsid w:val="006761E3"/>
    <w:rsid w:val="00676E12"/>
    <w:rsid w:val="00686A1C"/>
    <w:rsid w:val="006923ED"/>
    <w:rsid w:val="0069645F"/>
    <w:rsid w:val="006C322B"/>
    <w:rsid w:val="006C36C0"/>
    <w:rsid w:val="006C7CCA"/>
    <w:rsid w:val="006D6F11"/>
    <w:rsid w:val="006F1824"/>
    <w:rsid w:val="00701183"/>
    <w:rsid w:val="007054D7"/>
    <w:rsid w:val="00716476"/>
    <w:rsid w:val="007169AD"/>
    <w:rsid w:val="0072302A"/>
    <w:rsid w:val="00731F0A"/>
    <w:rsid w:val="00732FD3"/>
    <w:rsid w:val="00734BC7"/>
    <w:rsid w:val="007368F4"/>
    <w:rsid w:val="0074488F"/>
    <w:rsid w:val="0077306C"/>
    <w:rsid w:val="00776D89"/>
    <w:rsid w:val="007808A4"/>
    <w:rsid w:val="0079211E"/>
    <w:rsid w:val="007A4A77"/>
    <w:rsid w:val="007C01C1"/>
    <w:rsid w:val="007C1DE8"/>
    <w:rsid w:val="007C3AFD"/>
    <w:rsid w:val="007D38AE"/>
    <w:rsid w:val="007F1BFB"/>
    <w:rsid w:val="007F2FE3"/>
    <w:rsid w:val="007F395E"/>
    <w:rsid w:val="007F3A20"/>
    <w:rsid w:val="008108EF"/>
    <w:rsid w:val="0081637B"/>
    <w:rsid w:val="00816E4A"/>
    <w:rsid w:val="0082414E"/>
    <w:rsid w:val="008378F8"/>
    <w:rsid w:val="00865B41"/>
    <w:rsid w:val="0088269D"/>
    <w:rsid w:val="008841D0"/>
    <w:rsid w:val="00884C77"/>
    <w:rsid w:val="008A0664"/>
    <w:rsid w:val="008A2006"/>
    <w:rsid w:val="008A4709"/>
    <w:rsid w:val="008B6C8E"/>
    <w:rsid w:val="008B7AB2"/>
    <w:rsid w:val="008D0AE0"/>
    <w:rsid w:val="008D6F3D"/>
    <w:rsid w:val="008F0865"/>
    <w:rsid w:val="008F5242"/>
    <w:rsid w:val="00902068"/>
    <w:rsid w:val="00904714"/>
    <w:rsid w:val="009156A7"/>
    <w:rsid w:val="009156C4"/>
    <w:rsid w:val="00915D87"/>
    <w:rsid w:val="00916197"/>
    <w:rsid w:val="00916DDE"/>
    <w:rsid w:val="0093181C"/>
    <w:rsid w:val="009344E8"/>
    <w:rsid w:val="009510EC"/>
    <w:rsid w:val="00963EA8"/>
    <w:rsid w:val="0097052E"/>
    <w:rsid w:val="00970581"/>
    <w:rsid w:val="00974B44"/>
    <w:rsid w:val="00977D8B"/>
    <w:rsid w:val="0098413C"/>
    <w:rsid w:val="00992752"/>
    <w:rsid w:val="009A1DE6"/>
    <w:rsid w:val="009A5A2D"/>
    <w:rsid w:val="009C79FA"/>
    <w:rsid w:val="009E03E9"/>
    <w:rsid w:val="009E065D"/>
    <w:rsid w:val="009E5A83"/>
    <w:rsid w:val="009E6D0E"/>
    <w:rsid w:val="00A0721D"/>
    <w:rsid w:val="00A13CE9"/>
    <w:rsid w:val="00A14BD4"/>
    <w:rsid w:val="00A23633"/>
    <w:rsid w:val="00A44DE4"/>
    <w:rsid w:val="00A46930"/>
    <w:rsid w:val="00A540A6"/>
    <w:rsid w:val="00A73743"/>
    <w:rsid w:val="00AA0943"/>
    <w:rsid w:val="00AA1AC1"/>
    <w:rsid w:val="00AA2CBC"/>
    <w:rsid w:val="00AB66D7"/>
    <w:rsid w:val="00AC6F25"/>
    <w:rsid w:val="00AC7FBD"/>
    <w:rsid w:val="00AF3A7F"/>
    <w:rsid w:val="00B14E9E"/>
    <w:rsid w:val="00B16194"/>
    <w:rsid w:val="00B167E5"/>
    <w:rsid w:val="00B5143F"/>
    <w:rsid w:val="00B664FA"/>
    <w:rsid w:val="00B7636A"/>
    <w:rsid w:val="00BA1E4F"/>
    <w:rsid w:val="00BA2180"/>
    <w:rsid w:val="00BA72E6"/>
    <w:rsid w:val="00BB0EE7"/>
    <w:rsid w:val="00BB5FA1"/>
    <w:rsid w:val="00BC0227"/>
    <w:rsid w:val="00BD00D5"/>
    <w:rsid w:val="00BD2639"/>
    <w:rsid w:val="00BE67FF"/>
    <w:rsid w:val="00C003F8"/>
    <w:rsid w:val="00C056B2"/>
    <w:rsid w:val="00C05A3A"/>
    <w:rsid w:val="00C173B6"/>
    <w:rsid w:val="00C26A91"/>
    <w:rsid w:val="00C32849"/>
    <w:rsid w:val="00C32FC0"/>
    <w:rsid w:val="00C371A1"/>
    <w:rsid w:val="00C37C7A"/>
    <w:rsid w:val="00C54164"/>
    <w:rsid w:val="00C54D10"/>
    <w:rsid w:val="00C73CE6"/>
    <w:rsid w:val="00C73CED"/>
    <w:rsid w:val="00C86DD2"/>
    <w:rsid w:val="00C87D5E"/>
    <w:rsid w:val="00C95B9A"/>
    <w:rsid w:val="00CA3998"/>
    <w:rsid w:val="00CC3C32"/>
    <w:rsid w:val="00CE6837"/>
    <w:rsid w:val="00CF205C"/>
    <w:rsid w:val="00D11991"/>
    <w:rsid w:val="00D12A59"/>
    <w:rsid w:val="00D13625"/>
    <w:rsid w:val="00D40AAD"/>
    <w:rsid w:val="00D833E4"/>
    <w:rsid w:val="00D87F5F"/>
    <w:rsid w:val="00D90098"/>
    <w:rsid w:val="00DD296A"/>
    <w:rsid w:val="00DD471B"/>
    <w:rsid w:val="00DE31FF"/>
    <w:rsid w:val="00DF7AA4"/>
    <w:rsid w:val="00DF7C67"/>
    <w:rsid w:val="00E22CE8"/>
    <w:rsid w:val="00E33322"/>
    <w:rsid w:val="00E353F5"/>
    <w:rsid w:val="00E43C79"/>
    <w:rsid w:val="00E44F63"/>
    <w:rsid w:val="00E630CC"/>
    <w:rsid w:val="00E6311A"/>
    <w:rsid w:val="00E651FD"/>
    <w:rsid w:val="00E72324"/>
    <w:rsid w:val="00E762DE"/>
    <w:rsid w:val="00E76ED9"/>
    <w:rsid w:val="00E957BC"/>
    <w:rsid w:val="00EB7129"/>
    <w:rsid w:val="00EC47DC"/>
    <w:rsid w:val="00EC76E9"/>
    <w:rsid w:val="00ED5B5C"/>
    <w:rsid w:val="00EF4B36"/>
    <w:rsid w:val="00F162D5"/>
    <w:rsid w:val="00F20002"/>
    <w:rsid w:val="00F30523"/>
    <w:rsid w:val="00F32E53"/>
    <w:rsid w:val="00F332EE"/>
    <w:rsid w:val="00F852E3"/>
    <w:rsid w:val="00F8736D"/>
    <w:rsid w:val="00FA6BAE"/>
    <w:rsid w:val="00FD75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DFE03E"/>
  <w15:docId w15:val="{3CAD98EB-B323-4354-92C6-E3ACE9F6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table" w:styleId="TableGrid">
    <w:name w:val="Table Grid"/>
    <w:basedOn w:val="TableNormal"/>
    <w:uiPriority w:val="59"/>
    <w:rsid w:val="00676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004"/>
    <w:pPr>
      <w:tabs>
        <w:tab w:val="center" w:pos="4680"/>
        <w:tab w:val="right" w:pos="9360"/>
      </w:tabs>
    </w:pPr>
  </w:style>
  <w:style w:type="character" w:customStyle="1" w:styleId="HeaderChar">
    <w:name w:val="Header Char"/>
    <w:basedOn w:val="DefaultParagraphFont"/>
    <w:link w:val="Header"/>
    <w:uiPriority w:val="99"/>
    <w:rsid w:val="00386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6004"/>
    <w:pPr>
      <w:tabs>
        <w:tab w:val="center" w:pos="4680"/>
        <w:tab w:val="right" w:pos="9360"/>
      </w:tabs>
    </w:pPr>
  </w:style>
  <w:style w:type="character" w:customStyle="1" w:styleId="FooterChar">
    <w:name w:val="Footer Char"/>
    <w:basedOn w:val="DefaultParagraphFont"/>
    <w:link w:val="Footer"/>
    <w:uiPriority w:val="99"/>
    <w:rsid w:val="0038600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6F11"/>
    <w:rPr>
      <w:sz w:val="16"/>
      <w:szCs w:val="16"/>
    </w:rPr>
  </w:style>
  <w:style w:type="paragraph" w:styleId="CommentText">
    <w:name w:val="annotation text"/>
    <w:basedOn w:val="Normal"/>
    <w:link w:val="CommentTextChar"/>
    <w:uiPriority w:val="99"/>
    <w:unhideWhenUsed/>
    <w:rsid w:val="006D6F11"/>
    <w:rPr>
      <w:sz w:val="20"/>
      <w:szCs w:val="20"/>
    </w:rPr>
  </w:style>
  <w:style w:type="character" w:customStyle="1" w:styleId="CommentTextChar">
    <w:name w:val="Comment Text Char"/>
    <w:basedOn w:val="DefaultParagraphFont"/>
    <w:link w:val="CommentText"/>
    <w:uiPriority w:val="99"/>
    <w:rsid w:val="006D6F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F11"/>
    <w:rPr>
      <w:b/>
      <w:bCs/>
    </w:rPr>
  </w:style>
  <w:style w:type="character" w:customStyle="1" w:styleId="CommentSubjectChar">
    <w:name w:val="Comment Subject Char"/>
    <w:basedOn w:val="CommentTextChar"/>
    <w:link w:val="CommentSubject"/>
    <w:uiPriority w:val="99"/>
    <w:semiHidden/>
    <w:rsid w:val="006D6F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F11"/>
    <w:rPr>
      <w:rFonts w:ascii="Segoe UI" w:eastAsia="Times New Roman" w:hAnsi="Segoe UI" w:cs="Segoe UI"/>
      <w:sz w:val="18"/>
      <w:szCs w:val="18"/>
    </w:rPr>
  </w:style>
  <w:style w:type="paragraph" w:customStyle="1" w:styleId="Default">
    <w:name w:val="Default"/>
    <w:rsid w:val="00BA72E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BA72E6"/>
    <w:pPr>
      <w:spacing w:after="120" w:line="480" w:lineRule="auto"/>
      <w:ind w:left="360"/>
    </w:pPr>
  </w:style>
  <w:style w:type="character" w:customStyle="1" w:styleId="BodyTextIndent2Char">
    <w:name w:val="Body Text Indent 2 Char"/>
    <w:basedOn w:val="DefaultParagraphFont"/>
    <w:link w:val="BodyTextIndent2"/>
    <w:uiPriority w:val="99"/>
    <w:rsid w:val="00BA72E6"/>
    <w:rPr>
      <w:rFonts w:ascii="Times New Roman" w:eastAsia="Times New Roman" w:hAnsi="Times New Roman" w:cs="Times New Roman"/>
      <w:sz w:val="24"/>
      <w:szCs w:val="24"/>
    </w:rPr>
  </w:style>
  <w:style w:type="paragraph" w:customStyle="1" w:styleId="Level1">
    <w:name w:val="Level 1"/>
    <w:basedOn w:val="Normal"/>
    <w:rsid w:val="00BA72E6"/>
    <w:pPr>
      <w:widowControl w:val="0"/>
      <w:numPr>
        <w:numId w:val="15"/>
      </w:numPr>
      <w:autoSpaceDE w:val="0"/>
      <w:autoSpaceDN w:val="0"/>
      <w:adjustRightInd w:val="0"/>
      <w:ind w:left="474" w:hanging="186"/>
      <w:outlineLvl w:val="0"/>
    </w:pPr>
  </w:style>
  <w:style w:type="paragraph" w:customStyle="1" w:styleId="Level2">
    <w:name w:val="Level 2"/>
    <w:basedOn w:val="Normal"/>
    <w:rsid w:val="00BA72E6"/>
    <w:pPr>
      <w:widowControl w:val="0"/>
      <w:autoSpaceDE w:val="0"/>
      <w:autoSpaceDN w:val="0"/>
      <w:adjustRightInd w:val="0"/>
      <w:ind w:left="722" w:hanging="361"/>
    </w:pPr>
  </w:style>
  <w:style w:type="paragraph" w:styleId="Revision">
    <w:name w:val="Revision"/>
    <w:hidden/>
    <w:uiPriority w:val="99"/>
    <w:semiHidden/>
    <w:rsid w:val="009A1DE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reginfo.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E081-B249-4B0A-A2C9-925A3575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Rogers, Dacia A</cp:lastModifiedBy>
  <cp:revision>25</cp:revision>
  <cp:lastPrinted>2021-07-12T16:36:00Z</cp:lastPrinted>
  <dcterms:created xsi:type="dcterms:W3CDTF">2024-09-05T16:36:00Z</dcterms:created>
  <dcterms:modified xsi:type="dcterms:W3CDTF">2024-09-10T12:09:00Z</dcterms:modified>
</cp:coreProperties>
</file>