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728D3" w:rsidRPr="00184423" w:rsidP="005728D3" w14:paraId="2FC21A9A" w14:textId="3C49FB17">
      <w:pPr>
        <w:spacing w:line="276" w:lineRule="auto"/>
        <w:jc w:val="center"/>
      </w:pPr>
      <w:r w:rsidRPr="00184423">
        <w:t>National Credit Union Administration</w:t>
      </w:r>
    </w:p>
    <w:p w:rsidR="005728D3" w:rsidRPr="00BE4E67" w:rsidP="005728D3" w14:paraId="44834C61" w14:textId="5CBE83FF">
      <w:pPr>
        <w:spacing w:line="276" w:lineRule="auto"/>
        <w:jc w:val="center"/>
        <w:rPr>
          <w:b/>
        </w:rPr>
      </w:pPr>
      <w:r>
        <w:rPr>
          <w:b/>
        </w:rPr>
        <w:t>SUPPORTING STATEMENT</w:t>
      </w:r>
    </w:p>
    <w:p w:rsidR="001A03E7" w:rsidRPr="00BE4E67" w:rsidP="005728D3" w14:paraId="7C15F52F" w14:textId="77777777">
      <w:pPr>
        <w:spacing w:line="276" w:lineRule="auto"/>
        <w:jc w:val="center"/>
      </w:pPr>
    </w:p>
    <w:p w:rsidR="005728D3" w:rsidRPr="00152F7B" w:rsidP="005728D3" w14:paraId="5808FE28" w14:textId="7B00502F">
      <w:pPr>
        <w:spacing w:line="276" w:lineRule="auto"/>
        <w:jc w:val="center"/>
        <w:rPr>
          <w:bCs/>
        </w:rPr>
      </w:pPr>
      <w:r w:rsidRPr="00152F7B">
        <w:rPr>
          <w:bCs/>
        </w:rPr>
        <w:t>Appeals Procedures</w:t>
      </w:r>
    </w:p>
    <w:p w:rsidR="008155FD" w:rsidRPr="00152F7B" w:rsidP="008155FD" w14:paraId="6C0B3C0A" w14:textId="69A2E714">
      <w:pPr>
        <w:spacing w:line="276" w:lineRule="auto"/>
        <w:jc w:val="center"/>
        <w:rPr>
          <w:bCs/>
        </w:rPr>
      </w:pPr>
      <w:r w:rsidRPr="00152F7B">
        <w:rPr>
          <w:bCs/>
        </w:rPr>
        <w:t>12 CFR</w:t>
      </w:r>
      <w:r w:rsidRPr="00152F7B">
        <w:rPr>
          <w:bCs/>
        </w:rPr>
        <w:t xml:space="preserve"> Part </w:t>
      </w:r>
      <w:r w:rsidRPr="00152F7B" w:rsidR="001C45AE">
        <w:rPr>
          <w:bCs/>
        </w:rPr>
        <w:t>746, Subpart B</w:t>
      </w:r>
    </w:p>
    <w:p w:rsidR="00753B95" w:rsidRPr="00BE4E67" w:rsidP="008155FD" w14:paraId="060B40F9" w14:textId="638B2C76">
      <w:pPr>
        <w:spacing w:line="276" w:lineRule="auto"/>
        <w:jc w:val="center"/>
        <w:rPr>
          <w:b/>
        </w:rPr>
      </w:pPr>
      <w:r w:rsidRPr="00BE4E67">
        <w:rPr>
          <w:b/>
        </w:rPr>
        <w:t>OMB No. 3133-</w:t>
      </w:r>
      <w:r w:rsidRPr="00BE4E67" w:rsidR="003C24CD">
        <w:rPr>
          <w:b/>
        </w:rPr>
        <w:t>0198</w:t>
      </w:r>
    </w:p>
    <w:p w:rsidR="00DE3633" w:rsidP="00225761" w14:paraId="75D1DE2F" w14:textId="77777777">
      <w:pPr>
        <w:autoSpaceDE w:val="0"/>
        <w:autoSpaceDN w:val="0"/>
        <w:adjustRightInd w:val="0"/>
      </w:pPr>
    </w:p>
    <w:p w:rsidR="00D05C04" w:rsidRPr="00753B95" w:rsidP="00800226" w14:paraId="5654B60D" w14:textId="19B79D77">
      <w:pPr>
        <w:tabs>
          <w:tab w:val="left" w:pos="720"/>
        </w:tabs>
        <w:ind w:left="720" w:hanging="720"/>
        <w:rPr>
          <w:b/>
        </w:rPr>
      </w:pPr>
      <w:r>
        <w:rPr>
          <w:b/>
        </w:rPr>
        <w:t>A.</w:t>
      </w:r>
      <w:r>
        <w:rPr>
          <w:b/>
        </w:rPr>
        <w:tab/>
      </w:r>
      <w:r w:rsidR="00152F7B">
        <w:rPr>
          <w:b/>
        </w:rPr>
        <w:t>JUSTIFICATION</w:t>
      </w:r>
    </w:p>
    <w:p w:rsidR="00D05C04" w:rsidRPr="00753B95" w:rsidP="00800226" w14:paraId="0AD8EF36" w14:textId="77777777">
      <w:pPr>
        <w:tabs>
          <w:tab w:val="left" w:pos="720"/>
        </w:tabs>
        <w:ind w:left="720" w:hanging="720"/>
      </w:pPr>
    </w:p>
    <w:p w:rsidR="0061487C" w:rsidRPr="00753B95" w:rsidP="00800226" w14:paraId="3F5D9FF7" w14:textId="3420A184">
      <w:pPr>
        <w:tabs>
          <w:tab w:val="left" w:pos="720"/>
        </w:tabs>
        <w:ind w:left="720" w:hanging="720"/>
        <w:rPr>
          <w:b/>
        </w:rPr>
      </w:pPr>
      <w:r w:rsidRPr="00753B95">
        <w:rPr>
          <w:b/>
        </w:rPr>
        <w:t>1.</w:t>
      </w:r>
      <w:r w:rsidR="00027E19">
        <w:tab/>
      </w:r>
      <w:r w:rsidRPr="00753B95" w:rsidR="0098730C">
        <w:rPr>
          <w:b/>
        </w:rPr>
        <w:t>C</w:t>
      </w:r>
      <w:r w:rsidRPr="00753B95">
        <w:rPr>
          <w:b/>
        </w:rPr>
        <w:t>ircumstances that make the coll</w:t>
      </w:r>
      <w:r w:rsidR="00027E19">
        <w:rPr>
          <w:b/>
        </w:rPr>
        <w:t>ection of information necessary</w:t>
      </w:r>
      <w:r w:rsidR="00152F7B">
        <w:rPr>
          <w:b/>
        </w:rPr>
        <w:t>.</w:t>
      </w:r>
    </w:p>
    <w:p w:rsidR="0061487C" w:rsidRPr="00753B95" w:rsidP="00027E19" w14:paraId="05CEAD29" w14:textId="77777777">
      <w:pPr>
        <w:tabs>
          <w:tab w:val="left" w:pos="540"/>
        </w:tabs>
        <w:ind w:left="540" w:hanging="540"/>
      </w:pPr>
    </w:p>
    <w:p w:rsidR="001C45AE" w:rsidP="00225761" w14:paraId="481677CD" w14:textId="15A92344">
      <w:pPr>
        <w:autoSpaceDE w:val="0"/>
        <w:autoSpaceDN w:val="0"/>
        <w:adjustRightInd w:val="0"/>
        <w:ind w:left="540"/>
        <w:rPr>
          <w:color w:val="000000"/>
        </w:rPr>
      </w:pPr>
      <w:r w:rsidRPr="00BA62AD">
        <w:rPr>
          <w:color w:val="000000"/>
        </w:rPr>
        <w:t>The Board is committed to providing</w:t>
      </w:r>
      <w:r w:rsidRPr="00BA62AD" w:rsidR="00BA62AD">
        <w:rPr>
          <w:color w:val="000000"/>
        </w:rPr>
        <w:t xml:space="preserve"> </w:t>
      </w:r>
      <w:r w:rsidRPr="00BA62AD">
        <w:rPr>
          <w:color w:val="000000"/>
        </w:rPr>
        <w:t>credit unions, and other persons or</w:t>
      </w:r>
      <w:r w:rsidRPr="00BA62AD" w:rsidR="00BA62AD">
        <w:rPr>
          <w:color w:val="000000"/>
        </w:rPr>
        <w:t xml:space="preserve"> </w:t>
      </w:r>
      <w:r w:rsidRPr="00BA62AD">
        <w:rPr>
          <w:color w:val="000000"/>
        </w:rPr>
        <w:t>entities that are affected by agency</w:t>
      </w:r>
      <w:r w:rsidRPr="00BA62AD" w:rsidR="00BA62AD">
        <w:rPr>
          <w:color w:val="000000"/>
        </w:rPr>
        <w:t xml:space="preserve"> </w:t>
      </w:r>
      <w:r w:rsidRPr="00BA62AD">
        <w:rPr>
          <w:color w:val="000000"/>
        </w:rPr>
        <w:t>decisions, with an opportunity to obtain</w:t>
      </w:r>
      <w:r w:rsidRPr="00BA62AD" w:rsidR="00BA62AD">
        <w:rPr>
          <w:color w:val="000000"/>
        </w:rPr>
        <w:t xml:space="preserve"> </w:t>
      </w:r>
      <w:r w:rsidRPr="00BA62AD">
        <w:rPr>
          <w:color w:val="000000"/>
        </w:rPr>
        <w:t>meaningful review of those decisions.</w:t>
      </w:r>
      <w:r w:rsidRPr="00BA62AD" w:rsidR="00BA62AD">
        <w:rPr>
          <w:color w:val="000000"/>
        </w:rPr>
        <w:t xml:space="preserve"> </w:t>
      </w:r>
      <w:r w:rsidR="00BA62AD">
        <w:rPr>
          <w:color w:val="000000"/>
        </w:rPr>
        <w:t xml:space="preserve"> </w:t>
      </w:r>
      <w:r w:rsidR="001D1BCA">
        <w:rPr>
          <w:color w:val="000000"/>
        </w:rPr>
        <w:t>Previously</w:t>
      </w:r>
      <w:r w:rsidRPr="00BA62AD">
        <w:rPr>
          <w:color w:val="000000"/>
        </w:rPr>
        <w:t>, procedures for obtaining that</w:t>
      </w:r>
      <w:r w:rsidR="00BA62AD">
        <w:rPr>
          <w:color w:val="000000"/>
        </w:rPr>
        <w:t xml:space="preserve"> </w:t>
      </w:r>
      <w:r w:rsidRPr="00BA62AD">
        <w:rPr>
          <w:color w:val="000000"/>
        </w:rPr>
        <w:t xml:space="preserve">review </w:t>
      </w:r>
      <w:r w:rsidR="001D1BCA">
        <w:rPr>
          <w:color w:val="000000"/>
        </w:rPr>
        <w:t>had been</w:t>
      </w:r>
      <w:r w:rsidRPr="00BA62AD" w:rsidR="001D1BCA">
        <w:rPr>
          <w:color w:val="000000"/>
        </w:rPr>
        <w:t xml:space="preserve"> </w:t>
      </w:r>
      <w:r w:rsidRPr="00BA62AD">
        <w:rPr>
          <w:color w:val="000000"/>
        </w:rPr>
        <w:t>embedded in and scattered</w:t>
      </w:r>
      <w:r w:rsidRPr="00BA62AD" w:rsidR="00BA62AD">
        <w:rPr>
          <w:color w:val="000000"/>
        </w:rPr>
        <w:t xml:space="preserve"> </w:t>
      </w:r>
      <w:r w:rsidRPr="00BA62AD">
        <w:rPr>
          <w:color w:val="000000"/>
        </w:rPr>
        <w:t>throughout NCUA’s regulations and, in</w:t>
      </w:r>
      <w:r w:rsidR="00BA62AD">
        <w:rPr>
          <w:color w:val="000000"/>
        </w:rPr>
        <w:t xml:space="preserve"> </w:t>
      </w:r>
      <w:r w:rsidRPr="00BA62AD">
        <w:rPr>
          <w:color w:val="000000"/>
        </w:rPr>
        <w:t xml:space="preserve">many cases, </w:t>
      </w:r>
      <w:r w:rsidR="001D1BCA">
        <w:rPr>
          <w:color w:val="000000"/>
        </w:rPr>
        <w:t>were</w:t>
      </w:r>
      <w:r w:rsidRPr="00BA62AD" w:rsidR="001D1BCA">
        <w:rPr>
          <w:color w:val="000000"/>
        </w:rPr>
        <w:t xml:space="preserve"> </w:t>
      </w:r>
      <w:r w:rsidRPr="00BA62AD">
        <w:rPr>
          <w:color w:val="000000"/>
        </w:rPr>
        <w:t>slightly different from</w:t>
      </w:r>
      <w:r w:rsidRPr="00BA62AD" w:rsidR="00BA62AD">
        <w:rPr>
          <w:color w:val="000000"/>
        </w:rPr>
        <w:t xml:space="preserve"> </w:t>
      </w:r>
      <w:r w:rsidRPr="00BA62AD">
        <w:rPr>
          <w:color w:val="000000"/>
        </w:rPr>
        <w:t xml:space="preserve">one another. </w:t>
      </w:r>
      <w:r w:rsidR="00BA62AD">
        <w:rPr>
          <w:color w:val="000000"/>
        </w:rPr>
        <w:t xml:space="preserve"> </w:t>
      </w:r>
      <w:r w:rsidRPr="00BA62AD">
        <w:rPr>
          <w:color w:val="000000"/>
        </w:rPr>
        <w:t>For example, time frames</w:t>
      </w:r>
      <w:r w:rsidR="00BA62AD">
        <w:rPr>
          <w:color w:val="000000"/>
        </w:rPr>
        <w:t xml:space="preserve"> </w:t>
      </w:r>
      <w:r w:rsidRPr="00BA62AD">
        <w:rPr>
          <w:color w:val="000000"/>
        </w:rPr>
        <w:t>for seeking higher level review differ</w:t>
      </w:r>
      <w:r w:rsidR="0020421C">
        <w:rPr>
          <w:color w:val="000000"/>
        </w:rPr>
        <w:t>ed</w:t>
      </w:r>
      <w:r w:rsidRPr="00BA62AD">
        <w:rPr>
          <w:color w:val="000000"/>
        </w:rPr>
        <w:t xml:space="preserve"> and deadlines within which final</w:t>
      </w:r>
      <w:r w:rsidR="00BA62AD">
        <w:rPr>
          <w:color w:val="000000"/>
        </w:rPr>
        <w:t xml:space="preserve"> </w:t>
      </w:r>
      <w:r w:rsidRPr="00BA62AD">
        <w:rPr>
          <w:color w:val="000000"/>
        </w:rPr>
        <w:t xml:space="preserve">agency action </w:t>
      </w:r>
      <w:r w:rsidR="0020421C">
        <w:rPr>
          <w:color w:val="000000"/>
        </w:rPr>
        <w:t>was</w:t>
      </w:r>
      <w:r w:rsidRPr="00BA62AD">
        <w:rPr>
          <w:color w:val="000000"/>
        </w:rPr>
        <w:t xml:space="preserve"> to be rendered </w:t>
      </w:r>
      <w:r w:rsidR="0020421C">
        <w:rPr>
          <w:color w:val="000000"/>
        </w:rPr>
        <w:t>varied</w:t>
      </w:r>
      <w:r w:rsidRPr="00BA62AD">
        <w:rPr>
          <w:color w:val="000000"/>
        </w:rPr>
        <w:t>.</w:t>
      </w:r>
      <w:r w:rsidR="00BA62AD">
        <w:rPr>
          <w:color w:val="000000"/>
        </w:rPr>
        <w:t xml:space="preserve">  </w:t>
      </w:r>
      <w:r w:rsidR="001D1BCA">
        <w:rPr>
          <w:color w:val="000000"/>
        </w:rPr>
        <w:t>T</w:t>
      </w:r>
      <w:r w:rsidRPr="00BA62AD">
        <w:rPr>
          <w:color w:val="000000"/>
        </w:rPr>
        <w:t xml:space="preserve">he </w:t>
      </w:r>
      <w:r w:rsidR="0020421C">
        <w:rPr>
          <w:color w:val="000000"/>
        </w:rPr>
        <w:t>appeals procedures in part 746, subpart B provide</w:t>
      </w:r>
      <w:r w:rsidRPr="00BA62AD">
        <w:rPr>
          <w:color w:val="000000"/>
        </w:rPr>
        <w:t xml:space="preserve"> a uniform set of</w:t>
      </w:r>
      <w:r w:rsidR="00BA62AD">
        <w:rPr>
          <w:color w:val="000000"/>
        </w:rPr>
        <w:t xml:space="preserve"> </w:t>
      </w:r>
      <w:r w:rsidRPr="00BA62AD">
        <w:rPr>
          <w:color w:val="000000"/>
        </w:rPr>
        <w:t>procedures to govern those rules in</w:t>
      </w:r>
      <w:r w:rsidR="00BA62AD">
        <w:rPr>
          <w:color w:val="000000"/>
        </w:rPr>
        <w:t xml:space="preserve"> </w:t>
      </w:r>
      <w:r w:rsidRPr="00BA62AD">
        <w:rPr>
          <w:color w:val="000000"/>
        </w:rPr>
        <w:t>which an appeal to the Board is</w:t>
      </w:r>
      <w:r w:rsidR="00BA62AD">
        <w:rPr>
          <w:color w:val="000000"/>
        </w:rPr>
        <w:t xml:space="preserve"> </w:t>
      </w:r>
      <w:r w:rsidRPr="00BA62AD">
        <w:rPr>
          <w:color w:val="000000"/>
        </w:rPr>
        <w:t>permitted.</w:t>
      </w:r>
      <w:r w:rsidR="00BA62AD">
        <w:rPr>
          <w:color w:val="000000"/>
        </w:rPr>
        <w:t xml:space="preserve"> </w:t>
      </w:r>
      <w:r w:rsidRPr="00BA62AD">
        <w:rPr>
          <w:color w:val="000000"/>
        </w:rPr>
        <w:t xml:space="preserve"> The </w:t>
      </w:r>
      <w:r w:rsidR="0020421C">
        <w:rPr>
          <w:color w:val="000000"/>
        </w:rPr>
        <w:t>rule is intended to</w:t>
      </w:r>
      <w:r w:rsidRPr="00BA62AD">
        <w:rPr>
          <w:color w:val="000000"/>
        </w:rPr>
        <w:t xml:space="preserve"> strike a</w:t>
      </w:r>
      <w:r w:rsidR="00BA62AD">
        <w:rPr>
          <w:color w:val="000000"/>
        </w:rPr>
        <w:t xml:space="preserve"> </w:t>
      </w:r>
      <w:r w:rsidRPr="00BA62AD">
        <w:rPr>
          <w:color w:val="000000"/>
        </w:rPr>
        <w:t>balance that will afford the appellant</w:t>
      </w:r>
      <w:r w:rsidR="00BA62AD">
        <w:rPr>
          <w:color w:val="000000"/>
        </w:rPr>
        <w:t xml:space="preserve"> </w:t>
      </w:r>
      <w:r w:rsidRPr="00BA62AD">
        <w:rPr>
          <w:color w:val="000000"/>
        </w:rPr>
        <w:t>fair consideration of the issues while</w:t>
      </w:r>
      <w:r w:rsidR="00BA62AD">
        <w:rPr>
          <w:color w:val="000000"/>
        </w:rPr>
        <w:t xml:space="preserve"> </w:t>
      </w:r>
      <w:r w:rsidRPr="00BA62AD">
        <w:rPr>
          <w:color w:val="000000"/>
        </w:rPr>
        <w:t>avoiding procedures that are overly</w:t>
      </w:r>
      <w:r w:rsidR="00BA62AD">
        <w:rPr>
          <w:color w:val="000000"/>
        </w:rPr>
        <w:t xml:space="preserve"> </w:t>
      </w:r>
      <w:r w:rsidRPr="00BA62AD">
        <w:rPr>
          <w:color w:val="000000"/>
        </w:rPr>
        <w:t>burdensome, time consuming, and</w:t>
      </w:r>
      <w:r w:rsidR="00BA62AD">
        <w:rPr>
          <w:color w:val="000000"/>
        </w:rPr>
        <w:t xml:space="preserve"> </w:t>
      </w:r>
      <w:r w:rsidRPr="00BA62AD">
        <w:rPr>
          <w:color w:val="000000"/>
        </w:rPr>
        <w:t>expensive for either the petitioner or the</w:t>
      </w:r>
      <w:r w:rsidR="00BA62AD">
        <w:rPr>
          <w:color w:val="000000"/>
        </w:rPr>
        <w:t xml:space="preserve"> </w:t>
      </w:r>
      <w:r w:rsidRPr="00BA62AD">
        <w:rPr>
          <w:color w:val="000000"/>
        </w:rPr>
        <w:t xml:space="preserve">agency. </w:t>
      </w:r>
      <w:r w:rsidR="00BA62AD">
        <w:rPr>
          <w:color w:val="000000"/>
        </w:rPr>
        <w:t xml:space="preserve"> </w:t>
      </w:r>
    </w:p>
    <w:p w:rsidR="00DE3633" w:rsidP="00225761" w14:paraId="267E0536" w14:textId="77777777">
      <w:pPr>
        <w:autoSpaceDE w:val="0"/>
        <w:autoSpaceDN w:val="0"/>
        <w:adjustRightInd w:val="0"/>
        <w:ind w:left="540"/>
        <w:rPr>
          <w:color w:val="000000"/>
        </w:rPr>
      </w:pPr>
    </w:p>
    <w:p w:rsidR="00DE3633" w:rsidRPr="00BA62AD" w:rsidP="00225761" w14:paraId="4B9AA36F" w14:textId="1E0930E9">
      <w:pPr>
        <w:autoSpaceDE w:val="0"/>
        <w:autoSpaceDN w:val="0"/>
        <w:adjustRightInd w:val="0"/>
        <w:ind w:left="540"/>
        <w:rPr>
          <w:color w:val="000000"/>
        </w:rPr>
      </w:pPr>
      <w:r>
        <w:rPr>
          <w:color w:val="000000"/>
        </w:rPr>
        <w:t>The Board is issuing this rule pursuant to authority granted to it by secs. 120, 207, and 209 of the Federal Credit Union Act.</w:t>
      </w:r>
    </w:p>
    <w:p w:rsidR="00BA62AD" w:rsidP="00BA62AD" w14:paraId="0BDD1879" w14:textId="77777777">
      <w:pPr>
        <w:autoSpaceDE w:val="0"/>
        <w:autoSpaceDN w:val="0"/>
        <w:adjustRightInd w:val="0"/>
        <w:rPr>
          <w:color w:val="000000"/>
        </w:rPr>
      </w:pPr>
    </w:p>
    <w:p w:rsidR="0098730C" w:rsidRPr="00753B95" w:rsidP="00800226" w14:paraId="3B131084" w14:textId="61E57BA1">
      <w:pPr>
        <w:pStyle w:val="NoSpacing"/>
        <w:tabs>
          <w:tab w:val="left" w:pos="720"/>
        </w:tabs>
        <w:ind w:left="720" w:hanging="720"/>
        <w:rPr>
          <w:b/>
        </w:rPr>
      </w:pPr>
      <w:r w:rsidRPr="00753B95">
        <w:rPr>
          <w:b/>
        </w:rPr>
        <w:t>2.</w:t>
      </w:r>
      <w:r w:rsidR="00027E19">
        <w:tab/>
      </w:r>
      <w:r w:rsidR="00027E19">
        <w:rPr>
          <w:b/>
        </w:rPr>
        <w:t>P</w:t>
      </w:r>
      <w:r w:rsidRPr="00753B95">
        <w:rPr>
          <w:b/>
        </w:rPr>
        <w:t xml:space="preserve">urpose </w:t>
      </w:r>
      <w:r w:rsidR="00027E19">
        <w:rPr>
          <w:b/>
        </w:rPr>
        <w:t xml:space="preserve">and </w:t>
      </w:r>
      <w:r w:rsidR="00152F7B">
        <w:rPr>
          <w:b/>
        </w:rPr>
        <w:t>u</w:t>
      </w:r>
      <w:r w:rsidR="00027E19">
        <w:rPr>
          <w:b/>
        </w:rPr>
        <w:t xml:space="preserve">se of the </w:t>
      </w:r>
      <w:r w:rsidR="00152F7B">
        <w:rPr>
          <w:b/>
        </w:rPr>
        <w:t>i</w:t>
      </w:r>
      <w:r w:rsidR="00027E19">
        <w:rPr>
          <w:b/>
        </w:rPr>
        <w:t>nformation</w:t>
      </w:r>
      <w:r w:rsidR="00152F7B">
        <w:rPr>
          <w:b/>
        </w:rPr>
        <w:t xml:space="preserve"> collected.</w:t>
      </w:r>
    </w:p>
    <w:p w:rsidR="00202708" w:rsidRPr="00753B95" w:rsidP="00027E19" w14:paraId="656D79E2" w14:textId="77777777">
      <w:pPr>
        <w:pStyle w:val="NoSpacing"/>
        <w:tabs>
          <w:tab w:val="left" w:pos="540"/>
        </w:tabs>
        <w:ind w:left="540" w:hanging="540"/>
      </w:pPr>
    </w:p>
    <w:p w:rsidR="00FF140F" w:rsidP="00800226" w14:paraId="218C974A" w14:textId="3C711D3F">
      <w:pPr>
        <w:autoSpaceDE w:val="0"/>
        <w:autoSpaceDN w:val="0"/>
        <w:adjustRightInd w:val="0"/>
        <w:ind w:left="720"/>
      </w:pPr>
      <w:r w:rsidRPr="00BA62AD">
        <w:rPr>
          <w:color w:val="000000"/>
        </w:rPr>
        <w:t>The procedures apply to federal credit unions (FCUs), federally insured, state-chartered credit</w:t>
      </w:r>
      <w:r>
        <w:rPr>
          <w:color w:val="000000"/>
        </w:rPr>
        <w:t xml:space="preserve"> </w:t>
      </w:r>
      <w:r w:rsidRPr="00BA62AD">
        <w:rPr>
          <w:color w:val="000000"/>
        </w:rPr>
        <w:t>unions (FISCUs), or certain institution affiliated parties (IAPs) such as officers</w:t>
      </w:r>
      <w:r>
        <w:rPr>
          <w:color w:val="000000"/>
        </w:rPr>
        <w:t xml:space="preserve"> </w:t>
      </w:r>
      <w:r w:rsidRPr="00BA62AD">
        <w:rPr>
          <w:color w:val="000000"/>
        </w:rPr>
        <w:t xml:space="preserve">or directors when appealing an </w:t>
      </w:r>
      <w:r w:rsidR="00F655FB">
        <w:rPr>
          <w:color w:val="000000"/>
        </w:rPr>
        <w:t xml:space="preserve">adverse </w:t>
      </w:r>
      <w:r w:rsidRPr="00BA62AD">
        <w:rPr>
          <w:color w:val="000000"/>
        </w:rPr>
        <w:t>agency</w:t>
      </w:r>
      <w:r>
        <w:rPr>
          <w:color w:val="000000"/>
        </w:rPr>
        <w:t xml:space="preserve"> </w:t>
      </w:r>
      <w:r w:rsidRPr="00BA62AD">
        <w:rPr>
          <w:color w:val="000000"/>
        </w:rPr>
        <w:t>determination under one of the rules to</w:t>
      </w:r>
      <w:r>
        <w:rPr>
          <w:color w:val="000000"/>
        </w:rPr>
        <w:t xml:space="preserve"> </w:t>
      </w:r>
      <w:r w:rsidRPr="00BA62AD">
        <w:rPr>
          <w:color w:val="000000"/>
        </w:rPr>
        <w:t>which part 746, subpart B</w:t>
      </w:r>
      <w:r w:rsidR="00CB31AF">
        <w:rPr>
          <w:color w:val="000000"/>
        </w:rPr>
        <w:t>,</w:t>
      </w:r>
      <w:r>
        <w:rPr>
          <w:color w:val="000000"/>
        </w:rPr>
        <w:t xml:space="preserve"> </w:t>
      </w:r>
      <w:r w:rsidRPr="00BA62AD">
        <w:rPr>
          <w:color w:val="000000"/>
        </w:rPr>
        <w:t xml:space="preserve">would apply. </w:t>
      </w:r>
      <w:r>
        <w:rPr>
          <w:color w:val="000000"/>
        </w:rPr>
        <w:t xml:space="preserve"> </w:t>
      </w:r>
    </w:p>
    <w:p w:rsidR="00FF140F" w:rsidP="00800226" w14:paraId="5D7D0DF0" w14:textId="77777777">
      <w:pPr>
        <w:autoSpaceDE w:val="0"/>
        <w:autoSpaceDN w:val="0"/>
        <w:adjustRightInd w:val="0"/>
        <w:ind w:left="720"/>
      </w:pPr>
    </w:p>
    <w:p w:rsidR="009C09EE" w:rsidP="0025151D" w14:paraId="1AD02630" w14:textId="2024234C">
      <w:pPr>
        <w:autoSpaceDE w:val="0"/>
        <w:autoSpaceDN w:val="0"/>
        <w:adjustRightInd w:val="0"/>
        <w:ind w:left="1440"/>
      </w:pPr>
      <w:r>
        <w:t xml:space="preserve">Under </w:t>
      </w:r>
      <w:r w:rsidRPr="00060C64">
        <w:t>§746.203</w:t>
      </w:r>
      <w:r>
        <w:t>, an entity or person (petitioner) may make a written request to the appropriate program office to reconsider the initial agency determination.  This request must be sent within 30 calendar days of the date of the initial agency determination</w:t>
      </w:r>
      <w:r w:rsidR="00F655FB">
        <w:t>, with certain specific exceptions</w:t>
      </w:r>
      <w:r>
        <w:t>.</w:t>
      </w:r>
      <w:r w:rsidR="00FF140F">
        <w:t xml:space="preserve">  </w:t>
      </w:r>
    </w:p>
    <w:p w:rsidR="00FF140F" w:rsidP="0025151D" w14:paraId="41A86F16" w14:textId="77777777">
      <w:pPr>
        <w:autoSpaceDE w:val="0"/>
        <w:autoSpaceDN w:val="0"/>
        <w:adjustRightInd w:val="0"/>
        <w:ind w:left="1440"/>
      </w:pPr>
    </w:p>
    <w:p w:rsidR="009C09EE" w:rsidP="0025151D" w14:paraId="3127732C" w14:textId="256AD355">
      <w:pPr>
        <w:autoSpaceDE w:val="0"/>
        <w:autoSpaceDN w:val="0"/>
        <w:adjustRightInd w:val="0"/>
        <w:ind w:left="1440"/>
      </w:pPr>
      <w:r>
        <w:t xml:space="preserve">Under </w:t>
      </w:r>
      <w:r w:rsidRPr="00060C64">
        <w:t>§746.</w:t>
      </w:r>
      <w:r w:rsidR="00A94477">
        <w:t>204</w:t>
      </w:r>
      <w:r>
        <w:t xml:space="preserve">, a petitioner may file an appeal seeking review of the determination by the Board within 60 calendar days of the date </w:t>
      </w:r>
      <w:r w:rsidR="00F655FB">
        <w:t xml:space="preserve">of </w:t>
      </w:r>
      <w:r>
        <w:t>the initial agency determination, or, as applicable</w:t>
      </w:r>
      <w:r w:rsidR="00F655FB">
        <w:t>,</w:t>
      </w:r>
      <w:r>
        <w:t xml:space="preserve"> a determination by the program office on any request for reconsideration</w:t>
      </w:r>
      <w:r w:rsidR="00F655FB">
        <w:t>, with certain specific exceptions</w:t>
      </w:r>
      <w:r>
        <w:t>.</w:t>
      </w:r>
      <w:r w:rsidR="00A94477">
        <w:t xml:space="preserve">  The request must be in writing and filed with the Secretary of the Board.</w:t>
      </w:r>
    </w:p>
    <w:p w:rsidR="00060C64" w:rsidP="00800226" w14:paraId="12840698" w14:textId="77777777">
      <w:pPr>
        <w:tabs>
          <w:tab w:val="left" w:pos="540"/>
        </w:tabs>
        <w:autoSpaceDE w:val="0"/>
        <w:autoSpaceDN w:val="0"/>
        <w:adjustRightInd w:val="0"/>
        <w:ind w:left="720"/>
      </w:pPr>
    </w:p>
    <w:p w:rsidR="00225761" w:rsidRPr="001C45AE" w:rsidP="00800226" w14:paraId="0E5ABBCA" w14:textId="5B4E3DA2">
      <w:pPr>
        <w:tabs>
          <w:tab w:val="left" w:pos="540"/>
        </w:tabs>
        <w:autoSpaceDE w:val="0"/>
        <w:autoSpaceDN w:val="0"/>
        <w:adjustRightInd w:val="0"/>
        <w:ind w:left="720"/>
      </w:pPr>
      <w:r w:rsidRPr="001C45AE">
        <w:t xml:space="preserve">The procedures </w:t>
      </w:r>
      <w:r w:rsidR="0020421C">
        <w:t>provide</w:t>
      </w:r>
      <w:r w:rsidRPr="001C45AE">
        <w:t xml:space="preserve"> efficiency, consistency, and understanding of the way in which matters under covered regulations may be appealed to the Board.</w:t>
      </w:r>
    </w:p>
    <w:p w:rsidR="00D05C04" w:rsidP="00DE3633" w14:paraId="28EF7074" w14:textId="67029C40">
      <w:pPr>
        <w:pStyle w:val="NoSpacing"/>
        <w:tabs>
          <w:tab w:val="left" w:pos="540"/>
        </w:tabs>
      </w:pPr>
    </w:p>
    <w:p w:rsidR="00027E19" w:rsidRPr="00027E19" w:rsidP="00800226" w14:paraId="04B9E278" w14:textId="528466EF">
      <w:pPr>
        <w:tabs>
          <w:tab w:val="left" w:pos="720"/>
        </w:tabs>
        <w:ind w:left="720" w:hanging="720"/>
      </w:pPr>
      <w:r>
        <w:rPr>
          <w:b/>
        </w:rPr>
        <w:t>3.</w:t>
      </w:r>
      <w:r>
        <w:rPr>
          <w:b/>
        </w:rPr>
        <w:tab/>
      </w:r>
      <w:r w:rsidR="0071732B">
        <w:rPr>
          <w:b/>
        </w:rPr>
        <w:t>Use of i</w:t>
      </w:r>
      <w:r w:rsidRPr="000849EB">
        <w:rPr>
          <w:b/>
        </w:rPr>
        <w:t xml:space="preserve">nformation </w:t>
      </w:r>
      <w:r w:rsidR="0071732B">
        <w:rPr>
          <w:b/>
        </w:rPr>
        <w:t>t</w:t>
      </w:r>
      <w:r w:rsidRPr="000849EB">
        <w:rPr>
          <w:b/>
        </w:rPr>
        <w:t>echnology</w:t>
      </w:r>
      <w:r w:rsidR="0071732B">
        <w:rPr>
          <w:b/>
        </w:rPr>
        <w:t>.</w:t>
      </w:r>
    </w:p>
    <w:p w:rsidR="00323E48" w:rsidRPr="00753B95" w:rsidP="00800226" w14:paraId="6A31BE47" w14:textId="77777777">
      <w:pPr>
        <w:tabs>
          <w:tab w:val="left" w:pos="720"/>
        </w:tabs>
        <w:ind w:left="720" w:hanging="720"/>
      </w:pPr>
    </w:p>
    <w:p w:rsidR="005E0A35" w:rsidP="00800226" w14:paraId="3A13B60F" w14:textId="1F8D0008">
      <w:pPr>
        <w:tabs>
          <w:tab w:val="left" w:pos="720"/>
        </w:tabs>
        <w:ind w:left="720"/>
      </w:pPr>
      <w:r>
        <w:t>The rule does not specify or require a particular format or formality in terms of how an appeal or request for reconsideration must be submitted.  For example, documentation may be submitted via regular mail or an overnight delivery service; alternatively, an electronic transmission of an ap</w:t>
      </w:r>
      <w:r w:rsidR="002B6B75">
        <w:t>peal or reconsideration request</w:t>
      </w:r>
      <w:r>
        <w:t xml:space="preserve"> would be effective.</w:t>
      </w:r>
    </w:p>
    <w:p w:rsidR="002C62D9" w:rsidRPr="00753B95" w:rsidP="00800226" w14:paraId="5797EF1E" w14:textId="77777777">
      <w:pPr>
        <w:tabs>
          <w:tab w:val="left" w:pos="720"/>
        </w:tabs>
        <w:ind w:left="720" w:hanging="720"/>
      </w:pPr>
    </w:p>
    <w:p w:rsidR="00D05C04" w:rsidRPr="00753B95" w:rsidP="00800226" w14:paraId="3FD2B024" w14:textId="2C3C477D">
      <w:pPr>
        <w:tabs>
          <w:tab w:val="left" w:pos="720"/>
        </w:tabs>
        <w:ind w:left="720" w:hanging="720"/>
        <w:rPr>
          <w:b/>
        </w:rPr>
      </w:pPr>
      <w:r w:rsidRPr="00753B95">
        <w:rPr>
          <w:b/>
        </w:rPr>
        <w:t>4.</w:t>
      </w:r>
      <w:r w:rsidR="00027E19">
        <w:rPr>
          <w:b/>
        </w:rPr>
        <w:tab/>
      </w:r>
      <w:r w:rsidR="0071732B">
        <w:rPr>
          <w:b/>
        </w:rPr>
        <w:t>Duplication of information.</w:t>
      </w:r>
    </w:p>
    <w:p w:rsidR="0071732B" w:rsidP="00800226" w14:paraId="56CEB290" w14:textId="77777777">
      <w:pPr>
        <w:widowControl w:val="0"/>
        <w:tabs>
          <w:tab w:val="left" w:pos="720"/>
        </w:tabs>
        <w:ind w:left="720" w:hanging="720"/>
      </w:pPr>
    </w:p>
    <w:p w:rsidR="00DF2C1A" w:rsidRPr="00753B95" w:rsidP="00800226" w14:paraId="1F46B4B3" w14:textId="1F8F4820">
      <w:pPr>
        <w:widowControl w:val="0"/>
        <w:tabs>
          <w:tab w:val="left" w:pos="720"/>
        </w:tabs>
        <w:ind w:left="720" w:hanging="720"/>
      </w:pPr>
      <w:r>
        <w:tab/>
      </w:r>
      <w:r w:rsidRPr="00753B95">
        <w:t xml:space="preserve">The collection of information is unique to the circumstances of each credit union.  The information is self-generated and is not available from any other government agency or other source. </w:t>
      </w:r>
    </w:p>
    <w:p w:rsidR="00DF2C1A" w:rsidRPr="00753B95" w:rsidP="00800226" w14:paraId="768EF9A3" w14:textId="77777777">
      <w:pPr>
        <w:widowControl w:val="0"/>
        <w:tabs>
          <w:tab w:val="left" w:pos="720"/>
        </w:tabs>
        <w:ind w:left="720" w:hanging="720"/>
      </w:pPr>
    </w:p>
    <w:p w:rsidR="00DF2C1A" w:rsidRPr="00753B95" w:rsidP="00800226" w14:paraId="660BCE69" w14:textId="5C6889D1">
      <w:pPr>
        <w:widowControl w:val="0"/>
        <w:tabs>
          <w:tab w:val="left" w:pos="720"/>
        </w:tabs>
        <w:ind w:left="720" w:hanging="720"/>
        <w:rPr>
          <w:b/>
        </w:rPr>
      </w:pPr>
      <w:r>
        <w:rPr>
          <w:b/>
        </w:rPr>
        <w:t>5.</w:t>
      </w:r>
      <w:r>
        <w:rPr>
          <w:b/>
        </w:rPr>
        <w:tab/>
        <w:t>Effect</w:t>
      </w:r>
      <w:r w:rsidR="0071732B">
        <w:rPr>
          <w:b/>
        </w:rPr>
        <w:t>s to reduce burden</w:t>
      </w:r>
      <w:r>
        <w:rPr>
          <w:b/>
        </w:rPr>
        <w:t xml:space="preserve"> on </w:t>
      </w:r>
      <w:r w:rsidR="0071732B">
        <w:rPr>
          <w:b/>
        </w:rPr>
        <w:t>s</w:t>
      </w:r>
      <w:r>
        <w:rPr>
          <w:b/>
        </w:rPr>
        <w:t xml:space="preserve">mall </w:t>
      </w:r>
      <w:r w:rsidR="0071732B">
        <w:rPr>
          <w:b/>
        </w:rPr>
        <w:t>e</w:t>
      </w:r>
      <w:r>
        <w:rPr>
          <w:b/>
        </w:rPr>
        <w:t>ntities</w:t>
      </w:r>
      <w:r w:rsidR="0071732B">
        <w:rPr>
          <w:b/>
        </w:rPr>
        <w:t>.</w:t>
      </w:r>
    </w:p>
    <w:p w:rsidR="00DF2C1A" w:rsidRPr="00753B95" w:rsidP="00800226" w14:paraId="6DFA7712" w14:textId="77777777">
      <w:pPr>
        <w:widowControl w:val="0"/>
        <w:tabs>
          <w:tab w:val="left" w:pos="720"/>
        </w:tabs>
        <w:ind w:left="720" w:hanging="720"/>
      </w:pPr>
    </w:p>
    <w:p w:rsidR="00DF2C1A" w:rsidRPr="00753B95" w:rsidP="00800226" w14:paraId="3CB6E114" w14:textId="5A7BD539">
      <w:pPr>
        <w:widowControl w:val="0"/>
        <w:tabs>
          <w:tab w:val="left" w:pos="720"/>
        </w:tabs>
        <w:ind w:left="720" w:hanging="720"/>
      </w:pPr>
      <w:r>
        <w:tab/>
      </w:r>
      <w:r w:rsidRPr="00753B95">
        <w:t xml:space="preserve">This collection does not have a significant impact on a substantial number of small credit unions.  </w:t>
      </w:r>
      <w:r w:rsidR="004F5743">
        <w:t xml:space="preserve">This rule only provides enhanced voluntary opportunities for credit unions to appeal </w:t>
      </w:r>
      <w:r w:rsidR="00C60EF2">
        <w:t xml:space="preserve">adverse </w:t>
      </w:r>
      <w:r w:rsidR="004F5743">
        <w:t>agency determinations.</w:t>
      </w:r>
    </w:p>
    <w:p w:rsidR="00DF2C1A" w:rsidRPr="00753B95" w:rsidP="00027E19" w14:paraId="4EE599B3" w14:textId="77777777">
      <w:pPr>
        <w:widowControl w:val="0"/>
        <w:ind w:left="540" w:hanging="540"/>
      </w:pPr>
    </w:p>
    <w:p w:rsidR="00DF2C1A" w:rsidRPr="00753B95" w:rsidP="00800226" w14:paraId="59465546" w14:textId="0FAD6903">
      <w:pPr>
        <w:widowControl w:val="0"/>
        <w:tabs>
          <w:tab w:val="left" w:pos="720"/>
        </w:tabs>
        <w:ind w:left="720" w:hanging="720"/>
        <w:rPr>
          <w:b/>
        </w:rPr>
      </w:pPr>
      <w:r>
        <w:rPr>
          <w:b/>
        </w:rPr>
        <w:t>6.</w:t>
      </w:r>
      <w:r>
        <w:rPr>
          <w:b/>
        </w:rPr>
        <w:tab/>
      </w:r>
      <w:r w:rsidRPr="00753B95">
        <w:rPr>
          <w:b/>
        </w:rPr>
        <w:t xml:space="preserve">Consequences </w:t>
      </w:r>
      <w:r>
        <w:rPr>
          <w:b/>
        </w:rPr>
        <w:t xml:space="preserve">of </w:t>
      </w:r>
      <w:r w:rsidR="0075215F">
        <w:rPr>
          <w:b/>
        </w:rPr>
        <w:t>n</w:t>
      </w:r>
      <w:r>
        <w:rPr>
          <w:b/>
        </w:rPr>
        <w:t xml:space="preserve">ot </w:t>
      </w:r>
      <w:r w:rsidR="0075215F">
        <w:rPr>
          <w:b/>
        </w:rPr>
        <w:t>c</w:t>
      </w:r>
      <w:r>
        <w:rPr>
          <w:b/>
        </w:rPr>
        <w:t xml:space="preserve">onducting this </w:t>
      </w:r>
      <w:r w:rsidR="0075215F">
        <w:rPr>
          <w:b/>
        </w:rPr>
        <w:t>c</w:t>
      </w:r>
      <w:r>
        <w:rPr>
          <w:b/>
        </w:rPr>
        <w:t>ollection</w:t>
      </w:r>
      <w:r w:rsidR="0075215F">
        <w:rPr>
          <w:b/>
        </w:rPr>
        <w:t>.</w:t>
      </w:r>
    </w:p>
    <w:p w:rsidR="0075215F" w:rsidP="002268CC" w14:paraId="7E6A9B6F" w14:textId="77777777">
      <w:pPr>
        <w:autoSpaceDE w:val="0"/>
        <w:autoSpaceDN w:val="0"/>
        <w:adjustRightInd w:val="0"/>
        <w:ind w:left="540" w:hanging="540"/>
      </w:pPr>
    </w:p>
    <w:p w:rsidR="002268CC" w:rsidRPr="002268CC" w:rsidP="00396719" w14:paraId="178AB17B" w14:textId="51D574E8">
      <w:pPr>
        <w:autoSpaceDE w:val="0"/>
        <w:autoSpaceDN w:val="0"/>
        <w:adjustRightInd w:val="0"/>
        <w:ind w:left="720"/>
      </w:pPr>
      <w:r w:rsidRPr="002268CC">
        <w:t xml:space="preserve">If the information collection was </w:t>
      </w:r>
      <w:r w:rsidR="00C60EF2">
        <w:t xml:space="preserve">not </w:t>
      </w:r>
      <w:r w:rsidRPr="002268CC">
        <w:t>conducted, the NCUA would not be able to provide uniform procedures for appeals to the Board under affected agency regulations</w:t>
      </w:r>
      <w:r w:rsidR="00C60EF2">
        <w:t xml:space="preserve">.  Thus, proceeding with this collection will </w:t>
      </w:r>
      <w:r w:rsidRPr="002268CC">
        <w:t>help ensure that appellants receive appropriate due process and that agency decisions are made in a prompt and efficient manner.</w:t>
      </w:r>
    </w:p>
    <w:p w:rsidR="00DF2C1A" w:rsidRPr="00753B95" w:rsidP="00027E19" w14:paraId="00311975" w14:textId="77777777">
      <w:pPr>
        <w:widowControl w:val="0"/>
        <w:ind w:left="540" w:hanging="540"/>
      </w:pPr>
    </w:p>
    <w:p w:rsidR="00DF2C1A" w:rsidRPr="00753B95" w:rsidP="00396719" w14:paraId="76AA4B82" w14:textId="470F983F">
      <w:pPr>
        <w:widowControl w:val="0"/>
        <w:ind w:left="720" w:hanging="720"/>
        <w:rPr>
          <w:b/>
        </w:rPr>
      </w:pPr>
      <w:r>
        <w:rPr>
          <w:b/>
        </w:rPr>
        <w:t>7.</w:t>
      </w:r>
      <w:r>
        <w:rPr>
          <w:b/>
        </w:rPr>
        <w:tab/>
        <w:t>I</w:t>
      </w:r>
      <w:r w:rsidRPr="00753B95">
        <w:rPr>
          <w:b/>
        </w:rPr>
        <w:t xml:space="preserve">nconsistent with </w:t>
      </w:r>
      <w:r w:rsidR="0075215F">
        <w:rPr>
          <w:b/>
        </w:rPr>
        <w:t>g</w:t>
      </w:r>
      <w:r>
        <w:rPr>
          <w:b/>
        </w:rPr>
        <w:t xml:space="preserve">uidelines </w:t>
      </w:r>
      <w:r w:rsidRPr="00753B95">
        <w:rPr>
          <w:b/>
        </w:rPr>
        <w:t>5 CF</w:t>
      </w:r>
      <w:r>
        <w:rPr>
          <w:b/>
        </w:rPr>
        <w:t>R §1320.5(d)(2)</w:t>
      </w:r>
    </w:p>
    <w:p w:rsidR="00DF2C1A" w:rsidRPr="00753B95" w:rsidP="00027E19" w14:paraId="7E1FA84B" w14:textId="77777777">
      <w:pPr>
        <w:widowControl w:val="0"/>
        <w:ind w:left="540" w:hanging="540"/>
      </w:pPr>
    </w:p>
    <w:p w:rsidR="00DF2C1A" w:rsidRPr="00753B95" w:rsidP="00396719" w14:paraId="1F884D65" w14:textId="3FF2B0A8">
      <w:pPr>
        <w:widowControl w:val="0"/>
        <w:ind w:left="720"/>
      </w:pPr>
      <w:r>
        <w:t>The</w:t>
      </w:r>
      <w:r w:rsidRPr="00753B95">
        <w:t xml:space="preserve"> collection </w:t>
      </w:r>
      <w:r>
        <w:t>of information is conducted in a manner consistent with the guidelines in §1320.5(d)(2).</w:t>
      </w:r>
    </w:p>
    <w:p w:rsidR="00DF2C1A" w:rsidRPr="00753B95" w:rsidP="00027E19" w14:paraId="4B0DD0D1" w14:textId="77777777">
      <w:pPr>
        <w:widowControl w:val="0"/>
        <w:ind w:left="540" w:hanging="540"/>
      </w:pPr>
    </w:p>
    <w:p w:rsidR="00DF2C1A" w:rsidRPr="00753B95" w:rsidP="00396719" w14:paraId="6C10B372" w14:textId="3074B7AB">
      <w:pPr>
        <w:widowControl w:val="0"/>
        <w:ind w:left="720" w:hanging="720"/>
        <w:rPr>
          <w:b/>
        </w:rPr>
      </w:pPr>
      <w:r>
        <w:rPr>
          <w:b/>
        </w:rPr>
        <w:t>8.</w:t>
      </w:r>
      <w:r>
        <w:rPr>
          <w:b/>
        </w:rPr>
        <w:tab/>
      </w:r>
      <w:r w:rsidR="0075215F">
        <w:rPr>
          <w:b/>
        </w:rPr>
        <w:t>Efforts to consult with persons o</w:t>
      </w:r>
      <w:r>
        <w:rPr>
          <w:b/>
        </w:rPr>
        <w:t xml:space="preserve">utside of the </w:t>
      </w:r>
      <w:r w:rsidR="0075215F">
        <w:rPr>
          <w:b/>
        </w:rPr>
        <w:t>a</w:t>
      </w:r>
      <w:r>
        <w:rPr>
          <w:b/>
        </w:rPr>
        <w:t>gency</w:t>
      </w:r>
      <w:r w:rsidR="0075215F">
        <w:rPr>
          <w:b/>
        </w:rPr>
        <w:t>.</w:t>
      </w:r>
    </w:p>
    <w:p w:rsidR="00DF2C1A" w:rsidRPr="00753B95" w:rsidP="00027E19" w14:paraId="57C10E3B" w14:textId="77777777">
      <w:pPr>
        <w:widowControl w:val="0"/>
        <w:ind w:left="540" w:hanging="540"/>
      </w:pPr>
    </w:p>
    <w:p w:rsidR="00DF2C1A" w:rsidRPr="00753B95" w:rsidP="00396719" w14:paraId="244BC3FA" w14:textId="4B0EF101">
      <w:pPr>
        <w:widowControl w:val="0"/>
        <w:tabs>
          <w:tab w:val="left" w:pos="720"/>
        </w:tabs>
        <w:ind w:left="720" w:hanging="720"/>
      </w:pPr>
      <w:r>
        <w:tab/>
      </w:r>
      <w:r w:rsidRPr="008A2825" w:rsidR="008A2825">
        <w:t>A 60-day notice was published in the Federal Register soliciting comments from the public on July 17, 2024, at 89 FR 5819</w:t>
      </w:r>
      <w:r w:rsidR="0070017B">
        <w:t>5</w:t>
      </w:r>
      <w:r w:rsidRPr="008A2825" w:rsidR="008A2825">
        <w:t>, and no comments were received in response to this notice.</w:t>
      </w:r>
    </w:p>
    <w:p w:rsidR="00DF2C1A" w:rsidRPr="00753B95" w:rsidP="00027E19" w14:paraId="09AA1FCC" w14:textId="77777777">
      <w:pPr>
        <w:ind w:left="540" w:hanging="540"/>
      </w:pPr>
    </w:p>
    <w:p w:rsidR="00D05C04" w:rsidRPr="00753B95" w:rsidP="00396719" w14:paraId="5E927DA5" w14:textId="4B4DDF45">
      <w:pPr>
        <w:ind w:left="720" w:hanging="720"/>
        <w:rPr>
          <w:b/>
        </w:rPr>
      </w:pPr>
      <w:r w:rsidRPr="00753B95">
        <w:rPr>
          <w:b/>
        </w:rPr>
        <w:t>9.</w:t>
      </w:r>
      <w:r w:rsidR="00027E19">
        <w:rPr>
          <w:b/>
        </w:rPr>
        <w:tab/>
        <w:t xml:space="preserve">Payment or </w:t>
      </w:r>
      <w:r w:rsidR="00800226">
        <w:rPr>
          <w:b/>
        </w:rPr>
        <w:t>g</w:t>
      </w:r>
      <w:r w:rsidR="00027E19">
        <w:rPr>
          <w:b/>
        </w:rPr>
        <w:t xml:space="preserve">ift to </w:t>
      </w:r>
      <w:r w:rsidR="00800226">
        <w:rPr>
          <w:b/>
        </w:rPr>
        <w:t>r</w:t>
      </w:r>
      <w:r w:rsidRPr="00753B95">
        <w:rPr>
          <w:b/>
        </w:rPr>
        <w:t>espondents</w:t>
      </w:r>
      <w:r w:rsidR="00800226">
        <w:rPr>
          <w:b/>
        </w:rPr>
        <w:t>.</w:t>
      </w:r>
    </w:p>
    <w:p w:rsidR="0088606D" w:rsidRPr="00753B95" w:rsidP="00027E19" w14:paraId="34EB070C" w14:textId="77777777">
      <w:pPr>
        <w:ind w:left="540" w:hanging="540"/>
      </w:pPr>
    </w:p>
    <w:p w:rsidR="00D05C04" w:rsidRPr="00753B95" w:rsidP="00396719" w14:paraId="377A249C" w14:textId="639142C9">
      <w:pPr>
        <w:ind w:left="720" w:hanging="720"/>
      </w:pPr>
      <w:r>
        <w:tab/>
      </w:r>
      <w:r w:rsidR="002E4F2B">
        <w:t xml:space="preserve">No </w:t>
      </w:r>
      <w:r w:rsidRPr="00753B95" w:rsidR="001D3C24">
        <w:t>payment or gift to respondents</w:t>
      </w:r>
      <w:r w:rsidR="002E4F2B">
        <w:t xml:space="preserve"> are made</w:t>
      </w:r>
      <w:r w:rsidR="00C053C1">
        <w:t>.</w:t>
      </w:r>
    </w:p>
    <w:p w:rsidR="00D05C04" w:rsidRPr="00753B95" w:rsidP="00027E19" w14:paraId="63DB58ED" w14:textId="77777777">
      <w:pPr>
        <w:ind w:left="540" w:hanging="540"/>
      </w:pPr>
    </w:p>
    <w:p w:rsidR="00D05C04" w:rsidRPr="00753B95" w:rsidP="00396719" w14:paraId="70EF5748" w14:textId="2949480A">
      <w:pPr>
        <w:ind w:left="720" w:hanging="720"/>
        <w:rPr>
          <w:b/>
        </w:rPr>
      </w:pPr>
      <w:r w:rsidRPr="00753B95">
        <w:rPr>
          <w:b/>
        </w:rPr>
        <w:t>10.</w:t>
      </w:r>
      <w:r w:rsidR="00027E19">
        <w:rPr>
          <w:b/>
        </w:rPr>
        <w:tab/>
        <w:t xml:space="preserve">Assurance of </w:t>
      </w:r>
      <w:r w:rsidR="00800226">
        <w:rPr>
          <w:b/>
        </w:rPr>
        <w:t>c</w:t>
      </w:r>
      <w:r w:rsidR="00027E19">
        <w:rPr>
          <w:b/>
        </w:rPr>
        <w:t>onfidentiality</w:t>
      </w:r>
      <w:r w:rsidR="00800226">
        <w:rPr>
          <w:b/>
        </w:rPr>
        <w:t>.</w:t>
      </w:r>
    </w:p>
    <w:p w:rsidR="0075215F" w:rsidP="00027E19" w14:paraId="5C1D601E" w14:textId="77777777">
      <w:pPr>
        <w:ind w:left="540" w:hanging="540"/>
      </w:pPr>
    </w:p>
    <w:p w:rsidR="0078257D" w:rsidP="00396719" w14:paraId="7B2C0B19" w14:textId="2DF99D89">
      <w:pPr>
        <w:ind w:left="720" w:hanging="720"/>
      </w:pPr>
      <w:r>
        <w:tab/>
      </w:r>
      <w:r>
        <w:t>There is no assurance of confidentiality other than that provided by law.</w:t>
      </w:r>
    </w:p>
    <w:p w:rsidR="00D05C04" w:rsidRPr="00753B95" w:rsidP="00027E19" w14:paraId="562B0CF0" w14:textId="77777777">
      <w:pPr>
        <w:ind w:left="540" w:hanging="540"/>
      </w:pPr>
    </w:p>
    <w:p w:rsidR="00D05C04" w:rsidRPr="00753B95" w:rsidP="00396719" w14:paraId="4C9C2C47" w14:textId="781A47CA">
      <w:pPr>
        <w:ind w:left="720" w:hanging="720"/>
        <w:rPr>
          <w:b/>
        </w:rPr>
      </w:pPr>
      <w:r w:rsidRPr="00753B95">
        <w:rPr>
          <w:b/>
        </w:rPr>
        <w:t>11.</w:t>
      </w:r>
      <w:r w:rsidR="00027E19">
        <w:rPr>
          <w:b/>
        </w:rPr>
        <w:tab/>
        <w:t>Q</w:t>
      </w:r>
      <w:r w:rsidRPr="00753B95">
        <w:rPr>
          <w:b/>
        </w:rPr>
        <w:t>uestion</w:t>
      </w:r>
      <w:r w:rsidR="00027E19">
        <w:rPr>
          <w:b/>
        </w:rPr>
        <w:t xml:space="preserve">s of a </w:t>
      </w:r>
      <w:r w:rsidR="00800226">
        <w:rPr>
          <w:b/>
        </w:rPr>
        <w:t>s</w:t>
      </w:r>
      <w:r w:rsidR="00027E19">
        <w:rPr>
          <w:b/>
        </w:rPr>
        <w:t xml:space="preserve">ensitive </w:t>
      </w:r>
      <w:r w:rsidR="00800226">
        <w:rPr>
          <w:b/>
        </w:rPr>
        <w:t>n</w:t>
      </w:r>
      <w:r w:rsidRPr="00753B95">
        <w:rPr>
          <w:b/>
        </w:rPr>
        <w:t>ature</w:t>
      </w:r>
      <w:r w:rsidR="00800226">
        <w:rPr>
          <w:b/>
        </w:rPr>
        <w:t>.</w:t>
      </w:r>
    </w:p>
    <w:p w:rsidR="00D05C04" w:rsidRPr="00753B95" w:rsidP="00027E19" w14:paraId="1E5B7883" w14:textId="77777777">
      <w:pPr>
        <w:ind w:left="540" w:hanging="540"/>
      </w:pPr>
    </w:p>
    <w:p w:rsidR="00D05C04" w:rsidRPr="00753B95" w:rsidP="00396719" w14:paraId="362AEF77" w14:textId="77777777">
      <w:pPr>
        <w:ind w:left="720" w:hanging="720"/>
      </w:pPr>
      <w:r>
        <w:tab/>
      </w:r>
      <w:r w:rsidR="002E4F2B">
        <w:t>No personally identifiable information (PII) is collected.</w:t>
      </w:r>
    </w:p>
    <w:p w:rsidR="00D05C04" w:rsidRPr="00753B95" w:rsidP="00027E19" w14:paraId="283172B6" w14:textId="77777777">
      <w:pPr>
        <w:ind w:left="540" w:hanging="540"/>
      </w:pPr>
    </w:p>
    <w:p w:rsidR="00027E19" w:rsidP="00396719" w14:paraId="0C0A78BA" w14:textId="26EB009C">
      <w:pPr>
        <w:ind w:left="720" w:hanging="720"/>
        <w:rPr>
          <w:b/>
        </w:rPr>
      </w:pPr>
      <w:r w:rsidRPr="00753B95">
        <w:rPr>
          <w:b/>
        </w:rPr>
        <w:t>12.</w:t>
      </w:r>
      <w:r>
        <w:rPr>
          <w:b/>
        </w:rPr>
        <w:tab/>
      </w:r>
      <w:r w:rsidR="00800226">
        <w:rPr>
          <w:b/>
        </w:rPr>
        <w:t>E</w:t>
      </w:r>
      <w:r>
        <w:rPr>
          <w:b/>
        </w:rPr>
        <w:t>stimate</w:t>
      </w:r>
      <w:r w:rsidR="00800226">
        <w:rPr>
          <w:b/>
        </w:rPr>
        <w:t xml:space="preserve"> of b</w:t>
      </w:r>
      <w:r>
        <w:rPr>
          <w:b/>
        </w:rPr>
        <w:t xml:space="preserve">urden of </w:t>
      </w:r>
      <w:r w:rsidR="00800226">
        <w:rPr>
          <w:b/>
        </w:rPr>
        <w:t>i</w:t>
      </w:r>
      <w:r>
        <w:rPr>
          <w:b/>
        </w:rPr>
        <w:t xml:space="preserve">nformation </w:t>
      </w:r>
      <w:r w:rsidR="00800226">
        <w:rPr>
          <w:b/>
        </w:rPr>
        <w:t>c</w:t>
      </w:r>
      <w:r>
        <w:rPr>
          <w:b/>
        </w:rPr>
        <w:t>ollection</w:t>
      </w:r>
      <w:r w:rsidR="00800226">
        <w:rPr>
          <w:b/>
        </w:rPr>
        <w:t>.</w:t>
      </w:r>
    </w:p>
    <w:p w:rsidR="0075215F" w:rsidRPr="00753B95" w:rsidP="00F27F56" w14:paraId="2AC782C7" w14:textId="77777777"/>
    <w:tbl>
      <w:tblPr>
        <w:tblStyle w:val="TableGrid"/>
        <w:tblW w:w="9990" w:type="dxa"/>
        <w:tblInd w:w="-95" w:type="dxa"/>
        <w:tblLayout w:type="fixed"/>
        <w:tblLook w:val="04A0"/>
      </w:tblPr>
      <w:tblGrid>
        <w:gridCol w:w="1170"/>
        <w:gridCol w:w="3420"/>
        <w:gridCol w:w="1170"/>
        <w:gridCol w:w="990"/>
        <w:gridCol w:w="990"/>
        <w:gridCol w:w="1080"/>
        <w:gridCol w:w="1170"/>
      </w:tblGrid>
      <w:tr w14:paraId="78ED9214" w14:textId="77777777" w:rsidTr="00573B31">
        <w:tblPrEx>
          <w:tblW w:w="9990" w:type="dxa"/>
          <w:tblInd w:w="-95" w:type="dxa"/>
          <w:tblLayout w:type="fixed"/>
          <w:tblLook w:val="04A0"/>
        </w:tblPrEx>
        <w:tc>
          <w:tcPr>
            <w:tcW w:w="1170" w:type="dxa"/>
            <w:tcBorders>
              <w:left w:val="single" w:sz="4" w:space="0" w:color="auto"/>
            </w:tcBorders>
            <w:vAlign w:val="center"/>
          </w:tcPr>
          <w:p w:rsidR="001E26D4" w:rsidRPr="00874688" w:rsidP="002A6CDC" w14:paraId="7FC887D9" w14:textId="4057744B">
            <w:pPr>
              <w:jc w:val="center"/>
              <w:rPr>
                <w:rFonts w:ascii="Arial Narrow" w:hAnsi="Arial Narrow"/>
                <w:sz w:val="18"/>
                <w:szCs w:val="18"/>
              </w:rPr>
            </w:pPr>
            <w:r w:rsidRPr="00874688">
              <w:rPr>
                <w:rFonts w:ascii="Arial Narrow" w:hAnsi="Arial Narrow"/>
                <w:sz w:val="18"/>
                <w:szCs w:val="18"/>
              </w:rPr>
              <w:t>Sec.</w:t>
            </w:r>
          </w:p>
        </w:tc>
        <w:tc>
          <w:tcPr>
            <w:tcW w:w="3420" w:type="dxa"/>
            <w:vAlign w:val="center"/>
          </w:tcPr>
          <w:p w:rsidR="001E26D4" w:rsidRPr="00874688" w:rsidP="002A6CDC" w14:paraId="733B4039" w14:textId="729E4B71">
            <w:pPr>
              <w:jc w:val="center"/>
              <w:rPr>
                <w:rFonts w:ascii="Arial Narrow" w:hAnsi="Arial Narrow"/>
                <w:sz w:val="18"/>
                <w:szCs w:val="18"/>
              </w:rPr>
            </w:pPr>
            <w:r>
              <w:rPr>
                <w:rFonts w:ascii="Arial Narrow" w:hAnsi="Arial Narrow"/>
                <w:sz w:val="18"/>
                <w:szCs w:val="18"/>
              </w:rPr>
              <w:t>Information Collection</w:t>
            </w:r>
          </w:p>
        </w:tc>
        <w:tc>
          <w:tcPr>
            <w:tcW w:w="1170" w:type="dxa"/>
            <w:vAlign w:val="center"/>
          </w:tcPr>
          <w:p w:rsidR="001E26D4" w:rsidRPr="001E26D4" w:rsidP="002A6CDC" w14:paraId="4B108372" w14:textId="7EE97026">
            <w:pPr>
              <w:jc w:val="center"/>
              <w:rPr>
                <w:rFonts w:ascii="Arial Narrow" w:hAnsi="Arial Narrow"/>
                <w:sz w:val="18"/>
                <w:szCs w:val="18"/>
              </w:rPr>
            </w:pPr>
            <w:r w:rsidRPr="001E26D4">
              <w:rPr>
                <w:rFonts w:ascii="Arial Narrow" w:hAnsi="Arial Narrow"/>
                <w:sz w:val="18"/>
                <w:szCs w:val="18"/>
              </w:rPr>
              <w:t>Number of Respondents</w:t>
            </w:r>
          </w:p>
        </w:tc>
        <w:tc>
          <w:tcPr>
            <w:tcW w:w="990" w:type="dxa"/>
            <w:vAlign w:val="center"/>
          </w:tcPr>
          <w:p w:rsidR="001E26D4" w:rsidRPr="001E26D4" w:rsidP="00060C64" w14:paraId="538F90BE" w14:textId="2642AC00">
            <w:pPr>
              <w:jc w:val="center"/>
              <w:rPr>
                <w:rFonts w:ascii="Arial Narrow" w:hAnsi="Arial Narrow"/>
                <w:sz w:val="18"/>
                <w:szCs w:val="18"/>
              </w:rPr>
            </w:pPr>
            <w:r w:rsidRPr="001E26D4">
              <w:rPr>
                <w:rFonts w:ascii="Arial Narrow" w:hAnsi="Arial Narrow"/>
                <w:sz w:val="18"/>
                <w:szCs w:val="18"/>
              </w:rPr>
              <w:t xml:space="preserve">Annual Frequency </w:t>
            </w:r>
          </w:p>
        </w:tc>
        <w:tc>
          <w:tcPr>
            <w:tcW w:w="990" w:type="dxa"/>
          </w:tcPr>
          <w:p w:rsidR="001E26D4" w:rsidRPr="001E26D4" w:rsidP="00382444" w14:paraId="1F04538B" w14:textId="75E3344B">
            <w:pPr>
              <w:jc w:val="center"/>
              <w:rPr>
                <w:rFonts w:ascii="Arial Narrow" w:hAnsi="Arial Narrow"/>
                <w:sz w:val="18"/>
                <w:szCs w:val="18"/>
              </w:rPr>
            </w:pPr>
            <w:r>
              <w:rPr>
                <w:rFonts w:ascii="Arial Narrow" w:hAnsi="Arial Narrow"/>
                <w:sz w:val="18"/>
                <w:szCs w:val="18"/>
              </w:rPr>
              <w:t>Annual Responses</w:t>
            </w:r>
          </w:p>
        </w:tc>
        <w:tc>
          <w:tcPr>
            <w:tcW w:w="1080" w:type="dxa"/>
            <w:vAlign w:val="center"/>
          </w:tcPr>
          <w:p w:rsidR="001E26D4" w:rsidRPr="001E26D4" w:rsidP="00382444" w14:paraId="25A3DB9B" w14:textId="605B060F">
            <w:pPr>
              <w:jc w:val="center"/>
              <w:rPr>
                <w:rFonts w:ascii="Arial Narrow" w:hAnsi="Arial Narrow"/>
                <w:sz w:val="18"/>
                <w:szCs w:val="18"/>
              </w:rPr>
            </w:pPr>
            <w:r w:rsidRPr="001E26D4">
              <w:rPr>
                <w:rFonts w:ascii="Arial Narrow" w:hAnsi="Arial Narrow"/>
                <w:sz w:val="18"/>
                <w:szCs w:val="18"/>
              </w:rPr>
              <w:t>Hours per Response</w:t>
            </w:r>
          </w:p>
        </w:tc>
        <w:tc>
          <w:tcPr>
            <w:tcW w:w="1170" w:type="dxa"/>
            <w:vAlign w:val="center"/>
          </w:tcPr>
          <w:p w:rsidR="001E26D4" w:rsidRPr="001E26D4" w:rsidP="002A6CDC" w14:paraId="1A2C7F42" w14:textId="77777777">
            <w:pPr>
              <w:jc w:val="center"/>
              <w:rPr>
                <w:rFonts w:ascii="Arial Narrow" w:hAnsi="Arial Narrow"/>
                <w:sz w:val="18"/>
                <w:szCs w:val="18"/>
              </w:rPr>
            </w:pPr>
            <w:r w:rsidRPr="001E26D4">
              <w:rPr>
                <w:rFonts w:ascii="Arial Narrow" w:hAnsi="Arial Narrow"/>
                <w:sz w:val="18"/>
                <w:szCs w:val="18"/>
              </w:rPr>
              <w:t>Total Annual Burden Hours</w:t>
            </w:r>
          </w:p>
        </w:tc>
      </w:tr>
      <w:tr w14:paraId="4DEE4AF2" w14:textId="77777777" w:rsidTr="00573B31">
        <w:tblPrEx>
          <w:tblW w:w="9990" w:type="dxa"/>
          <w:tblInd w:w="-95" w:type="dxa"/>
          <w:tblLayout w:type="fixed"/>
          <w:tblLook w:val="04A0"/>
        </w:tblPrEx>
        <w:tc>
          <w:tcPr>
            <w:tcW w:w="1170" w:type="dxa"/>
          </w:tcPr>
          <w:p w:rsidR="001E26D4" w:rsidRPr="00060C64" w:rsidP="002A6CDC" w14:paraId="1536D10D" w14:textId="75A38439">
            <w:pPr>
              <w:rPr>
                <w:sz w:val="20"/>
                <w:szCs w:val="20"/>
              </w:rPr>
            </w:pPr>
            <w:r w:rsidRPr="00060C64">
              <w:rPr>
                <w:sz w:val="20"/>
                <w:szCs w:val="20"/>
              </w:rPr>
              <w:t>746.203</w:t>
            </w:r>
          </w:p>
        </w:tc>
        <w:tc>
          <w:tcPr>
            <w:tcW w:w="3420" w:type="dxa"/>
          </w:tcPr>
          <w:p w:rsidR="001E26D4" w:rsidRPr="00060C64" w:rsidP="001E26D4" w14:paraId="1B022CE1" w14:textId="5BE506DF">
            <w:pPr>
              <w:rPr>
                <w:rFonts w:ascii="Arial Narrow" w:hAnsi="Arial Narrow"/>
                <w:sz w:val="20"/>
                <w:szCs w:val="20"/>
              </w:rPr>
            </w:pPr>
            <w:r w:rsidRPr="005F48D8">
              <w:rPr>
                <w:rFonts w:ascii="Arial Narrow" w:hAnsi="Arial Narrow"/>
                <w:i/>
                <w:sz w:val="20"/>
                <w:szCs w:val="20"/>
              </w:rPr>
              <w:t>Request for Reconsideration</w:t>
            </w:r>
            <w:r>
              <w:rPr>
                <w:rFonts w:ascii="Arial Narrow" w:hAnsi="Arial Narrow"/>
                <w:sz w:val="20"/>
                <w:szCs w:val="20"/>
              </w:rPr>
              <w:t>.  Petitioner makes written request to the appropriate program office to reconsider the initial agency determination</w:t>
            </w:r>
          </w:p>
        </w:tc>
        <w:tc>
          <w:tcPr>
            <w:tcW w:w="1170" w:type="dxa"/>
            <w:vAlign w:val="center"/>
          </w:tcPr>
          <w:p w:rsidR="001E26D4" w:rsidRPr="00060C64" w:rsidP="002A6CDC" w14:paraId="72FE96DE" w14:textId="63D63E2A">
            <w:pPr>
              <w:jc w:val="center"/>
              <w:rPr>
                <w:sz w:val="20"/>
                <w:szCs w:val="20"/>
              </w:rPr>
            </w:pPr>
            <w:r>
              <w:rPr>
                <w:sz w:val="20"/>
                <w:szCs w:val="20"/>
              </w:rPr>
              <w:t>24</w:t>
            </w:r>
          </w:p>
        </w:tc>
        <w:tc>
          <w:tcPr>
            <w:tcW w:w="990" w:type="dxa"/>
            <w:vAlign w:val="center"/>
          </w:tcPr>
          <w:p w:rsidR="001E26D4" w:rsidRPr="00060C64" w:rsidP="002A6CDC" w14:paraId="2BEEB6DD" w14:textId="77777777">
            <w:pPr>
              <w:jc w:val="center"/>
              <w:rPr>
                <w:sz w:val="20"/>
                <w:szCs w:val="20"/>
              </w:rPr>
            </w:pPr>
            <w:r w:rsidRPr="00060C64">
              <w:rPr>
                <w:sz w:val="20"/>
                <w:szCs w:val="20"/>
              </w:rPr>
              <w:t>1</w:t>
            </w:r>
          </w:p>
        </w:tc>
        <w:tc>
          <w:tcPr>
            <w:tcW w:w="990" w:type="dxa"/>
            <w:vAlign w:val="center"/>
          </w:tcPr>
          <w:p w:rsidR="001E26D4" w:rsidP="00B951AF" w14:paraId="69023908" w14:textId="20A11779">
            <w:pPr>
              <w:jc w:val="center"/>
              <w:rPr>
                <w:sz w:val="20"/>
                <w:szCs w:val="20"/>
              </w:rPr>
            </w:pPr>
            <w:r>
              <w:rPr>
                <w:sz w:val="20"/>
                <w:szCs w:val="20"/>
              </w:rPr>
              <w:t>24</w:t>
            </w:r>
          </w:p>
        </w:tc>
        <w:tc>
          <w:tcPr>
            <w:tcW w:w="1080" w:type="dxa"/>
            <w:vAlign w:val="center"/>
          </w:tcPr>
          <w:p w:rsidR="001E26D4" w:rsidRPr="00060C64" w:rsidP="00B951AF" w14:paraId="50CD2D67" w14:textId="0405AE74">
            <w:pPr>
              <w:jc w:val="center"/>
              <w:rPr>
                <w:sz w:val="20"/>
                <w:szCs w:val="20"/>
              </w:rPr>
            </w:pPr>
            <w:r>
              <w:rPr>
                <w:sz w:val="20"/>
                <w:szCs w:val="20"/>
              </w:rPr>
              <w:t>10</w:t>
            </w:r>
            <w:r w:rsidRPr="00060C64">
              <w:rPr>
                <w:sz w:val="20"/>
                <w:szCs w:val="20"/>
              </w:rPr>
              <w:t xml:space="preserve"> </w:t>
            </w:r>
          </w:p>
        </w:tc>
        <w:tc>
          <w:tcPr>
            <w:tcW w:w="1170" w:type="dxa"/>
            <w:vAlign w:val="center"/>
          </w:tcPr>
          <w:p w:rsidR="001E26D4" w:rsidRPr="00060C64" w:rsidP="00875DCD" w14:paraId="6A53A374" w14:textId="26B1FF4A">
            <w:pPr>
              <w:jc w:val="center"/>
              <w:rPr>
                <w:sz w:val="20"/>
                <w:szCs w:val="20"/>
              </w:rPr>
            </w:pPr>
            <w:r>
              <w:rPr>
                <w:sz w:val="20"/>
                <w:szCs w:val="20"/>
              </w:rPr>
              <w:t>240</w:t>
            </w:r>
          </w:p>
        </w:tc>
      </w:tr>
      <w:tr w14:paraId="443521F7" w14:textId="77777777" w:rsidTr="00573B31">
        <w:tblPrEx>
          <w:tblW w:w="9990" w:type="dxa"/>
          <w:tblInd w:w="-95" w:type="dxa"/>
          <w:tblLayout w:type="fixed"/>
          <w:tblLook w:val="04A0"/>
        </w:tblPrEx>
        <w:tc>
          <w:tcPr>
            <w:tcW w:w="1170" w:type="dxa"/>
          </w:tcPr>
          <w:p w:rsidR="001E26D4" w:rsidRPr="00060C64" w:rsidP="002A6CDC" w14:paraId="1831CA7D" w14:textId="53DD848B">
            <w:pPr>
              <w:rPr>
                <w:sz w:val="20"/>
                <w:szCs w:val="20"/>
              </w:rPr>
            </w:pPr>
            <w:r w:rsidRPr="00060C64">
              <w:rPr>
                <w:sz w:val="20"/>
                <w:szCs w:val="20"/>
              </w:rPr>
              <w:t>746.204</w:t>
            </w:r>
          </w:p>
        </w:tc>
        <w:tc>
          <w:tcPr>
            <w:tcW w:w="3420" w:type="dxa"/>
          </w:tcPr>
          <w:p w:rsidR="001E26D4" w:rsidRPr="00060C64" w:rsidP="005F48D8" w14:paraId="032C8D56" w14:textId="33F33F69">
            <w:pPr>
              <w:rPr>
                <w:rFonts w:ascii="Arial Narrow" w:hAnsi="Arial Narrow"/>
                <w:sz w:val="20"/>
                <w:szCs w:val="20"/>
              </w:rPr>
            </w:pPr>
            <w:r w:rsidRPr="005F48D8">
              <w:rPr>
                <w:rFonts w:ascii="Arial Narrow" w:hAnsi="Arial Narrow"/>
                <w:i/>
                <w:sz w:val="20"/>
                <w:szCs w:val="20"/>
              </w:rPr>
              <w:t>Appeal to the Board</w:t>
            </w:r>
            <w:r>
              <w:rPr>
                <w:rFonts w:ascii="Arial Narrow" w:hAnsi="Arial Narrow"/>
                <w:sz w:val="20"/>
                <w:szCs w:val="20"/>
              </w:rPr>
              <w:t>.</w:t>
            </w:r>
            <w:r w:rsidR="005F48D8">
              <w:rPr>
                <w:rFonts w:ascii="Arial Narrow" w:hAnsi="Arial Narrow"/>
                <w:sz w:val="20"/>
                <w:szCs w:val="20"/>
              </w:rPr>
              <w:t xml:space="preserve"> </w:t>
            </w:r>
            <w:r>
              <w:rPr>
                <w:rFonts w:ascii="Arial Narrow" w:hAnsi="Arial Narrow"/>
                <w:sz w:val="20"/>
                <w:szCs w:val="20"/>
              </w:rPr>
              <w:t>P</w:t>
            </w:r>
            <w:r w:rsidRPr="00060C64">
              <w:rPr>
                <w:rFonts w:ascii="Arial Narrow" w:hAnsi="Arial Narrow"/>
                <w:sz w:val="20"/>
                <w:szCs w:val="20"/>
              </w:rPr>
              <w:t>etitioner file</w:t>
            </w:r>
            <w:r>
              <w:rPr>
                <w:rFonts w:ascii="Arial Narrow" w:hAnsi="Arial Narrow"/>
                <w:sz w:val="20"/>
                <w:szCs w:val="20"/>
              </w:rPr>
              <w:t>s</w:t>
            </w:r>
            <w:r w:rsidRPr="00060C64">
              <w:rPr>
                <w:rFonts w:ascii="Arial Narrow" w:hAnsi="Arial Narrow"/>
                <w:sz w:val="20"/>
                <w:szCs w:val="20"/>
              </w:rPr>
              <w:t xml:space="preserve"> an appeal seeking review of the determination by the Board.  </w:t>
            </w:r>
          </w:p>
        </w:tc>
        <w:tc>
          <w:tcPr>
            <w:tcW w:w="1170" w:type="dxa"/>
            <w:vAlign w:val="center"/>
          </w:tcPr>
          <w:p w:rsidR="001E26D4" w:rsidRPr="00060C64" w:rsidP="002A6CDC" w14:paraId="4931D29C" w14:textId="235B93B5">
            <w:pPr>
              <w:jc w:val="center"/>
              <w:rPr>
                <w:sz w:val="20"/>
                <w:szCs w:val="20"/>
              </w:rPr>
            </w:pPr>
            <w:r>
              <w:rPr>
                <w:sz w:val="20"/>
                <w:szCs w:val="20"/>
              </w:rPr>
              <w:t>10</w:t>
            </w:r>
          </w:p>
        </w:tc>
        <w:tc>
          <w:tcPr>
            <w:tcW w:w="990" w:type="dxa"/>
            <w:vAlign w:val="center"/>
          </w:tcPr>
          <w:p w:rsidR="001E26D4" w:rsidRPr="00060C64" w:rsidP="002A6CDC" w14:paraId="1769832A" w14:textId="77777777">
            <w:pPr>
              <w:jc w:val="center"/>
              <w:rPr>
                <w:sz w:val="20"/>
                <w:szCs w:val="20"/>
              </w:rPr>
            </w:pPr>
            <w:r w:rsidRPr="00060C64">
              <w:rPr>
                <w:sz w:val="20"/>
                <w:szCs w:val="20"/>
              </w:rPr>
              <w:t>1</w:t>
            </w:r>
          </w:p>
        </w:tc>
        <w:tc>
          <w:tcPr>
            <w:tcW w:w="990" w:type="dxa"/>
            <w:vAlign w:val="center"/>
          </w:tcPr>
          <w:p w:rsidR="001E26D4" w:rsidP="00B951AF" w14:paraId="2720FD0C" w14:textId="5F0E347A">
            <w:pPr>
              <w:jc w:val="center"/>
              <w:rPr>
                <w:sz w:val="20"/>
                <w:szCs w:val="20"/>
              </w:rPr>
            </w:pPr>
            <w:r>
              <w:rPr>
                <w:sz w:val="20"/>
                <w:szCs w:val="20"/>
              </w:rPr>
              <w:t>10</w:t>
            </w:r>
          </w:p>
        </w:tc>
        <w:tc>
          <w:tcPr>
            <w:tcW w:w="1080" w:type="dxa"/>
            <w:vAlign w:val="center"/>
          </w:tcPr>
          <w:p w:rsidR="001E26D4" w:rsidRPr="00060C64" w:rsidP="00B951AF" w14:paraId="4A4BDCB2" w14:textId="1552DE25">
            <w:pPr>
              <w:jc w:val="center"/>
              <w:rPr>
                <w:sz w:val="20"/>
                <w:szCs w:val="20"/>
              </w:rPr>
            </w:pPr>
            <w:r>
              <w:rPr>
                <w:sz w:val="20"/>
                <w:szCs w:val="20"/>
              </w:rPr>
              <w:t>20</w:t>
            </w:r>
          </w:p>
        </w:tc>
        <w:tc>
          <w:tcPr>
            <w:tcW w:w="1170" w:type="dxa"/>
            <w:vAlign w:val="center"/>
          </w:tcPr>
          <w:p w:rsidR="001E26D4" w:rsidRPr="00060C64" w:rsidP="00875DCD" w14:paraId="5B5E8682" w14:textId="4CBD30FA">
            <w:pPr>
              <w:jc w:val="center"/>
              <w:rPr>
                <w:sz w:val="20"/>
                <w:szCs w:val="20"/>
              </w:rPr>
            </w:pPr>
            <w:r>
              <w:rPr>
                <w:sz w:val="20"/>
                <w:szCs w:val="20"/>
              </w:rPr>
              <w:t>200</w:t>
            </w:r>
          </w:p>
        </w:tc>
      </w:tr>
      <w:tr w14:paraId="319382A7" w14:textId="77777777" w:rsidTr="00573B31">
        <w:tblPrEx>
          <w:tblW w:w="9990" w:type="dxa"/>
          <w:tblInd w:w="-95" w:type="dxa"/>
          <w:tblLayout w:type="fixed"/>
          <w:tblLook w:val="04A0"/>
        </w:tblPrEx>
        <w:trPr>
          <w:trHeight w:val="539"/>
        </w:trPr>
        <w:tc>
          <w:tcPr>
            <w:tcW w:w="4590" w:type="dxa"/>
            <w:gridSpan w:val="2"/>
            <w:vAlign w:val="center"/>
          </w:tcPr>
          <w:p w:rsidR="001E26D4" w:rsidRPr="00875DCD" w:rsidP="001E26D4" w14:paraId="545B7C90" w14:textId="03CD87FA">
            <w:pPr>
              <w:jc w:val="right"/>
              <w:rPr>
                <w:sz w:val="20"/>
                <w:szCs w:val="20"/>
              </w:rPr>
            </w:pPr>
            <w:r w:rsidRPr="00875DCD">
              <w:rPr>
                <w:sz w:val="20"/>
                <w:szCs w:val="20"/>
              </w:rPr>
              <w:t>Total</w:t>
            </w:r>
          </w:p>
        </w:tc>
        <w:tc>
          <w:tcPr>
            <w:tcW w:w="1170" w:type="dxa"/>
            <w:shd w:val="clear" w:color="auto" w:fill="auto"/>
            <w:vAlign w:val="center"/>
          </w:tcPr>
          <w:p w:rsidR="001E26D4" w:rsidRPr="004F5749" w:rsidP="00770F2E" w14:paraId="67387A73" w14:textId="6ADB704A">
            <w:pPr>
              <w:jc w:val="center"/>
              <w:rPr>
                <w:sz w:val="20"/>
                <w:szCs w:val="20"/>
              </w:rPr>
            </w:pPr>
            <w:r w:rsidRPr="004F5749">
              <w:rPr>
                <w:sz w:val="20"/>
                <w:szCs w:val="20"/>
              </w:rPr>
              <w:t>34</w:t>
            </w:r>
          </w:p>
        </w:tc>
        <w:tc>
          <w:tcPr>
            <w:tcW w:w="990" w:type="dxa"/>
            <w:shd w:val="clear" w:color="auto" w:fill="D9D9D9" w:themeFill="background1" w:themeFillShade="D9"/>
            <w:vAlign w:val="center"/>
          </w:tcPr>
          <w:p w:rsidR="001E26D4" w:rsidRPr="00060C64" w:rsidP="00770F2E" w14:paraId="7CBE7014" w14:textId="7E41B3EC">
            <w:pPr>
              <w:jc w:val="center"/>
              <w:rPr>
                <w:sz w:val="20"/>
                <w:szCs w:val="20"/>
              </w:rPr>
            </w:pPr>
          </w:p>
        </w:tc>
        <w:tc>
          <w:tcPr>
            <w:tcW w:w="990" w:type="dxa"/>
            <w:vAlign w:val="center"/>
          </w:tcPr>
          <w:p w:rsidR="001E26D4" w:rsidRPr="00060C64" w:rsidP="00770F2E" w14:paraId="6E8FF92D" w14:textId="3F001D03">
            <w:pPr>
              <w:jc w:val="center"/>
              <w:rPr>
                <w:sz w:val="20"/>
                <w:szCs w:val="20"/>
              </w:rPr>
            </w:pPr>
            <w:r>
              <w:rPr>
                <w:sz w:val="20"/>
                <w:szCs w:val="20"/>
              </w:rPr>
              <w:t>34</w:t>
            </w:r>
          </w:p>
        </w:tc>
        <w:tc>
          <w:tcPr>
            <w:tcW w:w="1080" w:type="dxa"/>
            <w:shd w:val="clear" w:color="auto" w:fill="D9D9D9" w:themeFill="background1" w:themeFillShade="D9"/>
            <w:vAlign w:val="center"/>
          </w:tcPr>
          <w:p w:rsidR="001E26D4" w:rsidRPr="00060C64" w:rsidP="00770F2E" w14:paraId="6BCA4BA5" w14:textId="08B53D62">
            <w:pPr>
              <w:jc w:val="center"/>
              <w:rPr>
                <w:sz w:val="20"/>
                <w:szCs w:val="20"/>
              </w:rPr>
            </w:pPr>
          </w:p>
        </w:tc>
        <w:tc>
          <w:tcPr>
            <w:tcW w:w="1170" w:type="dxa"/>
            <w:vAlign w:val="center"/>
          </w:tcPr>
          <w:p w:rsidR="001E26D4" w:rsidRPr="00060C64" w:rsidP="00875DCD" w14:paraId="4AC4F878" w14:textId="444332BB">
            <w:pPr>
              <w:jc w:val="center"/>
              <w:rPr>
                <w:sz w:val="20"/>
                <w:szCs w:val="20"/>
              </w:rPr>
            </w:pPr>
            <w:r>
              <w:rPr>
                <w:sz w:val="20"/>
                <w:szCs w:val="20"/>
              </w:rPr>
              <w:t>440</w:t>
            </w:r>
          </w:p>
        </w:tc>
      </w:tr>
    </w:tbl>
    <w:p w:rsidR="0075215F" w:rsidP="0075215F" w14:paraId="1A26DC53" w14:textId="5918787E">
      <w:r>
        <w:t>Annualized co</w:t>
      </w:r>
      <w:r w:rsidRPr="00875DCD">
        <w:t xml:space="preserve">st to </w:t>
      </w:r>
      <w:r>
        <w:t>respondents, based on an hourly wage rate of $35, is $15,400.</w:t>
      </w:r>
      <w:r>
        <w:t xml:space="preserve"> </w:t>
      </w:r>
      <w:bookmarkStart w:id="0" w:name="_Hlk75847371"/>
    </w:p>
    <w:bookmarkEnd w:id="0"/>
    <w:p w:rsidR="00875DCD" w:rsidP="00940951" w14:paraId="4E117927" w14:textId="77777777">
      <w:pPr>
        <w:pStyle w:val="NoSpacing"/>
        <w:rPr>
          <w:u w:val="single"/>
        </w:rPr>
      </w:pPr>
    </w:p>
    <w:p w:rsidR="00D728DA" w:rsidRPr="00753B95" w:rsidP="00396719" w14:paraId="5D28C52E" w14:textId="1BC1162D">
      <w:pPr>
        <w:ind w:left="720" w:hanging="720"/>
        <w:rPr>
          <w:b/>
        </w:rPr>
      </w:pPr>
      <w:r w:rsidRPr="00753B95">
        <w:rPr>
          <w:b/>
        </w:rPr>
        <w:t>13.</w:t>
      </w:r>
      <w:r w:rsidR="00027E19">
        <w:rPr>
          <w:b/>
        </w:rPr>
        <w:tab/>
        <w:t xml:space="preserve">Capital </w:t>
      </w:r>
      <w:r w:rsidR="00800226">
        <w:rPr>
          <w:b/>
        </w:rPr>
        <w:t>s</w:t>
      </w:r>
      <w:r w:rsidRPr="00753B95" w:rsidR="00F2748C">
        <w:rPr>
          <w:b/>
        </w:rPr>
        <w:t xml:space="preserve">tart-up </w:t>
      </w:r>
      <w:r w:rsidR="00800226">
        <w:rPr>
          <w:b/>
        </w:rPr>
        <w:t>or on-going operations and</w:t>
      </w:r>
      <w:r w:rsidR="00027E19">
        <w:rPr>
          <w:b/>
        </w:rPr>
        <w:t xml:space="preserve"> </w:t>
      </w:r>
      <w:r w:rsidR="00800226">
        <w:rPr>
          <w:b/>
        </w:rPr>
        <w:t>m</w:t>
      </w:r>
      <w:r w:rsidR="00027E19">
        <w:rPr>
          <w:b/>
        </w:rPr>
        <w:t xml:space="preserve">aintenance </w:t>
      </w:r>
      <w:r w:rsidR="00800226">
        <w:rPr>
          <w:b/>
        </w:rPr>
        <w:t>c</w:t>
      </w:r>
      <w:r w:rsidR="00027E19">
        <w:rPr>
          <w:b/>
        </w:rPr>
        <w:t>osts</w:t>
      </w:r>
      <w:r w:rsidR="00800226">
        <w:rPr>
          <w:b/>
        </w:rPr>
        <w:t>.</w:t>
      </w:r>
    </w:p>
    <w:p w:rsidR="00396719" w:rsidP="00396719" w14:paraId="5D84D948" w14:textId="77777777">
      <w:pPr>
        <w:ind w:left="720" w:hanging="720"/>
      </w:pPr>
    </w:p>
    <w:p w:rsidR="00D728DA" w:rsidRPr="00753B95" w:rsidP="00396719" w14:paraId="19CA5C54" w14:textId="0AC25D60">
      <w:pPr>
        <w:ind w:left="720" w:hanging="720"/>
      </w:pPr>
      <w:r>
        <w:tab/>
      </w:r>
      <w:r w:rsidR="00875DCD">
        <w:t>There are no capital start-up or maintenance costs.</w:t>
      </w:r>
    </w:p>
    <w:p w:rsidR="00AA42B0" w:rsidP="00027E19" w14:paraId="0344B77F" w14:textId="77777777">
      <w:pPr>
        <w:ind w:left="540" w:hanging="540"/>
      </w:pPr>
    </w:p>
    <w:p w:rsidR="00D05C04" w:rsidRPr="00753B95" w:rsidP="00396719" w14:paraId="7E402EB9" w14:textId="39B0E2DF">
      <w:pPr>
        <w:ind w:left="720" w:hanging="720"/>
        <w:rPr>
          <w:b/>
        </w:rPr>
      </w:pPr>
      <w:r>
        <w:rPr>
          <w:b/>
        </w:rPr>
        <w:t>14.</w:t>
      </w:r>
      <w:r>
        <w:rPr>
          <w:b/>
        </w:rPr>
        <w:tab/>
        <w:t>Costs to the</w:t>
      </w:r>
      <w:r w:rsidRPr="00753B95">
        <w:rPr>
          <w:b/>
        </w:rPr>
        <w:t xml:space="preserve"> </w:t>
      </w:r>
      <w:r>
        <w:rPr>
          <w:b/>
        </w:rPr>
        <w:t xml:space="preserve">Federal </w:t>
      </w:r>
      <w:r w:rsidR="00800226">
        <w:rPr>
          <w:b/>
        </w:rPr>
        <w:t>g</w:t>
      </w:r>
      <w:r>
        <w:rPr>
          <w:b/>
        </w:rPr>
        <w:t>overnment</w:t>
      </w:r>
      <w:r w:rsidR="00800226">
        <w:rPr>
          <w:b/>
        </w:rPr>
        <w:t>.</w:t>
      </w:r>
    </w:p>
    <w:p w:rsidR="001F0DB5" w:rsidRPr="00753B95" w:rsidP="00027E19" w14:paraId="7F4D6C51" w14:textId="77777777">
      <w:pPr>
        <w:ind w:left="540" w:hanging="540"/>
        <w:rPr>
          <w:b/>
        </w:rPr>
      </w:pPr>
    </w:p>
    <w:p w:rsidR="00C60EF2" w:rsidP="00396719" w14:paraId="70A5A633" w14:textId="408DF6F7">
      <w:pPr>
        <w:ind w:left="720"/>
      </w:pPr>
      <w:r>
        <w:t>NCUA estimates that, on average, approximately 100 employee-hours will be spent in the review and processing of an appeal</w:t>
      </w:r>
      <w:r w:rsidR="007525A6">
        <w:t>, while the review and processing of a request for reconsideration will take, on average, approximately 45 employee-hours.  The wage rate for the processing is approximately $50 per hour.  Thus, total cost to NCUA for handling an appeal is $5,000, and $2,250 for a request for reconsideration.  Aggregate annual cost for the 34 anticipated responses is $104,000.</w:t>
      </w:r>
    </w:p>
    <w:p w:rsidR="007A5630" w:rsidRPr="00753B95" w:rsidP="000849EB" w14:paraId="3A629F45" w14:textId="77777777">
      <w:pPr>
        <w:ind w:left="540" w:hanging="540"/>
      </w:pPr>
    </w:p>
    <w:p w:rsidR="00D05C04" w:rsidRPr="00753B95" w:rsidP="00396719" w14:paraId="7484DDCC" w14:textId="52E5A6A0">
      <w:pPr>
        <w:tabs>
          <w:tab w:val="left" w:pos="720"/>
        </w:tabs>
        <w:ind w:left="720" w:hanging="720"/>
        <w:rPr>
          <w:b/>
        </w:rPr>
      </w:pPr>
      <w:r w:rsidRPr="00753B95">
        <w:rPr>
          <w:b/>
        </w:rPr>
        <w:t>15.</w:t>
      </w:r>
      <w:r w:rsidR="00027E19">
        <w:rPr>
          <w:b/>
        </w:rPr>
        <w:tab/>
        <w:t xml:space="preserve">Change in </w:t>
      </w:r>
      <w:r w:rsidR="00800226">
        <w:rPr>
          <w:b/>
        </w:rPr>
        <w:t>b</w:t>
      </w:r>
      <w:r w:rsidR="00027E19">
        <w:rPr>
          <w:b/>
        </w:rPr>
        <w:t>urden</w:t>
      </w:r>
      <w:r w:rsidR="00800226">
        <w:rPr>
          <w:b/>
        </w:rPr>
        <w:t>.</w:t>
      </w:r>
    </w:p>
    <w:p w:rsidR="00F2748C" w:rsidRPr="00753B95" w:rsidP="00027E19" w14:paraId="283DE31B" w14:textId="77777777">
      <w:pPr>
        <w:tabs>
          <w:tab w:val="left" w:pos="540"/>
        </w:tabs>
        <w:ind w:left="540" w:hanging="540"/>
      </w:pPr>
    </w:p>
    <w:p w:rsidR="00E07247" w:rsidP="00396719" w14:paraId="31F8DD81" w14:textId="7655CF33">
      <w:pPr>
        <w:autoSpaceDE w:val="0"/>
        <w:autoSpaceDN w:val="0"/>
        <w:adjustRightInd w:val="0"/>
        <w:ind w:left="720"/>
      </w:pPr>
      <w:r>
        <w:t>No change</w:t>
      </w:r>
      <w:r w:rsidR="00F70F4D">
        <w:t>s</w:t>
      </w:r>
      <w:r>
        <w:t xml:space="preserve">. </w:t>
      </w:r>
      <w:r>
        <w:t xml:space="preserve">This is an extension of a currently approved collection.  </w:t>
      </w:r>
    </w:p>
    <w:p w:rsidR="00D05C04" w:rsidRPr="00753B95" w:rsidP="00027E19" w14:paraId="48D3D811" w14:textId="77777777">
      <w:pPr>
        <w:tabs>
          <w:tab w:val="left" w:pos="540"/>
        </w:tabs>
        <w:ind w:left="540" w:hanging="540"/>
      </w:pPr>
    </w:p>
    <w:p w:rsidR="004B7D66" w:rsidRPr="0025151D" w:rsidP="0025151D" w14:paraId="3B468FD3" w14:textId="5D4FA83D">
      <w:pPr>
        <w:ind w:left="720" w:hanging="720"/>
        <w:rPr>
          <w:b/>
        </w:rPr>
      </w:pPr>
      <w:r w:rsidRPr="00753B95">
        <w:rPr>
          <w:b/>
        </w:rPr>
        <w:t>16.</w:t>
      </w:r>
      <w:r w:rsidR="00027E19">
        <w:rPr>
          <w:b/>
        </w:rPr>
        <w:tab/>
      </w:r>
      <w:r w:rsidR="00800226">
        <w:rPr>
          <w:b/>
        </w:rPr>
        <w:t>Information collection planned for statistical p</w:t>
      </w:r>
      <w:r w:rsidRPr="00F94991" w:rsidR="00800226">
        <w:rPr>
          <w:b/>
        </w:rPr>
        <w:t>urposes</w:t>
      </w:r>
      <w:r w:rsidR="00800226">
        <w:rPr>
          <w:b/>
        </w:rPr>
        <w:t>.</w:t>
      </w:r>
      <w:bookmarkStart w:id="1" w:name="_Hlk75847753"/>
    </w:p>
    <w:bookmarkEnd w:id="1"/>
    <w:p w:rsidR="00F2748C" w:rsidRPr="00753B95" w:rsidP="00027E19" w14:paraId="73A4C77F" w14:textId="77777777">
      <w:pPr>
        <w:tabs>
          <w:tab w:val="left" w:pos="540"/>
        </w:tabs>
        <w:ind w:left="540" w:hanging="540"/>
      </w:pPr>
    </w:p>
    <w:p w:rsidR="00D05C04" w:rsidRPr="00753B95" w:rsidP="0025151D" w14:paraId="138642EF" w14:textId="11C46FFD">
      <w:pPr>
        <w:ind w:left="720" w:hanging="720"/>
      </w:pPr>
      <w:r>
        <w:tab/>
      </w:r>
      <w:r w:rsidR="007525A6">
        <w:t xml:space="preserve">Each appeal to the Board results in a written Board Decision and Order, a redacted version of which is typically posted to NCUA’s website.  </w:t>
      </w:r>
    </w:p>
    <w:p w:rsidR="00D05C04" w:rsidRPr="00753B95" w:rsidP="00027E19" w14:paraId="20C295AE" w14:textId="77777777">
      <w:pPr>
        <w:tabs>
          <w:tab w:val="left" w:pos="540"/>
        </w:tabs>
        <w:ind w:left="540" w:hanging="540"/>
      </w:pPr>
    </w:p>
    <w:p w:rsidR="00F2748C" w:rsidRPr="00753B95" w:rsidP="00396719" w14:paraId="63F4F94B" w14:textId="5B85FAFD">
      <w:pPr>
        <w:ind w:left="720" w:hanging="720"/>
        <w:rPr>
          <w:b/>
        </w:rPr>
      </w:pPr>
      <w:r w:rsidRPr="00753B95">
        <w:rPr>
          <w:b/>
        </w:rPr>
        <w:t>17.</w:t>
      </w:r>
      <w:r w:rsidR="00027E19">
        <w:rPr>
          <w:b/>
        </w:rPr>
        <w:tab/>
      </w:r>
      <w:r w:rsidR="00C97F91">
        <w:rPr>
          <w:b/>
        </w:rPr>
        <w:t xml:space="preserve">Request </w:t>
      </w:r>
      <w:r w:rsidR="00800226">
        <w:rPr>
          <w:b/>
        </w:rPr>
        <w:t>n</w:t>
      </w:r>
      <w:r w:rsidR="00C97F91">
        <w:rPr>
          <w:b/>
        </w:rPr>
        <w:t xml:space="preserve">on-display of the </w:t>
      </w:r>
      <w:r w:rsidR="00800226">
        <w:rPr>
          <w:b/>
        </w:rPr>
        <w:t>e</w:t>
      </w:r>
      <w:r w:rsidR="00C97F91">
        <w:rPr>
          <w:b/>
        </w:rPr>
        <w:t xml:space="preserve">xpiration date of the OMB </w:t>
      </w:r>
      <w:r w:rsidR="00800226">
        <w:rPr>
          <w:b/>
        </w:rPr>
        <w:t>c</w:t>
      </w:r>
      <w:r w:rsidR="00C97F91">
        <w:rPr>
          <w:b/>
        </w:rPr>
        <w:t xml:space="preserve">ontrol </w:t>
      </w:r>
      <w:r w:rsidR="00800226">
        <w:rPr>
          <w:b/>
        </w:rPr>
        <w:t>n</w:t>
      </w:r>
      <w:r w:rsidR="00C97F91">
        <w:rPr>
          <w:b/>
        </w:rPr>
        <w:t>umber</w:t>
      </w:r>
      <w:r w:rsidR="00800226">
        <w:rPr>
          <w:b/>
        </w:rPr>
        <w:t>.</w:t>
      </w:r>
      <w:r w:rsidRPr="00753B95">
        <w:rPr>
          <w:b/>
        </w:rPr>
        <w:t xml:space="preserve"> </w:t>
      </w:r>
    </w:p>
    <w:p w:rsidR="00F2748C" w:rsidRPr="00753B95" w:rsidP="00027E19" w14:paraId="480C9E38" w14:textId="77777777">
      <w:pPr>
        <w:tabs>
          <w:tab w:val="left" w:pos="540"/>
        </w:tabs>
        <w:ind w:left="540" w:hanging="540"/>
      </w:pPr>
    </w:p>
    <w:p w:rsidR="005728D3" w:rsidP="00396719" w14:paraId="271E9A5E" w14:textId="1D68709B">
      <w:pPr>
        <w:ind w:left="720" w:hanging="720"/>
      </w:pPr>
      <w:r>
        <w:tab/>
      </w:r>
      <w:r w:rsidR="00942D05">
        <w:t xml:space="preserve">The OMB control number and expiration date associated with this PRA submission will be displayed on the Federal Government’s electronic PRA docket </w:t>
      </w:r>
      <w:r w:rsidR="00396719">
        <w:t xml:space="preserve">site </w:t>
      </w:r>
      <w:r w:rsidR="00942D05">
        <w:t xml:space="preserve">at </w:t>
      </w:r>
      <w:hyperlink r:id="rId8" w:history="1">
        <w:r w:rsidRPr="007F1BFB" w:rsidR="00942D05">
          <w:rPr>
            <w:rStyle w:val="Hyperlink"/>
          </w:rPr>
          <w:t>www.reginfo.gov</w:t>
        </w:r>
      </w:hyperlink>
      <w:r w:rsidR="00942D05">
        <w:t>.</w:t>
      </w:r>
    </w:p>
    <w:p w:rsidR="007118F8" w:rsidP="00027E19" w14:paraId="5C14E1B0" w14:textId="77777777">
      <w:pPr>
        <w:tabs>
          <w:tab w:val="left" w:pos="540"/>
        </w:tabs>
        <w:ind w:left="540" w:hanging="540"/>
        <w:rPr>
          <w:b/>
        </w:rPr>
      </w:pPr>
    </w:p>
    <w:p w:rsidR="0025151D" w14:paraId="7FAD6ABE" w14:textId="77777777">
      <w:pPr>
        <w:rPr>
          <w:b/>
        </w:rPr>
      </w:pPr>
      <w:r>
        <w:rPr>
          <w:b/>
        </w:rPr>
        <w:br w:type="page"/>
      </w:r>
    </w:p>
    <w:p w:rsidR="00D05C04" w:rsidRPr="00753B95" w:rsidP="00396719" w14:paraId="2822F91A" w14:textId="14E71215">
      <w:pPr>
        <w:ind w:left="720" w:hanging="720"/>
        <w:rPr>
          <w:b/>
        </w:rPr>
      </w:pPr>
      <w:r>
        <w:rPr>
          <w:b/>
        </w:rPr>
        <w:t>18.</w:t>
      </w:r>
      <w:r>
        <w:rPr>
          <w:b/>
        </w:rPr>
        <w:tab/>
      </w:r>
      <w:r w:rsidRPr="00753B95" w:rsidR="00F2748C">
        <w:rPr>
          <w:b/>
        </w:rPr>
        <w:t>Exception</w:t>
      </w:r>
      <w:r>
        <w:rPr>
          <w:b/>
        </w:rPr>
        <w:t xml:space="preserve">s to the </w:t>
      </w:r>
      <w:r w:rsidR="00800226">
        <w:rPr>
          <w:b/>
        </w:rPr>
        <w:t>C</w:t>
      </w:r>
      <w:r w:rsidRPr="00753B95" w:rsidR="00F2748C">
        <w:rPr>
          <w:b/>
        </w:rPr>
        <w:t xml:space="preserve">ertification </w:t>
      </w:r>
      <w:r>
        <w:rPr>
          <w:b/>
        </w:rPr>
        <w:t xml:space="preserve">for the Paperwork Reduction Act </w:t>
      </w:r>
      <w:r w:rsidR="00800226">
        <w:rPr>
          <w:b/>
        </w:rPr>
        <w:t>s</w:t>
      </w:r>
      <w:r>
        <w:rPr>
          <w:b/>
        </w:rPr>
        <w:t>ubmission</w:t>
      </w:r>
      <w:r w:rsidR="00800226">
        <w:rPr>
          <w:b/>
        </w:rPr>
        <w:t>.</w:t>
      </w:r>
    </w:p>
    <w:p w:rsidR="005728D3" w:rsidRPr="00753B95" w:rsidP="00027E19" w14:paraId="60BB1DF4" w14:textId="77777777">
      <w:pPr>
        <w:tabs>
          <w:tab w:val="left" w:pos="540"/>
        </w:tabs>
        <w:ind w:left="540" w:hanging="540"/>
      </w:pPr>
    </w:p>
    <w:p w:rsidR="005728D3" w:rsidRPr="00753B95" w:rsidP="00396719" w14:paraId="05790CBC" w14:textId="0567ABFA">
      <w:pPr>
        <w:tabs>
          <w:tab w:val="left" w:pos="720"/>
        </w:tabs>
        <w:ind w:left="720" w:hanging="720"/>
      </w:pPr>
      <w:r>
        <w:tab/>
      </w:r>
      <w:r w:rsidR="004369F4">
        <w:t>There are no exceptions</w:t>
      </w:r>
      <w:r w:rsidRPr="00753B95" w:rsidR="00F2748C">
        <w:t xml:space="preserve"> to the certification </w:t>
      </w:r>
      <w:r w:rsidR="004369F4">
        <w:t xml:space="preserve">statement. </w:t>
      </w:r>
    </w:p>
    <w:p w:rsidR="009C5E9F" w:rsidP="00027E19" w14:paraId="0FEA3BC7" w14:textId="77777777">
      <w:pPr>
        <w:tabs>
          <w:tab w:val="left" w:pos="540"/>
        </w:tabs>
        <w:ind w:left="540" w:hanging="540"/>
      </w:pPr>
    </w:p>
    <w:p w:rsidR="00436192" w:rsidP="00027E19" w14:paraId="2803EC9A" w14:textId="77777777">
      <w:pPr>
        <w:tabs>
          <w:tab w:val="left" w:pos="540"/>
        </w:tabs>
        <w:ind w:left="540" w:hanging="540"/>
      </w:pPr>
    </w:p>
    <w:p w:rsidR="0052609E" w:rsidRPr="00753B95" w:rsidP="00027E19" w14:paraId="7E4177E7" w14:textId="77777777">
      <w:pPr>
        <w:tabs>
          <w:tab w:val="left" w:pos="540"/>
        </w:tabs>
        <w:ind w:left="540" w:hanging="540"/>
      </w:pPr>
    </w:p>
    <w:p w:rsidR="009C5E9F" w:rsidRPr="00753B95" w:rsidP="00396719" w14:paraId="3998A956" w14:textId="77777777">
      <w:pPr>
        <w:widowControl w:val="0"/>
        <w:tabs>
          <w:tab w:val="left" w:pos="720"/>
        </w:tabs>
        <w:ind w:left="720" w:hanging="720"/>
        <w:rPr>
          <w:b/>
        </w:rPr>
      </w:pPr>
      <w:r>
        <w:rPr>
          <w:b/>
        </w:rPr>
        <w:t>B.</w:t>
      </w:r>
      <w:r>
        <w:rPr>
          <w:b/>
        </w:rPr>
        <w:tab/>
      </w:r>
      <w:r w:rsidRPr="00753B95">
        <w:rPr>
          <w:b/>
        </w:rPr>
        <w:t>Collections of Information Employing Statistical Methods.</w:t>
      </w:r>
    </w:p>
    <w:p w:rsidR="009C5E9F" w:rsidRPr="00753B95" w:rsidP="00027E19" w14:paraId="30A51678" w14:textId="77777777">
      <w:pPr>
        <w:widowControl w:val="0"/>
        <w:tabs>
          <w:tab w:val="left" w:pos="540"/>
        </w:tabs>
        <w:ind w:left="540" w:hanging="540"/>
        <w:rPr>
          <w:u w:val="single"/>
        </w:rPr>
      </w:pPr>
    </w:p>
    <w:p w:rsidR="00180D22" w:rsidRPr="00753B95" w:rsidP="00396719" w14:paraId="485BC559" w14:textId="77777777">
      <w:pPr>
        <w:widowControl w:val="0"/>
        <w:tabs>
          <w:tab w:val="left" w:pos="720"/>
        </w:tabs>
        <w:ind w:left="720" w:hanging="720"/>
      </w:pPr>
      <w:r>
        <w:tab/>
      </w:r>
      <w:r w:rsidRPr="00753B95" w:rsidR="009C5E9F">
        <w:t>This collection does not employ statistical methods.</w:t>
      </w:r>
    </w:p>
    <w:p w:rsidR="00A771D6" w:rsidRPr="00753B95" w:rsidP="00A771D6" w14:paraId="03AEB350" w14:textId="77777777">
      <w:pPr>
        <w:widowControl w:val="0"/>
      </w:pPr>
    </w:p>
    <w:sectPr w:rsidSect="006B3D52">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8188336"/>
      <w:docPartObj>
        <w:docPartGallery w:val="Page Numbers (Bottom of Page)"/>
        <w:docPartUnique/>
      </w:docPartObj>
    </w:sdtPr>
    <w:sdtEndPr>
      <w:rPr>
        <w:noProof/>
      </w:rPr>
    </w:sdtEndPr>
    <w:sdtContent>
      <w:p w:rsidR="00BA62AD" w:rsidP="008155FD" w14:paraId="60008F56" w14:textId="3C4EF610">
        <w:pPr>
          <w:pStyle w:val="Footer"/>
        </w:pPr>
        <w:r w:rsidRPr="00800226">
          <w:rPr>
            <w:i/>
            <w:iCs/>
            <w:sz w:val="18"/>
            <w:szCs w:val="18"/>
          </w:rPr>
          <w:t>OMB No. 3133-</w:t>
        </w:r>
        <w:r w:rsidRPr="00800226" w:rsidR="001D1BCA">
          <w:rPr>
            <w:i/>
            <w:iCs/>
            <w:sz w:val="18"/>
            <w:szCs w:val="18"/>
          </w:rPr>
          <w:t>0198</w:t>
        </w:r>
        <w:r w:rsidRPr="00800226" w:rsidR="00874688">
          <w:rPr>
            <w:i/>
            <w:iCs/>
            <w:sz w:val="18"/>
            <w:szCs w:val="18"/>
          </w:rPr>
          <w:t xml:space="preserve">, </w:t>
        </w:r>
        <w:r w:rsidR="0025151D">
          <w:rPr>
            <w:i/>
            <w:iCs/>
            <w:sz w:val="18"/>
            <w:szCs w:val="18"/>
          </w:rPr>
          <w:t>October 202</w:t>
        </w:r>
        <w:r w:rsidR="00643153">
          <w:rPr>
            <w:i/>
            <w:iCs/>
            <w:sz w:val="18"/>
            <w:szCs w:val="18"/>
          </w:rPr>
          <w:t>4</w:t>
        </w:r>
        <w:r>
          <w:tab/>
        </w:r>
        <w:r>
          <w:tab/>
        </w:r>
        <w:r>
          <w:fldChar w:fldCharType="begin"/>
        </w:r>
        <w:r>
          <w:instrText xml:space="preserve"> PAGE   \* MERGEFORMAT </w:instrText>
        </w:r>
        <w:r>
          <w:fldChar w:fldCharType="separate"/>
        </w:r>
        <w:r w:rsidR="00031AB5">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1153387"/>
    <w:multiLevelType w:val="hybridMultilevel"/>
    <w:tmpl w:val="C2E8F03A"/>
    <w:lvl w:ilvl="0">
      <w:start w:val="14"/>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37F437F"/>
    <w:multiLevelType w:val="hybridMultilevel"/>
    <w:tmpl w:val="909C1D12"/>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ACB05CA"/>
    <w:multiLevelType w:val="hybridMultilevel"/>
    <w:tmpl w:val="EB4A2640"/>
    <w:lvl w:ilvl="0">
      <w:start w:val="1"/>
      <w:numFmt w:val="lowerLetter"/>
      <w:lvlText w:val="(%1)"/>
      <w:lvlJc w:val="left"/>
      <w:pPr>
        <w:ind w:left="1260" w:hanging="360"/>
      </w:pPr>
      <w:rPr>
        <w:rFonts w:hint="default"/>
      </w:rPr>
    </w:lvl>
    <w:lvl w:ilvl="1" w:tentative="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5">
    <w:nsid w:val="1C923F7E"/>
    <w:multiLevelType w:val="hybridMultilevel"/>
    <w:tmpl w:val="E81031D6"/>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CC555B6"/>
    <w:multiLevelType w:val="hybridMultilevel"/>
    <w:tmpl w:val="A0FEDFA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97E739E"/>
    <w:multiLevelType w:val="hybridMultilevel"/>
    <w:tmpl w:val="E7FAECE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FFD36BE"/>
    <w:multiLevelType w:val="hybridMultilevel"/>
    <w:tmpl w:val="91A879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6E64541"/>
    <w:multiLevelType w:val="hybridMultilevel"/>
    <w:tmpl w:val="04B044D2"/>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39F22FE7"/>
    <w:multiLevelType w:val="hybridMultilevel"/>
    <w:tmpl w:val="1D56E9A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49D246C1"/>
    <w:multiLevelType w:val="hybridMultilevel"/>
    <w:tmpl w:val="AF62CBB6"/>
    <w:lvl w:ilvl="0">
      <w:start w:val="14"/>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52C21563"/>
    <w:multiLevelType w:val="hybridMultilevel"/>
    <w:tmpl w:val="7C0E80D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55810911"/>
    <w:multiLevelType w:val="hybridMultilevel"/>
    <w:tmpl w:val="83D060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98624ED"/>
    <w:multiLevelType w:val="hybridMultilevel"/>
    <w:tmpl w:val="ABD806AE"/>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63E3578"/>
    <w:multiLevelType w:val="hybridMultilevel"/>
    <w:tmpl w:val="D5BC27D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766A03EA"/>
    <w:multiLevelType w:val="hybridMultilevel"/>
    <w:tmpl w:val="BE5A0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6A14AC9"/>
    <w:multiLevelType w:val="hybridMultilevel"/>
    <w:tmpl w:val="E328F4C2"/>
    <w:lvl w:ilvl="0">
      <w:start w:val="9"/>
      <w:numFmt w:val="lowerLetter"/>
      <w:lvlText w:val="(%1)"/>
      <w:lvlJc w:val="left"/>
      <w:pPr>
        <w:ind w:left="2340" w:hanging="360"/>
      </w:pPr>
      <w:rPr>
        <w:rFonts w:hint="default"/>
      </w:r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8">
    <w:nsid w:val="79061E7E"/>
    <w:multiLevelType w:val="hybridMultilevel"/>
    <w:tmpl w:val="0D5288CE"/>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501194272">
    <w:abstractNumId w:val="14"/>
  </w:num>
  <w:num w:numId="2" w16cid:durableId="399598642">
    <w:abstractNumId w:val="3"/>
  </w:num>
  <w:num w:numId="3" w16cid:durableId="2048525241">
    <w:abstractNumId w:val="12"/>
  </w:num>
  <w:num w:numId="4" w16cid:durableId="352153724">
    <w:abstractNumId w:val="2"/>
  </w:num>
  <w:num w:numId="5" w16cid:durableId="1830368290">
    <w:abstractNumId w:val="11"/>
  </w:num>
  <w:num w:numId="6" w16cid:durableId="1140657456">
    <w:abstractNumId w:val="5"/>
  </w:num>
  <w:num w:numId="7" w16cid:durableId="797913407">
    <w:abstractNumId w:val="16"/>
  </w:num>
  <w:num w:numId="8" w16cid:durableId="252326899">
    <w:abstractNumId w:val="8"/>
  </w:num>
  <w:num w:numId="9" w16cid:durableId="1383746858">
    <w:abstractNumId w:val="10"/>
  </w:num>
  <w:num w:numId="10" w16cid:durableId="1351447479">
    <w:abstractNumId w:val="6"/>
  </w:num>
  <w:num w:numId="11" w16cid:durableId="191037707">
    <w:abstractNumId w:val="15"/>
  </w:num>
  <w:num w:numId="12" w16cid:durableId="1984852711">
    <w:abstractNumId w:val="13"/>
  </w:num>
  <w:num w:numId="13" w16cid:durableId="815269467">
    <w:abstractNumId w:val="7"/>
  </w:num>
  <w:num w:numId="14" w16cid:durableId="67391171">
    <w:abstractNumId w:val="9"/>
  </w:num>
  <w:num w:numId="15" w16cid:durableId="881091591">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128821788">
    <w:abstractNumId w:val="18"/>
  </w:num>
  <w:num w:numId="17" w16cid:durableId="74523196">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18" w16cid:durableId="1299456553">
    <w:abstractNumId w:val="4"/>
  </w:num>
  <w:num w:numId="19" w16cid:durableId="53747487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DEB"/>
    <w:rsid w:val="00002E37"/>
    <w:rsid w:val="00005ABC"/>
    <w:rsid w:val="0002057F"/>
    <w:rsid w:val="00027E19"/>
    <w:rsid w:val="00031AB5"/>
    <w:rsid w:val="00036F5E"/>
    <w:rsid w:val="00037B8F"/>
    <w:rsid w:val="0004169B"/>
    <w:rsid w:val="0004663A"/>
    <w:rsid w:val="00060C64"/>
    <w:rsid w:val="00077A56"/>
    <w:rsid w:val="00077CBD"/>
    <w:rsid w:val="000849EB"/>
    <w:rsid w:val="000867E1"/>
    <w:rsid w:val="000969CF"/>
    <w:rsid w:val="000B105F"/>
    <w:rsid w:val="000C16EE"/>
    <w:rsid w:val="000C2CAD"/>
    <w:rsid w:val="000D398C"/>
    <w:rsid w:val="000E3900"/>
    <w:rsid w:val="000F317A"/>
    <w:rsid w:val="000F3286"/>
    <w:rsid w:val="000F430C"/>
    <w:rsid w:val="00101432"/>
    <w:rsid w:val="00115D08"/>
    <w:rsid w:val="00131AA9"/>
    <w:rsid w:val="001344D6"/>
    <w:rsid w:val="00144F67"/>
    <w:rsid w:val="001505A7"/>
    <w:rsid w:val="00152F7B"/>
    <w:rsid w:val="00157D13"/>
    <w:rsid w:val="00180D22"/>
    <w:rsid w:val="00184423"/>
    <w:rsid w:val="00196BDF"/>
    <w:rsid w:val="001A03E7"/>
    <w:rsid w:val="001A1AC3"/>
    <w:rsid w:val="001A7C05"/>
    <w:rsid w:val="001C11EA"/>
    <w:rsid w:val="001C45AE"/>
    <w:rsid w:val="001C629C"/>
    <w:rsid w:val="001C77C2"/>
    <w:rsid w:val="001D1632"/>
    <w:rsid w:val="001D1BCA"/>
    <w:rsid w:val="001D3C24"/>
    <w:rsid w:val="001E0D1E"/>
    <w:rsid w:val="001E0E76"/>
    <w:rsid w:val="001E26D4"/>
    <w:rsid w:val="001E546F"/>
    <w:rsid w:val="001F0DB5"/>
    <w:rsid w:val="001F2EAF"/>
    <w:rsid w:val="00202708"/>
    <w:rsid w:val="0020421C"/>
    <w:rsid w:val="00205E9C"/>
    <w:rsid w:val="00225761"/>
    <w:rsid w:val="002268CC"/>
    <w:rsid w:val="00237129"/>
    <w:rsid w:val="0025151D"/>
    <w:rsid w:val="00257D33"/>
    <w:rsid w:val="00261125"/>
    <w:rsid w:val="002861E9"/>
    <w:rsid w:val="002920ED"/>
    <w:rsid w:val="00294C79"/>
    <w:rsid w:val="002A6CDC"/>
    <w:rsid w:val="002B6B75"/>
    <w:rsid w:val="002C2ADF"/>
    <w:rsid w:val="002C62D9"/>
    <w:rsid w:val="002D128E"/>
    <w:rsid w:val="002E4F2B"/>
    <w:rsid w:val="00323E48"/>
    <w:rsid w:val="003349EB"/>
    <w:rsid w:val="00341B1D"/>
    <w:rsid w:val="003740DB"/>
    <w:rsid w:val="00377A46"/>
    <w:rsid w:val="00382444"/>
    <w:rsid w:val="0038462C"/>
    <w:rsid w:val="00392050"/>
    <w:rsid w:val="0039479A"/>
    <w:rsid w:val="00396719"/>
    <w:rsid w:val="003A092E"/>
    <w:rsid w:val="003B2E1C"/>
    <w:rsid w:val="003B5370"/>
    <w:rsid w:val="003C24CD"/>
    <w:rsid w:val="003C27B0"/>
    <w:rsid w:val="003C496D"/>
    <w:rsid w:val="003D1FE0"/>
    <w:rsid w:val="003D2B24"/>
    <w:rsid w:val="003D59AC"/>
    <w:rsid w:val="0042419D"/>
    <w:rsid w:val="00425AEB"/>
    <w:rsid w:val="00425FAA"/>
    <w:rsid w:val="00436192"/>
    <w:rsid w:val="004369F4"/>
    <w:rsid w:val="00444214"/>
    <w:rsid w:val="00453E27"/>
    <w:rsid w:val="00486345"/>
    <w:rsid w:val="004914EC"/>
    <w:rsid w:val="004B0C46"/>
    <w:rsid w:val="004B58A3"/>
    <w:rsid w:val="004B7D66"/>
    <w:rsid w:val="004C1161"/>
    <w:rsid w:val="004C7977"/>
    <w:rsid w:val="004D0000"/>
    <w:rsid w:val="004F5743"/>
    <w:rsid w:val="004F5749"/>
    <w:rsid w:val="004F73C7"/>
    <w:rsid w:val="00514FAA"/>
    <w:rsid w:val="00521175"/>
    <w:rsid w:val="005212AF"/>
    <w:rsid w:val="0052609E"/>
    <w:rsid w:val="005300AF"/>
    <w:rsid w:val="005320FD"/>
    <w:rsid w:val="00534F2A"/>
    <w:rsid w:val="00561C11"/>
    <w:rsid w:val="005728D3"/>
    <w:rsid w:val="00573B31"/>
    <w:rsid w:val="00574211"/>
    <w:rsid w:val="00576D8B"/>
    <w:rsid w:val="005915A7"/>
    <w:rsid w:val="005A0446"/>
    <w:rsid w:val="005A4BAB"/>
    <w:rsid w:val="005A5945"/>
    <w:rsid w:val="005D5EC4"/>
    <w:rsid w:val="005E0A35"/>
    <w:rsid w:val="005F48D8"/>
    <w:rsid w:val="00606B9F"/>
    <w:rsid w:val="0061487C"/>
    <w:rsid w:val="0061542E"/>
    <w:rsid w:val="0062295A"/>
    <w:rsid w:val="00622981"/>
    <w:rsid w:val="00643153"/>
    <w:rsid w:val="00650EA0"/>
    <w:rsid w:val="00667E5A"/>
    <w:rsid w:val="00680820"/>
    <w:rsid w:val="00692C69"/>
    <w:rsid w:val="00693A9C"/>
    <w:rsid w:val="006A745E"/>
    <w:rsid w:val="006B1F29"/>
    <w:rsid w:val="006B233F"/>
    <w:rsid w:val="006B2771"/>
    <w:rsid w:val="006B3D52"/>
    <w:rsid w:val="006D087C"/>
    <w:rsid w:val="006D462A"/>
    <w:rsid w:val="006F3CB6"/>
    <w:rsid w:val="006F4C4B"/>
    <w:rsid w:val="0070017B"/>
    <w:rsid w:val="007118F8"/>
    <w:rsid w:val="0071732B"/>
    <w:rsid w:val="00722F39"/>
    <w:rsid w:val="007251BF"/>
    <w:rsid w:val="00746FE8"/>
    <w:rsid w:val="0075215F"/>
    <w:rsid w:val="007525A6"/>
    <w:rsid w:val="00753B95"/>
    <w:rsid w:val="00770F2E"/>
    <w:rsid w:val="0078257D"/>
    <w:rsid w:val="0078428E"/>
    <w:rsid w:val="0078544F"/>
    <w:rsid w:val="007931B8"/>
    <w:rsid w:val="007A5630"/>
    <w:rsid w:val="007B0C02"/>
    <w:rsid w:val="007D1391"/>
    <w:rsid w:val="007D514B"/>
    <w:rsid w:val="007F1BFB"/>
    <w:rsid w:val="007F3E38"/>
    <w:rsid w:val="007F4ED7"/>
    <w:rsid w:val="00800226"/>
    <w:rsid w:val="00806E73"/>
    <w:rsid w:val="008155FD"/>
    <w:rsid w:val="00820C2A"/>
    <w:rsid w:val="00824621"/>
    <w:rsid w:val="0084030C"/>
    <w:rsid w:val="0084133C"/>
    <w:rsid w:val="0085137F"/>
    <w:rsid w:val="0085391E"/>
    <w:rsid w:val="008714EE"/>
    <w:rsid w:val="00874688"/>
    <w:rsid w:val="00875DCD"/>
    <w:rsid w:val="00880319"/>
    <w:rsid w:val="0088606D"/>
    <w:rsid w:val="008949F0"/>
    <w:rsid w:val="008A2825"/>
    <w:rsid w:val="008B2819"/>
    <w:rsid w:val="00914119"/>
    <w:rsid w:val="00940951"/>
    <w:rsid w:val="00942A07"/>
    <w:rsid w:val="00942D05"/>
    <w:rsid w:val="0094386E"/>
    <w:rsid w:val="00956E4A"/>
    <w:rsid w:val="009628D0"/>
    <w:rsid w:val="009739E0"/>
    <w:rsid w:val="0098332B"/>
    <w:rsid w:val="0098730C"/>
    <w:rsid w:val="009A22F2"/>
    <w:rsid w:val="009A5162"/>
    <w:rsid w:val="009B01B0"/>
    <w:rsid w:val="009C09EE"/>
    <w:rsid w:val="009C5E9F"/>
    <w:rsid w:val="009D5313"/>
    <w:rsid w:val="009E348C"/>
    <w:rsid w:val="00A10142"/>
    <w:rsid w:val="00A11628"/>
    <w:rsid w:val="00A16028"/>
    <w:rsid w:val="00A16C5D"/>
    <w:rsid w:val="00A16EBC"/>
    <w:rsid w:val="00A236DE"/>
    <w:rsid w:val="00A25306"/>
    <w:rsid w:val="00A3321F"/>
    <w:rsid w:val="00A44ACA"/>
    <w:rsid w:val="00A52969"/>
    <w:rsid w:val="00A5296C"/>
    <w:rsid w:val="00A541DC"/>
    <w:rsid w:val="00A62F23"/>
    <w:rsid w:val="00A771D6"/>
    <w:rsid w:val="00A84669"/>
    <w:rsid w:val="00A9027F"/>
    <w:rsid w:val="00A91B29"/>
    <w:rsid w:val="00A94477"/>
    <w:rsid w:val="00A96632"/>
    <w:rsid w:val="00AA1FEF"/>
    <w:rsid w:val="00AA42B0"/>
    <w:rsid w:val="00AA4FF2"/>
    <w:rsid w:val="00AC7396"/>
    <w:rsid w:val="00AD6D80"/>
    <w:rsid w:val="00B048D1"/>
    <w:rsid w:val="00B04F7E"/>
    <w:rsid w:val="00B21361"/>
    <w:rsid w:val="00B41267"/>
    <w:rsid w:val="00B53CD1"/>
    <w:rsid w:val="00B61376"/>
    <w:rsid w:val="00B61960"/>
    <w:rsid w:val="00B70A4B"/>
    <w:rsid w:val="00B87625"/>
    <w:rsid w:val="00B94D99"/>
    <w:rsid w:val="00B951AF"/>
    <w:rsid w:val="00BA5D7C"/>
    <w:rsid w:val="00BA62AD"/>
    <w:rsid w:val="00BD4E61"/>
    <w:rsid w:val="00BE4E67"/>
    <w:rsid w:val="00BE7CB5"/>
    <w:rsid w:val="00BF0158"/>
    <w:rsid w:val="00C03455"/>
    <w:rsid w:val="00C050D3"/>
    <w:rsid w:val="00C053C1"/>
    <w:rsid w:val="00C13DEB"/>
    <w:rsid w:val="00C17FEE"/>
    <w:rsid w:val="00C263DF"/>
    <w:rsid w:val="00C337B7"/>
    <w:rsid w:val="00C3620D"/>
    <w:rsid w:val="00C57B92"/>
    <w:rsid w:val="00C60EF2"/>
    <w:rsid w:val="00C6348E"/>
    <w:rsid w:val="00C63D8F"/>
    <w:rsid w:val="00C6650F"/>
    <w:rsid w:val="00C742D0"/>
    <w:rsid w:val="00C84F13"/>
    <w:rsid w:val="00C857B7"/>
    <w:rsid w:val="00C97F91"/>
    <w:rsid w:val="00CA5C2D"/>
    <w:rsid w:val="00CB31AF"/>
    <w:rsid w:val="00CB6256"/>
    <w:rsid w:val="00CD1FE8"/>
    <w:rsid w:val="00CE76BD"/>
    <w:rsid w:val="00CF558C"/>
    <w:rsid w:val="00CF6886"/>
    <w:rsid w:val="00D05C04"/>
    <w:rsid w:val="00D1311E"/>
    <w:rsid w:val="00D25919"/>
    <w:rsid w:val="00D339A2"/>
    <w:rsid w:val="00D629BB"/>
    <w:rsid w:val="00D728DA"/>
    <w:rsid w:val="00D74D2C"/>
    <w:rsid w:val="00D87E6A"/>
    <w:rsid w:val="00D94BA5"/>
    <w:rsid w:val="00D95123"/>
    <w:rsid w:val="00DE3633"/>
    <w:rsid w:val="00DE4C01"/>
    <w:rsid w:val="00DF142A"/>
    <w:rsid w:val="00DF2C1A"/>
    <w:rsid w:val="00E07247"/>
    <w:rsid w:val="00E1454E"/>
    <w:rsid w:val="00E31E47"/>
    <w:rsid w:val="00E41832"/>
    <w:rsid w:val="00E55E2C"/>
    <w:rsid w:val="00E708FD"/>
    <w:rsid w:val="00E80C21"/>
    <w:rsid w:val="00F01803"/>
    <w:rsid w:val="00F05241"/>
    <w:rsid w:val="00F220F2"/>
    <w:rsid w:val="00F2748C"/>
    <w:rsid w:val="00F27F56"/>
    <w:rsid w:val="00F379D4"/>
    <w:rsid w:val="00F44855"/>
    <w:rsid w:val="00F507AB"/>
    <w:rsid w:val="00F655FB"/>
    <w:rsid w:val="00F70F4D"/>
    <w:rsid w:val="00F731AD"/>
    <w:rsid w:val="00F76E3B"/>
    <w:rsid w:val="00F80045"/>
    <w:rsid w:val="00F86659"/>
    <w:rsid w:val="00F94991"/>
    <w:rsid w:val="00FA3A11"/>
    <w:rsid w:val="00FC43A1"/>
    <w:rsid w:val="00FD5E62"/>
    <w:rsid w:val="00FF140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2A37B3"/>
  <w15:docId w15:val="{73DECC08-C8B2-4AD5-989C-86C61CA9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rFonts w:ascii="Arial" w:hAnsi="Arial" w:cs="Arial"/>
    </w:rPr>
  </w:style>
  <w:style w:type="paragraph" w:styleId="BalloonText">
    <w:name w:val="Balloon Text"/>
    <w:basedOn w:val="Normal"/>
    <w:semiHidden/>
    <w:rsid w:val="003D59AC"/>
    <w:rPr>
      <w:rFonts w:ascii="Tahoma" w:hAnsi="Tahoma" w:cs="Tahoma"/>
      <w:sz w:val="16"/>
      <w:szCs w:val="16"/>
    </w:rPr>
  </w:style>
  <w:style w:type="paragraph" w:styleId="Header">
    <w:name w:val="header"/>
    <w:basedOn w:val="Normal"/>
    <w:link w:val="HeaderChar"/>
    <w:uiPriority w:val="99"/>
    <w:unhideWhenUsed/>
    <w:rsid w:val="00534F2A"/>
    <w:pPr>
      <w:tabs>
        <w:tab w:val="center" w:pos="4680"/>
        <w:tab w:val="right" w:pos="9360"/>
      </w:tabs>
    </w:pPr>
  </w:style>
  <w:style w:type="character" w:customStyle="1" w:styleId="HeaderChar">
    <w:name w:val="Header Char"/>
    <w:link w:val="Header"/>
    <w:uiPriority w:val="99"/>
    <w:rsid w:val="00534F2A"/>
    <w:rPr>
      <w:sz w:val="24"/>
      <w:szCs w:val="24"/>
    </w:rPr>
  </w:style>
  <w:style w:type="paragraph" w:styleId="Footer">
    <w:name w:val="footer"/>
    <w:basedOn w:val="Normal"/>
    <w:link w:val="FooterChar"/>
    <w:uiPriority w:val="99"/>
    <w:unhideWhenUsed/>
    <w:rsid w:val="00534F2A"/>
    <w:pPr>
      <w:tabs>
        <w:tab w:val="center" w:pos="4680"/>
        <w:tab w:val="right" w:pos="9360"/>
      </w:tabs>
    </w:pPr>
  </w:style>
  <w:style w:type="character" w:customStyle="1" w:styleId="FooterChar">
    <w:name w:val="Footer Char"/>
    <w:link w:val="Footer"/>
    <w:uiPriority w:val="99"/>
    <w:rsid w:val="00534F2A"/>
    <w:rPr>
      <w:sz w:val="24"/>
      <w:szCs w:val="24"/>
    </w:rPr>
  </w:style>
  <w:style w:type="paragraph" w:styleId="ListParagraph">
    <w:name w:val="List Paragraph"/>
    <w:basedOn w:val="Normal"/>
    <w:uiPriority w:val="34"/>
    <w:qFormat/>
    <w:rsid w:val="005728D3"/>
    <w:pPr>
      <w:overflowPunct w:val="0"/>
      <w:autoSpaceDE w:val="0"/>
      <w:autoSpaceDN w:val="0"/>
      <w:adjustRightInd w:val="0"/>
      <w:ind w:left="720"/>
      <w:contextualSpacing/>
      <w:textAlignment w:val="baseline"/>
    </w:pPr>
    <w:rPr>
      <w:sz w:val="20"/>
      <w:szCs w:val="20"/>
    </w:rPr>
  </w:style>
  <w:style w:type="table" w:styleId="TableGrid">
    <w:name w:val="Table Grid"/>
    <w:basedOn w:val="TableNormal"/>
    <w:uiPriority w:val="59"/>
    <w:rsid w:val="0038462C"/>
    <w:pPr>
      <w:overflowPunct w:val="0"/>
      <w:autoSpaceDE w:val="0"/>
      <w:autoSpaceDN w:val="0"/>
      <w:adjustRightInd w:val="0"/>
      <w:textAlignment w:val="baseline"/>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40951"/>
    <w:rPr>
      <w:sz w:val="24"/>
      <w:szCs w:val="24"/>
    </w:rPr>
  </w:style>
  <w:style w:type="character" w:styleId="CommentReference">
    <w:name w:val="annotation reference"/>
    <w:basedOn w:val="DefaultParagraphFont"/>
    <w:uiPriority w:val="99"/>
    <w:semiHidden/>
    <w:unhideWhenUsed/>
    <w:rsid w:val="009D5313"/>
    <w:rPr>
      <w:sz w:val="16"/>
      <w:szCs w:val="16"/>
    </w:rPr>
  </w:style>
  <w:style w:type="paragraph" w:styleId="CommentText">
    <w:name w:val="annotation text"/>
    <w:basedOn w:val="Normal"/>
    <w:link w:val="CommentTextChar"/>
    <w:uiPriority w:val="99"/>
    <w:unhideWhenUsed/>
    <w:rsid w:val="009D5313"/>
    <w:rPr>
      <w:sz w:val="20"/>
      <w:szCs w:val="20"/>
    </w:rPr>
  </w:style>
  <w:style w:type="character" w:customStyle="1" w:styleId="CommentTextChar">
    <w:name w:val="Comment Text Char"/>
    <w:basedOn w:val="DefaultParagraphFont"/>
    <w:link w:val="CommentText"/>
    <w:uiPriority w:val="99"/>
    <w:rsid w:val="009D5313"/>
  </w:style>
  <w:style w:type="paragraph" w:styleId="CommentSubject">
    <w:name w:val="annotation subject"/>
    <w:basedOn w:val="CommentText"/>
    <w:next w:val="CommentText"/>
    <w:link w:val="CommentSubjectChar"/>
    <w:uiPriority w:val="99"/>
    <w:semiHidden/>
    <w:unhideWhenUsed/>
    <w:rsid w:val="009D5313"/>
    <w:rPr>
      <w:b/>
      <w:bCs/>
    </w:rPr>
  </w:style>
  <w:style w:type="character" w:customStyle="1" w:styleId="CommentSubjectChar">
    <w:name w:val="Comment Subject Char"/>
    <w:basedOn w:val="CommentTextChar"/>
    <w:link w:val="CommentSubject"/>
    <w:uiPriority w:val="99"/>
    <w:semiHidden/>
    <w:rsid w:val="009D5313"/>
    <w:rPr>
      <w:b/>
      <w:bCs/>
    </w:rPr>
  </w:style>
  <w:style w:type="paragraph" w:styleId="FootnoteText">
    <w:name w:val="footnote text"/>
    <w:basedOn w:val="Normal"/>
    <w:link w:val="FootnoteTextChar"/>
    <w:uiPriority w:val="99"/>
    <w:semiHidden/>
    <w:unhideWhenUsed/>
    <w:rsid w:val="00806E73"/>
    <w:rPr>
      <w:sz w:val="20"/>
      <w:szCs w:val="20"/>
    </w:rPr>
  </w:style>
  <w:style w:type="character" w:customStyle="1" w:styleId="FootnoteTextChar">
    <w:name w:val="Footnote Text Char"/>
    <w:basedOn w:val="DefaultParagraphFont"/>
    <w:link w:val="FootnoteText"/>
    <w:uiPriority w:val="99"/>
    <w:semiHidden/>
    <w:rsid w:val="00806E73"/>
  </w:style>
  <w:style w:type="character" w:styleId="FootnoteReference">
    <w:name w:val="footnote reference"/>
    <w:basedOn w:val="DefaultParagraphFont"/>
    <w:uiPriority w:val="99"/>
    <w:semiHidden/>
    <w:unhideWhenUsed/>
    <w:rsid w:val="00806E73"/>
    <w:rPr>
      <w:vertAlign w:val="superscript"/>
    </w:rPr>
  </w:style>
  <w:style w:type="character" w:styleId="Hyperlink">
    <w:name w:val="Hyperlink"/>
    <w:basedOn w:val="DefaultParagraphFont"/>
    <w:uiPriority w:val="99"/>
    <w:unhideWhenUsed/>
    <w:rsid w:val="00942D05"/>
    <w:rPr>
      <w:color w:val="0000FF" w:themeColor="hyperlink"/>
      <w:u w:val="single"/>
    </w:rPr>
  </w:style>
  <w:style w:type="paragraph" w:styleId="BodyTextIndent2">
    <w:name w:val="Body Text Indent 2"/>
    <w:basedOn w:val="Normal"/>
    <w:link w:val="BodyTextIndent2Char"/>
    <w:uiPriority w:val="99"/>
    <w:unhideWhenUsed/>
    <w:rsid w:val="00152F7B"/>
    <w:pPr>
      <w:spacing w:after="120" w:line="480" w:lineRule="auto"/>
      <w:ind w:left="360"/>
    </w:pPr>
  </w:style>
  <w:style w:type="character" w:customStyle="1" w:styleId="BodyTextIndent2Char">
    <w:name w:val="Body Text Indent 2 Char"/>
    <w:basedOn w:val="DefaultParagraphFont"/>
    <w:link w:val="BodyTextIndent2"/>
    <w:uiPriority w:val="99"/>
    <w:rsid w:val="00152F7B"/>
    <w:rPr>
      <w:sz w:val="24"/>
      <w:szCs w:val="24"/>
    </w:rPr>
  </w:style>
  <w:style w:type="paragraph" w:customStyle="1" w:styleId="Level1">
    <w:name w:val="Level 1"/>
    <w:basedOn w:val="Normal"/>
    <w:rsid w:val="0075215F"/>
    <w:pPr>
      <w:widowControl w:val="0"/>
      <w:numPr>
        <w:numId w:val="15"/>
      </w:numPr>
      <w:autoSpaceDE w:val="0"/>
      <w:autoSpaceDN w:val="0"/>
      <w:adjustRightInd w:val="0"/>
      <w:ind w:left="474" w:hanging="186"/>
      <w:outlineLvl w:val="0"/>
    </w:pPr>
  </w:style>
  <w:style w:type="paragraph" w:customStyle="1" w:styleId="Level2">
    <w:name w:val="Level 2"/>
    <w:basedOn w:val="Normal"/>
    <w:rsid w:val="0075215F"/>
    <w:pPr>
      <w:widowControl w:val="0"/>
      <w:autoSpaceDE w:val="0"/>
      <w:autoSpaceDN w:val="0"/>
      <w:adjustRightInd w:val="0"/>
      <w:ind w:left="722" w:hanging="361"/>
    </w:pPr>
  </w:style>
  <w:style w:type="character" w:styleId="UnresolvedMention">
    <w:name w:val="Unresolved Mention"/>
    <w:basedOn w:val="DefaultParagraphFont"/>
    <w:uiPriority w:val="99"/>
    <w:semiHidden/>
    <w:unhideWhenUsed/>
    <w:rsid w:val="000867E1"/>
    <w:rPr>
      <w:color w:val="605E5C"/>
      <w:shd w:val="clear" w:color="auto" w:fill="E1DFDD"/>
    </w:rPr>
  </w:style>
  <w:style w:type="paragraph" w:styleId="Revision">
    <w:name w:val="Revision"/>
    <w:hidden/>
    <w:uiPriority w:val="99"/>
    <w:semiHidden/>
    <w:rsid w:val="0020421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reginfo.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5A8E37BD9DB448F87C90C6166B478" ma:contentTypeVersion="30" ma:contentTypeDescription="Create a new document." ma:contentTypeScope="" ma:versionID="9e991d50207474d573a679a32b7f9ed7">
  <xsd:schema xmlns:xsd="http://www.w3.org/2001/XMLSchema" xmlns:xs="http://www.w3.org/2001/XMLSchema" xmlns:p="http://schemas.microsoft.com/office/2006/metadata/properties" xmlns:ns2="90319433-ef52-47e5-9009-1d2e3c4c193a" xmlns:ns3="d974f39b-ba61-4cba-b97a-eef971abbc27" targetNamespace="http://schemas.microsoft.com/office/2006/metadata/properties" ma:root="true" ma:fieldsID="5174e74909c37450ba05873f97ebb872" ns2:_="" ns3:_="">
    <xsd:import namespace="90319433-ef52-47e5-9009-1d2e3c4c193a"/>
    <xsd:import namespace="d974f39b-ba61-4cba-b97a-eef971abbc27"/>
    <xsd:element name="properties">
      <xsd:complexType>
        <xsd:sequence>
          <xsd:element name="documentManagement">
            <xsd:complexType>
              <xsd:all>
                <xsd:element ref="ns2:PRA_x0020_POC" minOccurs="0"/>
                <xsd:element ref="ns2:OMB_x0020_Expiration_x0020_Date" minOccurs="0"/>
                <xsd:element ref="ns2:Requiring_x0020_Activity" minOccurs="0"/>
                <xsd:element ref="ns2:PRA_x0020_Status" minOccurs="0"/>
                <xsd:element ref="ns2:PRA_x0020_Request_x0020_Type" minOccurs="0"/>
                <xsd:element ref="ns2:OMB_x0020_No_x002e_" minOccurs="0"/>
                <xsd:element ref="ns2:Reg" minOccurs="0"/>
                <xsd:element ref="ns2:TriggerFlag"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ustomContent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19433-ef52-47e5-9009-1d2e3c4c193a" elementFormDefault="qualified">
    <xsd:import namespace="http://schemas.microsoft.com/office/2006/documentManagement/types"/>
    <xsd:import namespace="http://schemas.microsoft.com/office/infopath/2007/PartnerControls"/>
    <xsd:element name="PRA_x0020_POC" ma:index="8" nillable="true" ma:displayName="PRA POC" ma:list="UserInfo" ma:SharePointGroup="0" ma:internalName="PRA_x0020_POC"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MB_x0020_Expiration_x0020_Date" ma:index="9" nillable="true" ma:displayName="OMB Expiration Date" ma:format="DateOnly" ma:indexed="true" ma:internalName="OMB_x0020_Expiration_x0020_Date" ma:readOnly="false">
      <xsd:simpleType>
        <xsd:restriction base="dms:DateTime"/>
      </xsd:simpleType>
    </xsd:element>
    <xsd:element name="Requiring_x0020_Activity" ma:index="10" nillable="true" ma:displayName="ClientOffice" ma:default="-" ma:format="Dropdown" ma:internalName="Requiring_x0020_Activity" ma:readOnly="false">
      <xsd:simpleType>
        <xsd:restriction base="dms:Choice">
          <xsd:enumeration value="-"/>
          <xsd:enumeration value="Eastern"/>
          <xsd:enumeration value="Southern"/>
          <xsd:enumeration value="Western"/>
          <xsd:enumeration value="Region 1"/>
          <xsd:enumeration value="Region 2"/>
          <xsd:enumeration value="Region 3"/>
          <xsd:enumeration value="Region 4"/>
          <xsd:enumeration value="Region 5"/>
          <xsd:enumeration value="AMAC"/>
          <xsd:enumeration value="Board"/>
          <xsd:enumeration value="CURE"/>
          <xsd:enumeration value="E&amp;I"/>
          <xsd:enumeration value="OBI"/>
          <xsd:enumeration value="OCE"/>
          <xsd:enumeration value="OCFO"/>
          <xsd:enumeration value="OCFP"/>
          <xsd:enumeration value="OCIO"/>
          <xsd:enumeration value="OCSM"/>
          <xsd:enumeration value="OEAC"/>
          <xsd:enumeration value="OEC"/>
          <xsd:enumeration value="OED"/>
          <xsd:enumeration value="OGC"/>
          <xsd:enumeration value="OHR"/>
          <xsd:enumeration value="OIG"/>
          <xsd:enumeration value="OMWI"/>
          <xsd:enumeration value="ONES"/>
          <xsd:enumeration value="PACA"/>
        </xsd:restriction>
      </xsd:simpleType>
    </xsd:element>
    <xsd:element name="PRA_x0020_Status" ma:index="11" nillable="true" ma:displayName="PRA Status" ma:default="-" ma:format="Dropdown" ma:internalName="PRA_x0020_Status" ma:readOnly="false">
      <xsd:simpleType>
        <xsd:restriction base="dms:Choice">
          <xsd:enumeration value="-"/>
          <xsd:enumeration value="Pending w/OPI"/>
          <xsd:enumeration value="Pending w/PRA Office"/>
          <xsd:enumeration value="Pending w/OMB"/>
          <xsd:enumeration value="60 day comment period wait"/>
          <xsd:enumeration value="30 day comment period wait"/>
          <xsd:enumeration value="Approved"/>
          <xsd:enumeration value="Disapproved"/>
          <xsd:enumeration value="Disapproved &amp; Continued"/>
          <xsd:enumeration value="Preapproved"/>
          <xsd:enumeration value="Comment file on proposed rule"/>
          <xsd:enumeration value="Comment file on proposed rule and continued"/>
          <xsd:enumeration value="Improperly Submitted"/>
          <xsd:enumeration value="Improperly Submitted and Continued"/>
        </xsd:restriction>
      </xsd:simpleType>
    </xsd:element>
    <xsd:element name="PRA_x0020_Request_x0020_Type" ma:index="12" nillable="true" ma:displayName="PRA Request Type" ma:default="-" ma:format="Dropdown" ma:internalName="PRA_x0020_Request_x0020_Type" ma:readOnly="false">
      <xsd:simpleType>
        <xsd:restriction base="dms:Choice">
          <xsd:enumeration value="-"/>
          <xsd:enumeration value="Extension"/>
          <xsd:enumeration value="Revision"/>
          <xsd:enumeration value="New"/>
          <xsd:enumeration value="New NPRM"/>
          <xsd:enumeration value="New Final Rule"/>
          <xsd:enumeration value="In use W/O OMB#"/>
          <xsd:enumeration value="Reinstatement"/>
          <xsd:enumeration value="Discontinuation"/>
          <xsd:enumeration value="Non Material Change"/>
          <xsd:enumeration value="Generic IC"/>
          <xsd:enumeration value="Emergency Extension"/>
        </xsd:restriction>
      </xsd:simpleType>
    </xsd:element>
    <xsd:element name="OMB_x0020_No_x002e_" ma:index="13" nillable="true" ma:displayName="OMB No." ma:indexed="true" ma:internalName="OMB_x0020_No_x002e_" ma:readOnly="false">
      <xsd:simpleType>
        <xsd:restriction base="dms:Text">
          <xsd:maxLength value="10"/>
        </xsd:restriction>
      </xsd:simpleType>
    </xsd:element>
    <xsd:element name="Reg" ma:index="14" nillable="true" ma:displayName="Reg" ma:internalName="Reg" ma:readOnly="false">
      <xsd:simpleType>
        <xsd:restriction base="dms:Text">
          <xsd:maxLength value="10"/>
        </xsd:restriction>
      </xsd:simpleType>
    </xsd:element>
    <xsd:element name="TriggerFlag" ma:index="15" nillable="true" ma:displayName="TriggerFlag" ma:internalName="TriggerFlag" ma:readOnly="false">
      <xsd:simpleType>
        <xsd:restriction base="dms:Text">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9f6169f-0cde-43dc-9eda-4c133108571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CustomContentType" ma:index="27" nillable="true" ma:displayName="Custom Content Type" ma:format="Dropdown" ma:internalName="CustomContentType">
      <xsd:simpleType>
        <xsd:union memberTypes="dms:Text">
          <xsd:simpleType>
            <xsd:restriction base="dms:Choice">
              <xsd:enumeration value="Document"/>
              <xsd:enumeration value="Email - OMB"/>
              <xsd:enumeration value="Collection Instrument"/>
              <xsd:enumeration value="NPRM"/>
              <xsd:enumeration value="Other relevant doc"/>
              <xsd:enumeration value="Email - Internal"/>
              <xsd:enumeration value="Supporting Statement"/>
              <xsd:enumeration value="SORN"/>
              <xsd:enumeration value="30 Day Notice"/>
              <xsd:enumeration value="Supplementary Doc"/>
              <xsd:enumeration value="60 Day Notice"/>
            </xsd:restriction>
          </xsd:simpleType>
        </xsd:un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74f39b-ba61-4cba-b97a-eef971abbc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b5fb84-9e12-4008-ac14-e02e9b11e8da}" ma:internalName="TaxCatchAll" ma:showField="CatchAllData" ma:web="d974f39b-ba61-4cba-b97a-eef971abb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RA_x0020_Status xmlns="90319433-ef52-47e5-9009-1d2e3c4c193a">Approved</PRA_x0020_Status>
    <OMB_x0020_Expiration_x0020_Date xmlns="90319433-ef52-47e5-9009-1d2e3c4c193a">2021-10-31T04:00:00+00:00</OMB_x0020_Expiration_x0020_Date>
    <PRA_x0020_Request_x0020_Type xmlns="90319433-ef52-47e5-9009-1d2e3c4c193a">Extension</PRA_x0020_Request_x0020_Type>
    <TriggerFlag xmlns="90319433-ef52-47e5-9009-1d2e3c4c193a" xsi:nil="true"/>
    <lcf76f155ced4ddcb4097134ff3c332f xmlns="90319433-ef52-47e5-9009-1d2e3c4c193a">
      <Terms xmlns="http://schemas.microsoft.com/office/infopath/2007/PartnerControls"/>
    </lcf76f155ced4ddcb4097134ff3c332f>
    <Reg xmlns="90319433-ef52-47e5-9009-1d2e3c4c193a">746 (B)</Reg>
    <Requiring_x0020_Activity xmlns="90319433-ef52-47e5-9009-1d2e3c4c193a">OGC</Requiring_x0020_Activity>
    <TaxCatchAll xmlns="d974f39b-ba61-4cba-b97a-eef971abbc27" xsi:nil="true"/>
    <OMB_x0020_No_x002e_ xmlns="90319433-ef52-47e5-9009-1d2e3c4c193a">3133-0198</OMB_x0020_No_x002e_>
    <PRA_x0020_POC xmlns="90319433-ef52-47e5-9009-1d2e3c4c193a">
      <UserInfo>
        <DisplayName/>
        <AccountId xsi:nil="true"/>
        <AccountType/>
      </UserInfo>
    </PRA_x0020_POC>
    <CustomContentType xmlns="90319433-ef52-47e5-9009-1d2e3c4c193a" xsi:nil="true"/>
  </documentManagement>
</p:properties>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3E17AFEB-8A4C-4A6E-AC8F-C91461CB6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19433-ef52-47e5-9009-1d2e3c4c193a"/>
    <ds:schemaRef ds:uri="d974f39b-ba61-4cba-b97a-eef971abb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A82455-C6DC-4F0F-B07B-819D2C0376BF}">
  <ds:schemaRefs>
    <ds:schemaRef ds:uri="http://schemas.openxmlformats.org/officeDocument/2006/bibliography"/>
  </ds:schemaRefs>
</ds:datastoreItem>
</file>

<file path=customXml/itemProps3.xml><?xml version="1.0" encoding="utf-8"?>
<ds:datastoreItem xmlns:ds="http://schemas.openxmlformats.org/officeDocument/2006/customXml" ds:itemID="{D14C5C41-115C-4B78-9436-B52F77EE38E6}">
  <ds:schemaRefs>
    <ds:schemaRef ds:uri="http://schemas.openxmlformats.org/package/2006/metadata/core-properties"/>
    <ds:schemaRef ds:uri="http://purl.org/dc/elements/1.1/"/>
    <ds:schemaRef ds:uri="http://schemas.microsoft.com/office/infopath/2007/PartnerControls"/>
    <ds:schemaRef ds:uri="90319433-ef52-47e5-9009-1d2e3c4c193a"/>
    <ds:schemaRef ds:uri="http://schemas.microsoft.com/office/2006/metadata/properties"/>
    <ds:schemaRef ds:uri="http://purl.org/dc/terms/"/>
    <ds:schemaRef ds:uri="http://purl.org/dc/dcmitype/"/>
    <ds:schemaRef ds:uri="http://schemas.microsoft.com/office/2006/documentManagement/types"/>
    <ds:schemaRef ds:uri="d974f39b-ba61-4cba-b97a-eef971abbc27"/>
    <ds:schemaRef ds:uri="http://www.w3.org/XML/1998/namespace"/>
  </ds:schemaRefs>
</ds:datastoreItem>
</file>

<file path=customXml/itemProps4.xml><?xml version="1.0" encoding="utf-8"?>
<ds:datastoreItem xmlns:ds="http://schemas.openxmlformats.org/officeDocument/2006/customXml" ds:itemID="{170D4AD3-3CF9-45A6-BDF0-4AA4B26DA4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966</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 Mergers of Federally-Insured Credit Union OMB Control Number 3133-</vt:lpstr>
    </vt:vector>
  </TitlesOfParts>
  <Company>NCUA</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 Mergers of Federally-Insured Credit Union OMB Control Number 3133-</dc:title>
  <dc:creator>NCUA</dc:creator>
  <cp:lastModifiedBy>Rogers, Dacia A</cp:lastModifiedBy>
  <cp:revision>6</cp:revision>
  <cp:lastPrinted>2017-06-09T15:13:00Z</cp:lastPrinted>
  <dcterms:created xsi:type="dcterms:W3CDTF">2024-09-24T18:44:00Z</dcterms:created>
  <dcterms:modified xsi:type="dcterms:W3CDTF">2024-09-25T16:42:00Z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0x010100D005A8E37BD9DB448F87C90C6166B478</vt:lpwstr>
  </property>
</Properties>
</file>