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imes New Roman" w:eastAsia="Times New Roman" w:hAnsi="Times New Roman"/>
          <w:sz w:val="20"/>
          <w:szCs w:val="20"/>
        </w:rPr>
        <w:id w:val="-2104788051"/>
        <w:docPartObj>
          <w:docPartGallery w:val="Cover Pages"/>
          <w:docPartUnique/>
        </w:docPartObj>
      </w:sdtPr>
      <w:sdtEndPr>
        <w:rPr>
          <w:rFonts w:ascii="Cambria" w:eastAsia="MS Mincho" w:hAnsi="Cambria"/>
          <w:sz w:val="24"/>
          <w:szCs w:val="24"/>
        </w:rPr>
      </w:sdtEndPr>
      <w:sdtContent>
        <w:p w:rsidR="00586EB1" w:rsidP="00F54F32" w14:paraId="5AA31738" w14:textId="77777777">
          <w:pPr>
            <w:rPr>
              <w:rFonts w:ascii="Book Antiqua" w:eastAsia="Book Antiqua" w:hAnsi="Book Antiqua" w:cs="Book Antiqua"/>
              <w:sz w:val="2"/>
              <w:szCs w:val="2"/>
            </w:rPr>
            <w:sectPr w:rsidSect="00FF07EF">
              <w:headerReference w:type="default" r:id="rId10"/>
              <w:headerReference w:type="first" r:id="rId11"/>
              <w:footerReference w:type="first" r:id="rId12"/>
              <w:type w:val="continuous"/>
              <w:pgSz w:w="12240" w:h="15840"/>
              <w:pgMar w:top="1915" w:right="0" w:bottom="1152" w:left="0" w:header="619" w:footer="720" w:gutter="0"/>
              <w:pgNumType w:start="0"/>
              <w:cols w:space="720"/>
              <w:titlePg/>
              <w:docGrid w:linePitch="326"/>
            </w:sectPr>
          </w:pPr>
          <w:r>
            <w:rPr>
              <w:rFonts w:ascii="Book Antiqua" w:eastAsia="Book Antiqua" w:hAnsi="Book Antiqua" w:cs="Book Antiqua"/>
              <w:noProof/>
              <w:sz w:val="2"/>
              <w:szCs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4180956</wp:posOffset>
                    </wp:positionV>
                    <wp:extent cx="5836024" cy="1573305"/>
                    <wp:effectExtent l="0" t="0" r="0" b="8255"/>
                    <wp:wrapNone/>
                    <wp:docPr id="231" name="Text Box 23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36024" cy="1573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7257" w:rsidRPr="00EF0B19" w:rsidP="00707257" w14:textId="654E49B2">
                                <w:pPr>
                                  <w:tabs>
                                    <w:tab w:val="left" w:pos="270"/>
                                    <w:tab w:val="left" w:pos="7043"/>
                                  </w:tabs>
                                  <w:spacing w:before="200"/>
                                  <w:rPr>
                                    <w:rFonts w:ascii="Times New Roman" w:eastAsia="Calibri" w:hAnsi="Times New Roman"/>
                                    <w:color w:val="1D498B"/>
                                    <w:sz w:val="40"/>
                                    <w:szCs w:val="40"/>
                                  </w:rPr>
                                </w:pPr>
                                <w:r w:rsidRPr="00EF0B19">
                                  <w:rPr>
                                    <w:rFonts w:ascii="Times New Roman" w:eastAsia="Calibri" w:hAnsi="Times New Roman"/>
                                    <w:color w:val="1D498B"/>
                                    <w:sz w:val="40"/>
                                    <w:szCs w:val="40"/>
                                  </w:rPr>
                                  <w:t>Credit Union Self Run Supervisory Stress Test</w:t>
                                </w:r>
                              </w:p>
                              <w:p w:rsidR="00C87C1A" w:rsidRPr="00EF0B19" w:rsidP="00707257" w14:textId="18DBDCD7">
                                <w:pPr>
                                  <w:tabs>
                                    <w:tab w:val="left" w:pos="270"/>
                                    <w:tab w:val="left" w:pos="7043"/>
                                  </w:tabs>
                                  <w:spacing w:before="200"/>
                                  <w:rPr>
                                    <w:rFonts w:ascii="Times New Roman" w:eastAsia="Calibri" w:hAnsi="Times New Roman"/>
                                    <w:color w:val="1D498B"/>
                                    <w:sz w:val="40"/>
                                    <w:szCs w:val="40"/>
                                  </w:rPr>
                                </w:pPr>
                                <w:r w:rsidRPr="00EF0B19">
                                  <w:rPr>
                                    <w:rFonts w:ascii="Times New Roman" w:eastAsia="Calibri" w:hAnsi="Times New Roman"/>
                                    <w:color w:val="1D498B"/>
                                    <w:sz w:val="40"/>
                                    <w:szCs w:val="40"/>
                                  </w:rPr>
                                  <w:t>Instructions</w:t>
                                </w:r>
                              </w:p>
                              <w:p w:rsidR="00416423" w:rsidRPr="00EF0B19" w14:textId="77777777">
                                <w:pPr>
                                  <w:rPr>
                                    <w:rFonts w:ascii="Times New Roman" w:hAnsi="Times New Roman"/>
                                  </w:rPr>
                                </w:pPr>
                                <w:r w:rsidRPr="00EF0B19">
                                  <w:rPr>
                                    <w:rFonts w:ascii="Times New Roman" w:hAnsi="Times New Roman"/>
                                    <w:noProof/>
                                  </w:rPr>
                                  <w:drawing>
                                    <wp:inline distT="0" distB="0" distL="0" distR="0">
                                      <wp:extent cx="5562600" cy="64008"/>
                                      <wp:effectExtent l="0" t="0" r="0" b="0"/>
                                      <wp:docPr id="1437015525" name="Picture 23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15525" name="Report Template_end of story.jp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562600" cy="64008"/>
                                              </a:xfrm>
                                              <a:prstGeom prst="rect">
                                                <a:avLst/>
                                              </a:prstGeom>
                                            </pic:spPr>
                                          </pic:pic>
                                        </a:graphicData>
                                      </a:graphic>
                                    </wp:inline>
                                  </w:drawing>
                                </w:r>
                              </w:p>
                              <w:p w:rsidR="00707257" w:rsidRPr="00EF0B19" w:rsidP="00707257" w14:textId="368D518C">
                                <w:pPr>
                                  <w:tabs>
                                    <w:tab w:val="left" w:pos="3114"/>
                                  </w:tabs>
                                  <w:ind w:right="-720"/>
                                  <w:rPr>
                                    <w:rFonts w:ascii="Times New Roman" w:eastAsia="Calibri" w:hAnsi="Times New Roman"/>
                                    <w:color w:val="1F497D" w:themeColor="text2"/>
                                    <w:sz w:val="32"/>
                                    <w:szCs w:val="32"/>
                                  </w:rPr>
                                </w:pPr>
                                <w:r w:rsidRPr="00EF0B19">
                                  <w:rPr>
                                    <w:rFonts w:ascii="Times New Roman" w:eastAsia="Calibri" w:hAnsi="Times New Roman"/>
                                    <w:color w:val="1F497D" w:themeColor="text2"/>
                                    <w:sz w:val="36"/>
                                    <w:szCs w:val="36"/>
                                  </w:rPr>
                                  <w:t>December 20</w:t>
                                </w:r>
                                <w:r w:rsidRPr="00EF0B19" w:rsidR="008E65D6">
                                  <w:rPr>
                                    <w:rFonts w:ascii="Times New Roman" w:eastAsia="Calibri" w:hAnsi="Times New Roman"/>
                                    <w:color w:val="1F497D" w:themeColor="text2"/>
                                    <w:sz w:val="36"/>
                                    <w:szCs w:val="36"/>
                                  </w:rPr>
                                  <w:t>2</w:t>
                                </w:r>
                                <w:r w:rsidRPr="00EF0B19" w:rsidR="00C87C1A">
                                  <w:rPr>
                                    <w:rFonts w:ascii="Times New Roman" w:eastAsia="Calibri" w:hAnsi="Times New Roman"/>
                                    <w:color w:val="1F497D" w:themeColor="text2"/>
                                    <w:sz w:val="36"/>
                                    <w:szCs w:val="36"/>
                                  </w:rPr>
                                  <w:t>3</w:t>
                                </w:r>
                              </w:p>
                              <w:p w:rsidR="00416423" w:rsidRPr="00EF0B19" w:rsidP="00707257" w14:textId="77777777">
                                <w:pPr>
                                  <w:rPr>
                                    <w:rFonts w:ascii="Times New Roman" w:hAnsi="Times New Roman"/>
                                    <w:color w:val="3E4A64"/>
                                    <w:sz w:val="46"/>
                                    <w:szCs w:val="4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1" o:spid="_x0000_s1025" type="#_x0000_t202" style="width:459.55pt;height:123.9pt;margin-top:329.2pt;margin-left:0;mso-height-percent:0;mso-height-relative:margin;mso-position-horizontal:center;mso-position-horizontal-relative:margin;mso-wrap-distance-bottom:0;mso-wrap-distance-left:9pt;mso-wrap-distance-right:9pt;mso-wrap-distance-top:0;mso-wrap-style:square;position:absolute;visibility:visible;v-text-anchor:top;z-index:251659264" fillcolor="white" stroked="f" strokeweight="0.5pt">
                    <v:textbox>
                      <w:txbxContent>
                        <w:p w:rsidR="00707257" w:rsidRPr="00EF0B19" w:rsidP="00707257" w14:paraId="58FB3A6D" w14:textId="654E49B2">
                          <w:pPr>
                            <w:tabs>
                              <w:tab w:val="left" w:pos="270"/>
                              <w:tab w:val="left" w:pos="7043"/>
                            </w:tabs>
                            <w:spacing w:before="200"/>
                            <w:rPr>
                              <w:rFonts w:ascii="Times New Roman" w:eastAsia="Calibri" w:hAnsi="Times New Roman"/>
                              <w:color w:val="1D498B"/>
                              <w:sz w:val="40"/>
                              <w:szCs w:val="40"/>
                            </w:rPr>
                          </w:pPr>
                          <w:r w:rsidRPr="00EF0B19">
                            <w:rPr>
                              <w:rFonts w:ascii="Times New Roman" w:eastAsia="Calibri" w:hAnsi="Times New Roman"/>
                              <w:color w:val="1D498B"/>
                              <w:sz w:val="40"/>
                              <w:szCs w:val="40"/>
                            </w:rPr>
                            <w:t>Credit Union Self Run Supervisory Stress Test</w:t>
                          </w:r>
                        </w:p>
                        <w:p w:rsidR="00C87C1A" w:rsidRPr="00EF0B19" w:rsidP="00707257" w14:paraId="1F44B912" w14:textId="18DBDCD7">
                          <w:pPr>
                            <w:tabs>
                              <w:tab w:val="left" w:pos="270"/>
                              <w:tab w:val="left" w:pos="7043"/>
                            </w:tabs>
                            <w:spacing w:before="200"/>
                            <w:rPr>
                              <w:rFonts w:ascii="Times New Roman" w:eastAsia="Calibri" w:hAnsi="Times New Roman"/>
                              <w:color w:val="1D498B"/>
                              <w:sz w:val="40"/>
                              <w:szCs w:val="40"/>
                            </w:rPr>
                          </w:pPr>
                          <w:r w:rsidRPr="00EF0B19">
                            <w:rPr>
                              <w:rFonts w:ascii="Times New Roman" w:eastAsia="Calibri" w:hAnsi="Times New Roman"/>
                              <w:color w:val="1D498B"/>
                              <w:sz w:val="40"/>
                              <w:szCs w:val="40"/>
                            </w:rPr>
                            <w:t>Instructions</w:t>
                          </w:r>
                        </w:p>
                        <w:p w:rsidR="00416423" w:rsidRPr="00EF0B19" w14:paraId="38FD5FC9" w14:textId="77777777">
                          <w:pPr>
                            <w:rPr>
                              <w:rFonts w:ascii="Times New Roman" w:hAnsi="Times New Roman"/>
                            </w:rPr>
                          </w:pPr>
                          <w:drawing>
                            <wp:inline distT="0" distB="0" distL="0" distR="0">
                              <wp:extent cx="5562600" cy="64008"/>
                              <wp:effectExtent l="0" t="0" r="0" b="0"/>
                              <wp:docPr id="232" name="Picture 23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Report Template_end of story.jp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562600" cy="64008"/>
                                      </a:xfrm>
                                      <a:prstGeom prst="rect">
                                        <a:avLst/>
                                      </a:prstGeom>
                                    </pic:spPr>
                                  </pic:pic>
                                </a:graphicData>
                              </a:graphic>
                            </wp:inline>
                          </w:drawing>
                        </w:p>
                        <w:p w:rsidR="00707257" w:rsidRPr="00EF0B19" w:rsidP="00707257" w14:paraId="6B5062FB" w14:textId="368D518C">
                          <w:pPr>
                            <w:tabs>
                              <w:tab w:val="left" w:pos="3114"/>
                            </w:tabs>
                            <w:ind w:right="-720"/>
                            <w:rPr>
                              <w:rFonts w:ascii="Times New Roman" w:eastAsia="Calibri" w:hAnsi="Times New Roman"/>
                              <w:color w:val="1F497D" w:themeColor="text2"/>
                              <w:sz w:val="32"/>
                              <w:szCs w:val="32"/>
                            </w:rPr>
                          </w:pPr>
                          <w:r w:rsidRPr="00EF0B19">
                            <w:rPr>
                              <w:rFonts w:ascii="Times New Roman" w:eastAsia="Calibri" w:hAnsi="Times New Roman"/>
                              <w:color w:val="1F497D" w:themeColor="text2"/>
                              <w:sz w:val="36"/>
                              <w:szCs w:val="36"/>
                            </w:rPr>
                            <w:t>December 20</w:t>
                          </w:r>
                          <w:r w:rsidRPr="00EF0B19" w:rsidR="008E65D6">
                            <w:rPr>
                              <w:rFonts w:ascii="Times New Roman" w:eastAsia="Calibri" w:hAnsi="Times New Roman"/>
                              <w:color w:val="1F497D" w:themeColor="text2"/>
                              <w:sz w:val="36"/>
                              <w:szCs w:val="36"/>
                            </w:rPr>
                            <w:t>2</w:t>
                          </w:r>
                          <w:r w:rsidRPr="00EF0B19" w:rsidR="00C87C1A">
                            <w:rPr>
                              <w:rFonts w:ascii="Times New Roman" w:eastAsia="Calibri" w:hAnsi="Times New Roman"/>
                              <w:color w:val="1F497D" w:themeColor="text2"/>
                              <w:sz w:val="36"/>
                              <w:szCs w:val="36"/>
                            </w:rPr>
                            <w:t>3</w:t>
                          </w:r>
                        </w:p>
                        <w:p w:rsidR="00416423" w:rsidRPr="00EF0B19" w:rsidP="00707257" w14:paraId="05F22389" w14:textId="77777777">
                          <w:pPr>
                            <w:rPr>
                              <w:rFonts w:ascii="Times New Roman" w:hAnsi="Times New Roman"/>
                              <w:color w:val="3E4A64"/>
                              <w:sz w:val="46"/>
                              <w:szCs w:val="46"/>
                            </w:rPr>
                          </w:pPr>
                        </w:p>
                      </w:txbxContent>
                    </v:textbox>
                    <w10:wrap anchorx="margin"/>
                  </v:shape>
                </w:pict>
              </mc:Fallback>
            </mc:AlternateContent>
          </w:r>
        </w:p>
        <w:p w:rsidR="00586EB1" w:rsidP="000704A6" w14:paraId="3DBEA1CD" w14:textId="77777777">
          <w:pPr>
            <w:jc w:val="center"/>
            <w:rPr>
              <w:rFonts w:ascii="Times New Roman" w:eastAsia="Times New Roman" w:hAnsi="Times New Roman"/>
            </w:rPr>
          </w:pPr>
          <w:r>
            <w:rPr>
              <w:rFonts w:ascii="Times New Roman" w:eastAsia="Times New Roman" w:hAnsi="Times New Roman"/>
              <w:sz w:val="20"/>
              <w:szCs w:val="20"/>
            </w:rPr>
            <w:t>[This page intentionally left blank]</w:t>
          </w:r>
        </w:p>
        <w:p w:rsidR="00586EB1" w14:paraId="555202DF" w14:textId="77777777">
          <w:pPr>
            <w:rPr>
              <w:rFonts w:ascii="Times New Roman" w:hAnsi="Times New Roman"/>
              <w:noProof/>
              <w:spacing w:val="4"/>
            </w:rPr>
          </w:pPr>
          <w:r>
            <w:rPr>
              <w:rFonts w:ascii="Times New Roman" w:eastAsia="Times New Roman" w:hAnsi="Times New Roman"/>
              <w:noProof/>
              <w:sz w:val="20"/>
              <w:szCs w:val="20"/>
            </w:rPr>
            <mc:AlternateContent>
              <mc:Choice Requires="wps">
                <w:drawing>
                  <wp:inline distT="0" distB="0" distL="0" distR="0">
                    <wp:extent cx="5410200" cy="5436235"/>
                    <wp:effectExtent l="0" t="0" r="0" b="0"/>
                    <wp:docPr id="51" name="Rectangle 51" descr="Seal of the National Credit Union Administration 1934" title="NCUA Seal"/>
                    <wp:cNvGraphicFramePr/>
                    <a:graphic xmlns:a="http://schemas.openxmlformats.org/drawingml/2006/main">
                      <a:graphicData uri="http://schemas.microsoft.com/office/word/2010/wordprocessingShape">
                        <wps:wsp xmlns:wps="http://schemas.microsoft.com/office/word/2010/wordprocessingShape">
                          <wps:cNvSpPr/>
                          <wps:spPr>
                            <a:xfrm>
                              <a:off x="0" y="0"/>
                              <a:ext cx="5410200" cy="5436235"/>
                            </a:xfrm>
                            <a:prstGeom prst="rect">
                              <a:avLst/>
                            </a:prstGeom>
                            <a:blipFill>
                              <a:blip xmlns:r="http://schemas.openxmlformats.org/officeDocument/2006/relationships" r:embed="rId14">
                                <a:alphaModFix amt="47000"/>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51" o:spid="_x0000_i1026" alt="Title: NCUA Seal - Description: Seal of the National Credit Union Administration 1934" style="width:426pt;height:428.05pt;mso-left-percent:-10001;mso-position-horizontal-relative:char;mso-position-vertical-relative:line;mso-top-percent:-10001;mso-wrap-style:square;visibility:visible;v-text-anchor:middle" stroked="f" strokeweight="2pt">
                    <v:fill r:id="rId14" o:title="Seal of the National Credit Union Administration 1934" opacity="30802f" recolor="t" rotate="t" type="frame"/>
                    <w10:wrap type="none"/>
                    <w10:anchorlock/>
                  </v:rect>
                </w:pict>
              </mc:Fallback>
            </mc:AlternateContent>
          </w:r>
          <w:r>
            <w:br w:type="page"/>
          </w:r>
        </w:p>
      </w:sdtContent>
    </w:sdt>
    <w:p w:rsidR="00474EE5" w:rsidRPr="00EF0B19" w:rsidP="00707257" w14:paraId="46451734" w14:textId="56B8CB84">
      <w:pPr>
        <w:tabs>
          <w:tab w:val="left" w:pos="270"/>
          <w:tab w:val="left" w:pos="7043"/>
        </w:tabs>
        <w:spacing w:before="200"/>
        <w:rPr>
          <w:rFonts w:ascii="Times New Roman" w:eastAsia="Calibri" w:hAnsi="Times New Roman"/>
          <w:color w:val="1D498B"/>
          <w:sz w:val="32"/>
          <w:szCs w:val="32"/>
        </w:rPr>
      </w:pPr>
      <w:r w:rsidRPr="00EF0B19">
        <w:rPr>
          <w:rFonts w:ascii="Times New Roman" w:eastAsia="Calibri" w:hAnsi="Times New Roman"/>
          <w:color w:val="1D498B"/>
          <w:sz w:val="32"/>
          <w:szCs w:val="32"/>
        </w:rPr>
        <w:t>Credit Union Self Run Supervisory Stress Test</w:t>
      </w:r>
      <w:r w:rsidRPr="00EF0B19" w:rsidR="00C87C1A">
        <w:rPr>
          <w:rFonts w:ascii="Times New Roman" w:eastAsia="Calibri" w:hAnsi="Times New Roman"/>
          <w:color w:val="1D498B"/>
          <w:sz w:val="32"/>
          <w:szCs w:val="32"/>
        </w:rPr>
        <w:t xml:space="preserve"> Instructions</w:t>
      </w:r>
    </w:p>
    <w:p w:rsidR="00EF0B19" w:rsidRPr="00EF0B19" w:rsidP="00707257" w14:paraId="0A645914" w14:textId="77777777">
      <w:pPr>
        <w:tabs>
          <w:tab w:val="left" w:pos="270"/>
          <w:tab w:val="left" w:pos="7043"/>
        </w:tabs>
        <w:spacing w:before="200"/>
        <w:rPr>
          <w:rFonts w:ascii="Times New Roman" w:eastAsia="Calibri" w:hAnsi="Times New Roman"/>
          <w:color w:val="1D498B"/>
          <w:sz w:val="40"/>
          <w:szCs w:val="40"/>
        </w:rPr>
      </w:pPr>
    </w:p>
    <w:p w:rsidR="00F15F34" w:rsidRPr="00E929C0" w:rsidP="008D1970" w14:paraId="6397F8D6" w14:textId="77777777">
      <w:pPr>
        <w:pStyle w:val="Heading2"/>
      </w:pPr>
      <w:r w:rsidRPr="00E929C0">
        <w:t>Table of Contents</w:t>
      </w:r>
    </w:p>
    <w:p w:rsidR="00F15F34" w:rsidRPr="00EF0B19" w:rsidP="00F15F34" w14:paraId="58320681" w14:textId="77777777">
      <w:pPr>
        <w:rPr>
          <w:rFonts w:ascii="Times New Roman" w:hAnsi="Times New Roman"/>
        </w:rPr>
      </w:pPr>
    </w:p>
    <w:p w:rsidR="00C26C0B" w:rsidRPr="00E929C0" w:rsidP="0049751F" w14:paraId="123057C3" w14:textId="77777777">
      <w:pPr>
        <w:pStyle w:val="TOC1"/>
      </w:pPr>
      <w:r w:rsidRPr="00E929C0">
        <w:t>Executive Summary</w:t>
      </w:r>
      <w:r w:rsidRPr="00E929C0">
        <w:tab/>
        <w:t>2</w:t>
      </w:r>
    </w:p>
    <w:p w:rsidR="00FB2AC2" w:rsidRPr="00E929C0" w:rsidP="0049751F" w14:paraId="487BCA82" w14:textId="028993C4">
      <w:pPr>
        <w:pStyle w:val="TOC1"/>
      </w:pPr>
      <w:r w:rsidRPr="00E929C0">
        <w:t>Background</w:t>
      </w:r>
      <w:r w:rsidRPr="00E929C0">
        <w:tab/>
        <w:t>3</w:t>
      </w:r>
    </w:p>
    <w:p w:rsidR="00C26C0B" w:rsidRPr="00E929C0" w:rsidP="0049751F" w14:paraId="1262ED6C" w14:textId="69297BFA">
      <w:pPr>
        <w:pStyle w:val="TOC1"/>
      </w:pPr>
      <w:r w:rsidRPr="00E929C0">
        <w:t>NCUA Provided SST Inputs</w:t>
      </w:r>
      <w:r w:rsidRPr="00E929C0" w:rsidR="00553E3B">
        <w:tab/>
      </w:r>
      <w:r w:rsidRPr="00E929C0" w:rsidR="009B4B21">
        <w:t>3</w:t>
      </w:r>
    </w:p>
    <w:p w:rsidR="00C87C1A" w:rsidRPr="00E929C0" w:rsidP="0049751F" w14:paraId="7B145F48" w14:textId="3FDA2274">
      <w:pPr>
        <w:pStyle w:val="TOC1"/>
      </w:pPr>
      <w:r w:rsidRPr="00E929C0">
        <w:t xml:space="preserve">    NCUA Provided Scenarios</w:t>
      </w:r>
      <w:r w:rsidRPr="00E929C0">
        <w:tab/>
      </w:r>
      <w:r w:rsidRPr="00E929C0" w:rsidR="009B4B21">
        <w:t>4</w:t>
      </w:r>
    </w:p>
    <w:p w:rsidR="00C87C1A" w:rsidRPr="00E929C0" w:rsidP="0049751F" w14:paraId="2CAF8CAF" w14:textId="257EC016">
      <w:pPr>
        <w:pStyle w:val="TOC1"/>
      </w:pPr>
      <w:r w:rsidRPr="00E929C0">
        <w:t xml:space="preserve">    Assumptions Applied to All Scenarios</w:t>
      </w:r>
      <w:r w:rsidRPr="00E929C0">
        <w:tab/>
      </w:r>
      <w:r w:rsidRPr="00E929C0" w:rsidR="009B4B21">
        <w:t>4</w:t>
      </w:r>
    </w:p>
    <w:p w:rsidR="00C87C1A" w:rsidRPr="00E929C0" w:rsidP="0049751F" w14:paraId="3C0AE268" w14:textId="560F8BCF">
      <w:pPr>
        <w:pStyle w:val="TOC1"/>
      </w:pPr>
      <w:r w:rsidRPr="00E929C0">
        <w:t>Credit Union SST Implementation</w:t>
      </w:r>
      <w:r w:rsidRPr="00E929C0">
        <w:tab/>
        <w:t>5</w:t>
      </w:r>
    </w:p>
    <w:p w:rsidR="00C26C0B" w:rsidRPr="00E929C0" w:rsidP="0049751F" w14:paraId="783AFDBB" w14:textId="778619BB">
      <w:pPr>
        <w:pStyle w:val="TOC1"/>
      </w:pPr>
      <w:r w:rsidRPr="00E929C0">
        <w:t xml:space="preserve">    </w:t>
      </w:r>
      <w:r w:rsidRPr="00E929C0" w:rsidR="00AF23D7">
        <w:t>Data</w:t>
      </w:r>
      <w:r w:rsidRPr="00E929C0" w:rsidR="00AF23D7">
        <w:tab/>
      </w:r>
      <w:r w:rsidRPr="00E929C0">
        <w:t>5</w:t>
      </w:r>
    </w:p>
    <w:p w:rsidR="00C26C0B" w:rsidRPr="00E929C0" w:rsidP="0049751F" w14:paraId="0A24E34D" w14:textId="6E961B0F">
      <w:pPr>
        <w:pStyle w:val="TOC1"/>
      </w:pPr>
      <w:r w:rsidRPr="00E929C0">
        <w:t xml:space="preserve">    </w:t>
      </w:r>
      <w:r w:rsidRPr="00E929C0" w:rsidR="00AF23D7">
        <w:t>Modeling and Computation Methodologies</w:t>
      </w:r>
      <w:r w:rsidRPr="00E929C0" w:rsidR="00AF23D7">
        <w:tab/>
      </w:r>
      <w:r w:rsidRPr="00E929C0">
        <w:t>6</w:t>
      </w:r>
    </w:p>
    <w:p w:rsidR="00A77A8E" w:rsidRPr="00E929C0" w:rsidP="0049751F" w14:paraId="4430B7E5" w14:textId="0F98FFAB">
      <w:pPr>
        <w:pStyle w:val="TOC1"/>
      </w:pPr>
      <w:r w:rsidRPr="00E929C0">
        <w:t>Results Generation and Reporting</w:t>
      </w:r>
      <w:r w:rsidRPr="00E929C0">
        <w:tab/>
      </w:r>
      <w:r w:rsidRPr="00E929C0" w:rsidR="0077218E">
        <w:t>7</w:t>
      </w:r>
    </w:p>
    <w:p w:rsidR="009B4B21" w:rsidRPr="00E929C0" w:rsidP="0049751F" w14:paraId="5BC724D6" w14:textId="37B51131">
      <w:pPr>
        <w:pStyle w:val="TOC1"/>
      </w:pPr>
      <w:r w:rsidRPr="00E929C0">
        <w:t xml:space="preserve">    Formatting Self-Run SST Results</w:t>
      </w:r>
      <w:r w:rsidRPr="00E929C0">
        <w:tab/>
      </w:r>
      <w:r w:rsidRPr="00E929C0" w:rsidR="0049751F">
        <w:t>8</w:t>
      </w:r>
      <w:r w:rsidRPr="00E929C0">
        <w:t xml:space="preserve"> </w:t>
      </w:r>
    </w:p>
    <w:p w:rsidR="009B4B21" w:rsidRPr="00E929C0" w:rsidP="00EF0B19" w14:paraId="4B9B3FBD" w14:textId="5EFB37EA">
      <w:pPr>
        <w:pStyle w:val="TOC1"/>
      </w:pPr>
      <w:r w:rsidRPr="00E929C0">
        <w:t xml:space="preserve">    Ensuring Data Accuracy</w:t>
      </w:r>
      <w:r w:rsidRPr="00E929C0">
        <w:tab/>
      </w:r>
      <w:r w:rsidRPr="00E929C0" w:rsidR="0049751F">
        <w:t>10</w:t>
      </w:r>
    </w:p>
    <w:p w:rsidR="009B4B21" w:rsidRPr="00E929C0" w:rsidP="0049751F" w14:paraId="29382BCB" w14:textId="54722E06">
      <w:pPr>
        <w:pStyle w:val="TOC1"/>
      </w:pPr>
      <w:r w:rsidRPr="00E929C0">
        <w:t xml:space="preserve">    Reporting Loan Portfolio Data</w:t>
      </w:r>
      <w:r w:rsidRPr="00E929C0">
        <w:tab/>
      </w:r>
      <w:r w:rsidRPr="00E929C0" w:rsidR="0049751F">
        <w:t>10</w:t>
      </w:r>
    </w:p>
    <w:p w:rsidR="009B4B21" w:rsidRPr="00E929C0" w:rsidP="0049751F" w14:paraId="5D25F12E" w14:textId="4ADD4DCD">
      <w:pPr>
        <w:pStyle w:val="TOC1"/>
      </w:pPr>
      <w:r w:rsidRPr="00E929C0">
        <w:t xml:space="preserve">    Reporting Derivative Information</w:t>
      </w:r>
      <w:r w:rsidRPr="00E929C0">
        <w:tab/>
      </w:r>
      <w:r w:rsidRPr="00E929C0" w:rsidR="0049751F">
        <w:t>11</w:t>
      </w:r>
    </w:p>
    <w:p w:rsidR="009B4B21" w:rsidRPr="00E929C0" w:rsidP="0049751F" w14:paraId="7F1E2AE2" w14:textId="46889CF4">
      <w:pPr>
        <w:pStyle w:val="TOC1"/>
      </w:pPr>
      <w:r w:rsidRPr="00E929C0">
        <w:t xml:space="preserve">   Worksheet Specific Instructions</w:t>
      </w:r>
      <w:r w:rsidRPr="00E929C0">
        <w:tab/>
      </w:r>
      <w:r w:rsidRPr="00E929C0" w:rsidR="0049751F">
        <w:t>11</w:t>
      </w:r>
    </w:p>
    <w:p w:rsidR="002F5BC3" w:rsidP="00F15F34" w14:paraId="1C0BAB81" w14:textId="34696D84">
      <w:r>
        <w:rPr>
          <w:noProof/>
        </w:rPr>
        <w:drawing>
          <wp:inline distT="0" distB="0" distL="0" distR="0">
            <wp:extent cx="5394960" cy="61595"/>
            <wp:effectExtent l="0" t="0" r="0" b="0"/>
            <wp:docPr id="62" name="Picture 6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Report Template_end of story.jp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394960" cy="61595"/>
                    </a:xfrm>
                    <a:prstGeom prst="rect">
                      <a:avLst/>
                    </a:prstGeom>
                  </pic:spPr>
                </pic:pic>
              </a:graphicData>
            </a:graphic>
          </wp:inline>
        </w:drawing>
      </w:r>
    </w:p>
    <w:p w:rsidR="009B4B21" w:rsidP="00F15F34" w14:paraId="5FA713AE" w14:textId="77777777"/>
    <w:p w:rsidR="00564DDD" w:rsidRPr="00F15F34" w:rsidP="00F15F34" w14:paraId="06BF2924" w14:textId="74BD0697">
      <w:r w:rsidRPr="00F15F34">
        <w:br w:type="page"/>
      </w:r>
    </w:p>
    <w:p w:rsidR="00943ED0" w:rsidRPr="00E929C0" w:rsidP="00E929C0" w14:paraId="6E9A032C" w14:textId="74612012">
      <w:pPr>
        <w:pStyle w:val="Heading1"/>
      </w:pPr>
      <w:r w:rsidRPr="00E929C0">
        <w:t>Executive Summary</w:t>
      </w:r>
    </w:p>
    <w:p w:rsidR="00C26C0B" w:rsidRPr="000443D3" w:rsidP="000443D3" w14:paraId="2578988F" w14:textId="77777777">
      <w:pPr>
        <w:pStyle w:val="Heading2"/>
      </w:pPr>
      <w:r w:rsidRPr="003D1721">
        <w:t>National Credit Union Administration</w:t>
      </w:r>
    </w:p>
    <w:p w:rsidR="008D23B4" w:rsidRPr="008D23B4" w14:paraId="665EFC99" w14:textId="1F6B7EBC">
      <w:pPr>
        <w:rPr>
          <w:rFonts w:ascii="Times New Roman" w:hAnsi="Times New Roman"/>
        </w:rPr>
      </w:pPr>
      <w:r w:rsidRPr="008D23B4">
        <w:rPr>
          <w:rFonts w:ascii="Times New Roman" w:hAnsi="Times New Roman"/>
        </w:rPr>
        <w:t>The National Credit Union Administration (NCUA) is the independent federal agency created by the U.S. Congress to regulate, charter, and supervise federal credit unions. With the backing of the full faith and credit of the United States, the NCUA administers the National Credit Union Share Insurance Fund, insuring the deposits of more than 125 million credit union account holders in all federal credit unions and an overwhelming majority of state-chartered credit unions. The agency’s mission is to facilitate the availability of credit union services to all eligible consumers, especially those of modest means, through a safe and sound credit union system.</w:t>
      </w:r>
    </w:p>
    <w:p w:rsidR="008D23B4" w14:paraId="50900AFE" w14:textId="77777777"/>
    <w:p w:rsidR="008D23B4" w:rsidRPr="00EF0B19" w:rsidP="00EF0B19" w14:paraId="72321CAA" w14:textId="063025D0">
      <w:pPr>
        <w:pStyle w:val="Heading2"/>
      </w:pPr>
      <w:r w:rsidRPr="00EF0B19">
        <w:t>“Self-Run” Supervisory Stress Tests</w:t>
      </w:r>
    </w:p>
    <w:p w:rsidR="008D23B4" w14:paraId="307722FA" w14:textId="77777777">
      <w:pPr>
        <w:rPr>
          <w:rFonts w:ascii="Times New Roman" w:hAnsi="Times New Roman"/>
        </w:rPr>
      </w:pPr>
      <w:r w:rsidRPr="008D23B4">
        <w:rPr>
          <w:rFonts w:ascii="Times New Roman" w:hAnsi="Times New Roman"/>
        </w:rPr>
        <w:t xml:space="preserve">This document provides information to credit unions for running “Self-Run” Supervisory Stress Tests (SST). The underlying principle of the SST is the conservative application of risk measurement fundamentals to assess credit union balance sheet resiliency and credit union capital adequacy under stress scenarios. These instructions implement NCUA’s guiding principles of independence, consistency, and flexibility into SST. </w:t>
      </w:r>
    </w:p>
    <w:p w:rsidR="0084383C" w:rsidRPr="008D23B4" w14:paraId="0630717C" w14:textId="65859D2C">
      <w:pPr>
        <w:rPr>
          <w:rFonts w:ascii="Times New Roman" w:hAnsi="Times New Roman"/>
        </w:rPr>
      </w:pPr>
      <w:r>
        <w:rPr>
          <w:noProof/>
        </w:rPr>
        <w:drawing>
          <wp:inline distT="0" distB="0" distL="0" distR="0">
            <wp:extent cx="5394960" cy="61595"/>
            <wp:effectExtent l="0" t="0" r="0" b="0"/>
            <wp:docPr id="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ort Template_end of story.jp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394960" cy="61595"/>
                    </a:xfrm>
                    <a:prstGeom prst="rect">
                      <a:avLst/>
                    </a:prstGeom>
                  </pic:spPr>
                </pic:pic>
              </a:graphicData>
            </a:graphic>
          </wp:inline>
        </w:drawing>
      </w:r>
      <w:r w:rsidRPr="008D23B4">
        <w:rPr>
          <w:rFonts w:ascii="Times New Roman" w:hAnsi="Times New Roman"/>
        </w:rPr>
        <w:br w:type="page"/>
      </w:r>
    </w:p>
    <w:p w:rsidR="0077218E" w:rsidRPr="00E929C0" w:rsidP="00EF0B19" w14:paraId="531C2003" w14:textId="72C12DC5">
      <w:pPr>
        <w:pStyle w:val="Heading1"/>
      </w:pPr>
      <w:r w:rsidRPr="00E929C0">
        <w:t>Background</w:t>
      </w:r>
    </w:p>
    <w:p w:rsidR="0077218E" w:rsidRPr="00EF0B19" w:rsidP="0077218E" w14:paraId="26FE9D2A" w14:textId="60B36712">
      <w:pPr>
        <w:rPr>
          <w:rFonts w:ascii="Times New Roman" w:hAnsi="Times New Roman"/>
        </w:rPr>
      </w:pPr>
      <w:r w:rsidRPr="00EF0B19">
        <w:rPr>
          <w:rFonts w:ascii="Times New Roman" w:hAnsi="Times New Roman"/>
        </w:rPr>
        <w:t>In 2014, the NCUA Board approved Part 702, Subpart C (originally Su</w:t>
      </w:r>
      <w:r w:rsidR="00EF0B19">
        <w:rPr>
          <w:rFonts w:ascii="Times New Roman" w:hAnsi="Times New Roman"/>
        </w:rPr>
        <w:t>b</w:t>
      </w:r>
      <w:r w:rsidR="00833F18">
        <w:rPr>
          <w:rFonts w:ascii="Times New Roman" w:hAnsi="Times New Roman"/>
        </w:rPr>
        <w:t>p</w:t>
      </w:r>
      <w:r w:rsidRPr="00EF0B19">
        <w:rPr>
          <w:rFonts w:ascii="Times New Roman" w:hAnsi="Times New Roman"/>
        </w:rPr>
        <w:t>art E) – Capital Planning and Stress Testing (Rule), for credit unions with assets of $10 billion or more as of March 31 of the prior year (covered credit unions).</w:t>
      </w:r>
      <w:r w:rsidRPr="00EF0B19">
        <w:rPr>
          <w:rStyle w:val="CommentReference"/>
          <w:rFonts w:ascii="Times New Roman" w:hAnsi="Times New Roman"/>
          <w:sz w:val="24"/>
          <w:szCs w:val="24"/>
        </w:rPr>
        <w:t xml:space="preserve"> </w:t>
      </w:r>
      <w:r w:rsidRPr="00EF0B19">
        <w:rPr>
          <w:rFonts w:ascii="Times New Roman" w:hAnsi="Times New Roman"/>
        </w:rPr>
        <w:t xml:space="preserve"> The Rule was amended in 2018 to assign covered credit unions to one of three asset size “tiers”:</w:t>
      </w:r>
    </w:p>
    <w:p w:rsidR="0077218E" w:rsidRPr="00EF0B19" w:rsidP="0077218E" w14:paraId="10E02183" w14:textId="77777777">
      <w:pPr>
        <w:rPr>
          <w:rFonts w:ascii="Times New Roman" w:hAnsi="Times New Roman"/>
        </w:rPr>
      </w:pPr>
    </w:p>
    <w:p w:rsidR="0077218E" w:rsidRPr="00EF0B19" w:rsidP="0077218E" w14:paraId="01725C7C" w14:textId="77777777">
      <w:pPr>
        <w:pStyle w:val="ListParagraph"/>
        <w:numPr>
          <w:ilvl w:val="0"/>
          <w:numId w:val="9"/>
        </w:numPr>
        <w:rPr>
          <w:rFonts w:ascii="Times New Roman" w:hAnsi="Times New Roman"/>
        </w:rPr>
      </w:pPr>
      <w:r w:rsidRPr="00EF0B19">
        <w:rPr>
          <w:rFonts w:ascii="Times New Roman" w:hAnsi="Times New Roman"/>
        </w:rPr>
        <w:t>Tier</w:t>
      </w:r>
      <w:r w:rsidRPr="00EF0B19">
        <w:rPr>
          <w:rFonts w:ascii="Times New Roman" w:hAnsi="Times New Roman"/>
        </w:rPr>
        <w:t xml:space="preserve"> I credit unions have $10 billion or more in assets but less than $15 billion in assets, </w:t>
      </w:r>
    </w:p>
    <w:p w:rsidR="0077218E" w:rsidRPr="00EF0B19" w:rsidP="0077218E" w14:paraId="1B52B5E0" w14:textId="77777777">
      <w:pPr>
        <w:pStyle w:val="ListParagraph"/>
        <w:numPr>
          <w:ilvl w:val="0"/>
          <w:numId w:val="9"/>
        </w:numPr>
        <w:rPr>
          <w:rFonts w:ascii="Times New Roman" w:hAnsi="Times New Roman"/>
        </w:rPr>
      </w:pPr>
      <w:r w:rsidRPr="00EF0B19">
        <w:rPr>
          <w:rFonts w:ascii="Times New Roman" w:hAnsi="Times New Roman"/>
        </w:rPr>
        <w:t>Tier II credit unions have $15 billion or more in assets but less than $20 billion in assets, and</w:t>
      </w:r>
    </w:p>
    <w:p w:rsidR="0077218E" w:rsidRPr="00EF0B19" w:rsidP="0077218E" w14:paraId="4F180806" w14:textId="77777777">
      <w:pPr>
        <w:pStyle w:val="ListParagraph"/>
        <w:numPr>
          <w:ilvl w:val="0"/>
          <w:numId w:val="9"/>
        </w:numPr>
        <w:rPr>
          <w:rFonts w:ascii="Times New Roman" w:hAnsi="Times New Roman"/>
        </w:rPr>
      </w:pPr>
      <w:r w:rsidRPr="00EF0B19">
        <w:rPr>
          <w:rFonts w:ascii="Times New Roman" w:hAnsi="Times New Roman"/>
        </w:rPr>
        <w:t>Tier III credit unions have $20 billion or more in assets.</w:t>
      </w:r>
    </w:p>
    <w:p w:rsidR="0077218E" w:rsidRPr="00EF0B19" w:rsidP="0077218E" w14:paraId="67F8B59E" w14:textId="77777777">
      <w:pPr>
        <w:rPr>
          <w:rFonts w:ascii="Times New Roman" w:hAnsi="Times New Roman"/>
        </w:rPr>
      </w:pPr>
    </w:p>
    <w:p w:rsidR="0077218E" w:rsidRPr="00EF0B19" w:rsidP="0077218E" w14:paraId="4B5C520D" w14:textId="59FA7B41">
      <w:pPr>
        <w:rPr>
          <w:rFonts w:ascii="Times New Roman" w:hAnsi="Times New Roman"/>
        </w:rPr>
      </w:pPr>
      <w:r w:rsidRPr="00EF0B19">
        <w:rPr>
          <w:rFonts w:ascii="Times New Roman" w:hAnsi="Times New Roman"/>
        </w:rPr>
        <w:t>Under the 2018 revisions, Tier II and III credit unions are required to complete an annual self-run supervisory stress tests (SST) according to NCUA’s instruction and submit the results to NCUA by May 31</w:t>
      </w:r>
      <w:r w:rsidRPr="00EF0B19">
        <w:rPr>
          <w:rFonts w:ascii="Times New Roman" w:hAnsi="Times New Roman"/>
          <w:vertAlign w:val="superscript"/>
        </w:rPr>
        <w:t>st</w:t>
      </w:r>
      <w:r w:rsidRPr="00EF0B19">
        <w:rPr>
          <w:rFonts w:ascii="Times New Roman" w:hAnsi="Times New Roman"/>
        </w:rPr>
        <w:t xml:space="preserve"> of each year. </w:t>
      </w:r>
      <w:r w:rsidR="00B01E08">
        <w:rPr>
          <w:rFonts w:ascii="Times New Roman" w:hAnsi="Times New Roman"/>
        </w:rPr>
        <w:t xml:space="preserve"> </w:t>
      </w:r>
      <w:r w:rsidRPr="00EF0B19">
        <w:rPr>
          <w:rFonts w:ascii="Times New Roman" w:hAnsi="Times New Roman"/>
        </w:rPr>
        <w:t>NCUA also conducts annual, internal SST of Tier II and III credit unions according to the Rule requirements.</w:t>
      </w:r>
    </w:p>
    <w:p w:rsidR="0077218E" w:rsidRPr="00EF0B19" w:rsidP="0077218E" w14:paraId="2FC4ACE4" w14:textId="77777777">
      <w:pPr>
        <w:rPr>
          <w:rFonts w:ascii="Times New Roman" w:hAnsi="Times New Roman"/>
        </w:rPr>
      </w:pPr>
    </w:p>
    <w:p w:rsidR="0077218E" w:rsidRPr="00EF0B19" w:rsidP="0077218E" w14:paraId="27297D72" w14:textId="28EEC69D">
      <w:pPr>
        <w:rPr>
          <w:rFonts w:ascii="Times New Roman" w:hAnsi="Times New Roman"/>
        </w:rPr>
      </w:pPr>
      <w:r w:rsidRPr="00EF0B19">
        <w:rPr>
          <w:rFonts w:ascii="Times New Roman" w:hAnsi="Times New Roman"/>
        </w:rPr>
        <w:t xml:space="preserve">Self-run SST should conservatively apply risk measurement fundamentals to assess credit union balance sheet resiliency and capital adequacy under NCUA provided stress scenarios and assumptions. </w:t>
      </w:r>
      <w:r w:rsidR="00B01E08">
        <w:rPr>
          <w:rFonts w:ascii="Times New Roman" w:hAnsi="Times New Roman"/>
        </w:rPr>
        <w:t xml:space="preserve"> </w:t>
      </w:r>
      <w:r w:rsidRPr="00EF0B19">
        <w:rPr>
          <w:rFonts w:ascii="Times New Roman" w:hAnsi="Times New Roman"/>
        </w:rPr>
        <w:t>To accomplish this</w:t>
      </w:r>
      <w:r w:rsidR="00B01E08">
        <w:rPr>
          <w:rFonts w:ascii="Times New Roman" w:hAnsi="Times New Roman"/>
        </w:rPr>
        <w:t>,</w:t>
      </w:r>
      <w:r w:rsidRPr="00EF0B19">
        <w:rPr>
          <w:rFonts w:ascii="Times New Roman" w:hAnsi="Times New Roman"/>
        </w:rPr>
        <w:t xml:space="preserve"> credit union SST processes should take NCUA’s provided scenarios and assumptions as required inputs to estimate the income statement and balance sheet impacts, including, but not limited to, credit losses, pre-provision net revenues, loan and lease provisions, and loss allowances.</w:t>
      </w:r>
    </w:p>
    <w:p w:rsidR="0077218E" w:rsidRPr="0077218E" w:rsidP="00EF0B19" w14:paraId="7805E210" w14:textId="77777777"/>
    <w:p w:rsidR="00553E3B" w:rsidRPr="00E929C0" w:rsidP="00EF0B19" w14:paraId="72766D05" w14:textId="649C8F9F">
      <w:pPr>
        <w:pStyle w:val="Heading1"/>
      </w:pPr>
      <w:r w:rsidRPr="00E929C0">
        <w:t>NCUA Provided SST Inputs</w:t>
      </w:r>
    </w:p>
    <w:p w:rsidR="0077218E" w:rsidRPr="00833F18" w:rsidP="0077218E" w14:paraId="7781C59E" w14:textId="47815D86">
      <w:pPr>
        <w:rPr>
          <w:rFonts w:ascii="Times New Roman" w:hAnsi="Times New Roman"/>
        </w:rPr>
      </w:pPr>
      <w:r w:rsidRPr="00833F18">
        <w:rPr>
          <w:rFonts w:ascii="Times New Roman" w:hAnsi="Times New Roman"/>
        </w:rPr>
        <w:t xml:space="preserve">Credit unions are required to use certain NCUA provided inputs in their self-run SST process to ensure consistency. </w:t>
      </w:r>
      <w:r w:rsidR="00B01E08">
        <w:rPr>
          <w:rFonts w:ascii="Times New Roman" w:hAnsi="Times New Roman"/>
        </w:rPr>
        <w:t xml:space="preserve"> </w:t>
      </w:r>
      <w:r w:rsidRPr="00833F18">
        <w:rPr>
          <w:rFonts w:ascii="Times New Roman" w:hAnsi="Times New Roman"/>
        </w:rPr>
        <w:t>This includes NCUA provided:</w:t>
      </w:r>
    </w:p>
    <w:p w:rsidR="0077218E" w:rsidRPr="00EF0B19" w:rsidP="0077218E" w14:paraId="2C5C29DE" w14:textId="77777777">
      <w:pPr>
        <w:pStyle w:val="ListParagraph"/>
        <w:numPr>
          <w:ilvl w:val="0"/>
          <w:numId w:val="11"/>
        </w:numPr>
        <w:rPr>
          <w:rFonts w:ascii="Times New Roman" w:hAnsi="Times New Roman"/>
        </w:rPr>
      </w:pPr>
      <w:r w:rsidRPr="00EF0B19">
        <w:rPr>
          <w:rFonts w:ascii="Times New Roman" w:hAnsi="Times New Roman"/>
        </w:rPr>
        <w:t>scenarios that include prescribed paths for key economic and interest rate variables over the scenario horizon, and</w:t>
      </w:r>
    </w:p>
    <w:p w:rsidR="0077218E" w:rsidRPr="00EF0B19" w:rsidP="0077218E" w14:paraId="66BEFC84" w14:textId="6A906473">
      <w:pPr>
        <w:pStyle w:val="ListParagraph"/>
        <w:numPr>
          <w:ilvl w:val="0"/>
          <w:numId w:val="11"/>
        </w:numPr>
        <w:rPr>
          <w:rFonts w:ascii="Times New Roman" w:hAnsi="Times New Roman"/>
        </w:rPr>
      </w:pPr>
      <w:r w:rsidRPr="00EF0B19">
        <w:rPr>
          <w:rFonts w:ascii="Times New Roman" w:hAnsi="Times New Roman"/>
        </w:rPr>
        <w:t>assumptions that credit unions must apply to all scenarios to ensure consistency.</w:t>
      </w:r>
    </w:p>
    <w:p w:rsidR="0077218E" w:rsidRPr="00EF0B19" w:rsidP="00EF0B19" w14:paraId="406A75E8" w14:textId="77777777">
      <w:pPr>
        <w:rPr>
          <w:rFonts w:ascii="Times New Roman" w:hAnsi="Times New Roman"/>
        </w:rPr>
      </w:pPr>
    </w:p>
    <w:p w:rsidR="0077218E" w14:paraId="183CD3BC" w14:textId="77777777">
      <w:pPr>
        <w:rPr>
          <w:rFonts w:ascii="Times New Roman" w:hAnsi="Times New Roman"/>
          <w:b/>
          <w:sz w:val="32"/>
          <w:szCs w:val="32"/>
        </w:rPr>
      </w:pPr>
      <w:r>
        <w:br w:type="page"/>
      </w:r>
    </w:p>
    <w:p w:rsidR="0077218E" w:rsidP="0077218E" w14:paraId="623204C8" w14:textId="6B8CEBBE">
      <w:pPr>
        <w:pStyle w:val="Heading2"/>
      </w:pPr>
      <w:r>
        <w:t>NCUA Provided Scenarios</w:t>
      </w:r>
    </w:p>
    <w:p w:rsidR="0077218E" w:rsidP="0077218E" w14:paraId="2D84C2D6" w14:textId="75028403">
      <w:pPr>
        <w:rPr>
          <w:rFonts w:ascii="Times New Roman" w:hAnsi="Times New Roman"/>
        </w:rPr>
      </w:pPr>
      <w:r>
        <w:rPr>
          <w:rFonts w:ascii="Times New Roman" w:hAnsi="Times New Roman"/>
        </w:rPr>
        <w:t xml:space="preserve">Each year NCUA provides prescribed stress test scenarios </w:t>
      </w:r>
      <w:r w:rsidRPr="008D23B4">
        <w:rPr>
          <w:rFonts w:ascii="Times New Roman" w:hAnsi="Times New Roman"/>
        </w:rPr>
        <w:t xml:space="preserve">on or before February 28 of </w:t>
      </w:r>
      <w:r w:rsidRPr="008D23B4" w:rsidR="002618A8">
        <w:rPr>
          <w:rFonts w:ascii="Times New Roman" w:hAnsi="Times New Roman"/>
        </w:rPr>
        <w:t>the year in which the SST and capital plan results are due.</w:t>
      </w:r>
      <w:r w:rsidR="002618A8">
        <w:rPr>
          <w:rFonts w:ascii="Times New Roman" w:hAnsi="Times New Roman"/>
        </w:rPr>
        <w:t xml:space="preserve">  </w:t>
      </w:r>
      <w:r>
        <w:rPr>
          <w:rFonts w:ascii="Times New Roman" w:hAnsi="Times New Roman"/>
        </w:rPr>
        <w:t xml:space="preserve">The scenarios include prescribed paths for a set of economic and interest rate variables over the length of the scenario horizon. </w:t>
      </w:r>
      <w:r w:rsidR="002618A8">
        <w:rPr>
          <w:rFonts w:ascii="Times New Roman" w:hAnsi="Times New Roman"/>
        </w:rPr>
        <w:t xml:space="preserve"> Tier II and Tier III credit unions subject to the SST requirements of Sub</w:t>
      </w:r>
      <w:r w:rsidR="00B233C1">
        <w:rPr>
          <w:rFonts w:ascii="Times New Roman" w:hAnsi="Times New Roman"/>
        </w:rPr>
        <w:t>p</w:t>
      </w:r>
      <w:r w:rsidR="002618A8">
        <w:rPr>
          <w:rFonts w:ascii="Times New Roman" w:hAnsi="Times New Roman"/>
        </w:rPr>
        <w:t>art C of the Regulations are required to report their self-run SST results to NCUA by May 31, of each year</w:t>
      </w:r>
      <w:r w:rsidR="00302DDD">
        <w:rPr>
          <w:rFonts w:ascii="Times New Roman" w:hAnsi="Times New Roman"/>
        </w:rPr>
        <w:t xml:space="preserve"> using the NCUA provided self-run SST results template</w:t>
      </w:r>
      <w:r w:rsidR="002618A8">
        <w:rPr>
          <w:rFonts w:ascii="Times New Roman" w:hAnsi="Times New Roman"/>
        </w:rPr>
        <w:t>.</w:t>
      </w:r>
    </w:p>
    <w:p w:rsidR="002618A8" w:rsidRPr="00EF0B19" w:rsidP="00EF0B19" w14:paraId="3C902578" w14:textId="77777777">
      <w:pPr>
        <w:rPr>
          <w:rFonts w:ascii="Times New Roman" w:hAnsi="Times New Roman"/>
        </w:rPr>
      </w:pPr>
    </w:p>
    <w:p w:rsidR="008D23B4" w:rsidRPr="008D23B4" w:rsidP="00EF0B19" w14:paraId="2D549C26" w14:textId="2C5DD88B">
      <w:pPr>
        <w:rPr>
          <w:rFonts w:ascii="Times New Roman" w:hAnsi="Times New Roman"/>
        </w:rPr>
      </w:pPr>
      <w:r>
        <w:rPr>
          <w:rFonts w:ascii="Times New Roman" w:hAnsi="Times New Roman"/>
        </w:rPr>
        <w:t>Credit unions that use variables included in the NCUA p</w:t>
      </w:r>
      <w:r w:rsidRPr="00EF0B19">
        <w:rPr>
          <w:rFonts w:ascii="Times New Roman" w:hAnsi="Times New Roman"/>
        </w:rPr>
        <w:t xml:space="preserve">rescribed </w:t>
      </w:r>
      <w:r>
        <w:rPr>
          <w:rFonts w:ascii="Times New Roman" w:hAnsi="Times New Roman"/>
        </w:rPr>
        <w:t xml:space="preserve">stress test scenarios in their SST models </w:t>
      </w:r>
      <w:r w:rsidRPr="00EF0B19">
        <w:rPr>
          <w:rFonts w:ascii="Times New Roman" w:hAnsi="Times New Roman"/>
        </w:rPr>
        <w:t xml:space="preserve">must utilize the NCUA prescribed stress scenario variables as </w:t>
      </w:r>
      <w:r>
        <w:rPr>
          <w:rFonts w:ascii="Times New Roman" w:hAnsi="Times New Roman"/>
        </w:rPr>
        <w:t>prescribed by NCUA in each scenario.</w:t>
      </w:r>
      <w:r w:rsidRPr="00EF0B19">
        <w:rPr>
          <w:rFonts w:ascii="Times New Roman" w:hAnsi="Times New Roman"/>
        </w:rPr>
        <w:t xml:space="preserve"> </w:t>
      </w:r>
      <w:r>
        <w:rPr>
          <w:rFonts w:ascii="Times New Roman" w:hAnsi="Times New Roman"/>
        </w:rPr>
        <w:t xml:space="preserve"> A c</w:t>
      </w:r>
      <w:r w:rsidRPr="008D23B4">
        <w:rPr>
          <w:rFonts w:ascii="Times New Roman" w:hAnsi="Times New Roman"/>
        </w:rPr>
        <w:t>redit union</w:t>
      </w:r>
      <w:r>
        <w:rPr>
          <w:rFonts w:ascii="Times New Roman" w:hAnsi="Times New Roman"/>
        </w:rPr>
        <w:t>’s models</w:t>
      </w:r>
      <w:r w:rsidRPr="008D23B4">
        <w:rPr>
          <w:rFonts w:ascii="Times New Roman" w:hAnsi="Times New Roman"/>
        </w:rPr>
        <w:t xml:space="preserve"> may </w:t>
      </w:r>
      <w:r>
        <w:rPr>
          <w:rFonts w:ascii="Times New Roman" w:hAnsi="Times New Roman"/>
        </w:rPr>
        <w:t>also rely on</w:t>
      </w:r>
      <w:r w:rsidRPr="008D23B4">
        <w:rPr>
          <w:rFonts w:ascii="Times New Roman" w:hAnsi="Times New Roman"/>
        </w:rPr>
        <w:t xml:space="preserve"> additional economic and financial variables </w:t>
      </w:r>
      <w:r>
        <w:rPr>
          <w:rFonts w:ascii="Times New Roman" w:hAnsi="Times New Roman"/>
        </w:rPr>
        <w:t>not</w:t>
      </w:r>
      <w:r w:rsidRPr="008D23B4">
        <w:rPr>
          <w:rFonts w:ascii="Times New Roman" w:hAnsi="Times New Roman"/>
        </w:rPr>
        <w:t xml:space="preserve"> provided by NCUA; however, these additional variables must not take the place of, or be used in lieu of, the national variables published by the NCUA</w:t>
      </w:r>
      <w:r>
        <w:rPr>
          <w:rFonts w:ascii="Times New Roman" w:hAnsi="Times New Roman"/>
        </w:rPr>
        <w:t xml:space="preserve"> (</w:t>
      </w:r>
      <w:r w:rsidRPr="00B01E08">
        <w:rPr>
          <w:rFonts w:ascii="Times New Roman" w:hAnsi="Times New Roman"/>
        </w:rPr>
        <w:t>See</w:t>
      </w:r>
      <w:r w:rsidRPr="00B01E08" w:rsidR="00CD1316">
        <w:rPr>
          <w:rFonts w:ascii="Times New Roman" w:hAnsi="Times New Roman"/>
        </w:rPr>
        <w:t xml:space="preserve"> </w:t>
      </w:r>
      <w:r w:rsidRPr="00B01E08" w:rsidR="00CD1316">
        <w:rPr>
          <w:rFonts w:ascii="Times New Roman" w:hAnsi="Times New Roman"/>
        </w:rPr>
        <w:fldChar w:fldCharType="begin"/>
      </w:r>
      <w:r w:rsidRPr="00B01E08" w:rsidR="00CD1316">
        <w:rPr>
          <w:rFonts w:ascii="Times New Roman" w:hAnsi="Times New Roman"/>
        </w:rPr>
        <w:instrText xml:space="preserve"> REF _Ref142640250 \h </w:instrText>
      </w:r>
      <w:r w:rsidRPr="00B01E08" w:rsidR="00CD1316">
        <w:rPr>
          <w:rFonts w:ascii="Times New Roman" w:hAnsi="Times New Roman"/>
        </w:rPr>
        <w:fldChar w:fldCharType="separate"/>
      </w:r>
      <w:r w:rsidRPr="00523A15" w:rsidR="00CD1316">
        <w:rPr>
          <w:rFonts w:ascii="Times New Roman" w:hAnsi="Times New Roman"/>
        </w:rPr>
        <w:t>Using Variables Other Than Those Provided by NCUA</w:t>
      </w:r>
      <w:r w:rsidRPr="00B01E08" w:rsidR="00CD1316">
        <w:rPr>
          <w:rFonts w:ascii="Times New Roman" w:hAnsi="Times New Roman"/>
        </w:rPr>
        <w:fldChar w:fldCharType="end"/>
      </w:r>
      <w:r w:rsidRPr="00B01E08">
        <w:rPr>
          <w:rFonts w:ascii="Times New Roman" w:hAnsi="Times New Roman"/>
        </w:rPr>
        <w:t>)</w:t>
      </w:r>
      <w:r w:rsidRPr="008D23B4">
        <w:rPr>
          <w:rFonts w:ascii="Times New Roman" w:hAnsi="Times New Roman"/>
        </w:rPr>
        <w:t>.</w:t>
      </w:r>
    </w:p>
    <w:p w:rsidR="008D23B4" w14:paraId="6B51CA85" w14:textId="3408A827">
      <w:pPr>
        <w:rPr>
          <w:rFonts w:asciiTheme="minorHAnsi" w:hAnsiTheme="minorHAnsi" w:cstheme="minorHAnsi"/>
          <w:b/>
          <w:color w:val="305197"/>
          <w:sz w:val="40"/>
        </w:rPr>
      </w:pPr>
    </w:p>
    <w:p w:rsidR="003D490C" w:rsidP="00EF0B19" w14:paraId="6AF79B2E" w14:textId="4C6B63AB">
      <w:pPr>
        <w:pStyle w:val="Heading2"/>
      </w:pPr>
      <w:r>
        <w:t>Assumptions Applied to All Scenarios</w:t>
      </w:r>
    </w:p>
    <w:p w:rsidR="00A36723" w:rsidP="00EF0B19" w14:paraId="22C28473" w14:textId="4EDB70BC">
      <w:pPr>
        <w:pStyle w:val="Heading3"/>
      </w:pPr>
      <w:r w:rsidRPr="00A36723">
        <w:t>Stress Testing Horizon</w:t>
      </w:r>
    </w:p>
    <w:p w:rsidR="0077218E" w:rsidRPr="00EF0B19" w:rsidP="00EF0B19" w14:paraId="1E8321A8" w14:textId="6993AFCB">
      <w:pPr>
        <w:rPr>
          <w:rFonts w:ascii="Times New Roman" w:hAnsi="Times New Roman"/>
        </w:rPr>
      </w:pPr>
      <w:r w:rsidRPr="00EF0B19">
        <w:rPr>
          <w:rFonts w:ascii="Times New Roman" w:hAnsi="Times New Roman"/>
        </w:rPr>
        <w:t>The SST horizon will cover 9 quarters for pre</w:t>
      </w:r>
      <w:r>
        <w:rPr>
          <w:rFonts w:ascii="Times New Roman" w:hAnsi="Times New Roman"/>
        </w:rPr>
        <w:t>-</w:t>
      </w:r>
      <w:r w:rsidRPr="00EF0B19">
        <w:rPr>
          <w:rFonts w:ascii="Times New Roman" w:hAnsi="Times New Roman"/>
        </w:rPr>
        <w:t>provision net revenue</w:t>
      </w:r>
      <w:r w:rsidR="00E929C0">
        <w:rPr>
          <w:rFonts w:ascii="Times New Roman" w:hAnsi="Times New Roman"/>
        </w:rPr>
        <w:t xml:space="preserve"> (PPNR) </w:t>
      </w:r>
      <w:r w:rsidR="00302DDD">
        <w:rPr>
          <w:rFonts w:ascii="Times New Roman" w:hAnsi="Times New Roman"/>
        </w:rPr>
        <w:t>and other balance sheet and income statement items</w:t>
      </w:r>
      <w:r w:rsidRPr="00EF0B19">
        <w:rPr>
          <w:rFonts w:ascii="Times New Roman" w:hAnsi="Times New Roman"/>
        </w:rPr>
        <w:t>, and 13 quarters for purposes of forecasting loan loss reserves and associated provisioning expense.</w:t>
      </w:r>
    </w:p>
    <w:p w:rsidR="0077218E" w:rsidP="00EF0B19" w14:paraId="1979547E" w14:textId="659A809B">
      <w:pPr>
        <w:rPr>
          <w:rFonts w:ascii="Times New Roman" w:hAnsi="Times New Roman"/>
        </w:rPr>
      </w:pPr>
    </w:p>
    <w:p w:rsidR="00A36723" w:rsidP="00EF0B19" w14:paraId="53DC8436" w14:textId="77777777">
      <w:pPr>
        <w:pStyle w:val="Heading3"/>
      </w:pPr>
      <w:r w:rsidRPr="00A36723">
        <w:t>Net Zero Growth</w:t>
      </w:r>
    </w:p>
    <w:p w:rsidR="008D23B4" w:rsidRPr="008D23B4" w:rsidP="00EF0B19" w14:paraId="43FFB8BB" w14:textId="0805BF84">
      <w:pPr>
        <w:rPr>
          <w:rFonts w:ascii="Times New Roman" w:hAnsi="Times New Roman"/>
        </w:rPr>
      </w:pPr>
      <w:r w:rsidRPr="008D23B4">
        <w:rPr>
          <w:rFonts w:ascii="Times New Roman" w:hAnsi="Times New Roman"/>
        </w:rPr>
        <w:t>For purposes of the supervisory stress test, credit unions will utilize a</w:t>
      </w:r>
      <w:r w:rsidR="0077218E">
        <w:rPr>
          <w:rFonts w:ascii="Times New Roman" w:hAnsi="Times New Roman"/>
        </w:rPr>
        <w:t xml:space="preserve"> </w:t>
      </w:r>
      <w:r w:rsidRPr="008D23B4">
        <w:rPr>
          <w:rFonts w:ascii="Times New Roman" w:hAnsi="Times New Roman"/>
        </w:rPr>
        <w:t xml:space="preserve">static balance sheet approach. </w:t>
      </w:r>
      <w:r w:rsidR="00B01E08">
        <w:rPr>
          <w:rFonts w:ascii="Times New Roman" w:hAnsi="Times New Roman"/>
        </w:rPr>
        <w:t xml:space="preserve"> </w:t>
      </w:r>
      <w:r w:rsidRPr="008D23B4">
        <w:rPr>
          <w:rFonts w:ascii="Times New Roman" w:hAnsi="Times New Roman"/>
        </w:rPr>
        <w:t xml:space="preserve">Liability balances will remain constant implicitly if members do not join, exit, or change their current level of deposits, savings, IRA, etc. with their credit union. </w:t>
      </w:r>
      <w:r w:rsidR="00B01E08">
        <w:rPr>
          <w:rFonts w:ascii="Times New Roman" w:hAnsi="Times New Roman"/>
        </w:rPr>
        <w:t xml:space="preserve"> </w:t>
      </w:r>
      <w:r w:rsidRPr="008D23B4">
        <w:rPr>
          <w:rFonts w:ascii="Times New Roman" w:hAnsi="Times New Roman"/>
        </w:rPr>
        <w:t xml:space="preserve">Available principal cash flows and net income will be reinvested into newly originated loans and securities each period. </w:t>
      </w:r>
      <w:r w:rsidR="00B01E08">
        <w:rPr>
          <w:rFonts w:ascii="Times New Roman" w:hAnsi="Times New Roman"/>
        </w:rPr>
        <w:t xml:space="preserve"> </w:t>
      </w:r>
      <w:r w:rsidRPr="008D23B4">
        <w:rPr>
          <w:rFonts w:ascii="Times New Roman" w:hAnsi="Times New Roman"/>
        </w:rPr>
        <w:t>As such, assets are allowed to grow or shrink as determined by Net Income projections.</w:t>
      </w:r>
    </w:p>
    <w:p w:rsidR="008D23B4" w:rsidRPr="008D23B4" w:rsidP="008D23B4" w14:paraId="66870349" w14:textId="77777777">
      <w:pPr>
        <w:ind w:left="720" w:hanging="720"/>
        <w:rPr>
          <w:rFonts w:ascii="Times New Roman" w:hAnsi="Times New Roman"/>
        </w:rPr>
      </w:pPr>
    </w:p>
    <w:p w:rsidR="00A36723" w:rsidP="00EF0B19" w14:paraId="2D4DDBD4" w14:textId="4991EE60">
      <w:pPr>
        <w:pStyle w:val="Heading3"/>
      </w:pPr>
      <w:r w:rsidRPr="00A36723">
        <w:t>Asset/Liability Mix</w:t>
      </w:r>
    </w:p>
    <w:p w:rsidR="008D23B4" w:rsidRPr="008D23B4" w:rsidP="00EF0B19" w14:paraId="4CA97149" w14:textId="7E72A838">
      <w:pPr>
        <w:rPr>
          <w:rFonts w:ascii="Times New Roman" w:hAnsi="Times New Roman"/>
        </w:rPr>
      </w:pPr>
      <w:r w:rsidRPr="008D23B4">
        <w:rPr>
          <w:rFonts w:ascii="Times New Roman" w:hAnsi="Times New Roman"/>
        </w:rPr>
        <w:t>The relative composition of assets and liabilities will remain materially consistent throughout the stress test horizon for all scenarios.</w:t>
      </w:r>
    </w:p>
    <w:p w:rsidR="008D23B4" w:rsidRPr="008D23B4" w:rsidP="008D23B4" w14:paraId="670FBFC7" w14:textId="623D2D8D">
      <w:pPr>
        <w:ind w:left="720" w:hanging="720"/>
        <w:rPr>
          <w:rFonts w:ascii="Times New Roman" w:hAnsi="Times New Roman"/>
        </w:rPr>
      </w:pPr>
    </w:p>
    <w:p w:rsidR="00A36723" w:rsidP="00EF0B19" w14:paraId="1856B7BB" w14:textId="0FAC7A43">
      <w:pPr>
        <w:pStyle w:val="Heading3"/>
        <w:keepNext/>
      </w:pPr>
      <w:r w:rsidRPr="00A36723">
        <w:t>Reinvestment</w:t>
      </w:r>
    </w:p>
    <w:p w:rsidR="008D23B4" w:rsidRPr="008D23B4" w:rsidP="00EF0B19" w14:paraId="60096884" w14:textId="4A08A913">
      <w:pPr>
        <w:rPr>
          <w:rFonts w:ascii="Times New Roman" w:hAnsi="Times New Roman"/>
        </w:rPr>
      </w:pPr>
      <w:r w:rsidRPr="008D23B4">
        <w:rPr>
          <w:rFonts w:ascii="Times New Roman" w:hAnsi="Times New Roman"/>
        </w:rPr>
        <w:t>“As of date” lending standards and practices are held constant where new originations should use similar credit characteristics to the origination in the past 6 months before the inception of the stress scenario forecast.</w:t>
      </w:r>
      <w:r w:rsidR="00B01E08">
        <w:rPr>
          <w:rFonts w:ascii="Times New Roman" w:hAnsi="Times New Roman"/>
        </w:rPr>
        <w:t xml:space="preserve"> </w:t>
      </w:r>
      <w:r w:rsidRPr="008D23B4">
        <w:rPr>
          <w:rFonts w:ascii="Times New Roman" w:hAnsi="Times New Roman"/>
        </w:rPr>
        <w:t xml:space="preserve"> Interest rates on new loans are scenario-specific and depend on reinvestment date. </w:t>
      </w:r>
      <w:r w:rsidR="00B01E08">
        <w:rPr>
          <w:rFonts w:ascii="Times New Roman" w:hAnsi="Times New Roman"/>
        </w:rPr>
        <w:t xml:space="preserve"> </w:t>
      </w:r>
      <w:r w:rsidRPr="008D23B4">
        <w:rPr>
          <w:rFonts w:ascii="Times New Roman" w:hAnsi="Times New Roman"/>
        </w:rPr>
        <w:t>Performance on these new loans should reflect the scenario starting from the reinvestment date and onward.</w:t>
      </w:r>
    </w:p>
    <w:p w:rsidR="008D23B4" w:rsidP="008D23B4" w14:paraId="59F9C7FD" w14:textId="08A0A543">
      <w:pPr>
        <w:ind w:left="720" w:hanging="720"/>
      </w:pPr>
      <w:r>
        <w:rPr>
          <w:noProof/>
        </w:rPr>
        <w:drawing>
          <wp:inline distT="0" distB="0" distL="0" distR="0">
            <wp:extent cx="5394960" cy="61595"/>
            <wp:effectExtent l="0" t="0" r="0" b="0"/>
            <wp:docPr id="9" name="Picture 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port Template_end of story.jp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394960" cy="61595"/>
                    </a:xfrm>
                    <a:prstGeom prst="rect">
                      <a:avLst/>
                    </a:prstGeom>
                  </pic:spPr>
                </pic:pic>
              </a:graphicData>
            </a:graphic>
          </wp:inline>
        </w:drawing>
      </w:r>
    </w:p>
    <w:p w:rsidR="00F24E2E" w:rsidRPr="00F244B3" w:rsidP="00A36723" w14:paraId="61A90B24" w14:textId="77777777"/>
    <w:p w:rsidR="00A36723" w:rsidRPr="00EF0B19" w:rsidP="00A36723" w14:paraId="74D5EA47" w14:textId="77777777"/>
    <w:p w:rsidR="002618A8" w:rsidP="00E929C0" w14:paraId="112B63BA" w14:textId="1EB97EBF">
      <w:pPr>
        <w:pStyle w:val="Heading1"/>
        <w:rPr>
          <w:w w:val="105"/>
        </w:rPr>
      </w:pPr>
      <w:r>
        <w:rPr>
          <w:w w:val="105"/>
        </w:rPr>
        <w:t>Credit Union SST Implementation</w:t>
      </w:r>
    </w:p>
    <w:p w:rsidR="002618A8" w:rsidP="002618A8" w14:paraId="7D4A75FD" w14:textId="5415A269">
      <w:pPr>
        <w:rPr>
          <w:rFonts w:ascii="Times New Roman" w:hAnsi="Times New Roman"/>
        </w:rPr>
      </w:pPr>
      <w:r>
        <w:rPr>
          <w:rFonts w:ascii="Times New Roman" w:hAnsi="Times New Roman"/>
        </w:rPr>
        <w:t xml:space="preserve">While credit unions must take the NCUA provided scenarios and assumptions as input, each credit union must develop their own internal SST process. </w:t>
      </w:r>
      <w:r w:rsidR="00B01E08">
        <w:rPr>
          <w:rFonts w:ascii="Times New Roman" w:hAnsi="Times New Roman"/>
        </w:rPr>
        <w:t xml:space="preserve"> </w:t>
      </w:r>
      <w:r>
        <w:rPr>
          <w:rFonts w:ascii="Times New Roman" w:hAnsi="Times New Roman"/>
        </w:rPr>
        <w:t xml:space="preserve">Credit unions should take care in choosing the appropriate data, methods and assumptions used in its internal SST process to ensure they follow the Rule, the range of acceptable industry practices and the credit unions internal needs. </w:t>
      </w:r>
      <w:r w:rsidR="00B01E08">
        <w:rPr>
          <w:rFonts w:ascii="Times New Roman" w:hAnsi="Times New Roman"/>
        </w:rPr>
        <w:t xml:space="preserve"> </w:t>
      </w:r>
      <w:r>
        <w:rPr>
          <w:rFonts w:ascii="Times New Roman" w:hAnsi="Times New Roman"/>
        </w:rPr>
        <w:t>The sections below highlight areas credit unions should weigh with particular care when determining their approach.</w:t>
      </w:r>
    </w:p>
    <w:p w:rsidR="002618A8" w:rsidRPr="00EF0B19" w:rsidP="00EF0B19" w14:paraId="094D6CDB" w14:textId="77777777">
      <w:pPr>
        <w:rPr>
          <w:rFonts w:ascii="Times New Roman" w:hAnsi="Times New Roman"/>
          <w:w w:val="105"/>
        </w:rPr>
      </w:pPr>
    </w:p>
    <w:p w:rsidR="003D490C" w:rsidRPr="00EF0B19" w:rsidP="00EF0B19" w14:paraId="51DDAB44" w14:textId="7D289486">
      <w:pPr>
        <w:pStyle w:val="Heading2"/>
      </w:pPr>
      <w:r w:rsidRPr="00EF0B19">
        <w:t>Data</w:t>
      </w:r>
    </w:p>
    <w:p w:rsidR="00A36723" w:rsidP="00302DDD" w14:paraId="2E1BC25A" w14:textId="06D7D601">
      <w:pPr>
        <w:rPr>
          <w:rFonts w:ascii="Times New Roman" w:hAnsi="Times New Roman"/>
        </w:rPr>
      </w:pPr>
      <w:r w:rsidRPr="00EF0B19">
        <w:rPr>
          <w:rStyle w:val="Heading3Char"/>
          <w:rFonts w:eastAsia="MS Mincho"/>
        </w:rPr>
        <w:t>Internal vs. External Data</w:t>
      </w:r>
    </w:p>
    <w:p w:rsidR="00195967" w:rsidRPr="00195967" w:rsidP="00EF0B19" w14:paraId="7A9A0EFD" w14:textId="4410A3BC">
      <w:pPr>
        <w:rPr>
          <w:rFonts w:ascii="Times New Roman" w:hAnsi="Times New Roman"/>
        </w:rPr>
      </w:pPr>
      <w:r w:rsidRPr="00195967">
        <w:rPr>
          <w:rFonts w:ascii="Times New Roman" w:hAnsi="Times New Roman"/>
        </w:rPr>
        <w:t xml:space="preserve">Credit unions may use either internal or external data to estimate losses and PPNR in the SST. </w:t>
      </w:r>
      <w:r w:rsidR="00B01E08">
        <w:rPr>
          <w:rFonts w:ascii="Times New Roman" w:hAnsi="Times New Roman"/>
        </w:rPr>
        <w:t xml:space="preserve"> </w:t>
      </w:r>
      <w:r w:rsidRPr="00195967">
        <w:rPr>
          <w:rFonts w:ascii="Times New Roman" w:hAnsi="Times New Roman"/>
        </w:rPr>
        <w:t>Data used to source and calibrate models should reflect current contractual and quality characteristics of assets and liabilities</w:t>
      </w:r>
      <w:r w:rsidR="00302DDD">
        <w:rPr>
          <w:rFonts w:ascii="Times New Roman" w:hAnsi="Times New Roman"/>
        </w:rPr>
        <w:t xml:space="preserve">. </w:t>
      </w:r>
      <w:r w:rsidR="00B01E08">
        <w:rPr>
          <w:rFonts w:ascii="Times New Roman" w:hAnsi="Times New Roman"/>
        </w:rPr>
        <w:t xml:space="preserve"> </w:t>
      </w:r>
      <w:r w:rsidR="00302DDD">
        <w:rPr>
          <w:rFonts w:ascii="Times New Roman" w:hAnsi="Times New Roman"/>
        </w:rPr>
        <w:t>The data used should also</w:t>
      </w:r>
      <w:r w:rsidRPr="00195967">
        <w:rPr>
          <w:rFonts w:ascii="Times New Roman" w:hAnsi="Times New Roman"/>
        </w:rPr>
        <w:t xml:space="preserve"> contain observations of </w:t>
      </w:r>
      <w:r w:rsidR="00302DDD">
        <w:rPr>
          <w:rFonts w:ascii="Times New Roman" w:hAnsi="Times New Roman"/>
        </w:rPr>
        <w:t>asset and liability behavior under various economic cycles.</w:t>
      </w:r>
    </w:p>
    <w:p w:rsidR="00195967" w:rsidRPr="00195967" w:rsidP="00195967" w14:paraId="10FB3624" w14:textId="77777777">
      <w:pPr>
        <w:ind w:left="720" w:hanging="720"/>
        <w:rPr>
          <w:rFonts w:ascii="Times New Roman" w:hAnsi="Times New Roman"/>
        </w:rPr>
      </w:pPr>
    </w:p>
    <w:p w:rsidR="00A36723" w:rsidP="00302DDD" w14:paraId="4C90E92B" w14:textId="4505AD7D">
      <w:pPr>
        <w:rPr>
          <w:rFonts w:ascii="Times New Roman" w:hAnsi="Times New Roman"/>
        </w:rPr>
      </w:pPr>
      <w:r w:rsidRPr="00EF0B19">
        <w:rPr>
          <w:rStyle w:val="Heading3Char"/>
          <w:rFonts w:eastAsia="MS Mincho"/>
        </w:rPr>
        <w:t>Data Completeness</w:t>
      </w:r>
    </w:p>
    <w:p w:rsidR="00195967" w:rsidRPr="00195967" w:rsidP="00EF0B19" w14:paraId="49C998C7" w14:textId="0295F7D3">
      <w:pPr>
        <w:rPr>
          <w:rFonts w:ascii="Times New Roman" w:hAnsi="Times New Roman"/>
        </w:rPr>
      </w:pPr>
      <w:r w:rsidRPr="00195967">
        <w:rPr>
          <w:rFonts w:ascii="Times New Roman" w:hAnsi="Times New Roman"/>
        </w:rPr>
        <w:t xml:space="preserve">For material portfolios and business lines, a covered credit union should generally include all available data in its analysis. </w:t>
      </w:r>
      <w:r w:rsidR="00B01E08">
        <w:rPr>
          <w:rFonts w:ascii="Times New Roman" w:hAnsi="Times New Roman"/>
        </w:rPr>
        <w:t xml:space="preserve"> </w:t>
      </w:r>
      <w:r w:rsidRPr="00195967">
        <w:rPr>
          <w:rFonts w:ascii="Times New Roman" w:hAnsi="Times New Roman"/>
        </w:rPr>
        <w:t>Data should not be selectively excluded for material portfolios and business lines based on the changing nature of the ongoing business or activity without strong empirical support.</w:t>
      </w:r>
    </w:p>
    <w:p w:rsidR="00195967" w:rsidRPr="00195967" w:rsidP="00195967" w14:paraId="23646B42" w14:textId="77777777">
      <w:pPr>
        <w:ind w:left="720" w:hanging="720"/>
        <w:rPr>
          <w:rFonts w:ascii="Times New Roman" w:hAnsi="Times New Roman"/>
        </w:rPr>
      </w:pPr>
    </w:p>
    <w:p w:rsidR="00A36723" w:rsidP="00302DDD" w14:paraId="58E53233" w14:textId="19DB8A6F">
      <w:pPr>
        <w:rPr>
          <w:rFonts w:ascii="Times New Roman" w:hAnsi="Times New Roman"/>
        </w:rPr>
      </w:pPr>
      <w:r w:rsidRPr="00EF0B19">
        <w:rPr>
          <w:rStyle w:val="Heading3Char"/>
          <w:rFonts w:eastAsia="MS Mincho"/>
        </w:rPr>
        <w:t>Data Granularity</w:t>
      </w:r>
    </w:p>
    <w:p w:rsidR="00195967" w:rsidP="00EF0B19" w14:paraId="567D744C" w14:textId="165A8CDC">
      <w:pPr>
        <w:rPr>
          <w:rFonts w:ascii="Times New Roman" w:hAnsi="Times New Roman"/>
        </w:rPr>
      </w:pPr>
      <w:r w:rsidRPr="00195967">
        <w:rPr>
          <w:rFonts w:ascii="Times New Roman" w:hAnsi="Times New Roman"/>
        </w:rPr>
        <w:t>Data should provide sufficient granularity and accurately depict contractual elements and risk characteristics for modeling purposes to reflect all main risk factors and performance drivers of the portfolio.</w:t>
      </w:r>
    </w:p>
    <w:p w:rsidR="00084F5A" w:rsidP="00084F5A" w14:paraId="65C0D24B" w14:textId="3D578D8B">
      <w:pPr>
        <w:rPr>
          <w:rFonts w:ascii="Times New Roman" w:hAnsi="Times New Roman"/>
        </w:rPr>
      </w:pPr>
    </w:p>
    <w:p w:rsidR="005A1A3B" w:rsidRPr="00EF0B19" w:rsidP="00EF0B19" w14:paraId="73C3397F" w14:textId="2CCBD126">
      <w:pPr>
        <w:pStyle w:val="Heading2"/>
        <w:keepNext/>
      </w:pPr>
      <w:r w:rsidRPr="00EF0B19">
        <w:rPr>
          <w:bCs/>
        </w:rPr>
        <w:t>Modeling and Computation Methodologies</w:t>
      </w:r>
    </w:p>
    <w:p w:rsidR="00195967" w:rsidP="00132EBC" w14:paraId="20F5E528" w14:textId="2C10D55A">
      <w:pPr>
        <w:pStyle w:val="BodyText0"/>
      </w:pPr>
      <w:r w:rsidRPr="00302DDD">
        <w:t xml:space="preserve">Credit unions should ensure </w:t>
      </w:r>
      <w:r w:rsidR="00A36723">
        <w:t xml:space="preserve">their </w:t>
      </w:r>
      <w:r w:rsidRPr="00302DDD">
        <w:t xml:space="preserve">material projection approaches, including any specific processes or methodologies employed, are well supported, transparent, and repeatable </w:t>
      </w:r>
      <w:r w:rsidRPr="00302DDD">
        <w:t>over time. All modeling methods, assumptions, and observed weaknesses should be documented within the credit union’s capital plan submission.</w:t>
      </w:r>
      <w:r w:rsidRPr="00302DDD" w:rsidR="00302DDD">
        <w:t xml:space="preserve"> </w:t>
      </w:r>
      <w:r w:rsidR="00B01E08">
        <w:t xml:space="preserve"> </w:t>
      </w:r>
      <w:r w:rsidRPr="00302DDD" w:rsidR="00302DDD">
        <w:t xml:space="preserve">High-level information on the models used and the input variables they depend on should also be provided in the “Variables Used in Models” worksheet of the </w:t>
      </w:r>
      <w:r w:rsidRPr="00302DDD" w:rsidR="00302DDD">
        <w:rPr>
          <w:rFonts w:eastAsia="Arial"/>
        </w:rPr>
        <w:t xml:space="preserve">Self Run </w:t>
      </w:r>
      <w:r w:rsidRPr="00EF0B19" w:rsidR="00302DDD">
        <w:rPr>
          <w:rFonts w:eastAsia="Arial"/>
        </w:rPr>
        <w:t>Stress Testing Results Template workbook.</w:t>
      </w:r>
    </w:p>
    <w:p w:rsidR="00A36723" w:rsidRPr="00CD1316" w:rsidP="00EF0B19" w14:paraId="68E2565E" w14:textId="40F5BBDF">
      <w:pPr>
        <w:pStyle w:val="Heading3"/>
        <w:keepNext/>
      </w:pPr>
      <w:r w:rsidRPr="00CD1316">
        <w:t>Quantitative Approach</w:t>
      </w:r>
    </w:p>
    <w:p w:rsidR="00195967" w:rsidP="00132EBC" w14:paraId="5B6B82D7" w14:textId="1A64AB01">
      <w:pPr>
        <w:pStyle w:val="BodyText0"/>
      </w:pPr>
      <w:r>
        <w:t xml:space="preserve">Credit union quantitative approaches for supervisory stress testing must provide a conservative assessment of stress test capital under NCUA scenarios. </w:t>
      </w:r>
      <w:r w:rsidR="00B01E08">
        <w:t xml:space="preserve"> </w:t>
      </w:r>
      <w:r>
        <w:t xml:space="preserve">The approaches must be appropriate for the type and materiality of the business line or portfolio. Quantification methods used to project revenues and losses for material business lines or portfolios must capture performance differences due to transaction level attributes and contractual characteristics of assets and liabilities. </w:t>
      </w:r>
      <w:r w:rsidR="00B01E08">
        <w:t xml:space="preserve"> </w:t>
      </w:r>
      <w:r>
        <w:t>Projections must be conducted in an internally consistent manner and follow accounting rules and policies where appropriate.</w:t>
      </w:r>
    </w:p>
    <w:p w:rsidR="00A36723" w:rsidP="00EF0B19" w14:paraId="47D3DB88" w14:textId="77777777">
      <w:pPr>
        <w:pStyle w:val="Heading3"/>
      </w:pPr>
      <w:bookmarkStart w:id="0" w:name="_Ref142640250"/>
      <w:r w:rsidRPr="00A36723">
        <w:t>Using Variables Other Than Those Provided by NCUA</w:t>
      </w:r>
      <w:bookmarkEnd w:id="0"/>
    </w:p>
    <w:p w:rsidR="00A36723" w:rsidP="00A36723" w14:paraId="24CF48B1" w14:textId="3BA1C373">
      <w:pPr>
        <w:rPr>
          <w:rFonts w:ascii="Times New Roman" w:hAnsi="Times New Roman"/>
        </w:rPr>
      </w:pPr>
      <w:r w:rsidRPr="00EF0B19">
        <w:rPr>
          <w:rFonts w:ascii="Times New Roman" w:hAnsi="Times New Roman"/>
        </w:rPr>
        <w:t>Where the use of additional economic variables enhances the strength and soundness of the analysis, the NCUA expects credit unions to ensure that the paths of any additional variables (including their timing) are consistent with the general economic environment assumed in the NCUA scenarios.</w:t>
      </w:r>
    </w:p>
    <w:p w:rsidR="00A36723" w:rsidP="00A36723" w14:paraId="7D52DA8D" w14:textId="3E6562CF">
      <w:pPr>
        <w:rPr>
          <w:rFonts w:ascii="Times New Roman" w:hAnsi="Times New Roman"/>
        </w:rPr>
      </w:pPr>
    </w:p>
    <w:p w:rsidR="00A36723" w:rsidRPr="00854E98" w:rsidP="00132EBC" w14:paraId="6CCD35DD" w14:textId="0208ED6F">
      <w:pPr>
        <w:pStyle w:val="BodyText0"/>
      </w:pPr>
      <w:r>
        <w:t xml:space="preserve">If credit union’s modeling approach requires higher-frequency data than provided by the scenario variables, the credit union can </w:t>
      </w:r>
      <w:r w:rsidRPr="006C7FC5">
        <w:t>interpolate between quarters</w:t>
      </w:r>
      <w:r>
        <w:t xml:space="preserve"> using an appropriate approach</w:t>
      </w:r>
      <w:r w:rsidRPr="006C7FC5">
        <w:t>.</w:t>
      </w:r>
      <w:r w:rsidR="00B01E08">
        <w:t xml:space="preserve"> </w:t>
      </w:r>
      <w:r w:rsidRPr="006C7FC5">
        <w:t xml:space="preserve"> </w:t>
      </w:r>
      <w:r w:rsidRPr="00854E98">
        <w:t>For example, a credit union might apply a modeling approach to interpolate monthly or more frequent interest rates between the quarterly interest rates provided in the scenario</w:t>
      </w:r>
      <w:r>
        <w:t>s</w:t>
      </w:r>
      <w:r w:rsidRPr="00854E98">
        <w:t>.</w:t>
      </w:r>
    </w:p>
    <w:p w:rsidR="00A36723" w:rsidRPr="008D23B4" w:rsidP="00A36723" w14:paraId="3F246719" w14:textId="77777777">
      <w:pPr>
        <w:pStyle w:val="ListParagraph"/>
        <w:rPr>
          <w:rFonts w:ascii="Times New Roman" w:hAnsi="Times New Roman"/>
        </w:rPr>
      </w:pPr>
    </w:p>
    <w:p w:rsidR="00A36723" w:rsidRPr="00CD1316" w:rsidP="00EF0B19" w14:paraId="34D6CDF0" w14:textId="34BCB616">
      <w:r w:rsidRPr="00EF0B19">
        <w:rPr>
          <w:rFonts w:ascii="Times New Roman" w:hAnsi="Times New Roman"/>
        </w:rPr>
        <w:t>If additional variables are used</w:t>
      </w:r>
      <w:r>
        <w:rPr>
          <w:rFonts w:ascii="Times New Roman" w:hAnsi="Times New Roman"/>
        </w:rPr>
        <w:t xml:space="preserve"> or an interpolation approach is applied to a provided variable</w:t>
      </w:r>
      <w:r w:rsidRPr="00EF0B19">
        <w:rPr>
          <w:rFonts w:ascii="Times New Roman" w:hAnsi="Times New Roman"/>
        </w:rPr>
        <w:t>, credit unions must document and provide the source and/or methodology used in its capital plan submission</w:t>
      </w:r>
      <w:r>
        <w:rPr>
          <w:rFonts w:ascii="Times New Roman" w:hAnsi="Times New Roman"/>
        </w:rPr>
        <w:t xml:space="preserve">. </w:t>
      </w:r>
      <w:r w:rsidR="00B01E08">
        <w:rPr>
          <w:rFonts w:ascii="Times New Roman" w:hAnsi="Times New Roman"/>
        </w:rPr>
        <w:t xml:space="preserve"> </w:t>
      </w:r>
      <w:r>
        <w:rPr>
          <w:rFonts w:ascii="Times New Roman" w:hAnsi="Times New Roman"/>
        </w:rPr>
        <w:t>The credit union must also list any additional variables and their values</w:t>
      </w:r>
      <w:r w:rsidRPr="00EF0B19">
        <w:rPr>
          <w:rFonts w:ascii="Times New Roman" w:hAnsi="Times New Roman"/>
        </w:rPr>
        <w:t xml:space="preserve"> in the “Additional Scenario Variables” </w:t>
      </w:r>
      <w:r>
        <w:rPr>
          <w:rFonts w:ascii="Times New Roman" w:hAnsi="Times New Roman"/>
        </w:rPr>
        <w:t>worksheet</w:t>
      </w:r>
      <w:r w:rsidRPr="00EF0B19">
        <w:rPr>
          <w:rFonts w:ascii="Times New Roman" w:hAnsi="Times New Roman"/>
        </w:rPr>
        <w:t xml:space="preserve"> of the </w:t>
      </w:r>
      <w:r>
        <w:rPr>
          <w:rFonts w:ascii="Times New Roman" w:hAnsi="Times New Roman"/>
        </w:rPr>
        <w:t xml:space="preserve">Self-Run </w:t>
      </w:r>
      <w:r w:rsidRPr="00EF0B19">
        <w:rPr>
          <w:rFonts w:ascii="Times New Roman" w:hAnsi="Times New Roman"/>
        </w:rPr>
        <w:t>Stress Test Results Template workbook.</w:t>
      </w:r>
    </w:p>
    <w:p w:rsidR="00A36723" w:rsidP="00EF0B19" w14:paraId="55389871" w14:textId="77777777">
      <w:pPr>
        <w:pStyle w:val="Heading3"/>
        <w:keepNext/>
      </w:pPr>
      <w:r w:rsidRPr="00A36723">
        <w:t>Model Adjustments</w:t>
      </w:r>
    </w:p>
    <w:p w:rsidR="00195967" w:rsidP="00132EBC" w14:paraId="313844D0" w14:textId="22248A8C">
      <w:pPr>
        <w:pStyle w:val="BodyText0"/>
      </w:pPr>
      <w:r>
        <w:t xml:space="preserve">Model overlays, qualitative augmentation, and management adjustments may be necessary for certain small exposures or when data is not sufficient for appropriate means of quantification. </w:t>
      </w:r>
      <w:r w:rsidR="00B01E08">
        <w:t xml:space="preserve"> </w:t>
      </w:r>
      <w:r>
        <w:t xml:space="preserve">Such outside of the model adjustments may also be used to add layers of conservatism to estimates for approaches that need enhancement for stress scenarios. </w:t>
      </w:r>
      <w:r w:rsidR="00B01E08">
        <w:t xml:space="preserve"> </w:t>
      </w:r>
      <w:r>
        <w:t xml:space="preserve">For these adjustments, the processes must be conducted in a transparent and </w:t>
      </w:r>
      <w:r>
        <w:t>repeatable way, and documentation must include the reason, process used to arrive at the overlay or augmentation amount, and the attributable impact.</w:t>
      </w:r>
      <w:r w:rsidR="00B01E08">
        <w:t xml:space="preserve"> </w:t>
      </w:r>
      <w:r>
        <w:t xml:space="preserve"> A summary of use and impact of overlays and management adjustments on the SST results should also be summarized within the credit union’s capital plan submission.</w:t>
      </w:r>
      <w:r w:rsidR="00302DDD">
        <w:t xml:space="preserve"> </w:t>
      </w:r>
      <w:r w:rsidR="00132EBC">
        <w:t xml:space="preserve"> </w:t>
      </w:r>
      <w:r w:rsidR="00302DDD">
        <w:t>Where overlays, qualitative adjustments and management adjustments are used in the production of the SST, the use and impact of these overlays and adjustments should be thoroughly explained in the credit unions capital plan.</w:t>
      </w:r>
    </w:p>
    <w:p w:rsidR="00A36723" w:rsidP="00EF0B19" w14:paraId="5DCF4F00" w14:textId="1CDB9C5C">
      <w:pPr>
        <w:pStyle w:val="Heading3"/>
      </w:pPr>
      <w:r w:rsidRPr="00A36723">
        <w:t>Sensitivity Analysis</w:t>
      </w:r>
    </w:p>
    <w:p w:rsidR="00195967" w:rsidP="00132EBC" w14:paraId="470D96B6" w14:textId="65F77555">
      <w:pPr>
        <w:pStyle w:val="BodyText0"/>
      </w:pPr>
      <w:r>
        <w:t xml:space="preserve">Credit unions should understand the sensitivity of its stress testing results to main inputs and key assumptions. </w:t>
      </w:r>
      <w:r w:rsidR="00132EBC">
        <w:t xml:space="preserve"> </w:t>
      </w:r>
      <w:r>
        <w:t xml:space="preserve">Sensitivity analysis should be used to test the robustness of material quantitative approaches and models and provide insight into the inherent uncertainty and imprecision around stress testing estimates through generating a range of potential outcomes. </w:t>
      </w:r>
      <w:r w:rsidR="00132EBC">
        <w:t xml:space="preserve"> </w:t>
      </w:r>
      <w:r>
        <w:t>The credit union’s approach to sensitivity testing and sensitivity testing results must be summarized within the capital plan.</w:t>
      </w:r>
    </w:p>
    <w:p w:rsidR="00A36723" w:rsidP="00EF0B19" w14:paraId="3696C5B6" w14:textId="3872781D">
      <w:pPr>
        <w:pStyle w:val="Heading3"/>
      </w:pPr>
      <w:r w:rsidRPr="00A36723">
        <w:t xml:space="preserve"> Adoption of Current Expected Credit Loss (CECL) Accounting</w:t>
      </w:r>
    </w:p>
    <w:p w:rsidR="002618A8" w:rsidRPr="00A36723" w:rsidP="00132EBC" w14:paraId="4A513668" w14:textId="6F8AA038">
      <w:pPr>
        <w:pStyle w:val="BodyText0"/>
      </w:pPr>
      <w:r>
        <w:t xml:space="preserve">Credit unions </w:t>
      </w:r>
      <w:r w:rsidR="00132EBC">
        <w:t xml:space="preserve">must </w:t>
      </w:r>
      <w:r>
        <w:t xml:space="preserve">incorporate the ACL/Net Worth impact of CECL adoption in their </w:t>
      </w:r>
      <w:r w:rsidR="00302DDD">
        <w:t xml:space="preserve">2024 </w:t>
      </w:r>
      <w:r>
        <w:t xml:space="preserve">Self-Run </w:t>
      </w:r>
      <w:r w:rsidR="00302DDD">
        <w:t>SST</w:t>
      </w:r>
      <w:r>
        <w:t xml:space="preserve">. </w:t>
      </w:r>
      <w:r w:rsidR="00132EBC">
        <w:t xml:space="preserve"> </w:t>
      </w:r>
      <w:r>
        <w:t xml:space="preserve">In accordance with §702.703 of the Rules and Regulations, the CECL “transition amount” may be amortized over a 12 quarter “transitional period” for purposes of presenting </w:t>
      </w:r>
      <w:r w:rsidR="00302DDD">
        <w:t>net worth and stress test capital amounts in the self-run SST results</w:t>
      </w:r>
      <w:r>
        <w:t xml:space="preserve">. </w:t>
      </w:r>
    </w:p>
    <w:p w:rsidR="002618A8" w:rsidRPr="00FB27D6" w:rsidP="00132EBC" w14:paraId="125C093E" w14:textId="77777777">
      <w:pPr>
        <w:pStyle w:val="BodyText0"/>
      </w:pPr>
    </w:p>
    <w:p w:rsidR="005A1A3B" w:rsidRPr="009B01E4" w:rsidP="005A1A3B" w14:paraId="17587D29" w14:textId="77777777">
      <w:pPr>
        <w:pStyle w:val="bulletlvl2"/>
        <w:numPr>
          <w:ilvl w:val="0"/>
          <w:numId w:val="0"/>
        </w:numPr>
      </w:pPr>
      <w:r>
        <w:rPr>
          <w:noProof/>
        </w:rPr>
        <w:drawing>
          <wp:inline distT="0" distB="0" distL="0" distR="0">
            <wp:extent cx="5394960" cy="61595"/>
            <wp:effectExtent l="0" t="0" r="0" b="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Template_end of story.jp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394960" cy="61595"/>
                    </a:xfrm>
                    <a:prstGeom prst="rect">
                      <a:avLst/>
                    </a:prstGeom>
                  </pic:spPr>
                </pic:pic>
              </a:graphicData>
            </a:graphic>
          </wp:inline>
        </w:drawing>
      </w:r>
    </w:p>
    <w:p w:rsidR="005A1A3B" w:rsidP="005A1A3B" w14:paraId="38C63981" w14:textId="0AE8802C">
      <w:pPr>
        <w:rPr>
          <w:rFonts w:ascii="Times New Roman" w:hAnsi="Times New Roman"/>
        </w:rPr>
      </w:pPr>
    </w:p>
    <w:p w:rsidR="002F2E8E" w:rsidRPr="005A1A3B" w:rsidP="00E929C0" w14:paraId="2798D8C4" w14:textId="153BFE50">
      <w:pPr>
        <w:pStyle w:val="Heading1"/>
      </w:pPr>
      <w:r>
        <w:t>Results Generation and Reporting</w:t>
      </w:r>
    </w:p>
    <w:p w:rsidR="002F2E8E" w:rsidRPr="007137D2" w:rsidP="00D25673" w14:paraId="2DC094F2" w14:textId="77777777">
      <w:pPr>
        <w:tabs>
          <w:tab w:val="left" w:pos="1303"/>
        </w:tabs>
        <w:spacing w:before="120"/>
        <w:rPr>
          <w:rFonts w:ascii="Times New Roman" w:eastAsia="Arial" w:hAnsi="Times New Roman"/>
          <w:bCs/>
          <w:vanish/>
        </w:rPr>
      </w:pPr>
    </w:p>
    <w:p w:rsidR="009B4B21" w:rsidRPr="00EF0B19" w:rsidP="00EF0B19" w14:paraId="60D145F0" w14:textId="6B29486A">
      <w:r w:rsidRPr="007137D2">
        <w:rPr>
          <w:rFonts w:ascii="Times New Roman" w:hAnsi="Times New Roman"/>
        </w:rPr>
        <w:t>Credit unions should have a consistent, transparent, and repeatable process for aggregating enterprise-wide stress test results.</w:t>
      </w:r>
      <w:r w:rsidRPr="007137D2" w:rsidR="007137D2">
        <w:rPr>
          <w:rFonts w:ascii="Times New Roman" w:hAnsi="Times New Roman"/>
        </w:rPr>
        <w:t xml:space="preserve"> </w:t>
      </w:r>
      <w:r w:rsidR="00132EBC">
        <w:rPr>
          <w:rFonts w:ascii="Times New Roman" w:hAnsi="Times New Roman"/>
        </w:rPr>
        <w:t xml:space="preserve"> </w:t>
      </w:r>
      <w:r w:rsidRPr="00EF0B19">
        <w:rPr>
          <w:rFonts w:ascii="Times New Roman" w:hAnsi="Times New Roman"/>
        </w:rPr>
        <w:t xml:space="preserve">As noted in the various sections above, </w:t>
      </w:r>
      <w:r w:rsidRPr="00EF0B19">
        <w:rPr>
          <w:rFonts w:ascii="Times New Roman" w:hAnsi="Times New Roman"/>
        </w:rPr>
        <w:t xml:space="preserve">Tier II and Tier III </w:t>
      </w:r>
      <w:r w:rsidRPr="00EF0B19">
        <w:rPr>
          <w:rFonts w:ascii="Times New Roman" w:hAnsi="Times New Roman"/>
        </w:rPr>
        <w:t xml:space="preserve">credit unions </w:t>
      </w:r>
      <w:r w:rsidRPr="00EF0B19">
        <w:rPr>
          <w:rFonts w:ascii="Times New Roman" w:hAnsi="Times New Roman"/>
        </w:rPr>
        <w:t>are required to submit their self-run SST results to NCUA by May 31</w:t>
      </w:r>
      <w:r w:rsidRPr="00EF0B19">
        <w:rPr>
          <w:rFonts w:ascii="Times New Roman" w:hAnsi="Times New Roman"/>
          <w:vertAlign w:val="superscript"/>
        </w:rPr>
        <w:t>st</w:t>
      </w:r>
      <w:r w:rsidRPr="00EF0B19">
        <w:rPr>
          <w:rFonts w:ascii="Times New Roman" w:hAnsi="Times New Roman"/>
        </w:rPr>
        <w:t xml:space="preserve"> each year. </w:t>
      </w:r>
      <w:r w:rsidR="00132EBC">
        <w:rPr>
          <w:rFonts w:ascii="Times New Roman" w:hAnsi="Times New Roman"/>
        </w:rPr>
        <w:t xml:space="preserve"> </w:t>
      </w:r>
      <w:r w:rsidRPr="00EF0B19">
        <w:rPr>
          <w:rFonts w:ascii="Times New Roman" w:hAnsi="Times New Roman"/>
        </w:rPr>
        <w:t>To ensure consistency in the submitted results across credit unions, NCUA has developed a “</w:t>
      </w:r>
      <w:r w:rsidRPr="00EF0B19">
        <w:rPr>
          <w:rFonts w:ascii="Times New Roman" w:eastAsia="Arial" w:hAnsi="Times New Roman"/>
        </w:rPr>
        <w:t>Self-Run Stress Testing Results Template” workbook that credit unions must populate.</w:t>
      </w:r>
      <w:r w:rsidRPr="007137D2" w:rsidR="007137D2">
        <w:rPr>
          <w:rFonts w:ascii="Times New Roman" w:hAnsi="Times New Roman"/>
        </w:rPr>
        <w:t xml:space="preserve"> </w:t>
      </w:r>
      <w:r w:rsidR="00132EBC">
        <w:rPr>
          <w:rFonts w:ascii="Times New Roman" w:hAnsi="Times New Roman"/>
        </w:rPr>
        <w:t xml:space="preserve"> </w:t>
      </w:r>
      <w:r w:rsidRPr="00EF0B19">
        <w:rPr>
          <w:rFonts w:ascii="Times New Roman" w:hAnsi="Times New Roman"/>
        </w:rPr>
        <w:t>To make it easier for credit unions to use the self-run SST results submission template. it includes the following metadata:</w:t>
      </w:r>
    </w:p>
    <w:p w:rsidR="009B4B21" w:rsidP="00132EBC" w14:paraId="5774E52C" w14:textId="77777777">
      <w:pPr>
        <w:pStyle w:val="BodyText0"/>
        <w:rPr>
          <w:rFonts w:eastAsia="Arial"/>
        </w:rPr>
      </w:pPr>
    </w:p>
    <w:p w:rsidR="009B4B21" w:rsidRPr="006C7FC5" w:rsidP="00132EBC" w14:paraId="3A88B2C9" w14:textId="77777777">
      <w:pPr>
        <w:pStyle w:val="BodyText0"/>
        <w:numPr>
          <w:ilvl w:val="0"/>
          <w:numId w:val="24"/>
        </w:numPr>
      </w:pPr>
      <w:r>
        <w:rPr>
          <w:rFonts w:eastAsia="Arial"/>
        </w:rPr>
        <w:t>The “Overview” worksheet with high-level instructions for populating your results.</w:t>
      </w:r>
    </w:p>
    <w:p w:rsidR="009B4B21" w:rsidRPr="006C7FC5" w:rsidP="00132EBC" w14:paraId="293F8EC8" w14:textId="77777777">
      <w:pPr>
        <w:pStyle w:val="BodyText0"/>
        <w:numPr>
          <w:ilvl w:val="0"/>
          <w:numId w:val="24"/>
        </w:numPr>
      </w:pPr>
      <w:r>
        <w:rPr>
          <w:rFonts w:eastAsia="Arial"/>
        </w:rPr>
        <w:t xml:space="preserve">The “Worksheet Metadata” worksheet indicates which worksheets credit unions </w:t>
      </w:r>
      <w:r>
        <w:rPr>
          <w:rFonts w:eastAsia="Arial"/>
        </w:rPr>
        <w:t>are expected to provide input for and which allow credit unions to add rows or columns.</w:t>
      </w:r>
    </w:p>
    <w:p w:rsidR="009B4B21" w:rsidRPr="006C7FC5" w:rsidP="00132EBC" w14:paraId="06554642" w14:textId="135B8AA0">
      <w:pPr>
        <w:pStyle w:val="BodyText0"/>
        <w:numPr>
          <w:ilvl w:val="0"/>
          <w:numId w:val="24"/>
        </w:numPr>
      </w:pPr>
      <w:r>
        <w:rPr>
          <w:rFonts w:eastAsia="Arial"/>
        </w:rPr>
        <w:t xml:space="preserve">The “Data Dictionary” worksheet provides a definition for every row of the primary results worksheets. </w:t>
      </w:r>
      <w:r w:rsidR="00132EBC">
        <w:rPr>
          <w:rFonts w:eastAsia="Arial"/>
        </w:rPr>
        <w:t xml:space="preserve"> </w:t>
      </w:r>
      <w:r>
        <w:rPr>
          <w:rFonts w:eastAsia="Arial"/>
        </w:rPr>
        <w:t>Where applicable the corresponding Call Report accounts are provided.</w:t>
      </w:r>
    </w:p>
    <w:p w:rsidR="009B4B21" w:rsidRPr="006C7FC5" w:rsidP="00132EBC" w14:paraId="1074FCEA" w14:textId="6FFAACBB">
      <w:pPr>
        <w:pStyle w:val="BodyText0"/>
        <w:numPr>
          <w:ilvl w:val="0"/>
          <w:numId w:val="24"/>
        </w:numPr>
      </w:pPr>
      <w:r>
        <w:rPr>
          <w:rFonts w:eastAsia="Arial"/>
        </w:rPr>
        <w:t xml:space="preserve">The “Data Validation” worksheet provides a series of in-workbook validation that check to make sure the data you provided is internally consistent. </w:t>
      </w:r>
      <w:r w:rsidR="00132EBC">
        <w:rPr>
          <w:rFonts w:eastAsia="Arial"/>
        </w:rPr>
        <w:t xml:space="preserve"> </w:t>
      </w:r>
      <w:r>
        <w:rPr>
          <w:rFonts w:eastAsia="Arial"/>
        </w:rPr>
        <w:t>Each row indicates the worksheet and variable being validated, along with a description of the validation being performed.</w:t>
      </w:r>
    </w:p>
    <w:p w:rsidR="009B4B21" w:rsidP="00132EBC" w14:paraId="7317538E" w14:textId="77777777">
      <w:pPr>
        <w:pStyle w:val="BodyText0"/>
      </w:pPr>
    </w:p>
    <w:p w:rsidR="009B4B21" w:rsidP="00132EBC" w14:paraId="60ED516A" w14:textId="77777777">
      <w:pPr>
        <w:pStyle w:val="BodyText0"/>
      </w:pPr>
      <w:r>
        <w:t>Prior to submitting their self-run SST results, covered credit unions should review each of these worksheets, along with the additional reporting instructions provided below. Failure to follow the provided instructions may result in a corrected submission of your results being required.</w:t>
      </w:r>
    </w:p>
    <w:p w:rsidR="00195967" w:rsidP="00195967" w14:paraId="26959BDE" w14:textId="04EA4813">
      <w:pPr>
        <w:ind w:left="720" w:hanging="720"/>
        <w:rPr>
          <w:rFonts w:ascii="Times New Roman" w:hAnsi="Times New Roman"/>
        </w:rPr>
      </w:pPr>
    </w:p>
    <w:p w:rsidR="009B4B21" w:rsidP="009B4B21" w14:paraId="63B82912" w14:textId="4F3C6517">
      <w:pPr>
        <w:pStyle w:val="Heading2"/>
      </w:pPr>
      <w:r>
        <w:t>Formatting Self-Run SST Results</w:t>
      </w:r>
    </w:p>
    <w:p w:rsidR="009B4B21" w:rsidP="009B4B21" w14:paraId="67EF8A77" w14:textId="64D8C187">
      <w:pPr>
        <w:rPr>
          <w:rFonts w:ascii="Times New Roman" w:hAnsi="Times New Roman"/>
        </w:rPr>
      </w:pPr>
      <w:r>
        <w:rPr>
          <w:rFonts w:ascii="Times New Roman" w:hAnsi="Times New Roman"/>
        </w:rPr>
        <w:t>The</w:t>
      </w:r>
      <w:r w:rsidRPr="00FF7C71">
        <w:rPr>
          <w:rFonts w:ascii="Times New Roman" w:hAnsi="Times New Roman"/>
        </w:rPr>
        <w:t xml:space="preserve"> self-run </w:t>
      </w:r>
      <w:r>
        <w:rPr>
          <w:rFonts w:ascii="Times New Roman" w:hAnsi="Times New Roman"/>
        </w:rPr>
        <w:t>stress test</w:t>
      </w:r>
      <w:r w:rsidRPr="00FF7C71">
        <w:rPr>
          <w:rFonts w:ascii="Times New Roman" w:hAnsi="Times New Roman"/>
        </w:rPr>
        <w:t xml:space="preserve"> result template includes multiple worksheets with their own </w:t>
      </w:r>
      <w:r>
        <w:rPr>
          <w:rFonts w:ascii="Times New Roman" w:hAnsi="Times New Roman"/>
        </w:rPr>
        <w:t>formats</w:t>
      </w:r>
      <w:r w:rsidRPr="00FF7C71">
        <w:rPr>
          <w:rFonts w:ascii="Times New Roman" w:hAnsi="Times New Roman"/>
        </w:rPr>
        <w:t xml:space="preserve">. </w:t>
      </w:r>
      <w:r w:rsidR="00132EBC">
        <w:rPr>
          <w:rFonts w:ascii="Times New Roman" w:hAnsi="Times New Roman"/>
        </w:rPr>
        <w:t xml:space="preserve"> </w:t>
      </w:r>
      <w:r w:rsidRPr="00FF7C71">
        <w:rPr>
          <w:rFonts w:ascii="Times New Roman" w:hAnsi="Times New Roman"/>
        </w:rPr>
        <w:t xml:space="preserve">However, </w:t>
      </w:r>
      <w:r>
        <w:rPr>
          <w:rFonts w:ascii="Times New Roman" w:hAnsi="Times New Roman"/>
        </w:rPr>
        <w:t>they share</w:t>
      </w:r>
      <w:r w:rsidRPr="00FF7C71">
        <w:rPr>
          <w:rFonts w:ascii="Times New Roman" w:hAnsi="Times New Roman"/>
        </w:rPr>
        <w:t xml:space="preserve"> a set of common conventions to ensure ONES can process the files correctly and ensure the expected information </w:t>
      </w:r>
      <w:r>
        <w:rPr>
          <w:rFonts w:ascii="Times New Roman" w:hAnsi="Times New Roman"/>
        </w:rPr>
        <w:t>i</w:t>
      </w:r>
      <w:r w:rsidRPr="00FF7C71">
        <w:rPr>
          <w:rFonts w:ascii="Times New Roman" w:hAnsi="Times New Roman"/>
        </w:rPr>
        <w:t>s provided.</w:t>
      </w:r>
      <w:r>
        <w:rPr>
          <w:rFonts w:ascii="Times New Roman" w:hAnsi="Times New Roman"/>
        </w:rPr>
        <w:t xml:space="preserve"> </w:t>
      </w:r>
      <w:r w:rsidR="00132EBC">
        <w:rPr>
          <w:rFonts w:ascii="Times New Roman" w:hAnsi="Times New Roman"/>
        </w:rPr>
        <w:t xml:space="preserve"> </w:t>
      </w:r>
      <w:r>
        <w:rPr>
          <w:rFonts w:ascii="Times New Roman" w:hAnsi="Times New Roman"/>
        </w:rPr>
        <w:t>You are expected to follow the following conventions to ensure ONES’ automatic data processing works correctly.</w:t>
      </w:r>
    </w:p>
    <w:p w:rsidR="009B4B21" w:rsidP="009B4B21" w14:paraId="6B9FD33D" w14:textId="77777777">
      <w:pPr>
        <w:rPr>
          <w:rFonts w:ascii="Times New Roman" w:hAnsi="Times New Roman"/>
        </w:rPr>
      </w:pPr>
    </w:p>
    <w:p w:rsidR="009B4B21" w:rsidP="009B4B21" w14:paraId="6D77CD75" w14:textId="02713313">
      <w:pPr>
        <w:rPr>
          <w:rFonts w:ascii="Times New Roman" w:hAnsi="Times New Roman"/>
        </w:rPr>
      </w:pPr>
      <w:r>
        <w:rPr>
          <w:rFonts w:ascii="Times New Roman" w:hAnsi="Times New Roman"/>
        </w:rPr>
        <w:t xml:space="preserve">Use the rules </w:t>
      </w:r>
      <w:r w:rsidRPr="00132EBC">
        <w:rPr>
          <w:rFonts w:ascii="Times New Roman" w:hAnsi="Times New Roman"/>
        </w:rPr>
        <w:t xml:space="preserve">provided in </w:t>
      </w:r>
      <w:r w:rsidRPr="00132EBC">
        <w:rPr>
          <w:rFonts w:ascii="Times New Roman" w:hAnsi="Times New Roman"/>
        </w:rPr>
        <w:fldChar w:fldCharType="begin"/>
      </w:r>
      <w:r w:rsidRPr="00132EBC">
        <w:rPr>
          <w:rFonts w:ascii="Times New Roman" w:hAnsi="Times New Roman"/>
        </w:rPr>
        <w:instrText xml:space="preserve"> REF _Ref111803358 \h </w:instrText>
      </w:r>
      <w:r w:rsidRPr="00132EBC" w:rsidR="00132EBC">
        <w:rPr>
          <w:rFonts w:ascii="Times New Roman" w:hAnsi="Times New Roman"/>
        </w:rPr>
        <w:instrText xml:space="preserve"> \* MERGEFORMAT </w:instrText>
      </w:r>
      <w:r w:rsidRPr="00132EBC">
        <w:rPr>
          <w:rFonts w:ascii="Times New Roman" w:hAnsi="Times New Roman"/>
        </w:rPr>
        <w:fldChar w:fldCharType="separate"/>
      </w:r>
      <w:r w:rsidRPr="00523A15">
        <w:rPr>
          <w:rFonts w:ascii="Times New Roman" w:hAnsi="Times New Roman"/>
        </w:rPr>
        <w:t xml:space="preserve">Table </w:t>
      </w:r>
      <w:r w:rsidRPr="00523A15">
        <w:rPr>
          <w:rFonts w:ascii="Times New Roman" w:hAnsi="Times New Roman"/>
          <w:noProof/>
        </w:rPr>
        <w:t>1</w:t>
      </w:r>
      <w:r w:rsidRPr="00132EBC">
        <w:rPr>
          <w:rFonts w:ascii="Times New Roman" w:hAnsi="Times New Roman"/>
        </w:rPr>
        <w:fldChar w:fldCharType="end"/>
      </w:r>
      <w:r w:rsidRPr="00132EBC">
        <w:rPr>
          <w:rFonts w:ascii="Times New Roman" w:hAnsi="Times New Roman"/>
        </w:rPr>
        <w:t xml:space="preserve"> to</w:t>
      </w:r>
      <w:r>
        <w:rPr>
          <w:rFonts w:ascii="Times New Roman" w:hAnsi="Times New Roman"/>
        </w:rPr>
        <w:t xml:space="preserve"> understand the correct number of templates to submit, along with the expected file naming, structure, and formatting conventions.</w:t>
      </w:r>
    </w:p>
    <w:p w:rsidR="009B4B21" w:rsidP="009B4B21" w14:paraId="2811FCEA" w14:textId="77777777">
      <w:pPr>
        <w:rPr>
          <w:rFonts w:ascii="Times New Roman" w:hAnsi="Times New Roman"/>
        </w:rPr>
      </w:pPr>
    </w:p>
    <w:p w:rsidR="009B4B21" w:rsidRPr="00EF0B19" w:rsidP="009B4B21" w14:paraId="552056C7" w14:textId="77777777">
      <w:pPr>
        <w:pStyle w:val="Caption"/>
        <w:keepNext/>
        <w:spacing w:after="40"/>
        <w:rPr>
          <w:rFonts w:ascii="Times New Roman" w:hAnsi="Times New Roman" w:cs="Times New Roman"/>
          <w:sz w:val="24"/>
          <w:szCs w:val="24"/>
        </w:rPr>
      </w:pPr>
      <w:bookmarkStart w:id="1" w:name="_Ref111803358"/>
      <w:r w:rsidRPr="00EF0B19">
        <w:rPr>
          <w:rFonts w:ascii="Times New Roman" w:hAnsi="Times New Roman" w:cs="Times New Roman"/>
          <w:sz w:val="24"/>
          <w:szCs w:val="24"/>
        </w:rPr>
        <w:t xml:space="preserve">Table </w:t>
      </w:r>
      <w:r w:rsidRPr="00EF0B19">
        <w:rPr>
          <w:rFonts w:ascii="Times New Roman" w:hAnsi="Times New Roman" w:cs="Times New Roman"/>
          <w:sz w:val="24"/>
          <w:szCs w:val="24"/>
        </w:rPr>
        <w:fldChar w:fldCharType="begin"/>
      </w:r>
      <w:r w:rsidRPr="00EF0B19">
        <w:rPr>
          <w:rFonts w:ascii="Times New Roman" w:hAnsi="Times New Roman" w:cs="Times New Roman"/>
          <w:sz w:val="24"/>
          <w:szCs w:val="24"/>
        </w:rPr>
        <w:instrText xml:space="preserve"> SEQ Table \* ARABIC </w:instrText>
      </w:r>
      <w:r w:rsidRPr="00EF0B19">
        <w:rPr>
          <w:rFonts w:ascii="Times New Roman" w:hAnsi="Times New Roman" w:cs="Times New Roman"/>
          <w:sz w:val="24"/>
          <w:szCs w:val="24"/>
        </w:rPr>
        <w:fldChar w:fldCharType="separate"/>
      </w:r>
      <w:r w:rsidRPr="00EF0B19">
        <w:rPr>
          <w:rFonts w:ascii="Times New Roman" w:hAnsi="Times New Roman" w:cs="Times New Roman"/>
          <w:noProof/>
          <w:sz w:val="24"/>
          <w:szCs w:val="24"/>
        </w:rPr>
        <w:t>1</w:t>
      </w:r>
      <w:r w:rsidRPr="00EF0B19">
        <w:rPr>
          <w:rFonts w:ascii="Times New Roman" w:hAnsi="Times New Roman" w:cs="Times New Roman"/>
          <w:sz w:val="24"/>
          <w:szCs w:val="24"/>
        </w:rPr>
        <w:fldChar w:fldCharType="end"/>
      </w:r>
      <w:bookmarkEnd w:id="1"/>
      <w:r w:rsidRPr="00EF0B19">
        <w:rPr>
          <w:rFonts w:ascii="Times New Roman" w:hAnsi="Times New Roman" w:cs="Times New Roman"/>
          <w:sz w:val="24"/>
          <w:szCs w:val="24"/>
        </w:rPr>
        <w:t>: Overall Self-Run Stress Testing Result Template Expectations</w:t>
      </w:r>
    </w:p>
    <w:tbl>
      <w:tblPr>
        <w:tblStyle w:val="PlainTable3"/>
        <w:tblW w:w="8900" w:type="dxa"/>
        <w:tblCellMar>
          <w:top w:w="29" w:type="dxa"/>
          <w:bottom w:w="29" w:type="dxa"/>
        </w:tblCellMar>
        <w:tblLook w:val="04A0"/>
      </w:tblPr>
      <w:tblGrid>
        <w:gridCol w:w="1937"/>
        <w:gridCol w:w="6963"/>
      </w:tblGrid>
      <w:tr w14:paraId="79EDFF0D" w14:textId="77777777" w:rsidTr="006C7FC5">
        <w:tblPrEx>
          <w:tblW w:w="8900" w:type="dxa"/>
          <w:tblCellMar>
            <w:top w:w="29" w:type="dxa"/>
            <w:bottom w:w="29" w:type="dxa"/>
          </w:tblCellMar>
          <w:tblLook w:val="04A0"/>
        </w:tblPrEx>
        <w:tc>
          <w:tcPr>
            <w:tcW w:w="1937" w:type="dxa"/>
            <w:tcBorders>
              <w:top w:val="single" w:sz="4" w:space="0" w:color="auto"/>
            </w:tcBorders>
          </w:tcPr>
          <w:p w:rsidR="009B4B21" w:rsidRPr="00AB67A9" w:rsidP="006C7FC5" w14:paraId="54ADEBDB" w14:textId="77777777">
            <w:pPr>
              <w:rPr>
                <w:rFonts w:ascii="Times New Roman" w:hAnsi="Times New Roman" w:cs="Times New Roman"/>
              </w:rPr>
            </w:pPr>
            <w:r w:rsidRPr="00AB67A9">
              <w:rPr>
                <w:rFonts w:ascii="Times New Roman" w:hAnsi="Times New Roman" w:cs="Times New Roman"/>
              </w:rPr>
              <w:t xml:space="preserve">Convention </w:t>
            </w:r>
          </w:p>
        </w:tc>
        <w:tc>
          <w:tcPr>
            <w:tcW w:w="6963" w:type="dxa"/>
            <w:tcBorders>
              <w:top w:val="single" w:sz="4" w:space="0" w:color="auto"/>
            </w:tcBorders>
          </w:tcPr>
          <w:p w:rsidR="009B4B21" w:rsidRPr="00AB67A9" w:rsidP="006C7FC5" w14:paraId="2F3E090D" w14:textId="77777777">
            <w:pPr>
              <w:rPr>
                <w:rFonts w:ascii="Times New Roman" w:hAnsi="Times New Roman" w:cs="Times New Roman"/>
              </w:rPr>
            </w:pPr>
            <w:r w:rsidRPr="00AB67A9">
              <w:rPr>
                <w:rFonts w:ascii="Times New Roman" w:hAnsi="Times New Roman" w:cs="Times New Roman"/>
              </w:rPr>
              <w:t>Description</w:t>
            </w:r>
          </w:p>
        </w:tc>
      </w:tr>
      <w:tr w14:paraId="77D83302" w14:textId="77777777" w:rsidTr="006C7FC5">
        <w:tblPrEx>
          <w:tblW w:w="8900" w:type="dxa"/>
          <w:tblCellMar>
            <w:top w:w="29" w:type="dxa"/>
            <w:bottom w:w="29" w:type="dxa"/>
          </w:tblCellMar>
          <w:tblLook w:val="04A0"/>
        </w:tblPrEx>
        <w:tc>
          <w:tcPr>
            <w:tcW w:w="1937" w:type="dxa"/>
          </w:tcPr>
          <w:p w:rsidR="009B4B21" w:rsidRPr="00AB67A9" w:rsidP="006C7FC5" w14:paraId="3A5E92EE" w14:textId="77777777">
            <w:pPr>
              <w:rPr>
                <w:rFonts w:ascii="Times New Roman" w:hAnsi="Times New Roman" w:cs="Times New Roman"/>
              </w:rPr>
            </w:pPr>
            <w:r w:rsidRPr="00AB67A9">
              <w:rPr>
                <w:rFonts w:ascii="Times New Roman" w:hAnsi="Times New Roman" w:cs="Times New Roman"/>
              </w:rPr>
              <w:t xml:space="preserve">Number of </w:t>
            </w:r>
            <w:r>
              <w:rPr>
                <w:rFonts w:ascii="Times New Roman" w:hAnsi="Times New Roman" w:cs="Times New Roman"/>
              </w:rPr>
              <w:t>Files</w:t>
            </w:r>
            <w:r w:rsidRPr="00AB67A9">
              <w:rPr>
                <w:rFonts w:ascii="Times New Roman" w:hAnsi="Times New Roman" w:cs="Times New Roman"/>
              </w:rPr>
              <w:t xml:space="preserve"> to Submit</w:t>
            </w:r>
          </w:p>
        </w:tc>
        <w:tc>
          <w:tcPr>
            <w:tcW w:w="6963" w:type="dxa"/>
          </w:tcPr>
          <w:p w:rsidR="009B4B21" w:rsidRPr="00AB67A9" w:rsidP="006C7FC5" w14:paraId="59377C04" w14:textId="77777777">
            <w:pPr>
              <w:rPr>
                <w:rFonts w:ascii="Times New Roman" w:hAnsi="Times New Roman" w:cs="Times New Roman"/>
              </w:rPr>
            </w:pPr>
            <w:r w:rsidRPr="00AB67A9">
              <w:rPr>
                <w:rFonts w:ascii="Times New Roman" w:hAnsi="Times New Roman" w:cs="Times New Roman"/>
              </w:rPr>
              <w:t xml:space="preserve">Submit one file per </w:t>
            </w:r>
            <w:r>
              <w:rPr>
                <w:rFonts w:ascii="Times New Roman" w:hAnsi="Times New Roman" w:cs="Times New Roman"/>
              </w:rPr>
              <w:t>scenario per stress testing cycle</w:t>
            </w:r>
            <w:r w:rsidRPr="00AB67A9">
              <w:rPr>
                <w:rFonts w:ascii="Times New Roman" w:hAnsi="Times New Roman" w:cs="Times New Roman"/>
              </w:rPr>
              <w:t>.</w:t>
            </w:r>
          </w:p>
          <w:p w:rsidR="009B4B21" w:rsidRPr="00484B9B" w:rsidP="006C7FC5" w14:paraId="409D9133" w14:textId="77777777">
            <w:pPr>
              <w:pStyle w:val="ListParagraph"/>
              <w:numPr>
                <w:ilvl w:val="0"/>
                <w:numId w:val="7"/>
              </w:numPr>
              <w:ind w:left="167" w:hanging="167"/>
              <w:contextualSpacing/>
              <w:rPr>
                <w:rFonts w:ascii="Times New Roman" w:hAnsi="Times New Roman" w:cs="Times New Roman"/>
              </w:rPr>
            </w:pPr>
            <w:r>
              <w:rPr>
                <w:rFonts w:ascii="Times New Roman" w:hAnsi="Times New Roman" w:cs="Times New Roman"/>
              </w:rPr>
              <w:t>For example, there were baseline and severely adverse scenarios in the 2022 stress testing cycle, so two files were submitted per credit union</w:t>
            </w:r>
            <w:r w:rsidRPr="00AB67A9">
              <w:rPr>
                <w:rFonts w:ascii="Times New Roman" w:hAnsi="Times New Roman" w:cs="Times New Roman"/>
              </w:rPr>
              <w:t>.</w:t>
            </w:r>
          </w:p>
        </w:tc>
      </w:tr>
      <w:tr w14:paraId="7D46342E" w14:textId="77777777" w:rsidTr="006C7FC5">
        <w:tblPrEx>
          <w:tblW w:w="8900" w:type="dxa"/>
          <w:tblCellMar>
            <w:top w:w="29" w:type="dxa"/>
            <w:bottom w:w="29" w:type="dxa"/>
          </w:tblCellMar>
          <w:tblLook w:val="04A0"/>
        </w:tblPrEx>
        <w:tc>
          <w:tcPr>
            <w:tcW w:w="1937" w:type="dxa"/>
          </w:tcPr>
          <w:p w:rsidR="009B4B21" w:rsidP="006C7FC5" w14:paraId="3C29B9A1" w14:textId="77777777">
            <w:pPr>
              <w:rPr>
                <w:rFonts w:ascii="Times New Roman" w:hAnsi="Times New Roman"/>
              </w:rPr>
            </w:pPr>
            <w:r>
              <w:rPr>
                <w:rFonts w:ascii="Times New Roman" w:hAnsi="Times New Roman"/>
              </w:rPr>
              <w:t>Filename</w:t>
            </w:r>
          </w:p>
        </w:tc>
        <w:tc>
          <w:tcPr>
            <w:tcW w:w="6963" w:type="dxa"/>
          </w:tcPr>
          <w:p w:rsidR="009B4B21" w:rsidP="006C7FC5" w14:paraId="27C33087" w14:textId="77777777">
            <w:pPr>
              <w:rPr>
                <w:rFonts w:ascii="Times New Roman" w:hAnsi="Times New Roman"/>
              </w:rPr>
            </w:pPr>
            <w:r>
              <w:rPr>
                <w:rFonts w:ascii="Times New Roman" w:hAnsi="Times New Roman"/>
              </w:rPr>
              <w:t>Files should be named using JoinNumber_SelfRun_SST_Results_YYYY_ScenarioName.xlsx where:</w:t>
            </w:r>
          </w:p>
          <w:p w:rsidR="009B4B21" w:rsidP="006C7FC5" w14:paraId="0629791F" w14:textId="77777777">
            <w:pPr>
              <w:pStyle w:val="ListParagraph"/>
              <w:numPr>
                <w:ilvl w:val="0"/>
                <w:numId w:val="7"/>
              </w:numPr>
              <w:ind w:left="167" w:hanging="167"/>
              <w:contextualSpacing/>
              <w:rPr>
                <w:rFonts w:ascii="Times New Roman" w:hAnsi="Times New Roman" w:cs="Times New Roman"/>
              </w:rPr>
            </w:pPr>
            <w:r w:rsidRPr="00AB67A9">
              <w:rPr>
                <w:rFonts w:ascii="Times New Roman" w:hAnsi="Times New Roman" w:cs="Times New Roman"/>
              </w:rPr>
              <w:t>JoinNumber</w:t>
            </w:r>
            <w:r w:rsidRPr="00AB67A9">
              <w:rPr>
                <w:rFonts w:ascii="Times New Roman" w:hAnsi="Times New Roman" w:cs="Times New Roman"/>
              </w:rPr>
              <w:t xml:space="preserve"> is </w:t>
            </w:r>
            <w:r>
              <w:rPr>
                <w:rFonts w:ascii="Times New Roman" w:hAnsi="Times New Roman" w:cs="Times New Roman"/>
              </w:rPr>
              <w:t>a credit union’s</w:t>
            </w:r>
            <w:r w:rsidRPr="00AB67A9">
              <w:rPr>
                <w:rFonts w:ascii="Times New Roman" w:hAnsi="Times New Roman" w:cs="Times New Roman"/>
              </w:rPr>
              <w:t xml:space="preserve"> unique </w:t>
            </w:r>
            <w:r>
              <w:rPr>
                <w:rFonts w:ascii="Times New Roman" w:hAnsi="Times New Roman" w:cs="Times New Roman"/>
              </w:rPr>
              <w:t xml:space="preserve">NCUA assigned </w:t>
            </w:r>
            <w:r w:rsidRPr="00AB67A9">
              <w:rPr>
                <w:rFonts w:ascii="Times New Roman" w:hAnsi="Times New Roman" w:cs="Times New Roman"/>
              </w:rPr>
              <w:t>integer</w:t>
            </w:r>
            <w:r>
              <w:rPr>
                <w:rFonts w:ascii="Times New Roman" w:hAnsi="Times New Roman" w:cs="Times New Roman"/>
              </w:rPr>
              <w:t>.</w:t>
            </w:r>
          </w:p>
          <w:p w:rsidR="009B4B21" w:rsidRPr="00AB67A9" w:rsidP="006C7FC5" w14:paraId="00185815" w14:textId="77777777">
            <w:pPr>
              <w:pStyle w:val="ListParagraph"/>
              <w:numPr>
                <w:ilvl w:val="0"/>
                <w:numId w:val="7"/>
              </w:numPr>
              <w:ind w:left="167" w:hanging="167"/>
              <w:contextualSpacing/>
              <w:rPr>
                <w:rFonts w:ascii="Times New Roman" w:hAnsi="Times New Roman" w:cs="Times New Roman"/>
              </w:rPr>
            </w:pPr>
            <w:r>
              <w:rPr>
                <w:rFonts w:ascii="Times New Roman" w:hAnsi="Times New Roman" w:cs="Times New Roman"/>
              </w:rPr>
              <w:t>YYYY is the year of the stress testing cycle (</w:t>
            </w:r>
            <w:r>
              <w:rPr>
                <w:rFonts w:ascii="Times New Roman" w:hAnsi="Times New Roman" w:cs="Times New Roman"/>
              </w:rPr>
              <w:t>e.g.</w:t>
            </w:r>
            <w:r>
              <w:rPr>
                <w:rFonts w:ascii="Times New Roman" w:hAnsi="Times New Roman" w:cs="Times New Roman"/>
              </w:rPr>
              <w:t xml:space="preserve"> 2023).</w:t>
            </w:r>
          </w:p>
          <w:p w:rsidR="009B4B21" w:rsidRPr="00A62B80" w:rsidP="006C7FC5" w14:paraId="40F7CB7C" w14:textId="5BBCCA16">
            <w:pPr>
              <w:pStyle w:val="ListParagraph"/>
              <w:numPr>
                <w:ilvl w:val="0"/>
                <w:numId w:val="7"/>
              </w:numPr>
              <w:ind w:left="167" w:hanging="167"/>
              <w:contextualSpacing/>
              <w:rPr>
                <w:rFonts w:ascii="Times New Roman" w:hAnsi="Times New Roman" w:cs="Times New Roman"/>
              </w:rPr>
            </w:pPr>
            <w:r>
              <w:rPr>
                <w:rFonts w:ascii="Times New Roman" w:hAnsi="Times New Roman"/>
              </w:rPr>
              <w:t>ScenarioName</w:t>
            </w:r>
            <w:r w:rsidRPr="00AB67A9">
              <w:rPr>
                <w:rFonts w:ascii="Times New Roman" w:hAnsi="Times New Roman" w:cs="Times New Roman"/>
              </w:rPr>
              <w:t xml:space="preserve"> refers to the name of the </w:t>
            </w:r>
            <w:r>
              <w:rPr>
                <w:rFonts w:ascii="Times New Roman" w:hAnsi="Times New Roman" w:cs="Times New Roman"/>
              </w:rPr>
              <w:t xml:space="preserve">scenario that the template’s results summarize. </w:t>
            </w:r>
            <w:r w:rsidR="00132EBC">
              <w:rPr>
                <w:rFonts w:ascii="Times New Roman" w:hAnsi="Times New Roman" w:cs="Times New Roman"/>
              </w:rPr>
              <w:t xml:space="preserve"> </w:t>
            </w:r>
            <w:r>
              <w:rPr>
                <w:rFonts w:ascii="Times New Roman" w:hAnsi="Times New Roman" w:cs="Times New Roman"/>
              </w:rPr>
              <w:t xml:space="preserve">This should be one of Baseline, </w:t>
            </w:r>
            <w:r>
              <w:rPr>
                <w:rFonts w:ascii="Times New Roman" w:hAnsi="Times New Roman" w:cs="Times New Roman"/>
              </w:rPr>
              <w:t>SeverelyAdverse</w:t>
            </w:r>
            <w:r>
              <w:rPr>
                <w:rFonts w:ascii="Times New Roman" w:hAnsi="Times New Roman" w:cs="Times New Roman"/>
              </w:rPr>
              <w:t xml:space="preserve"> or the name of another NCUA provided scenario (scenario names should not contain spaces).</w:t>
            </w:r>
          </w:p>
        </w:tc>
      </w:tr>
      <w:tr w14:paraId="3A707F36" w14:textId="77777777" w:rsidTr="006C7FC5">
        <w:tblPrEx>
          <w:tblW w:w="8900" w:type="dxa"/>
          <w:tblCellMar>
            <w:top w:w="29" w:type="dxa"/>
            <w:bottom w:w="29" w:type="dxa"/>
          </w:tblCellMar>
          <w:tblLook w:val="04A0"/>
        </w:tblPrEx>
        <w:tc>
          <w:tcPr>
            <w:tcW w:w="1937" w:type="dxa"/>
          </w:tcPr>
          <w:p w:rsidR="009B4B21" w:rsidRPr="00AB67A9" w:rsidP="006C7FC5" w14:paraId="094CB1EA" w14:textId="77777777">
            <w:pPr>
              <w:rPr>
                <w:rFonts w:ascii="Times New Roman" w:hAnsi="Times New Roman" w:cs="Times New Roman"/>
              </w:rPr>
            </w:pPr>
            <w:r>
              <w:rPr>
                <w:rFonts w:ascii="Times New Roman" w:hAnsi="Times New Roman" w:cs="Times New Roman"/>
              </w:rPr>
              <w:t>Do not Change File Structure</w:t>
            </w:r>
          </w:p>
        </w:tc>
        <w:tc>
          <w:tcPr>
            <w:tcW w:w="6963" w:type="dxa"/>
          </w:tcPr>
          <w:p w:rsidR="009B4B21" w:rsidRPr="00AB67A9" w:rsidP="006C7FC5" w14:paraId="5E521262" w14:textId="77777777">
            <w:pPr>
              <w:rPr>
                <w:rFonts w:ascii="Times New Roman" w:hAnsi="Times New Roman" w:cs="Times New Roman"/>
              </w:rPr>
            </w:pPr>
            <w:r>
              <w:rPr>
                <w:rFonts w:ascii="Times New Roman" w:hAnsi="Times New Roman" w:cs="Times New Roman"/>
              </w:rPr>
              <w:t>Credit unions should not:</w:t>
            </w:r>
          </w:p>
          <w:p w:rsidR="009B4B21" w:rsidRPr="00132EBC" w:rsidP="006C7FC5" w14:paraId="0D98122C" w14:textId="49BC1917">
            <w:pPr>
              <w:pStyle w:val="ListParagraph"/>
              <w:numPr>
                <w:ilvl w:val="0"/>
                <w:numId w:val="7"/>
              </w:numPr>
              <w:contextualSpacing/>
              <w:rPr>
                <w:rFonts w:ascii="Times New Roman" w:hAnsi="Times New Roman" w:cs="Times New Roman"/>
              </w:rPr>
            </w:pPr>
            <w:r w:rsidRPr="00132EBC">
              <w:rPr>
                <w:rFonts w:ascii="Times New Roman" w:hAnsi="Times New Roman" w:cs="Times New Roman"/>
              </w:rPr>
              <w:t>Change worksheet names</w:t>
            </w:r>
            <w:r w:rsidRPr="00132EBC" w:rsidR="00132EBC">
              <w:rPr>
                <w:rFonts w:ascii="Times New Roman" w:hAnsi="Times New Roman" w:cs="Times New Roman"/>
              </w:rPr>
              <w:t>.</w:t>
            </w:r>
          </w:p>
          <w:p w:rsidR="009B4B21" w:rsidRPr="00132EBC" w:rsidP="006C7FC5" w14:paraId="1DFDC9EC" w14:textId="10D6C611">
            <w:pPr>
              <w:pStyle w:val="ListParagraph"/>
              <w:numPr>
                <w:ilvl w:val="0"/>
                <w:numId w:val="7"/>
              </w:numPr>
              <w:contextualSpacing/>
              <w:rPr>
                <w:rFonts w:ascii="Times New Roman" w:hAnsi="Times New Roman" w:cs="Times New Roman"/>
              </w:rPr>
            </w:pPr>
            <w:r w:rsidRPr="00132EBC">
              <w:rPr>
                <w:rFonts w:ascii="Times New Roman" w:hAnsi="Times New Roman" w:cs="Times New Roman"/>
              </w:rPr>
              <w:t>Add or remove header rows (e.g., rows before column labels start) or initial column (</w:t>
            </w:r>
            <w:r w:rsidRPr="00132EBC">
              <w:rPr>
                <w:rFonts w:ascii="Times New Roman" w:hAnsi="Times New Roman" w:cs="Times New Roman"/>
              </w:rPr>
              <w:t>e.g.</w:t>
            </w:r>
            <w:r w:rsidRPr="00132EBC">
              <w:rPr>
                <w:rFonts w:ascii="Times New Roman" w:hAnsi="Times New Roman" w:cs="Times New Roman"/>
              </w:rPr>
              <w:t xml:space="preserve"> blank column “A” in most worksheets)</w:t>
            </w:r>
            <w:r w:rsidR="00132EBC">
              <w:rPr>
                <w:rFonts w:ascii="Times New Roman" w:hAnsi="Times New Roman" w:cs="Times New Roman"/>
              </w:rPr>
              <w:t>.</w:t>
            </w:r>
          </w:p>
          <w:p w:rsidR="009B4B21" w:rsidRPr="00523A15" w:rsidP="006C7FC5" w14:paraId="2C383575" w14:textId="77777777">
            <w:pPr>
              <w:pStyle w:val="ListParagraph"/>
              <w:numPr>
                <w:ilvl w:val="0"/>
                <w:numId w:val="7"/>
              </w:numPr>
              <w:rPr>
                <w:rFonts w:ascii="Times New Roman" w:hAnsi="Times New Roman" w:cs="Times New Roman"/>
              </w:rPr>
            </w:pPr>
            <w:r w:rsidRPr="00523A15">
              <w:rPr>
                <w:rFonts w:ascii="Times New Roman" w:hAnsi="Times New Roman"/>
              </w:rPr>
              <w:t>Add additional rows or columns, except in the worksheets identified in the workbook’s “Worksheet Metadata” worksheet.</w:t>
            </w:r>
          </w:p>
          <w:p w:rsidR="009B4B21" w:rsidRPr="00523A15" w:rsidP="006C7FC5" w14:paraId="0367915D" w14:textId="3431811A">
            <w:pPr>
              <w:pStyle w:val="ListParagraph"/>
              <w:numPr>
                <w:ilvl w:val="0"/>
                <w:numId w:val="7"/>
              </w:numPr>
              <w:rPr>
                <w:rFonts w:ascii="Times New Roman" w:hAnsi="Times New Roman" w:cs="Times New Roman"/>
              </w:rPr>
            </w:pPr>
            <w:r w:rsidRPr="00523A15">
              <w:rPr>
                <w:rFonts w:ascii="Times New Roman" w:hAnsi="Times New Roman"/>
              </w:rPr>
              <w:t>Alter existing row or column labels in worksheets</w:t>
            </w:r>
            <w:r w:rsidR="00132EBC">
              <w:rPr>
                <w:rFonts w:ascii="Times New Roman" w:hAnsi="Times New Roman" w:cs="Times New Roman"/>
              </w:rPr>
              <w:t>.</w:t>
            </w:r>
          </w:p>
          <w:p w:rsidR="009B4B21" w:rsidRPr="00E47757" w:rsidP="006C7FC5" w14:paraId="374057AE" w14:textId="77777777">
            <w:pPr>
              <w:pStyle w:val="ListParagraph"/>
              <w:numPr>
                <w:ilvl w:val="0"/>
                <w:numId w:val="7"/>
              </w:numPr>
            </w:pPr>
            <w:r w:rsidRPr="00523A15">
              <w:rPr>
                <w:rFonts w:ascii="Times New Roman" w:hAnsi="Times New Roman"/>
              </w:rPr>
              <w:t>Change the order of worksheets.</w:t>
            </w:r>
          </w:p>
        </w:tc>
      </w:tr>
      <w:tr w14:paraId="1E3413EE" w14:textId="77777777" w:rsidTr="006C7FC5">
        <w:tblPrEx>
          <w:tblW w:w="8900" w:type="dxa"/>
          <w:tblCellMar>
            <w:top w:w="29" w:type="dxa"/>
            <w:bottom w:w="29" w:type="dxa"/>
          </w:tblCellMar>
          <w:tblLook w:val="04A0"/>
        </w:tblPrEx>
        <w:tc>
          <w:tcPr>
            <w:tcW w:w="1937" w:type="dxa"/>
            <w:tcBorders>
              <w:bottom w:val="single" w:sz="4" w:space="0" w:color="auto"/>
            </w:tcBorders>
          </w:tcPr>
          <w:p w:rsidR="009B4B21" w:rsidP="006C7FC5" w14:paraId="08CCFBA9" w14:textId="77777777">
            <w:pPr>
              <w:rPr>
                <w:rFonts w:ascii="Times New Roman" w:hAnsi="Times New Roman"/>
              </w:rPr>
            </w:pPr>
            <w:r>
              <w:rPr>
                <w:rFonts w:ascii="Times New Roman" w:hAnsi="Times New Roman"/>
              </w:rPr>
              <w:t>Only add Rows or Columns in Prescribed Worksheets</w:t>
            </w:r>
          </w:p>
        </w:tc>
        <w:tc>
          <w:tcPr>
            <w:tcW w:w="6963" w:type="dxa"/>
            <w:tcBorders>
              <w:bottom w:val="single" w:sz="4" w:space="0" w:color="auto"/>
            </w:tcBorders>
          </w:tcPr>
          <w:p w:rsidR="009B4B21" w:rsidP="006C7FC5" w14:paraId="3ADF28FC" w14:textId="77777777">
            <w:pPr>
              <w:rPr>
                <w:rFonts w:ascii="Times New Roman" w:hAnsi="Times New Roman"/>
              </w:rPr>
            </w:pPr>
            <w:r>
              <w:rPr>
                <w:rFonts w:ascii="Times New Roman" w:hAnsi="Times New Roman"/>
              </w:rPr>
              <w:t>The “Worksheet Metadata” tab in the template indicates which worksheets allow credit unions to provide additional rows or columns.  Do not add new rows or columns to other worksheets (reach out to ONES if you think adding rows or column in another worksheet is required).</w:t>
            </w:r>
          </w:p>
        </w:tc>
      </w:tr>
    </w:tbl>
    <w:p w:rsidR="009B4B21" w:rsidP="00195967" w14:paraId="2ADBBD4C" w14:textId="602F0268">
      <w:pPr>
        <w:ind w:left="720" w:hanging="720"/>
        <w:rPr>
          <w:rFonts w:ascii="Times New Roman" w:hAnsi="Times New Roman"/>
        </w:rPr>
      </w:pPr>
    </w:p>
    <w:p w:rsidR="009B4B21" w:rsidP="00132EBC" w14:paraId="739E4D86" w14:textId="6A32868E">
      <w:pPr>
        <w:pStyle w:val="BodyText0"/>
      </w:pPr>
      <w:r>
        <w:t>ONES’ automatic data processing also relies on the data values you enter in the self-run SST results reporting template being correctly formatted.</w:t>
      </w:r>
      <w:r w:rsidR="00132EBC">
        <w:t xml:space="preserve"> </w:t>
      </w:r>
      <w:r>
        <w:t xml:space="preserve"> </w:t>
      </w:r>
      <w:r>
        <w:fldChar w:fldCharType="begin"/>
      </w:r>
      <w:r>
        <w:instrText xml:space="preserve"> REF _Ref116394166 \h </w:instrText>
      </w:r>
      <w:r>
        <w:fldChar w:fldCharType="separate"/>
      </w:r>
      <w:r w:rsidRPr="00FF4C61">
        <w:t xml:space="preserve">Table </w:t>
      </w:r>
      <w:r>
        <w:rPr>
          <w:noProof/>
        </w:rPr>
        <w:t>2</w:t>
      </w:r>
      <w:r>
        <w:fldChar w:fldCharType="end"/>
      </w:r>
      <w:r>
        <w:t xml:space="preserve"> provides the conventions that </w:t>
      </w:r>
      <w:r w:rsidR="00132EBC">
        <w:t>each c</w:t>
      </w:r>
      <w:r w:rsidRPr="00517B3C">
        <w:t xml:space="preserve">redit union should follow </w:t>
      </w:r>
      <w:r>
        <w:t>when populating values in the self-run SST results reporting template.</w:t>
      </w:r>
    </w:p>
    <w:p w:rsidR="009B4B21" w:rsidP="00132EBC" w14:paraId="1B110232" w14:textId="77777777">
      <w:pPr>
        <w:pStyle w:val="BodyText0"/>
      </w:pPr>
    </w:p>
    <w:p w:rsidR="009B4B21" w:rsidRPr="00EF0B19" w:rsidP="009B4B21" w14:paraId="768DFD05" w14:textId="0DE31C1C">
      <w:pPr>
        <w:pStyle w:val="Caption"/>
        <w:keepNext/>
        <w:rPr>
          <w:rFonts w:ascii="Times New Roman" w:hAnsi="Times New Roman" w:cs="Times New Roman"/>
          <w:sz w:val="24"/>
          <w:szCs w:val="24"/>
        </w:rPr>
      </w:pPr>
      <w:bookmarkStart w:id="2" w:name="_Ref116394166"/>
      <w:r w:rsidRPr="00EF0B19">
        <w:rPr>
          <w:rFonts w:ascii="Times New Roman" w:hAnsi="Times New Roman" w:cs="Times New Roman"/>
          <w:sz w:val="24"/>
          <w:szCs w:val="24"/>
        </w:rPr>
        <w:t xml:space="preserve">Table </w:t>
      </w:r>
      <w:r w:rsidRPr="00EF0B19">
        <w:rPr>
          <w:rFonts w:ascii="Times New Roman" w:hAnsi="Times New Roman" w:cs="Times New Roman"/>
          <w:sz w:val="24"/>
          <w:szCs w:val="24"/>
        </w:rPr>
        <w:fldChar w:fldCharType="begin"/>
      </w:r>
      <w:r w:rsidRPr="00EF0B19">
        <w:rPr>
          <w:rFonts w:ascii="Times New Roman" w:hAnsi="Times New Roman" w:cs="Times New Roman"/>
          <w:sz w:val="24"/>
          <w:szCs w:val="24"/>
        </w:rPr>
        <w:instrText xml:space="preserve"> SEQ Table \* ARABIC </w:instrText>
      </w:r>
      <w:r w:rsidRPr="00EF0B19">
        <w:rPr>
          <w:rFonts w:ascii="Times New Roman" w:hAnsi="Times New Roman" w:cs="Times New Roman"/>
          <w:sz w:val="24"/>
          <w:szCs w:val="24"/>
        </w:rPr>
        <w:fldChar w:fldCharType="separate"/>
      </w:r>
      <w:r w:rsidRPr="00EF0B19">
        <w:rPr>
          <w:rFonts w:ascii="Times New Roman" w:hAnsi="Times New Roman" w:cs="Times New Roman"/>
          <w:noProof/>
          <w:sz w:val="24"/>
          <w:szCs w:val="24"/>
        </w:rPr>
        <w:t>2</w:t>
      </w:r>
      <w:r w:rsidRPr="00EF0B19">
        <w:rPr>
          <w:rFonts w:ascii="Times New Roman" w:hAnsi="Times New Roman" w:cs="Times New Roman"/>
          <w:sz w:val="24"/>
          <w:szCs w:val="24"/>
        </w:rPr>
        <w:fldChar w:fldCharType="end"/>
      </w:r>
      <w:bookmarkEnd w:id="2"/>
      <w:r w:rsidRPr="00EF0B19">
        <w:rPr>
          <w:rFonts w:ascii="Times New Roman" w:hAnsi="Times New Roman" w:cs="Times New Roman"/>
          <w:sz w:val="24"/>
          <w:szCs w:val="24"/>
        </w:rPr>
        <w:t>: Formatting Credit Union Provided Input</w:t>
      </w:r>
    </w:p>
    <w:tbl>
      <w:tblPr>
        <w:tblStyle w:val="PlainTable3"/>
        <w:tblW w:w="0" w:type="auto"/>
        <w:tblLook w:val="04A0"/>
      </w:tblPr>
      <w:tblGrid>
        <w:gridCol w:w="2179"/>
        <w:gridCol w:w="6317"/>
      </w:tblGrid>
      <w:tr w14:paraId="6C656496" w14:textId="77777777" w:rsidTr="006C7FC5">
        <w:tblPrEx>
          <w:tblW w:w="0" w:type="auto"/>
          <w:tblLook w:val="04A0"/>
        </w:tblPrEx>
        <w:trPr>
          <w:trHeight w:val="414"/>
        </w:trPr>
        <w:tc>
          <w:tcPr>
            <w:tcW w:w="0" w:type="auto"/>
            <w:vMerge w:val="restart"/>
            <w:tcBorders>
              <w:top w:val="single" w:sz="4" w:space="0" w:color="auto"/>
              <w:bottom w:val="single" w:sz="4" w:space="0" w:color="auto"/>
              <w:right w:val="single" w:sz="4" w:space="0" w:color="auto"/>
            </w:tcBorders>
            <w:noWrap/>
            <w:hideMark/>
          </w:tcPr>
          <w:p w:rsidR="009B4B21" w:rsidRPr="00BF2F4E" w:rsidP="006C7FC5" w14:paraId="4030A63F" w14:textId="77777777">
            <w:pPr>
              <w:jc w:val="center"/>
              <w:rPr>
                <w:rFonts w:ascii="Times New Roman" w:eastAsia="Times New Roman" w:hAnsi="Times New Roman" w:cs="Times New Roman"/>
              </w:rPr>
            </w:pPr>
            <w:r w:rsidRPr="00BF2F4E">
              <w:rPr>
                <w:rFonts w:ascii="Times New Roman" w:eastAsia="Times New Roman" w:hAnsi="Times New Roman" w:cs="Times New Roman"/>
              </w:rPr>
              <w:t>Worksheet</w:t>
            </w:r>
          </w:p>
        </w:tc>
        <w:tc>
          <w:tcPr>
            <w:tcW w:w="0" w:type="auto"/>
            <w:vMerge w:val="restart"/>
            <w:tcBorders>
              <w:top w:val="single" w:sz="4" w:space="0" w:color="auto"/>
              <w:left w:val="single" w:sz="4" w:space="0" w:color="auto"/>
              <w:bottom w:val="single" w:sz="4" w:space="0" w:color="auto"/>
            </w:tcBorders>
            <w:noWrap/>
            <w:hideMark/>
          </w:tcPr>
          <w:p w:rsidR="009B4B21" w:rsidRPr="00BF2F4E" w:rsidP="006C7FC5" w14:paraId="25669B6D" w14:textId="77777777">
            <w:pPr>
              <w:jc w:val="center"/>
              <w:rPr>
                <w:rFonts w:ascii="Times New Roman" w:eastAsia="Times New Roman" w:hAnsi="Times New Roman" w:cs="Times New Roman"/>
              </w:rPr>
            </w:pPr>
            <w:r w:rsidRPr="00BF2F4E">
              <w:rPr>
                <w:rFonts w:ascii="Times New Roman" w:eastAsia="Times New Roman" w:hAnsi="Times New Roman" w:cs="Times New Roman"/>
              </w:rPr>
              <w:t>Description</w:t>
            </w:r>
          </w:p>
        </w:tc>
      </w:tr>
      <w:tr w14:paraId="436AFDB4" w14:textId="77777777" w:rsidTr="006C7FC5">
        <w:tblPrEx>
          <w:tblW w:w="0" w:type="auto"/>
          <w:tblLook w:val="04A0"/>
        </w:tblPrEx>
        <w:trPr>
          <w:trHeight w:val="276"/>
        </w:trPr>
        <w:tc>
          <w:tcPr>
            <w:tcW w:w="0" w:type="auto"/>
            <w:vMerge/>
            <w:tcBorders>
              <w:top w:val="single" w:sz="4" w:space="0" w:color="auto"/>
              <w:bottom w:val="single" w:sz="4" w:space="0" w:color="auto"/>
              <w:right w:val="single" w:sz="4" w:space="0" w:color="auto"/>
            </w:tcBorders>
            <w:noWrap/>
          </w:tcPr>
          <w:p w:rsidR="009B4B21" w:rsidRPr="00BF2F4E" w:rsidP="006C7FC5" w14:paraId="08D0ACFB" w14:textId="77777777">
            <w:pPr>
              <w:jc w:val="center"/>
              <w:rPr>
                <w:rFonts w:ascii="Times New Roman" w:eastAsia="Times New Roman" w:hAnsi="Times New Roman"/>
                <w:b w:val="0"/>
                <w:bCs w:val="0"/>
              </w:rPr>
            </w:pPr>
          </w:p>
        </w:tc>
        <w:tc>
          <w:tcPr>
            <w:tcW w:w="0" w:type="auto"/>
            <w:vMerge/>
            <w:tcBorders>
              <w:left w:val="single" w:sz="4" w:space="0" w:color="auto"/>
              <w:bottom w:val="single" w:sz="4" w:space="0" w:color="auto"/>
            </w:tcBorders>
            <w:noWrap/>
          </w:tcPr>
          <w:p w:rsidR="009B4B21" w:rsidRPr="00BF2F4E" w:rsidP="006C7FC5" w14:paraId="4888CE9B" w14:textId="77777777">
            <w:pPr>
              <w:jc w:val="center"/>
              <w:rPr>
                <w:rFonts w:ascii="Times New Roman" w:eastAsia="Times New Roman" w:hAnsi="Times New Roman"/>
                <w:b/>
                <w:bCs/>
              </w:rPr>
            </w:pPr>
          </w:p>
        </w:tc>
      </w:tr>
      <w:tr w14:paraId="5051436A" w14:textId="77777777" w:rsidTr="006C7FC5">
        <w:tblPrEx>
          <w:tblW w:w="0" w:type="auto"/>
          <w:tblLook w:val="04A0"/>
        </w:tblPrEx>
        <w:trPr>
          <w:trHeight w:val="288"/>
        </w:trPr>
        <w:tc>
          <w:tcPr>
            <w:tcW w:w="0" w:type="auto"/>
            <w:hideMark/>
          </w:tcPr>
          <w:p w:rsidR="009B4B21" w:rsidRPr="00BF2F4E" w:rsidP="006C7FC5" w14:paraId="7A93C3B8" w14:textId="77777777">
            <w:pPr>
              <w:rPr>
                <w:rFonts w:ascii="Times New Roman" w:eastAsia="Times New Roman" w:hAnsi="Times New Roman" w:cs="Times New Roman"/>
                <w:color w:val="000000"/>
              </w:rPr>
            </w:pPr>
            <w:r>
              <w:rPr>
                <w:rFonts w:ascii="Times New Roman" w:eastAsia="Times New Roman" w:hAnsi="Times New Roman" w:cs="Times New Roman"/>
                <w:color w:val="000000"/>
              </w:rPr>
              <w:t>Reporting Dollar Fields</w:t>
            </w:r>
          </w:p>
        </w:tc>
        <w:tc>
          <w:tcPr>
            <w:tcW w:w="0" w:type="auto"/>
            <w:hideMark/>
          </w:tcPr>
          <w:p w:rsidR="009B4B21" w:rsidRPr="00BF2F4E" w:rsidP="006C7FC5" w14:paraId="11C8682D" w14:textId="57E8664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Fields with dollar denominated units (e.g., Thousands of Dollars) should generally be reported as positive numbers. </w:t>
            </w:r>
            <w:r w:rsidR="00132EB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This includes liabilities and expenses. </w:t>
            </w:r>
            <w:r w:rsidR="00132EB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Negative numbers should be reserved for cases where </w:t>
            </w:r>
            <w:r w:rsidR="00E3372D">
              <w:rPr>
                <w:rFonts w:ascii="Times New Roman" w:eastAsia="Times New Roman" w:hAnsi="Times New Roman" w:cs="Times New Roman"/>
                <w:color w:val="000000"/>
              </w:rPr>
              <w:t xml:space="preserve">the sign </w:t>
            </w:r>
            <w:r>
              <w:rPr>
                <w:rFonts w:ascii="Times New Roman" w:eastAsia="Times New Roman" w:hAnsi="Times New Roman" w:cs="Times New Roman"/>
                <w:color w:val="000000"/>
              </w:rPr>
              <w:t>is typically indeterminant, such as net numbers or fields measuring gain or loss.</w:t>
            </w:r>
          </w:p>
        </w:tc>
      </w:tr>
      <w:tr w14:paraId="10014EAE" w14:textId="77777777" w:rsidTr="006C7FC5">
        <w:tblPrEx>
          <w:tblW w:w="0" w:type="auto"/>
          <w:tblLook w:val="04A0"/>
        </w:tblPrEx>
        <w:trPr>
          <w:trHeight w:val="288"/>
        </w:trPr>
        <w:tc>
          <w:tcPr>
            <w:tcW w:w="0" w:type="auto"/>
            <w:hideMark/>
          </w:tcPr>
          <w:p w:rsidR="009B4B21" w:rsidRPr="00BF2F4E" w:rsidP="006C7FC5" w14:paraId="589414C5" w14:textId="77777777">
            <w:pPr>
              <w:rPr>
                <w:rFonts w:ascii="Times New Roman" w:eastAsia="Times New Roman" w:hAnsi="Times New Roman" w:cs="Times New Roman"/>
                <w:color w:val="000000"/>
              </w:rPr>
            </w:pPr>
            <w:r>
              <w:rPr>
                <w:rFonts w:ascii="Times New Roman" w:eastAsia="Times New Roman" w:hAnsi="Times New Roman" w:cs="Times New Roman"/>
                <w:color w:val="000000"/>
              </w:rPr>
              <w:t>Report in Stated Units</w:t>
            </w:r>
          </w:p>
        </w:tc>
        <w:tc>
          <w:tcPr>
            <w:tcW w:w="0" w:type="auto"/>
            <w:hideMark/>
          </w:tcPr>
          <w:p w:rsidR="009B4B21" w:rsidRPr="00BF2F4E" w:rsidP="006C7FC5" w14:paraId="43EDAC8C" w14:textId="730BA13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metadata worksheet indicates the units that variables should be reported in (typically Thousands of Dollars or Percent). </w:t>
            </w:r>
            <w:r w:rsidR="00132EB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Values should be reported in the stated units.</w:t>
            </w:r>
            <w:r w:rsidR="00132EB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Do not report the values in different units (</w:t>
            </w:r>
            <w:r>
              <w:rPr>
                <w:rFonts w:ascii="Times New Roman" w:eastAsia="Times New Roman" w:hAnsi="Times New Roman" w:cs="Times New Roman"/>
                <w:color w:val="000000"/>
              </w:rPr>
              <w:t>e.g.</w:t>
            </w:r>
            <w:r>
              <w:rPr>
                <w:rFonts w:ascii="Times New Roman" w:eastAsia="Times New Roman" w:hAnsi="Times New Roman" w:cs="Times New Roman"/>
                <w:color w:val="000000"/>
              </w:rPr>
              <w:t xml:space="preserve"> dollars instead of thousands of dollars) </w:t>
            </w:r>
            <w:r w:rsidR="0057101E">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use Excel formats to change how the units appear.</w:t>
            </w:r>
          </w:p>
        </w:tc>
      </w:tr>
      <w:tr w14:paraId="3BBC319F" w14:textId="77777777" w:rsidTr="006C7FC5">
        <w:tblPrEx>
          <w:tblW w:w="0" w:type="auto"/>
          <w:tblLook w:val="04A0"/>
        </w:tblPrEx>
        <w:trPr>
          <w:trHeight w:val="288"/>
        </w:trPr>
        <w:tc>
          <w:tcPr>
            <w:tcW w:w="0" w:type="auto"/>
            <w:hideMark/>
          </w:tcPr>
          <w:p w:rsidR="009B4B21" w:rsidRPr="00BF2F4E" w:rsidP="006C7FC5" w14:paraId="1D341832" w14:textId="77777777">
            <w:pPr>
              <w:rPr>
                <w:rFonts w:ascii="Times New Roman" w:eastAsia="Times New Roman" w:hAnsi="Times New Roman" w:cs="Times New Roman"/>
                <w:color w:val="000000"/>
              </w:rPr>
            </w:pPr>
            <w:r>
              <w:rPr>
                <w:rFonts w:ascii="Times New Roman" w:eastAsia="Times New Roman" w:hAnsi="Times New Roman" w:cs="Times New Roman"/>
                <w:color w:val="000000"/>
              </w:rPr>
              <w:t>Missing Values</w:t>
            </w:r>
          </w:p>
        </w:tc>
        <w:tc>
          <w:tcPr>
            <w:tcW w:w="0" w:type="auto"/>
            <w:hideMark/>
          </w:tcPr>
          <w:p w:rsidR="009B4B21" w:rsidRPr="00BF2F4E" w:rsidP="006C7FC5" w14:paraId="7290E55E" w14:textId="2A3B8FC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missing values should be left blank. </w:t>
            </w:r>
            <w:r w:rsidR="00132EB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Do not provide a default value (e.g., 0 or the word NULL) for missing values.</w:t>
            </w:r>
          </w:p>
        </w:tc>
      </w:tr>
      <w:tr w14:paraId="1FD5B627" w14:textId="77777777" w:rsidTr="006C7FC5">
        <w:tblPrEx>
          <w:tblW w:w="0" w:type="auto"/>
          <w:tblLook w:val="04A0"/>
        </w:tblPrEx>
        <w:trPr>
          <w:trHeight w:val="288"/>
        </w:trPr>
        <w:tc>
          <w:tcPr>
            <w:tcW w:w="0" w:type="auto"/>
            <w:hideMark/>
          </w:tcPr>
          <w:p w:rsidR="009B4B21" w:rsidRPr="00BF2F4E" w:rsidP="006C7FC5" w14:paraId="3DC87EF2" w14:textId="77777777">
            <w:pPr>
              <w:rPr>
                <w:rFonts w:ascii="Times New Roman" w:eastAsia="Times New Roman" w:hAnsi="Times New Roman" w:cs="Times New Roman"/>
                <w:color w:val="000000"/>
              </w:rPr>
            </w:pPr>
            <w:r>
              <w:rPr>
                <w:rFonts w:ascii="Times New Roman" w:eastAsia="Times New Roman" w:hAnsi="Times New Roman" w:cs="Times New Roman"/>
                <w:color w:val="000000"/>
              </w:rPr>
              <w:t>Numeric Fields</w:t>
            </w:r>
          </w:p>
        </w:tc>
        <w:tc>
          <w:tcPr>
            <w:tcW w:w="0" w:type="auto"/>
            <w:hideMark/>
          </w:tcPr>
          <w:p w:rsidR="009B4B21" w:rsidRPr="00AB67A9" w:rsidP="006C7FC5" w14:paraId="4FBAF01E" w14:textId="77777777">
            <w:pPr>
              <w:rPr>
                <w:rFonts w:ascii="Times New Roman" w:hAnsi="Times New Roman" w:cs="Times New Roman"/>
              </w:rPr>
            </w:pPr>
            <w:r w:rsidRPr="00AB67A9">
              <w:rPr>
                <w:rFonts w:ascii="Times New Roman" w:hAnsi="Times New Roman" w:cs="Times New Roman"/>
              </w:rPr>
              <w:t xml:space="preserve">All numeric fields should </w:t>
            </w:r>
            <w:r>
              <w:rPr>
                <w:rFonts w:ascii="Times New Roman" w:hAnsi="Times New Roman" w:cs="Times New Roman"/>
              </w:rPr>
              <w:t>use</w:t>
            </w:r>
            <w:r w:rsidRPr="00AB67A9">
              <w:rPr>
                <w:rFonts w:ascii="Times New Roman" w:hAnsi="Times New Roman" w:cs="Times New Roman"/>
              </w:rPr>
              <w:t xml:space="preserve"> the following conventions:</w:t>
            </w:r>
          </w:p>
          <w:p w:rsidR="009B4B21" w:rsidRPr="00AB67A9" w:rsidP="006C7FC5" w14:paraId="519A7F72" w14:textId="72209EFC">
            <w:pPr>
              <w:pStyle w:val="ListParagraph"/>
              <w:numPr>
                <w:ilvl w:val="0"/>
                <w:numId w:val="7"/>
              </w:numPr>
              <w:ind w:left="167" w:hanging="167"/>
              <w:contextualSpacing/>
              <w:rPr>
                <w:rFonts w:ascii="Times New Roman" w:hAnsi="Times New Roman" w:cs="Times New Roman"/>
              </w:rPr>
            </w:pPr>
            <w:r>
              <w:rPr>
                <w:rFonts w:ascii="Times New Roman" w:hAnsi="Times New Roman" w:cs="Times New Roman"/>
              </w:rPr>
              <w:t>Fields</w:t>
            </w:r>
            <w:r w:rsidRPr="00AB67A9">
              <w:rPr>
                <w:rFonts w:ascii="Times New Roman" w:hAnsi="Times New Roman" w:cs="Times New Roman"/>
              </w:rPr>
              <w:t xml:space="preserve"> measured in percent (e.g., interest rate) should be entered with the whole percentage to the left of the decimal </w:t>
            </w:r>
            <w:r w:rsidRPr="00AB67A9">
              <w:rPr>
                <w:rFonts w:ascii="Times New Roman" w:hAnsi="Times New Roman" w:cs="Times New Roman"/>
              </w:rPr>
              <w:t xml:space="preserve">and the fractional amount to the right. </w:t>
            </w:r>
            <w:r w:rsidR="00132EBC">
              <w:rPr>
                <w:rFonts w:ascii="Times New Roman" w:hAnsi="Times New Roman" w:cs="Times New Roman"/>
              </w:rPr>
              <w:t xml:space="preserve"> </w:t>
            </w:r>
            <w:r w:rsidRPr="00AB67A9">
              <w:rPr>
                <w:rFonts w:ascii="Times New Roman" w:hAnsi="Times New Roman" w:cs="Times New Roman"/>
              </w:rPr>
              <w:t xml:space="preserve">Round the fractional amount to 4 decimal places. </w:t>
            </w:r>
          </w:p>
          <w:p w:rsidR="009B4B21" w:rsidRPr="00AB67A9" w:rsidP="009B4B21" w14:paraId="2F181C5F" w14:textId="77777777">
            <w:pPr>
              <w:pStyle w:val="ListParagraph"/>
              <w:numPr>
                <w:ilvl w:val="1"/>
                <w:numId w:val="22"/>
              </w:numPr>
              <w:ind w:left="612"/>
              <w:contextualSpacing/>
              <w:rPr>
                <w:rFonts w:ascii="Times New Roman" w:hAnsi="Times New Roman" w:cs="Times New Roman"/>
              </w:rPr>
            </w:pPr>
            <w:r w:rsidRPr="00AB67A9">
              <w:rPr>
                <w:rFonts w:ascii="Times New Roman" w:hAnsi="Times New Roman" w:cs="Times New Roman"/>
              </w:rPr>
              <w:t>E.g., 3 1/16% should be entered as 3.0625.</w:t>
            </w:r>
          </w:p>
          <w:p w:rsidR="009B4B21" w:rsidRPr="007D6A46" w:rsidP="006C7FC5" w14:paraId="4B0527D3" w14:textId="77777777">
            <w:pPr>
              <w:pStyle w:val="ListParagraph"/>
              <w:numPr>
                <w:ilvl w:val="0"/>
                <w:numId w:val="7"/>
              </w:numPr>
              <w:ind w:left="167" w:hanging="167"/>
              <w:contextualSpacing/>
              <w:rPr>
                <w:rFonts w:ascii="Times New Roman" w:hAnsi="Times New Roman" w:cs="Times New Roman"/>
              </w:rPr>
            </w:pPr>
            <w:r w:rsidRPr="00AB67A9">
              <w:rPr>
                <w:rFonts w:ascii="Times New Roman" w:hAnsi="Times New Roman" w:cs="Times New Roman"/>
              </w:rPr>
              <w:t xml:space="preserve">Non-integer numeric fields should omit </w:t>
            </w:r>
            <w:r>
              <w:rPr>
                <w:rFonts w:ascii="Times New Roman" w:hAnsi="Times New Roman" w:cs="Times New Roman"/>
              </w:rPr>
              <w:t>dollar signs but</w:t>
            </w:r>
            <w:r w:rsidRPr="00AB67A9">
              <w:rPr>
                <w:rFonts w:ascii="Times New Roman" w:hAnsi="Times New Roman" w:cs="Times New Roman"/>
              </w:rPr>
              <w:t xml:space="preserve"> can include </w:t>
            </w:r>
            <w:r>
              <w:rPr>
                <w:rFonts w:ascii="Times New Roman" w:hAnsi="Times New Roman" w:cs="Times New Roman"/>
              </w:rPr>
              <w:t xml:space="preserve">commas and </w:t>
            </w:r>
            <w:r w:rsidRPr="00AB67A9">
              <w:rPr>
                <w:rFonts w:ascii="Times New Roman" w:hAnsi="Times New Roman" w:cs="Times New Roman"/>
              </w:rPr>
              <w:t>decimal points.</w:t>
            </w:r>
          </w:p>
        </w:tc>
      </w:tr>
      <w:tr w14:paraId="3B27DF8D" w14:textId="77777777" w:rsidTr="006C7FC5">
        <w:tblPrEx>
          <w:tblW w:w="0" w:type="auto"/>
          <w:tblLook w:val="04A0"/>
        </w:tblPrEx>
        <w:trPr>
          <w:trHeight w:val="238"/>
        </w:trPr>
        <w:tc>
          <w:tcPr>
            <w:tcW w:w="0" w:type="auto"/>
            <w:tcBorders>
              <w:bottom w:val="single" w:sz="4" w:space="0" w:color="auto"/>
            </w:tcBorders>
          </w:tcPr>
          <w:p w:rsidR="009B4B21" w:rsidP="006C7FC5" w14:paraId="64B9AA3E" w14:textId="77777777">
            <w:pPr>
              <w:rPr>
                <w:rFonts w:ascii="Times New Roman" w:eastAsia="Times New Roman" w:hAnsi="Times New Roman"/>
                <w:color w:val="000000"/>
              </w:rPr>
            </w:pPr>
            <w:r>
              <w:rPr>
                <w:rFonts w:ascii="Times New Roman" w:eastAsia="Times New Roman" w:hAnsi="Times New Roman"/>
                <w:color w:val="000000"/>
              </w:rPr>
              <w:t>SPECIAL CHARACTERS</w:t>
            </w:r>
          </w:p>
        </w:tc>
        <w:tc>
          <w:tcPr>
            <w:tcW w:w="0" w:type="auto"/>
            <w:tcBorders>
              <w:bottom w:val="single" w:sz="4" w:space="0" w:color="auto"/>
            </w:tcBorders>
          </w:tcPr>
          <w:p w:rsidR="009B4B21" w:rsidRPr="00AB67A9" w:rsidP="006C7FC5" w14:paraId="41C4EF94" w14:textId="0AC1C8A9">
            <w:pPr>
              <w:rPr>
                <w:rFonts w:ascii="Times New Roman" w:hAnsi="Times New Roman"/>
              </w:rPr>
            </w:pPr>
            <w:r>
              <w:rPr>
                <w:rFonts w:ascii="Times New Roman" w:hAnsi="Times New Roman"/>
              </w:rPr>
              <w:t xml:space="preserve">Some worksheets like “Variables Used in Models” require credit unions to provide text values for new row and column labels, as applicable. </w:t>
            </w:r>
            <w:r w:rsidR="00132EBC">
              <w:rPr>
                <w:rFonts w:ascii="Times New Roman" w:hAnsi="Times New Roman"/>
              </w:rPr>
              <w:t xml:space="preserve"> </w:t>
            </w:r>
            <w:r>
              <w:rPr>
                <w:rFonts w:ascii="Times New Roman" w:hAnsi="Times New Roman"/>
              </w:rPr>
              <w:t xml:space="preserve">Do not use special characters (e.g., *, </w:t>
            </w:r>
            <w:r>
              <w:rPr>
                <w:rFonts w:ascii="Times New Roman" w:hAnsi="Times New Roman"/>
              </w:rPr>
              <w:t>&amp;,</w:t>
            </w:r>
            <w:r>
              <w:rPr>
                <w:rFonts w:ascii="Times New Roman" w:hAnsi="Times New Roman"/>
              </w:rPr>
              <w:t xml:space="preserve"> etc.) in these cases.</w:t>
            </w:r>
          </w:p>
        </w:tc>
      </w:tr>
    </w:tbl>
    <w:p w:rsidR="009B4B21" w:rsidP="00195967" w14:paraId="067C41C0" w14:textId="6C6B3C8C">
      <w:pPr>
        <w:ind w:left="720" w:hanging="720"/>
        <w:rPr>
          <w:rFonts w:ascii="Times New Roman" w:hAnsi="Times New Roman"/>
        </w:rPr>
      </w:pPr>
    </w:p>
    <w:p w:rsidR="009B4B21" w:rsidP="00132EBC" w14:paraId="23D15102" w14:textId="77777777">
      <w:pPr>
        <w:pStyle w:val="BodyText0"/>
      </w:pPr>
    </w:p>
    <w:p w:rsidR="009B4B21" w:rsidP="009B4B21" w14:paraId="301D913E" w14:textId="77777777">
      <w:pPr>
        <w:pStyle w:val="Heading2"/>
      </w:pPr>
      <w:r>
        <w:t>Ensuring Data Accuracy</w:t>
      </w:r>
    </w:p>
    <w:p w:rsidR="009B4B21" w:rsidP="00132EBC" w14:paraId="7959D75B" w14:textId="2F60D3B2">
      <w:pPr>
        <w:pStyle w:val="BodyText0"/>
        <w:rPr>
          <w:rFonts w:eastAsia="Arial"/>
        </w:rPr>
      </w:pPr>
      <w:r>
        <w:rPr>
          <w:rFonts w:eastAsia="Arial"/>
        </w:rPr>
        <w:t xml:space="preserve">Credit unions are responsible for ensuring the correctness of the data they provide. </w:t>
      </w:r>
      <w:r w:rsidR="00132EBC">
        <w:rPr>
          <w:rFonts w:eastAsia="Arial"/>
        </w:rPr>
        <w:t xml:space="preserve"> </w:t>
      </w:r>
      <w:r>
        <w:rPr>
          <w:rFonts w:eastAsia="Arial"/>
        </w:rPr>
        <w:t xml:space="preserve">To make this easier, the validations in the “Data Validation” worksheet will indicate if the data you enter passes checks designed to ensure several general accounting relationships hold within and between worksheets (e.g., total assets is the sum of its components). </w:t>
      </w:r>
      <w:r w:rsidR="00132EBC">
        <w:rPr>
          <w:rFonts w:eastAsia="Arial"/>
        </w:rPr>
        <w:t xml:space="preserve"> </w:t>
      </w:r>
      <w:r>
        <w:rPr>
          <w:rFonts w:eastAsia="Arial"/>
        </w:rPr>
        <w:t xml:space="preserve">After entering your data, and before submitting your results, review the “Data Validation” worksheet. </w:t>
      </w:r>
      <w:r w:rsidR="00132EBC">
        <w:rPr>
          <w:rFonts w:eastAsia="Arial"/>
        </w:rPr>
        <w:t xml:space="preserve"> </w:t>
      </w:r>
      <w:r>
        <w:rPr>
          <w:rFonts w:eastAsia="Arial"/>
        </w:rPr>
        <w:t xml:space="preserve">The listed checks are performed for each quarter of provided data, and </w:t>
      </w:r>
      <w:r w:rsidR="00132EBC">
        <w:rPr>
          <w:rFonts w:eastAsia="Arial"/>
        </w:rPr>
        <w:t>whether</w:t>
      </w:r>
      <w:r>
        <w:rPr>
          <w:rFonts w:eastAsia="Arial"/>
        </w:rPr>
        <w:t xml:space="preserve"> all quarters passed is indicated in the “All Validations Passed” column.</w:t>
      </w:r>
      <w:r w:rsidR="00132EBC">
        <w:rPr>
          <w:rFonts w:eastAsia="Arial"/>
        </w:rPr>
        <w:t xml:space="preserve"> </w:t>
      </w:r>
      <w:r>
        <w:rPr>
          <w:rFonts w:eastAsia="Arial"/>
        </w:rPr>
        <w:t xml:space="preserve"> If some checks did not pass, review your data. </w:t>
      </w:r>
      <w:r w:rsidR="00132EBC">
        <w:rPr>
          <w:rFonts w:eastAsia="Arial"/>
        </w:rPr>
        <w:t xml:space="preserve"> </w:t>
      </w:r>
      <w:r>
        <w:rPr>
          <w:rFonts w:eastAsia="Arial"/>
        </w:rPr>
        <w:t>Reach out to NCUA before submitting if your data did not pass a check, but you believe it is correct.</w:t>
      </w:r>
    </w:p>
    <w:p w:rsidR="009B4B21" w:rsidP="00132EBC" w14:paraId="06A7A41D" w14:textId="77777777">
      <w:pPr>
        <w:pStyle w:val="BodyText0"/>
        <w:rPr>
          <w:rFonts w:eastAsia="Arial"/>
        </w:rPr>
      </w:pPr>
    </w:p>
    <w:p w:rsidR="009B4B21" w:rsidP="00132EBC" w14:paraId="684FAF4B" w14:textId="77777777">
      <w:pPr>
        <w:pStyle w:val="BodyText0"/>
      </w:pPr>
      <w:r>
        <w:rPr>
          <w:rFonts w:eastAsia="Arial"/>
        </w:rPr>
        <w:t>Once you submit your data, NCUA will run additional internal validations on your data. To ensure the submitted data covers the expected information, as part of this process, the data in the “Most Recent Quarter” column is also validated against the Call Report as applicable.</w:t>
      </w:r>
    </w:p>
    <w:p w:rsidR="009B4B21" w:rsidP="00132EBC" w14:paraId="5404CA61" w14:textId="77777777">
      <w:pPr>
        <w:pStyle w:val="BodyText0"/>
      </w:pPr>
    </w:p>
    <w:p w:rsidR="009B4B21" w:rsidP="009B4B21" w14:paraId="56D4C7EC" w14:textId="77777777">
      <w:pPr>
        <w:pStyle w:val="Heading2"/>
      </w:pPr>
      <w:r>
        <w:t>Reporting Loan Portfolio Data</w:t>
      </w:r>
    </w:p>
    <w:p w:rsidR="009B4B21" w:rsidP="009B4B21" w14:paraId="3C069D06" w14:textId="1A09B55D">
      <w:pPr>
        <w:rPr>
          <w:rFonts w:ascii="Times New Roman" w:hAnsi="Times New Roman"/>
        </w:rPr>
      </w:pPr>
      <w:r>
        <w:rPr>
          <w:rFonts w:ascii="Times New Roman" w:hAnsi="Times New Roman"/>
        </w:rPr>
        <w:t xml:space="preserve">Several worksheets gather information by loan portfolio. </w:t>
      </w:r>
      <w:r w:rsidR="00132EBC">
        <w:rPr>
          <w:rFonts w:ascii="Times New Roman" w:hAnsi="Times New Roman"/>
        </w:rPr>
        <w:t xml:space="preserve"> </w:t>
      </w:r>
      <w:r>
        <w:rPr>
          <w:rFonts w:ascii="Times New Roman" w:hAnsi="Times New Roman"/>
        </w:rPr>
        <w:t>Please observe the following when reporting data by loan portfolio:</w:t>
      </w:r>
    </w:p>
    <w:p w:rsidR="009B4B21" w:rsidP="009B4B21" w14:paraId="64C2C56C" w14:textId="77777777">
      <w:pPr>
        <w:pStyle w:val="ListParagraph"/>
        <w:numPr>
          <w:ilvl w:val="0"/>
          <w:numId w:val="7"/>
        </w:numPr>
        <w:ind w:left="300"/>
        <w:rPr>
          <w:rFonts w:ascii="Times New Roman" w:hAnsi="Times New Roman"/>
        </w:rPr>
      </w:pPr>
      <w:r>
        <w:rPr>
          <w:rFonts w:ascii="Times New Roman" w:hAnsi="Times New Roman"/>
        </w:rPr>
        <w:t>Leave a line blank if your credit union does not have that portfolio.</w:t>
      </w:r>
    </w:p>
    <w:p w:rsidR="009B4B21" w:rsidP="009B4B21" w14:paraId="1F1C9CB3" w14:textId="77777777">
      <w:pPr>
        <w:pStyle w:val="ListParagraph"/>
        <w:numPr>
          <w:ilvl w:val="1"/>
          <w:numId w:val="7"/>
        </w:numPr>
        <w:ind w:left="1020"/>
        <w:rPr>
          <w:rFonts w:ascii="Times New Roman" w:hAnsi="Times New Roman"/>
        </w:rPr>
      </w:pPr>
      <w:r w:rsidRPr="00FC5C1C">
        <w:rPr>
          <w:rFonts w:ascii="Times New Roman" w:hAnsi="Times New Roman"/>
        </w:rPr>
        <w:t xml:space="preserve">For example, if your credit union has a student loan portfolio, provide the requested information in the student loan </w:t>
      </w:r>
      <w:r>
        <w:rPr>
          <w:rFonts w:ascii="Times New Roman" w:hAnsi="Times New Roman"/>
        </w:rPr>
        <w:t>line items</w:t>
      </w:r>
      <w:r w:rsidRPr="00FC5C1C">
        <w:rPr>
          <w:rFonts w:ascii="Times New Roman" w:hAnsi="Times New Roman"/>
        </w:rPr>
        <w:t xml:space="preserve">; </w:t>
      </w:r>
      <w:r>
        <w:rPr>
          <w:rFonts w:ascii="Times New Roman" w:hAnsi="Times New Roman"/>
        </w:rPr>
        <w:t>l</w:t>
      </w:r>
      <w:r w:rsidRPr="00FC5C1C">
        <w:rPr>
          <w:rFonts w:ascii="Times New Roman" w:hAnsi="Times New Roman"/>
        </w:rPr>
        <w:t xml:space="preserve">eave </w:t>
      </w:r>
      <w:r>
        <w:rPr>
          <w:rFonts w:ascii="Times New Roman" w:hAnsi="Times New Roman"/>
        </w:rPr>
        <w:t>those line items blank</w:t>
      </w:r>
      <w:r w:rsidRPr="00FC5C1C">
        <w:rPr>
          <w:rFonts w:ascii="Times New Roman" w:hAnsi="Times New Roman"/>
        </w:rPr>
        <w:t xml:space="preserve"> if your credit union does not have a student loan portfolio.</w:t>
      </w:r>
    </w:p>
    <w:p w:rsidR="009B4B21" w:rsidP="009B4B21" w14:paraId="27B4380D" w14:textId="40BE41D6">
      <w:pPr>
        <w:pStyle w:val="ListParagraph"/>
        <w:numPr>
          <w:ilvl w:val="0"/>
          <w:numId w:val="7"/>
        </w:numPr>
        <w:ind w:left="300"/>
        <w:rPr>
          <w:rFonts w:ascii="Times New Roman" w:hAnsi="Times New Roman"/>
        </w:rPr>
      </w:pPr>
      <w:r>
        <w:rPr>
          <w:rFonts w:ascii="Times New Roman" w:hAnsi="Times New Roman"/>
        </w:rPr>
        <w:t>The line items for 1</w:t>
      </w:r>
      <w:r w:rsidRPr="00EE2F2F">
        <w:rPr>
          <w:rFonts w:ascii="Times New Roman" w:hAnsi="Times New Roman"/>
          <w:vertAlign w:val="superscript"/>
        </w:rPr>
        <w:t>st</w:t>
      </w:r>
      <w:r>
        <w:rPr>
          <w:rFonts w:ascii="Times New Roman" w:hAnsi="Times New Roman"/>
        </w:rPr>
        <w:t xml:space="preserve"> Mortgage Loans and HE and HELOC are intended to capture consumer residential real estate data. </w:t>
      </w:r>
      <w:r w:rsidR="00132EBC">
        <w:rPr>
          <w:rFonts w:ascii="Times New Roman" w:hAnsi="Times New Roman"/>
        </w:rPr>
        <w:t xml:space="preserve"> </w:t>
      </w:r>
      <w:r>
        <w:rPr>
          <w:rFonts w:ascii="Times New Roman" w:hAnsi="Times New Roman"/>
        </w:rPr>
        <w:t>Report all other non-commercial real estate loans/lines of credit in the line items for Other Secured Consumer Loans.</w:t>
      </w:r>
    </w:p>
    <w:p w:rsidR="009B4B21" w:rsidP="009B4B21" w14:paraId="47D706F7" w14:textId="77777777">
      <w:pPr>
        <w:pStyle w:val="ListParagraph"/>
        <w:numPr>
          <w:ilvl w:val="0"/>
          <w:numId w:val="7"/>
        </w:numPr>
        <w:ind w:left="300"/>
        <w:rPr>
          <w:rFonts w:ascii="Times New Roman" w:hAnsi="Times New Roman"/>
        </w:rPr>
      </w:pPr>
      <w:r>
        <w:rPr>
          <w:rFonts w:ascii="Times New Roman" w:hAnsi="Times New Roman"/>
        </w:rPr>
        <w:t>Include auto leases in the line items for Auto Loans.</w:t>
      </w:r>
    </w:p>
    <w:p w:rsidR="009B4B21" w:rsidP="009B4B21" w14:paraId="1F330D12" w14:textId="77777777">
      <w:pPr>
        <w:pStyle w:val="ListParagraph"/>
        <w:numPr>
          <w:ilvl w:val="0"/>
          <w:numId w:val="7"/>
        </w:numPr>
        <w:ind w:left="300"/>
        <w:rPr>
          <w:rFonts w:ascii="Times New Roman" w:hAnsi="Times New Roman"/>
        </w:rPr>
      </w:pPr>
      <w:r w:rsidRPr="00FC5C1C">
        <w:rPr>
          <w:rFonts w:ascii="Times New Roman" w:hAnsi="Times New Roman"/>
        </w:rPr>
        <w:t xml:space="preserve">Report data on commercial loans </w:t>
      </w:r>
      <w:r>
        <w:rPr>
          <w:rFonts w:ascii="Times New Roman" w:hAnsi="Times New Roman"/>
        </w:rPr>
        <w:t>and</w:t>
      </w:r>
      <w:r w:rsidRPr="00FC5C1C">
        <w:rPr>
          <w:rFonts w:ascii="Times New Roman" w:hAnsi="Times New Roman"/>
        </w:rPr>
        <w:t xml:space="preserve"> member business loans in the sections for commercial real estate, </w:t>
      </w:r>
      <w:r>
        <w:rPr>
          <w:rFonts w:ascii="Times New Roman" w:hAnsi="Times New Roman"/>
        </w:rPr>
        <w:t xml:space="preserve">commercial </w:t>
      </w:r>
      <w:r w:rsidRPr="00FC5C1C">
        <w:rPr>
          <w:rFonts w:ascii="Times New Roman" w:hAnsi="Times New Roman"/>
        </w:rPr>
        <w:t>non-real estate, and total commercial loans.</w:t>
      </w:r>
    </w:p>
    <w:p w:rsidR="009B4B21" w:rsidP="009B4B21" w14:paraId="04892F21" w14:textId="77777777">
      <w:pPr>
        <w:pStyle w:val="ListParagraph"/>
        <w:numPr>
          <w:ilvl w:val="0"/>
          <w:numId w:val="7"/>
        </w:numPr>
        <w:ind w:left="300"/>
        <w:rPr>
          <w:rFonts w:ascii="Times New Roman" w:hAnsi="Times New Roman"/>
        </w:rPr>
      </w:pPr>
      <w:r>
        <w:rPr>
          <w:rFonts w:ascii="Times New Roman" w:hAnsi="Times New Roman"/>
        </w:rPr>
        <w:t>Report data for consumer loans not included in another category in the line items for Other Unsecured Consumer Loans, Other Secured Consumer Loans and Other Consumer Loans (Total).</w:t>
      </w:r>
    </w:p>
    <w:p w:rsidR="009B4B21" w:rsidP="009B4B21" w14:paraId="1DE1B253" w14:textId="2C63C929">
      <w:pPr>
        <w:pStyle w:val="ListParagraph"/>
        <w:numPr>
          <w:ilvl w:val="0"/>
          <w:numId w:val="7"/>
        </w:numPr>
        <w:ind w:left="300"/>
        <w:rPr>
          <w:rFonts w:ascii="Times New Roman" w:hAnsi="Times New Roman"/>
        </w:rPr>
      </w:pPr>
      <w:r w:rsidRPr="009D6656">
        <w:rPr>
          <w:rFonts w:ascii="Times New Roman" w:hAnsi="Times New Roman"/>
        </w:rPr>
        <w:t>The templates have line items for Co</w:t>
      </w:r>
      <w:r w:rsidRPr="004C0BFC">
        <w:rPr>
          <w:rFonts w:ascii="Times New Roman" w:hAnsi="Times New Roman"/>
        </w:rPr>
        <w:t>mmercial Loans (Total) and Other Co</w:t>
      </w:r>
      <w:r w:rsidRPr="00E15144">
        <w:rPr>
          <w:rFonts w:ascii="Times New Roman" w:hAnsi="Times New Roman"/>
        </w:rPr>
        <w:t>nsumer Loans (Total), as well as line items for each category’s subcomponents.</w:t>
      </w:r>
      <w:r w:rsidR="00132EBC">
        <w:rPr>
          <w:rFonts w:ascii="Times New Roman" w:hAnsi="Times New Roman"/>
        </w:rPr>
        <w:t xml:space="preserve"> </w:t>
      </w:r>
      <w:r>
        <w:rPr>
          <w:rFonts w:ascii="Times New Roman" w:hAnsi="Times New Roman"/>
        </w:rPr>
        <w:t xml:space="preserve"> Provide the subcomponent data and the totals.</w:t>
      </w:r>
    </w:p>
    <w:p w:rsidR="009B4B21" w:rsidP="009B4B21" w14:paraId="7682C981" w14:textId="77777777">
      <w:pPr>
        <w:pStyle w:val="ListParagraph"/>
        <w:numPr>
          <w:ilvl w:val="1"/>
          <w:numId w:val="7"/>
        </w:numPr>
        <w:ind w:left="1020"/>
        <w:rPr>
          <w:rFonts w:ascii="Times New Roman" w:hAnsi="Times New Roman"/>
        </w:rPr>
      </w:pPr>
      <w:r w:rsidRPr="00FC5C1C">
        <w:rPr>
          <w:rFonts w:ascii="Times New Roman" w:hAnsi="Times New Roman"/>
        </w:rPr>
        <w:t>The Other Consumer Loans (Total) data should be the aggregate of the Other Unsecured Consumer Loans and Other Secured Consumer loan data.</w:t>
      </w:r>
    </w:p>
    <w:p w:rsidR="009B4B21" w:rsidP="009B4B21" w14:paraId="12795247" w14:textId="77777777">
      <w:pPr>
        <w:pStyle w:val="ListParagraph"/>
        <w:numPr>
          <w:ilvl w:val="1"/>
          <w:numId w:val="7"/>
        </w:numPr>
        <w:ind w:left="1020"/>
        <w:rPr>
          <w:rFonts w:ascii="Times New Roman" w:hAnsi="Times New Roman"/>
        </w:rPr>
      </w:pPr>
      <w:r w:rsidRPr="00FC5C1C">
        <w:rPr>
          <w:rFonts w:ascii="Times New Roman" w:hAnsi="Times New Roman"/>
        </w:rPr>
        <w:t>The Commercial Loans (Total) data should be the aggregate of the</w:t>
      </w:r>
      <w:r>
        <w:rPr>
          <w:rFonts w:ascii="Times New Roman" w:hAnsi="Times New Roman"/>
        </w:rPr>
        <w:t xml:space="preserve"> C</w:t>
      </w:r>
      <w:r w:rsidRPr="00FC5C1C">
        <w:rPr>
          <w:rFonts w:ascii="Times New Roman" w:hAnsi="Times New Roman"/>
        </w:rPr>
        <w:t>ommercial Real Estate Loans and Commercial Non-Real Estate Loans data.</w:t>
      </w:r>
    </w:p>
    <w:p w:rsidR="009B4B21" w:rsidP="009B4B21" w14:paraId="53561D5F" w14:textId="77777777">
      <w:pPr>
        <w:pStyle w:val="ListParagraph"/>
        <w:numPr>
          <w:ilvl w:val="0"/>
          <w:numId w:val="7"/>
        </w:numPr>
        <w:ind w:left="300"/>
        <w:rPr>
          <w:rFonts w:ascii="Times New Roman" w:hAnsi="Times New Roman"/>
        </w:rPr>
      </w:pPr>
      <w:r>
        <w:rPr>
          <w:rFonts w:ascii="Times New Roman" w:hAnsi="Times New Roman"/>
        </w:rPr>
        <w:t>The “Loan Details” worksheet has rows at the bottom to provide the results aggregated across all loan portfolios. Make sure to report these aggregate totals.</w:t>
      </w:r>
    </w:p>
    <w:p w:rsidR="009B4B21" w:rsidP="009B4B21" w14:paraId="29B1AC77" w14:textId="77777777">
      <w:pPr>
        <w:rPr>
          <w:rFonts w:ascii="Times New Roman" w:hAnsi="Times New Roman"/>
        </w:rPr>
      </w:pPr>
    </w:p>
    <w:p w:rsidR="009B4B21" w:rsidP="009B4B21" w14:paraId="20321ABD" w14:textId="77777777">
      <w:pPr>
        <w:pStyle w:val="Heading2"/>
      </w:pPr>
      <w:r>
        <w:t>Reporting Derivative Information</w:t>
      </w:r>
    </w:p>
    <w:p w:rsidR="009B4B21" w:rsidP="009B4B21" w14:paraId="3D387F68" w14:textId="77777777">
      <w:pPr>
        <w:rPr>
          <w:rFonts w:ascii="Times New Roman" w:hAnsi="Times New Roman"/>
        </w:rPr>
      </w:pPr>
      <w:r>
        <w:rPr>
          <w:rFonts w:ascii="Times New Roman" w:hAnsi="Times New Roman"/>
        </w:rPr>
        <w:t>For consistency, all credit unions should report the net interest income from their derivative positions in the “Other Interest Income” rows in the “Income Statement” and “NII Details” worksheets.</w:t>
      </w:r>
    </w:p>
    <w:p w:rsidR="009B4B21" w:rsidP="009B4B21" w14:paraId="3B7C7BD8" w14:textId="77777777">
      <w:pPr>
        <w:rPr>
          <w:rFonts w:ascii="Times New Roman" w:hAnsi="Times New Roman"/>
        </w:rPr>
      </w:pPr>
    </w:p>
    <w:p w:rsidR="009B4B21" w:rsidP="009B4B21" w14:paraId="31A7D6C0" w14:textId="3F5374D4">
      <w:pPr>
        <w:rPr>
          <w:rFonts w:ascii="Times New Roman" w:hAnsi="Times New Roman"/>
        </w:rPr>
      </w:pPr>
      <w:r>
        <w:rPr>
          <w:rFonts w:ascii="Times New Roman" w:hAnsi="Times New Roman"/>
        </w:rPr>
        <w:t>Other derivative items should be included in the rows consistent with your treatment on the Call Report.</w:t>
      </w:r>
      <w:r w:rsidR="00132EBC">
        <w:rPr>
          <w:rFonts w:ascii="Times New Roman" w:hAnsi="Times New Roman"/>
        </w:rPr>
        <w:t xml:space="preserve"> </w:t>
      </w:r>
      <w:r>
        <w:rPr>
          <w:rFonts w:ascii="Times New Roman" w:hAnsi="Times New Roman"/>
        </w:rPr>
        <w:t xml:space="preserve"> To aid NCUA in understanding where you have reported the information, please provide the derivative reporting location information requested on the “Overview” worksheet.</w:t>
      </w:r>
    </w:p>
    <w:p w:rsidR="009B4B21" w:rsidRPr="006C7FC5" w:rsidP="009B4B21" w14:paraId="0EE64FF5" w14:textId="77777777">
      <w:pPr>
        <w:rPr>
          <w:rFonts w:ascii="Times New Roman" w:hAnsi="Times New Roman"/>
        </w:rPr>
      </w:pPr>
    </w:p>
    <w:p w:rsidR="009B4B21" w:rsidP="009B4B21" w14:paraId="2511EAE4" w14:textId="02339C24">
      <w:pPr>
        <w:pStyle w:val="Heading2"/>
      </w:pPr>
      <w:r>
        <w:t>Worksheet Specific Instructions</w:t>
      </w:r>
    </w:p>
    <w:p w:rsidR="009B4B21" w:rsidP="00EF0B19" w14:paraId="34961311" w14:textId="16A723B7">
      <w:pPr>
        <w:pStyle w:val="Heading3"/>
      </w:pPr>
      <w:r>
        <w:t>Pricing Assumptions Worksheet</w:t>
      </w:r>
    </w:p>
    <w:p w:rsidR="009B4B21" w:rsidRPr="00FC5C1C" w:rsidP="009B4B21" w14:paraId="7C663B54" w14:textId="5871FED2">
      <w:pPr>
        <w:rPr>
          <w:rFonts w:ascii="Times New Roman" w:hAnsi="Times New Roman"/>
        </w:rPr>
      </w:pPr>
      <w:r w:rsidRPr="00FC5C1C">
        <w:rPr>
          <w:rFonts w:ascii="Times New Roman" w:hAnsi="Times New Roman"/>
        </w:rPr>
        <w:t xml:space="preserve">The pricing assumptions worksheet is designed to provide ONES with context on the pricing assumptions your credit union used in the stress test scenario. </w:t>
      </w:r>
      <w:r w:rsidR="00132EBC">
        <w:rPr>
          <w:rFonts w:ascii="Times New Roman" w:hAnsi="Times New Roman"/>
        </w:rPr>
        <w:t xml:space="preserve"> </w:t>
      </w:r>
      <w:r w:rsidRPr="00FC5C1C">
        <w:rPr>
          <w:rFonts w:ascii="Times New Roman" w:hAnsi="Times New Roman"/>
        </w:rPr>
        <w:t>Each row is designed to capture information about the pric</w:t>
      </w:r>
      <w:r>
        <w:rPr>
          <w:rFonts w:ascii="Times New Roman" w:hAnsi="Times New Roman"/>
        </w:rPr>
        <w:t>ing</w:t>
      </w:r>
      <w:r w:rsidRPr="00FC5C1C">
        <w:rPr>
          <w:rFonts w:ascii="Times New Roman" w:hAnsi="Times New Roman"/>
        </w:rPr>
        <w:t xml:space="preserve"> </w:t>
      </w:r>
      <w:r>
        <w:rPr>
          <w:rFonts w:ascii="Times New Roman" w:hAnsi="Times New Roman"/>
        </w:rPr>
        <w:t>information</w:t>
      </w:r>
      <w:r w:rsidRPr="00FC5C1C">
        <w:rPr>
          <w:rFonts w:ascii="Times New Roman" w:hAnsi="Times New Roman"/>
        </w:rPr>
        <w:t xml:space="preserve"> of a relevant product</w:t>
      </w:r>
      <w:r>
        <w:rPr>
          <w:rFonts w:ascii="Times New Roman" w:hAnsi="Times New Roman"/>
        </w:rPr>
        <w:t xml:space="preserve"> at origination</w:t>
      </w:r>
      <w:r w:rsidRPr="00FC5C1C">
        <w:rPr>
          <w:rFonts w:ascii="Times New Roman" w:hAnsi="Times New Roman"/>
        </w:rPr>
        <w:t xml:space="preserve">. </w:t>
      </w:r>
      <w:r w:rsidR="00132EBC">
        <w:rPr>
          <w:rFonts w:ascii="Times New Roman" w:hAnsi="Times New Roman"/>
        </w:rPr>
        <w:t xml:space="preserve"> </w:t>
      </w:r>
      <w:r w:rsidRPr="00FC5C1C">
        <w:rPr>
          <w:rFonts w:ascii="Times New Roman" w:hAnsi="Times New Roman"/>
        </w:rPr>
        <w:t xml:space="preserve">Provide the data for a row if your credit union used pricing for that product in your stress testing process; otherwise, leave that row blank. </w:t>
      </w:r>
      <w:r w:rsidR="00132EBC">
        <w:rPr>
          <w:rFonts w:ascii="Times New Roman" w:hAnsi="Times New Roman"/>
        </w:rPr>
        <w:t xml:space="preserve"> </w:t>
      </w:r>
      <w:r w:rsidRPr="00FC5C1C">
        <w:rPr>
          <w:rFonts w:ascii="Times New Roman" w:hAnsi="Times New Roman"/>
        </w:rPr>
        <w:t>Add new rows as needed (increment the numeric row ID from the last ID in the worksheet).</w:t>
      </w:r>
    </w:p>
    <w:p w:rsidR="009B4B21" w:rsidRPr="00FC5C1C" w:rsidP="009B4B21" w14:paraId="78FF02A5" w14:textId="77777777">
      <w:pPr>
        <w:rPr>
          <w:rFonts w:ascii="Times New Roman" w:hAnsi="Times New Roman"/>
        </w:rPr>
      </w:pPr>
    </w:p>
    <w:p w:rsidR="009B4B21" w:rsidRPr="00FC5C1C" w:rsidP="00132EBC" w14:paraId="6A155AF7" w14:textId="77777777">
      <w:pPr>
        <w:rPr>
          <w:rFonts w:ascii="Times New Roman" w:hAnsi="Times New Roman"/>
        </w:rPr>
      </w:pPr>
      <w:r w:rsidRPr="00FC5C1C">
        <w:rPr>
          <w:rFonts w:ascii="Times New Roman" w:hAnsi="Times New Roman"/>
        </w:rPr>
        <w:t>Please consider the following when providing data:</w:t>
      </w:r>
    </w:p>
    <w:p w:rsidR="0049751F" w:rsidP="00523A15" w14:paraId="0751CBD4" w14:textId="77777777">
      <w:pPr>
        <w:pStyle w:val="BodyText0"/>
        <w:numPr>
          <w:ilvl w:val="0"/>
          <w:numId w:val="25"/>
        </w:numPr>
        <w:spacing w:before="0"/>
        <w:rPr>
          <w:rFonts w:eastAsia="Arial"/>
        </w:rPr>
      </w:pPr>
      <w:r w:rsidRPr="00EF0B19">
        <w:rPr>
          <w:rFonts w:eastAsia="Arial"/>
        </w:rPr>
        <w:t>Use the pricing benchmark column to indicate the applicable benchmark index that is used to determine a product’s pricing.</w:t>
      </w:r>
    </w:p>
    <w:p w:rsidR="0049751F" w:rsidRPr="00EF0B19" w:rsidP="00523A15" w14:paraId="1596F98E" w14:textId="77777777">
      <w:pPr>
        <w:pStyle w:val="BodyText0"/>
        <w:numPr>
          <w:ilvl w:val="0"/>
          <w:numId w:val="25"/>
        </w:numPr>
        <w:spacing w:before="0"/>
        <w:rPr>
          <w:rFonts w:eastAsia="Arial"/>
        </w:rPr>
      </w:pPr>
      <w:r w:rsidRPr="0049751F">
        <w:t>If a product was priced with a fixed spread relative to the pricing benchmark, provide it in the Pricing Spread column; otherwise, provide the average pricing spread across the scenario time horizon.</w:t>
      </w:r>
    </w:p>
    <w:p w:rsidR="0049751F" w:rsidRPr="00EF0B19" w:rsidP="00523A15" w14:paraId="50138E2E" w14:textId="77777777">
      <w:pPr>
        <w:pStyle w:val="BodyText0"/>
        <w:numPr>
          <w:ilvl w:val="0"/>
          <w:numId w:val="25"/>
        </w:numPr>
        <w:spacing w:before="0"/>
        <w:rPr>
          <w:rFonts w:eastAsia="Arial"/>
        </w:rPr>
      </w:pPr>
      <w:r w:rsidRPr="0049751F">
        <w:t>If applicable, provide the beta used in repricing in the Repricing Beta column.</w:t>
      </w:r>
    </w:p>
    <w:p w:rsidR="0049751F" w:rsidRPr="00EF0B19" w:rsidP="00523A15" w14:paraId="2D3A4757" w14:textId="66A3C66D">
      <w:pPr>
        <w:pStyle w:val="BodyText0"/>
        <w:numPr>
          <w:ilvl w:val="0"/>
          <w:numId w:val="25"/>
        </w:numPr>
        <w:spacing w:before="0"/>
        <w:rPr>
          <w:rFonts w:eastAsia="Arial"/>
        </w:rPr>
      </w:pPr>
      <w:r w:rsidRPr="0049751F">
        <w:t xml:space="preserve">Report a product’s pricing assumptions in levels in columns H through Q (do </w:t>
      </w:r>
      <w:r w:rsidRPr="0049751F">
        <w:t xml:space="preserve">not report the pricing spread in these columns). </w:t>
      </w:r>
      <w:r w:rsidR="00132EBC">
        <w:t xml:space="preserve"> </w:t>
      </w:r>
      <w:r w:rsidRPr="0049751F">
        <w:t>The value reported in a column should reflect pricing assumptions for originations in that quarterly period.</w:t>
      </w:r>
    </w:p>
    <w:p w:rsidR="009B4B21" w:rsidRPr="00EF0B19" w:rsidP="00523A15" w14:paraId="2B12AE11" w14:textId="243EDD31">
      <w:pPr>
        <w:pStyle w:val="BodyText0"/>
        <w:numPr>
          <w:ilvl w:val="0"/>
          <w:numId w:val="25"/>
        </w:numPr>
        <w:spacing w:before="0"/>
        <w:rPr>
          <w:rFonts w:eastAsia="Arial"/>
        </w:rPr>
      </w:pPr>
      <w:r w:rsidRPr="0049751F">
        <w:t xml:space="preserve">For example, new variable rate first mortgages are priced as a spread to </w:t>
      </w:r>
      <w:r w:rsidRPr="0049751F" w:rsidR="0049751F">
        <w:t>5</w:t>
      </w:r>
      <w:r w:rsidR="0049751F">
        <w:t>-year</w:t>
      </w:r>
      <w:r w:rsidRPr="0049751F">
        <w:t xml:space="preserve"> treasuries. </w:t>
      </w:r>
      <w:r w:rsidR="00132EBC">
        <w:t xml:space="preserve"> </w:t>
      </w:r>
      <w:r w:rsidRPr="0049751F">
        <w:t>If 5-year treasuries have a rate of 4.25 percent and the spread is 2.00 percent, the total rate of 6.25 percent would be reported for that quarter.</w:t>
      </w:r>
    </w:p>
    <w:p w:rsidR="009B4B21" w:rsidP="00EF0B19" w14:paraId="228BE96F" w14:textId="77777777">
      <w:pPr>
        <w:pStyle w:val="Heading3"/>
      </w:pPr>
      <w:r>
        <w:t>Variables Used in Models Worksheet</w:t>
      </w:r>
    </w:p>
    <w:p w:rsidR="009B4B21" w:rsidRPr="002E356A" w:rsidP="009B4B21" w14:paraId="6C87188B" w14:textId="7AF84D76">
      <w:pPr>
        <w:rPr>
          <w:rFonts w:ascii="Times New Roman" w:eastAsia="Times New Roman" w:hAnsi="Times New Roman"/>
          <w:color w:val="000000"/>
        </w:rPr>
      </w:pPr>
      <w:r w:rsidRPr="002E356A">
        <w:rPr>
          <w:rFonts w:ascii="Times New Roman" w:eastAsia="Times New Roman" w:hAnsi="Times New Roman"/>
          <w:color w:val="000000"/>
        </w:rPr>
        <w:t xml:space="preserve">This worksheet provides a mapping between the models used in your self-run stress test and their input variables. </w:t>
      </w:r>
      <w:r w:rsidR="00132EBC">
        <w:rPr>
          <w:rFonts w:ascii="Times New Roman" w:eastAsia="Times New Roman" w:hAnsi="Times New Roman"/>
          <w:color w:val="000000"/>
        </w:rPr>
        <w:t xml:space="preserve"> </w:t>
      </w:r>
      <w:r w:rsidRPr="002E356A">
        <w:rPr>
          <w:rFonts w:ascii="Times New Roman" w:eastAsia="Times New Roman" w:hAnsi="Times New Roman"/>
          <w:color w:val="000000"/>
        </w:rPr>
        <w:t xml:space="preserve">List all </w:t>
      </w:r>
      <w:r>
        <w:rPr>
          <w:rFonts w:ascii="Times New Roman" w:eastAsia="Times New Roman" w:hAnsi="Times New Roman"/>
          <w:color w:val="000000"/>
        </w:rPr>
        <w:t xml:space="preserve">material </w:t>
      </w:r>
      <w:r w:rsidRPr="002E356A">
        <w:rPr>
          <w:rFonts w:ascii="Times New Roman" w:eastAsia="Times New Roman" w:hAnsi="Times New Roman"/>
          <w:color w:val="000000"/>
        </w:rPr>
        <w:t>models</w:t>
      </w:r>
      <w:r>
        <w:rPr>
          <w:rFonts w:ascii="Times New Roman" w:eastAsia="Times New Roman" w:hAnsi="Times New Roman"/>
          <w:color w:val="000000"/>
        </w:rPr>
        <w:t xml:space="preserve">, as new rows in the worksheet. </w:t>
      </w:r>
      <w:r w:rsidR="00132EBC">
        <w:rPr>
          <w:rFonts w:ascii="Times New Roman" w:eastAsia="Times New Roman" w:hAnsi="Times New Roman"/>
          <w:color w:val="000000"/>
        </w:rPr>
        <w:t xml:space="preserve"> </w:t>
      </w:r>
      <w:r>
        <w:rPr>
          <w:rFonts w:ascii="Times New Roman" w:eastAsia="Times New Roman" w:hAnsi="Times New Roman"/>
          <w:color w:val="000000"/>
        </w:rPr>
        <w:t xml:space="preserve">If any variables other than the NCUA provided scenario variables are used as input to your models, follow the instructions below to add new columns to this worksheet. </w:t>
      </w:r>
      <w:r w:rsidR="00132EBC">
        <w:rPr>
          <w:rFonts w:ascii="Times New Roman" w:eastAsia="Times New Roman" w:hAnsi="Times New Roman"/>
          <w:color w:val="000000"/>
        </w:rPr>
        <w:t xml:space="preserve"> </w:t>
      </w:r>
      <w:r>
        <w:rPr>
          <w:rFonts w:ascii="Times New Roman" w:eastAsia="Times New Roman" w:hAnsi="Times New Roman"/>
          <w:color w:val="000000"/>
        </w:rPr>
        <w:t>Also provide the time series of values for these additional variables in the “</w:t>
      </w:r>
      <w:hyperlink w:anchor="_Additional_Scenario_Variables" w:history="1">
        <w:r w:rsidRPr="002E356A">
          <w:rPr>
            <w:rStyle w:val="Hyperlink"/>
            <w:rFonts w:ascii="Times New Roman" w:eastAsia="Times New Roman" w:hAnsi="Times New Roman"/>
          </w:rPr>
          <w:t>Additional Scenario Variables</w:t>
        </w:r>
      </w:hyperlink>
      <w:r>
        <w:rPr>
          <w:rStyle w:val="Hyperlink"/>
          <w:rFonts w:ascii="Times New Roman" w:eastAsia="Times New Roman" w:hAnsi="Times New Roman"/>
        </w:rPr>
        <w:t>”</w:t>
      </w:r>
      <w:r>
        <w:rPr>
          <w:rFonts w:ascii="Times New Roman" w:eastAsia="Times New Roman" w:hAnsi="Times New Roman"/>
          <w:color w:val="000000"/>
        </w:rPr>
        <w:t xml:space="preserve"> worksheet.</w:t>
      </w:r>
    </w:p>
    <w:p w:rsidR="009B4B21" w:rsidRPr="002E356A" w:rsidP="009B4B21" w14:paraId="15C588CE" w14:textId="77777777">
      <w:pPr>
        <w:rPr>
          <w:rFonts w:ascii="Times New Roman" w:eastAsia="Times New Roman" w:hAnsi="Times New Roman"/>
          <w:color w:val="000000"/>
        </w:rPr>
      </w:pPr>
    </w:p>
    <w:p w:rsidR="009B4B21" w:rsidP="009B4B21" w14:paraId="561E077F" w14:textId="434740BB">
      <w:pPr>
        <w:rPr>
          <w:rFonts w:ascii="Times New Roman" w:eastAsia="Times New Roman" w:hAnsi="Times New Roman"/>
          <w:color w:val="000000"/>
        </w:rPr>
      </w:pPr>
      <w:r>
        <w:rPr>
          <w:rFonts w:ascii="Times New Roman" w:eastAsia="Times New Roman" w:hAnsi="Times New Roman"/>
          <w:color w:val="000000"/>
        </w:rPr>
        <w:t>Each row in the worksheet</w:t>
      </w:r>
      <w:r w:rsidRPr="002E356A">
        <w:rPr>
          <w:rFonts w:ascii="Times New Roman" w:eastAsia="Times New Roman" w:hAnsi="Times New Roman"/>
          <w:color w:val="000000"/>
        </w:rPr>
        <w:t xml:space="preserve"> correspond</w:t>
      </w:r>
      <w:r w:rsidR="00325BA1">
        <w:rPr>
          <w:rFonts w:ascii="Times New Roman" w:eastAsia="Times New Roman" w:hAnsi="Times New Roman"/>
          <w:color w:val="000000"/>
        </w:rPr>
        <w:t>s</w:t>
      </w:r>
      <w:r w:rsidRPr="002E356A">
        <w:rPr>
          <w:rFonts w:ascii="Times New Roman" w:eastAsia="Times New Roman" w:hAnsi="Times New Roman"/>
          <w:color w:val="000000"/>
        </w:rPr>
        <w:t xml:space="preserve"> to a given model.</w:t>
      </w:r>
      <w:r w:rsidR="00132EBC">
        <w:rPr>
          <w:rFonts w:ascii="Times New Roman" w:eastAsia="Times New Roman" w:hAnsi="Times New Roman"/>
          <w:color w:val="000000"/>
        </w:rPr>
        <w:t xml:space="preserve"> </w:t>
      </w:r>
      <w:r w:rsidRPr="002E356A">
        <w:rPr>
          <w:rFonts w:ascii="Times New Roman" w:eastAsia="Times New Roman" w:hAnsi="Times New Roman"/>
          <w:color w:val="000000"/>
        </w:rPr>
        <w:t xml:space="preserve"> Use the Model Name, Portfolio and Output fields to provide ONES with context about each model.</w:t>
      </w:r>
      <w:r>
        <w:rPr>
          <w:rFonts w:ascii="Times New Roman" w:eastAsia="Times New Roman" w:hAnsi="Times New Roman"/>
          <w:color w:val="000000"/>
        </w:rPr>
        <w:t xml:space="preserve"> </w:t>
      </w:r>
      <w:r w:rsidR="00132EBC">
        <w:rPr>
          <w:rFonts w:ascii="Times New Roman" w:eastAsia="Times New Roman" w:hAnsi="Times New Roman"/>
          <w:color w:val="000000"/>
        </w:rPr>
        <w:t xml:space="preserve"> </w:t>
      </w:r>
      <w:r>
        <w:rPr>
          <w:rFonts w:ascii="Times New Roman" w:eastAsia="Times New Roman" w:hAnsi="Times New Roman"/>
          <w:color w:val="000000"/>
        </w:rPr>
        <w:t>The “Development Team Description” and “Development Dataset Description” columns are designed to gather brief information about the models. Please provide information as follows:</w:t>
      </w:r>
    </w:p>
    <w:p w:rsidR="009B4B21" w:rsidP="009B4B21" w14:paraId="591289F9" w14:textId="54C67F7E">
      <w:pPr>
        <w:pStyle w:val="ListParagraph"/>
        <w:numPr>
          <w:ilvl w:val="0"/>
          <w:numId w:val="15"/>
        </w:numPr>
        <w:rPr>
          <w:rFonts w:ascii="Times New Roman" w:eastAsia="Times New Roman" w:hAnsi="Times New Roman"/>
          <w:color w:val="000000"/>
        </w:rPr>
      </w:pPr>
      <w:r>
        <w:rPr>
          <w:rFonts w:ascii="Times New Roman" w:eastAsia="Times New Roman" w:hAnsi="Times New Roman"/>
          <w:color w:val="000000"/>
        </w:rPr>
        <w:t xml:space="preserve">Development Team Description: indicate a brief description of the group responsible for developing the model. </w:t>
      </w:r>
      <w:r w:rsidR="00132EBC">
        <w:rPr>
          <w:rFonts w:ascii="Times New Roman" w:eastAsia="Times New Roman" w:hAnsi="Times New Roman"/>
          <w:color w:val="000000"/>
        </w:rPr>
        <w:t xml:space="preserve"> </w:t>
      </w:r>
      <w:r>
        <w:rPr>
          <w:rFonts w:ascii="Times New Roman" w:eastAsia="Times New Roman" w:hAnsi="Times New Roman"/>
          <w:color w:val="000000"/>
        </w:rPr>
        <w:t>If the model was developed externally, provide the name of the external vendor.</w:t>
      </w:r>
    </w:p>
    <w:p w:rsidR="009B4B21" w:rsidRPr="006C7FC5" w:rsidP="009B4B21" w14:paraId="3743F272" w14:textId="1096796A">
      <w:pPr>
        <w:pStyle w:val="ListParagraph"/>
        <w:numPr>
          <w:ilvl w:val="0"/>
          <w:numId w:val="15"/>
        </w:numPr>
        <w:rPr>
          <w:rFonts w:ascii="Times New Roman" w:eastAsia="Times New Roman" w:hAnsi="Times New Roman"/>
          <w:color w:val="000000"/>
        </w:rPr>
      </w:pPr>
      <w:r>
        <w:rPr>
          <w:rFonts w:ascii="Times New Roman" w:eastAsia="Times New Roman" w:hAnsi="Times New Roman"/>
          <w:color w:val="000000"/>
        </w:rPr>
        <w:t xml:space="preserve">Development Dataset Description: provide a brief description of the data used to develop the model. </w:t>
      </w:r>
      <w:r w:rsidR="00132EBC">
        <w:rPr>
          <w:rFonts w:ascii="Times New Roman" w:eastAsia="Times New Roman" w:hAnsi="Times New Roman"/>
          <w:color w:val="000000"/>
        </w:rPr>
        <w:t xml:space="preserve"> </w:t>
      </w:r>
      <w:r>
        <w:rPr>
          <w:rFonts w:ascii="Times New Roman" w:eastAsia="Times New Roman" w:hAnsi="Times New Roman"/>
          <w:color w:val="000000"/>
        </w:rPr>
        <w:t>The description should indicate the source and granularity of the data, as well as the years covered.</w:t>
      </w:r>
      <w:r w:rsidR="00132EBC">
        <w:rPr>
          <w:rFonts w:ascii="Times New Roman" w:eastAsia="Times New Roman" w:hAnsi="Times New Roman"/>
          <w:color w:val="000000"/>
        </w:rPr>
        <w:t xml:space="preserve"> </w:t>
      </w:r>
      <w:r>
        <w:rPr>
          <w:rFonts w:ascii="Times New Roman" w:eastAsia="Times New Roman" w:hAnsi="Times New Roman"/>
          <w:color w:val="000000"/>
        </w:rPr>
        <w:t xml:space="preserve"> If the model was externally developed, provide the same general information about the data used by your vendor to develop the model.</w:t>
      </w:r>
    </w:p>
    <w:p w:rsidR="009B4B21" w:rsidP="009B4B21" w14:paraId="44B8C2D9" w14:textId="77777777">
      <w:pPr>
        <w:rPr>
          <w:rFonts w:ascii="Times New Roman" w:eastAsia="Times New Roman" w:hAnsi="Times New Roman"/>
          <w:color w:val="000000"/>
        </w:rPr>
      </w:pPr>
    </w:p>
    <w:p w:rsidR="009B4B21" w:rsidP="009B4B21" w14:paraId="7F17EAF3" w14:textId="0BA97D43">
      <w:pPr>
        <w:rPr>
          <w:rFonts w:ascii="Times New Roman" w:eastAsia="Times New Roman" w:hAnsi="Times New Roman"/>
          <w:color w:val="000000"/>
        </w:rPr>
      </w:pPr>
      <w:r w:rsidRPr="002E356A">
        <w:rPr>
          <w:rFonts w:ascii="Times New Roman" w:eastAsia="Times New Roman" w:hAnsi="Times New Roman"/>
          <w:color w:val="000000"/>
        </w:rPr>
        <w:t xml:space="preserve">Columns from </w:t>
      </w:r>
      <w:r>
        <w:rPr>
          <w:rFonts w:ascii="Times New Roman" w:eastAsia="Times New Roman" w:hAnsi="Times New Roman"/>
          <w:color w:val="000000"/>
        </w:rPr>
        <w:t>G</w:t>
      </w:r>
      <w:r w:rsidRPr="002E356A">
        <w:rPr>
          <w:rFonts w:ascii="Times New Roman" w:eastAsia="Times New Roman" w:hAnsi="Times New Roman"/>
          <w:color w:val="000000"/>
        </w:rPr>
        <w:t xml:space="preserve"> (Real GDP Growth) onward correspond to macroeconomic variables from the ONES provided scenarios. </w:t>
      </w:r>
      <w:r w:rsidR="002413F1">
        <w:rPr>
          <w:rFonts w:ascii="Times New Roman" w:eastAsia="Times New Roman" w:hAnsi="Times New Roman"/>
          <w:color w:val="000000"/>
        </w:rPr>
        <w:t xml:space="preserve"> </w:t>
      </w:r>
      <w:r w:rsidRPr="002E356A">
        <w:rPr>
          <w:rFonts w:ascii="Times New Roman" w:eastAsia="Times New Roman" w:hAnsi="Times New Roman"/>
          <w:color w:val="000000"/>
        </w:rPr>
        <w:t>If your credit union</w:t>
      </w:r>
      <w:r>
        <w:rPr>
          <w:rFonts w:ascii="Times New Roman" w:eastAsia="Times New Roman" w:hAnsi="Times New Roman"/>
          <w:color w:val="000000"/>
        </w:rPr>
        <w:t>’s stress testing process relied on the projection of</w:t>
      </w:r>
      <w:r w:rsidRPr="002E356A">
        <w:rPr>
          <w:rFonts w:ascii="Times New Roman" w:eastAsia="Times New Roman" w:hAnsi="Times New Roman"/>
          <w:color w:val="000000"/>
        </w:rPr>
        <w:t xml:space="preserve"> additional variables (conditional on the ONES scenario</w:t>
      </w:r>
      <w:r>
        <w:rPr>
          <w:rFonts w:ascii="Times New Roman" w:eastAsia="Times New Roman" w:hAnsi="Times New Roman"/>
          <w:color w:val="000000"/>
        </w:rPr>
        <w:t xml:space="preserve"> variable</w:t>
      </w:r>
      <w:r w:rsidRPr="002E356A">
        <w:rPr>
          <w:rFonts w:ascii="Times New Roman" w:eastAsia="Times New Roman" w:hAnsi="Times New Roman"/>
          <w:color w:val="000000"/>
        </w:rPr>
        <w:t xml:space="preserve">s) </w:t>
      </w:r>
      <w:r>
        <w:rPr>
          <w:rFonts w:ascii="Times New Roman" w:eastAsia="Times New Roman" w:hAnsi="Times New Roman"/>
          <w:color w:val="000000"/>
        </w:rPr>
        <w:t xml:space="preserve">or used projections of other variables from a vendor, </w:t>
      </w:r>
      <w:r w:rsidRPr="002E356A">
        <w:rPr>
          <w:rFonts w:ascii="Times New Roman" w:eastAsia="Times New Roman" w:hAnsi="Times New Roman"/>
          <w:color w:val="000000"/>
        </w:rPr>
        <w:t xml:space="preserve">you should add new variables </w:t>
      </w:r>
      <w:r>
        <w:rPr>
          <w:rFonts w:ascii="Times New Roman" w:eastAsia="Times New Roman" w:hAnsi="Times New Roman"/>
          <w:color w:val="000000"/>
        </w:rPr>
        <w:t xml:space="preserve">to the worksheet </w:t>
      </w:r>
      <w:r w:rsidRPr="002E356A">
        <w:rPr>
          <w:rFonts w:ascii="Times New Roman" w:eastAsia="Times New Roman" w:hAnsi="Times New Roman"/>
          <w:color w:val="000000"/>
        </w:rPr>
        <w:t xml:space="preserve">starting with column </w:t>
      </w:r>
      <w:r>
        <w:rPr>
          <w:rFonts w:ascii="Times New Roman" w:eastAsia="Times New Roman" w:hAnsi="Times New Roman"/>
          <w:color w:val="000000"/>
        </w:rPr>
        <w:t>W</w:t>
      </w:r>
      <w:r w:rsidRPr="002E356A">
        <w:rPr>
          <w:rFonts w:ascii="Times New Roman" w:eastAsia="Times New Roman" w:hAnsi="Times New Roman"/>
          <w:color w:val="000000"/>
        </w:rPr>
        <w:t xml:space="preserve"> (follow the general table structure with the column label in row 3). </w:t>
      </w:r>
      <w:r w:rsidR="002413F1">
        <w:rPr>
          <w:rFonts w:ascii="Times New Roman" w:eastAsia="Times New Roman" w:hAnsi="Times New Roman"/>
          <w:color w:val="000000"/>
        </w:rPr>
        <w:t xml:space="preserve"> </w:t>
      </w:r>
      <w:r>
        <w:rPr>
          <w:rFonts w:ascii="Times New Roman" w:eastAsia="Times New Roman" w:hAnsi="Times New Roman"/>
          <w:color w:val="000000"/>
        </w:rPr>
        <w:t xml:space="preserve">For any variables that were projected internally or by a vendor, </w:t>
      </w:r>
      <w:r w:rsidRPr="00BF2F4E">
        <w:rPr>
          <w:rFonts w:ascii="Times New Roman" w:eastAsia="Times New Roman" w:hAnsi="Times New Roman"/>
          <w:color w:val="000000"/>
        </w:rPr>
        <w:t>make sure to also include the model used to make this projection as one of the rows in this worksheet.</w:t>
      </w:r>
      <w:r>
        <w:rPr>
          <w:rFonts w:ascii="Times New Roman" w:eastAsia="Times New Roman" w:hAnsi="Times New Roman"/>
          <w:color w:val="000000"/>
        </w:rPr>
        <w:t xml:space="preserve"> </w:t>
      </w:r>
      <w:r w:rsidR="002413F1">
        <w:rPr>
          <w:rFonts w:ascii="Times New Roman" w:eastAsia="Times New Roman" w:hAnsi="Times New Roman"/>
          <w:color w:val="000000"/>
        </w:rPr>
        <w:t xml:space="preserve"> </w:t>
      </w:r>
      <w:r>
        <w:rPr>
          <w:rFonts w:ascii="Times New Roman" w:eastAsia="Times New Roman" w:hAnsi="Times New Roman"/>
          <w:color w:val="000000"/>
        </w:rPr>
        <w:t>Any variable added as a column in this worksheet should also be added as a row in the “Additional Scenario Variables” worksheet.</w:t>
      </w:r>
    </w:p>
    <w:p w:rsidR="009B4B21" w:rsidRPr="002E356A" w:rsidP="009B4B21" w14:paraId="539D709A" w14:textId="77777777">
      <w:pPr>
        <w:rPr>
          <w:rFonts w:ascii="Times New Roman" w:eastAsia="Times New Roman" w:hAnsi="Times New Roman"/>
          <w:color w:val="000000"/>
        </w:rPr>
      </w:pPr>
    </w:p>
    <w:p w:rsidR="009B4B21" w:rsidP="009B4B21" w14:paraId="59F59564" w14:textId="68A63C34">
      <w:pPr>
        <w:rPr>
          <w:rFonts w:ascii="Times New Roman" w:eastAsia="Times New Roman" w:hAnsi="Times New Roman"/>
          <w:color w:val="000000"/>
        </w:rPr>
      </w:pPr>
      <w:r w:rsidRPr="002E356A">
        <w:rPr>
          <w:rFonts w:ascii="Times New Roman" w:eastAsia="Times New Roman" w:hAnsi="Times New Roman"/>
          <w:color w:val="000000"/>
        </w:rPr>
        <w:t xml:space="preserve">Each cell in the table should be populated with a Y </w:t>
      </w:r>
      <w:r w:rsidRPr="00BF2F4E">
        <w:rPr>
          <w:rFonts w:ascii="Times New Roman" w:eastAsia="Times New Roman" w:hAnsi="Times New Roman"/>
          <w:color w:val="000000"/>
        </w:rPr>
        <w:t xml:space="preserve">if the variable in that column was used in the model denoted by that row; otherwise, </w:t>
      </w:r>
      <w:r>
        <w:rPr>
          <w:rFonts w:ascii="Times New Roman" w:eastAsia="Times New Roman" w:hAnsi="Times New Roman"/>
          <w:color w:val="000000"/>
        </w:rPr>
        <w:t>leave it blank</w:t>
      </w:r>
      <w:r w:rsidRPr="00BF2F4E">
        <w:rPr>
          <w:rFonts w:ascii="Times New Roman" w:eastAsia="Times New Roman" w:hAnsi="Times New Roman"/>
          <w:color w:val="000000"/>
        </w:rPr>
        <w:t xml:space="preserve">. </w:t>
      </w:r>
    </w:p>
    <w:p w:rsidR="002413F1" w:rsidP="009B4B21" w14:paraId="4C60747A" w14:textId="77777777">
      <w:pPr>
        <w:rPr>
          <w:rFonts w:ascii="Times New Roman" w:eastAsia="Times New Roman" w:hAnsi="Times New Roman"/>
          <w:color w:val="000000"/>
        </w:rPr>
      </w:pPr>
    </w:p>
    <w:p w:rsidR="009B4B21" w:rsidP="00EF0B19" w14:paraId="345380F0" w14:textId="77777777">
      <w:pPr>
        <w:pStyle w:val="Heading3"/>
      </w:pPr>
      <w:bookmarkStart w:id="3" w:name="_Additional_Scenario_Variables"/>
      <w:bookmarkEnd w:id="3"/>
      <w:r>
        <w:t>Additional Scenario Variables Worksheet</w:t>
      </w:r>
    </w:p>
    <w:p w:rsidR="009B4B21" w:rsidP="009B4B21" w14:paraId="028641D2" w14:textId="5F1215AE">
      <w:pPr>
        <w:rPr>
          <w:rFonts w:ascii="Times New Roman" w:eastAsia="Times New Roman" w:hAnsi="Times New Roman"/>
          <w:color w:val="000000"/>
        </w:rPr>
      </w:pPr>
      <w:r>
        <w:rPr>
          <w:rFonts w:ascii="Times New Roman" w:eastAsia="Times New Roman" w:hAnsi="Times New Roman"/>
          <w:color w:val="000000"/>
        </w:rPr>
        <w:t xml:space="preserve">Report the quarterly timeseries of values for any variables used by your internal stress testing models that are not provided as part of the NCUA specified scenario in this worksheet. </w:t>
      </w:r>
      <w:r w:rsidR="002413F1">
        <w:rPr>
          <w:rFonts w:ascii="Times New Roman" w:eastAsia="Times New Roman" w:hAnsi="Times New Roman"/>
          <w:color w:val="000000"/>
        </w:rPr>
        <w:t xml:space="preserve"> </w:t>
      </w:r>
      <w:r>
        <w:rPr>
          <w:rFonts w:ascii="Times New Roman" w:eastAsia="Times New Roman" w:hAnsi="Times New Roman"/>
          <w:color w:val="000000"/>
        </w:rPr>
        <w:t xml:space="preserve">Any variable included as a row in this worksheet should also be added as a column in the </w:t>
      </w:r>
      <w:r w:rsidR="004451AB">
        <w:rPr>
          <w:rFonts w:ascii="Times New Roman" w:eastAsia="Times New Roman" w:hAnsi="Times New Roman"/>
          <w:color w:val="000000"/>
        </w:rPr>
        <w:t>“</w:t>
      </w:r>
      <w:hyperlink w:anchor="_Variables_Used_in" w:history="1">
        <w:r>
          <w:rPr>
            <w:rStyle w:val="Hyperlink"/>
            <w:rFonts w:ascii="Times New Roman" w:eastAsia="Times New Roman" w:hAnsi="Times New Roman"/>
          </w:rPr>
          <w:t>Variables Used in Models</w:t>
        </w:r>
      </w:hyperlink>
      <w:r w:rsidR="004451AB">
        <w:rPr>
          <w:rStyle w:val="Hyperlink"/>
          <w:rFonts w:ascii="Times New Roman" w:eastAsia="Times New Roman" w:hAnsi="Times New Roman"/>
        </w:rPr>
        <w:t>”</w:t>
      </w:r>
      <w:r>
        <w:rPr>
          <w:rFonts w:ascii="Times New Roman" w:eastAsia="Times New Roman" w:hAnsi="Times New Roman"/>
          <w:color w:val="000000"/>
        </w:rPr>
        <w:t xml:space="preserve"> worksheet (also indicate the models it was used in by marking the appropriate cells with a Y).</w:t>
      </w:r>
    </w:p>
    <w:p w:rsidR="009B4B21" w:rsidP="009B4B21" w14:paraId="7397C577" w14:textId="77777777">
      <w:pPr>
        <w:rPr>
          <w:rFonts w:ascii="Times New Roman" w:eastAsia="Times New Roman" w:hAnsi="Times New Roman"/>
          <w:color w:val="000000"/>
        </w:rPr>
      </w:pPr>
    </w:p>
    <w:p w:rsidR="009B4B21" w:rsidRPr="00D907DD" w:rsidP="009B4B21" w14:paraId="207F5E92" w14:textId="46EE741B">
      <w:pPr>
        <w:rPr>
          <w:rFonts w:ascii="Times New Roman" w:eastAsia="Times New Roman" w:hAnsi="Times New Roman"/>
          <w:color w:val="000000"/>
        </w:rPr>
      </w:pPr>
      <w:r>
        <w:rPr>
          <w:rFonts w:ascii="Times New Roman" w:eastAsia="Times New Roman" w:hAnsi="Times New Roman"/>
          <w:color w:val="000000"/>
        </w:rPr>
        <w:t xml:space="preserve">Each row in the worksheet corresponds to a given variable. </w:t>
      </w:r>
      <w:r w:rsidR="002413F1">
        <w:rPr>
          <w:rFonts w:ascii="Times New Roman" w:eastAsia="Times New Roman" w:hAnsi="Times New Roman"/>
          <w:color w:val="000000"/>
        </w:rPr>
        <w:t xml:space="preserve"> </w:t>
      </w:r>
      <w:r>
        <w:rPr>
          <w:rFonts w:ascii="Times New Roman" w:eastAsia="Times New Roman" w:hAnsi="Times New Roman"/>
          <w:color w:val="000000"/>
        </w:rPr>
        <w:t xml:space="preserve">Make sure to provide the variable’s name, units, and source (e.g., name of internal model or vendor that projected the variable) of the variable in columns B, C, D. </w:t>
      </w:r>
      <w:r w:rsidR="002413F1">
        <w:rPr>
          <w:rFonts w:ascii="Times New Roman" w:eastAsia="Times New Roman" w:hAnsi="Times New Roman"/>
          <w:color w:val="000000"/>
        </w:rPr>
        <w:t xml:space="preserve"> </w:t>
      </w:r>
      <w:r>
        <w:rPr>
          <w:rFonts w:ascii="Times New Roman" w:eastAsia="Times New Roman" w:hAnsi="Times New Roman"/>
          <w:color w:val="000000"/>
        </w:rPr>
        <w:t>If you used more than 20 variables that were not provided by NCUA, add new rows below the others and populate the ID column in addition to the variable’s name and units (ID for new rows should start at 21 and increment by one for each row added).</w:t>
      </w:r>
    </w:p>
    <w:p w:rsidR="009B4B21" w:rsidP="009B4B21" w14:paraId="515BC6A7" w14:textId="77777777">
      <w:pPr>
        <w:rPr>
          <w:rFonts w:ascii="Times New Roman" w:eastAsia="Times New Roman" w:hAnsi="Times New Roman"/>
          <w:color w:val="000000"/>
        </w:rPr>
      </w:pPr>
    </w:p>
    <w:p w:rsidR="009B4B21" w:rsidP="009B4B21" w14:paraId="48E0D6AD" w14:textId="4B4FFF00">
      <w:pPr>
        <w:rPr>
          <w:rFonts w:ascii="Times New Roman" w:eastAsia="Times New Roman" w:hAnsi="Times New Roman"/>
          <w:color w:val="000000"/>
        </w:rPr>
      </w:pPr>
      <w:r>
        <w:rPr>
          <w:rFonts w:ascii="Times New Roman" w:eastAsia="Times New Roman" w:hAnsi="Times New Roman"/>
          <w:color w:val="000000"/>
        </w:rPr>
        <w:t xml:space="preserve">The most recent quarter (prior year-end) and quarterly projections for each variable should be provided in columns E through R. </w:t>
      </w:r>
      <w:r w:rsidR="002413F1">
        <w:rPr>
          <w:rFonts w:ascii="Times New Roman" w:eastAsia="Times New Roman" w:hAnsi="Times New Roman"/>
          <w:color w:val="000000"/>
        </w:rPr>
        <w:t xml:space="preserve"> </w:t>
      </w:r>
      <w:r>
        <w:rPr>
          <w:rFonts w:ascii="Times New Roman" w:eastAsia="Times New Roman" w:hAnsi="Times New Roman"/>
          <w:color w:val="000000"/>
        </w:rPr>
        <w:t>If you projected the variable for less than 13 quarters (if it wasn’t used as input to predict 13 quarter credit losses), provide the values for the quarters you projected and leave the remaining columns blank.</w:t>
      </w:r>
    </w:p>
    <w:p w:rsidR="009B4B21" w:rsidP="00EF0B19" w14:paraId="17C5C107" w14:textId="77777777">
      <w:pPr>
        <w:pStyle w:val="Heading3"/>
      </w:pPr>
      <w:bookmarkStart w:id="4" w:name="_Variables_Used_in"/>
      <w:bookmarkStart w:id="5" w:name="_Model_Adjustments"/>
      <w:bookmarkEnd w:id="4"/>
      <w:bookmarkEnd w:id="5"/>
      <w:r>
        <w:t>Model Adjustments Worksheet</w:t>
      </w:r>
    </w:p>
    <w:p w:rsidR="009B4B21" w:rsidRPr="00D907DD" w:rsidP="009B4B21" w14:paraId="188AFA65" w14:textId="77777777">
      <w:pPr>
        <w:rPr>
          <w:rFonts w:ascii="Times New Roman" w:eastAsia="Times New Roman" w:hAnsi="Times New Roman"/>
          <w:color w:val="000000"/>
        </w:rPr>
      </w:pPr>
      <w:r>
        <w:rPr>
          <w:rFonts w:ascii="Times New Roman" w:eastAsia="Times New Roman" w:hAnsi="Times New Roman"/>
          <w:color w:val="000000"/>
        </w:rPr>
        <w:t xml:space="preserve">This worksheet is designed to capture any overlays, qualitative augmentations, or other adjustments that are made to your model results. </w:t>
      </w:r>
    </w:p>
    <w:p w:rsidR="009B4B21" w:rsidP="009B4B21" w14:paraId="26B4A7CB" w14:textId="77777777">
      <w:pPr>
        <w:rPr>
          <w:rFonts w:ascii="Times New Roman" w:eastAsia="Times New Roman" w:hAnsi="Times New Roman"/>
          <w:color w:val="000000"/>
        </w:rPr>
      </w:pPr>
    </w:p>
    <w:p w:rsidR="009B4B21" w:rsidP="009B4B21" w14:paraId="7B95EBF0" w14:textId="6645DD1F">
      <w:pPr>
        <w:rPr>
          <w:rFonts w:ascii="Times New Roman" w:eastAsia="Times New Roman" w:hAnsi="Times New Roman"/>
          <w:color w:val="000000"/>
        </w:rPr>
      </w:pPr>
      <w:r>
        <w:rPr>
          <w:rFonts w:ascii="Times New Roman" w:eastAsia="Times New Roman" w:hAnsi="Times New Roman"/>
          <w:color w:val="000000"/>
        </w:rPr>
        <w:t xml:space="preserve">When providing data, you will need to populate a row of data for each adjustment. </w:t>
      </w:r>
      <w:r w:rsidR="002413F1">
        <w:rPr>
          <w:rFonts w:ascii="Times New Roman" w:eastAsia="Times New Roman" w:hAnsi="Times New Roman"/>
          <w:color w:val="000000"/>
        </w:rPr>
        <w:t xml:space="preserve"> </w:t>
      </w:r>
      <w:r>
        <w:rPr>
          <w:rFonts w:ascii="Times New Roman" w:eastAsia="Times New Roman" w:hAnsi="Times New Roman"/>
          <w:color w:val="000000"/>
        </w:rPr>
        <w:t>If you made more than 20 adjustments, add new row below the others and populate the “#” column (new rows start at a value of 21 and should increment by one each row from there) in addition to the other requested information.</w:t>
      </w:r>
    </w:p>
    <w:p w:rsidR="009B4B21" w:rsidP="009B4B21" w14:paraId="4189442F" w14:textId="77777777">
      <w:pPr>
        <w:rPr>
          <w:rFonts w:ascii="Times New Roman" w:eastAsia="Times New Roman" w:hAnsi="Times New Roman"/>
          <w:color w:val="000000"/>
        </w:rPr>
      </w:pPr>
    </w:p>
    <w:p w:rsidR="009B4B21" w:rsidRPr="00EF0B19" w:rsidP="00EF0B19" w14:paraId="68FEB2AE" w14:textId="356E5C26">
      <w:pPr>
        <w:rPr>
          <w:rFonts w:ascii="Times New Roman" w:eastAsia="Times New Roman" w:hAnsi="Times New Roman"/>
          <w:color w:val="000000"/>
        </w:rPr>
      </w:pPr>
      <w:r>
        <w:rPr>
          <w:rFonts w:ascii="Times New Roman" w:eastAsia="Times New Roman" w:hAnsi="Times New Roman"/>
          <w:color w:val="000000"/>
        </w:rPr>
        <w:t>The “Description and Rationale” column should provide enough information for ONES to have a high-level understanding why you made the adjustment.</w:t>
      </w:r>
      <w:r w:rsidR="002413F1">
        <w:rPr>
          <w:rFonts w:ascii="Times New Roman" w:eastAsia="Times New Roman" w:hAnsi="Times New Roman"/>
          <w:color w:val="000000"/>
        </w:rPr>
        <w:t xml:space="preserve"> </w:t>
      </w:r>
      <w:r>
        <w:rPr>
          <w:rFonts w:ascii="Times New Roman" w:eastAsia="Times New Roman" w:hAnsi="Times New Roman"/>
          <w:color w:val="000000"/>
        </w:rPr>
        <w:t xml:space="preserve"> If the rationale behind an adjustment was discussed in your Capital Plan or other documentation submitted to ONES, provide a high-level summary in the Description and Rationale field, along with the name of the document and the location in it where additional details can be found.</w:t>
      </w:r>
    </w:p>
    <w:p w:rsidR="0065289E" w:rsidRPr="0065289E" w:rsidP="007367E4" w14:paraId="7B24CA4D" w14:textId="77777777">
      <w:pPr>
        <w:pStyle w:val="bulletlvl2"/>
        <w:numPr>
          <w:ilvl w:val="0"/>
          <w:numId w:val="0"/>
        </w:numPr>
      </w:pPr>
      <w:r>
        <w:rPr>
          <w:noProof/>
        </w:rPr>
        <w:drawing>
          <wp:inline distT="0" distB="0" distL="0" distR="0">
            <wp:extent cx="5394960" cy="61595"/>
            <wp:effectExtent l="0" t="0" r="0" b="0"/>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Template_end of story.jp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394960" cy="61595"/>
                    </a:xfrm>
                    <a:prstGeom prst="rect">
                      <a:avLst/>
                    </a:prstGeom>
                  </pic:spPr>
                </pic:pic>
              </a:graphicData>
            </a:graphic>
          </wp:inline>
        </w:drawing>
      </w:r>
    </w:p>
    <w:sectPr w:rsidSect="00017CC2">
      <w:headerReference w:type="even" r:id="rId15"/>
      <w:headerReference w:type="default" r:id="rId16"/>
      <w:footerReference w:type="even" r:id="rId17"/>
      <w:footerReference w:type="default" r:id="rId18"/>
      <w:headerReference w:type="first" r:id="rId19"/>
      <w:footerReference w:type="first" r:id="rId20"/>
      <w:pgSz w:w="12240" w:h="15840" w:code="1"/>
      <w:pgMar w:top="2246" w:right="1728" w:bottom="1440" w:left="1728" w:header="288" w:footer="144" w:gutter="288"/>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87A31" w:rsidP="000064AD" w14:paraId="3C124D20" w14:textId="77777777">
      <w:r>
        <w:separator/>
      </w:r>
    </w:p>
    <w:p w:rsidR="00087A31" w14:paraId="2525A68F" w14:textId="77777777"/>
  </w:endnote>
  <w:endnote w:type="continuationSeparator" w:id="1">
    <w:p w:rsidR="00087A31" w:rsidP="000064AD" w14:paraId="59D97F7F" w14:textId="77777777">
      <w:r>
        <w:continuationSeparator/>
      </w:r>
    </w:p>
    <w:p w:rsidR="00087A31" w14:paraId="07FD21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F32" w14:paraId="57FEC244" w14:textId="77777777">
    <w:pPr>
      <w:pStyle w:val="Footer"/>
    </w:pPr>
    <w:r>
      <w:rPr>
        <w:noProof/>
      </w:rPr>
      <w:drawing>
        <wp:anchor distT="0" distB="0" distL="114300" distR="114300" simplePos="0" relativeHeight="251664384" behindDoc="1" locked="0" layoutInCell="1" allowOverlap="1">
          <wp:simplePos x="0" y="0"/>
          <wp:positionH relativeFrom="margin">
            <wp:align>right</wp:align>
          </wp:positionH>
          <wp:positionV relativeFrom="paragraph">
            <wp:posOffset>-116952</wp:posOffset>
          </wp:positionV>
          <wp:extent cx="7772400" cy="740664"/>
          <wp:effectExtent l="0" t="0" r="0" b="2540"/>
          <wp:wrapNone/>
          <wp:docPr id="49" name="Picture 4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Report Template_Foot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74066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B3A" w:rsidRPr="009738D4" w:rsidP="00017CC2" w14:paraId="79E7C011" w14:textId="77777777">
    <w:pPr>
      <w:pStyle w:val="Footer"/>
      <w:framePr w:w="669" w:h="504" w:hRule="exact" w:wrap="around" w:vAnchor="text" w:hAnchor="page" w:x="5244" w:y="-393"/>
      <w:jc w:val="right"/>
      <w:rPr>
        <w:rStyle w:val="PageNumber"/>
        <w:rFonts w:asciiTheme="majorHAnsi" w:hAnsiTheme="majorHAnsi"/>
        <w:color w:val="FFFFFF"/>
      </w:rPr>
    </w:pPr>
    <w:r>
      <w:rPr>
        <w:rStyle w:val="PageNumber"/>
        <w:rFonts w:asciiTheme="majorHAnsi" w:hAnsiTheme="majorHAnsi"/>
        <w:color w:val="FFFFFF"/>
      </w:rPr>
      <w:fldChar w:fldCharType="begin"/>
    </w:r>
    <w:r>
      <w:rPr>
        <w:rStyle w:val="PageNumber"/>
        <w:rFonts w:asciiTheme="majorHAnsi" w:hAnsiTheme="majorHAnsi"/>
        <w:color w:val="FFFFFF"/>
      </w:rPr>
      <w:instrText xml:space="preserve"> PAGE  \* Arabic </w:instrText>
    </w:r>
    <w:r>
      <w:rPr>
        <w:rStyle w:val="PageNumber"/>
        <w:rFonts w:asciiTheme="majorHAnsi" w:hAnsiTheme="majorHAnsi"/>
        <w:color w:val="FFFFFF"/>
      </w:rPr>
      <w:fldChar w:fldCharType="separate"/>
    </w:r>
    <w:r w:rsidR="00017CC2">
      <w:rPr>
        <w:rStyle w:val="PageNumber"/>
        <w:rFonts w:asciiTheme="majorHAnsi" w:hAnsiTheme="majorHAnsi"/>
        <w:noProof/>
        <w:color w:val="FFFFFF"/>
      </w:rPr>
      <w:t>2</w:t>
    </w:r>
    <w:r>
      <w:rPr>
        <w:rStyle w:val="PageNumber"/>
        <w:rFonts w:asciiTheme="majorHAnsi" w:hAnsiTheme="majorHAnsi"/>
        <w:color w:val="FFFFFF"/>
      </w:rPr>
      <w:fldChar w:fldCharType="end"/>
    </w:r>
  </w:p>
  <w:p w:rsidR="00671B3A" w:rsidRPr="009738D4" w:rsidP="008B6438" w14:paraId="4AC0488E" w14:textId="77777777">
    <w:pPr>
      <w:pStyle w:val="Footer"/>
      <w:tabs>
        <w:tab w:val="clear" w:pos="4320"/>
        <w:tab w:val="right" w:pos="8280"/>
        <w:tab w:val="clear" w:pos="8640"/>
      </w:tabs>
      <w:ind w:right="360" w:firstLine="360"/>
      <w:rPr>
        <w:rFonts w:asciiTheme="majorHAnsi" w:hAnsiTheme="majorHAnsi"/>
      </w:rPr>
    </w:pPr>
    <w:r w:rsidRPr="009738D4">
      <w:rPr>
        <w:rFonts w:asciiTheme="majorHAnsi" w:hAnsiTheme="majorHAnsi"/>
        <w:noProof/>
      </w:rPr>
      <mc:AlternateContent>
        <mc:Choice Requires="wps">
          <w:drawing>
            <wp:anchor distT="0" distB="0" distL="114300" distR="114300" simplePos="0" relativeHeight="251662336" behindDoc="0" locked="0" layoutInCell="1" allowOverlap="1">
              <wp:simplePos x="0" y="0"/>
              <wp:positionH relativeFrom="column">
                <wp:posOffset>2862559</wp:posOffset>
              </wp:positionH>
              <wp:positionV relativeFrom="paragraph">
                <wp:posOffset>-305435</wp:posOffset>
              </wp:positionV>
              <wp:extent cx="2881312" cy="334010"/>
              <wp:effectExtent l="0" t="0" r="0" b="889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1312" cy="334010"/>
                      </a:xfrm>
                      <a:prstGeom prst="rect">
                        <a:avLst/>
                      </a:prstGeom>
                      <a:noFill/>
                      <a:ln>
                        <a:noFill/>
                      </a:ln>
                      <a:effectLst/>
                      <a:extLs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txbx>
                      <w:txbxContent>
                        <w:p w:rsidR="00671B3A" w:rsidRPr="00E636AB" w:rsidP="00017CC2" w14:textId="77777777">
                          <w:pPr>
                            <w:rPr>
                              <w:rFonts w:asciiTheme="majorHAnsi" w:hAnsiTheme="majorHAnsi"/>
                            </w:rPr>
                          </w:pPr>
                          <w:r>
                            <w:rPr>
                              <w:rFonts w:asciiTheme="majorHAnsi" w:hAnsiTheme="majorHAnsi" w:cs="Calibri"/>
                              <w:color w:val="FFFFFF"/>
                            </w:rPr>
                            <w:t>Report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49" type="#_x0000_t202" style="width:226.85pt;height:26.3pt;margin-top:-24.05pt;margin-left:225.4pt;mso-height-percent:0;mso-height-relative:margin;mso-width-percent:0;mso-width-relative:margin;mso-wrap-distance-bottom:0;mso-wrap-distance-left:9pt;mso-wrap-distance-right:9pt;mso-wrap-distance-top:0;mso-wrap-style:square;position:absolute;visibility:visible;v-text-anchor:top;z-index:251663360" filled="f" stroked="f">
              <v:textbox>
                <w:txbxContent>
                  <w:p w:rsidR="00671B3A" w:rsidRPr="00E636AB" w:rsidP="00017CC2" w14:paraId="22F93C23" w14:textId="77777777">
                    <w:pPr>
                      <w:rPr>
                        <w:rFonts w:asciiTheme="majorHAnsi" w:hAnsiTheme="majorHAnsi"/>
                      </w:rPr>
                    </w:pPr>
                    <w:r>
                      <w:rPr>
                        <w:rFonts w:asciiTheme="majorHAnsi" w:hAnsiTheme="majorHAnsi" w:cs="Calibri"/>
                        <w:color w:val="FFFFFF"/>
                      </w:rPr>
                      <w:t>Report Name</w:t>
                    </w:r>
                  </w:p>
                </w:txbxContent>
              </v:textbox>
            </v:shape>
          </w:pict>
        </mc:Fallback>
      </mc:AlternateContent>
    </w:r>
    <w:r>
      <w:rPr>
        <w:rFonts w:asciiTheme="majorHAnsi" w:hAnsiTheme="majorHAnsi"/>
        <w:noProof/>
      </w:rPr>
      <w:drawing>
        <wp:anchor distT="0" distB="0" distL="114300" distR="114300" simplePos="0" relativeHeight="251666432" behindDoc="1" locked="0" layoutInCell="1" allowOverlap="1">
          <wp:simplePos x="0" y="0"/>
          <wp:positionH relativeFrom="page">
            <wp:align>right</wp:align>
          </wp:positionH>
          <wp:positionV relativeFrom="paragraph">
            <wp:posOffset>-484779</wp:posOffset>
          </wp:positionV>
          <wp:extent cx="7772400" cy="740098"/>
          <wp:effectExtent l="0" t="0" r="0" b="3175"/>
          <wp:wrapNone/>
          <wp:docPr id="60" name="Picture 6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Report Template_Foot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739775"/>
                  </a:xfrm>
                  <a:prstGeom prst="rect">
                    <a:avLst/>
                  </a:prstGeom>
                </pic:spPr>
              </pic:pic>
            </a:graphicData>
          </a:graphic>
          <wp14:sizeRelH relativeFrom="margin">
            <wp14:pctWidth>0</wp14:pctWidth>
          </wp14:sizeRelH>
          <wp14:sizeRelV relativeFrom="margin">
            <wp14:pctHeight>0</wp14:pctHeight>
          </wp14:sizeRelV>
        </wp:anchor>
      </w:drawing>
    </w:r>
    <w:r w:rsidRPr="009738D4">
      <w:rPr>
        <w:rFonts w:asciiTheme="majorHAnsi" w:hAnsiTheme="majorHAnsi"/>
        <w:noProof/>
      </w:rPr>
      <mc:AlternateContent>
        <mc:Choice Requires="wps">
          <w:drawing>
            <wp:anchor distT="0" distB="0" distL="114300" distR="114300" simplePos="0" relativeHeight="251658240" behindDoc="1" locked="0" layoutInCell="1" allowOverlap="1">
              <wp:simplePos x="0" y="0"/>
              <wp:positionH relativeFrom="column">
                <wp:posOffset>502920</wp:posOffset>
              </wp:positionH>
              <wp:positionV relativeFrom="paragraph">
                <wp:posOffset>-187869</wp:posOffset>
              </wp:positionV>
              <wp:extent cx="6300216" cy="292608"/>
              <wp:effectExtent l="0" t="0" r="0" b="0"/>
              <wp:wrapNone/>
              <wp:docPr id="56" name="Text 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6300216" cy="292608"/>
                      </a:xfrm>
                      <a:prstGeom prst="rect">
                        <a:avLst/>
                      </a:prstGeom>
                      <a:noFill/>
                      <a:ln>
                        <a:noFill/>
                      </a:ln>
                      <a:effectLst/>
                      <a:extLs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txbx>
                      <w:txbxContent>
                        <w:p w:rsidR="00671B3A" w:rsidRPr="00CF23CC" w:rsidP="00A156BB" w14:textId="77777777">
                          <w:pPr>
                            <w:pStyle w:val="NoParagraphStyle"/>
                          </w:pPr>
                          <w:r w:rsidRPr="00A156BB">
                            <w:rPr>
                              <w:rFonts w:ascii="Calibri" w:hAnsi="Calibri" w:cs="Calibri"/>
                              <w:color w:val="FFFFFF"/>
                            </w:rPr>
                            <w:t xml:space="preserve"> </w:t>
                          </w:r>
                          <w:r>
                            <w:rPr>
                              <w:rFonts w:ascii="Calibri" w:hAnsi="Calibri" w:cs="Calibri"/>
                              <w:color w:val="FFFFFF"/>
                            </w:rPr>
                            <w:t>OFEAR Act</w:t>
                          </w:r>
                        </w:p>
                        <w:p w:rsidR="00671B3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6" o:spid="_x0000_s2050" type="#_x0000_t202" style="width:496.1pt;height:23.05pt;margin-top:-14.8pt;margin-left:39.6pt;mso-height-percent:0;mso-height-relative:margin;mso-width-percent:0;mso-width-relative:margin;mso-wrap-distance-bottom:0;mso-wrap-distance-left:9pt;mso-wrap-distance-right:9pt;mso-wrap-distance-top:0;mso-wrap-style:square;position:absolute;visibility:visible;v-text-anchor:top;z-index:-251657216" filled="f" stroked="f">
              <v:textbox>
                <w:txbxContent>
                  <w:p w:rsidR="00671B3A" w:rsidRPr="00CF23CC" w:rsidP="00A156BB" w14:paraId="56EB5F2D" w14:textId="77777777">
                    <w:pPr>
                      <w:pStyle w:val="NoParagraphStyle"/>
                    </w:pPr>
                    <w:r w:rsidRPr="00A156BB">
                      <w:rPr>
                        <w:rFonts w:ascii="Calibri" w:hAnsi="Calibri" w:cs="Calibri"/>
                        <w:color w:val="FFFFFF"/>
                      </w:rPr>
                      <w:t xml:space="preserve"> </w:t>
                    </w:r>
                    <w:r>
                      <w:rPr>
                        <w:rFonts w:ascii="Calibri" w:hAnsi="Calibri" w:cs="Calibri"/>
                        <w:color w:val="FFFFFF"/>
                      </w:rPr>
                      <w:t>OFEAR Act</w:t>
                    </w:r>
                  </w:p>
                  <w:p w:rsidR="00671B3A" w14:paraId="1EAF2C93" w14:textId="77777777"/>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B3A" w:rsidRPr="002C7FB3" w:rsidP="00017CC2" w14:paraId="688C099C" w14:textId="77777777">
    <w:pPr>
      <w:pStyle w:val="Footer"/>
      <w:framePr w:w="427" w:h="773" w:hRule="exact" w:wrap="around" w:vAnchor="text" w:hAnchor="page" w:x="5509" w:y="-416"/>
      <w:tabs>
        <w:tab w:val="left" w:pos="90"/>
      </w:tabs>
      <w:jc w:val="center"/>
      <w:rPr>
        <w:rStyle w:val="PageNumber"/>
        <w:color w:val="FFFFFF"/>
      </w:rPr>
    </w:pPr>
    <w:r w:rsidRPr="002C7FB3">
      <w:rPr>
        <w:rStyle w:val="PageNumber"/>
        <w:color w:val="FFFFFF"/>
      </w:rPr>
      <w:fldChar w:fldCharType="begin"/>
    </w:r>
    <w:r w:rsidRPr="002C7FB3">
      <w:rPr>
        <w:rStyle w:val="PageNumber"/>
        <w:color w:val="FFFFFF"/>
      </w:rPr>
      <w:instrText xml:space="preserve">PAGE  </w:instrText>
    </w:r>
    <w:r w:rsidRPr="002C7FB3">
      <w:rPr>
        <w:rStyle w:val="PageNumber"/>
        <w:color w:val="FFFFFF"/>
      </w:rPr>
      <w:fldChar w:fldCharType="separate"/>
    </w:r>
    <w:r w:rsidR="006F66B3">
      <w:rPr>
        <w:rStyle w:val="PageNumber"/>
        <w:noProof/>
        <w:color w:val="FFFFFF"/>
      </w:rPr>
      <w:t>6</w:t>
    </w:r>
    <w:r w:rsidRPr="002C7FB3">
      <w:rPr>
        <w:rStyle w:val="PageNumber"/>
        <w:color w:val="FFFFFF"/>
      </w:rPr>
      <w:fldChar w:fldCharType="end"/>
    </w:r>
  </w:p>
  <w:p w:rsidR="00671B3A" w:rsidP="00A156BB" w14:paraId="5F598727" w14:textId="77777777">
    <w:pPr>
      <w:pStyle w:val="Footer"/>
      <w:tabs>
        <w:tab w:val="clear" w:pos="4320"/>
        <w:tab w:val="center" w:pos="5715"/>
        <w:tab w:val="clear" w:pos="8640"/>
        <w:tab w:val="right" w:pos="11430"/>
      </w:tabs>
      <w:ind w:right="360" w:firstLine="360"/>
    </w:pPr>
    <w:r>
      <w:rPr>
        <w:noProof/>
      </w:rPr>
      <w:drawing>
        <wp:anchor distT="0" distB="0" distL="114300" distR="114300" simplePos="0" relativeHeight="251665408" behindDoc="1" locked="0" layoutInCell="1" allowOverlap="1">
          <wp:simplePos x="0" y="0"/>
          <wp:positionH relativeFrom="page">
            <wp:align>right</wp:align>
          </wp:positionH>
          <wp:positionV relativeFrom="paragraph">
            <wp:posOffset>-484097</wp:posOffset>
          </wp:positionV>
          <wp:extent cx="7769860" cy="739856"/>
          <wp:effectExtent l="0" t="0" r="2540" b="3175"/>
          <wp:wrapNone/>
          <wp:docPr id="58" name="Picture 5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Report Template_Foot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69860" cy="73985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2673350</wp:posOffset>
              </wp:positionH>
              <wp:positionV relativeFrom="paragraph">
                <wp:posOffset>-320622</wp:posOffset>
              </wp:positionV>
              <wp:extent cx="2471737" cy="334010"/>
              <wp:effectExtent l="0" t="0" r="0" b="889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2471737" cy="334010"/>
                      </a:xfrm>
                      <a:prstGeom prst="rect">
                        <a:avLst/>
                      </a:prstGeom>
                      <a:noFill/>
                      <a:ln>
                        <a:noFill/>
                      </a:ln>
                      <a:effectLst/>
                      <a:extLs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671B3A" w:rsidRPr="00646C22" w:rsidP="00DD29AF" w14:textId="16644FBD">
                          <w:pPr>
                            <w:rPr>
                              <w:rFonts w:asciiTheme="majorHAnsi" w:hAnsiTheme="majorHAnsi"/>
                            </w:rPr>
                          </w:pPr>
                          <w:r>
                            <w:rPr>
                              <w:rFonts w:asciiTheme="majorHAnsi" w:hAnsiTheme="majorHAnsi" w:cs="Calibri"/>
                              <w:color w:val="FFFFFF"/>
                            </w:rPr>
                            <w:t>202</w:t>
                          </w:r>
                          <w:r w:rsidR="008E65D6">
                            <w:rPr>
                              <w:rFonts w:asciiTheme="majorHAnsi" w:hAnsiTheme="majorHAnsi" w:cs="Calibri"/>
                              <w:color w:val="FFFFFF"/>
                            </w:rPr>
                            <w:t>3</w:t>
                          </w:r>
                          <w:r w:rsidR="00707257">
                            <w:rPr>
                              <w:rFonts w:asciiTheme="majorHAnsi" w:hAnsiTheme="majorHAnsi" w:cs="Calibri"/>
                              <w:color w:val="FFFFFF"/>
                            </w:rPr>
                            <w:t xml:space="preserve"> Supervisory Stress Tests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2051" type="#_x0000_t202" style="width:194.6pt;height:26.3pt;margin-top:-25.25pt;margin-left:210.5pt;mso-height-percent:0;mso-height-relative:margin;mso-width-percent:0;mso-width-relative:margin;mso-wrap-distance-bottom:0;mso-wrap-distance-left:9pt;mso-wrap-distance-right:9pt;mso-wrap-distance-top:0;mso-wrap-style:square;position:absolute;visibility:visible;v-text-anchor:top;z-index:251661312" filled="f" stroked="f">
              <v:textbox>
                <w:txbxContent>
                  <w:p w:rsidR="00671B3A" w:rsidRPr="00646C22" w:rsidP="00DD29AF" w14:paraId="5D034C32" w14:textId="16644FBD">
                    <w:pPr>
                      <w:rPr>
                        <w:rFonts w:asciiTheme="majorHAnsi" w:hAnsiTheme="majorHAnsi"/>
                      </w:rPr>
                    </w:pPr>
                    <w:r>
                      <w:rPr>
                        <w:rFonts w:asciiTheme="majorHAnsi" w:hAnsiTheme="majorHAnsi" w:cs="Calibri"/>
                        <w:color w:val="FFFFFF"/>
                      </w:rPr>
                      <w:t>202</w:t>
                    </w:r>
                    <w:r w:rsidR="008E65D6">
                      <w:rPr>
                        <w:rFonts w:asciiTheme="majorHAnsi" w:hAnsiTheme="majorHAnsi" w:cs="Calibri"/>
                        <w:color w:val="FFFFFF"/>
                      </w:rPr>
                      <w:t>3</w:t>
                    </w:r>
                    <w:r w:rsidR="00707257">
                      <w:rPr>
                        <w:rFonts w:asciiTheme="majorHAnsi" w:hAnsiTheme="majorHAnsi" w:cs="Calibri"/>
                        <w:color w:val="FFFFFF"/>
                      </w:rPr>
                      <w:t xml:space="preserve"> Supervisory Stress Tests</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B3A" w:rsidRPr="00B961C7" w:rsidP="00FA65B3" w14:paraId="18A8ED4A" w14:textId="77777777">
    <w:pPr>
      <w:pStyle w:val="Footer"/>
      <w:framePr w:w="474" w:h="393" w:hRule="exact" w:wrap="around" w:vAnchor="text" w:hAnchor="page" w:x="10968" w:y="-249"/>
      <w:tabs>
        <w:tab w:val="clear" w:pos="4320"/>
      </w:tabs>
      <w:ind w:right="29"/>
      <w:jc w:val="center"/>
      <w:rPr>
        <w:rStyle w:val="PageNumber"/>
        <w:color w:val="FFFFFF"/>
      </w:rPr>
    </w:pPr>
    <w:r w:rsidRPr="00B961C7">
      <w:rPr>
        <w:rStyle w:val="PageNumber"/>
        <w:color w:val="FFFFFF"/>
      </w:rPr>
      <w:fldChar w:fldCharType="begin"/>
    </w:r>
    <w:r w:rsidRPr="00B961C7">
      <w:rPr>
        <w:rStyle w:val="PageNumber"/>
        <w:color w:val="FFFFFF"/>
      </w:rPr>
      <w:instrText xml:space="preserve">PAGE  </w:instrText>
    </w:r>
    <w:r w:rsidRPr="00B961C7">
      <w:rPr>
        <w:rStyle w:val="PageNumber"/>
        <w:color w:val="FFFFFF"/>
      </w:rPr>
      <w:fldChar w:fldCharType="separate"/>
    </w:r>
    <w:r w:rsidR="006F66B3">
      <w:rPr>
        <w:rStyle w:val="PageNumber"/>
        <w:noProof/>
        <w:color w:val="FFFFFF"/>
      </w:rPr>
      <w:t>0</w:t>
    </w:r>
    <w:r w:rsidRPr="00B961C7">
      <w:rPr>
        <w:rStyle w:val="PageNumber"/>
        <w:color w:val="FFFFFF"/>
      </w:rPr>
      <w:fldChar w:fldCharType="end"/>
    </w:r>
  </w:p>
  <w:p w:rsidR="00671B3A" w:rsidP="00C52068" w14:paraId="23A3DDBE" w14:textId="77777777">
    <w:pPr>
      <w:pStyle w:val="Footer"/>
      <w:tabs>
        <w:tab w:val="clear" w:pos="4320"/>
        <w:tab w:val="center" w:pos="5715"/>
        <w:tab w:val="clear" w:pos="8640"/>
        <w:tab w:val="right" w:pos="114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87A31" w:rsidP="000064AD" w14:paraId="254ABB0A" w14:textId="77777777">
      <w:r>
        <w:separator/>
      </w:r>
    </w:p>
    <w:p w:rsidR="00087A31" w14:paraId="3EF626C1" w14:textId="77777777"/>
  </w:footnote>
  <w:footnote w:type="continuationSeparator" w:id="1">
    <w:p w:rsidR="00087A31" w:rsidP="000064AD" w14:paraId="3035A615" w14:textId="77777777">
      <w:r>
        <w:continuationSeparator/>
      </w:r>
    </w:p>
    <w:p w:rsidR="00087A31" w14:paraId="153132B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6EB1" w14:paraId="7709D9DC" w14:textId="77777777">
    <w:pPr>
      <w:spacing w:line="14" w:lineRule="auto"/>
      <w:rPr>
        <w:sz w:val="20"/>
        <w:szCs w:val="20"/>
      </w:rP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396240</wp:posOffset>
          </wp:positionV>
          <wp:extent cx="7727950" cy="835025"/>
          <wp:effectExtent l="0" t="0" r="6350" b="3175"/>
          <wp:wrapNone/>
          <wp:docPr id="46" name="Picture 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27950" cy="835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6EB1" w14:paraId="50FD09C3" w14:textId="77777777">
    <w:pPr>
      <w:pStyle w:val="Header"/>
    </w:pP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-396240</wp:posOffset>
          </wp:positionV>
          <wp:extent cx="7772400" cy="1164336"/>
          <wp:effectExtent l="0" t="0" r="0" b="0"/>
          <wp:wrapNone/>
          <wp:docPr id="47" name="Picture 47" descr="National Credit Union Administrat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eport Template_head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16433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B3A" w:rsidP="004D3155" w14:paraId="4A78A06F" w14:textId="77777777">
    <w:pPr>
      <w:pStyle w:val="Header"/>
    </w:pPr>
    <w:r>
      <w:rPr>
        <w:noProof/>
      </w:rPr>
      <w:drawing>
        <wp:anchor distT="0" distB="0" distL="114300" distR="114300" simplePos="0" relativeHeight="251661312" behindDoc="1" locked="0" layoutInCell="1" allowOverlap="1">
          <wp:simplePos x="0" y="0"/>
          <wp:positionH relativeFrom="page">
            <wp:align>right</wp:align>
          </wp:positionH>
          <wp:positionV relativeFrom="paragraph">
            <wp:posOffset>-182831</wp:posOffset>
          </wp:positionV>
          <wp:extent cx="7772400" cy="1163664"/>
          <wp:effectExtent l="0" t="0" r="0" b="0"/>
          <wp:wrapNone/>
          <wp:docPr id="59" name="Picture 5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Report Template_head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16366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B3A" w:rsidRPr="00656230" w:rsidP="00656230" w14:paraId="39CAC2AB" w14:textId="77777777">
    <w:pPr>
      <w:pStyle w:val="Header"/>
    </w:pPr>
    <w:r>
      <w:rPr>
        <w:noProof/>
      </w:rPr>
      <w:drawing>
        <wp:anchor distT="0" distB="0" distL="114300" distR="114300" simplePos="0" relativeHeight="251660288" behindDoc="1" locked="0" layoutInCell="1" allowOverlap="1">
          <wp:simplePos x="0" y="0"/>
          <wp:positionH relativeFrom="page">
            <wp:align>right</wp:align>
          </wp:positionH>
          <wp:positionV relativeFrom="paragraph">
            <wp:posOffset>-182880</wp:posOffset>
          </wp:positionV>
          <wp:extent cx="7770251" cy="1163343"/>
          <wp:effectExtent l="0" t="0" r="2540" b="0"/>
          <wp:wrapNone/>
          <wp:docPr id="54" name="Picture 5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Report Template_head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0251" cy="1163343"/>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B3A" w:rsidRPr="00586EB1" w:rsidP="00586EB1" w14:paraId="680892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D7BA2"/>
    <w:multiLevelType w:val="multilevel"/>
    <w:tmpl w:val="E6D4049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ED7477"/>
    <w:multiLevelType w:val="hybridMultilevel"/>
    <w:tmpl w:val="750A725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F74F12"/>
    <w:multiLevelType w:val="hybridMultilevel"/>
    <w:tmpl w:val="DCC8919E"/>
    <w:lvl w:ilvl="0">
      <w:start w:val="1"/>
      <w:numFmt w:val="bullet"/>
      <w:lvlText w:val=""/>
      <w:lvlJc w:val="left"/>
      <w:pPr>
        <w:ind w:left="634" w:hanging="360"/>
      </w:pPr>
      <w:rPr>
        <w:rFonts w:ascii="Symbol" w:hAnsi="Symbol" w:hint="default"/>
      </w:rPr>
    </w:lvl>
    <w:lvl w:ilvl="1">
      <w:start w:val="1"/>
      <w:numFmt w:val="bullet"/>
      <w:lvlText w:val="o"/>
      <w:lvlJc w:val="left"/>
      <w:pPr>
        <w:ind w:left="1354" w:hanging="360"/>
      </w:pPr>
      <w:rPr>
        <w:rFonts w:ascii="Courier New" w:hAnsi="Courier New" w:cs="Courier New" w:hint="default"/>
      </w:rPr>
    </w:lvl>
    <w:lvl w:ilvl="2" w:tentative="1">
      <w:start w:val="1"/>
      <w:numFmt w:val="bullet"/>
      <w:lvlText w:val=""/>
      <w:lvlJc w:val="left"/>
      <w:pPr>
        <w:ind w:left="2074" w:hanging="360"/>
      </w:pPr>
      <w:rPr>
        <w:rFonts w:ascii="Wingdings" w:hAnsi="Wingdings" w:hint="default"/>
      </w:rPr>
    </w:lvl>
    <w:lvl w:ilvl="3" w:tentative="1">
      <w:start w:val="1"/>
      <w:numFmt w:val="bullet"/>
      <w:lvlText w:val=""/>
      <w:lvlJc w:val="left"/>
      <w:pPr>
        <w:ind w:left="2794" w:hanging="360"/>
      </w:pPr>
      <w:rPr>
        <w:rFonts w:ascii="Symbol" w:hAnsi="Symbol" w:hint="default"/>
      </w:rPr>
    </w:lvl>
    <w:lvl w:ilvl="4" w:tentative="1">
      <w:start w:val="1"/>
      <w:numFmt w:val="bullet"/>
      <w:lvlText w:val="o"/>
      <w:lvlJc w:val="left"/>
      <w:pPr>
        <w:ind w:left="3514" w:hanging="360"/>
      </w:pPr>
      <w:rPr>
        <w:rFonts w:ascii="Courier New" w:hAnsi="Courier New" w:cs="Courier New" w:hint="default"/>
      </w:rPr>
    </w:lvl>
    <w:lvl w:ilvl="5" w:tentative="1">
      <w:start w:val="1"/>
      <w:numFmt w:val="bullet"/>
      <w:lvlText w:val=""/>
      <w:lvlJc w:val="left"/>
      <w:pPr>
        <w:ind w:left="4234" w:hanging="360"/>
      </w:pPr>
      <w:rPr>
        <w:rFonts w:ascii="Wingdings" w:hAnsi="Wingdings" w:hint="default"/>
      </w:rPr>
    </w:lvl>
    <w:lvl w:ilvl="6" w:tentative="1">
      <w:start w:val="1"/>
      <w:numFmt w:val="bullet"/>
      <w:lvlText w:val=""/>
      <w:lvlJc w:val="left"/>
      <w:pPr>
        <w:ind w:left="4954" w:hanging="360"/>
      </w:pPr>
      <w:rPr>
        <w:rFonts w:ascii="Symbol" w:hAnsi="Symbol" w:hint="default"/>
      </w:rPr>
    </w:lvl>
    <w:lvl w:ilvl="7" w:tentative="1">
      <w:start w:val="1"/>
      <w:numFmt w:val="bullet"/>
      <w:lvlText w:val="o"/>
      <w:lvlJc w:val="left"/>
      <w:pPr>
        <w:ind w:left="5674" w:hanging="360"/>
      </w:pPr>
      <w:rPr>
        <w:rFonts w:ascii="Courier New" w:hAnsi="Courier New" w:cs="Courier New" w:hint="default"/>
      </w:rPr>
    </w:lvl>
    <w:lvl w:ilvl="8" w:tentative="1">
      <w:start w:val="1"/>
      <w:numFmt w:val="bullet"/>
      <w:lvlText w:val=""/>
      <w:lvlJc w:val="left"/>
      <w:pPr>
        <w:ind w:left="6394" w:hanging="360"/>
      </w:pPr>
      <w:rPr>
        <w:rFonts w:ascii="Wingdings" w:hAnsi="Wingdings" w:hint="default"/>
      </w:rPr>
    </w:lvl>
  </w:abstractNum>
  <w:abstractNum w:abstractNumId="3">
    <w:nsid w:val="19062AFE"/>
    <w:multiLevelType w:val="hybridMultilevel"/>
    <w:tmpl w:val="F858E9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A673CB"/>
    <w:multiLevelType w:val="multilevel"/>
    <w:tmpl w:val="9AF665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0854DA7"/>
    <w:multiLevelType w:val="hybridMultilevel"/>
    <w:tmpl w:val="99EC98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16B43E4"/>
    <w:multiLevelType w:val="multilevel"/>
    <w:tmpl w:val="E6D4049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0401C6"/>
    <w:multiLevelType w:val="hybridMultilevel"/>
    <w:tmpl w:val="8AD48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376C20"/>
    <w:multiLevelType w:val="hybridMultilevel"/>
    <w:tmpl w:val="899CA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E45AEF"/>
    <w:multiLevelType w:val="multilevel"/>
    <w:tmpl w:val="9F4814BC"/>
    <w:lvl w:ilvl="0">
      <w:start w:val="3"/>
      <w:numFmt w:val="decimal"/>
      <w:lvlText w:val="%1"/>
      <w:lvlJc w:val="left"/>
      <w:pPr>
        <w:ind w:left="360" w:hanging="360"/>
      </w:pPr>
      <w:rPr>
        <w:rFonts w:eastAsia="MS Mincho" w:hint="default"/>
        <w:b/>
        <w:w w:val="105"/>
      </w:rPr>
    </w:lvl>
    <w:lvl w:ilvl="1">
      <w:start w:val="1"/>
      <w:numFmt w:val="decimal"/>
      <w:lvlText w:val="%1.%2"/>
      <w:lvlJc w:val="left"/>
      <w:pPr>
        <w:ind w:left="360" w:hanging="360"/>
      </w:pPr>
      <w:rPr>
        <w:rFonts w:eastAsia="MS Mincho" w:hint="default"/>
        <w:b/>
        <w:w w:val="105"/>
      </w:rPr>
    </w:lvl>
    <w:lvl w:ilvl="2">
      <w:start w:val="1"/>
      <w:numFmt w:val="decimal"/>
      <w:lvlText w:val="%1.%2.%3"/>
      <w:lvlJc w:val="left"/>
      <w:pPr>
        <w:ind w:left="720" w:hanging="720"/>
      </w:pPr>
      <w:rPr>
        <w:rFonts w:eastAsia="MS Mincho" w:hint="default"/>
        <w:b/>
        <w:w w:val="105"/>
      </w:rPr>
    </w:lvl>
    <w:lvl w:ilvl="3">
      <w:start w:val="1"/>
      <w:numFmt w:val="decimal"/>
      <w:lvlText w:val="%1.%2.%3.%4"/>
      <w:lvlJc w:val="left"/>
      <w:pPr>
        <w:ind w:left="720" w:hanging="720"/>
      </w:pPr>
      <w:rPr>
        <w:rFonts w:eastAsia="MS Mincho" w:hint="default"/>
        <w:b/>
        <w:w w:val="105"/>
      </w:rPr>
    </w:lvl>
    <w:lvl w:ilvl="4">
      <w:start w:val="1"/>
      <w:numFmt w:val="decimal"/>
      <w:lvlText w:val="%1.%2.%3.%4.%5"/>
      <w:lvlJc w:val="left"/>
      <w:pPr>
        <w:ind w:left="1080" w:hanging="1080"/>
      </w:pPr>
      <w:rPr>
        <w:rFonts w:eastAsia="MS Mincho" w:hint="default"/>
        <w:b/>
        <w:w w:val="105"/>
      </w:rPr>
    </w:lvl>
    <w:lvl w:ilvl="5">
      <w:start w:val="1"/>
      <w:numFmt w:val="decimal"/>
      <w:lvlText w:val="%1.%2.%3.%4.%5.%6"/>
      <w:lvlJc w:val="left"/>
      <w:pPr>
        <w:ind w:left="1080" w:hanging="1080"/>
      </w:pPr>
      <w:rPr>
        <w:rFonts w:eastAsia="MS Mincho" w:hint="default"/>
        <w:b/>
        <w:w w:val="105"/>
      </w:rPr>
    </w:lvl>
    <w:lvl w:ilvl="6">
      <w:start w:val="1"/>
      <w:numFmt w:val="decimal"/>
      <w:lvlText w:val="%1.%2.%3.%4.%5.%6.%7"/>
      <w:lvlJc w:val="left"/>
      <w:pPr>
        <w:ind w:left="1440" w:hanging="1440"/>
      </w:pPr>
      <w:rPr>
        <w:rFonts w:eastAsia="MS Mincho" w:hint="default"/>
        <w:b/>
        <w:w w:val="105"/>
      </w:rPr>
    </w:lvl>
    <w:lvl w:ilvl="7">
      <w:start w:val="1"/>
      <w:numFmt w:val="decimal"/>
      <w:lvlText w:val="%1.%2.%3.%4.%5.%6.%7.%8"/>
      <w:lvlJc w:val="left"/>
      <w:pPr>
        <w:ind w:left="1440" w:hanging="1440"/>
      </w:pPr>
      <w:rPr>
        <w:rFonts w:eastAsia="MS Mincho" w:hint="default"/>
        <w:b/>
        <w:w w:val="105"/>
      </w:rPr>
    </w:lvl>
    <w:lvl w:ilvl="8">
      <w:start w:val="1"/>
      <w:numFmt w:val="decimal"/>
      <w:lvlText w:val="%1.%2.%3.%4.%5.%6.%7.%8.%9"/>
      <w:lvlJc w:val="left"/>
      <w:pPr>
        <w:ind w:left="1800" w:hanging="1800"/>
      </w:pPr>
      <w:rPr>
        <w:rFonts w:eastAsia="MS Mincho" w:hint="default"/>
        <w:b/>
        <w:w w:val="105"/>
      </w:rPr>
    </w:lvl>
  </w:abstractNum>
  <w:abstractNum w:abstractNumId="10">
    <w:nsid w:val="2C5F021A"/>
    <w:multiLevelType w:val="multilevel"/>
    <w:tmpl w:val="FE5CA7E4"/>
    <w:lvl w:ilvl="0">
      <w:start w:val="1"/>
      <w:numFmt w:val="decimal"/>
      <w:lvlText w:val="%1."/>
      <w:lvlJc w:val="left"/>
      <w:pPr>
        <w:ind w:left="360" w:hanging="360"/>
      </w:pPr>
      <w:rPr>
        <w:rFonts w:eastAsia="MS Mincho"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9C56B2A"/>
    <w:multiLevelType w:val="hybridMultilevel"/>
    <w:tmpl w:val="EEC489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BCD61D6"/>
    <w:multiLevelType w:val="hybridMultilevel"/>
    <w:tmpl w:val="1F5C5B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4593F27"/>
    <w:multiLevelType w:val="hybridMultilevel"/>
    <w:tmpl w:val="D97CF2AE"/>
    <w:lvl w:ilvl="0">
      <w:start w:val="1"/>
      <w:numFmt w:val="bullet"/>
      <w:pStyle w:val="bulletlvl1"/>
      <w:lvlText w:val=""/>
      <w:lvlJc w:val="left"/>
      <w:pPr>
        <w:ind w:left="720" w:hanging="360"/>
      </w:pPr>
      <w:rPr>
        <w:rFonts w:ascii="Symbol" w:hAnsi="Symbol" w:hint="default"/>
        <w:color w:val="18284B"/>
        <w:w w:val="100"/>
        <w:position w:val="0"/>
        <w:sz w:val="20"/>
        <w:szCs w:val="24"/>
      </w:rPr>
    </w:lvl>
    <w:lvl w:ilvl="1">
      <w:start w:val="1"/>
      <w:numFmt w:val="bullet"/>
      <w:pStyle w:val="bulletlvl2"/>
      <w:lvlText w:val=""/>
      <w:lvlJc w:val="left"/>
      <w:pPr>
        <w:ind w:left="1440" w:hanging="360"/>
      </w:pPr>
      <w:rPr>
        <w:rFonts w:ascii="Symbol" w:hAnsi="Symbol" w:hint="default"/>
        <w:color w:val="497AE4"/>
        <w:sz w:val="2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69A4C9E"/>
    <w:multiLevelType w:val="hybridMultilevel"/>
    <w:tmpl w:val="42228D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77F1320"/>
    <w:multiLevelType w:val="hybridMultilevel"/>
    <w:tmpl w:val="64A0BA3E"/>
    <w:lvl w:ilvl="0">
      <w:start w:val="1"/>
      <w:numFmt w:val="decimal"/>
      <w:lvlText w:val="%1."/>
      <w:lvlJc w:val="left"/>
      <w:pPr>
        <w:ind w:left="1166" w:hanging="360"/>
      </w:pPr>
      <w:rPr>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1796" w:hanging="360"/>
      </w:pPr>
    </w:lvl>
    <w:lvl w:ilvl="2">
      <w:start w:val="1"/>
      <w:numFmt w:val="lowerRoman"/>
      <w:lvlText w:val="%3."/>
      <w:lvlJc w:val="right"/>
      <w:pPr>
        <w:ind w:left="2516" w:hanging="180"/>
      </w:pPr>
    </w:lvl>
    <w:lvl w:ilvl="3" w:tentative="1">
      <w:start w:val="1"/>
      <w:numFmt w:val="decimal"/>
      <w:lvlText w:val="%4."/>
      <w:lvlJc w:val="left"/>
      <w:pPr>
        <w:ind w:left="3236" w:hanging="360"/>
      </w:pPr>
    </w:lvl>
    <w:lvl w:ilvl="4" w:tentative="1">
      <w:start w:val="1"/>
      <w:numFmt w:val="lowerLetter"/>
      <w:lvlText w:val="%5."/>
      <w:lvlJc w:val="left"/>
      <w:pPr>
        <w:ind w:left="3956" w:hanging="360"/>
      </w:pPr>
    </w:lvl>
    <w:lvl w:ilvl="5" w:tentative="1">
      <w:start w:val="1"/>
      <w:numFmt w:val="lowerRoman"/>
      <w:lvlText w:val="%6."/>
      <w:lvlJc w:val="right"/>
      <w:pPr>
        <w:ind w:left="4676" w:hanging="180"/>
      </w:pPr>
    </w:lvl>
    <w:lvl w:ilvl="6" w:tentative="1">
      <w:start w:val="1"/>
      <w:numFmt w:val="decimal"/>
      <w:lvlText w:val="%7."/>
      <w:lvlJc w:val="left"/>
      <w:pPr>
        <w:ind w:left="5396" w:hanging="360"/>
      </w:pPr>
    </w:lvl>
    <w:lvl w:ilvl="7" w:tentative="1">
      <w:start w:val="1"/>
      <w:numFmt w:val="lowerLetter"/>
      <w:lvlText w:val="%8."/>
      <w:lvlJc w:val="left"/>
      <w:pPr>
        <w:ind w:left="6116" w:hanging="360"/>
      </w:pPr>
    </w:lvl>
    <w:lvl w:ilvl="8" w:tentative="1">
      <w:start w:val="1"/>
      <w:numFmt w:val="lowerRoman"/>
      <w:lvlText w:val="%9."/>
      <w:lvlJc w:val="right"/>
      <w:pPr>
        <w:ind w:left="6836" w:hanging="180"/>
      </w:pPr>
    </w:lvl>
  </w:abstractNum>
  <w:abstractNum w:abstractNumId="16">
    <w:nsid w:val="49101FBD"/>
    <w:multiLevelType w:val="hybridMultilevel"/>
    <w:tmpl w:val="A99688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9D77458"/>
    <w:multiLevelType w:val="multilevel"/>
    <w:tmpl w:val="4B3C8F9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0C71FBB"/>
    <w:multiLevelType w:val="multilevel"/>
    <w:tmpl w:val="FDF0999E"/>
    <w:lvl w:ilvl="0">
      <w:start w:val="3"/>
      <w:numFmt w:val="decimal"/>
      <w:lvlText w:val="%1"/>
      <w:lvlJc w:val="left"/>
      <w:pPr>
        <w:ind w:left="360" w:hanging="360"/>
      </w:pPr>
      <w:rPr>
        <w:rFonts w:eastAsia="MS Mincho" w:hint="default"/>
        <w:b/>
        <w:w w:val="105"/>
      </w:rPr>
    </w:lvl>
    <w:lvl w:ilvl="1">
      <w:start w:val="1"/>
      <w:numFmt w:val="decimal"/>
      <w:lvlText w:val="%1.%2"/>
      <w:lvlJc w:val="left"/>
      <w:pPr>
        <w:ind w:left="360" w:hanging="360"/>
      </w:pPr>
      <w:rPr>
        <w:rFonts w:eastAsia="MS Mincho" w:hint="default"/>
        <w:b/>
        <w:w w:val="105"/>
      </w:rPr>
    </w:lvl>
    <w:lvl w:ilvl="2">
      <w:start w:val="1"/>
      <w:numFmt w:val="decimal"/>
      <w:lvlText w:val="%1.%2.%3"/>
      <w:lvlJc w:val="left"/>
      <w:pPr>
        <w:ind w:left="720" w:hanging="720"/>
      </w:pPr>
      <w:rPr>
        <w:rFonts w:eastAsia="MS Mincho" w:hint="default"/>
        <w:b/>
        <w:w w:val="105"/>
      </w:rPr>
    </w:lvl>
    <w:lvl w:ilvl="3">
      <w:start w:val="1"/>
      <w:numFmt w:val="decimal"/>
      <w:lvlText w:val="%1.%2.%3.%4"/>
      <w:lvlJc w:val="left"/>
      <w:pPr>
        <w:ind w:left="720" w:hanging="720"/>
      </w:pPr>
      <w:rPr>
        <w:rFonts w:eastAsia="MS Mincho" w:hint="default"/>
        <w:b/>
        <w:w w:val="105"/>
      </w:rPr>
    </w:lvl>
    <w:lvl w:ilvl="4">
      <w:start w:val="1"/>
      <w:numFmt w:val="decimal"/>
      <w:lvlText w:val="%1.%2.%3.%4.%5"/>
      <w:lvlJc w:val="left"/>
      <w:pPr>
        <w:ind w:left="1080" w:hanging="1080"/>
      </w:pPr>
      <w:rPr>
        <w:rFonts w:eastAsia="MS Mincho" w:hint="default"/>
        <w:b/>
        <w:w w:val="105"/>
      </w:rPr>
    </w:lvl>
    <w:lvl w:ilvl="5">
      <w:start w:val="1"/>
      <w:numFmt w:val="decimal"/>
      <w:lvlText w:val="%1.%2.%3.%4.%5.%6"/>
      <w:lvlJc w:val="left"/>
      <w:pPr>
        <w:ind w:left="1080" w:hanging="1080"/>
      </w:pPr>
      <w:rPr>
        <w:rFonts w:eastAsia="MS Mincho" w:hint="default"/>
        <w:b/>
        <w:w w:val="105"/>
      </w:rPr>
    </w:lvl>
    <w:lvl w:ilvl="6">
      <w:start w:val="1"/>
      <w:numFmt w:val="decimal"/>
      <w:lvlText w:val="%1.%2.%3.%4.%5.%6.%7"/>
      <w:lvlJc w:val="left"/>
      <w:pPr>
        <w:ind w:left="1440" w:hanging="1440"/>
      </w:pPr>
      <w:rPr>
        <w:rFonts w:eastAsia="MS Mincho" w:hint="default"/>
        <w:b/>
        <w:w w:val="105"/>
      </w:rPr>
    </w:lvl>
    <w:lvl w:ilvl="7">
      <w:start w:val="1"/>
      <w:numFmt w:val="decimal"/>
      <w:lvlText w:val="%1.%2.%3.%4.%5.%6.%7.%8"/>
      <w:lvlJc w:val="left"/>
      <w:pPr>
        <w:ind w:left="1440" w:hanging="1440"/>
      </w:pPr>
      <w:rPr>
        <w:rFonts w:eastAsia="MS Mincho" w:hint="default"/>
        <w:b/>
        <w:w w:val="105"/>
      </w:rPr>
    </w:lvl>
    <w:lvl w:ilvl="8">
      <w:start w:val="1"/>
      <w:numFmt w:val="decimal"/>
      <w:lvlText w:val="%1.%2.%3.%4.%5.%6.%7.%8.%9"/>
      <w:lvlJc w:val="left"/>
      <w:pPr>
        <w:ind w:left="1800" w:hanging="1800"/>
      </w:pPr>
      <w:rPr>
        <w:rFonts w:eastAsia="MS Mincho" w:hint="default"/>
        <w:b/>
        <w:w w:val="105"/>
      </w:rPr>
    </w:lvl>
  </w:abstractNum>
  <w:abstractNum w:abstractNumId="19">
    <w:nsid w:val="515042E5"/>
    <w:multiLevelType w:val="hybridMultilevel"/>
    <w:tmpl w:val="1AEAC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9641199"/>
    <w:multiLevelType w:val="hybridMultilevel"/>
    <w:tmpl w:val="312EF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776490"/>
    <w:multiLevelType w:val="hybridMultilevel"/>
    <w:tmpl w:val="54EA2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403EFA"/>
    <w:multiLevelType w:val="hybridMultilevel"/>
    <w:tmpl w:val="1C705512"/>
    <w:lvl w:ilvl="0">
      <w:start w:val="1"/>
      <w:numFmt w:val="bullet"/>
      <w:pStyle w:val="TOC2"/>
      <w:lvlText w:val=""/>
      <w:lvlJc w:val="left"/>
      <w:pPr>
        <w:ind w:left="648" w:hanging="288"/>
      </w:pPr>
      <w:rPr>
        <w:rFonts w:ascii="Symbol" w:hAnsi="Symbol" w:hint="default"/>
        <w:w w:val="100"/>
        <w:sz w:val="20"/>
        <w:szCs w:val="20"/>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23">
    <w:nsid w:val="76AB4AF1"/>
    <w:multiLevelType w:val="hybridMultilevel"/>
    <w:tmpl w:val="94B8DE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A626E3"/>
    <w:multiLevelType w:val="hybridMultilevel"/>
    <w:tmpl w:val="94BED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6202653">
    <w:abstractNumId w:val="13"/>
  </w:num>
  <w:num w:numId="2" w16cid:durableId="1736471823">
    <w:abstractNumId w:val="22"/>
  </w:num>
  <w:num w:numId="3" w16cid:durableId="1405883278">
    <w:abstractNumId w:val="15"/>
  </w:num>
  <w:num w:numId="4" w16cid:durableId="33043173">
    <w:abstractNumId w:val="10"/>
  </w:num>
  <w:num w:numId="5" w16cid:durableId="1343051727">
    <w:abstractNumId w:val="9"/>
  </w:num>
  <w:num w:numId="6" w16cid:durableId="564991453">
    <w:abstractNumId w:val="18"/>
  </w:num>
  <w:num w:numId="7" w16cid:durableId="1083138029">
    <w:abstractNumId w:val="2"/>
  </w:num>
  <w:num w:numId="8" w16cid:durableId="158350533">
    <w:abstractNumId w:val="0"/>
  </w:num>
  <w:num w:numId="9" w16cid:durableId="532112789">
    <w:abstractNumId w:val="14"/>
  </w:num>
  <w:num w:numId="10" w16cid:durableId="2120173096">
    <w:abstractNumId w:val="11"/>
  </w:num>
  <w:num w:numId="11" w16cid:durableId="1861047939">
    <w:abstractNumId w:val="3"/>
  </w:num>
  <w:num w:numId="12" w16cid:durableId="864289943">
    <w:abstractNumId w:val="19"/>
  </w:num>
  <w:num w:numId="13" w16cid:durableId="1830633753">
    <w:abstractNumId w:val="5"/>
  </w:num>
  <w:num w:numId="14" w16cid:durableId="932862944">
    <w:abstractNumId w:val="6"/>
  </w:num>
  <w:num w:numId="15" w16cid:durableId="1568026886">
    <w:abstractNumId w:val="23"/>
  </w:num>
  <w:num w:numId="16" w16cid:durableId="506410786">
    <w:abstractNumId w:val="20"/>
  </w:num>
  <w:num w:numId="17" w16cid:durableId="1384794984">
    <w:abstractNumId w:val="17"/>
  </w:num>
  <w:num w:numId="18" w16cid:durableId="410156761">
    <w:abstractNumId w:val="4"/>
  </w:num>
  <w:num w:numId="19" w16cid:durableId="1619601757">
    <w:abstractNumId w:val="1"/>
  </w:num>
  <w:num w:numId="20" w16cid:durableId="2033022995">
    <w:abstractNumId w:val="12"/>
  </w:num>
  <w:num w:numId="21" w16cid:durableId="1055205784">
    <w:abstractNumId w:val="21"/>
  </w:num>
  <w:num w:numId="22" w16cid:durableId="680471335">
    <w:abstractNumId w:val="24"/>
  </w:num>
  <w:num w:numId="23" w16cid:durableId="302925949">
    <w:abstractNumId w:val="7"/>
  </w:num>
  <w:num w:numId="24" w16cid:durableId="942225499">
    <w:abstractNumId w:val="16"/>
  </w:num>
  <w:num w:numId="25" w16cid:durableId="28397114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57"/>
    <w:rsid w:val="00003E1D"/>
    <w:rsid w:val="000055AC"/>
    <w:rsid w:val="000064AD"/>
    <w:rsid w:val="000153BC"/>
    <w:rsid w:val="000161E0"/>
    <w:rsid w:val="000167D0"/>
    <w:rsid w:val="00017CC2"/>
    <w:rsid w:val="00021565"/>
    <w:rsid w:val="000262AB"/>
    <w:rsid w:val="00026910"/>
    <w:rsid w:val="00030601"/>
    <w:rsid w:val="000311EC"/>
    <w:rsid w:val="00031DB0"/>
    <w:rsid w:val="0003341B"/>
    <w:rsid w:val="000339CE"/>
    <w:rsid w:val="00033C6A"/>
    <w:rsid w:val="00040EB4"/>
    <w:rsid w:val="000437DE"/>
    <w:rsid w:val="000443D3"/>
    <w:rsid w:val="00046DE1"/>
    <w:rsid w:val="00050794"/>
    <w:rsid w:val="0005291C"/>
    <w:rsid w:val="00053024"/>
    <w:rsid w:val="00063B77"/>
    <w:rsid w:val="000704A6"/>
    <w:rsid w:val="000727F5"/>
    <w:rsid w:val="000750E3"/>
    <w:rsid w:val="000759D2"/>
    <w:rsid w:val="00084267"/>
    <w:rsid w:val="00084F5A"/>
    <w:rsid w:val="00087A31"/>
    <w:rsid w:val="00092506"/>
    <w:rsid w:val="0009284C"/>
    <w:rsid w:val="0009500E"/>
    <w:rsid w:val="00095013"/>
    <w:rsid w:val="000A02D6"/>
    <w:rsid w:val="000A5337"/>
    <w:rsid w:val="000A6F35"/>
    <w:rsid w:val="000A7D61"/>
    <w:rsid w:val="000B0510"/>
    <w:rsid w:val="000B1094"/>
    <w:rsid w:val="000B2C43"/>
    <w:rsid w:val="000B35BF"/>
    <w:rsid w:val="000B381D"/>
    <w:rsid w:val="000B3C31"/>
    <w:rsid w:val="000C0997"/>
    <w:rsid w:val="000C37E4"/>
    <w:rsid w:val="000C4FC6"/>
    <w:rsid w:val="000C5F3E"/>
    <w:rsid w:val="000C72DB"/>
    <w:rsid w:val="000D33D9"/>
    <w:rsid w:val="000D503C"/>
    <w:rsid w:val="000E0FED"/>
    <w:rsid w:val="000E3D5C"/>
    <w:rsid w:val="000E6712"/>
    <w:rsid w:val="000F1E1B"/>
    <w:rsid w:val="000F33E1"/>
    <w:rsid w:val="000F4279"/>
    <w:rsid w:val="001028BF"/>
    <w:rsid w:val="00103284"/>
    <w:rsid w:val="00105B9A"/>
    <w:rsid w:val="00110F68"/>
    <w:rsid w:val="00113CAB"/>
    <w:rsid w:val="00117C5A"/>
    <w:rsid w:val="0012044D"/>
    <w:rsid w:val="00120BC9"/>
    <w:rsid w:val="00124D89"/>
    <w:rsid w:val="001259C4"/>
    <w:rsid w:val="00127982"/>
    <w:rsid w:val="001306BC"/>
    <w:rsid w:val="00132EBC"/>
    <w:rsid w:val="00133536"/>
    <w:rsid w:val="00133964"/>
    <w:rsid w:val="00147303"/>
    <w:rsid w:val="00152CD4"/>
    <w:rsid w:val="00153696"/>
    <w:rsid w:val="00164314"/>
    <w:rsid w:val="0017530B"/>
    <w:rsid w:val="00180540"/>
    <w:rsid w:val="001812CB"/>
    <w:rsid w:val="001866C0"/>
    <w:rsid w:val="00186798"/>
    <w:rsid w:val="00195967"/>
    <w:rsid w:val="0019598C"/>
    <w:rsid w:val="001A237F"/>
    <w:rsid w:val="001A6803"/>
    <w:rsid w:val="001B0223"/>
    <w:rsid w:val="001B2C5D"/>
    <w:rsid w:val="001B587B"/>
    <w:rsid w:val="001C0924"/>
    <w:rsid w:val="001C5EE2"/>
    <w:rsid w:val="001D1026"/>
    <w:rsid w:val="001D18B9"/>
    <w:rsid w:val="001E40F5"/>
    <w:rsid w:val="001E64C0"/>
    <w:rsid w:val="001F005B"/>
    <w:rsid w:val="001F04C6"/>
    <w:rsid w:val="001F2A98"/>
    <w:rsid w:val="001F705A"/>
    <w:rsid w:val="001F7EA6"/>
    <w:rsid w:val="0020034F"/>
    <w:rsid w:val="00205A42"/>
    <w:rsid w:val="00207716"/>
    <w:rsid w:val="00212890"/>
    <w:rsid w:val="0021393F"/>
    <w:rsid w:val="0021400C"/>
    <w:rsid w:val="00214026"/>
    <w:rsid w:val="00214B75"/>
    <w:rsid w:val="0021568C"/>
    <w:rsid w:val="00216296"/>
    <w:rsid w:val="002177D8"/>
    <w:rsid w:val="00220AF1"/>
    <w:rsid w:val="00220EDC"/>
    <w:rsid w:val="0022120E"/>
    <w:rsid w:val="0022172C"/>
    <w:rsid w:val="00223EE7"/>
    <w:rsid w:val="002250CE"/>
    <w:rsid w:val="0022527C"/>
    <w:rsid w:val="00230927"/>
    <w:rsid w:val="00233F6F"/>
    <w:rsid w:val="00236616"/>
    <w:rsid w:val="00236DDE"/>
    <w:rsid w:val="002375A8"/>
    <w:rsid w:val="002376A7"/>
    <w:rsid w:val="00237ED8"/>
    <w:rsid w:val="0024035F"/>
    <w:rsid w:val="00240F05"/>
    <w:rsid w:val="002413F1"/>
    <w:rsid w:val="0024149C"/>
    <w:rsid w:val="00244FE3"/>
    <w:rsid w:val="002532AD"/>
    <w:rsid w:val="002541AB"/>
    <w:rsid w:val="002570AB"/>
    <w:rsid w:val="002618A8"/>
    <w:rsid w:val="00262333"/>
    <w:rsid w:val="00271F62"/>
    <w:rsid w:val="0027207A"/>
    <w:rsid w:val="00273443"/>
    <w:rsid w:val="00275AF1"/>
    <w:rsid w:val="002826CA"/>
    <w:rsid w:val="00283906"/>
    <w:rsid w:val="002852E1"/>
    <w:rsid w:val="00290FED"/>
    <w:rsid w:val="00293F3B"/>
    <w:rsid w:val="00296A5B"/>
    <w:rsid w:val="0029786E"/>
    <w:rsid w:val="002A0F8D"/>
    <w:rsid w:val="002A5319"/>
    <w:rsid w:val="002A6EC7"/>
    <w:rsid w:val="002B062A"/>
    <w:rsid w:val="002B0F77"/>
    <w:rsid w:val="002B16AF"/>
    <w:rsid w:val="002B1F64"/>
    <w:rsid w:val="002B41D1"/>
    <w:rsid w:val="002B5BD3"/>
    <w:rsid w:val="002B5EBD"/>
    <w:rsid w:val="002C38A2"/>
    <w:rsid w:val="002C4093"/>
    <w:rsid w:val="002C7FB3"/>
    <w:rsid w:val="002D292E"/>
    <w:rsid w:val="002D4594"/>
    <w:rsid w:val="002D4C62"/>
    <w:rsid w:val="002D5261"/>
    <w:rsid w:val="002D6483"/>
    <w:rsid w:val="002E07FB"/>
    <w:rsid w:val="002E196B"/>
    <w:rsid w:val="002E2038"/>
    <w:rsid w:val="002E356A"/>
    <w:rsid w:val="002E5972"/>
    <w:rsid w:val="002E6FD9"/>
    <w:rsid w:val="002E7115"/>
    <w:rsid w:val="002E755C"/>
    <w:rsid w:val="002F155F"/>
    <w:rsid w:val="002F2213"/>
    <w:rsid w:val="002F2980"/>
    <w:rsid w:val="002F2E8E"/>
    <w:rsid w:val="002F3ABD"/>
    <w:rsid w:val="002F4059"/>
    <w:rsid w:val="002F5403"/>
    <w:rsid w:val="002F5BC3"/>
    <w:rsid w:val="003014A3"/>
    <w:rsid w:val="00302DDD"/>
    <w:rsid w:val="00303050"/>
    <w:rsid w:val="00306075"/>
    <w:rsid w:val="00306DB4"/>
    <w:rsid w:val="003113CA"/>
    <w:rsid w:val="00316D36"/>
    <w:rsid w:val="00317532"/>
    <w:rsid w:val="003212F1"/>
    <w:rsid w:val="00323849"/>
    <w:rsid w:val="00324FC7"/>
    <w:rsid w:val="00325BA1"/>
    <w:rsid w:val="00325BEA"/>
    <w:rsid w:val="003262EB"/>
    <w:rsid w:val="00326B7C"/>
    <w:rsid w:val="00327819"/>
    <w:rsid w:val="0033283C"/>
    <w:rsid w:val="00332A29"/>
    <w:rsid w:val="00333A90"/>
    <w:rsid w:val="0033645E"/>
    <w:rsid w:val="00336D8C"/>
    <w:rsid w:val="00340E45"/>
    <w:rsid w:val="00342544"/>
    <w:rsid w:val="00344D31"/>
    <w:rsid w:val="00345FD9"/>
    <w:rsid w:val="00347DBB"/>
    <w:rsid w:val="00362002"/>
    <w:rsid w:val="00365037"/>
    <w:rsid w:val="00370A96"/>
    <w:rsid w:val="00371374"/>
    <w:rsid w:val="0037330A"/>
    <w:rsid w:val="00375610"/>
    <w:rsid w:val="00380959"/>
    <w:rsid w:val="0039285F"/>
    <w:rsid w:val="00393C03"/>
    <w:rsid w:val="00394345"/>
    <w:rsid w:val="00395129"/>
    <w:rsid w:val="003953FE"/>
    <w:rsid w:val="0039607B"/>
    <w:rsid w:val="003A0DAA"/>
    <w:rsid w:val="003A3DBA"/>
    <w:rsid w:val="003A49A3"/>
    <w:rsid w:val="003A5AE1"/>
    <w:rsid w:val="003B2EE6"/>
    <w:rsid w:val="003B494C"/>
    <w:rsid w:val="003B6C40"/>
    <w:rsid w:val="003C09EC"/>
    <w:rsid w:val="003C2045"/>
    <w:rsid w:val="003C510D"/>
    <w:rsid w:val="003C62D6"/>
    <w:rsid w:val="003C7930"/>
    <w:rsid w:val="003D0A45"/>
    <w:rsid w:val="003D1721"/>
    <w:rsid w:val="003D2E6C"/>
    <w:rsid w:val="003D322E"/>
    <w:rsid w:val="003D4772"/>
    <w:rsid w:val="003D490C"/>
    <w:rsid w:val="003E3317"/>
    <w:rsid w:val="003E7141"/>
    <w:rsid w:val="003F0D7E"/>
    <w:rsid w:val="003F24B5"/>
    <w:rsid w:val="003F3E5C"/>
    <w:rsid w:val="003F7A39"/>
    <w:rsid w:val="0040019C"/>
    <w:rsid w:val="004007F9"/>
    <w:rsid w:val="00402AD8"/>
    <w:rsid w:val="00411316"/>
    <w:rsid w:val="0041417D"/>
    <w:rsid w:val="00416423"/>
    <w:rsid w:val="00426C12"/>
    <w:rsid w:val="00440581"/>
    <w:rsid w:val="004409B7"/>
    <w:rsid w:val="0044367E"/>
    <w:rsid w:val="004451AB"/>
    <w:rsid w:val="00451549"/>
    <w:rsid w:val="00451610"/>
    <w:rsid w:val="004537DE"/>
    <w:rsid w:val="00453A8C"/>
    <w:rsid w:val="00456ABD"/>
    <w:rsid w:val="00460832"/>
    <w:rsid w:val="00462E5C"/>
    <w:rsid w:val="00463118"/>
    <w:rsid w:val="00464BDC"/>
    <w:rsid w:val="00465098"/>
    <w:rsid w:val="00465331"/>
    <w:rsid w:val="0046689A"/>
    <w:rsid w:val="0046729D"/>
    <w:rsid w:val="004678EE"/>
    <w:rsid w:val="00470ADA"/>
    <w:rsid w:val="00472866"/>
    <w:rsid w:val="00472EDC"/>
    <w:rsid w:val="00473ABB"/>
    <w:rsid w:val="00474EE5"/>
    <w:rsid w:val="00483290"/>
    <w:rsid w:val="00484B9B"/>
    <w:rsid w:val="00485271"/>
    <w:rsid w:val="00490017"/>
    <w:rsid w:val="0049134D"/>
    <w:rsid w:val="004925DE"/>
    <w:rsid w:val="00493E86"/>
    <w:rsid w:val="0049751F"/>
    <w:rsid w:val="00497F36"/>
    <w:rsid w:val="004A1583"/>
    <w:rsid w:val="004A2AB7"/>
    <w:rsid w:val="004A4BC1"/>
    <w:rsid w:val="004B2A5F"/>
    <w:rsid w:val="004B797A"/>
    <w:rsid w:val="004C0BFC"/>
    <w:rsid w:val="004C2196"/>
    <w:rsid w:val="004C2F76"/>
    <w:rsid w:val="004C68F4"/>
    <w:rsid w:val="004C6F12"/>
    <w:rsid w:val="004D0DF3"/>
    <w:rsid w:val="004D3155"/>
    <w:rsid w:val="004D4943"/>
    <w:rsid w:val="004D4BB2"/>
    <w:rsid w:val="004E2D0B"/>
    <w:rsid w:val="004E3057"/>
    <w:rsid w:val="004F080A"/>
    <w:rsid w:val="004F6BE7"/>
    <w:rsid w:val="005051C8"/>
    <w:rsid w:val="00511AFC"/>
    <w:rsid w:val="00513873"/>
    <w:rsid w:val="00513CA9"/>
    <w:rsid w:val="00517B3C"/>
    <w:rsid w:val="00520338"/>
    <w:rsid w:val="005220E1"/>
    <w:rsid w:val="00523A15"/>
    <w:rsid w:val="00524991"/>
    <w:rsid w:val="00527F4B"/>
    <w:rsid w:val="0053072A"/>
    <w:rsid w:val="00533F7F"/>
    <w:rsid w:val="00534646"/>
    <w:rsid w:val="00545597"/>
    <w:rsid w:val="00545847"/>
    <w:rsid w:val="00546AB9"/>
    <w:rsid w:val="00547622"/>
    <w:rsid w:val="00551163"/>
    <w:rsid w:val="00553836"/>
    <w:rsid w:val="00553E3B"/>
    <w:rsid w:val="00561155"/>
    <w:rsid w:val="005617BC"/>
    <w:rsid w:val="00564DDD"/>
    <w:rsid w:val="0057101E"/>
    <w:rsid w:val="005774CC"/>
    <w:rsid w:val="0058042E"/>
    <w:rsid w:val="00581C99"/>
    <w:rsid w:val="00582733"/>
    <w:rsid w:val="00583837"/>
    <w:rsid w:val="00586EB1"/>
    <w:rsid w:val="00586F24"/>
    <w:rsid w:val="00586F95"/>
    <w:rsid w:val="00590852"/>
    <w:rsid w:val="00597258"/>
    <w:rsid w:val="005A0E29"/>
    <w:rsid w:val="005A1A3B"/>
    <w:rsid w:val="005A39CA"/>
    <w:rsid w:val="005A5736"/>
    <w:rsid w:val="005B3074"/>
    <w:rsid w:val="005B4E17"/>
    <w:rsid w:val="005C0C4B"/>
    <w:rsid w:val="005C1F91"/>
    <w:rsid w:val="005C3E2F"/>
    <w:rsid w:val="005C42D3"/>
    <w:rsid w:val="005C537A"/>
    <w:rsid w:val="005C6661"/>
    <w:rsid w:val="005D18EA"/>
    <w:rsid w:val="005D4454"/>
    <w:rsid w:val="005D5952"/>
    <w:rsid w:val="005D7397"/>
    <w:rsid w:val="005E2645"/>
    <w:rsid w:val="005E5390"/>
    <w:rsid w:val="005F3FC2"/>
    <w:rsid w:val="005F4D01"/>
    <w:rsid w:val="005F5968"/>
    <w:rsid w:val="005F7312"/>
    <w:rsid w:val="005F7A56"/>
    <w:rsid w:val="00600D56"/>
    <w:rsid w:val="00603441"/>
    <w:rsid w:val="00605244"/>
    <w:rsid w:val="0061084E"/>
    <w:rsid w:val="00611D2C"/>
    <w:rsid w:val="00612D4D"/>
    <w:rsid w:val="0061560C"/>
    <w:rsid w:val="006163FA"/>
    <w:rsid w:val="00616F8A"/>
    <w:rsid w:val="006226C1"/>
    <w:rsid w:val="006237EB"/>
    <w:rsid w:val="00623A3F"/>
    <w:rsid w:val="0063691E"/>
    <w:rsid w:val="00644DE9"/>
    <w:rsid w:val="006467C8"/>
    <w:rsid w:val="00646C22"/>
    <w:rsid w:val="0065289E"/>
    <w:rsid w:val="00654EE9"/>
    <w:rsid w:val="00655354"/>
    <w:rsid w:val="00656230"/>
    <w:rsid w:val="00660594"/>
    <w:rsid w:val="0066147E"/>
    <w:rsid w:val="00663553"/>
    <w:rsid w:val="00664931"/>
    <w:rsid w:val="0067187D"/>
    <w:rsid w:val="00671B3A"/>
    <w:rsid w:val="006734EB"/>
    <w:rsid w:val="0067399D"/>
    <w:rsid w:val="006766FB"/>
    <w:rsid w:val="00681714"/>
    <w:rsid w:val="006830A4"/>
    <w:rsid w:val="00683D7E"/>
    <w:rsid w:val="00684068"/>
    <w:rsid w:val="00684F50"/>
    <w:rsid w:val="00686379"/>
    <w:rsid w:val="00686CA8"/>
    <w:rsid w:val="00686D8F"/>
    <w:rsid w:val="006918C7"/>
    <w:rsid w:val="00693F66"/>
    <w:rsid w:val="00696122"/>
    <w:rsid w:val="00697CEE"/>
    <w:rsid w:val="006A2C47"/>
    <w:rsid w:val="006A3D4F"/>
    <w:rsid w:val="006A7F2B"/>
    <w:rsid w:val="006C0E63"/>
    <w:rsid w:val="006C4B79"/>
    <w:rsid w:val="006C4DDF"/>
    <w:rsid w:val="006C51B3"/>
    <w:rsid w:val="006C51C3"/>
    <w:rsid w:val="006C5AAE"/>
    <w:rsid w:val="006C7147"/>
    <w:rsid w:val="006C7F37"/>
    <w:rsid w:val="006C7FC5"/>
    <w:rsid w:val="006D0042"/>
    <w:rsid w:val="006D1145"/>
    <w:rsid w:val="006D11FE"/>
    <w:rsid w:val="006D2A05"/>
    <w:rsid w:val="006D4BD3"/>
    <w:rsid w:val="006D6AC7"/>
    <w:rsid w:val="006E424F"/>
    <w:rsid w:val="006E776E"/>
    <w:rsid w:val="006F1C00"/>
    <w:rsid w:val="006F4366"/>
    <w:rsid w:val="006F55C6"/>
    <w:rsid w:val="006F66B3"/>
    <w:rsid w:val="00701CFB"/>
    <w:rsid w:val="00705072"/>
    <w:rsid w:val="007050B6"/>
    <w:rsid w:val="00707257"/>
    <w:rsid w:val="007137D2"/>
    <w:rsid w:val="007141FF"/>
    <w:rsid w:val="007162B4"/>
    <w:rsid w:val="00716AEA"/>
    <w:rsid w:val="00717F6E"/>
    <w:rsid w:val="00720BE2"/>
    <w:rsid w:val="00730652"/>
    <w:rsid w:val="007316CD"/>
    <w:rsid w:val="007367E4"/>
    <w:rsid w:val="007370A0"/>
    <w:rsid w:val="00737CB8"/>
    <w:rsid w:val="0074202E"/>
    <w:rsid w:val="00744394"/>
    <w:rsid w:val="00751427"/>
    <w:rsid w:val="00751F0F"/>
    <w:rsid w:val="00753302"/>
    <w:rsid w:val="0075551C"/>
    <w:rsid w:val="00763F02"/>
    <w:rsid w:val="0076516F"/>
    <w:rsid w:val="0076618C"/>
    <w:rsid w:val="0077218E"/>
    <w:rsid w:val="007735FB"/>
    <w:rsid w:val="00776F0A"/>
    <w:rsid w:val="007770A7"/>
    <w:rsid w:val="00782270"/>
    <w:rsid w:val="00783E3A"/>
    <w:rsid w:val="0078442B"/>
    <w:rsid w:val="00784798"/>
    <w:rsid w:val="00784BF9"/>
    <w:rsid w:val="00784D92"/>
    <w:rsid w:val="007924A6"/>
    <w:rsid w:val="007949C8"/>
    <w:rsid w:val="007A0499"/>
    <w:rsid w:val="007A0F87"/>
    <w:rsid w:val="007A1250"/>
    <w:rsid w:val="007A16A6"/>
    <w:rsid w:val="007A36A9"/>
    <w:rsid w:val="007B01E2"/>
    <w:rsid w:val="007B04FB"/>
    <w:rsid w:val="007B1917"/>
    <w:rsid w:val="007B3113"/>
    <w:rsid w:val="007B4100"/>
    <w:rsid w:val="007B6DC2"/>
    <w:rsid w:val="007B77D5"/>
    <w:rsid w:val="007C1123"/>
    <w:rsid w:val="007C218E"/>
    <w:rsid w:val="007C3E3E"/>
    <w:rsid w:val="007C4E8F"/>
    <w:rsid w:val="007C6B52"/>
    <w:rsid w:val="007C71DB"/>
    <w:rsid w:val="007D1EC3"/>
    <w:rsid w:val="007D44E3"/>
    <w:rsid w:val="007D6A46"/>
    <w:rsid w:val="007E02F4"/>
    <w:rsid w:val="007E0AB4"/>
    <w:rsid w:val="007E1488"/>
    <w:rsid w:val="007E2E88"/>
    <w:rsid w:val="007E3668"/>
    <w:rsid w:val="007E4083"/>
    <w:rsid w:val="007E589E"/>
    <w:rsid w:val="007E7EC5"/>
    <w:rsid w:val="007F3089"/>
    <w:rsid w:val="008002CB"/>
    <w:rsid w:val="0080067C"/>
    <w:rsid w:val="00802598"/>
    <w:rsid w:val="00802D59"/>
    <w:rsid w:val="00807750"/>
    <w:rsid w:val="008102A8"/>
    <w:rsid w:val="008102C7"/>
    <w:rsid w:val="008124A6"/>
    <w:rsid w:val="008124F2"/>
    <w:rsid w:val="00815CED"/>
    <w:rsid w:val="00817A06"/>
    <w:rsid w:val="00821010"/>
    <w:rsid w:val="00821260"/>
    <w:rsid w:val="008239CF"/>
    <w:rsid w:val="00825243"/>
    <w:rsid w:val="00833F18"/>
    <w:rsid w:val="00836215"/>
    <w:rsid w:val="0084000B"/>
    <w:rsid w:val="008413CE"/>
    <w:rsid w:val="0084383C"/>
    <w:rsid w:val="00844B1F"/>
    <w:rsid w:val="008520BB"/>
    <w:rsid w:val="00853316"/>
    <w:rsid w:val="00854703"/>
    <w:rsid w:val="00854E98"/>
    <w:rsid w:val="00855A61"/>
    <w:rsid w:val="00856DAE"/>
    <w:rsid w:val="0086041C"/>
    <w:rsid w:val="008621C7"/>
    <w:rsid w:val="008662EA"/>
    <w:rsid w:val="00871CEC"/>
    <w:rsid w:val="00874D11"/>
    <w:rsid w:val="008810D8"/>
    <w:rsid w:val="00886A3D"/>
    <w:rsid w:val="00890A75"/>
    <w:rsid w:val="00891056"/>
    <w:rsid w:val="00896596"/>
    <w:rsid w:val="008A6D48"/>
    <w:rsid w:val="008A7003"/>
    <w:rsid w:val="008A7DC0"/>
    <w:rsid w:val="008A7DFC"/>
    <w:rsid w:val="008B1148"/>
    <w:rsid w:val="008B2172"/>
    <w:rsid w:val="008B22C1"/>
    <w:rsid w:val="008B3509"/>
    <w:rsid w:val="008B506E"/>
    <w:rsid w:val="008B50CB"/>
    <w:rsid w:val="008B6438"/>
    <w:rsid w:val="008B79DA"/>
    <w:rsid w:val="008C2639"/>
    <w:rsid w:val="008C4BEC"/>
    <w:rsid w:val="008D065F"/>
    <w:rsid w:val="008D1970"/>
    <w:rsid w:val="008D20CC"/>
    <w:rsid w:val="008D23B4"/>
    <w:rsid w:val="008D3173"/>
    <w:rsid w:val="008D3A35"/>
    <w:rsid w:val="008D5E7C"/>
    <w:rsid w:val="008D6296"/>
    <w:rsid w:val="008D651D"/>
    <w:rsid w:val="008D76A7"/>
    <w:rsid w:val="008E3144"/>
    <w:rsid w:val="008E340E"/>
    <w:rsid w:val="008E3DFA"/>
    <w:rsid w:val="008E48A1"/>
    <w:rsid w:val="008E5061"/>
    <w:rsid w:val="008E65D6"/>
    <w:rsid w:val="008F085E"/>
    <w:rsid w:val="008F110F"/>
    <w:rsid w:val="008F2D30"/>
    <w:rsid w:val="008F4F25"/>
    <w:rsid w:val="008F5403"/>
    <w:rsid w:val="00904F50"/>
    <w:rsid w:val="0090797A"/>
    <w:rsid w:val="00910297"/>
    <w:rsid w:val="0091374E"/>
    <w:rsid w:val="009216F5"/>
    <w:rsid w:val="00922146"/>
    <w:rsid w:val="0092593F"/>
    <w:rsid w:val="00931A12"/>
    <w:rsid w:val="009417ED"/>
    <w:rsid w:val="00943441"/>
    <w:rsid w:val="00943ED0"/>
    <w:rsid w:val="00945914"/>
    <w:rsid w:val="00945D3E"/>
    <w:rsid w:val="0094619E"/>
    <w:rsid w:val="00946B7F"/>
    <w:rsid w:val="00957C08"/>
    <w:rsid w:val="00960155"/>
    <w:rsid w:val="00960DCA"/>
    <w:rsid w:val="00961608"/>
    <w:rsid w:val="00964EED"/>
    <w:rsid w:val="00965E49"/>
    <w:rsid w:val="00966507"/>
    <w:rsid w:val="00967EB8"/>
    <w:rsid w:val="00970F6A"/>
    <w:rsid w:val="009738D4"/>
    <w:rsid w:val="00974810"/>
    <w:rsid w:val="00981933"/>
    <w:rsid w:val="00985772"/>
    <w:rsid w:val="0098620E"/>
    <w:rsid w:val="00986612"/>
    <w:rsid w:val="0098778B"/>
    <w:rsid w:val="00993994"/>
    <w:rsid w:val="0099611A"/>
    <w:rsid w:val="00997176"/>
    <w:rsid w:val="009A0A7C"/>
    <w:rsid w:val="009A0EB5"/>
    <w:rsid w:val="009A1680"/>
    <w:rsid w:val="009A2862"/>
    <w:rsid w:val="009A2E1E"/>
    <w:rsid w:val="009A66D9"/>
    <w:rsid w:val="009B0090"/>
    <w:rsid w:val="009B01A6"/>
    <w:rsid w:val="009B01E4"/>
    <w:rsid w:val="009B16CC"/>
    <w:rsid w:val="009B44A9"/>
    <w:rsid w:val="009B4B21"/>
    <w:rsid w:val="009C1A78"/>
    <w:rsid w:val="009C256D"/>
    <w:rsid w:val="009C2B8C"/>
    <w:rsid w:val="009C599A"/>
    <w:rsid w:val="009C60BB"/>
    <w:rsid w:val="009D27C5"/>
    <w:rsid w:val="009D5B89"/>
    <w:rsid w:val="009D6656"/>
    <w:rsid w:val="009E3C82"/>
    <w:rsid w:val="009E4939"/>
    <w:rsid w:val="009E5077"/>
    <w:rsid w:val="009E6086"/>
    <w:rsid w:val="009E65DC"/>
    <w:rsid w:val="009E7568"/>
    <w:rsid w:val="009E7691"/>
    <w:rsid w:val="00A032D4"/>
    <w:rsid w:val="00A064EB"/>
    <w:rsid w:val="00A06EAF"/>
    <w:rsid w:val="00A0722F"/>
    <w:rsid w:val="00A156BB"/>
    <w:rsid w:val="00A16CBB"/>
    <w:rsid w:val="00A22FA3"/>
    <w:rsid w:val="00A23AAB"/>
    <w:rsid w:val="00A25679"/>
    <w:rsid w:val="00A36723"/>
    <w:rsid w:val="00A36F28"/>
    <w:rsid w:val="00A3797A"/>
    <w:rsid w:val="00A4187E"/>
    <w:rsid w:val="00A45E80"/>
    <w:rsid w:val="00A53803"/>
    <w:rsid w:val="00A54C19"/>
    <w:rsid w:val="00A56915"/>
    <w:rsid w:val="00A62B80"/>
    <w:rsid w:val="00A63FD4"/>
    <w:rsid w:val="00A75B1E"/>
    <w:rsid w:val="00A75D15"/>
    <w:rsid w:val="00A77A8E"/>
    <w:rsid w:val="00A8209E"/>
    <w:rsid w:val="00A821BD"/>
    <w:rsid w:val="00A8387E"/>
    <w:rsid w:val="00A91EF7"/>
    <w:rsid w:val="00A9397A"/>
    <w:rsid w:val="00A962EC"/>
    <w:rsid w:val="00A96D38"/>
    <w:rsid w:val="00AA0378"/>
    <w:rsid w:val="00AA15DD"/>
    <w:rsid w:val="00AA19EC"/>
    <w:rsid w:val="00AA1ADD"/>
    <w:rsid w:val="00AA3CB6"/>
    <w:rsid w:val="00AA4A57"/>
    <w:rsid w:val="00AA67D4"/>
    <w:rsid w:val="00AB0F1C"/>
    <w:rsid w:val="00AB3AD1"/>
    <w:rsid w:val="00AB4066"/>
    <w:rsid w:val="00AB4891"/>
    <w:rsid w:val="00AB67A9"/>
    <w:rsid w:val="00AC28F9"/>
    <w:rsid w:val="00AC59D4"/>
    <w:rsid w:val="00AC5B6B"/>
    <w:rsid w:val="00AC7B32"/>
    <w:rsid w:val="00AD00EB"/>
    <w:rsid w:val="00AD3F9A"/>
    <w:rsid w:val="00AE066B"/>
    <w:rsid w:val="00AE10C7"/>
    <w:rsid w:val="00AE220F"/>
    <w:rsid w:val="00AE25A6"/>
    <w:rsid w:val="00AE2F46"/>
    <w:rsid w:val="00AE3FC4"/>
    <w:rsid w:val="00AE7749"/>
    <w:rsid w:val="00AF1E5D"/>
    <w:rsid w:val="00AF23D7"/>
    <w:rsid w:val="00AF39FA"/>
    <w:rsid w:val="00AF48B2"/>
    <w:rsid w:val="00AF4C6B"/>
    <w:rsid w:val="00AF5697"/>
    <w:rsid w:val="00AF65F1"/>
    <w:rsid w:val="00B01E08"/>
    <w:rsid w:val="00B0255B"/>
    <w:rsid w:val="00B063C9"/>
    <w:rsid w:val="00B1086A"/>
    <w:rsid w:val="00B136AD"/>
    <w:rsid w:val="00B152AC"/>
    <w:rsid w:val="00B1635F"/>
    <w:rsid w:val="00B233C1"/>
    <w:rsid w:val="00B30BE6"/>
    <w:rsid w:val="00B3239F"/>
    <w:rsid w:val="00B348F2"/>
    <w:rsid w:val="00B42592"/>
    <w:rsid w:val="00B43290"/>
    <w:rsid w:val="00B470E6"/>
    <w:rsid w:val="00B532C3"/>
    <w:rsid w:val="00B554CD"/>
    <w:rsid w:val="00B558C3"/>
    <w:rsid w:val="00B56159"/>
    <w:rsid w:val="00B61F1D"/>
    <w:rsid w:val="00B62809"/>
    <w:rsid w:val="00B62DA9"/>
    <w:rsid w:val="00B659DD"/>
    <w:rsid w:val="00B669A8"/>
    <w:rsid w:val="00B71337"/>
    <w:rsid w:val="00B71FBB"/>
    <w:rsid w:val="00B7365C"/>
    <w:rsid w:val="00B74C18"/>
    <w:rsid w:val="00B7588D"/>
    <w:rsid w:val="00B7612D"/>
    <w:rsid w:val="00B77336"/>
    <w:rsid w:val="00B82992"/>
    <w:rsid w:val="00B82C4A"/>
    <w:rsid w:val="00B84B35"/>
    <w:rsid w:val="00B9502E"/>
    <w:rsid w:val="00B961C7"/>
    <w:rsid w:val="00BA0E1B"/>
    <w:rsid w:val="00BA521A"/>
    <w:rsid w:val="00BA52CF"/>
    <w:rsid w:val="00BA67DC"/>
    <w:rsid w:val="00BA76B1"/>
    <w:rsid w:val="00BA7978"/>
    <w:rsid w:val="00BB2F72"/>
    <w:rsid w:val="00BB667B"/>
    <w:rsid w:val="00BB6F1F"/>
    <w:rsid w:val="00BB796C"/>
    <w:rsid w:val="00BB7D78"/>
    <w:rsid w:val="00BC4C0C"/>
    <w:rsid w:val="00BC5C17"/>
    <w:rsid w:val="00BC6FDA"/>
    <w:rsid w:val="00BC7857"/>
    <w:rsid w:val="00BD44DA"/>
    <w:rsid w:val="00BD7B52"/>
    <w:rsid w:val="00BD7DD6"/>
    <w:rsid w:val="00BE19A5"/>
    <w:rsid w:val="00BE1D98"/>
    <w:rsid w:val="00BE3B49"/>
    <w:rsid w:val="00BE4135"/>
    <w:rsid w:val="00BE5923"/>
    <w:rsid w:val="00BE7049"/>
    <w:rsid w:val="00BE7EC4"/>
    <w:rsid w:val="00BF0953"/>
    <w:rsid w:val="00BF2A1F"/>
    <w:rsid w:val="00BF2F4E"/>
    <w:rsid w:val="00BF3A8E"/>
    <w:rsid w:val="00BF4F69"/>
    <w:rsid w:val="00BF7CC8"/>
    <w:rsid w:val="00C01D1A"/>
    <w:rsid w:val="00C03D30"/>
    <w:rsid w:val="00C05F42"/>
    <w:rsid w:val="00C17721"/>
    <w:rsid w:val="00C20C72"/>
    <w:rsid w:val="00C26460"/>
    <w:rsid w:val="00C26C0B"/>
    <w:rsid w:val="00C30ADF"/>
    <w:rsid w:val="00C32ED0"/>
    <w:rsid w:val="00C34754"/>
    <w:rsid w:val="00C3553A"/>
    <w:rsid w:val="00C40152"/>
    <w:rsid w:val="00C45996"/>
    <w:rsid w:val="00C52068"/>
    <w:rsid w:val="00C5209B"/>
    <w:rsid w:val="00C53F1D"/>
    <w:rsid w:val="00C60688"/>
    <w:rsid w:val="00C60EA2"/>
    <w:rsid w:val="00C61F9F"/>
    <w:rsid w:val="00C62F5A"/>
    <w:rsid w:val="00C755E6"/>
    <w:rsid w:val="00C811FB"/>
    <w:rsid w:val="00C81605"/>
    <w:rsid w:val="00C826DA"/>
    <w:rsid w:val="00C828D6"/>
    <w:rsid w:val="00C839F9"/>
    <w:rsid w:val="00C87C1A"/>
    <w:rsid w:val="00C9072C"/>
    <w:rsid w:val="00C927CE"/>
    <w:rsid w:val="00C9320F"/>
    <w:rsid w:val="00CA4FDC"/>
    <w:rsid w:val="00CB13CA"/>
    <w:rsid w:val="00CB3A30"/>
    <w:rsid w:val="00CC3FA5"/>
    <w:rsid w:val="00CC4E43"/>
    <w:rsid w:val="00CC524E"/>
    <w:rsid w:val="00CD1316"/>
    <w:rsid w:val="00CD18E7"/>
    <w:rsid w:val="00CD7965"/>
    <w:rsid w:val="00CD7C58"/>
    <w:rsid w:val="00CD7DFB"/>
    <w:rsid w:val="00CE0847"/>
    <w:rsid w:val="00CE0C0E"/>
    <w:rsid w:val="00CE4CDD"/>
    <w:rsid w:val="00CF1738"/>
    <w:rsid w:val="00CF23CC"/>
    <w:rsid w:val="00CF2775"/>
    <w:rsid w:val="00CF4736"/>
    <w:rsid w:val="00CF4A1C"/>
    <w:rsid w:val="00CF6D0F"/>
    <w:rsid w:val="00D02BA5"/>
    <w:rsid w:val="00D04D99"/>
    <w:rsid w:val="00D058F9"/>
    <w:rsid w:val="00D05A2D"/>
    <w:rsid w:val="00D06C5F"/>
    <w:rsid w:val="00D11258"/>
    <w:rsid w:val="00D150A6"/>
    <w:rsid w:val="00D15704"/>
    <w:rsid w:val="00D1666C"/>
    <w:rsid w:val="00D24846"/>
    <w:rsid w:val="00D25673"/>
    <w:rsid w:val="00D25810"/>
    <w:rsid w:val="00D32140"/>
    <w:rsid w:val="00D326D3"/>
    <w:rsid w:val="00D41F2A"/>
    <w:rsid w:val="00D43135"/>
    <w:rsid w:val="00D4320F"/>
    <w:rsid w:val="00D46A98"/>
    <w:rsid w:val="00D478FA"/>
    <w:rsid w:val="00D511F4"/>
    <w:rsid w:val="00D5181A"/>
    <w:rsid w:val="00D5462D"/>
    <w:rsid w:val="00D554A9"/>
    <w:rsid w:val="00D63EFA"/>
    <w:rsid w:val="00D66D5C"/>
    <w:rsid w:val="00D71831"/>
    <w:rsid w:val="00D71E3A"/>
    <w:rsid w:val="00D77FD7"/>
    <w:rsid w:val="00D83D78"/>
    <w:rsid w:val="00D8636C"/>
    <w:rsid w:val="00D907DD"/>
    <w:rsid w:val="00D93F51"/>
    <w:rsid w:val="00D9408F"/>
    <w:rsid w:val="00D978F0"/>
    <w:rsid w:val="00DA1BB1"/>
    <w:rsid w:val="00DB3F8A"/>
    <w:rsid w:val="00DB45E6"/>
    <w:rsid w:val="00DC0256"/>
    <w:rsid w:val="00DC17B8"/>
    <w:rsid w:val="00DC1B34"/>
    <w:rsid w:val="00DC2D78"/>
    <w:rsid w:val="00DC7221"/>
    <w:rsid w:val="00DD29AF"/>
    <w:rsid w:val="00DD3EA8"/>
    <w:rsid w:val="00DD45AB"/>
    <w:rsid w:val="00DE3DF0"/>
    <w:rsid w:val="00DE4768"/>
    <w:rsid w:val="00DE5D53"/>
    <w:rsid w:val="00DF44CE"/>
    <w:rsid w:val="00DF4C01"/>
    <w:rsid w:val="00DF69D4"/>
    <w:rsid w:val="00DF7406"/>
    <w:rsid w:val="00E00220"/>
    <w:rsid w:val="00E00C26"/>
    <w:rsid w:val="00E02016"/>
    <w:rsid w:val="00E07AA2"/>
    <w:rsid w:val="00E123A3"/>
    <w:rsid w:val="00E12B5E"/>
    <w:rsid w:val="00E13AD8"/>
    <w:rsid w:val="00E15144"/>
    <w:rsid w:val="00E15C9E"/>
    <w:rsid w:val="00E22CC7"/>
    <w:rsid w:val="00E25AD8"/>
    <w:rsid w:val="00E263CB"/>
    <w:rsid w:val="00E26683"/>
    <w:rsid w:val="00E31820"/>
    <w:rsid w:val="00E3372D"/>
    <w:rsid w:val="00E3556E"/>
    <w:rsid w:val="00E40400"/>
    <w:rsid w:val="00E462B2"/>
    <w:rsid w:val="00E46CC9"/>
    <w:rsid w:val="00E47757"/>
    <w:rsid w:val="00E47D29"/>
    <w:rsid w:val="00E47E00"/>
    <w:rsid w:val="00E50191"/>
    <w:rsid w:val="00E54233"/>
    <w:rsid w:val="00E636AB"/>
    <w:rsid w:val="00E63D5A"/>
    <w:rsid w:val="00E65588"/>
    <w:rsid w:val="00E6631C"/>
    <w:rsid w:val="00E66687"/>
    <w:rsid w:val="00E6783B"/>
    <w:rsid w:val="00E70BF8"/>
    <w:rsid w:val="00E70E05"/>
    <w:rsid w:val="00E754C9"/>
    <w:rsid w:val="00E75FE5"/>
    <w:rsid w:val="00E80877"/>
    <w:rsid w:val="00E82201"/>
    <w:rsid w:val="00E82C5E"/>
    <w:rsid w:val="00E85898"/>
    <w:rsid w:val="00E86206"/>
    <w:rsid w:val="00E929C0"/>
    <w:rsid w:val="00E93656"/>
    <w:rsid w:val="00E94487"/>
    <w:rsid w:val="00E964FB"/>
    <w:rsid w:val="00EA022F"/>
    <w:rsid w:val="00EA049C"/>
    <w:rsid w:val="00EB394B"/>
    <w:rsid w:val="00EB6CD5"/>
    <w:rsid w:val="00EC26C9"/>
    <w:rsid w:val="00EC3B88"/>
    <w:rsid w:val="00EC4501"/>
    <w:rsid w:val="00ED24E9"/>
    <w:rsid w:val="00ED4394"/>
    <w:rsid w:val="00ED4D73"/>
    <w:rsid w:val="00ED5072"/>
    <w:rsid w:val="00ED615A"/>
    <w:rsid w:val="00ED67ED"/>
    <w:rsid w:val="00EE2F2F"/>
    <w:rsid w:val="00EE50D0"/>
    <w:rsid w:val="00EE5DBE"/>
    <w:rsid w:val="00EE5E01"/>
    <w:rsid w:val="00EF0444"/>
    <w:rsid w:val="00EF0B19"/>
    <w:rsid w:val="00EF1864"/>
    <w:rsid w:val="00EF4A09"/>
    <w:rsid w:val="00EF6196"/>
    <w:rsid w:val="00EF71D0"/>
    <w:rsid w:val="00F029E9"/>
    <w:rsid w:val="00F07DA2"/>
    <w:rsid w:val="00F13030"/>
    <w:rsid w:val="00F13FAE"/>
    <w:rsid w:val="00F145F9"/>
    <w:rsid w:val="00F14E84"/>
    <w:rsid w:val="00F159E3"/>
    <w:rsid w:val="00F15F34"/>
    <w:rsid w:val="00F16868"/>
    <w:rsid w:val="00F22CD3"/>
    <w:rsid w:val="00F244B3"/>
    <w:rsid w:val="00F24E2E"/>
    <w:rsid w:val="00F259D4"/>
    <w:rsid w:val="00F338AC"/>
    <w:rsid w:val="00F35029"/>
    <w:rsid w:val="00F35346"/>
    <w:rsid w:val="00F37A3E"/>
    <w:rsid w:val="00F40135"/>
    <w:rsid w:val="00F40775"/>
    <w:rsid w:val="00F42688"/>
    <w:rsid w:val="00F452D4"/>
    <w:rsid w:val="00F4791D"/>
    <w:rsid w:val="00F538B6"/>
    <w:rsid w:val="00F547E0"/>
    <w:rsid w:val="00F54F32"/>
    <w:rsid w:val="00F56DF2"/>
    <w:rsid w:val="00F6078D"/>
    <w:rsid w:val="00F62510"/>
    <w:rsid w:val="00F64E17"/>
    <w:rsid w:val="00F740F0"/>
    <w:rsid w:val="00F742DD"/>
    <w:rsid w:val="00F74E6F"/>
    <w:rsid w:val="00F756FF"/>
    <w:rsid w:val="00F768F3"/>
    <w:rsid w:val="00F77C49"/>
    <w:rsid w:val="00F90494"/>
    <w:rsid w:val="00F90C06"/>
    <w:rsid w:val="00F94A24"/>
    <w:rsid w:val="00FA0EA6"/>
    <w:rsid w:val="00FA18D8"/>
    <w:rsid w:val="00FA2E12"/>
    <w:rsid w:val="00FA514B"/>
    <w:rsid w:val="00FA65B3"/>
    <w:rsid w:val="00FB27D6"/>
    <w:rsid w:val="00FB2AC2"/>
    <w:rsid w:val="00FB397E"/>
    <w:rsid w:val="00FB6BFA"/>
    <w:rsid w:val="00FB784D"/>
    <w:rsid w:val="00FC0CEB"/>
    <w:rsid w:val="00FC504E"/>
    <w:rsid w:val="00FC559F"/>
    <w:rsid w:val="00FC5C1C"/>
    <w:rsid w:val="00FD44BE"/>
    <w:rsid w:val="00FD4737"/>
    <w:rsid w:val="00FD4D24"/>
    <w:rsid w:val="00FD63EA"/>
    <w:rsid w:val="00FD7B1D"/>
    <w:rsid w:val="00FE0B54"/>
    <w:rsid w:val="00FF07EF"/>
    <w:rsid w:val="00FF2F8E"/>
    <w:rsid w:val="00FF3DBE"/>
    <w:rsid w:val="00FF4C61"/>
    <w:rsid w:val="00FF4F6D"/>
    <w:rsid w:val="00FF5F9C"/>
    <w:rsid w:val="00FF7C3E"/>
    <w:rsid w:val="00FF7C7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5BC1D3C4"/>
  <w15:docId w15:val="{B30D973F-20BA-48BF-8032-FB9E8212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F35"/>
    <w:rPr>
      <w:sz w:val="24"/>
      <w:szCs w:val="24"/>
    </w:rPr>
  </w:style>
  <w:style w:type="paragraph" w:styleId="Heading1">
    <w:name w:val="heading 1"/>
    <w:basedOn w:val="Title1"/>
    <w:next w:val="Normal"/>
    <w:link w:val="Heading1Char"/>
    <w:autoRedefine/>
    <w:uiPriority w:val="9"/>
    <w:qFormat/>
    <w:rsid w:val="00E929C0"/>
    <w:pPr>
      <w:outlineLvl w:val="0"/>
    </w:pPr>
    <w:rPr>
      <w:rFonts w:asciiTheme="minorHAnsi" w:hAnsiTheme="minorHAnsi" w:cstheme="minorHAnsi"/>
    </w:rPr>
  </w:style>
  <w:style w:type="paragraph" w:styleId="Heading2">
    <w:name w:val="heading 2"/>
    <w:basedOn w:val="Subhead1"/>
    <w:next w:val="Normal"/>
    <w:link w:val="Heading2Char"/>
    <w:uiPriority w:val="9"/>
    <w:unhideWhenUsed/>
    <w:qFormat/>
    <w:rsid w:val="003D1721"/>
    <w:pPr>
      <w:outlineLvl w:val="1"/>
    </w:pPr>
  </w:style>
  <w:style w:type="paragraph" w:styleId="Heading3">
    <w:name w:val="heading 3"/>
    <w:basedOn w:val="Subhead2"/>
    <w:next w:val="Normal"/>
    <w:link w:val="Heading3Char"/>
    <w:uiPriority w:val="9"/>
    <w:unhideWhenUsed/>
    <w:qFormat/>
    <w:rsid w:val="000443D3"/>
    <w:pPr>
      <w:outlineLvl w:val="2"/>
    </w:pPr>
  </w:style>
  <w:style w:type="paragraph" w:styleId="Heading4">
    <w:name w:val="heading 4"/>
    <w:basedOn w:val="MinorSubhead1"/>
    <w:next w:val="Normal"/>
    <w:link w:val="Heading4Char"/>
    <w:uiPriority w:val="9"/>
    <w:unhideWhenUsed/>
    <w:qFormat/>
    <w:rsid w:val="005617B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4AD"/>
    <w:rPr>
      <w:rFonts w:ascii="Lucida Grande" w:hAnsi="Lucida Grande"/>
      <w:sz w:val="18"/>
      <w:szCs w:val="18"/>
    </w:rPr>
  </w:style>
  <w:style w:type="character" w:customStyle="1" w:styleId="BalloonTextChar">
    <w:name w:val="Balloon Text Char"/>
    <w:link w:val="BalloonText"/>
    <w:uiPriority w:val="99"/>
    <w:semiHidden/>
    <w:rsid w:val="000064AD"/>
    <w:rPr>
      <w:rFonts w:ascii="Lucida Grande" w:hAnsi="Lucida Grande"/>
      <w:sz w:val="18"/>
      <w:szCs w:val="18"/>
    </w:rPr>
  </w:style>
  <w:style w:type="paragraph" w:styleId="Header">
    <w:name w:val="header"/>
    <w:basedOn w:val="Normal"/>
    <w:link w:val="HeaderChar"/>
    <w:uiPriority w:val="99"/>
    <w:unhideWhenUsed/>
    <w:rsid w:val="000064AD"/>
    <w:pPr>
      <w:tabs>
        <w:tab w:val="center" w:pos="4320"/>
        <w:tab w:val="right" w:pos="8640"/>
      </w:tabs>
    </w:pPr>
  </w:style>
  <w:style w:type="character" w:customStyle="1" w:styleId="HeaderChar">
    <w:name w:val="Header Char"/>
    <w:basedOn w:val="DefaultParagraphFont"/>
    <w:link w:val="Header"/>
    <w:uiPriority w:val="99"/>
    <w:rsid w:val="000064AD"/>
  </w:style>
  <w:style w:type="paragraph" w:styleId="Footer">
    <w:name w:val="footer"/>
    <w:basedOn w:val="Normal"/>
    <w:link w:val="FooterChar"/>
    <w:uiPriority w:val="99"/>
    <w:unhideWhenUsed/>
    <w:rsid w:val="000064AD"/>
    <w:pPr>
      <w:tabs>
        <w:tab w:val="center" w:pos="4320"/>
        <w:tab w:val="right" w:pos="8640"/>
      </w:tabs>
    </w:pPr>
  </w:style>
  <w:style w:type="character" w:customStyle="1" w:styleId="FooterChar">
    <w:name w:val="Footer Char"/>
    <w:basedOn w:val="DefaultParagraphFont"/>
    <w:link w:val="Footer"/>
    <w:uiPriority w:val="99"/>
    <w:rsid w:val="000064AD"/>
  </w:style>
  <w:style w:type="character" w:styleId="PageNumber">
    <w:name w:val="page number"/>
    <w:uiPriority w:val="99"/>
    <w:semiHidden/>
    <w:unhideWhenUsed/>
    <w:rsid w:val="009A0A7C"/>
  </w:style>
  <w:style w:type="paragraph" w:customStyle="1" w:styleId="NoParagraphStyle">
    <w:name w:val="[No Paragraph Style]"/>
    <w:rsid w:val="00CF23C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2A0F8D"/>
  </w:style>
  <w:style w:type="paragraph" w:styleId="TOC1">
    <w:name w:val="toc 1"/>
    <w:next w:val="Body1"/>
    <w:autoRedefine/>
    <w:uiPriority w:val="39"/>
    <w:unhideWhenUsed/>
    <w:qFormat/>
    <w:rsid w:val="0049751F"/>
    <w:pPr>
      <w:tabs>
        <w:tab w:val="right" w:leader="dot" w:pos="7920"/>
      </w:tabs>
      <w:spacing w:before="120" w:after="120"/>
    </w:pPr>
    <w:rPr>
      <w:rFonts w:ascii="Times New Roman" w:hAnsi="Times New Roman"/>
      <w:color w:val="000000" w:themeColor="text1"/>
      <w:sz w:val="24"/>
      <w:szCs w:val="24"/>
    </w:rPr>
  </w:style>
  <w:style w:type="paragraph" w:styleId="TOC2">
    <w:name w:val="toc 2"/>
    <w:basedOn w:val="TOC1"/>
    <w:next w:val="Normal"/>
    <w:autoRedefine/>
    <w:uiPriority w:val="39"/>
    <w:unhideWhenUsed/>
    <w:rsid w:val="00F40775"/>
    <w:pPr>
      <w:numPr>
        <w:numId w:val="2"/>
      </w:numPr>
    </w:pPr>
    <w:rPr>
      <w:szCs w:val="22"/>
    </w:rPr>
  </w:style>
  <w:style w:type="paragraph" w:styleId="TOC3">
    <w:name w:val="toc 3"/>
    <w:basedOn w:val="Normal"/>
    <w:next w:val="Normal"/>
    <w:autoRedefine/>
    <w:uiPriority w:val="39"/>
    <w:unhideWhenUsed/>
    <w:rsid w:val="002A0F8D"/>
    <w:pPr>
      <w:ind w:left="480"/>
    </w:pPr>
    <w:rPr>
      <w:sz w:val="22"/>
      <w:szCs w:val="22"/>
    </w:rPr>
  </w:style>
  <w:style w:type="paragraph" w:styleId="TOC4">
    <w:name w:val="toc 4"/>
    <w:basedOn w:val="Normal"/>
    <w:next w:val="Normal"/>
    <w:autoRedefine/>
    <w:uiPriority w:val="39"/>
    <w:unhideWhenUsed/>
    <w:rsid w:val="002A0F8D"/>
    <w:pPr>
      <w:ind w:left="720"/>
    </w:pPr>
    <w:rPr>
      <w:sz w:val="20"/>
      <w:szCs w:val="20"/>
    </w:rPr>
  </w:style>
  <w:style w:type="paragraph" w:styleId="TOC5">
    <w:name w:val="toc 5"/>
    <w:basedOn w:val="Normal"/>
    <w:next w:val="Normal"/>
    <w:autoRedefine/>
    <w:uiPriority w:val="39"/>
    <w:unhideWhenUsed/>
    <w:rsid w:val="002A0F8D"/>
    <w:pPr>
      <w:ind w:left="960"/>
    </w:pPr>
    <w:rPr>
      <w:sz w:val="20"/>
      <w:szCs w:val="20"/>
    </w:rPr>
  </w:style>
  <w:style w:type="paragraph" w:styleId="TOC6">
    <w:name w:val="toc 6"/>
    <w:basedOn w:val="Normal"/>
    <w:next w:val="Normal"/>
    <w:autoRedefine/>
    <w:uiPriority w:val="39"/>
    <w:unhideWhenUsed/>
    <w:rsid w:val="002A0F8D"/>
    <w:pPr>
      <w:ind w:left="1200"/>
    </w:pPr>
    <w:rPr>
      <w:sz w:val="20"/>
      <w:szCs w:val="20"/>
    </w:rPr>
  </w:style>
  <w:style w:type="paragraph" w:styleId="TOC7">
    <w:name w:val="toc 7"/>
    <w:basedOn w:val="Normal"/>
    <w:next w:val="Normal"/>
    <w:autoRedefine/>
    <w:uiPriority w:val="39"/>
    <w:unhideWhenUsed/>
    <w:rsid w:val="002A0F8D"/>
    <w:pPr>
      <w:ind w:left="1440"/>
    </w:pPr>
    <w:rPr>
      <w:sz w:val="20"/>
      <w:szCs w:val="20"/>
    </w:rPr>
  </w:style>
  <w:style w:type="paragraph" w:styleId="TOC8">
    <w:name w:val="toc 8"/>
    <w:basedOn w:val="Normal"/>
    <w:next w:val="Normal"/>
    <w:autoRedefine/>
    <w:uiPriority w:val="39"/>
    <w:unhideWhenUsed/>
    <w:rsid w:val="002A0F8D"/>
    <w:pPr>
      <w:ind w:left="1680"/>
    </w:pPr>
    <w:rPr>
      <w:sz w:val="20"/>
      <w:szCs w:val="20"/>
    </w:rPr>
  </w:style>
  <w:style w:type="paragraph" w:styleId="TOC9">
    <w:name w:val="toc 9"/>
    <w:basedOn w:val="Normal"/>
    <w:next w:val="Normal"/>
    <w:autoRedefine/>
    <w:uiPriority w:val="39"/>
    <w:unhideWhenUsed/>
    <w:rsid w:val="002A0F8D"/>
    <w:pPr>
      <w:ind w:left="1920"/>
    </w:pPr>
    <w:rPr>
      <w:sz w:val="20"/>
      <w:szCs w:val="20"/>
    </w:rPr>
  </w:style>
  <w:style w:type="character" w:customStyle="1" w:styleId="Heading1Char">
    <w:name w:val="Heading 1 Char"/>
    <w:link w:val="Heading1"/>
    <w:uiPriority w:val="9"/>
    <w:rsid w:val="00E929C0"/>
    <w:rPr>
      <w:rFonts w:asciiTheme="minorHAnsi" w:hAnsiTheme="minorHAnsi" w:cstheme="minorHAnsi"/>
      <w:b/>
      <w:color w:val="305197"/>
      <w:sz w:val="40"/>
      <w:szCs w:val="24"/>
    </w:rPr>
  </w:style>
  <w:style w:type="paragraph" w:styleId="TOCHeading">
    <w:name w:val="TOC Heading"/>
    <w:basedOn w:val="Heading1"/>
    <w:next w:val="Normal"/>
    <w:uiPriority w:val="39"/>
    <w:unhideWhenUsed/>
    <w:qFormat/>
    <w:rsid w:val="002A0F8D"/>
    <w:pPr>
      <w:keepLines/>
      <w:spacing w:before="480" w:after="0" w:line="276" w:lineRule="auto"/>
      <w:outlineLvl w:val="9"/>
    </w:pPr>
    <w:rPr>
      <w:color w:val="365F91"/>
      <w:sz w:val="28"/>
      <w:szCs w:val="28"/>
    </w:rPr>
  </w:style>
  <w:style w:type="paragraph" w:styleId="ListParagraph">
    <w:name w:val="List Paragraph"/>
    <w:aliases w:val="H1 List,H3 N"/>
    <w:basedOn w:val="Normal"/>
    <w:link w:val="ListParagraphChar"/>
    <w:uiPriority w:val="34"/>
    <w:qFormat/>
    <w:rsid w:val="00853316"/>
    <w:pPr>
      <w:ind w:left="720"/>
    </w:pPr>
  </w:style>
  <w:style w:type="character" w:customStyle="1" w:styleId="ListParagraphChar">
    <w:name w:val="List Paragraph Char"/>
    <w:aliases w:val="H1 List Char,H3 N Char"/>
    <w:basedOn w:val="DefaultParagraphFont"/>
    <w:link w:val="ListParagraph"/>
    <w:uiPriority w:val="34"/>
    <w:rsid w:val="007B77D5"/>
    <w:rPr>
      <w:sz w:val="24"/>
      <w:szCs w:val="24"/>
    </w:rPr>
  </w:style>
  <w:style w:type="paragraph" w:customStyle="1" w:styleId="Body1">
    <w:name w:val="Body 1"/>
    <w:rsid w:val="00946B7F"/>
    <w:pPr>
      <w:spacing w:line="276" w:lineRule="auto"/>
      <w:outlineLvl w:val="0"/>
    </w:pPr>
    <w:rPr>
      <w:rFonts w:ascii="Arial" w:eastAsia="Arial Unicode MS" w:hAnsi="Arial"/>
      <w:color w:val="000000"/>
      <w:sz w:val="22"/>
      <w:u w:color="000000"/>
    </w:rPr>
  </w:style>
  <w:style w:type="paragraph" w:styleId="Caption">
    <w:name w:val="caption"/>
    <w:basedOn w:val="Normal"/>
    <w:next w:val="Normal"/>
    <w:uiPriority w:val="35"/>
    <w:unhideWhenUsed/>
    <w:qFormat/>
    <w:rsid w:val="00342544"/>
    <w:pPr>
      <w:spacing w:after="200"/>
    </w:pPr>
    <w:rPr>
      <w:rFonts w:ascii="Arial" w:eastAsia="Perpetua" w:hAnsi="Arial" w:cs="Arial"/>
      <w:b/>
      <w:bCs/>
      <w:color w:val="4F81BD"/>
      <w:sz w:val="18"/>
      <w:szCs w:val="18"/>
    </w:rPr>
  </w:style>
  <w:style w:type="paragraph" w:styleId="FootnoteText">
    <w:name w:val="footnote text"/>
    <w:basedOn w:val="Normal"/>
    <w:link w:val="FootnoteTextChar"/>
    <w:uiPriority w:val="99"/>
    <w:semiHidden/>
    <w:unhideWhenUsed/>
    <w:rsid w:val="00931A12"/>
    <w:rPr>
      <w:rFonts w:ascii="Arial" w:eastAsia="Perpetua" w:hAnsi="Arial" w:cs="Arial"/>
      <w:sz w:val="20"/>
      <w:szCs w:val="20"/>
    </w:rPr>
  </w:style>
  <w:style w:type="character" w:customStyle="1" w:styleId="FootnoteTextChar">
    <w:name w:val="Footnote Text Char"/>
    <w:basedOn w:val="DefaultParagraphFont"/>
    <w:link w:val="FootnoteText"/>
    <w:uiPriority w:val="99"/>
    <w:semiHidden/>
    <w:rsid w:val="00931A12"/>
    <w:rPr>
      <w:rFonts w:ascii="Arial" w:eastAsia="Perpetua" w:hAnsi="Arial" w:cs="Arial"/>
    </w:rPr>
  </w:style>
  <w:style w:type="character" w:styleId="FootnoteReference">
    <w:name w:val="footnote reference"/>
    <w:uiPriority w:val="99"/>
    <w:semiHidden/>
    <w:unhideWhenUsed/>
    <w:rsid w:val="00931A12"/>
    <w:rPr>
      <w:vertAlign w:val="superscript"/>
    </w:rPr>
  </w:style>
  <w:style w:type="character" w:styleId="Emphasis">
    <w:name w:val="Emphasis"/>
    <w:basedOn w:val="DefaultParagraphFont"/>
    <w:uiPriority w:val="20"/>
    <w:qFormat/>
    <w:rsid w:val="00AA4A57"/>
    <w:rPr>
      <w:i/>
      <w:iCs/>
    </w:rPr>
  </w:style>
  <w:style w:type="character" w:styleId="CommentReference">
    <w:name w:val="annotation reference"/>
    <w:basedOn w:val="DefaultParagraphFont"/>
    <w:uiPriority w:val="99"/>
    <w:semiHidden/>
    <w:unhideWhenUsed/>
    <w:rsid w:val="00AA4A57"/>
    <w:rPr>
      <w:sz w:val="16"/>
      <w:szCs w:val="16"/>
    </w:rPr>
  </w:style>
  <w:style w:type="paragraph" w:styleId="CommentText">
    <w:name w:val="annotation text"/>
    <w:basedOn w:val="Normal"/>
    <w:link w:val="CommentTextChar"/>
    <w:uiPriority w:val="99"/>
    <w:unhideWhenUsed/>
    <w:rsid w:val="00AA4A57"/>
    <w:rPr>
      <w:sz w:val="20"/>
      <w:szCs w:val="20"/>
    </w:rPr>
  </w:style>
  <w:style w:type="character" w:customStyle="1" w:styleId="CommentTextChar">
    <w:name w:val="Comment Text Char"/>
    <w:basedOn w:val="DefaultParagraphFont"/>
    <w:link w:val="CommentText"/>
    <w:uiPriority w:val="99"/>
    <w:rsid w:val="00AA4A57"/>
  </w:style>
  <w:style w:type="paragraph" w:styleId="CommentSubject">
    <w:name w:val="annotation subject"/>
    <w:basedOn w:val="CommentText"/>
    <w:next w:val="CommentText"/>
    <w:link w:val="CommentSubjectChar"/>
    <w:uiPriority w:val="99"/>
    <w:semiHidden/>
    <w:unhideWhenUsed/>
    <w:rsid w:val="00AA4A57"/>
    <w:rPr>
      <w:b/>
      <w:bCs/>
    </w:rPr>
  </w:style>
  <w:style w:type="character" w:customStyle="1" w:styleId="CommentSubjectChar">
    <w:name w:val="Comment Subject Char"/>
    <w:basedOn w:val="CommentTextChar"/>
    <w:link w:val="CommentSubject"/>
    <w:uiPriority w:val="99"/>
    <w:semiHidden/>
    <w:rsid w:val="00AA4A57"/>
    <w:rPr>
      <w:b/>
      <w:bCs/>
    </w:rPr>
  </w:style>
  <w:style w:type="table" w:customStyle="1" w:styleId="TableGrid2">
    <w:name w:val="Table Grid2"/>
    <w:basedOn w:val="TableNormal"/>
    <w:next w:val="TableGrid"/>
    <w:uiPriority w:val="59"/>
    <w:rsid w:val="00A064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6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06C5F"/>
    <w:rPr>
      <w:rFonts w:cs="Times New Roman"/>
      <w:color w:val="0000FF"/>
      <w:u w:val="single"/>
    </w:rPr>
  </w:style>
  <w:style w:type="paragraph" w:styleId="NormalWeb">
    <w:name w:val="Normal (Web)"/>
    <w:basedOn w:val="Normal"/>
    <w:uiPriority w:val="99"/>
    <w:rsid w:val="0022172C"/>
    <w:pPr>
      <w:spacing w:before="100" w:beforeAutospacing="1" w:after="100" w:afterAutospacing="1"/>
    </w:pPr>
    <w:rPr>
      <w:rFonts w:ascii="Arial" w:eastAsia="Times New Roman" w:hAnsi="Arial" w:cs="Arial"/>
      <w:sz w:val="22"/>
      <w:szCs w:val="22"/>
    </w:rPr>
  </w:style>
  <w:style w:type="character" w:customStyle="1" w:styleId="defaultchar">
    <w:name w:val="default__char"/>
    <w:rsid w:val="0022172C"/>
  </w:style>
  <w:style w:type="paragraph" w:customStyle="1" w:styleId="bodytext">
    <w:name w:val="bodytext"/>
    <w:basedOn w:val="Normal"/>
    <w:uiPriority w:val="99"/>
    <w:rsid w:val="0022172C"/>
    <w:pPr>
      <w:spacing w:before="100" w:beforeAutospacing="1" w:after="100" w:afterAutospacing="1"/>
    </w:pPr>
    <w:rPr>
      <w:rFonts w:ascii="Helvetica" w:eastAsia="Perpetua" w:hAnsi="Helvetica"/>
      <w:color w:val="000000"/>
      <w:sz w:val="20"/>
      <w:szCs w:val="20"/>
    </w:rPr>
  </w:style>
  <w:style w:type="paragraph" w:styleId="BodyText0">
    <w:name w:val="Body Text"/>
    <w:basedOn w:val="Normal"/>
    <w:link w:val="BodyTextChar"/>
    <w:autoRedefine/>
    <w:uiPriority w:val="1"/>
    <w:qFormat/>
    <w:rsid w:val="00132EBC"/>
    <w:pPr>
      <w:widowControl w:val="0"/>
      <w:tabs>
        <w:tab w:val="left" w:pos="1303"/>
      </w:tabs>
      <w:spacing w:before="33"/>
    </w:pPr>
    <w:rPr>
      <w:rFonts w:ascii="Times New Roman" w:eastAsia="Times New Roman" w:hAnsi="Times New Roman"/>
    </w:rPr>
  </w:style>
  <w:style w:type="character" w:customStyle="1" w:styleId="BodyTextChar">
    <w:name w:val="Body Text Char"/>
    <w:basedOn w:val="DefaultParagraphFont"/>
    <w:link w:val="BodyText0"/>
    <w:uiPriority w:val="1"/>
    <w:rsid w:val="00132EBC"/>
    <w:rPr>
      <w:rFonts w:ascii="Times New Roman" w:eastAsia="Times New Roman" w:hAnsi="Times New Roman"/>
      <w:sz w:val="24"/>
      <w:szCs w:val="24"/>
    </w:rPr>
  </w:style>
  <w:style w:type="paragraph" w:styleId="Revision">
    <w:name w:val="Revision"/>
    <w:hidden/>
    <w:uiPriority w:val="99"/>
    <w:semiHidden/>
    <w:rsid w:val="009E65DC"/>
    <w:rPr>
      <w:sz w:val="24"/>
      <w:szCs w:val="24"/>
    </w:rPr>
  </w:style>
  <w:style w:type="character" w:styleId="FollowedHyperlink">
    <w:name w:val="FollowedHyperlink"/>
    <w:basedOn w:val="DefaultParagraphFont"/>
    <w:uiPriority w:val="99"/>
    <w:semiHidden/>
    <w:unhideWhenUsed/>
    <w:rsid w:val="008B3509"/>
    <w:rPr>
      <w:color w:val="800080" w:themeColor="followedHyperlink"/>
      <w:u w:val="single"/>
    </w:rPr>
  </w:style>
  <w:style w:type="paragraph" w:customStyle="1" w:styleId="TableParagraph">
    <w:name w:val="Table Paragraph"/>
    <w:basedOn w:val="Normal"/>
    <w:uiPriority w:val="1"/>
    <w:qFormat/>
    <w:rsid w:val="008520BB"/>
    <w:pPr>
      <w:widowControl w:val="0"/>
    </w:pPr>
    <w:rPr>
      <w:rFonts w:asciiTheme="minorHAnsi" w:eastAsiaTheme="minorHAnsi" w:hAnsiTheme="minorHAnsi" w:cstheme="minorBidi"/>
      <w:sz w:val="22"/>
      <w:szCs w:val="22"/>
    </w:rPr>
  </w:style>
  <w:style w:type="paragraph" w:customStyle="1" w:styleId="Title1">
    <w:name w:val="Title1"/>
    <w:next w:val="NoParagraphStyle"/>
    <w:qFormat/>
    <w:rsid w:val="002E755C"/>
    <w:pPr>
      <w:pBdr>
        <w:bottom w:val="single" w:sz="12" w:space="4" w:color="305197"/>
      </w:pBdr>
      <w:spacing w:after="360"/>
    </w:pPr>
    <w:rPr>
      <w:rFonts w:ascii="Arial" w:hAnsi="Arial"/>
      <w:b/>
      <w:color w:val="305197"/>
      <w:sz w:val="40"/>
      <w:szCs w:val="24"/>
    </w:rPr>
  </w:style>
  <w:style w:type="paragraph" w:customStyle="1" w:styleId="Subhead1">
    <w:name w:val="Subhead 1"/>
    <w:qFormat/>
    <w:rsid w:val="002E755C"/>
    <w:pPr>
      <w:pBdr>
        <w:bottom w:val="single" w:sz="4" w:space="1" w:color="497AE4"/>
      </w:pBdr>
      <w:spacing w:after="120"/>
    </w:pPr>
    <w:rPr>
      <w:rFonts w:ascii="Times New Roman" w:hAnsi="Times New Roman"/>
      <w:b/>
      <w:sz w:val="32"/>
      <w:szCs w:val="32"/>
    </w:rPr>
  </w:style>
  <w:style w:type="paragraph" w:customStyle="1" w:styleId="Subhead2">
    <w:name w:val="Subhead 2"/>
    <w:next w:val="NoParagraphStyle"/>
    <w:autoRedefine/>
    <w:qFormat/>
    <w:rsid w:val="000443D3"/>
    <w:pPr>
      <w:spacing w:before="100" w:beforeAutospacing="1" w:after="100" w:afterAutospacing="1"/>
    </w:pPr>
    <w:rPr>
      <w:rFonts w:ascii="Times New Roman" w:eastAsia="Times New Roman" w:hAnsi="Times New Roman"/>
      <w:b/>
      <w:color w:val="497AE4"/>
      <w:sz w:val="28"/>
      <w:szCs w:val="28"/>
    </w:rPr>
  </w:style>
  <w:style w:type="paragraph" w:customStyle="1" w:styleId="MinorSubhead1">
    <w:name w:val="Minor Subhead 1"/>
    <w:next w:val="NoParagraphStyle"/>
    <w:qFormat/>
    <w:rsid w:val="0099611A"/>
    <w:pPr>
      <w:spacing w:before="5"/>
    </w:pPr>
    <w:rPr>
      <w:rFonts w:ascii="Times New Roman" w:eastAsia="Times New Roman" w:hAnsi="Times New Roman"/>
      <w:sz w:val="28"/>
      <w:szCs w:val="28"/>
    </w:rPr>
  </w:style>
  <w:style w:type="paragraph" w:customStyle="1" w:styleId="bulletlvl1">
    <w:name w:val="bullet lvl 1"/>
    <w:next w:val="NoParagraphStyle"/>
    <w:qFormat/>
    <w:rsid w:val="00F40775"/>
    <w:pPr>
      <w:widowControl w:val="0"/>
      <w:numPr>
        <w:numId w:val="1"/>
      </w:numPr>
      <w:spacing w:before="5"/>
    </w:pPr>
    <w:rPr>
      <w:rFonts w:ascii="Times New Roman" w:eastAsia="Times New Roman" w:hAnsi="Times New Roman"/>
      <w:sz w:val="24"/>
      <w:szCs w:val="24"/>
    </w:rPr>
  </w:style>
  <w:style w:type="paragraph" w:customStyle="1" w:styleId="bulletlvl2">
    <w:name w:val="bullet lvl 2"/>
    <w:basedOn w:val="bulletlvl1"/>
    <w:next w:val="NoParagraphStyle"/>
    <w:qFormat/>
    <w:rsid w:val="00F40775"/>
    <w:pPr>
      <w:numPr>
        <w:ilvl w:val="1"/>
      </w:numPr>
    </w:pPr>
  </w:style>
  <w:style w:type="character" w:customStyle="1" w:styleId="Heading2Char">
    <w:name w:val="Heading 2 Char"/>
    <w:basedOn w:val="DefaultParagraphFont"/>
    <w:link w:val="Heading2"/>
    <w:uiPriority w:val="9"/>
    <w:rsid w:val="003D1721"/>
    <w:rPr>
      <w:rFonts w:ascii="Times New Roman" w:hAnsi="Times New Roman"/>
      <w:b/>
      <w:sz w:val="32"/>
      <w:szCs w:val="32"/>
    </w:rPr>
  </w:style>
  <w:style w:type="character" w:customStyle="1" w:styleId="Heading3Char">
    <w:name w:val="Heading 3 Char"/>
    <w:basedOn w:val="DefaultParagraphFont"/>
    <w:link w:val="Heading3"/>
    <w:uiPriority w:val="9"/>
    <w:rsid w:val="000443D3"/>
    <w:rPr>
      <w:rFonts w:ascii="Times New Roman" w:eastAsia="Times New Roman" w:hAnsi="Times New Roman"/>
      <w:b/>
      <w:color w:val="497AE4"/>
      <w:sz w:val="28"/>
      <w:szCs w:val="28"/>
    </w:rPr>
  </w:style>
  <w:style w:type="paragraph" w:styleId="Title">
    <w:name w:val="Title"/>
    <w:basedOn w:val="Normal"/>
    <w:next w:val="Normal"/>
    <w:link w:val="TitleChar"/>
    <w:uiPriority w:val="10"/>
    <w:rsid w:val="005617BC"/>
    <w:rPr>
      <w:color w:val="18284B"/>
      <w:sz w:val="100"/>
      <w:szCs w:val="100"/>
    </w:rPr>
  </w:style>
  <w:style w:type="character" w:customStyle="1" w:styleId="TitleChar">
    <w:name w:val="Title Char"/>
    <w:basedOn w:val="DefaultParagraphFont"/>
    <w:link w:val="Title"/>
    <w:uiPriority w:val="10"/>
    <w:rsid w:val="005617BC"/>
    <w:rPr>
      <w:color w:val="18284B"/>
      <w:sz w:val="100"/>
      <w:szCs w:val="100"/>
    </w:rPr>
  </w:style>
  <w:style w:type="character" w:customStyle="1" w:styleId="Heading4Char">
    <w:name w:val="Heading 4 Char"/>
    <w:basedOn w:val="DefaultParagraphFont"/>
    <w:link w:val="Heading4"/>
    <w:uiPriority w:val="9"/>
    <w:rsid w:val="005617BC"/>
    <w:rPr>
      <w:rFonts w:ascii="Times New Roman" w:eastAsia="Times New Roman" w:hAnsi="Times New Roman"/>
      <w:sz w:val="28"/>
      <w:szCs w:val="28"/>
    </w:rPr>
  </w:style>
  <w:style w:type="table" w:styleId="PlainTable3">
    <w:name w:val="Plain Table 3"/>
    <w:basedOn w:val="TableNormal"/>
    <w:uiPriority w:val="43"/>
    <w:rsid w:val="00B7588D"/>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image" Target="media/image4.jpeg" /><Relationship Id="rId14" Type="http://schemas.openxmlformats.org/officeDocument/2006/relationships/image" Target="media/image5.jpeg"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header" Target="header5.xml" /><Relationship Id="rId2" Type="http://schemas.openxmlformats.org/officeDocument/2006/relationships/endnotes" Target="endnotes.xml" /><Relationship Id="rId20" Type="http://schemas.openxmlformats.org/officeDocument/2006/relationships/footer" Target="footer4.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3.jpeg" /></Relationships>
</file>

<file path=word/_rels/footer2.xml.rels><?xml version="1.0" encoding="utf-8" standalone="yes"?><Relationships xmlns="http://schemas.openxmlformats.org/package/2006/relationships"><Relationship Id="rId1" Type="http://schemas.openxmlformats.org/officeDocument/2006/relationships/image" Target="media/image3.jpeg" /></Relationships>
</file>

<file path=word/_rels/footer3.xml.rels><?xml version="1.0" encoding="utf-8" standalone="yes"?><Relationships xmlns="http://schemas.openxmlformats.org/package/2006/relationships"><Relationship Id="rId1" Type="http://schemas.openxmlformats.org/officeDocument/2006/relationships/image" Target="media/image3.jpe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documents\templates\Central%20Office%20Documents\Blank%20Report%20Template%2050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8086F8AC51F542A0100F1C6B37E4E3" ma:contentTypeVersion="2" ma:contentTypeDescription="Create a new document." ma:contentTypeScope="" ma:versionID="b059fc7c5580dfbc94ea401f9dc4a8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625C3-51FF-41F0-BA13-C4F651950E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676844-AD92-4505-A96F-879D80D11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BD86B2-4EC5-4287-A504-2FA833C23DD3}">
  <ds:schemaRefs>
    <ds:schemaRef ds:uri="http://schemas.openxmlformats.org/officeDocument/2006/bibliography"/>
  </ds:schemaRefs>
</ds:datastoreItem>
</file>

<file path=customXml/itemProps4.xml><?xml version="1.0" encoding="utf-8"?>
<ds:datastoreItem xmlns:ds="http://schemas.openxmlformats.org/officeDocument/2006/customXml" ds:itemID="{A3ACB962-2C32-492C-87E3-D0E6A04A8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Report Template 508</Template>
  <TotalTime>1</TotalTime>
  <Pages>15</Pages>
  <Words>3958</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NCUA Report</dc:subject>
  <dc:creator>Traille, Matthew E</dc:creator>
  <cp:keywords>NCUA, Report</cp:keywords>
  <cp:lastModifiedBy>Vixamar, Mahala</cp:lastModifiedBy>
  <cp:revision>2</cp:revision>
  <cp:lastPrinted>2017-12-13T01:25:00Z</cp:lastPrinted>
  <dcterms:created xsi:type="dcterms:W3CDTF">2023-12-26T20:27:00Z</dcterms:created>
  <dcterms:modified xsi:type="dcterms:W3CDTF">2023-12-26T20:27:00Z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0x010100EF8086F8AC51F542A0100F1C6B37E4E3</vt:lpwstr>
  </property>
</Properties>
</file>