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2434" w:rsidRPr="00205A9A" w:rsidP="06B86EBF" w14:paraId="2E0CD922" w14:textId="024ACA18">
      <w:pPr>
        <w:pStyle w:val="BodyTex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u w:val="single"/>
          <w:shd w:val="clear" w:color="auto" w:fill="E6E6E6"/>
        </w:rPr>
        <w:t>SUPPORTING STATEMENT</w:t>
      </w:r>
    </w:p>
    <w:p w:rsidR="004D2434" w:rsidRPr="00205A9A" w:rsidP="06B86EBF" w14:paraId="2E0CD923" w14:textId="77777777">
      <w:pPr>
        <w:pStyle w:val="BodyText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24" w14:textId="77777777">
      <w:pPr>
        <w:pStyle w:val="BodyTex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for Paperwork Reduction Act Submission</w:t>
      </w:r>
    </w:p>
    <w:p w:rsidR="004D2434" w:rsidRPr="00205A9A" w:rsidP="06B86EBF" w14:paraId="2E0CD925" w14:textId="77777777">
      <w:pPr>
        <w:pStyle w:val="BodyText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03D03" w:rsidRPr="00205A9A" w:rsidP="06B86EBF" w14:paraId="2E0CD926" w14:textId="173FF548">
      <w:pPr>
        <w:pStyle w:val="BodyText"/>
        <w:tabs>
          <w:tab w:val="left" w:pos="10800"/>
        </w:tabs>
        <w:spacing w:line="516" w:lineRule="auto"/>
        <w:ind w:right="250" w:hanging="90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SBA Supervised Lenders </w:t>
      </w:r>
      <w:r w:rsidRPr="00205A9A" w:rsidR="70BDEBC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Reports to SBA: Provisions of 13 CFR 120.46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0-464, </w:t>
      </w:r>
      <w:r w:rsidRPr="00205A9A" w:rsidR="369D0A4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468</w:t>
      </w:r>
      <w:r w:rsidRPr="00205A9A" w:rsidR="2B0AA99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</w:t>
      </w:r>
      <w:r w:rsidRPr="00205A9A" w:rsidR="369D0A4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470</w:t>
      </w:r>
      <w:r w:rsidRPr="00205A9A" w:rsidR="369D0A4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,</w:t>
      </w:r>
      <w:r w:rsidRPr="00205A9A" w:rsidR="26D0102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473, and 1511</w:t>
      </w:r>
    </w:p>
    <w:p w:rsidR="004D2434" w:rsidRPr="00205A9A" w:rsidP="06B86EBF" w14:paraId="2E0CD927" w14:textId="77777777">
      <w:pPr>
        <w:pStyle w:val="BodyText"/>
        <w:spacing w:line="516" w:lineRule="auto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OMB Control Number 3245-0077</w:t>
      </w:r>
    </w:p>
    <w:p w:rsidR="009F5532" w:rsidRPr="00205A9A" w:rsidP="7790EE09" w14:paraId="37CDD114" w14:textId="5E1F265B">
      <w:pPr>
        <w:widowControl/>
        <w:autoSpaceDE/>
        <w:autoSpaceDN/>
        <w:spacing w:before="100" w:beforeAutospacing="1"/>
        <w:ind w:left="810"/>
        <w:rPr>
          <w:rFonts w:ascii="Times New Roman" w:eastAsia="Times New Roman" w:hAnsi="Times New Roman" w:cs="Times New Roman"/>
        </w:rPr>
      </w:pPr>
      <w:r w:rsidRPr="00205A9A">
        <w:rPr>
          <w:rFonts w:ascii="Times New Roman" w:eastAsia="Times New Roman" w:hAnsi="Times New Roman" w:cs="Times New Roman"/>
        </w:rPr>
        <w:t>SBA is requesting extension without change of a previously/currently</w:t>
      </w:r>
      <w:r w:rsidRPr="00205A9A" w:rsidR="5E3D76BE">
        <w:rPr>
          <w:rFonts w:ascii="Times New Roman" w:eastAsia="Times New Roman" w:hAnsi="Times New Roman" w:cs="Times New Roman"/>
        </w:rPr>
        <w:t xml:space="preserve"> </w:t>
      </w:r>
      <w:r w:rsidRPr="00205A9A">
        <w:rPr>
          <w:rFonts w:ascii="Times New Roman" w:eastAsia="Times New Roman" w:hAnsi="Times New Roman" w:cs="Times New Roman"/>
        </w:rPr>
        <w:t>approved collection (OMB Control No. 3245-0</w:t>
      </w:r>
      <w:r w:rsidRPr="00205A9A" w:rsidR="5E3D76BE">
        <w:rPr>
          <w:rFonts w:ascii="Times New Roman" w:eastAsia="Times New Roman" w:hAnsi="Times New Roman" w:cs="Times New Roman"/>
        </w:rPr>
        <w:t>077</w:t>
      </w:r>
      <w:r w:rsidRPr="00205A9A" w:rsidR="114F01A2">
        <w:rPr>
          <w:rFonts w:ascii="Times New Roman" w:eastAsia="Times New Roman" w:hAnsi="Times New Roman" w:cs="Times New Roman"/>
        </w:rPr>
        <w:t>)</w:t>
      </w:r>
      <w:r w:rsidRPr="00205A9A" w:rsidR="5E3D76BE">
        <w:rPr>
          <w:rFonts w:ascii="Times New Roman" w:eastAsia="Times New Roman" w:hAnsi="Times New Roman" w:cs="Times New Roman"/>
        </w:rPr>
        <w:t>.</w:t>
      </w:r>
      <w:r w:rsidRPr="00205A9A">
        <w:rPr>
          <w:rFonts w:ascii="Times New Roman" w:eastAsia="Times New Roman" w:hAnsi="Times New Roman" w:cs="Times New Roman"/>
        </w:rPr>
        <w:t xml:space="preserve"> </w:t>
      </w:r>
    </w:p>
    <w:p w:rsidR="009F5532" w:rsidRPr="00205A9A" w:rsidP="06B86EBF" w14:paraId="1301EF83" w14:textId="77777777">
      <w:pPr>
        <w:pStyle w:val="BodyText"/>
        <w:spacing w:line="516" w:lineRule="auto"/>
        <w:ind w:left="720"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28" w14:textId="40F01837">
      <w:pPr>
        <w:pStyle w:val="BodyText"/>
        <w:spacing w:before="2"/>
        <w:ind w:left="720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A: </w:t>
      </w:r>
      <w:r w:rsidRPr="00205A9A">
        <w:rPr>
          <w:rFonts w:ascii="Times New Roman" w:eastAsia="Times New Roman" w:hAnsi="Times New Roman" w:cs="Times New Roman"/>
          <w:sz w:val="22"/>
          <w:szCs w:val="22"/>
          <w:u w:val="single"/>
          <w:shd w:val="clear" w:color="auto" w:fill="E6E6E6"/>
        </w:rPr>
        <w:t>JUSTIFICATION</w:t>
      </w:r>
    </w:p>
    <w:p w:rsidR="00C9763F" w:rsidRPr="00205A9A" w:rsidP="06B86EBF" w14:paraId="69796A9C" w14:textId="77777777">
      <w:pPr>
        <w:pStyle w:val="BodyText"/>
        <w:spacing w:before="2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AD6E6A" w:rsidRPr="00205A9A" w:rsidP="06B86EBF" w14:paraId="3D0D290D" w14:textId="69ECCA83">
      <w:pPr>
        <w:pStyle w:val="ListParagraph"/>
        <w:numPr>
          <w:ilvl w:val="0"/>
          <w:numId w:val="11"/>
        </w:numPr>
        <w:tabs>
          <w:tab w:val="left" w:pos="341"/>
        </w:tabs>
        <w:spacing w:before="51"/>
        <w:ind w:right="142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Need &amp; Method for the Information Collection</w:t>
      </w: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.</w:t>
      </w:r>
    </w:p>
    <w:p w:rsidR="004D2434" w:rsidRPr="00205A9A" w:rsidP="06B86EBF" w14:paraId="2E0CD92A" w14:textId="77777777">
      <w:pPr>
        <w:pStyle w:val="ListParagraph"/>
        <w:tabs>
          <w:tab w:val="left" w:pos="341"/>
        </w:tabs>
        <w:spacing w:before="51"/>
        <w:ind w:left="720" w:right="142"/>
        <w:rPr>
          <w:rFonts w:ascii="Times New Roman" w:eastAsia="Times New Roman" w:hAnsi="Times New Roman" w:cs="Times New Roman"/>
        </w:rPr>
      </w:pPr>
    </w:p>
    <w:p w:rsidR="005B23EC" w:rsidRPr="00205A9A" w:rsidP="06B86EBF" w14:paraId="3B27ECBA" w14:textId="0A64AD02">
      <w:pPr>
        <w:pStyle w:val="BodyText"/>
        <w:spacing w:line="240" w:lineRule="exact"/>
        <w:ind w:left="720" w:right="443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68005504"/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This information collection is authorized by 15 U.S.C 650</w:t>
      </w:r>
      <w:r w:rsidRPr="00205A9A" w:rsidR="0327D15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;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0327D15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15 U.S.C. 657t;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13 CFR Section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120.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460-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464, </w:t>
      </w:r>
      <w:r w:rsidRPr="00205A9A" w:rsidR="53DEB9C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468, </w:t>
      </w:r>
      <w:r w:rsidRPr="00205A9A" w:rsidR="6FBD70C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473</w:t>
      </w:r>
      <w:r w:rsidRPr="00205A9A" w:rsidR="3198DD2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6FBD70C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and 1511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)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and is necessary for SBA to provide effective oversight of Small Business Lending Companies (SBLCs)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Non-Federally Regulated Lenders (NFRLs)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and Community Advantage </w:t>
      </w:r>
      <w:r w:rsidRPr="00205A9A" w:rsidR="00C2793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Small Business Lending Companies (</w:t>
      </w:r>
      <w:r w:rsidRPr="00205A9A" w:rsidR="00DA126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CA </w:t>
      </w:r>
      <w:r w:rsidRPr="00205A9A" w:rsidR="00C2793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SBLCs)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</w:t>
      </w:r>
      <w:r w:rsidRPr="00205A9A" w:rsidR="4BF0362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together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referred to as</w:t>
      </w:r>
      <w:r w:rsidRPr="00205A9A" w:rsidR="4BF0362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SBA Supervised Lenders</w:t>
      </w:r>
      <w:r w:rsidRPr="00205A9A" w:rsidR="75C6FCE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  SBA Supervised Lenders are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7(a) lenders for which SBA is the primary 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Federal regulator </w:t>
      </w:r>
      <w:r w:rsidRPr="00205A9A" w:rsidR="005C259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and, in some cases,</w:t>
      </w:r>
      <w:r w:rsidRPr="00205A9A" w:rsidR="79A5948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the sole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regulator.  </w:t>
      </w:r>
      <w:r w:rsidRPr="00205A9A" w:rsidR="0E62DB3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 copy of each provision setting out the requirements is attached. </w:t>
      </w:r>
      <w:r w:rsidRPr="00205A9A" w:rsidR="00C2793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Please note that there is no reporting form for this requirement – SBA Supervised Lenders should follow the reporting requirements contained in 13 CFR 120.</w:t>
      </w:r>
      <w:r w:rsidRPr="00205A9A" w:rsidR="0E62DB3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00DA126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Also, the Community Advantage Pilot Loan Program expired in 2023 and all Community Advantage Pilot Lenders were transitioned to CA SBLCs by October 31, 2023.</w:t>
      </w:r>
    </w:p>
    <w:p w:rsidR="00B63F2A" w:rsidRPr="00205A9A" w:rsidP="06B86EBF" w14:paraId="05292301" w14:textId="58AB9E93">
      <w:pPr>
        <w:pStyle w:val="BodyText"/>
        <w:spacing w:line="240" w:lineRule="exact"/>
        <w:ind w:left="720" w:right="44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43D09" w:rsidRPr="00205A9A" w:rsidP="06B86EBF" w14:paraId="2E0CD92B" w14:textId="1683EE35">
      <w:pPr>
        <w:pStyle w:val="BodyText"/>
        <w:spacing w:line="240" w:lineRule="exact"/>
        <w:ind w:left="720" w:right="443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There are no substantive changes to this information collection</w:t>
      </w:r>
      <w:r w:rsidRPr="00205A9A" w:rsidR="00410D2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. </w:t>
      </w:r>
    </w:p>
    <w:p w:rsidR="004D2434" w:rsidRPr="00205A9A" w:rsidP="06B86EBF" w14:paraId="2E0CD92C" w14:textId="77777777">
      <w:pPr>
        <w:pStyle w:val="BodyText"/>
        <w:spacing w:line="240" w:lineRule="exact"/>
        <w:ind w:left="720" w:right="443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9763F" w:rsidRPr="00205A9A" w:rsidP="06B86EBF" w14:paraId="7455A577" w14:textId="39381554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Use of Information.</w:t>
      </w:r>
    </w:p>
    <w:p w:rsidR="004D2434" w:rsidRPr="00205A9A" w:rsidP="06B86EBF" w14:paraId="2E0CD92E" w14:textId="77777777">
      <w:pPr>
        <w:pStyle w:val="ListParagraph"/>
        <w:tabs>
          <w:tab w:val="left" w:pos="341"/>
        </w:tabs>
        <w:spacing w:before="7"/>
        <w:ind w:left="720" w:right="117"/>
        <w:rPr>
          <w:rFonts w:ascii="Times New Roman" w:eastAsia="Times New Roman" w:hAnsi="Times New Roman" w:cs="Times New Roman"/>
        </w:rPr>
      </w:pPr>
    </w:p>
    <w:p w:rsidR="004D2434" w:rsidRPr="00205A9A" w:rsidP="06B86EBF" w14:paraId="2E0CD92F" w14:textId="1C86C568">
      <w:pPr>
        <w:pStyle w:val="BodyText"/>
        <w:spacing w:line="240" w:lineRule="exact"/>
        <w:ind w:left="720" w:right="152"/>
        <w:jc w:val="both"/>
        <w:rPr>
          <w:rFonts w:ascii="Times New Roman" w:eastAsia="Times New Roman" w:hAnsi="Times New Roman" w:cs="Times New Roman"/>
          <w:w w:val="105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SBLCs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and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NFRLs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are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required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provide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annual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audited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financial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statements,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capital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certifications,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quarterly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interim</w:t>
      </w:r>
      <w:r w:rsidRPr="00205A9A">
        <w:rPr>
          <w:rFonts w:ascii="Times New Roman" w:eastAsia="Times New Roman" w:hAnsi="Times New Roman" w:cs="Times New Roman"/>
          <w:spacing w:val="-20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financial statements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and other reports as needed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. 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Lenders participating</w:t>
      </w:r>
      <w:r w:rsidRPr="00205A9A" w:rsidR="123C3945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as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C</w:t>
      </w:r>
      <w:r w:rsidRPr="00205A9A" w:rsidR="1BF82294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 SBLCs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are also required to submit information on their Loan Loss Reserve Account</w:t>
      </w:r>
      <w:r w:rsidRPr="00205A9A" w:rsidR="1BF82294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and underserved market distributions. SBA uses th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e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information </w:t>
      </w:r>
      <w:r w:rsidRPr="00205A9A" w:rsidR="75C6FCE0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collected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and 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the records lender is </w:t>
      </w:r>
      <w:r w:rsidRPr="00205A9A" w:rsidR="4A350B3B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required to 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retain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to 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facilitate safety and soundness examinations</w:t>
      </w:r>
      <w:r w:rsidRPr="00205A9A" w:rsidR="746AAD72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/reviews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and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assess the financial condition of lenders, as well as compliance with program requirements.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This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information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allows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SBA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, as guarantor of 50 – </w:t>
      </w:r>
      <w:r w:rsidRPr="00205A9A" w:rsidR="618B4929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90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%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of a</w:t>
      </w:r>
      <w:r w:rsidRPr="00205A9A" w:rsidR="2B0AA999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n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SBA Supervised Lender’s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SBA portfolio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intervene,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when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necessary,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address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any</w:t>
      </w:r>
      <w:r w:rsidRPr="00205A9A" w:rsidR="0018525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identified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deficiencies</w:t>
      </w:r>
      <w:r w:rsidRPr="00205A9A" w:rsidR="75C6FCE0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timely</w:t>
      </w:r>
      <w:r w:rsidRPr="00205A9A">
        <w:rPr>
          <w:rFonts w:ascii="Times New Roman" w:eastAsia="Times New Roman" w:hAnsi="Times New Roman" w:cs="Times New Roman"/>
          <w:spacing w:val="-23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manner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and </w:t>
      </w:r>
      <w:r w:rsidRPr="00205A9A" w:rsidR="4BF036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to </w:t>
      </w:r>
      <w:r w:rsidRPr="00205A9A" w:rsidR="3FD9C53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protect the interests of the United States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.</w:t>
      </w:r>
    </w:p>
    <w:bookmarkEnd w:id="0"/>
    <w:p w:rsidR="005E617F" w:rsidRPr="00205A9A" w:rsidP="06B86EBF" w14:paraId="2E0CD930" w14:textId="77777777">
      <w:pPr>
        <w:pStyle w:val="BodyText"/>
        <w:spacing w:line="240" w:lineRule="exact"/>
        <w:ind w:left="720" w:right="152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31" w14:textId="6CC572F8">
      <w:pPr>
        <w:pStyle w:val="ListParagraph"/>
        <w:numPr>
          <w:ilvl w:val="0"/>
          <w:numId w:val="11"/>
        </w:numPr>
        <w:tabs>
          <w:tab w:val="left" w:pos="341"/>
        </w:tabs>
        <w:spacing w:before="44"/>
        <w:ind w:left="720" w:right="107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Use of Information Technology.</w:t>
      </w:r>
    </w:p>
    <w:p w:rsidR="004D2434" w:rsidRPr="00205A9A" w:rsidP="06B86EBF" w14:paraId="2E0CD932" w14:textId="6DD8980A">
      <w:pPr>
        <w:pStyle w:val="BodyText"/>
        <w:spacing w:before="109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All </w:t>
      </w:r>
      <w:r w:rsidRPr="00205A9A" w:rsidR="00330A1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reports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are submitted electronically to </w:t>
      </w:r>
      <w:r w:rsidRPr="00205A9A" w:rsidR="00540B13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SBA at OCRMreporting@sba.gov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.</w:t>
      </w:r>
    </w:p>
    <w:p w:rsidR="004D2434" w:rsidRPr="00205A9A" w:rsidP="06B86EBF" w14:paraId="2E0CD933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9763F" w:rsidRPr="00205A9A" w:rsidP="06B86EBF" w14:paraId="6071FE56" w14:textId="71085498">
      <w:pPr>
        <w:pStyle w:val="ListParagraph"/>
        <w:numPr>
          <w:ilvl w:val="0"/>
          <w:numId w:val="11"/>
        </w:numPr>
        <w:tabs>
          <w:tab w:val="left" w:pos="341"/>
        </w:tabs>
        <w:spacing w:before="168"/>
        <w:ind w:left="720" w:right="443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Non-duplication. </w:t>
      </w:r>
    </w:p>
    <w:p w:rsidR="004D2434" w:rsidRPr="00205A9A" w:rsidP="06B86EBF" w14:paraId="2E0CD936" w14:textId="2C6D6F36">
      <w:pPr>
        <w:pStyle w:val="ListParagraph"/>
        <w:tabs>
          <w:tab w:val="left" w:pos="341"/>
        </w:tabs>
        <w:spacing w:before="168"/>
        <w:ind w:left="720" w:right="443"/>
        <w:jc w:val="both"/>
        <w:rPr>
          <w:rFonts w:ascii="Times New Roman" w:eastAsia="Times New Roman" w:hAnsi="Times New Roman" w:cs="Times New Roman"/>
        </w:rPr>
      </w:pP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None of the information collected is publicly available. 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The 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>information collected and records requested to be maintained, including for example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,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 xml:space="preserve"> the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annual and quarterly financial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>statements submitted by SBA Supervised Lenders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and the B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>oard minutes and internal control policies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 </w:t>
      </w:r>
      <w:r w:rsidRPr="00205A9A" w:rsidR="746AAD72">
        <w:rPr>
          <w:rFonts w:ascii="Times New Roman" w:eastAsia="Times New Roman" w:hAnsi="Times New Roman" w:cs="Times New Roman"/>
          <w:shd w:val="clear" w:color="auto" w:fill="E6E6E6"/>
        </w:rPr>
        <w:t>SBA Supervised Lenders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 xml:space="preserve"> are to maintain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,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 xml:space="preserve">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are 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 xml:space="preserve">largely information and reporting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already produced by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lenders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, as they are necessary for reports to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B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>oards, management, and outside funders.</w:t>
      </w:r>
      <w:r w:rsidRPr="00205A9A" w:rsidR="1331A607">
        <w:rPr>
          <w:rFonts w:ascii="Times New Roman" w:eastAsia="Times New Roman" w:hAnsi="Times New Roman" w:cs="Times New Roman"/>
          <w:shd w:val="clear" w:color="auto" w:fill="E6E6E6"/>
        </w:rPr>
        <w:t xml:space="preserve">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>The additional information submitted by C</w:t>
      </w:r>
      <w:r w:rsidRPr="00205A9A" w:rsidR="00C2793B">
        <w:rPr>
          <w:rFonts w:ascii="Times New Roman" w:eastAsia="Times New Roman" w:hAnsi="Times New Roman" w:cs="Times New Roman"/>
          <w:shd w:val="clear" w:color="auto" w:fill="E6E6E6"/>
        </w:rPr>
        <w:t>A SBLCs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 xml:space="preserve"> is necessary for assessment of compliance with program requirements. There is no other source for this</w:t>
      </w:r>
      <w:r w:rsidRPr="00205A9A" w:rsidR="70BDEBCD">
        <w:rPr>
          <w:rFonts w:ascii="Times New Roman" w:eastAsia="Times New Roman" w:hAnsi="Times New Roman" w:cs="Times New Roman"/>
          <w:spacing w:val="31"/>
          <w:shd w:val="clear" w:color="auto" w:fill="E6E6E6"/>
        </w:rPr>
        <w:t xml:space="preserve"> </w:t>
      </w:r>
      <w:r w:rsidRPr="00205A9A" w:rsidR="70BDEBCD">
        <w:rPr>
          <w:rFonts w:ascii="Times New Roman" w:eastAsia="Times New Roman" w:hAnsi="Times New Roman" w:cs="Times New Roman"/>
          <w:shd w:val="clear" w:color="auto" w:fill="E6E6E6"/>
        </w:rPr>
        <w:t>information.</w:t>
      </w:r>
    </w:p>
    <w:p w:rsidR="006255CE" w:rsidRPr="00205A9A" w:rsidP="06B86EBF" w14:paraId="2E0CD937" w14:textId="77777777">
      <w:pPr>
        <w:pStyle w:val="BodyText"/>
        <w:spacing w:before="168" w:line="240" w:lineRule="exact"/>
        <w:ind w:left="720" w:right="443"/>
        <w:rPr>
          <w:rFonts w:ascii="Times New Roman" w:eastAsia="Times New Roman" w:hAnsi="Times New Roman" w:cs="Times New Roman"/>
          <w:sz w:val="22"/>
          <w:szCs w:val="22"/>
        </w:rPr>
      </w:pPr>
    </w:p>
    <w:p w:rsidR="00C9763F" w:rsidRPr="00205A9A" w:rsidP="06B86EBF" w14:paraId="40A00334" w14:textId="273399DC">
      <w:pPr>
        <w:pStyle w:val="ListParagraph"/>
        <w:numPr>
          <w:ilvl w:val="0"/>
          <w:numId w:val="11"/>
        </w:numPr>
        <w:tabs>
          <w:tab w:val="left" w:pos="341"/>
        </w:tabs>
        <w:spacing w:before="168"/>
        <w:ind w:left="720" w:right="263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Burden on Small Business. </w:t>
      </w:r>
    </w:p>
    <w:p w:rsidR="004D2434" w:rsidRPr="00205A9A" w:rsidP="06B86EBF" w14:paraId="2E0CD939" w14:textId="43C7A527">
      <w:pPr>
        <w:pStyle w:val="ListParagraph"/>
        <w:tabs>
          <w:tab w:val="left" w:pos="341"/>
        </w:tabs>
        <w:spacing w:before="168"/>
        <w:ind w:left="720" w:right="263"/>
        <w:rPr>
          <w:rFonts w:ascii="Times New Roman" w:eastAsia="Times New Roman" w:hAnsi="Times New Roman" w:cs="Times New Roman"/>
        </w:rPr>
      </w:pPr>
      <w:r w:rsidRPr="00205A9A">
        <w:rPr>
          <w:rFonts w:ascii="Times New Roman" w:eastAsia="Times New Roman" w:hAnsi="Times New Roman" w:cs="Times New Roman"/>
          <w:w w:val="105"/>
          <w:shd w:val="clear" w:color="auto" w:fill="E6E6E6"/>
        </w:rPr>
        <w:t>This collection of information will not have a significant economic impact on a substantial number of the affected SBA Supervised Lenders.  Further, t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his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collection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allows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SBA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Supervised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Lenders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to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submit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financial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reports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that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have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been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prepared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for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other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purposes</w:t>
      </w:r>
      <w:r w:rsidRPr="00205A9A" w:rsidR="00B454C7">
        <w:rPr>
          <w:rFonts w:ascii="Times New Roman" w:eastAsia="Times New Roman" w:hAnsi="Times New Roman" w:cs="Times New Roman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and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does</w:t>
      </w:r>
      <w:r w:rsidRPr="00205A9A" w:rsidR="00023AA6">
        <w:rPr>
          <w:rFonts w:ascii="Times New Roman" w:eastAsia="Times New Roman" w:hAnsi="Times New Roman" w:cs="Times New Roman"/>
          <w:spacing w:val="-17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not require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them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to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submit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them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in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a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specified</w:t>
      </w:r>
      <w:r w:rsidRPr="00205A9A" w:rsidR="00023AA6">
        <w:rPr>
          <w:rFonts w:ascii="Times New Roman" w:eastAsia="Times New Roman" w:hAnsi="Times New Roman" w:cs="Times New Roman"/>
          <w:spacing w:val="-19"/>
          <w:w w:val="105"/>
          <w:shd w:val="clear" w:color="auto" w:fill="E6E6E6"/>
        </w:rPr>
        <w:t xml:space="preserve"> </w:t>
      </w:r>
      <w:r w:rsidRPr="00205A9A" w:rsidR="00023AA6">
        <w:rPr>
          <w:rFonts w:ascii="Times New Roman" w:eastAsia="Times New Roman" w:hAnsi="Times New Roman" w:cs="Times New Roman"/>
          <w:w w:val="105"/>
          <w:shd w:val="clear" w:color="auto" w:fill="E6E6E6"/>
        </w:rPr>
        <w:t>format.</w:t>
      </w:r>
    </w:p>
    <w:p w:rsidR="004D2434" w:rsidRPr="00205A9A" w:rsidP="06B86EBF" w14:paraId="2E0CD93A" w14:textId="77777777">
      <w:pPr>
        <w:pStyle w:val="BodyText"/>
        <w:spacing w:before="5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9763F" w:rsidRPr="00205A9A" w:rsidP="06B86EBF" w14:paraId="6666324E" w14:textId="17D0833A">
      <w:pPr>
        <w:pStyle w:val="ListParagraph"/>
        <w:numPr>
          <w:ilvl w:val="0"/>
          <w:numId w:val="11"/>
        </w:numPr>
        <w:tabs>
          <w:tab w:val="left" w:pos="341"/>
        </w:tabs>
        <w:spacing w:before="2"/>
        <w:ind w:left="720" w:right="185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Less Frequent Collection</w:t>
      </w: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.</w:t>
      </w:r>
    </w:p>
    <w:p w:rsidR="004D2434" w:rsidRPr="00205A9A" w:rsidP="06B86EBF" w14:paraId="2E0CD93C" w14:textId="77777777">
      <w:pPr>
        <w:pStyle w:val="ListParagraph"/>
        <w:tabs>
          <w:tab w:val="left" w:pos="341"/>
        </w:tabs>
        <w:spacing w:before="2"/>
        <w:ind w:left="720" w:right="185"/>
        <w:rPr>
          <w:rFonts w:ascii="Times New Roman" w:eastAsia="Times New Roman" w:hAnsi="Times New Roman" w:cs="Times New Roman"/>
          <w:i/>
          <w:iCs/>
        </w:rPr>
      </w:pPr>
    </w:p>
    <w:p w:rsidR="004D2434" w:rsidRPr="00205A9A" w:rsidP="06B86EBF" w14:paraId="2E0CD93D" w14:textId="6819EF9F">
      <w:pPr>
        <w:pStyle w:val="BodyText"/>
        <w:spacing w:line="240" w:lineRule="exact"/>
        <w:ind w:left="720" w:right="44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Failure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collect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this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information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could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result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in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lenders’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continuing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operate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under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unsafe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and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unsound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conditions</w:t>
      </w:r>
      <w:r w:rsidRPr="00205A9A" w:rsidR="00C84577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and</w:t>
      </w:r>
      <w:r w:rsidRPr="00205A9A">
        <w:rPr>
          <w:rFonts w:ascii="Times New Roman" w:eastAsia="Times New Roman" w:hAnsi="Times New Roman" w:cs="Times New Roman"/>
          <w:spacing w:val="-16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would impair SBA’s ability to determine whether the C</w:t>
      </w:r>
      <w:r w:rsidRPr="00205A9A" w:rsidR="005E0785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 SBLCs are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reaching the</w:t>
      </w:r>
      <w:r w:rsidRPr="00205A9A" w:rsidR="005E0785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ir individual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under-served market </w:t>
      </w:r>
      <w:r w:rsidRPr="00205A9A" w:rsidR="005E0785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lending requirement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.</w:t>
      </w:r>
      <w:r w:rsidRPr="00205A9A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 </w:t>
      </w:r>
      <w:r w:rsidRPr="00205A9A" w:rsidR="003F6738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>Failure to collect the</w:t>
      </w:r>
      <w:r w:rsidRPr="00205A9A" w:rsidR="00401C7C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 information</w:t>
      </w:r>
      <w:r w:rsidRPr="00205A9A" w:rsidR="008F250C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, or to collect it less frequently, </w:t>
      </w:r>
      <w:r w:rsidRPr="00205A9A" w:rsidR="003F6738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would </w:t>
      </w:r>
      <w:r w:rsidRPr="00205A9A" w:rsidR="008F250C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also </w:t>
      </w:r>
      <w:r w:rsidRPr="00205A9A" w:rsidR="003F6738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increase the risk of losses and have an adverse impact on the costs of operating the SBA 7(a) </w:t>
      </w:r>
      <w:r w:rsidRPr="00205A9A" w:rsidR="006255CE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>loan</w:t>
      </w:r>
      <w:r w:rsidRPr="00205A9A" w:rsidR="003F6738">
        <w:rPr>
          <w:rFonts w:ascii="Times New Roman" w:eastAsia="Times New Roman" w:hAnsi="Times New Roman" w:cs="Times New Roman"/>
          <w:spacing w:val="2"/>
          <w:w w:val="105"/>
          <w:sz w:val="22"/>
          <w:szCs w:val="22"/>
          <w:shd w:val="clear" w:color="auto" w:fill="E6E6E6"/>
        </w:rPr>
        <w:t xml:space="preserve"> program.  </w:t>
      </w:r>
    </w:p>
    <w:p w:rsidR="008F250C" w:rsidRPr="00205A9A" w:rsidP="06B86EBF" w14:paraId="2E0CD949" w14:textId="77777777">
      <w:pPr>
        <w:pStyle w:val="BodyText"/>
        <w:spacing w:line="240" w:lineRule="exact"/>
        <w:ind w:left="720" w:right="34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4A" w14:textId="2BA3D224">
      <w:pPr>
        <w:pStyle w:val="BodyText"/>
        <w:spacing w:line="240" w:lineRule="exact"/>
        <w:ind w:left="720" w:righ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If it is determined that a lender’s financial condition is very weak, or if significant concerns with </w:t>
      </w:r>
      <w:r w:rsidRPr="00205A9A" w:rsidR="75099F7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compliance, risk, or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program integrity are identified, SBA may require monthly reporting, but this is very unusual.</w:t>
      </w:r>
      <w:r w:rsidRPr="00205A9A" w:rsidR="75099F7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In addition, this collection of information requires retention of certain records for a period of 6 years after the life of a loan</w:t>
      </w:r>
      <w:r w:rsidRPr="00205A9A" w:rsidR="2495E18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, and the permanent preservation of certain records and documentation related to financial statements and other reports pursuant to 13 CFR §120.461(c)</w:t>
      </w:r>
      <w:r w:rsidRPr="00205A9A" w:rsidR="75099F7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  Th</w:t>
      </w:r>
      <w:r w:rsidRPr="00205A9A" w:rsidR="69A4A905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e </w:t>
      </w:r>
      <w:r w:rsidRPr="00205A9A" w:rsidR="005C259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6-year</w:t>
      </w:r>
      <w:r w:rsidRPr="00205A9A" w:rsidR="75099F7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retention requirement is consistent with the statute of limi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</w:t>
      </w:r>
      <w:r w:rsidRPr="00205A9A" w:rsidR="75099F7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ations for causes of action involving loan debts.  </w:t>
      </w:r>
      <w:r w:rsidRPr="00205A9A" w:rsidR="4A350B3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28 USC 2415.</w:t>
      </w:r>
    </w:p>
    <w:p w:rsidR="004D2434" w:rsidRPr="00205A9A" w:rsidP="06B86EBF" w14:paraId="2E0CD94B" w14:textId="77777777">
      <w:pPr>
        <w:pStyle w:val="BodyText"/>
        <w:spacing w:before="5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F4FB8" w:rsidRPr="00205A9A" w:rsidP="06B86EBF" w14:paraId="2E519620" w14:textId="77777777">
      <w:pPr>
        <w:pStyle w:val="ListParagraph"/>
        <w:numPr>
          <w:ilvl w:val="0"/>
          <w:numId w:val="11"/>
        </w:numPr>
        <w:tabs>
          <w:tab w:val="left" w:pos="341"/>
        </w:tabs>
        <w:spacing w:before="2" w:line="235" w:lineRule="auto"/>
        <w:ind w:left="720" w:right="340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Paperwork Reduction Act Guidelines</w:t>
      </w:r>
    </w:p>
    <w:p w:rsidR="004F4FB8" w:rsidRPr="00205A9A" w:rsidP="06B86EBF" w14:paraId="3D6F88F8" w14:textId="7EAFB5B6">
      <w:pPr>
        <w:pStyle w:val="ListParagraph"/>
        <w:tabs>
          <w:tab w:val="left" w:pos="341"/>
        </w:tabs>
        <w:spacing w:before="2" w:line="235" w:lineRule="auto"/>
        <w:ind w:left="720" w:right="340"/>
        <w:rPr>
          <w:rFonts w:ascii="Times New Roman" w:eastAsia="Times New Roman" w:hAnsi="Times New Roman" w:cs="Times New Roman"/>
          <w:b/>
          <w:bCs/>
        </w:rPr>
      </w:pPr>
    </w:p>
    <w:p w:rsidR="004F4FB8" w:rsidRPr="00205A9A" w:rsidP="06B86EBF" w14:paraId="3620E4BE" w14:textId="0BE8EDBA">
      <w:pPr>
        <w:pStyle w:val="ListParagraph"/>
        <w:tabs>
          <w:tab w:val="left" w:pos="341"/>
        </w:tabs>
        <w:spacing w:before="2" w:line="235" w:lineRule="auto"/>
        <w:ind w:left="720" w:right="340"/>
        <w:rPr>
          <w:rFonts w:ascii="Times New Roman" w:eastAsia="Times New Roman" w:hAnsi="Times New Roman" w:cs="Times New Roman"/>
        </w:rPr>
      </w:pP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There are no special </w:t>
      </w:r>
      <w:r w:rsidRPr="00205A9A" w:rsidR="00F80248">
        <w:rPr>
          <w:rFonts w:ascii="Times New Roman" w:eastAsia="Times New Roman" w:hAnsi="Times New Roman" w:cs="Times New Roman"/>
          <w:shd w:val="clear" w:color="auto" w:fill="E6E6E6"/>
        </w:rPr>
        <w:t>circumstances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.</w:t>
      </w:r>
    </w:p>
    <w:p w:rsidR="000D7950" w:rsidRPr="00205A9A" w:rsidP="06B86EBF" w14:paraId="2B5B2CA7" w14:textId="77777777">
      <w:pPr>
        <w:pStyle w:val="ListParagraph"/>
        <w:tabs>
          <w:tab w:val="left" w:pos="341"/>
        </w:tabs>
        <w:spacing w:before="2" w:line="235" w:lineRule="auto"/>
        <w:ind w:left="720" w:right="340"/>
        <w:rPr>
          <w:rFonts w:ascii="Times New Roman" w:eastAsia="Times New Roman" w:hAnsi="Times New Roman" w:cs="Times New Roman"/>
          <w:b/>
          <w:bCs/>
        </w:rPr>
      </w:pPr>
    </w:p>
    <w:p w:rsidR="004D2434" w:rsidRPr="00205A9A" w:rsidP="06B86EBF" w14:paraId="2E0CD952" w14:textId="6637F3B7">
      <w:pPr>
        <w:pStyle w:val="ListParagraph"/>
        <w:numPr>
          <w:ilvl w:val="0"/>
          <w:numId w:val="11"/>
        </w:numPr>
        <w:tabs>
          <w:tab w:val="left" w:pos="341"/>
        </w:tabs>
        <w:spacing w:before="2" w:line="235" w:lineRule="auto"/>
        <w:ind w:left="720" w:right="340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Consultation and Public</w:t>
      </w:r>
      <w:r w:rsidRPr="00205A9A" w:rsidR="00977916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.</w:t>
      </w: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 xml:space="preserve"> </w:t>
      </w:r>
      <w:bookmarkStart w:id="1" w:name="_Hlk67991055"/>
    </w:p>
    <w:p w:rsidR="00977916" w:rsidRPr="00205A9A" w:rsidP="06B86EBF" w14:paraId="6D56D944" w14:textId="77777777">
      <w:pPr>
        <w:pStyle w:val="BodyText"/>
        <w:spacing w:line="240" w:lineRule="exact"/>
        <w:ind w:left="720" w:right="34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53" w14:textId="77786505">
      <w:pPr>
        <w:pStyle w:val="BodyText"/>
        <w:spacing w:line="240" w:lineRule="exact"/>
        <w:ind w:left="720" w:righ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Notice of this information collection with request for public comment was published in the Federal Register</w:t>
      </w:r>
      <w:r w:rsidRPr="00205A9A" w:rsidR="407C9C0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on December 1</w:t>
      </w:r>
      <w:r w:rsidRPr="00205A9A" w:rsidR="08CA13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5</w:t>
      </w:r>
      <w:r w:rsidRPr="00205A9A" w:rsidR="407C9C0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, 2023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 See</w:t>
      </w:r>
      <w:r w:rsidRPr="00205A9A" w:rsidR="58EAC60E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88 FR 87044</w:t>
      </w:r>
      <w:r w:rsidRPr="00205A9A" w:rsidR="1DBC149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The comment period end</w:t>
      </w:r>
      <w:r w:rsidRPr="00205A9A" w:rsidR="5B91C69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ed</w:t>
      </w:r>
      <w:r w:rsidRPr="00205A9A" w:rsidR="530B3BA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on</w:t>
      </w:r>
      <w:r w:rsidRPr="00205A9A" w:rsidR="00DD400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February 13, 2024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</w:t>
      </w:r>
      <w:r w:rsidRPr="00205A9A" w:rsidR="43F2BF8F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No comments were received. </w:t>
      </w:r>
      <w:r w:rsidRPr="00205A9A" w:rsidR="7563D41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We regularly consult with lenders regarding the clarity of instructions and</w:t>
      </w:r>
      <w:r w:rsidRPr="00205A9A" w:rsidR="43F2BF8F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6FBD70C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the burden of the reporting requirement.  We allow lenders </w:t>
      </w:r>
      <w:r w:rsidRPr="00205A9A" w:rsidR="356EA6C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to submit the information in a report format that they choose which lessens the burden upon them.</w:t>
      </w:r>
    </w:p>
    <w:p w:rsidR="004D2434" w:rsidRPr="00205A9A" w:rsidP="06B86EBF" w14:paraId="2E0CD954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bookmarkEnd w:id="1"/>
    <w:p w:rsidR="005E0785" w:rsidRPr="00205A9A" w:rsidP="06B86EBF" w14:paraId="600D9258" w14:textId="40ABAF1A">
      <w:pPr>
        <w:pStyle w:val="ListParagraph"/>
        <w:numPr>
          <w:ilvl w:val="0"/>
          <w:numId w:val="11"/>
        </w:numPr>
        <w:tabs>
          <w:tab w:val="left" w:pos="341"/>
        </w:tabs>
        <w:spacing w:before="2" w:line="240" w:lineRule="auto"/>
        <w:ind w:left="720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Gifts or Payment. </w:t>
      </w:r>
    </w:p>
    <w:p w:rsidR="004D2434" w:rsidRPr="00205A9A" w:rsidP="06B86EBF" w14:paraId="2E0CD957" w14:textId="77777777">
      <w:pPr>
        <w:pStyle w:val="ListParagraph"/>
        <w:tabs>
          <w:tab w:val="left" w:pos="341"/>
        </w:tabs>
        <w:spacing w:before="2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:rsidR="004D2434" w:rsidRPr="00205A9A" w:rsidP="06B86EBF" w14:paraId="2E0CD958" w14:textId="77777777">
      <w:pPr>
        <w:pStyle w:val="BodyText"/>
        <w:spacing w:before="1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No payments or gift to respondents will be provided for this collection.</w:t>
      </w:r>
    </w:p>
    <w:p w:rsidR="004D2434" w:rsidRPr="00205A9A" w:rsidP="06B86EBF" w14:paraId="2E0CD959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5A" w14:textId="77777777">
      <w:pPr>
        <w:pStyle w:val="BodyText"/>
        <w:spacing w:before="7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C4707" w:rsidRPr="00205A9A" w:rsidP="06B86EBF" w14:paraId="7E972FAB" w14:textId="496531E4">
      <w:pPr>
        <w:pStyle w:val="ListParagraph"/>
        <w:numPr>
          <w:ilvl w:val="0"/>
          <w:numId w:val="11"/>
        </w:numPr>
        <w:tabs>
          <w:tab w:val="left" w:pos="443"/>
        </w:tabs>
        <w:ind w:left="720" w:right="3570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Privacy and Confidentiality</w:t>
      </w:r>
      <w:r w:rsidRPr="00205A9A" w:rsidR="00977916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.</w:t>
      </w: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 xml:space="preserve"> </w:t>
      </w:r>
    </w:p>
    <w:p w:rsidR="004D2434" w:rsidRPr="00205A9A" w:rsidP="06B86EBF" w14:paraId="2E0CD95C" w14:textId="77777777">
      <w:pPr>
        <w:pStyle w:val="ListParagraph"/>
        <w:tabs>
          <w:tab w:val="left" w:pos="443"/>
        </w:tabs>
        <w:ind w:left="720" w:right="3570"/>
        <w:rPr>
          <w:rFonts w:ascii="Times New Roman" w:eastAsia="Times New Roman" w:hAnsi="Times New Roman" w:cs="Times New Roman"/>
          <w:i/>
          <w:iCs/>
        </w:rPr>
      </w:pPr>
    </w:p>
    <w:p w:rsidR="004D2434" w:rsidRPr="00205A9A" w:rsidP="06B86EBF" w14:paraId="2E0CD95D" w14:textId="1826BBE6">
      <w:pPr>
        <w:pStyle w:val="BodyText"/>
        <w:spacing w:line="240" w:lineRule="exact"/>
        <w:ind w:left="720" w:right="22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The financial information </w:t>
      </w:r>
      <w:r w:rsidRPr="00205A9A" w:rsidR="00AE07B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primarily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required in this information collection describes the operating condition of each lender</w:t>
      </w:r>
      <w:r w:rsidRPr="00205A9A" w:rsidR="00CC470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and does not include any personally identifiable information.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Disclosure of the information could create a condition of competitive harm to entities with limited financial resources. The information collect</w:t>
      </w:r>
      <w:r w:rsidRPr="00205A9A" w:rsidR="00CC470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ed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will be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protected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to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extent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permitted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by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law,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including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Freedom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 w:rsidR="00FA00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of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Information</w:t>
      </w:r>
      <w:r w:rsidRPr="00205A9A">
        <w:rPr>
          <w:rFonts w:ascii="Times New Roman" w:eastAsia="Times New Roman" w:hAnsi="Times New Roman" w:cs="Times New Roman"/>
          <w:spacing w:val="10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Act</w:t>
      </w:r>
      <w:r w:rsidRPr="00205A9A" w:rsidR="00CC470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, 5 U.S.C. 552</w:t>
      </w:r>
      <w:r w:rsidRPr="00205A9A" w:rsidR="002736B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See also 13 CFR 120.1060</w:t>
      </w:r>
      <w:r w:rsidRPr="00205A9A" w:rsidR="0010036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</w:t>
      </w:r>
      <w:r w:rsidRPr="00205A9A" w:rsidR="0010036D">
        <w:rPr>
          <w:rFonts w:ascii="Times New Roman" w:eastAsia="Times New Roman" w:hAnsi="Times New Roman" w:cs="Times New Roman"/>
          <w:i/>
          <w:iCs/>
          <w:sz w:val="22"/>
          <w:szCs w:val="22"/>
          <w:shd w:val="clear" w:color="auto" w:fill="E6E6E6"/>
        </w:rPr>
        <w:t>Confidentiality of Reports, </w:t>
      </w:r>
      <w:hyperlink r:id="rId5" w:history="1">
        <w:r w:rsidRPr="00205A9A" w:rsidR="0010036D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2"/>
            <w:szCs w:val="22"/>
          </w:rPr>
          <w:t>Risk Ratings</w:t>
        </w:r>
      </w:hyperlink>
      <w:r w:rsidRPr="00205A9A" w:rsidR="0010036D">
        <w:rPr>
          <w:rFonts w:ascii="Times New Roman" w:eastAsia="Times New Roman" w:hAnsi="Times New Roman" w:cs="Times New Roman"/>
          <w:i/>
          <w:iCs/>
          <w:sz w:val="22"/>
          <w:szCs w:val="22"/>
          <w:shd w:val="clear" w:color="auto" w:fill="E6E6E6"/>
        </w:rPr>
        <w:t> and related Confidential Information</w:t>
      </w:r>
      <w:r w:rsidRPr="00205A9A" w:rsidR="0010036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</w:t>
      </w:r>
      <w:r w:rsidRPr="00205A9A" w:rsidR="0047291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and SOP 50 53 2, </w:t>
      </w:r>
      <w:r w:rsidRPr="00205A9A" w:rsidR="0047291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Chpt</w:t>
      </w:r>
      <w:r w:rsidRPr="00205A9A" w:rsidR="0047291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1, Para. </w:t>
      </w:r>
      <w:r w:rsidRPr="00205A9A" w:rsidR="00E707D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1.</w:t>
      </w:r>
      <w:r w:rsidRPr="00205A9A" w:rsidR="0047291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h</w:t>
      </w:r>
      <w:r w:rsidRPr="00205A9A" w:rsidR="002736B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. </w:t>
      </w:r>
      <w:r w:rsidRPr="00205A9A" w:rsidR="00D2744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No assurance of confidentiality on the form </w:t>
      </w:r>
      <w:r w:rsidRPr="00205A9A" w:rsidR="002736B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</w:p>
    <w:p w:rsidR="004D2434" w:rsidRPr="00205A9A" w:rsidP="06B86EBF" w14:paraId="2E0CD95E" w14:textId="77777777">
      <w:pPr>
        <w:pStyle w:val="BodyText"/>
        <w:spacing w:before="8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D42779" w:rsidRPr="00205A9A" w:rsidP="06B86EBF" w14:paraId="1B62A154" w14:textId="1150F3B4">
      <w:pPr>
        <w:pStyle w:val="ListParagraph"/>
        <w:numPr>
          <w:ilvl w:val="0"/>
          <w:numId w:val="11"/>
        </w:numPr>
        <w:tabs>
          <w:tab w:val="left" w:pos="443"/>
        </w:tabs>
        <w:ind w:left="720" w:right="99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Sensitive Questions.</w:t>
      </w:r>
    </w:p>
    <w:p w:rsidR="00D42779" w:rsidRPr="00205A9A" w:rsidP="06B86EBF" w14:paraId="51CB8E73" w14:textId="77777777">
      <w:pPr>
        <w:pStyle w:val="ListParagraph"/>
        <w:tabs>
          <w:tab w:val="left" w:pos="443"/>
        </w:tabs>
        <w:ind w:left="720" w:right="99"/>
        <w:rPr>
          <w:rFonts w:ascii="Times New Roman" w:eastAsia="Times New Roman" w:hAnsi="Times New Roman" w:cs="Times New Roman"/>
        </w:rPr>
      </w:pPr>
    </w:p>
    <w:p w:rsidR="00170B04" w:rsidRPr="00205A9A" w:rsidP="06B86EBF" w14:paraId="2E0CD961" w14:textId="1EDAFA93">
      <w:pPr>
        <w:pStyle w:val="ListParagraph"/>
        <w:tabs>
          <w:tab w:val="left" w:pos="443"/>
        </w:tabs>
        <w:ind w:left="720" w:right="99"/>
        <w:rPr>
          <w:rFonts w:ascii="Times New Roman" w:eastAsia="Times New Roman" w:hAnsi="Times New Roman" w:cs="Times New Roman"/>
        </w:rPr>
      </w:pP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No information of </w:t>
      </w:r>
      <w:r w:rsidRPr="00205A9A" w:rsidR="00AE07BB">
        <w:rPr>
          <w:rFonts w:ascii="Times New Roman" w:eastAsia="Times New Roman" w:hAnsi="Times New Roman" w:cs="Times New Roman"/>
          <w:shd w:val="clear" w:color="auto" w:fill="E6E6E6"/>
        </w:rPr>
        <w:t xml:space="preserve">a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sensitive nature, as described in these instructions, is required.</w:t>
      </w:r>
    </w:p>
    <w:p w:rsidR="00170B04" w:rsidRPr="00205A9A" w:rsidP="06B86EBF" w14:paraId="2E0CD962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D42779" w:rsidRPr="00205A9A" w:rsidP="06B86EBF" w14:paraId="4BE707F6" w14:textId="5960219D">
      <w:pPr>
        <w:pStyle w:val="BodyText"/>
        <w:spacing w:before="1"/>
        <w:ind w:left="916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5E5FD7" w:rsidRPr="00205A9A" w:rsidP="71F85EFE" w14:paraId="16A53358" w14:textId="77777777">
      <w:pPr>
        <w:pStyle w:val="BodyText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E6E6E6"/>
        </w:rPr>
        <w:t xml:space="preserve">      </w:t>
      </w:r>
      <w:r w:rsidRPr="00205A9A" w:rsidR="2D5FA133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E6E6E6"/>
        </w:rPr>
        <w:t>Burden Estimate</w:t>
      </w:r>
    </w:p>
    <w:p w:rsidR="004D2434" w:rsidRPr="00205A9A" w:rsidP="06B86EBF" w14:paraId="2E0CD967" w14:textId="010B7E80">
      <w:pPr>
        <w:pStyle w:val="BodyText"/>
        <w:spacing w:before="1"/>
        <w:ind w:left="108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i/>
          <w:iCs/>
          <w:sz w:val="22"/>
          <w:szCs w:val="22"/>
          <w:shd w:val="clear" w:color="auto" w:fill="E6E6E6"/>
        </w:rPr>
        <w:t>.</w:t>
      </w:r>
    </w:p>
    <w:p w:rsidR="004D2434" w:rsidRPr="00205A9A" w:rsidP="06B86EBF" w14:paraId="2E0CD968" w14:textId="624037EC">
      <w:pPr>
        <w:pStyle w:val="BodyText"/>
        <w:spacing w:line="240" w:lineRule="exact"/>
        <w:ind w:left="720" w:right="33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 information collection is required for 1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7</w:t>
      </w:r>
      <w:r w:rsidRPr="00205A9A" w:rsidR="00415B4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lenders, </w:t>
      </w:r>
      <w:r w:rsidRPr="00205A9A" w:rsidR="4CE2BA4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consisting of </w:t>
      </w:r>
      <w:r w:rsidRPr="00205A9A" w:rsidR="15A2F3F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3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2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SBLCs</w:t>
      </w:r>
      <w:r w:rsidRPr="00205A9A" w:rsidR="15A2F3F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and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NFRLs and </w:t>
      </w:r>
      <w:r w:rsidRPr="00205A9A" w:rsidR="1DBC149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</w:t>
      </w:r>
      <w:r w:rsidRPr="00205A9A" w:rsidR="5DF49A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42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C</w:t>
      </w:r>
      <w:r w:rsidRPr="00205A9A" w:rsidR="7CE933C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 </w:t>
      </w:r>
      <w:r w:rsidRPr="00205A9A" w:rsidR="624C913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SBLCs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.  </w:t>
      </w:r>
      <w:r w:rsidRPr="00205A9A" w:rsidR="36A1C70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While most of the information collected, like the annual and quarterly condition reports is requi</w:t>
      </w:r>
      <w:r w:rsidRPr="00205A9A" w:rsidR="5210AB5C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r</w:t>
      </w:r>
      <w:r w:rsidRPr="00205A9A" w:rsidR="36A1C706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ed, some is ad hoc and occurs on an exception basis. 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 annual and quarterly reports for SBLCs</w:t>
      </w:r>
      <w:r w:rsidRPr="00205A9A" w:rsidR="2495E18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and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NFRLs</w:t>
      </w:r>
      <w:r w:rsidRPr="00205A9A" w:rsidR="2495E18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(other than CA </w:t>
      </w:r>
      <w:r w:rsidRPr="00205A9A" w:rsidR="624C913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SBLCs</w:t>
      </w:r>
      <w:r w:rsidRPr="00205A9A" w:rsidR="2495E18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)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are produced for other recipients and will not require additional preparation time</w:t>
      </w:r>
      <w:r w:rsidRPr="00205A9A" w:rsidR="000C981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to meet </w:t>
      </w:r>
      <w:r w:rsidRPr="00205A9A" w:rsidR="7E229DBC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SBA’s reporting requirement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. As submission is electronic, submission time is minimal. </w:t>
      </w:r>
      <w:r w:rsidRPr="00205A9A" w:rsidR="5210AB5C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The recordkeeping is also information </w:t>
      </w:r>
      <w:r w:rsidRPr="00205A9A" w:rsidR="5017AC95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that </w:t>
      </w:r>
      <w:r w:rsidRPr="00205A9A" w:rsidR="5210AB5C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lenders would already maintain. 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The </w:t>
      </w:r>
      <w:r w:rsidRPr="00205A9A" w:rsidR="5DF49A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568</w:t>
      </w:r>
      <w:r w:rsidRPr="00205A9A" w:rsidR="649FF7E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quarterly </w:t>
      </w:r>
      <w:r w:rsidRPr="00205A9A" w:rsidR="5F3C24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and </w:t>
      </w:r>
      <w:r w:rsidRPr="00205A9A" w:rsidR="649FF7E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</w:t>
      </w:r>
      <w:r w:rsidRPr="00205A9A" w:rsidR="5DF49A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42</w:t>
      </w:r>
      <w:r w:rsidRPr="00205A9A" w:rsidR="649FF7E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5F3C24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annual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reports for CA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SBLCs</w:t>
      </w:r>
      <w:r w:rsidRPr="00205A9A" w:rsidR="5F3C24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are specific to this program. With each CA </w:t>
      </w:r>
      <w:r w:rsidRPr="00205A9A" w:rsidR="5DF49A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SBLC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taking </w:t>
      </w:r>
      <w:r w:rsidRPr="00205A9A" w:rsidR="5F3C24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10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hours to respond </w:t>
      </w:r>
      <w:r w:rsidRPr="00205A9A" w:rsidR="0397A68C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annually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(2 hours per </w:t>
      </w:r>
      <w:r w:rsidRPr="00205A9A" w:rsidR="5F3C24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reporting period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)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total recordkeeping estimate is </w:t>
      </w:r>
      <w:r w:rsidRPr="00205A9A" w:rsidR="5DF49A9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1,420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hours.</w:t>
      </w:r>
      <w:r w:rsidRPr="00205A9A" w:rsidR="356EA6CB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Reporting required for other than annual and quarterly reports is extremely unusual and would add a minimal burden, as the information is usually relayed in an email or letter.</w:t>
      </w:r>
    </w:p>
    <w:p w:rsidR="004D2434" w:rsidRPr="00205A9A" w:rsidP="06B86EBF" w14:paraId="2E0CD969" w14:textId="77777777">
      <w:pPr>
        <w:pStyle w:val="BodyText"/>
        <w:spacing w:before="7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472" w:rsidRPr="00205A9A" w:rsidP="06B86EBF" w14:paraId="0798CA26" w14:textId="0FB6A2E3">
      <w:pPr>
        <w:ind w:left="720"/>
        <w:rPr>
          <w:rFonts w:ascii="Times New Roman" w:eastAsia="Times New Roman" w:hAnsi="Times New Roman" w:cs="Times New Roman"/>
        </w:rPr>
      </w:pPr>
      <w:bookmarkStart w:id="2" w:name="_Hlk69389278"/>
      <w:r w:rsidRPr="00205A9A">
        <w:rPr>
          <w:rFonts w:ascii="Times New Roman" w:eastAsia="Times New Roman" w:hAnsi="Times New Roman" w:cs="Times New Roman"/>
          <w:shd w:val="clear" w:color="auto" w:fill="E6E6E6"/>
        </w:rPr>
        <w:t>C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>hief C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ompliance Officer (responsible for preparation of these reports) salary rate of $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>107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per hour used was based on 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 xml:space="preserve">the average salary for 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>a seasoned</w:t>
      </w:r>
      <w:r w:rsidRPr="00205A9A" w:rsidR="00453CB6">
        <w:rPr>
          <w:rFonts w:ascii="Times New Roman" w:eastAsia="Times New Roman" w:hAnsi="Times New Roman" w:cs="Times New Roman"/>
          <w:shd w:val="clear" w:color="auto" w:fill="E6E6E6"/>
        </w:rPr>
        <w:t xml:space="preserve"> 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 xml:space="preserve">Chief Compliance Officer 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>(in 75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  <w:vertAlign w:val="superscript"/>
        </w:rPr>
        <w:t>th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 xml:space="preserve"> percentile of salaries) 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 xml:space="preserve">that was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published by Robert Half International (20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>2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 xml:space="preserve">4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salary guide for accounting and finance)</w:t>
      </w:r>
      <w:r w:rsidRPr="00205A9A" w:rsidR="00040519">
        <w:rPr>
          <w:rFonts w:ascii="Times New Roman" w:eastAsia="Times New Roman" w:hAnsi="Times New Roman" w:cs="Times New Roman"/>
          <w:shd w:val="clear" w:color="auto" w:fill="E6E6E6"/>
        </w:rPr>
        <w:t>.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The </w:t>
      </w:r>
      <w:r w:rsidRPr="00205A9A" w:rsidR="003A0C0D">
        <w:rPr>
          <w:rFonts w:ascii="Times New Roman" w:eastAsia="Times New Roman" w:hAnsi="Times New Roman" w:cs="Times New Roman"/>
          <w:shd w:val="clear" w:color="auto" w:fill="E6E6E6"/>
        </w:rPr>
        <w:t>10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hours per </w:t>
      </w:r>
      <w:r w:rsidRPr="00205A9A" w:rsidR="00C2793B">
        <w:rPr>
          <w:rFonts w:ascii="Times New Roman" w:eastAsia="Times New Roman" w:hAnsi="Times New Roman" w:cs="Times New Roman"/>
          <w:shd w:val="clear" w:color="auto" w:fill="E6E6E6"/>
        </w:rPr>
        <w:t xml:space="preserve">lender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estimate is based on an informal survey of CA </w:t>
      </w:r>
      <w:r w:rsidRPr="00205A9A" w:rsidR="00C2793B">
        <w:rPr>
          <w:rFonts w:ascii="Times New Roman" w:eastAsia="Times New Roman" w:hAnsi="Times New Roman" w:cs="Times New Roman"/>
          <w:shd w:val="clear" w:color="auto" w:fill="E6E6E6"/>
        </w:rPr>
        <w:t>SBLCs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. SBA estimates an annual cost of $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>1,070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per </w:t>
      </w:r>
      <w:r w:rsidRPr="00205A9A" w:rsidR="00DA1260">
        <w:rPr>
          <w:rFonts w:ascii="Times New Roman" w:eastAsia="Times New Roman" w:hAnsi="Times New Roman" w:cs="Times New Roman"/>
          <w:shd w:val="clear" w:color="auto" w:fill="E6E6E6"/>
        </w:rPr>
        <w:t>CA SBLC</w:t>
      </w:r>
      <w:r w:rsidRPr="00205A9A" w:rsidR="00A42AE1">
        <w:rPr>
          <w:rFonts w:ascii="Times New Roman" w:eastAsia="Times New Roman" w:hAnsi="Times New Roman" w:cs="Times New Roman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(or approximately $</w:t>
      </w:r>
      <w:r w:rsidRPr="00205A9A" w:rsidR="005C776E">
        <w:rPr>
          <w:rFonts w:ascii="Times New Roman" w:eastAsia="Times New Roman" w:hAnsi="Times New Roman" w:cs="Times New Roman"/>
          <w:shd w:val="clear" w:color="auto" w:fill="E6E6E6"/>
        </w:rPr>
        <w:t>1</w:t>
      </w:r>
      <w:r w:rsidRPr="00205A9A" w:rsidR="00A42AE1">
        <w:rPr>
          <w:rFonts w:ascii="Times New Roman" w:eastAsia="Times New Roman" w:hAnsi="Times New Roman" w:cs="Times New Roman"/>
          <w:spacing w:val="-18"/>
          <w:w w:val="105"/>
          <w:shd w:val="clear" w:color="auto" w:fill="E6E6E6"/>
        </w:rPr>
        <w:t xml:space="preserve">51,940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for all CA Lenders) to comply with the information collection process.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The chart</w:t>
      </w:r>
      <w:r w:rsidRPr="00205A9A" w:rsidR="00EA7D6C">
        <w:rPr>
          <w:rFonts w:ascii="Times New Roman" w:eastAsia="Times New Roman" w:hAnsi="Times New Roman" w:cs="Times New Roman"/>
          <w:shd w:val="clear" w:color="auto" w:fill="E6E6E6"/>
        </w:rPr>
        <w:t>s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below depict the hour and cost burden estimates for </w:t>
      </w:r>
      <w:r w:rsidRPr="00205A9A" w:rsidR="00167BF0">
        <w:rPr>
          <w:rFonts w:ascii="Times New Roman" w:eastAsia="Times New Roman" w:hAnsi="Times New Roman" w:cs="Times New Roman"/>
          <w:shd w:val="clear" w:color="auto" w:fill="E6E6E6"/>
        </w:rPr>
        <w:t xml:space="preserve">individual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>C</w:t>
      </w:r>
      <w:r w:rsidRPr="00205A9A" w:rsidR="00DD0B07">
        <w:rPr>
          <w:rFonts w:ascii="Times New Roman" w:eastAsia="Times New Roman" w:hAnsi="Times New Roman" w:cs="Times New Roman"/>
          <w:shd w:val="clear" w:color="auto" w:fill="E6E6E6"/>
        </w:rPr>
        <w:t>A SBLC quarterly and annual reporting</w:t>
      </w:r>
      <w:r w:rsidRPr="00205A9A" w:rsidR="00167BF0">
        <w:rPr>
          <w:rFonts w:ascii="Times New Roman" w:eastAsia="Times New Roman" w:hAnsi="Times New Roman" w:cs="Times New Roman"/>
          <w:shd w:val="clear" w:color="auto" w:fill="E6E6E6"/>
        </w:rPr>
        <w:t xml:space="preserve"> and for all CA SBLC quarterly and annual reporting</w:t>
      </w:r>
      <w:r w:rsidRPr="00205A9A" w:rsidR="00DD0B07">
        <w:rPr>
          <w:rFonts w:ascii="Times New Roman" w:eastAsia="Times New Roman" w:hAnsi="Times New Roman" w:cs="Times New Roman"/>
          <w:shd w:val="clear" w:color="auto" w:fill="E6E6E6"/>
        </w:rPr>
        <w:t xml:space="preserve">. 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Based on this information, the total estimated hour burden for this collection is </w:t>
      </w:r>
      <w:r w:rsidRPr="00205A9A" w:rsidR="00167BF0">
        <w:rPr>
          <w:rFonts w:ascii="Times New Roman" w:eastAsia="Times New Roman" w:hAnsi="Times New Roman" w:cs="Times New Roman"/>
          <w:shd w:val="clear" w:color="auto" w:fill="E6E6E6"/>
        </w:rPr>
        <w:t>1,420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 hours, and the total estimate cost burden is $</w:t>
      </w:r>
      <w:r w:rsidRPr="00205A9A" w:rsidR="00C66683">
        <w:rPr>
          <w:rFonts w:ascii="Times New Roman" w:eastAsia="Times New Roman" w:hAnsi="Times New Roman" w:cs="Times New Roman"/>
          <w:shd w:val="clear" w:color="auto" w:fill="E6E6E6"/>
        </w:rPr>
        <w:t>151,940</w:t>
      </w:r>
      <w:r w:rsidRPr="00205A9A">
        <w:rPr>
          <w:rFonts w:ascii="Times New Roman" w:eastAsia="Times New Roman" w:hAnsi="Times New Roman" w:cs="Times New Roman"/>
          <w:shd w:val="clear" w:color="auto" w:fill="E6E6E6"/>
        </w:rPr>
        <w:t xml:space="preserve">.  </w:t>
      </w:r>
    </w:p>
    <w:p w:rsidR="00205A9A" w:rsidRPr="00205A9A" w:rsidP="00205A9A" w14:paraId="4CFABF2E" w14:textId="77777777">
      <w:pPr>
        <w:pStyle w:val="BodyText"/>
        <w:spacing w:line="240" w:lineRule="exact"/>
        <w:ind w:right="33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10D98" w:rsidRPr="00205A9A" w:rsidP="06B86EBF" w14:paraId="28FD3880" w14:textId="77777777">
      <w:pPr>
        <w:pStyle w:val="BodyText"/>
        <w:spacing w:line="240" w:lineRule="exact"/>
        <w:ind w:left="720" w:right="33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bookmarkEnd w:id="2"/>
    <w:p w:rsidR="004D2434" w:rsidRPr="00205A9A" w:rsidP="06B86EBF" w14:paraId="2E0CD96B" w14:textId="77777777">
      <w:pPr>
        <w:pStyle w:val="BodyText"/>
        <w:spacing w:before="4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6560" w:type="dxa"/>
        <w:tblInd w:w="1395" w:type="dxa"/>
        <w:tblLook w:val="04A0"/>
      </w:tblPr>
      <w:tblGrid>
        <w:gridCol w:w="1800"/>
        <w:gridCol w:w="1340"/>
        <w:gridCol w:w="1140"/>
        <w:gridCol w:w="2280"/>
      </w:tblGrid>
      <w:tr w14:paraId="227957EF" w14:textId="77777777" w:rsidTr="06B86EBF">
        <w:tblPrEx>
          <w:tblW w:w="6560" w:type="dxa"/>
          <w:tblInd w:w="1395" w:type="dxa"/>
          <w:tblLook w:val="04A0"/>
        </w:tblPrEx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C47A60" w:rsidRPr="00205A9A" w:rsidP="06B86EBF" w14:paraId="71D82DF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Cost per CA SBLC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0D67A11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5B9BB2B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7F23FBA1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14:paraId="1C104EF3" w14:textId="77777777" w:rsidTr="06B86EBF">
        <w:tblPrEx>
          <w:tblW w:w="6560" w:type="dxa"/>
          <w:tblInd w:w="1395" w:type="dxa"/>
          <w:tblLook w:val="04A0"/>
        </w:tblPrEx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C47A60" w:rsidRPr="00205A9A" w:rsidP="06B86EBF" w14:paraId="242F3CD3" w14:textId="4CBC927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Position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C47A60" w:rsidRPr="00205A9A" w:rsidP="06B86EBF" w14:paraId="433D2BB1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Hourly Wage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C47A60" w:rsidRPr="00205A9A" w:rsidP="06B86EBF" w14:paraId="1CC1F241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# Hours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C47A60" w:rsidRPr="00205A9A" w:rsidP="06B86EBF" w14:paraId="57776FFE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Total Cost per CA SBLC</w:t>
            </w:r>
          </w:p>
        </w:tc>
      </w:tr>
      <w:tr w14:paraId="7B0E0895" w14:textId="77777777" w:rsidTr="06B86EBF">
        <w:tblPrEx>
          <w:tblW w:w="6560" w:type="dxa"/>
          <w:tblInd w:w="1395" w:type="dxa"/>
          <w:tblLook w:val="04A0"/>
        </w:tblPrEx>
        <w:trPr>
          <w:trHeight w:val="5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A60" w:rsidRPr="00205A9A" w:rsidP="06B86EBF" w14:paraId="38B1746E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Chief Compliance Officer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0ACC63A0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$107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5E16A56C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A60" w:rsidRPr="00205A9A" w:rsidP="06B86EBF" w14:paraId="25D51832" w14:textId="777777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$1,070 </w:t>
            </w:r>
          </w:p>
        </w:tc>
      </w:tr>
    </w:tbl>
    <w:p w:rsidR="00C47A60" w:rsidRPr="00205A9A" w:rsidP="06B86EBF" w14:paraId="474B6DBC" w14:textId="77777777">
      <w:pPr>
        <w:pStyle w:val="BodyText"/>
        <w:spacing w:before="4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47A60" w:rsidRPr="00205A9A" w:rsidP="06B86EBF" w14:paraId="12B78D96" w14:textId="2509C134">
      <w:pPr>
        <w:pStyle w:val="BodyText"/>
        <w:spacing w:before="4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hAnsi="Times New Roman" w:cs="Times New Roman"/>
          <w:noProof/>
          <w:sz w:val="22"/>
          <w:szCs w:val="22"/>
          <w:shd w:val="clear" w:color="auto" w:fill="E6E6E6"/>
        </w:rPr>
        <w:drawing>
          <wp:inline distT="0" distB="0" distL="0" distR="0">
            <wp:extent cx="2560320" cy="1487561"/>
            <wp:effectExtent l="0" t="0" r="0" b="0"/>
            <wp:docPr id="10632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90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642" cy="15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A60" w:rsidRPr="00205A9A" w:rsidP="06B86EBF" w14:paraId="2A558AB6" w14:textId="77777777">
      <w:pPr>
        <w:pStyle w:val="BodyText"/>
        <w:spacing w:before="4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47A60" w:rsidRPr="00205A9A" w:rsidP="06B86EBF" w14:paraId="64DBB5B1" w14:textId="77777777">
      <w:pPr>
        <w:pStyle w:val="BodyText"/>
        <w:spacing w:before="4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6F" w14:textId="291A617C">
      <w:pPr>
        <w:pStyle w:val="ListParagraph"/>
        <w:numPr>
          <w:ilvl w:val="0"/>
          <w:numId w:val="11"/>
        </w:numPr>
        <w:tabs>
          <w:tab w:val="left" w:pos="443"/>
        </w:tabs>
        <w:ind w:left="720" w:right="113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Estimated Nonrecurring Costs</w:t>
      </w:r>
      <w:r w:rsidRPr="00205A9A" w:rsidR="00C64960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. </w:t>
      </w:r>
    </w:p>
    <w:p w:rsidR="004D2434" w:rsidRPr="00205A9A" w:rsidP="06B86EBF" w14:paraId="2E0CD971" w14:textId="77777777">
      <w:pPr>
        <w:pStyle w:val="BodyText"/>
        <w:spacing w:before="110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Other than outlined above, there are no additional costs resulting from the collection of information.</w:t>
      </w:r>
    </w:p>
    <w:p w:rsidR="004D2434" w:rsidRPr="00205A9A" w:rsidP="06B86EBF" w14:paraId="2E0CD972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73" w14:textId="77777777">
      <w:pPr>
        <w:pStyle w:val="BodyText"/>
        <w:spacing w:before="7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75" w14:textId="7C5C87CC">
      <w:pPr>
        <w:pStyle w:val="ListParagraph"/>
        <w:numPr>
          <w:ilvl w:val="0"/>
          <w:numId w:val="11"/>
        </w:numPr>
        <w:tabs>
          <w:tab w:val="left" w:pos="443"/>
        </w:tabs>
        <w:ind w:left="720" w:right="165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 xml:space="preserve"> Estimat</w:t>
      </w:r>
      <w:r w:rsidRPr="00205A9A" w:rsidR="00E16F20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 xml:space="preserve">ed </w:t>
      </w:r>
      <w:r w:rsidRPr="00205A9A" w:rsidR="007977A7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Costs to the Government</w:t>
      </w:r>
      <w:r w:rsidRPr="00205A9A" w:rsidR="00E16F20">
        <w:rPr>
          <w:rFonts w:ascii="Times New Roman" w:eastAsia="Times New Roman" w:hAnsi="Times New Roman" w:cs="Times New Roman"/>
          <w:b/>
          <w:bCs/>
          <w:w w:val="105"/>
          <w:shd w:val="clear" w:color="auto" w:fill="E6E6E6"/>
        </w:rPr>
        <w:t>.</w:t>
      </w:r>
    </w:p>
    <w:p w:rsidR="004D2434" w:rsidRPr="00205A9A" w:rsidP="06B86EBF" w14:paraId="2E0CD976" w14:textId="77777777">
      <w:pPr>
        <w:pStyle w:val="BodyText"/>
        <w:spacing w:before="5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DD2881" w:rsidRPr="00205A9A" w:rsidP="06B86EBF" w14:paraId="2E0CD977" w14:textId="3DEEA5FF">
      <w:pPr>
        <w:pStyle w:val="BodyText"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The reports submitted are analyzed by contractor staff and reviewed by SBA financial analysts. The cost to SBA for all technical assistance performed by the contractor is $</w:t>
      </w:r>
      <w:r w:rsidRPr="00205A9A" w:rsidR="00CC23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3</w:t>
      </w:r>
      <w:r w:rsidRPr="00205A9A" w:rsidR="00A34D32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3,473.13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per month in fiscal year 20</w:t>
      </w:r>
      <w:r w:rsidRPr="00205A9A" w:rsidR="00453CB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2</w:t>
      </w:r>
      <w:r w:rsidRPr="00205A9A" w:rsidR="00E9332E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4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. Total</w:t>
      </w:r>
      <w:r w:rsidRPr="00205A9A">
        <w:rPr>
          <w:rFonts w:ascii="Times New Roman" w:eastAsia="Times New Roman" w:hAnsi="Times New Roman" w:cs="Times New Roman"/>
          <w:spacing w:val="-19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annual</w:t>
      </w:r>
      <w:r w:rsidRPr="00205A9A">
        <w:rPr>
          <w:rFonts w:ascii="Times New Roman" w:eastAsia="Times New Roman" w:hAnsi="Times New Roman" w:cs="Times New Roman"/>
          <w:spacing w:val="-19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expenditure</w:t>
      </w:r>
      <w:r w:rsidRPr="00205A9A">
        <w:rPr>
          <w:rFonts w:ascii="Times New Roman" w:eastAsia="Times New Roman" w:hAnsi="Times New Roman" w:cs="Times New Roman"/>
          <w:spacing w:val="-19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is</w:t>
      </w:r>
      <w:r w:rsidRPr="00205A9A">
        <w:rPr>
          <w:rFonts w:ascii="Times New Roman" w:eastAsia="Times New Roman" w:hAnsi="Times New Roman" w:cs="Times New Roman"/>
          <w:spacing w:val="-19"/>
          <w:w w:val="105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approximately</w:t>
      </w:r>
      <w:r w:rsidRPr="00205A9A" w:rsidR="00D27DD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$</w:t>
      </w:r>
      <w:r w:rsidRPr="00205A9A" w:rsidR="00A34D32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401,684.50</w:t>
      </w:r>
      <w:r w:rsidRPr="00205A9A" w:rsidR="001D38D7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.</w:t>
      </w:r>
    </w:p>
    <w:p w:rsidR="00DD2881" w:rsidRPr="00205A9A" w:rsidP="06B86EBF" w14:paraId="2E0CD978" w14:textId="77777777">
      <w:pPr>
        <w:pStyle w:val="BodyText"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A7301" w:rsidRPr="00205A9A" w:rsidP="06B86EBF" w14:paraId="5D242A07" w14:textId="0763096C">
      <w:pPr>
        <w:pStyle w:val="BodyText"/>
        <w:keepNext/>
        <w:keepLines/>
        <w:widowControl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The 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8</w:t>
      </w:r>
      <w:r w:rsidRPr="00205A9A" w:rsidR="5111B754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95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responses</w:t>
      </w:r>
      <w:r w:rsidRPr="00205A9A" w:rsidR="205A86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that are provided by </w:t>
      </w:r>
      <w:r w:rsidRPr="00205A9A" w:rsidR="205A86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SBLCs, NFRLs, and CA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SBLCs</w:t>
      </w:r>
      <w:r w:rsidRPr="00205A9A" w:rsidR="6E9FF530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quarterly and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annually </w:t>
      </w:r>
      <w:r w:rsidRPr="00205A9A" w:rsidR="205A86DD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a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re reviewed by SBA financial analysts.  Each review takes approximately 15 minutes, for approximately 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2</w:t>
      </w:r>
      <w:r w:rsidRPr="00205A9A" w:rsidR="6E80CF3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23.75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hours per year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in total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.  The work is completed by 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hree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f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inancial analysts at a GS – 1</w:t>
      </w:r>
      <w:r w:rsidRPr="00205A9A" w:rsidR="44E2276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4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step </w:t>
      </w:r>
      <w:r w:rsidRPr="00205A9A" w:rsidR="001BAC6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5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, with an average </w:t>
      </w:r>
      <w:r w:rsidRPr="00205A9A" w:rsidR="7CE33CD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hourly rate of $</w:t>
      </w:r>
      <w:r w:rsidRPr="00205A9A" w:rsidR="44E2276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75.70 </w:t>
      </w:r>
      <w:r w:rsidRPr="00205A9A" w:rsidR="7CE33CD3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per hour 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plus </w:t>
      </w:r>
      <w:r w:rsidRPr="00205A9A" w:rsidR="44E2276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100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% benefit allocation, or approximately $</w:t>
      </w:r>
      <w:r w:rsidRPr="00205A9A" w:rsidR="0885754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151.40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per hour.</w:t>
      </w:r>
      <w:r w:rsidRPr="00205A9A" w:rsidR="4F0C3271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The total cost to the government </w:t>
      </w:r>
      <w:r w:rsidRPr="00205A9A" w:rsidR="4587FA28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(for Federal and Contract staff) 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of this work</w:t>
      </w:r>
      <w:r w:rsidRPr="00205A9A" w:rsidR="0885754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is</w:t>
      </w:r>
      <w:r w:rsidRPr="00205A9A" w:rsidR="009B77FF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$401,684.50</w:t>
      </w:r>
      <w:r w:rsidRPr="00205A9A" w:rsidR="11137202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</w:t>
      </w:r>
      <w:r w:rsidRPr="00205A9A" w:rsidR="6F37DE39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per year.</w:t>
      </w:r>
      <w:r w:rsidRPr="00205A9A" w:rsidR="4F0C3271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   </w:t>
      </w:r>
    </w:p>
    <w:p w:rsidR="00573F43" w:rsidRPr="00205A9A" w:rsidP="06B86EBF" w14:paraId="4251B610" w14:textId="77777777">
      <w:pPr>
        <w:pStyle w:val="BodyText"/>
        <w:keepNext/>
        <w:keepLines/>
        <w:widowControl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3F43" w:rsidRPr="00205A9A" w:rsidP="06B86EBF" w14:paraId="64F105EC" w14:textId="77777777">
      <w:pPr>
        <w:pStyle w:val="BodyText"/>
        <w:keepNext/>
        <w:keepLines/>
        <w:widowControl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705" w:type="dxa"/>
        <w:tblLook w:val="04A0"/>
      </w:tblPr>
      <w:tblGrid>
        <w:gridCol w:w="3200"/>
        <w:gridCol w:w="762"/>
        <w:gridCol w:w="623"/>
        <w:gridCol w:w="1530"/>
        <w:gridCol w:w="1260"/>
        <w:gridCol w:w="1591"/>
        <w:gridCol w:w="1739"/>
      </w:tblGrid>
      <w:tr w14:paraId="621693A6" w14:textId="77777777" w:rsidTr="00110D98">
        <w:tblPrEx>
          <w:tblW w:w="10705" w:type="dxa"/>
          <w:tblLook w:val="04A0"/>
        </w:tblPrEx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4F20394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Position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224365FD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Grade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0EAC7008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Step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0852A39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Hourly Wage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  <w:hideMark/>
          </w:tcPr>
          <w:p w:rsidR="00573F43" w:rsidRPr="00205A9A" w:rsidP="06B86EBF" w14:paraId="6559E88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# of Hours per month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4539C69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Monthly Cost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:rsidR="00573F43" w:rsidRPr="00205A9A" w:rsidP="06B86EBF" w14:paraId="5483DF3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Annual Cost</w:t>
            </w:r>
          </w:p>
        </w:tc>
      </w:tr>
      <w:tr w14:paraId="6E037F42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172B2545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Financial Analyst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6D4172FF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2E5A3EA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ECE047A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  151.40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08E8635" w14:textId="47E91FD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1</w:t>
            </w:r>
            <w:r w:rsidRPr="00205A9A" w:rsidR="4B2710A0">
              <w:rPr>
                <w:rFonts w:ascii="Times New Roman" w:eastAsia="Times New Roman" w:hAnsi="Times New Roman" w:cs="Times New Roman"/>
                <w:shd w:val="clear" w:color="auto" w:fill="E6E6E6"/>
              </w:rPr>
              <w:t>8.65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71F85EFE" w14:paraId="76BF471D" w14:textId="7D6D2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2</w:t>
            </w:r>
            <w:r w:rsidRPr="00205A9A" w:rsidR="009B77FF">
              <w:rPr>
                <w:rFonts w:ascii="Times New Roman" w:eastAsia="Times New Roman" w:hAnsi="Times New Roman" w:cs="Times New Roman"/>
                <w:shd w:val="clear" w:color="auto" w:fill="E6E6E6"/>
              </w:rPr>
              <w:t>,</w:t>
            </w:r>
            <w:r w:rsidRPr="00205A9A" w:rsidR="00A34D32">
              <w:rPr>
                <w:rFonts w:ascii="Times New Roman" w:eastAsia="Times New Roman" w:hAnsi="Times New Roman" w:cs="Times New Roman"/>
                <w:shd w:val="clear" w:color="auto" w:fill="E6E6E6"/>
              </w:rPr>
              <w:t>823.00</w:t>
            </w: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231815A7" w14:textId="5FD5A01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</w:t>
            </w:r>
            <w:r w:rsidRPr="00205A9A" w:rsidR="00A34D32">
              <w:rPr>
                <w:rFonts w:ascii="Times New Roman" w:eastAsia="Times New Roman" w:hAnsi="Times New Roman" w:cs="Times New Roman"/>
                <w:shd w:val="clear" w:color="auto" w:fill="E6E6E6"/>
              </w:rPr>
              <w:t>33,883.00</w:t>
            </w: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</w:t>
            </w:r>
          </w:p>
        </w:tc>
      </w:tr>
      <w:tr w14:paraId="7CD3F93E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1735EDC8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Contract Senior Financial Analyst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AEFCD3A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2CA0ED0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4B31AC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  128.59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6167B29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26.5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77FC94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3,407.64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C5AA761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40,891.62 </w:t>
            </w:r>
          </w:p>
        </w:tc>
      </w:tr>
      <w:tr w14:paraId="7FC1361C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6B0DCAE3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Contract Senior Program Analyst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B2D60FA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66EE09B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4F6D851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    82.16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1CD56F6C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159.5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43204D76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13,104.52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49488FCB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157,254.24 </w:t>
            </w:r>
          </w:p>
        </w:tc>
      </w:tr>
      <w:tr w14:paraId="7B8F0B95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245C86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Contractor Program Analyst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A271255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7F70FB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2C2281E0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    79.42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42DD302A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159.5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A8D812B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12,667.49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61A1142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152,009.88 </w:t>
            </w:r>
          </w:p>
        </w:tc>
      </w:tr>
      <w:tr w14:paraId="2459EDF1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39BC572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contract Administrative Assistant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9684F1C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1AF93C8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47C5126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    61.27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6E5F1251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24.0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04EA0AA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 1,470.48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737681AE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 17,645.76 </w:t>
            </w:r>
          </w:p>
        </w:tc>
      </w:tr>
      <w:tr w14:paraId="031010A2" w14:textId="77777777" w:rsidTr="00110D98">
        <w:tblPrEx>
          <w:tblW w:w="10705" w:type="dxa"/>
          <w:tblLook w:val="04A0"/>
        </w:tblPrEx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290A0899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00F8AB74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ED63AC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B991877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1B4C796E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>total cost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5FDB2F86" w14:textId="216AC8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</w:t>
            </w:r>
            <w:r w:rsidRPr="00205A9A" w:rsidR="00A34D32">
              <w:rPr>
                <w:rFonts w:ascii="Times New Roman" w:eastAsia="Times New Roman" w:hAnsi="Times New Roman" w:cs="Times New Roman"/>
                <w:shd w:val="clear" w:color="auto" w:fill="E6E6E6"/>
              </w:rPr>
              <w:t>33,473.13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F43" w:rsidRPr="00205A9A" w:rsidP="06B86EBF" w14:paraId="76BB1B37" w14:textId="189CA6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  <w:shd w:val="clear" w:color="auto" w:fill="E6E6E6"/>
              </w:rPr>
              <w:t xml:space="preserve"> $    </w:t>
            </w:r>
            <w:r w:rsidRPr="00205A9A" w:rsidR="00A34D32">
              <w:rPr>
                <w:rFonts w:ascii="Times New Roman" w:eastAsia="Times New Roman" w:hAnsi="Times New Roman" w:cs="Times New Roman"/>
                <w:shd w:val="clear" w:color="auto" w:fill="E6E6E6"/>
              </w:rPr>
              <w:t>401,684.50</w:t>
            </w:r>
          </w:p>
        </w:tc>
      </w:tr>
    </w:tbl>
    <w:p w:rsidR="00573F43" w:rsidRPr="00205A9A" w:rsidP="06B86EBF" w14:paraId="11FAF2DA" w14:textId="77777777">
      <w:pPr>
        <w:pStyle w:val="BodyText"/>
        <w:keepNext/>
        <w:keepLines/>
        <w:widowControl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70B04" w:rsidRPr="00205A9A" w:rsidP="06B86EBF" w14:paraId="2E0CD979" w14:textId="4F6D26F5">
      <w:pPr>
        <w:pStyle w:val="BodyText"/>
        <w:keepNext/>
        <w:keepLines/>
        <w:widowControl/>
        <w:spacing w:line="240" w:lineRule="exact"/>
        <w:ind w:left="720" w:right="29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 xml:space="preserve">   </w:t>
      </w:r>
    </w:p>
    <w:p w:rsidR="004D2434" w:rsidRPr="00205A9A" w:rsidP="06B86EBF" w14:paraId="2E0CD97C" w14:textId="5301B8B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Reasons for Changes.</w:t>
      </w:r>
    </w:p>
    <w:p w:rsidR="0098189D" w:rsidRPr="00205A9A" w:rsidP="06B86EBF" w14:paraId="07617998" w14:textId="77777777">
      <w:pPr>
        <w:tabs>
          <w:tab w:val="left" w:pos="443"/>
        </w:tabs>
        <w:spacing w:before="2"/>
        <w:rPr>
          <w:rFonts w:ascii="Times New Roman" w:eastAsia="Times New Roman" w:hAnsi="Times New Roman" w:cs="Times New Roman"/>
          <w:i/>
          <w:iCs/>
        </w:rPr>
      </w:pPr>
    </w:p>
    <w:p w:rsidR="00CE2ADB" w:rsidRPr="00205A9A" w:rsidP="06B86EBF" w14:paraId="537A763D" w14:textId="6910B98D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w w:val="105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Analysis has been updated to reflect</w:t>
      </w:r>
      <w:r w:rsidRPr="00205A9A" w:rsidR="21FDA359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: 1) requirement in 13 CFR 120.464 that all CA SBLCs</w:t>
      </w:r>
      <w:r w:rsidRPr="00205A9A" w:rsidR="1445EB03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, regardless of activity level, </w:t>
      </w:r>
      <w:r w:rsidRPr="00205A9A" w:rsidR="21FDA359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provide quarterly reports to SBA </w:t>
      </w:r>
      <w:r w:rsidRPr="00205A9A" w:rsidR="42CC0C85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and 2) the</w:t>
      </w:r>
      <w:r w:rsidRPr="00205A9A" w:rsidR="0A57A2F6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 increase in number of CA </w:t>
      </w:r>
      <w:r w:rsidRPr="00205A9A" w:rsidR="7CE33CD3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SBLCs since 2021</w:t>
      </w:r>
      <w:r w:rsidRPr="00205A9A" w:rsidR="2FAF6E37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 xml:space="preserve">. </w:t>
      </w:r>
      <w:r w:rsidRPr="00205A9A" w:rsidR="00DA1260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The total number of respondents is 179 (142 CA SBLCs and 32 SBLC/NFRLs.</w:t>
      </w:r>
    </w:p>
    <w:p w:rsidR="00CE2ADB" w:rsidRPr="00205A9A" w:rsidP="06B86EBF" w14:paraId="67DE3A92" w14:textId="77777777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C655C" w:rsidRPr="00205A9A" w:rsidP="06B86EBF" w14:paraId="044EAC55" w14:textId="77777777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D5B40" w:rsidRPr="00205A9A" w:rsidP="06B86EBF" w14:paraId="406D93C9" w14:textId="0AA08130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hAnsi="Times New Roman" w:cs="Times New Roman"/>
          <w:sz w:val="22"/>
          <w:szCs w:val="22"/>
          <w:shd w:val="clear" w:color="auto" w:fill="E6E6E6"/>
        </w:rPr>
        <w:fldChar w:fldCharType="begin"/>
      </w:r>
      <w:r w:rsidRPr="00205A9A">
        <w:rPr>
          <w:rFonts w:ascii="Times New Roman" w:hAnsi="Times New Roman" w:cs="Times New Roman"/>
          <w:sz w:val="22"/>
          <w:szCs w:val="22"/>
        </w:rPr>
        <w:instrText xml:space="preserve"> LINK Excel.Sheet.12 "Book1" "Sheet1!R4C2:R8C8" \a \f 4 \h  \* MERGEFORMAT </w:instrText>
      </w:r>
      <w:r w:rsidRPr="00205A9A">
        <w:rPr>
          <w:rFonts w:ascii="Times New Roman" w:hAnsi="Times New Roman" w:cs="Times New Roman"/>
          <w:sz w:val="22"/>
          <w:szCs w:val="22"/>
          <w:shd w:val="clear" w:color="auto" w:fill="E6E6E6"/>
        </w:rPr>
        <w:fldChar w:fldCharType="separate"/>
      </w:r>
    </w:p>
    <w:tbl>
      <w:tblPr>
        <w:tblW w:w="9656" w:type="dxa"/>
        <w:tblCellMar>
          <w:top w:w="15" w:type="dxa"/>
        </w:tblCellMar>
        <w:tblLook w:val="04A0"/>
      </w:tblPr>
      <w:tblGrid>
        <w:gridCol w:w="1465"/>
        <w:gridCol w:w="1439"/>
        <w:gridCol w:w="1156"/>
        <w:gridCol w:w="1291"/>
        <w:gridCol w:w="1454"/>
        <w:gridCol w:w="1183"/>
        <w:gridCol w:w="1439"/>
        <w:gridCol w:w="229"/>
      </w:tblGrid>
      <w:tr w14:paraId="5CECE334" w14:textId="77777777" w:rsidTr="00D27449">
        <w:tblPrEx>
          <w:tblW w:w="9656" w:type="dxa"/>
          <w:tblCellMar>
            <w:top w:w="15" w:type="dxa"/>
          </w:tblCellMar>
          <w:tblLook w:val="04A0"/>
        </w:tblPrEx>
        <w:trPr>
          <w:gridAfter w:val="1"/>
          <w:wAfter w:w="229" w:type="dxa"/>
          <w:trHeight w:val="1846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1443F228" w14:textId="286EDE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0DAD9B69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Requested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582FCB6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Program Change Due to New Statute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3C9C355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Program Change Due to Agency Discretion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4FB65604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Change Due to Adjustment in Agency Estimate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210EBF62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Change Due to Potential Violation of the PRA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:rsidR="00FD5B40" w:rsidRPr="00205A9A" w:rsidP="06B86EBF" w14:paraId="4DD0C39B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5A9A">
              <w:rPr>
                <w:rFonts w:ascii="Times New Roman" w:eastAsia="Times New Roman" w:hAnsi="Times New Roman" w:cs="Times New Roman"/>
                <w:b/>
                <w:bCs/>
              </w:rPr>
              <w:t>Previously Approved</w:t>
            </w:r>
          </w:p>
        </w:tc>
      </w:tr>
      <w:tr w14:paraId="0C7DE0F6" w14:textId="77777777" w:rsidTr="00D27449">
        <w:tblPrEx>
          <w:tblW w:w="9656" w:type="dxa"/>
          <w:tblCellMar>
            <w:top w:w="15" w:type="dxa"/>
          </w:tblCellMar>
          <w:tblLook w:val="04A0"/>
        </w:tblPrEx>
        <w:trPr>
          <w:gridAfter w:val="1"/>
          <w:wAfter w:w="229" w:type="dxa"/>
          <w:trHeight w:val="1636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06D53030" w14:textId="41AB4D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Annual Number of Respo</w:t>
            </w:r>
            <w:r w:rsidRPr="00205A9A" w:rsidR="00415B47">
              <w:rPr>
                <w:rFonts w:ascii="Times New Roman" w:eastAsia="Times New Roman" w:hAnsi="Times New Roman" w:cs="Times New Roman"/>
              </w:rPr>
              <w:t>ndents</w:t>
            </w:r>
            <w:r w:rsidRPr="00205A9A">
              <w:rPr>
                <w:rFonts w:ascii="Times New Roman" w:eastAsia="Times New Roman" w:hAnsi="Times New Roman" w:cs="Times New Roman"/>
              </w:rPr>
              <w:t xml:space="preserve"> for this IC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71F85EFE" w14:paraId="3BA6634D" w14:textId="63C954A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17</w:t>
            </w:r>
            <w:r w:rsidRPr="00205A9A" w:rsidR="00DA12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793C4DD9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983659C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60DDDB2D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3A2E2E75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8B90191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14:paraId="77B8A71E" w14:textId="77777777" w:rsidTr="00D27449">
        <w:tblPrEx>
          <w:tblW w:w="9656" w:type="dxa"/>
          <w:tblCellMar>
            <w:top w:w="15" w:type="dxa"/>
          </w:tblCellMar>
          <w:tblLook w:val="04A0"/>
        </w:tblPrEx>
        <w:trPr>
          <w:gridAfter w:val="1"/>
          <w:wAfter w:w="229" w:type="dxa"/>
          <w:trHeight w:val="1093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542BE334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Annual IC Time Burden (Hour)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32B837AE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1,420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603CD65E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8F8AAEB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6C1B9E3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2104FC01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5744713A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1,012</w:t>
            </w:r>
          </w:p>
        </w:tc>
      </w:tr>
      <w:tr w14:paraId="4691FCB9" w14:textId="77777777" w:rsidTr="00D27449">
        <w:tblPrEx>
          <w:tblW w:w="9656" w:type="dxa"/>
          <w:tblCellMar>
            <w:top w:w="15" w:type="dxa"/>
          </w:tblCellMar>
          <w:tblLook w:val="04A0"/>
        </w:tblPrEx>
        <w:trPr>
          <w:gridAfter w:val="1"/>
          <w:wAfter w:w="229" w:type="dxa"/>
          <w:trHeight w:val="822"/>
        </w:trPr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01F01D11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Annual IC Cost Burden (Dollars)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7397CFB1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 xml:space="preserve">$151,940.00 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2207B430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C985BCC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 xml:space="preserve">$40,392 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1C066A18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 xml:space="preserve">$11,360.00 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3D20CB0C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B40" w:rsidRPr="00205A9A" w:rsidP="06B86EBF" w14:paraId="2E1A6B45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205A9A">
              <w:rPr>
                <w:rFonts w:ascii="Times New Roman" w:eastAsia="Times New Roman" w:hAnsi="Times New Roman" w:cs="Times New Roman"/>
              </w:rPr>
              <w:t xml:space="preserve">$100,188.00 </w:t>
            </w:r>
          </w:p>
        </w:tc>
      </w:tr>
      <w:tr w14:paraId="460D5F40" w14:textId="77777777" w:rsidTr="00D27449">
        <w:tblPrEx>
          <w:tblW w:w="9656" w:type="dxa"/>
          <w:tblCellMar>
            <w:top w:w="15" w:type="dxa"/>
          </w:tblCellMar>
          <w:tblLook w:val="04A0"/>
        </w:tblPrEx>
        <w:trPr>
          <w:trHeight w:val="262"/>
        </w:trPr>
        <w:tc>
          <w:tcPr>
            <w:tcW w:w="1465" w:type="dxa"/>
            <w:vMerge/>
            <w:vAlign w:val="center"/>
            <w:hideMark/>
          </w:tcPr>
          <w:p w:rsidR="00FD5B40" w:rsidRPr="00205A9A" w:rsidP="00456F7C" w14:paraId="69992A0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FD5B40" w:rsidRPr="00205A9A" w:rsidP="00456F7C" w14:paraId="33EF6E05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FD5B40" w:rsidRPr="00205A9A" w:rsidP="00456F7C" w14:paraId="035C973A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FD5B40" w:rsidRPr="00205A9A" w:rsidP="00456F7C" w14:paraId="122244A5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Merge/>
            <w:vAlign w:val="center"/>
            <w:hideMark/>
          </w:tcPr>
          <w:p w:rsidR="00FD5B40" w:rsidRPr="00205A9A" w:rsidP="00456F7C" w14:paraId="47B026BD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:rsidR="00FD5B40" w:rsidRPr="00205A9A" w:rsidP="00456F7C" w14:paraId="4BCAEE5C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FD5B40" w:rsidRPr="00205A9A" w:rsidP="00456F7C" w14:paraId="4327271F" w14:textId="777777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B40" w:rsidRPr="00205A9A" w:rsidP="06B86EBF" w14:paraId="5014B916" w14:textId="7777777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655C" w:rsidRPr="00205A9A" w:rsidP="06B86EBF" w14:paraId="3E28E25A" w14:textId="0A0C076D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hAnsi="Times New Roman" w:cs="Times New Roman"/>
          <w:sz w:val="22"/>
          <w:szCs w:val="22"/>
          <w:shd w:val="clear" w:color="auto" w:fill="E6E6E6"/>
        </w:rPr>
        <w:fldChar w:fldCharType="end"/>
      </w:r>
    </w:p>
    <w:p w:rsidR="009C655C" w:rsidRPr="00205A9A" w:rsidP="06B86EBF" w14:paraId="679F1D8F" w14:textId="77777777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C655C" w:rsidRPr="00205A9A" w:rsidP="06B86EBF" w14:paraId="5BC738F9" w14:textId="77777777">
      <w:pPr>
        <w:pStyle w:val="BodyText"/>
        <w:spacing w:line="240" w:lineRule="exact"/>
        <w:ind w:left="720" w:right="7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82" w14:textId="0B43FC04">
      <w:pPr>
        <w:pStyle w:val="BodyText"/>
        <w:numPr>
          <w:ilvl w:val="0"/>
          <w:numId w:val="11"/>
        </w:numPr>
        <w:spacing w:line="240" w:lineRule="exact"/>
        <w:ind w:right="70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b/>
          <w:bCs/>
          <w:w w:val="105"/>
          <w:sz w:val="22"/>
          <w:szCs w:val="22"/>
          <w:shd w:val="clear" w:color="auto" w:fill="E6E6E6"/>
        </w:rPr>
        <w:t>Publicizing Results.</w:t>
      </w:r>
    </w:p>
    <w:p w:rsidR="00C82309" w:rsidRPr="00205A9A" w:rsidP="06B86EBF" w14:paraId="1C726F9B" w14:textId="77777777">
      <w:pPr>
        <w:tabs>
          <w:tab w:val="left" w:pos="443"/>
        </w:tabs>
        <w:spacing w:before="2"/>
        <w:ind w:right="110"/>
        <w:jc w:val="both"/>
        <w:rPr>
          <w:rFonts w:ascii="Times New Roman" w:eastAsia="Times New Roman" w:hAnsi="Times New Roman" w:cs="Times New Roman"/>
          <w:i/>
          <w:iCs/>
        </w:rPr>
      </w:pPr>
    </w:p>
    <w:p w:rsidR="004D2434" w:rsidRPr="00205A9A" w:rsidP="06B86EBF" w14:paraId="2E0CD983" w14:textId="77777777">
      <w:pPr>
        <w:pStyle w:val="BodyText"/>
        <w:spacing w:before="1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w w:val="105"/>
          <w:sz w:val="22"/>
          <w:szCs w:val="22"/>
          <w:shd w:val="clear" w:color="auto" w:fill="E6E6E6"/>
        </w:rPr>
        <w:t>None of the information collected will be published.</w:t>
      </w:r>
    </w:p>
    <w:p w:rsidR="004D2434" w:rsidRPr="00205A9A" w:rsidP="06B86EBF" w14:paraId="2E0CD984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C82309" w:rsidRPr="00205A9A" w:rsidP="06B86EBF" w14:paraId="526880DC" w14:textId="77777777">
      <w:pPr>
        <w:pStyle w:val="ListParagraph"/>
        <w:numPr>
          <w:ilvl w:val="0"/>
          <w:numId w:val="11"/>
        </w:numPr>
        <w:tabs>
          <w:tab w:val="left" w:pos="443"/>
        </w:tabs>
        <w:ind w:right="427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OMB Not to Display approval.</w:t>
      </w:r>
    </w:p>
    <w:p w:rsidR="004D2434" w:rsidRPr="00205A9A" w:rsidP="06B86EBF" w14:paraId="2E0CD989" w14:textId="77777777">
      <w:pPr>
        <w:pStyle w:val="BodyText"/>
        <w:spacing w:before="2"/>
        <w:ind w:left="72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4D2434" w:rsidRPr="00205A9A" w:rsidP="06B86EBF" w14:paraId="2E0CD98A" w14:textId="77777777">
      <w:pPr>
        <w:pStyle w:val="BodyText"/>
        <w:spacing w:before="1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We are not seeking approval to not display an expiration date.</w:t>
      </w:r>
    </w:p>
    <w:p w:rsidR="004D2434" w:rsidRPr="00205A9A" w:rsidP="06B86EBF" w14:paraId="2E0CD98B" w14:textId="77777777">
      <w:pPr>
        <w:pStyle w:val="BodyText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D2434" w:rsidRPr="00205A9A" w:rsidP="06B86EBF" w14:paraId="2E0CD98D" w14:textId="77777777">
      <w:pPr>
        <w:pStyle w:val="BodyText"/>
        <w:spacing w:before="7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B355B" w:rsidRPr="00205A9A" w:rsidP="06B86EBF" w14:paraId="529DE169" w14:textId="2D405BFF">
      <w:pPr>
        <w:pStyle w:val="ListParagraph"/>
        <w:numPr>
          <w:ilvl w:val="0"/>
          <w:numId w:val="11"/>
        </w:numPr>
        <w:tabs>
          <w:tab w:val="left" w:pos="443"/>
        </w:tabs>
        <w:ind w:left="720" w:firstLine="0"/>
        <w:rPr>
          <w:rFonts w:ascii="Times New Roman" w:eastAsia="Times New Roman" w:hAnsi="Times New Roman" w:cs="Times New Roman"/>
          <w:b/>
          <w:bCs/>
        </w:rPr>
      </w:pP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Exceptions</w:t>
      </w:r>
      <w:r w:rsidRPr="00205A9A" w:rsidR="00CE2ADB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 to Certifications for Pap</w:t>
      </w: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e</w:t>
      </w:r>
      <w:r w:rsidRPr="00205A9A" w:rsidR="00CE2ADB">
        <w:rPr>
          <w:rFonts w:ascii="Times New Roman" w:eastAsia="Times New Roman" w:hAnsi="Times New Roman" w:cs="Times New Roman"/>
          <w:b/>
          <w:bCs/>
          <w:shd w:val="clear" w:color="auto" w:fill="E6E6E6"/>
        </w:rPr>
        <w:t>rwo</w:t>
      </w: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r</w:t>
      </w:r>
      <w:r w:rsidRPr="00205A9A" w:rsidR="00CE2ADB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k Reduction </w:t>
      </w:r>
      <w:r w:rsidRPr="00205A9A">
        <w:rPr>
          <w:rFonts w:ascii="Times New Roman" w:eastAsia="Times New Roman" w:hAnsi="Times New Roman" w:cs="Times New Roman"/>
          <w:b/>
          <w:bCs/>
          <w:shd w:val="clear" w:color="auto" w:fill="E6E6E6"/>
        </w:rPr>
        <w:t>Submissions</w:t>
      </w:r>
      <w:r w:rsidRPr="00205A9A" w:rsidR="00B77A44">
        <w:rPr>
          <w:rFonts w:ascii="Times New Roman" w:eastAsia="Times New Roman" w:hAnsi="Times New Roman" w:cs="Times New Roman"/>
          <w:b/>
          <w:bCs/>
          <w:shd w:val="clear" w:color="auto" w:fill="E6E6E6"/>
        </w:rPr>
        <w:t xml:space="preserve">. </w:t>
      </w:r>
    </w:p>
    <w:p w:rsidR="00432627" w:rsidRPr="00205A9A" w:rsidP="06B86EBF" w14:paraId="06755AB4" w14:textId="77777777">
      <w:pPr>
        <w:pStyle w:val="ListParagraph"/>
        <w:tabs>
          <w:tab w:val="left" w:pos="443"/>
        </w:tabs>
        <w:ind w:left="720"/>
        <w:rPr>
          <w:rFonts w:ascii="Times New Roman" w:eastAsia="Times New Roman" w:hAnsi="Times New Roman" w:cs="Times New Roman"/>
          <w:b/>
          <w:bCs/>
        </w:rPr>
      </w:pPr>
    </w:p>
    <w:p w:rsidR="004D2434" w:rsidRPr="00205A9A" w:rsidP="06B86EBF" w14:paraId="2E0CD990" w14:textId="77777777">
      <w:pPr>
        <w:pStyle w:val="BodyText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There are no exceptions to the certification statement.</w:t>
      </w:r>
    </w:p>
    <w:p w:rsidR="00504BD9" w:rsidRPr="00205A9A" w:rsidP="06B86EBF" w14:paraId="605AFB88" w14:textId="77777777">
      <w:pPr>
        <w:pStyle w:val="BodyText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4BD9" w:rsidRPr="00205A9A" w:rsidP="06B86EBF" w14:paraId="069456C5" w14:textId="77777777">
      <w:pPr>
        <w:pStyle w:val="BodyText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4BD9" w:rsidRPr="00205A9A" w:rsidP="06B86EBF" w14:paraId="2198066D" w14:textId="5F46781B">
      <w:pPr>
        <w:pStyle w:val="BodyText"/>
        <w:ind w:left="7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05A9A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E6E6E6"/>
        </w:rPr>
        <w:t>B. Collection of Information Employing Statistical Methods</w:t>
      </w:r>
    </w:p>
    <w:p w:rsidR="00432627" w:rsidRPr="00205A9A" w:rsidP="06B86EBF" w14:paraId="25E46B98" w14:textId="1F8156CB">
      <w:pPr>
        <w:pStyle w:val="BodyText"/>
        <w:ind w:left="7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504BD9" w:rsidRPr="00205A9A" w:rsidP="06B86EBF" w14:paraId="44457F01" w14:textId="4B16AF25">
      <w:pPr>
        <w:pStyle w:val="BodyText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05A9A">
        <w:rPr>
          <w:rFonts w:ascii="Times New Roman" w:hAnsi="Times New Roman" w:cs="Times New Roman"/>
          <w:sz w:val="22"/>
          <w:szCs w:val="22"/>
        </w:rPr>
        <w:tab/>
      </w:r>
      <w:r w:rsidRPr="00205A9A">
        <w:rPr>
          <w:rFonts w:ascii="Times New Roman" w:eastAsia="Times New Roman" w:hAnsi="Times New Roman" w:cs="Times New Roman"/>
          <w:sz w:val="22"/>
          <w:szCs w:val="22"/>
          <w:shd w:val="clear" w:color="auto" w:fill="E6E6E6"/>
        </w:rPr>
        <w:t>Not applicable. The collection of information is not a survey and does not employ statistical methods.</w:t>
      </w:r>
    </w:p>
    <w:sectPr w:rsidSect="00353A82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02636"/>
    <w:multiLevelType w:val="hybridMultilevel"/>
    <w:tmpl w:val="54F83DA2"/>
    <w:lvl w:ilvl="0">
      <w:start w:val="1"/>
      <w:numFmt w:val="decimal"/>
      <w:lvlText w:val="%1."/>
      <w:lvlJc w:val="left"/>
      <w:pPr>
        <w:ind w:left="190" w:hanging="32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474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8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3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7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11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6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0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4" w:hanging="325"/>
      </w:pPr>
      <w:rPr>
        <w:rFonts w:hint="default"/>
      </w:rPr>
    </w:lvl>
  </w:abstractNum>
  <w:abstractNum w:abstractNumId="1">
    <w:nsid w:val="13140E10"/>
    <w:multiLevelType w:val="hybridMultilevel"/>
    <w:tmpl w:val="EC5E6206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D05D9"/>
    <w:multiLevelType w:val="hybridMultilevel"/>
    <w:tmpl w:val="D49876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0273C"/>
    <w:multiLevelType w:val="hybridMultilevel"/>
    <w:tmpl w:val="CB806458"/>
    <w:lvl w:ilvl="0">
      <w:start w:val="0"/>
      <w:numFmt w:val="bullet"/>
      <w:lvlText w:val="•"/>
      <w:lvlJc w:val="left"/>
      <w:pPr>
        <w:ind w:left="720" w:hanging="273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72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5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8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31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84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37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90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43" w:hanging="273"/>
      </w:pPr>
      <w:rPr>
        <w:rFonts w:hint="default"/>
      </w:rPr>
    </w:lvl>
  </w:abstractNum>
  <w:abstractNum w:abstractNumId="4">
    <w:nsid w:val="1ADE5D0F"/>
    <w:multiLevelType w:val="hybridMultilevel"/>
    <w:tmpl w:val="B7F2551C"/>
    <w:lvl w:ilvl="0">
      <w:start w:val="14"/>
      <w:numFmt w:val="decimal"/>
      <w:lvlText w:val="%1."/>
      <w:lvlJc w:val="left"/>
      <w:pPr>
        <w:ind w:left="516" w:hanging="40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803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7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0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4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37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21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04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8" w:hanging="404"/>
      </w:pPr>
      <w:rPr>
        <w:rFonts w:hint="default"/>
      </w:rPr>
    </w:lvl>
  </w:abstractNum>
  <w:abstractNum w:abstractNumId="5">
    <w:nsid w:val="205C213E"/>
    <w:multiLevelType w:val="hybridMultilevel"/>
    <w:tmpl w:val="15A81EB2"/>
    <w:lvl w:ilvl="0">
      <w:start w:val="1"/>
      <w:numFmt w:val="decimal"/>
      <w:lvlText w:val="%1."/>
      <w:lvlJc w:val="left"/>
      <w:pPr>
        <w:ind w:left="111" w:hanging="229"/>
      </w:pPr>
      <w:rPr>
        <w:rFonts w:ascii="Calibri" w:eastAsia="Calibri" w:hAnsi="Calibri" w:cs="Calibri" w:hint="default"/>
        <w:w w:val="94"/>
        <w:sz w:val="20"/>
        <w:szCs w:val="20"/>
      </w:rPr>
    </w:lvl>
    <w:lvl w:ilvl="1">
      <w:start w:val="0"/>
      <w:numFmt w:val="bullet"/>
      <w:lvlText w:val="-"/>
      <w:lvlJc w:val="left"/>
      <w:pPr>
        <w:ind w:left="916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960" w:hanging="1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1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5" w:hanging="1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31" w:hanging="1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97" w:hanging="1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2" w:hanging="1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8" w:hanging="104"/>
      </w:pPr>
      <w:rPr>
        <w:rFonts w:hint="default"/>
      </w:rPr>
    </w:lvl>
  </w:abstractNum>
  <w:abstractNum w:abstractNumId="6">
    <w:nsid w:val="238F5E2D"/>
    <w:multiLevelType w:val="hybridMultilevel"/>
    <w:tmpl w:val="814A590C"/>
    <w:lvl w:ilvl="0">
      <w:start w:val="0"/>
      <w:numFmt w:val="bullet"/>
      <w:lvlText w:val="•"/>
      <w:lvlJc w:val="left"/>
      <w:pPr>
        <w:ind w:left="412" w:hanging="268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423" w:hanging="244"/>
      </w:pPr>
      <w:rPr>
        <w:rFonts w:ascii="Times New Roman" w:eastAsia="Times New Roman" w:hAnsi="Times New Roman" w:cs="Times New Roman" w:hint="default"/>
        <w:spacing w:val="-13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792" w:hanging="273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-525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187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849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511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173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835" w:hanging="273"/>
      </w:pPr>
      <w:rPr>
        <w:rFonts w:hint="default"/>
      </w:rPr>
    </w:lvl>
  </w:abstractNum>
  <w:abstractNum w:abstractNumId="7">
    <w:nsid w:val="2C9D3EEC"/>
    <w:multiLevelType w:val="hybridMultilevel"/>
    <w:tmpl w:val="287C7DCA"/>
    <w:lvl w:ilvl="0">
      <w:start w:val="0"/>
      <w:numFmt w:val="bullet"/>
      <w:lvlText w:val="•"/>
      <w:lvlJc w:val="left"/>
      <w:pPr>
        <w:ind w:left="765" w:hanging="317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1023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7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1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5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9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4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07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71" w:hanging="317"/>
      </w:pPr>
      <w:rPr>
        <w:rFonts w:hint="default"/>
      </w:rPr>
    </w:lvl>
  </w:abstractNum>
  <w:abstractNum w:abstractNumId="8">
    <w:nsid w:val="5A525839"/>
    <w:multiLevelType w:val="hybridMultilevel"/>
    <w:tmpl w:val="BAE20904"/>
    <w:lvl w:ilvl="0">
      <w:start w:val="1"/>
      <w:numFmt w:val="upperLetter"/>
      <w:lvlText w:val="%1."/>
      <w:lvlJc w:val="left"/>
      <w:pPr>
        <w:ind w:left="374" w:hanging="245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2."/>
      <w:lvlJc w:val="left"/>
      <w:pPr>
        <w:ind w:left="504" w:hanging="32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676" w:hanging="268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531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62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11" w:hanging="268"/>
      </w:pPr>
      <w:rPr>
        <w:rFonts w:hint="default"/>
      </w:rPr>
    </w:lvl>
  </w:abstractNum>
  <w:abstractNum w:abstractNumId="9">
    <w:nsid w:val="6CDC7FDB"/>
    <w:multiLevelType w:val="hybridMultilevel"/>
    <w:tmpl w:val="81F046D4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52BEA"/>
    <w:multiLevelType w:val="hybridMultilevel"/>
    <w:tmpl w:val="E0C43CAC"/>
    <w:lvl w:ilvl="0">
      <w:start w:val="8"/>
      <w:numFmt w:val="decimal"/>
      <w:lvlText w:val="%1."/>
      <w:lvlJc w:val="left"/>
      <w:pPr>
        <w:ind w:left="424" w:hanging="325"/>
      </w:pPr>
      <w:rPr>
        <w:rFonts w:ascii="Times New Roman" w:eastAsia="Times New Roman" w:hAnsi="Times New Roman" w:cs="Times New Roman" w:hint="default"/>
        <w:spacing w:val="-7"/>
        <w:w w:val="100"/>
        <w:position w:val="1"/>
        <w:sz w:val="16"/>
        <w:szCs w:val="16"/>
      </w:rPr>
    </w:lvl>
    <w:lvl w:ilvl="1">
      <w:start w:val="4"/>
      <w:numFmt w:val="decimal"/>
      <w:lvlText w:val="%2."/>
      <w:lvlJc w:val="left"/>
      <w:pPr>
        <w:ind w:left="504" w:hanging="32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036" w:hanging="244"/>
      </w:pPr>
      <w:rPr>
        <w:rFonts w:ascii="Times New Roman" w:eastAsia="Times New Roman" w:hAnsi="Times New Roman" w:cs="Times New Roman" w:hint="default"/>
        <w:spacing w:val="-13"/>
        <w:w w:val="100"/>
        <w:sz w:val="16"/>
        <w:szCs w:val="16"/>
      </w:rPr>
    </w:lvl>
    <w:lvl w:ilvl="3">
      <w:start w:val="0"/>
      <w:numFmt w:val="bullet"/>
      <w:lvlText w:val="•"/>
      <w:lvlJc w:val="left"/>
      <w:pPr>
        <w:ind w:left="41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219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848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477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107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736" w:hanging="244"/>
      </w:pPr>
      <w:rPr>
        <w:rFonts w:hint="default"/>
      </w:rPr>
    </w:lvl>
  </w:abstractNum>
  <w:num w:numId="1" w16cid:durableId="264310579">
    <w:abstractNumId w:val="5"/>
  </w:num>
  <w:num w:numId="2" w16cid:durableId="2139370943">
    <w:abstractNumId w:val="0"/>
  </w:num>
  <w:num w:numId="3" w16cid:durableId="1464541566">
    <w:abstractNumId w:val="4"/>
  </w:num>
  <w:num w:numId="4" w16cid:durableId="347416130">
    <w:abstractNumId w:val="7"/>
  </w:num>
  <w:num w:numId="5" w16cid:durableId="2144493839">
    <w:abstractNumId w:val="3"/>
  </w:num>
  <w:num w:numId="6" w16cid:durableId="213740220">
    <w:abstractNumId w:val="10"/>
  </w:num>
  <w:num w:numId="7" w16cid:durableId="1217933209">
    <w:abstractNumId w:val="8"/>
  </w:num>
  <w:num w:numId="8" w16cid:durableId="995454211">
    <w:abstractNumId w:val="6"/>
  </w:num>
  <w:num w:numId="9" w16cid:durableId="288248085">
    <w:abstractNumId w:val="9"/>
  </w:num>
  <w:num w:numId="10" w16cid:durableId="345525661">
    <w:abstractNumId w:val="1"/>
  </w:num>
  <w:num w:numId="11" w16cid:durableId="211786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34"/>
    <w:rsid w:val="00000CBE"/>
    <w:rsid w:val="0000197A"/>
    <w:rsid w:val="000062D3"/>
    <w:rsid w:val="00012F10"/>
    <w:rsid w:val="00023AA6"/>
    <w:rsid w:val="00026B31"/>
    <w:rsid w:val="00036B19"/>
    <w:rsid w:val="00040519"/>
    <w:rsid w:val="00045045"/>
    <w:rsid w:val="000515D9"/>
    <w:rsid w:val="000576AE"/>
    <w:rsid w:val="0006309D"/>
    <w:rsid w:val="00067493"/>
    <w:rsid w:val="00070829"/>
    <w:rsid w:val="00074F55"/>
    <w:rsid w:val="000927CB"/>
    <w:rsid w:val="000A234B"/>
    <w:rsid w:val="000A34C8"/>
    <w:rsid w:val="000C38EE"/>
    <w:rsid w:val="000C9810"/>
    <w:rsid w:val="000D00B8"/>
    <w:rsid w:val="000D7950"/>
    <w:rsid w:val="000E038D"/>
    <w:rsid w:val="000E24D0"/>
    <w:rsid w:val="000F22F4"/>
    <w:rsid w:val="000F4431"/>
    <w:rsid w:val="0010036D"/>
    <w:rsid w:val="001055CE"/>
    <w:rsid w:val="00107C35"/>
    <w:rsid w:val="00110D98"/>
    <w:rsid w:val="0011128E"/>
    <w:rsid w:val="00143BFF"/>
    <w:rsid w:val="00144ED9"/>
    <w:rsid w:val="001663EF"/>
    <w:rsid w:val="001663F8"/>
    <w:rsid w:val="00167BF0"/>
    <w:rsid w:val="00170095"/>
    <w:rsid w:val="00170B04"/>
    <w:rsid w:val="0017546E"/>
    <w:rsid w:val="00176ECF"/>
    <w:rsid w:val="00182D61"/>
    <w:rsid w:val="0018374B"/>
    <w:rsid w:val="00184A47"/>
    <w:rsid w:val="00184F5F"/>
    <w:rsid w:val="0018525A"/>
    <w:rsid w:val="00193D5B"/>
    <w:rsid w:val="001A7301"/>
    <w:rsid w:val="001BAC69"/>
    <w:rsid w:val="001C1DD7"/>
    <w:rsid w:val="001C60E7"/>
    <w:rsid w:val="001D0150"/>
    <w:rsid w:val="001D0419"/>
    <w:rsid w:val="001D38D7"/>
    <w:rsid w:val="001D4E02"/>
    <w:rsid w:val="001E4955"/>
    <w:rsid w:val="001F04CE"/>
    <w:rsid w:val="001F2400"/>
    <w:rsid w:val="00200A54"/>
    <w:rsid w:val="00201167"/>
    <w:rsid w:val="00201321"/>
    <w:rsid w:val="00203AA3"/>
    <w:rsid w:val="00203D03"/>
    <w:rsid w:val="00205A9A"/>
    <w:rsid w:val="002123CB"/>
    <w:rsid w:val="00212761"/>
    <w:rsid w:val="0021509E"/>
    <w:rsid w:val="0022148A"/>
    <w:rsid w:val="00242CFA"/>
    <w:rsid w:val="0024454F"/>
    <w:rsid w:val="002554EE"/>
    <w:rsid w:val="0026538F"/>
    <w:rsid w:val="002736B6"/>
    <w:rsid w:val="002837FE"/>
    <w:rsid w:val="002840CB"/>
    <w:rsid w:val="00287338"/>
    <w:rsid w:val="00287991"/>
    <w:rsid w:val="00290D1B"/>
    <w:rsid w:val="00293CD8"/>
    <w:rsid w:val="00294B42"/>
    <w:rsid w:val="002A0AC7"/>
    <w:rsid w:val="002B1D75"/>
    <w:rsid w:val="002B355B"/>
    <w:rsid w:val="002B5B27"/>
    <w:rsid w:val="002C1244"/>
    <w:rsid w:val="002D1462"/>
    <w:rsid w:val="002D75F7"/>
    <w:rsid w:val="002E6CB2"/>
    <w:rsid w:val="002F5A94"/>
    <w:rsid w:val="002F6E5F"/>
    <w:rsid w:val="002F74CB"/>
    <w:rsid w:val="0030099F"/>
    <w:rsid w:val="00305826"/>
    <w:rsid w:val="00313C79"/>
    <w:rsid w:val="003307E4"/>
    <w:rsid w:val="00330A16"/>
    <w:rsid w:val="00332980"/>
    <w:rsid w:val="00340EF2"/>
    <w:rsid w:val="00341883"/>
    <w:rsid w:val="00341A6B"/>
    <w:rsid w:val="00344140"/>
    <w:rsid w:val="003511F7"/>
    <w:rsid w:val="003516FF"/>
    <w:rsid w:val="00353A82"/>
    <w:rsid w:val="00354655"/>
    <w:rsid w:val="003713D5"/>
    <w:rsid w:val="003775B7"/>
    <w:rsid w:val="00377EAA"/>
    <w:rsid w:val="003807A2"/>
    <w:rsid w:val="003816E7"/>
    <w:rsid w:val="003909F6"/>
    <w:rsid w:val="00394562"/>
    <w:rsid w:val="003A021B"/>
    <w:rsid w:val="003A0C0D"/>
    <w:rsid w:val="003A3D85"/>
    <w:rsid w:val="003C5828"/>
    <w:rsid w:val="003D42D9"/>
    <w:rsid w:val="003D56ED"/>
    <w:rsid w:val="003D608E"/>
    <w:rsid w:val="003E2093"/>
    <w:rsid w:val="003F35E0"/>
    <w:rsid w:val="003F6738"/>
    <w:rsid w:val="003F6FA7"/>
    <w:rsid w:val="00401C7C"/>
    <w:rsid w:val="004056A2"/>
    <w:rsid w:val="00410D2A"/>
    <w:rsid w:val="00414B91"/>
    <w:rsid w:val="00415B47"/>
    <w:rsid w:val="00416263"/>
    <w:rsid w:val="00423BDA"/>
    <w:rsid w:val="00423FDD"/>
    <w:rsid w:val="00426179"/>
    <w:rsid w:val="00430663"/>
    <w:rsid w:val="00432627"/>
    <w:rsid w:val="00435194"/>
    <w:rsid w:val="0043561D"/>
    <w:rsid w:val="0043625F"/>
    <w:rsid w:val="004503B3"/>
    <w:rsid w:val="00452CA3"/>
    <w:rsid w:val="00453790"/>
    <w:rsid w:val="00453CB6"/>
    <w:rsid w:val="00456F7C"/>
    <w:rsid w:val="00460C96"/>
    <w:rsid w:val="004657F4"/>
    <w:rsid w:val="00470AE3"/>
    <w:rsid w:val="004714D8"/>
    <w:rsid w:val="0047193B"/>
    <w:rsid w:val="00472919"/>
    <w:rsid w:val="004811B7"/>
    <w:rsid w:val="0049091E"/>
    <w:rsid w:val="004A2E3C"/>
    <w:rsid w:val="004A3B56"/>
    <w:rsid w:val="004A3EB6"/>
    <w:rsid w:val="004B1BD3"/>
    <w:rsid w:val="004B75AC"/>
    <w:rsid w:val="004B79A0"/>
    <w:rsid w:val="004B7F82"/>
    <w:rsid w:val="004D2434"/>
    <w:rsid w:val="004D7647"/>
    <w:rsid w:val="004D77EF"/>
    <w:rsid w:val="004F02FA"/>
    <w:rsid w:val="004F4FB8"/>
    <w:rsid w:val="00501194"/>
    <w:rsid w:val="00501637"/>
    <w:rsid w:val="005018D8"/>
    <w:rsid w:val="005021A3"/>
    <w:rsid w:val="005027DA"/>
    <w:rsid w:val="00504BD9"/>
    <w:rsid w:val="00505999"/>
    <w:rsid w:val="00510320"/>
    <w:rsid w:val="00517E66"/>
    <w:rsid w:val="0052583D"/>
    <w:rsid w:val="00533C4E"/>
    <w:rsid w:val="00540B13"/>
    <w:rsid w:val="0054148C"/>
    <w:rsid w:val="00545464"/>
    <w:rsid w:val="0054770D"/>
    <w:rsid w:val="005513B5"/>
    <w:rsid w:val="00552BBB"/>
    <w:rsid w:val="005545A5"/>
    <w:rsid w:val="0055500C"/>
    <w:rsid w:val="00561A2C"/>
    <w:rsid w:val="00566154"/>
    <w:rsid w:val="00570CD6"/>
    <w:rsid w:val="00573F43"/>
    <w:rsid w:val="00580F5B"/>
    <w:rsid w:val="00582316"/>
    <w:rsid w:val="005855D6"/>
    <w:rsid w:val="0058597E"/>
    <w:rsid w:val="005862EB"/>
    <w:rsid w:val="00594415"/>
    <w:rsid w:val="00594FF2"/>
    <w:rsid w:val="00596A36"/>
    <w:rsid w:val="005A14A5"/>
    <w:rsid w:val="005B23EC"/>
    <w:rsid w:val="005B2804"/>
    <w:rsid w:val="005B4A5A"/>
    <w:rsid w:val="005C2598"/>
    <w:rsid w:val="005C2EF1"/>
    <w:rsid w:val="005C697F"/>
    <w:rsid w:val="005C6E8D"/>
    <w:rsid w:val="005C776E"/>
    <w:rsid w:val="005C792E"/>
    <w:rsid w:val="005E0785"/>
    <w:rsid w:val="005E0E3B"/>
    <w:rsid w:val="005E3213"/>
    <w:rsid w:val="005E3D97"/>
    <w:rsid w:val="005E43A6"/>
    <w:rsid w:val="005E5FD7"/>
    <w:rsid w:val="005E617F"/>
    <w:rsid w:val="005F4F46"/>
    <w:rsid w:val="005F52A9"/>
    <w:rsid w:val="00600626"/>
    <w:rsid w:val="00601EAA"/>
    <w:rsid w:val="00611537"/>
    <w:rsid w:val="00612A82"/>
    <w:rsid w:val="0062112B"/>
    <w:rsid w:val="006227F5"/>
    <w:rsid w:val="00623071"/>
    <w:rsid w:val="006255CE"/>
    <w:rsid w:val="006417D4"/>
    <w:rsid w:val="00643021"/>
    <w:rsid w:val="00643D09"/>
    <w:rsid w:val="00650400"/>
    <w:rsid w:val="006517D2"/>
    <w:rsid w:val="0066334D"/>
    <w:rsid w:val="006737E4"/>
    <w:rsid w:val="006756D0"/>
    <w:rsid w:val="00691CEC"/>
    <w:rsid w:val="00692DD4"/>
    <w:rsid w:val="0069492C"/>
    <w:rsid w:val="00695022"/>
    <w:rsid w:val="006A1111"/>
    <w:rsid w:val="006A26B2"/>
    <w:rsid w:val="006B5C39"/>
    <w:rsid w:val="006C1C9A"/>
    <w:rsid w:val="006C69D5"/>
    <w:rsid w:val="006D479A"/>
    <w:rsid w:val="006E3696"/>
    <w:rsid w:val="006F4BC3"/>
    <w:rsid w:val="00705191"/>
    <w:rsid w:val="007242A8"/>
    <w:rsid w:val="00725C66"/>
    <w:rsid w:val="00725C8E"/>
    <w:rsid w:val="007324B5"/>
    <w:rsid w:val="00735007"/>
    <w:rsid w:val="007367C9"/>
    <w:rsid w:val="00753F92"/>
    <w:rsid w:val="00756011"/>
    <w:rsid w:val="00760727"/>
    <w:rsid w:val="007636F2"/>
    <w:rsid w:val="0076691C"/>
    <w:rsid w:val="007677C2"/>
    <w:rsid w:val="00783296"/>
    <w:rsid w:val="0079330B"/>
    <w:rsid w:val="007977A7"/>
    <w:rsid w:val="007A0FE2"/>
    <w:rsid w:val="007A37BC"/>
    <w:rsid w:val="007C5A8B"/>
    <w:rsid w:val="007C7931"/>
    <w:rsid w:val="007D32C1"/>
    <w:rsid w:val="007D4799"/>
    <w:rsid w:val="007D59F5"/>
    <w:rsid w:val="007D6442"/>
    <w:rsid w:val="007E1254"/>
    <w:rsid w:val="007E394A"/>
    <w:rsid w:val="007E3E26"/>
    <w:rsid w:val="00801367"/>
    <w:rsid w:val="00812D66"/>
    <w:rsid w:val="00815BD5"/>
    <w:rsid w:val="00821389"/>
    <w:rsid w:val="00823221"/>
    <w:rsid w:val="008436B0"/>
    <w:rsid w:val="00845478"/>
    <w:rsid w:val="00847BA9"/>
    <w:rsid w:val="00847E9D"/>
    <w:rsid w:val="008526E5"/>
    <w:rsid w:val="00853DEF"/>
    <w:rsid w:val="008615DE"/>
    <w:rsid w:val="008638FE"/>
    <w:rsid w:val="00863EB7"/>
    <w:rsid w:val="008648EC"/>
    <w:rsid w:val="00865335"/>
    <w:rsid w:val="0087224C"/>
    <w:rsid w:val="008724E6"/>
    <w:rsid w:val="00893371"/>
    <w:rsid w:val="008A249C"/>
    <w:rsid w:val="008A3213"/>
    <w:rsid w:val="008A4C2D"/>
    <w:rsid w:val="008A743D"/>
    <w:rsid w:val="008C5565"/>
    <w:rsid w:val="008C5849"/>
    <w:rsid w:val="008D4A50"/>
    <w:rsid w:val="008D660D"/>
    <w:rsid w:val="008D66F9"/>
    <w:rsid w:val="008F250C"/>
    <w:rsid w:val="00905154"/>
    <w:rsid w:val="009058A4"/>
    <w:rsid w:val="00906359"/>
    <w:rsid w:val="00907BDE"/>
    <w:rsid w:val="00912253"/>
    <w:rsid w:val="009131AF"/>
    <w:rsid w:val="009213AE"/>
    <w:rsid w:val="0093307D"/>
    <w:rsid w:val="00934ED9"/>
    <w:rsid w:val="00946511"/>
    <w:rsid w:val="00951963"/>
    <w:rsid w:val="0095376D"/>
    <w:rsid w:val="00955147"/>
    <w:rsid w:val="00955FA9"/>
    <w:rsid w:val="00956874"/>
    <w:rsid w:val="00974C82"/>
    <w:rsid w:val="00975B7F"/>
    <w:rsid w:val="00977916"/>
    <w:rsid w:val="009802CA"/>
    <w:rsid w:val="0098189D"/>
    <w:rsid w:val="00992B62"/>
    <w:rsid w:val="009A15C9"/>
    <w:rsid w:val="009A6073"/>
    <w:rsid w:val="009B27FF"/>
    <w:rsid w:val="009B643D"/>
    <w:rsid w:val="009B77FF"/>
    <w:rsid w:val="009C1335"/>
    <w:rsid w:val="009C655C"/>
    <w:rsid w:val="009C6A45"/>
    <w:rsid w:val="009D0419"/>
    <w:rsid w:val="009F0A84"/>
    <w:rsid w:val="009F4CC4"/>
    <w:rsid w:val="009F5532"/>
    <w:rsid w:val="00A0201C"/>
    <w:rsid w:val="00A04A28"/>
    <w:rsid w:val="00A13358"/>
    <w:rsid w:val="00A13CF4"/>
    <w:rsid w:val="00A156DC"/>
    <w:rsid w:val="00A15E06"/>
    <w:rsid w:val="00A31D6A"/>
    <w:rsid w:val="00A34D32"/>
    <w:rsid w:val="00A3665D"/>
    <w:rsid w:val="00A40FF4"/>
    <w:rsid w:val="00A42642"/>
    <w:rsid w:val="00A42AE1"/>
    <w:rsid w:val="00A44A09"/>
    <w:rsid w:val="00A56DD4"/>
    <w:rsid w:val="00A609EF"/>
    <w:rsid w:val="00A807A0"/>
    <w:rsid w:val="00A80D2E"/>
    <w:rsid w:val="00A832A3"/>
    <w:rsid w:val="00A85891"/>
    <w:rsid w:val="00A86B55"/>
    <w:rsid w:val="00A920C0"/>
    <w:rsid w:val="00AC3544"/>
    <w:rsid w:val="00AD47EC"/>
    <w:rsid w:val="00AD6E6A"/>
    <w:rsid w:val="00AE07BB"/>
    <w:rsid w:val="00AE358C"/>
    <w:rsid w:val="00AE3AA6"/>
    <w:rsid w:val="00AF0406"/>
    <w:rsid w:val="00B033B9"/>
    <w:rsid w:val="00B1256D"/>
    <w:rsid w:val="00B146DB"/>
    <w:rsid w:val="00B17212"/>
    <w:rsid w:val="00B247AF"/>
    <w:rsid w:val="00B40A65"/>
    <w:rsid w:val="00B454C7"/>
    <w:rsid w:val="00B46C3D"/>
    <w:rsid w:val="00B515C8"/>
    <w:rsid w:val="00B5355C"/>
    <w:rsid w:val="00B6054B"/>
    <w:rsid w:val="00B6341E"/>
    <w:rsid w:val="00B63698"/>
    <w:rsid w:val="00B63C64"/>
    <w:rsid w:val="00B63F2A"/>
    <w:rsid w:val="00B657F6"/>
    <w:rsid w:val="00B74472"/>
    <w:rsid w:val="00B76D79"/>
    <w:rsid w:val="00B77A44"/>
    <w:rsid w:val="00BB10E0"/>
    <w:rsid w:val="00BB4CD7"/>
    <w:rsid w:val="00BB7757"/>
    <w:rsid w:val="00BC0B5D"/>
    <w:rsid w:val="00BC6EE2"/>
    <w:rsid w:val="00BD1AE4"/>
    <w:rsid w:val="00BD41DC"/>
    <w:rsid w:val="00BE107A"/>
    <w:rsid w:val="00BE3E82"/>
    <w:rsid w:val="00BF6E18"/>
    <w:rsid w:val="00C1735C"/>
    <w:rsid w:val="00C20FDB"/>
    <w:rsid w:val="00C23204"/>
    <w:rsid w:val="00C2793B"/>
    <w:rsid w:val="00C31001"/>
    <w:rsid w:val="00C33606"/>
    <w:rsid w:val="00C41A98"/>
    <w:rsid w:val="00C46FFA"/>
    <w:rsid w:val="00C47A60"/>
    <w:rsid w:val="00C57F17"/>
    <w:rsid w:val="00C60D09"/>
    <w:rsid w:val="00C64960"/>
    <w:rsid w:val="00C66683"/>
    <w:rsid w:val="00C66721"/>
    <w:rsid w:val="00C744ED"/>
    <w:rsid w:val="00C74640"/>
    <w:rsid w:val="00C82309"/>
    <w:rsid w:val="00C84577"/>
    <w:rsid w:val="00C9763F"/>
    <w:rsid w:val="00CA3D60"/>
    <w:rsid w:val="00CC0860"/>
    <w:rsid w:val="00CC0A0C"/>
    <w:rsid w:val="00CC239A"/>
    <w:rsid w:val="00CC4707"/>
    <w:rsid w:val="00CD0F29"/>
    <w:rsid w:val="00CD6FD7"/>
    <w:rsid w:val="00CE1262"/>
    <w:rsid w:val="00CE2ADB"/>
    <w:rsid w:val="00CF0107"/>
    <w:rsid w:val="00D051CA"/>
    <w:rsid w:val="00D07320"/>
    <w:rsid w:val="00D15672"/>
    <w:rsid w:val="00D163B4"/>
    <w:rsid w:val="00D26380"/>
    <w:rsid w:val="00D27449"/>
    <w:rsid w:val="00D27DDA"/>
    <w:rsid w:val="00D30B80"/>
    <w:rsid w:val="00D42779"/>
    <w:rsid w:val="00D54813"/>
    <w:rsid w:val="00D57887"/>
    <w:rsid w:val="00D64D71"/>
    <w:rsid w:val="00D654A3"/>
    <w:rsid w:val="00D668EA"/>
    <w:rsid w:val="00D710C8"/>
    <w:rsid w:val="00D71907"/>
    <w:rsid w:val="00D72B51"/>
    <w:rsid w:val="00D80C73"/>
    <w:rsid w:val="00D91061"/>
    <w:rsid w:val="00D9158C"/>
    <w:rsid w:val="00D932EB"/>
    <w:rsid w:val="00DA1260"/>
    <w:rsid w:val="00DA59F8"/>
    <w:rsid w:val="00DA7420"/>
    <w:rsid w:val="00DB328A"/>
    <w:rsid w:val="00DB6A6B"/>
    <w:rsid w:val="00DC0D16"/>
    <w:rsid w:val="00DD0B07"/>
    <w:rsid w:val="00DD2881"/>
    <w:rsid w:val="00DD4004"/>
    <w:rsid w:val="00DD4661"/>
    <w:rsid w:val="00DE211C"/>
    <w:rsid w:val="00DE225E"/>
    <w:rsid w:val="00DF2680"/>
    <w:rsid w:val="00DF5D02"/>
    <w:rsid w:val="00E01E77"/>
    <w:rsid w:val="00E05C97"/>
    <w:rsid w:val="00E064AF"/>
    <w:rsid w:val="00E10A70"/>
    <w:rsid w:val="00E16F20"/>
    <w:rsid w:val="00E237E8"/>
    <w:rsid w:val="00E27017"/>
    <w:rsid w:val="00E27189"/>
    <w:rsid w:val="00E31401"/>
    <w:rsid w:val="00E513CA"/>
    <w:rsid w:val="00E6350E"/>
    <w:rsid w:val="00E64098"/>
    <w:rsid w:val="00E67DF5"/>
    <w:rsid w:val="00E707D9"/>
    <w:rsid w:val="00E77DBF"/>
    <w:rsid w:val="00E84A67"/>
    <w:rsid w:val="00E91897"/>
    <w:rsid w:val="00E92EC0"/>
    <w:rsid w:val="00E9332E"/>
    <w:rsid w:val="00E95C13"/>
    <w:rsid w:val="00EA1299"/>
    <w:rsid w:val="00EA69A8"/>
    <w:rsid w:val="00EA7D6C"/>
    <w:rsid w:val="00EB1F5B"/>
    <w:rsid w:val="00EC05C0"/>
    <w:rsid w:val="00ED65A4"/>
    <w:rsid w:val="00ED6E87"/>
    <w:rsid w:val="00ED7106"/>
    <w:rsid w:val="00EE13D4"/>
    <w:rsid w:val="00EF2C52"/>
    <w:rsid w:val="00EF3E42"/>
    <w:rsid w:val="00EF4429"/>
    <w:rsid w:val="00EF6A36"/>
    <w:rsid w:val="00F03519"/>
    <w:rsid w:val="00F05479"/>
    <w:rsid w:val="00F14382"/>
    <w:rsid w:val="00F14F04"/>
    <w:rsid w:val="00F172BA"/>
    <w:rsid w:val="00F302CD"/>
    <w:rsid w:val="00F30AAF"/>
    <w:rsid w:val="00F319AC"/>
    <w:rsid w:val="00F35454"/>
    <w:rsid w:val="00F3582D"/>
    <w:rsid w:val="00F405FF"/>
    <w:rsid w:val="00F44BD3"/>
    <w:rsid w:val="00F50B3D"/>
    <w:rsid w:val="00F541BD"/>
    <w:rsid w:val="00F554B4"/>
    <w:rsid w:val="00F706D8"/>
    <w:rsid w:val="00F73706"/>
    <w:rsid w:val="00F80248"/>
    <w:rsid w:val="00F80FEA"/>
    <w:rsid w:val="00F90B1F"/>
    <w:rsid w:val="00F90CFF"/>
    <w:rsid w:val="00FA009A"/>
    <w:rsid w:val="00FB0F36"/>
    <w:rsid w:val="00FB61E0"/>
    <w:rsid w:val="00FC020B"/>
    <w:rsid w:val="00FD4688"/>
    <w:rsid w:val="00FD5B40"/>
    <w:rsid w:val="00FE0A2E"/>
    <w:rsid w:val="00FF075B"/>
    <w:rsid w:val="02173B23"/>
    <w:rsid w:val="02CA2D26"/>
    <w:rsid w:val="03045651"/>
    <w:rsid w:val="0327D153"/>
    <w:rsid w:val="0397A68C"/>
    <w:rsid w:val="04364FFC"/>
    <w:rsid w:val="0453E5AF"/>
    <w:rsid w:val="06B86EBF"/>
    <w:rsid w:val="08857549"/>
    <w:rsid w:val="08CA139D"/>
    <w:rsid w:val="0937236E"/>
    <w:rsid w:val="0A57A2F6"/>
    <w:rsid w:val="0BFA6508"/>
    <w:rsid w:val="0C29710F"/>
    <w:rsid w:val="0DC54170"/>
    <w:rsid w:val="0E62DB3E"/>
    <w:rsid w:val="0EEE354C"/>
    <w:rsid w:val="0EFDE297"/>
    <w:rsid w:val="11137202"/>
    <w:rsid w:val="114F01A2"/>
    <w:rsid w:val="117F692D"/>
    <w:rsid w:val="123C3945"/>
    <w:rsid w:val="1331A607"/>
    <w:rsid w:val="1445EB03"/>
    <w:rsid w:val="14ACE55F"/>
    <w:rsid w:val="15651F07"/>
    <w:rsid w:val="156908B4"/>
    <w:rsid w:val="15A2F3F6"/>
    <w:rsid w:val="15B155D9"/>
    <w:rsid w:val="1A94F257"/>
    <w:rsid w:val="1ABBEA79"/>
    <w:rsid w:val="1AC6AE3B"/>
    <w:rsid w:val="1BF82294"/>
    <w:rsid w:val="1C82F60B"/>
    <w:rsid w:val="1CC802BB"/>
    <w:rsid w:val="1D218EF0"/>
    <w:rsid w:val="1DBC1497"/>
    <w:rsid w:val="205A86DD"/>
    <w:rsid w:val="21FDA359"/>
    <w:rsid w:val="2495E188"/>
    <w:rsid w:val="24D52231"/>
    <w:rsid w:val="254E9536"/>
    <w:rsid w:val="26D01023"/>
    <w:rsid w:val="281CBD39"/>
    <w:rsid w:val="2A3B2323"/>
    <w:rsid w:val="2B0AA999"/>
    <w:rsid w:val="2CAB1ADE"/>
    <w:rsid w:val="2D5FA133"/>
    <w:rsid w:val="2E46EB3F"/>
    <w:rsid w:val="2F1BAF7D"/>
    <w:rsid w:val="2FAF6E37"/>
    <w:rsid w:val="2FE2BBA0"/>
    <w:rsid w:val="3198DD24"/>
    <w:rsid w:val="3428029F"/>
    <w:rsid w:val="356EA6CB"/>
    <w:rsid w:val="369D0A46"/>
    <w:rsid w:val="36A1C706"/>
    <w:rsid w:val="36C4EDB4"/>
    <w:rsid w:val="38FF0102"/>
    <w:rsid w:val="3A4A740E"/>
    <w:rsid w:val="3B5F2E5C"/>
    <w:rsid w:val="3F0B5D58"/>
    <w:rsid w:val="3FD9C536"/>
    <w:rsid w:val="4076EF46"/>
    <w:rsid w:val="407C9C0D"/>
    <w:rsid w:val="40BFA4DB"/>
    <w:rsid w:val="421B6050"/>
    <w:rsid w:val="42CC0C85"/>
    <w:rsid w:val="43F2BF8F"/>
    <w:rsid w:val="44AFF39C"/>
    <w:rsid w:val="44E22768"/>
    <w:rsid w:val="4587FA28"/>
    <w:rsid w:val="462C77F7"/>
    <w:rsid w:val="48FA412A"/>
    <w:rsid w:val="490A6DD4"/>
    <w:rsid w:val="49739E51"/>
    <w:rsid w:val="4A0ADDAA"/>
    <w:rsid w:val="4A350B3B"/>
    <w:rsid w:val="4B2710A0"/>
    <w:rsid w:val="4BCAE6FD"/>
    <w:rsid w:val="4BF0362E"/>
    <w:rsid w:val="4CE2BA44"/>
    <w:rsid w:val="4D0F135C"/>
    <w:rsid w:val="4F0C3271"/>
    <w:rsid w:val="5017AC95"/>
    <w:rsid w:val="5111B754"/>
    <w:rsid w:val="5210AB5C"/>
    <w:rsid w:val="52A55CE8"/>
    <w:rsid w:val="530B3BA4"/>
    <w:rsid w:val="53DEB9CD"/>
    <w:rsid w:val="562A6271"/>
    <w:rsid w:val="58EAC60E"/>
    <w:rsid w:val="59B10794"/>
    <w:rsid w:val="5A6BF50E"/>
    <w:rsid w:val="5B91C698"/>
    <w:rsid w:val="5CBB281C"/>
    <w:rsid w:val="5DF49A9D"/>
    <w:rsid w:val="5E3D76BE"/>
    <w:rsid w:val="5F3C24DD"/>
    <w:rsid w:val="60DF19BB"/>
    <w:rsid w:val="60ECB622"/>
    <w:rsid w:val="618B4929"/>
    <w:rsid w:val="61C052F1"/>
    <w:rsid w:val="624C913D"/>
    <w:rsid w:val="62C9AC1B"/>
    <w:rsid w:val="649FF7E0"/>
    <w:rsid w:val="653EB26D"/>
    <w:rsid w:val="65AD835D"/>
    <w:rsid w:val="67E0E53D"/>
    <w:rsid w:val="695D5649"/>
    <w:rsid w:val="69733F95"/>
    <w:rsid w:val="69A4A905"/>
    <w:rsid w:val="69D1B332"/>
    <w:rsid w:val="6C3384F8"/>
    <w:rsid w:val="6C8A0AB8"/>
    <w:rsid w:val="6CC0728A"/>
    <w:rsid w:val="6E80CF33"/>
    <w:rsid w:val="6E9FF530"/>
    <w:rsid w:val="6F37DE39"/>
    <w:rsid w:val="6FBD70C8"/>
    <w:rsid w:val="705206E4"/>
    <w:rsid w:val="70880704"/>
    <w:rsid w:val="70BDEBCD"/>
    <w:rsid w:val="71F85EFE"/>
    <w:rsid w:val="72E15654"/>
    <w:rsid w:val="72EBF0A6"/>
    <w:rsid w:val="7323857C"/>
    <w:rsid w:val="742E0E10"/>
    <w:rsid w:val="745315C6"/>
    <w:rsid w:val="746AAD72"/>
    <w:rsid w:val="74A4F16E"/>
    <w:rsid w:val="75099F7E"/>
    <w:rsid w:val="7563D416"/>
    <w:rsid w:val="75C6FCE0"/>
    <w:rsid w:val="75D537B0"/>
    <w:rsid w:val="7790EE09"/>
    <w:rsid w:val="77AA0508"/>
    <w:rsid w:val="787186D1"/>
    <w:rsid w:val="79A59480"/>
    <w:rsid w:val="7C93CF0B"/>
    <w:rsid w:val="7CE33CD3"/>
    <w:rsid w:val="7CE933C4"/>
    <w:rsid w:val="7D646EAD"/>
    <w:rsid w:val="7DED1DEB"/>
    <w:rsid w:val="7E229DB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CD88B"/>
  <w15:docId w15:val="{8BCB0B56-2B46-4EF0-A199-CB9F5865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94"/>
      <w:ind w:left="1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1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3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D0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D03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36D"/>
    <w:rPr>
      <w:color w:val="0000FF"/>
      <w:u w:val="single"/>
    </w:rPr>
  </w:style>
  <w:style w:type="paragraph" w:styleId="Revision">
    <w:name w:val="Revision"/>
    <w:hidden/>
    <w:uiPriority w:val="99"/>
    <w:semiHidden/>
    <w:rsid w:val="00AE3AA6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71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1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D5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w.cornell.edu/definitions/index.php?width=840&amp;height=800&amp;iframe=true&amp;def_id=56fddd6b35f723d70b7e40868091b021&amp;term_occur=999&amp;term_src=Title:13:Chapter:I:Part:120:Subpart:I:Subjgrp:253:120.1060" TargetMode="External" /><Relationship Id="rId6" Type="http://schemas.openxmlformats.org/officeDocument/2006/relationships/image" Target="media/image1.emf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C460-20A0-4126-A848-8312A8FB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InForms - omb83i.wpf</vt:lpstr>
    </vt:vector>
  </TitlesOfParts>
  <Company>Small Business Administration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InForms - omb83i.wpf</dc:title>
  <dc:creator>cbrich</dc:creator>
  <cp:lastModifiedBy>Rich, Curtis B.</cp:lastModifiedBy>
  <cp:revision>2</cp:revision>
  <cp:lastPrinted>2018-01-23T14:20:00Z</cp:lastPrinted>
  <dcterms:created xsi:type="dcterms:W3CDTF">2024-09-18T19:26:00Z</dcterms:created>
  <dcterms:modified xsi:type="dcterms:W3CDTF">2024-09-18T19:26:00Z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2006-03-31T00:00:00Z</vt:filetime>
  </property>
  <property fmtid="{D5CDD505-2E9C-101B-9397-08002B2CF9AE}" pid="3" name="Creator">
    <vt:lpwstr>Adobe LiveCycle Designer ES 8.1</vt:lpwstr>
  </property>
  <property fmtid="{D5CDD505-2E9C-101B-9397-08002B2CF9AE}" pid="4" name="LastSaved">
    <vt:filetime>2018-01-18T00:00:00Z</vt:filetime>
  </property>
</Properties>
</file>