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736" w14:paraId="414079C6" w14:textId="77777777">
      <w:pPr>
        <w:jc w:val="center"/>
        <w:rPr>
          <w:rFonts w:ascii="Calibri" w:eastAsia="Calibri" w:hAnsi="Calibri" w:cs="Calibri"/>
          <w:b/>
          <w:sz w:val="24"/>
          <w:szCs w:val="24"/>
        </w:rPr>
      </w:pPr>
      <w:r>
        <w:rPr>
          <w:rFonts w:ascii="Calibri" w:eastAsia="Calibri" w:hAnsi="Calibri" w:cs="Calibri"/>
          <w:b/>
          <w:sz w:val="24"/>
          <w:szCs w:val="24"/>
        </w:rPr>
        <w:t>SUPPORTING STATEMENT – Part A</w:t>
      </w:r>
    </w:p>
    <w:p w:rsidR="00B22736" w14:paraId="618C6B55" w14:textId="77777777">
      <w:pPr>
        <w:jc w:val="center"/>
        <w:rPr>
          <w:rFonts w:ascii="Calibri" w:eastAsia="Calibri" w:hAnsi="Calibri" w:cs="Calibri"/>
          <w:b/>
          <w:sz w:val="24"/>
          <w:szCs w:val="24"/>
        </w:rPr>
      </w:pPr>
      <w:r>
        <w:rPr>
          <w:rFonts w:ascii="Calibri" w:eastAsia="Calibri" w:hAnsi="Calibri" w:cs="Calibri"/>
          <w:b/>
          <w:sz w:val="24"/>
          <w:szCs w:val="24"/>
        </w:rPr>
        <w:t>REQUEST FOR APPROVAL UNDER THE PAPERWORK REDUCTION ACT AND 5 CFR 1320</w:t>
      </w:r>
    </w:p>
    <w:p w:rsidR="00B22736" w14:paraId="62FE83E1" w14:textId="77777777">
      <w:pPr>
        <w:jc w:val="center"/>
        <w:rPr>
          <w:rFonts w:ascii="Calibri" w:eastAsia="Calibri" w:hAnsi="Calibri" w:cs="Calibri"/>
          <w:b/>
          <w:sz w:val="24"/>
          <w:szCs w:val="24"/>
        </w:rPr>
      </w:pPr>
      <w:r>
        <w:rPr>
          <w:rFonts w:ascii="Calibri" w:eastAsia="Calibri" w:hAnsi="Calibri" w:cs="Calibri"/>
          <w:b/>
          <w:sz w:val="24"/>
          <w:szCs w:val="24"/>
        </w:rPr>
        <w:t>RIN 0412-AA87</w:t>
      </w:r>
    </w:p>
    <w:p w:rsidR="00B22736" w14:paraId="59162D12" w14:textId="77777777">
      <w:pPr>
        <w:rPr>
          <w:rFonts w:ascii="Calibri" w:eastAsia="Calibri" w:hAnsi="Calibri" w:cs="Calibri"/>
          <w:sz w:val="24"/>
          <w:szCs w:val="24"/>
        </w:rPr>
      </w:pPr>
    </w:p>
    <w:p w:rsidR="00B22736" w14:paraId="42CBFFAE" w14:textId="77777777">
      <w:pPr>
        <w:rPr>
          <w:rFonts w:ascii="Calibri" w:eastAsia="Calibri" w:hAnsi="Calibri" w:cs="Calibri"/>
          <w:sz w:val="24"/>
          <w:szCs w:val="24"/>
        </w:rPr>
      </w:pPr>
      <w:r>
        <w:rPr>
          <w:rFonts w:ascii="Calibri" w:eastAsia="Calibri" w:hAnsi="Calibri" w:cs="Calibri"/>
          <w:b/>
          <w:sz w:val="24"/>
          <w:szCs w:val="24"/>
        </w:rPr>
        <w:t>Collection Title:</w:t>
      </w:r>
      <w:r>
        <w:rPr>
          <w:rFonts w:ascii="Calibri" w:eastAsia="Calibri" w:hAnsi="Calibri" w:cs="Calibri"/>
          <w:sz w:val="24"/>
          <w:szCs w:val="24"/>
        </w:rPr>
        <w:t xml:space="preserve"> Information Collection under AIDAR Clause 752.204-72, Access to USAID Facilities and USAID’s Information Systems</w:t>
      </w:r>
    </w:p>
    <w:p w:rsidR="00B22736" w14:paraId="271C7E85" w14:textId="77777777">
      <w:pPr>
        <w:rPr>
          <w:rFonts w:ascii="Calibri" w:eastAsia="Calibri" w:hAnsi="Calibri" w:cs="Calibri"/>
          <w:sz w:val="24"/>
          <w:szCs w:val="24"/>
        </w:rPr>
      </w:pPr>
    </w:p>
    <w:p w:rsidR="00B22736" w14:paraId="0B2E72A9" w14:textId="77777777">
      <w:pPr>
        <w:rPr>
          <w:rFonts w:ascii="Calibri" w:eastAsia="Calibri" w:hAnsi="Calibri" w:cs="Calibri"/>
          <w:b/>
          <w:sz w:val="24"/>
          <w:szCs w:val="24"/>
        </w:rPr>
      </w:pPr>
      <w:r>
        <w:rPr>
          <w:rFonts w:ascii="Calibri" w:eastAsia="Calibri" w:hAnsi="Calibri" w:cs="Calibri"/>
          <w:b/>
          <w:sz w:val="24"/>
          <w:szCs w:val="24"/>
        </w:rPr>
        <w:t>PART A. JUSTIFICATION</w:t>
      </w:r>
    </w:p>
    <w:p w:rsidR="00B22736" w14:paraId="0FF175AB" w14:textId="77777777">
      <w:pPr>
        <w:rPr>
          <w:rFonts w:ascii="Calibri" w:eastAsia="Calibri" w:hAnsi="Calibri" w:cs="Calibri"/>
          <w:sz w:val="24"/>
          <w:szCs w:val="24"/>
        </w:rPr>
      </w:pPr>
    </w:p>
    <w:p w:rsidR="00B22736" w14:paraId="3D3BE468"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2736" w14:paraId="3DB647F7" w14:textId="77777777">
      <w:pPr>
        <w:ind w:left="630" w:hanging="360"/>
        <w:rPr>
          <w:rFonts w:ascii="Calibri" w:eastAsia="Calibri" w:hAnsi="Calibri" w:cs="Calibri"/>
          <w:sz w:val="24"/>
          <w:szCs w:val="24"/>
        </w:rPr>
      </w:pPr>
    </w:p>
    <w:p w:rsidR="00B22736" w14:paraId="14F3B4F0" w14:textId="77777777">
      <w:pPr>
        <w:ind w:left="630"/>
        <w:rPr>
          <w:rFonts w:ascii="Calibri" w:eastAsia="Calibri" w:hAnsi="Calibri" w:cs="Calibri"/>
          <w:sz w:val="24"/>
          <w:szCs w:val="24"/>
        </w:rPr>
      </w:pPr>
      <w:r>
        <w:rPr>
          <w:rFonts w:ascii="Calibri" w:eastAsia="Calibri" w:hAnsi="Calibri" w:cs="Calibri"/>
          <w:sz w:val="24"/>
          <w:szCs w:val="24"/>
        </w:rPr>
        <w:t xml:space="preserve">Federal Acquisition Regulation (FAR) </w:t>
      </w:r>
      <w:hyperlink r:id="rId4">
        <w:r>
          <w:rPr>
            <w:rFonts w:ascii="Calibri" w:eastAsia="Calibri" w:hAnsi="Calibri" w:cs="Calibri"/>
            <w:color w:val="1155CC"/>
            <w:sz w:val="24"/>
            <w:szCs w:val="24"/>
            <w:u w:val="single"/>
          </w:rPr>
          <w:t>Subpart 4.13</w:t>
        </w:r>
      </w:hyperlink>
      <w:r>
        <w:rPr>
          <w:rFonts w:ascii="Calibri" w:eastAsia="Calibri" w:hAnsi="Calibri" w:cs="Calibri"/>
          <w:sz w:val="24"/>
          <w:szCs w:val="24"/>
        </w:rPr>
        <w:t xml:space="preserve"> (“Personal Identity Verification”) states that agencies must follow personal identity verification policies and procedures as required by </w:t>
      </w:r>
      <w:hyperlink r:id="rId5">
        <w:r>
          <w:rPr>
            <w:rFonts w:ascii="Calibri" w:eastAsia="Calibri" w:hAnsi="Calibri" w:cs="Calibri"/>
            <w:color w:val="1155CC"/>
            <w:sz w:val="24"/>
            <w:szCs w:val="24"/>
            <w:u w:val="single"/>
          </w:rPr>
          <w:t>FIPS PUB 201</w:t>
        </w:r>
      </w:hyperlink>
      <w:r>
        <w:rPr>
          <w:rFonts w:ascii="Calibri" w:eastAsia="Calibri" w:hAnsi="Calibri" w:cs="Calibri"/>
          <w:sz w:val="24"/>
          <w:szCs w:val="24"/>
        </w:rPr>
        <w:t xml:space="preserve"> (“Personal Identity Verification of Federal Employees and Contractors”) and Office of Management and Budget (OMB) </w:t>
      </w:r>
      <w:hyperlink r:id="rId6">
        <w:r>
          <w:rPr>
            <w:rFonts w:ascii="Calibri" w:eastAsia="Calibri" w:hAnsi="Calibri" w:cs="Calibri"/>
            <w:color w:val="1155CC"/>
            <w:sz w:val="24"/>
            <w:szCs w:val="24"/>
            <w:u w:val="single"/>
          </w:rPr>
          <w:t>Memorandum M-05-24</w:t>
        </w:r>
      </w:hyperlink>
      <w:r>
        <w:rPr>
          <w:rFonts w:ascii="Calibri" w:eastAsia="Calibri" w:hAnsi="Calibri" w:cs="Calibri"/>
          <w:sz w:val="24"/>
          <w:szCs w:val="24"/>
        </w:rPr>
        <w:t xml:space="preserve"> (“Implementation of Homeland Security Presidential Directive (HSPD) 12-Policy for a Common Identification Standard for Federal Employees and Contractors”). Agencies must include their implementation of FIPS PUB 201 and OMB Memorandum M-05-24 in solicitations and contracts that require the contractor to have routine physical access to a federally-controlled facility and/or routine access to a Federally-controlled information system. </w:t>
      </w:r>
    </w:p>
    <w:p w:rsidR="00B22736" w14:paraId="6471055F" w14:textId="77777777">
      <w:pPr>
        <w:ind w:left="630"/>
        <w:rPr>
          <w:rFonts w:ascii="Calibri" w:eastAsia="Calibri" w:hAnsi="Calibri" w:cs="Calibri"/>
          <w:sz w:val="24"/>
          <w:szCs w:val="24"/>
        </w:rPr>
      </w:pPr>
    </w:p>
    <w:p w:rsidR="00B22736" w14:paraId="5EE7F177" w14:textId="77777777">
      <w:pPr>
        <w:ind w:left="630"/>
        <w:rPr>
          <w:rFonts w:ascii="Calibri" w:eastAsia="Calibri" w:hAnsi="Calibri" w:cs="Calibri"/>
          <w:sz w:val="24"/>
          <w:szCs w:val="24"/>
        </w:rPr>
      </w:pPr>
      <w:r>
        <w:rPr>
          <w:rFonts w:ascii="Calibri" w:eastAsia="Calibri" w:hAnsi="Calibri" w:cs="Calibri"/>
          <w:sz w:val="24"/>
          <w:szCs w:val="24"/>
        </w:rPr>
        <w:t xml:space="preserve">USAID Acquisition Regulation (AIDAR) is published at </w:t>
      </w:r>
      <w:hyperlink r:id="rId7">
        <w:r>
          <w:rPr>
            <w:rFonts w:ascii="Calibri" w:eastAsia="Calibri" w:hAnsi="Calibri" w:cs="Calibri"/>
            <w:color w:val="1155CC"/>
            <w:sz w:val="24"/>
            <w:szCs w:val="24"/>
            <w:u w:val="single"/>
          </w:rPr>
          <w:t>48 CFR Chapter 7</w:t>
        </w:r>
      </w:hyperlink>
      <w:r>
        <w:rPr>
          <w:rFonts w:ascii="Calibri" w:eastAsia="Calibri" w:hAnsi="Calibri" w:cs="Calibri"/>
          <w:sz w:val="24"/>
          <w:szCs w:val="24"/>
        </w:rPr>
        <w:t xml:space="preserve">. This final rule revises the clause at </w:t>
      </w:r>
      <w:hyperlink r:id="rId8">
        <w:r>
          <w:rPr>
            <w:rFonts w:ascii="Calibri" w:eastAsia="Calibri" w:hAnsi="Calibri" w:cs="Calibri"/>
            <w:color w:val="1155CC"/>
            <w:sz w:val="24"/>
            <w:szCs w:val="24"/>
            <w:u w:val="single"/>
          </w:rPr>
          <w:t>AIDAR 752.204-72</w:t>
        </w:r>
      </w:hyperlink>
      <w:r>
        <w:rPr>
          <w:rFonts w:ascii="Calibri" w:eastAsia="Calibri" w:hAnsi="Calibri" w:cs="Calibri"/>
          <w:sz w:val="24"/>
          <w:szCs w:val="24"/>
        </w:rPr>
        <w:t xml:space="preserve"> (“Access to USAID Facilities and USAID’s Information Systems”) to include submission of monthly staff reports to better implement Homeland Security Presidential Directive-12 (HSPD-12) and personal identity verification (PIV) procedures at USAID.</w:t>
      </w:r>
    </w:p>
    <w:p w:rsidR="00B22736" w14:paraId="032747EA" w14:textId="77777777">
      <w:pPr>
        <w:ind w:left="630"/>
        <w:rPr>
          <w:rFonts w:ascii="Calibri" w:eastAsia="Calibri" w:hAnsi="Calibri" w:cs="Calibri"/>
          <w:sz w:val="24"/>
          <w:szCs w:val="24"/>
        </w:rPr>
      </w:pPr>
    </w:p>
    <w:p w:rsidR="00B22736" w14:paraId="14FE7BC8" w14:textId="77777777">
      <w:pPr>
        <w:ind w:left="630"/>
        <w:rPr>
          <w:rFonts w:ascii="Calibri" w:eastAsia="Calibri" w:hAnsi="Calibri" w:cs="Calibri"/>
          <w:sz w:val="24"/>
          <w:szCs w:val="24"/>
        </w:rPr>
      </w:pPr>
      <w:r>
        <w:rPr>
          <w:rFonts w:ascii="Calibri" w:eastAsia="Calibri" w:hAnsi="Calibri" w:cs="Calibri"/>
          <w:sz w:val="24"/>
          <w:szCs w:val="24"/>
        </w:rPr>
        <w:t xml:space="preserve">The AIDAR clause is prescribed for use in contracts and solicitations that contain </w:t>
      </w:r>
      <w:hyperlink r:id="rId9">
        <w:r>
          <w:rPr>
            <w:rFonts w:ascii="Calibri" w:eastAsia="Calibri" w:hAnsi="Calibri" w:cs="Calibri"/>
            <w:color w:val="1155CC"/>
            <w:sz w:val="24"/>
            <w:szCs w:val="24"/>
            <w:u w:val="single"/>
          </w:rPr>
          <w:t>FAR 52.204-9</w:t>
        </w:r>
      </w:hyperlink>
      <w:r>
        <w:rPr>
          <w:rFonts w:ascii="Calibri" w:eastAsia="Calibri" w:hAnsi="Calibri" w:cs="Calibri"/>
          <w:sz w:val="24"/>
          <w:szCs w:val="24"/>
        </w:rPr>
        <w:t xml:space="preserve"> (“Personal Identity Verification of Contractor Personnel”) and where the contract requires the contractor – including its employees, volunteers, or subcontractor employees at any tier – to have routine physical access to USAID-controlled facilities or logical access to USAID’s information systems.</w:t>
      </w:r>
    </w:p>
    <w:p w:rsidR="00B22736" w14:paraId="01DF5BBD" w14:textId="77777777">
      <w:pPr>
        <w:ind w:left="630"/>
        <w:rPr>
          <w:rFonts w:ascii="Calibri" w:eastAsia="Calibri" w:hAnsi="Calibri" w:cs="Calibri"/>
          <w:sz w:val="24"/>
          <w:szCs w:val="24"/>
        </w:rPr>
      </w:pPr>
    </w:p>
    <w:p w:rsidR="00B22736" w14:paraId="70CF0EFD" w14:textId="77777777">
      <w:pPr>
        <w:ind w:left="630"/>
        <w:rPr>
          <w:rFonts w:ascii="Calibri" w:eastAsia="Calibri" w:hAnsi="Calibri" w:cs="Calibri"/>
          <w:sz w:val="24"/>
          <w:szCs w:val="24"/>
        </w:rPr>
      </w:pPr>
      <w:r>
        <w:rPr>
          <w:rFonts w:ascii="Calibri" w:eastAsia="Calibri" w:hAnsi="Calibri" w:cs="Calibri"/>
          <w:sz w:val="24"/>
          <w:szCs w:val="24"/>
        </w:rPr>
        <w:t>Paragraph (d) of the revised AIDAR 752.204-72 clause contains the following information collection requirement:</w:t>
      </w:r>
    </w:p>
    <w:p w:rsidR="00B22736" w14:paraId="527EFBFE" w14:textId="77777777">
      <w:pPr>
        <w:ind w:left="630"/>
        <w:rPr>
          <w:rFonts w:ascii="Calibri" w:eastAsia="Calibri" w:hAnsi="Calibri" w:cs="Calibri"/>
          <w:sz w:val="24"/>
          <w:szCs w:val="24"/>
        </w:rPr>
      </w:pPr>
    </w:p>
    <w:p w:rsidR="00B22736" w14:paraId="6C962865" w14:textId="77777777">
      <w:pPr>
        <w:ind w:left="990"/>
        <w:rPr>
          <w:rFonts w:ascii="Calibri" w:eastAsia="Calibri" w:hAnsi="Calibri" w:cs="Calibri"/>
          <w:sz w:val="24"/>
          <w:szCs w:val="24"/>
        </w:rPr>
      </w:pPr>
      <w:r>
        <w:rPr>
          <w:rFonts w:ascii="Calibri" w:eastAsia="Calibri" w:hAnsi="Calibri" w:cs="Calibri"/>
          <w:sz w:val="24"/>
          <w:szCs w:val="24"/>
        </w:rPr>
        <w:t xml:space="preserve">“(d) (1) No later than the 5th day of each month, the Contractor must provide the Contracting Officer’s Representative with the following: </w:t>
      </w:r>
    </w:p>
    <w:p w:rsidR="00B22736" w14:paraId="5798A4D3" w14:textId="77777777">
      <w:pPr>
        <w:ind w:left="990"/>
        <w:rPr>
          <w:rFonts w:ascii="Calibri" w:eastAsia="Calibri" w:hAnsi="Calibri" w:cs="Calibri"/>
          <w:sz w:val="24"/>
          <w:szCs w:val="24"/>
        </w:rPr>
      </w:pPr>
    </w:p>
    <w:p w:rsidR="00B22736" w14:paraId="15F80F7E" w14:textId="77777777">
      <w:pPr>
        <w:ind w:left="99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i</w:t>
      </w:r>
      <w:r>
        <w:rPr>
          <w:rFonts w:ascii="Calibri" w:eastAsia="Calibri" w:hAnsi="Calibri" w:cs="Calibri"/>
          <w:sz w:val="24"/>
          <w:szCs w:val="24"/>
        </w:rPr>
        <w:t xml:space="preserve">) a list of individuals with access who were separated in the past sixty (60) calendar </w:t>
      </w:r>
      <w:r>
        <w:rPr>
          <w:rFonts w:ascii="Calibri" w:eastAsia="Calibri" w:hAnsi="Calibri" w:cs="Calibri"/>
          <w:sz w:val="24"/>
          <w:szCs w:val="24"/>
        </w:rPr>
        <w:t xml:space="preserve">days, and </w:t>
      </w:r>
    </w:p>
    <w:p w:rsidR="00B22736" w14:paraId="68770A45" w14:textId="77777777">
      <w:pPr>
        <w:ind w:left="990"/>
        <w:rPr>
          <w:rFonts w:ascii="Calibri" w:eastAsia="Calibri" w:hAnsi="Calibri" w:cs="Calibri"/>
          <w:sz w:val="24"/>
          <w:szCs w:val="24"/>
        </w:rPr>
      </w:pPr>
    </w:p>
    <w:p w:rsidR="00B22736" w14:paraId="39D1ED6E" w14:textId="77777777">
      <w:pPr>
        <w:ind w:left="990"/>
        <w:rPr>
          <w:rFonts w:ascii="Calibri" w:eastAsia="Calibri" w:hAnsi="Calibri" w:cs="Calibri"/>
          <w:sz w:val="24"/>
          <w:szCs w:val="24"/>
        </w:rPr>
      </w:pPr>
      <w:r>
        <w:rPr>
          <w:rFonts w:ascii="Calibri" w:eastAsia="Calibri" w:hAnsi="Calibri" w:cs="Calibri"/>
          <w:sz w:val="24"/>
          <w:szCs w:val="24"/>
        </w:rPr>
        <w:t>(ii) a list of individuals hired in the past sixty (60) calendar days who require access under this contract.</w:t>
      </w:r>
    </w:p>
    <w:p w:rsidR="00B22736" w14:paraId="458E722C" w14:textId="77777777">
      <w:pPr>
        <w:ind w:left="990"/>
        <w:rPr>
          <w:rFonts w:ascii="Calibri" w:eastAsia="Calibri" w:hAnsi="Calibri" w:cs="Calibri"/>
          <w:sz w:val="24"/>
          <w:szCs w:val="24"/>
        </w:rPr>
      </w:pPr>
    </w:p>
    <w:p w:rsidR="00B22736" w14:paraId="04BEDA54" w14:textId="77777777">
      <w:pPr>
        <w:ind w:left="990"/>
        <w:rPr>
          <w:rFonts w:ascii="Calibri" w:eastAsia="Calibri" w:hAnsi="Calibri" w:cs="Calibri"/>
          <w:sz w:val="24"/>
          <w:szCs w:val="24"/>
        </w:rPr>
      </w:pPr>
      <w:r>
        <w:rPr>
          <w:rFonts w:ascii="Calibri" w:eastAsia="Calibri" w:hAnsi="Calibri" w:cs="Calibri"/>
          <w:sz w:val="24"/>
          <w:szCs w:val="24"/>
        </w:rPr>
        <w:t>(2) This information must be submitted even if no separations or hiring occurred during the past sixty (60) calendar days.</w:t>
      </w:r>
    </w:p>
    <w:p w:rsidR="00B22736" w14:paraId="28CA81EA" w14:textId="77777777">
      <w:pPr>
        <w:ind w:left="990"/>
        <w:rPr>
          <w:rFonts w:ascii="Calibri" w:eastAsia="Calibri" w:hAnsi="Calibri" w:cs="Calibri"/>
          <w:sz w:val="24"/>
          <w:szCs w:val="24"/>
        </w:rPr>
      </w:pPr>
    </w:p>
    <w:p w:rsidR="00B22736" w14:paraId="7BE6A6BA" w14:textId="77777777">
      <w:pPr>
        <w:ind w:left="990"/>
        <w:rPr>
          <w:rFonts w:ascii="Calibri" w:eastAsia="Calibri" w:hAnsi="Calibri" w:cs="Calibri"/>
          <w:sz w:val="24"/>
          <w:szCs w:val="24"/>
        </w:rPr>
      </w:pPr>
      <w:r>
        <w:rPr>
          <w:rFonts w:ascii="Calibri" w:eastAsia="Calibri" w:hAnsi="Calibri" w:cs="Calibri"/>
          <w:sz w:val="24"/>
          <w:szCs w:val="24"/>
        </w:rPr>
        <w:t>(3) Failure to comply with the requirements in paragraph (d)(1) may result in the suspension of all facilities and/or logical access associated with this contract.”</w:t>
      </w:r>
    </w:p>
    <w:p w:rsidR="00B22736" w14:paraId="5A971AAA" w14:textId="77777777">
      <w:pPr>
        <w:ind w:left="630"/>
        <w:rPr>
          <w:rFonts w:ascii="Calibri" w:eastAsia="Calibri" w:hAnsi="Calibri" w:cs="Calibri"/>
          <w:sz w:val="24"/>
          <w:szCs w:val="24"/>
        </w:rPr>
      </w:pPr>
    </w:p>
    <w:p w:rsidR="00B22736" w14:paraId="71E6D794" w14:textId="77777777">
      <w:pPr>
        <w:ind w:left="630"/>
        <w:rPr>
          <w:rFonts w:ascii="Calibri" w:eastAsia="Calibri" w:hAnsi="Calibri" w:cs="Calibri"/>
          <w:sz w:val="24"/>
          <w:szCs w:val="24"/>
        </w:rPr>
      </w:pPr>
      <w:r>
        <w:rPr>
          <w:rFonts w:ascii="Calibri" w:eastAsia="Calibri" w:hAnsi="Calibri" w:cs="Calibri"/>
          <w:sz w:val="24"/>
          <w:szCs w:val="24"/>
        </w:rPr>
        <w:t>The clause further requires that the Contractor must return all PIV and other access credentials and remote authentication tokens to the Contracting Officer’s Representative prior to departure of the contractor personnel or upon completion or termination of the contract, whichever occurs first.</w:t>
      </w:r>
    </w:p>
    <w:p w:rsidR="00B22736" w14:paraId="3FE93137" w14:textId="77777777">
      <w:pPr>
        <w:ind w:left="630"/>
        <w:rPr>
          <w:rFonts w:ascii="Calibri" w:eastAsia="Calibri" w:hAnsi="Calibri" w:cs="Calibri"/>
          <w:sz w:val="24"/>
          <w:szCs w:val="24"/>
        </w:rPr>
      </w:pPr>
    </w:p>
    <w:p w:rsidR="00B22736" w14:paraId="7011ECE9" w14:textId="77777777">
      <w:pPr>
        <w:ind w:left="630"/>
        <w:rPr>
          <w:rFonts w:ascii="Calibri" w:eastAsia="Calibri" w:hAnsi="Calibri" w:cs="Calibri"/>
          <w:sz w:val="24"/>
          <w:szCs w:val="24"/>
        </w:rPr>
      </w:pPr>
      <w:r>
        <w:rPr>
          <w:rFonts w:ascii="Calibri" w:eastAsia="Calibri" w:hAnsi="Calibri" w:cs="Calibri"/>
          <w:sz w:val="24"/>
          <w:szCs w:val="24"/>
        </w:rPr>
        <w:t>This information collection requirement that USAID is adding to the AIDAR clause is necessary to ensure the Agency’s compliance with HSPD-12 requirements and the accompanying OMB Memorandum M-05-24. Specifically, this provides for the tracking of contractor personnel and credentials, to ensure that Government contractors account for all forms of Government-provided identification issued to Government contractor personnel under a contract.</w:t>
      </w:r>
    </w:p>
    <w:p w:rsidR="00B22736" w14:paraId="7ABA8FFE" w14:textId="77777777">
      <w:pPr>
        <w:ind w:left="630"/>
        <w:rPr>
          <w:rFonts w:ascii="Calibri" w:eastAsia="Calibri" w:hAnsi="Calibri" w:cs="Calibri"/>
          <w:sz w:val="24"/>
          <w:szCs w:val="24"/>
        </w:rPr>
      </w:pPr>
    </w:p>
    <w:p w:rsidR="00B22736" w14:paraId="6232EC19" w14:textId="77777777">
      <w:pPr>
        <w:ind w:left="630"/>
        <w:rPr>
          <w:rFonts w:ascii="Calibri" w:eastAsia="Calibri" w:hAnsi="Calibri" w:cs="Calibri"/>
          <w:sz w:val="24"/>
          <w:szCs w:val="24"/>
        </w:rPr>
      </w:pPr>
      <w:r>
        <w:rPr>
          <w:rFonts w:ascii="Calibri" w:eastAsia="Calibri" w:hAnsi="Calibri" w:cs="Calibri"/>
          <w:sz w:val="24"/>
          <w:szCs w:val="24"/>
        </w:rPr>
        <w:t>Typically, the period of performance for affected Agency awards is five years with the personnel potentially changing several times during the award. The staff reporting will allow the Agency to exercise proper oversight and timely management of the USAID PIV and access credentials assigned to contractor personnel for the duration of the award.</w:t>
      </w:r>
    </w:p>
    <w:p w:rsidR="00B22736" w14:paraId="5698596A" w14:textId="77777777">
      <w:pPr>
        <w:ind w:left="630" w:hanging="360"/>
        <w:rPr>
          <w:rFonts w:ascii="Calibri" w:eastAsia="Calibri" w:hAnsi="Calibri" w:cs="Calibri"/>
          <w:sz w:val="24"/>
          <w:szCs w:val="24"/>
        </w:rPr>
      </w:pPr>
    </w:p>
    <w:p w:rsidR="00B22736" w14:paraId="2DAB2BA6"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Indicate how, by whom, and for what purpose the information is to be used. Except for a new collection, indicate the actual use the agency has made of the information received from the current collection.</w:t>
      </w:r>
    </w:p>
    <w:p w:rsidR="00B22736" w14:paraId="1AB6479D" w14:textId="77777777">
      <w:pPr>
        <w:ind w:left="630" w:hanging="360"/>
        <w:rPr>
          <w:rFonts w:ascii="Calibri" w:eastAsia="Calibri" w:hAnsi="Calibri" w:cs="Calibri"/>
          <w:sz w:val="24"/>
          <w:szCs w:val="24"/>
        </w:rPr>
      </w:pPr>
    </w:p>
    <w:p w:rsidR="00B22736" w14:paraId="5DE61060" w14:textId="77777777">
      <w:pPr>
        <w:ind w:left="630"/>
        <w:rPr>
          <w:rFonts w:ascii="Calibri" w:eastAsia="Calibri" w:hAnsi="Calibri" w:cs="Calibri"/>
          <w:sz w:val="24"/>
          <w:szCs w:val="24"/>
        </w:rPr>
      </w:pPr>
      <w:r>
        <w:rPr>
          <w:rFonts w:ascii="Calibri" w:eastAsia="Calibri" w:hAnsi="Calibri" w:cs="Calibri"/>
          <w:sz w:val="24"/>
          <w:szCs w:val="24"/>
        </w:rPr>
        <w:t xml:space="preserve">The information collection will be submitted by all affected contractors to the Contracting Officer’s Representative (COR). The COR will use the reports </w:t>
      </w:r>
      <w:r>
        <w:rPr>
          <w:rFonts w:ascii="Calibri" w:eastAsia="Calibri" w:hAnsi="Calibri" w:cs="Calibri"/>
          <w:sz w:val="24"/>
          <w:szCs w:val="24"/>
        </w:rPr>
        <w:t>to:</w:t>
      </w:r>
      <w:r>
        <w:rPr>
          <w:rFonts w:ascii="Calibri" w:eastAsia="Calibri" w:hAnsi="Calibri" w:cs="Calibri"/>
          <w:sz w:val="24"/>
          <w:szCs w:val="24"/>
        </w:rPr>
        <w:t xml:space="preserve"> 1) coordinate the process of assigning PIV and other access credentials to new contractor staff, and 2) confirm that all departing contractor staff have returned PIV and other access credentials as required by the clause in the contract, or coordinate with the contractor as necessary. The COR is responsible for returning the identification cards to the Office of Security and maintaining documentation in the COR contract files to verify that the identification cards were appropriately returned, per Agency policy. </w:t>
      </w:r>
    </w:p>
    <w:p w:rsidR="00B22736" w14:paraId="5E0F1182" w14:textId="77777777">
      <w:pPr>
        <w:ind w:left="630"/>
        <w:rPr>
          <w:rFonts w:ascii="Calibri" w:eastAsia="Calibri" w:hAnsi="Calibri" w:cs="Calibri"/>
          <w:sz w:val="24"/>
          <w:szCs w:val="24"/>
        </w:rPr>
      </w:pPr>
    </w:p>
    <w:p w:rsidR="00B22736" w14:paraId="031F91E1" w14:textId="77777777">
      <w:pPr>
        <w:ind w:left="630"/>
        <w:rPr>
          <w:rFonts w:ascii="Calibri" w:eastAsia="Calibri" w:hAnsi="Calibri" w:cs="Calibri"/>
          <w:sz w:val="24"/>
          <w:szCs w:val="24"/>
        </w:rPr>
      </w:pPr>
      <w:r>
        <w:rPr>
          <w:rFonts w:ascii="Calibri" w:eastAsia="Calibri" w:hAnsi="Calibri" w:cs="Calibri"/>
          <w:sz w:val="24"/>
          <w:szCs w:val="24"/>
        </w:rPr>
        <w:t>The Agency has not collected this data previously.</w:t>
      </w:r>
    </w:p>
    <w:p w:rsidR="00B22736" w14:paraId="6D2C1C8F" w14:textId="77777777">
      <w:pPr>
        <w:ind w:left="630" w:hanging="360"/>
        <w:rPr>
          <w:rFonts w:ascii="Calibri" w:eastAsia="Calibri" w:hAnsi="Calibri" w:cs="Calibri"/>
          <w:sz w:val="24"/>
          <w:szCs w:val="24"/>
        </w:rPr>
      </w:pPr>
    </w:p>
    <w:p w:rsidR="00B22736" w14:paraId="50508027"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 xml:space="preserve">Describe whether, and to what extent, the collection of information involves the use of </w:t>
      </w:r>
      <w:r>
        <w:rPr>
          <w:rFonts w:ascii="Calibri" w:eastAsia="Calibri" w:hAnsi="Calibri" w:cs="Calibri"/>
          <w:b/>
          <w:color w:val="000000"/>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2736" w14:paraId="3B513FCB" w14:textId="77777777">
      <w:pPr>
        <w:ind w:left="630" w:hanging="360"/>
        <w:rPr>
          <w:rFonts w:ascii="Calibri" w:eastAsia="Calibri" w:hAnsi="Calibri" w:cs="Calibri"/>
          <w:sz w:val="24"/>
          <w:szCs w:val="24"/>
        </w:rPr>
      </w:pPr>
    </w:p>
    <w:p w:rsidR="00B22736" w14:paraId="3709309A" w14:textId="77777777">
      <w:pPr>
        <w:ind w:left="630"/>
        <w:rPr>
          <w:rFonts w:ascii="Calibri" w:eastAsia="Calibri" w:hAnsi="Calibri" w:cs="Calibri"/>
          <w:sz w:val="24"/>
          <w:szCs w:val="24"/>
        </w:rPr>
      </w:pPr>
      <w:r>
        <w:rPr>
          <w:rFonts w:ascii="Calibri" w:eastAsia="Calibri" w:hAnsi="Calibri" w:cs="Calibri"/>
          <w:sz w:val="24"/>
          <w:szCs w:val="24"/>
        </w:rPr>
        <w:t>Information technology may be applied to the maximum extent possible. The COR will establish the required format and is not prevented from accepting any staffing plans electronically – i.e., via e-mail.</w:t>
      </w:r>
    </w:p>
    <w:p w:rsidR="00B22736" w14:paraId="769A6653" w14:textId="77777777">
      <w:pPr>
        <w:ind w:left="630" w:hanging="360"/>
        <w:rPr>
          <w:rFonts w:ascii="Calibri" w:eastAsia="Calibri" w:hAnsi="Calibri" w:cs="Calibri"/>
          <w:sz w:val="24"/>
          <w:szCs w:val="24"/>
        </w:rPr>
      </w:pPr>
    </w:p>
    <w:p w:rsidR="00B22736" w14:paraId="1C546AF3"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efforts to identify duplication. Show specifically why any similar information already available cannot be used or modified for use for the purposes described in Item 2 above.</w:t>
      </w:r>
    </w:p>
    <w:p w:rsidR="00B22736" w14:paraId="6D97BC39" w14:textId="77777777">
      <w:pPr>
        <w:ind w:left="630" w:hanging="360"/>
        <w:rPr>
          <w:rFonts w:ascii="Calibri" w:eastAsia="Calibri" w:hAnsi="Calibri" w:cs="Calibri"/>
          <w:sz w:val="24"/>
          <w:szCs w:val="24"/>
        </w:rPr>
      </w:pPr>
    </w:p>
    <w:p w:rsidR="00B22736" w14:paraId="711CCFA3" w14:textId="77777777">
      <w:pPr>
        <w:ind w:left="630"/>
        <w:rPr>
          <w:rFonts w:ascii="Calibri" w:eastAsia="Calibri" w:hAnsi="Calibri" w:cs="Calibri"/>
          <w:sz w:val="24"/>
          <w:szCs w:val="24"/>
        </w:rPr>
      </w:pPr>
      <w:r>
        <w:rPr>
          <w:rFonts w:ascii="Calibri" w:eastAsia="Calibri" w:hAnsi="Calibri" w:cs="Calibri"/>
          <w:sz w:val="24"/>
          <w:szCs w:val="24"/>
        </w:rPr>
        <w:t>This rule implements agency specific policy and procedures to comply with FAR Subpart 4.13, FIPS PUB 201, and OMB Memorandum M-05-24. It is not duplicative of requirements in the FAR. Similar information – specifically, names of all contractor personnel with associated hiring dates and termination dates – is not otherwise available to the COR or Contracting Officer.</w:t>
      </w:r>
    </w:p>
    <w:p w:rsidR="00B22736" w14:paraId="7956A702" w14:textId="77777777">
      <w:pPr>
        <w:ind w:left="630" w:hanging="360"/>
        <w:rPr>
          <w:rFonts w:ascii="Calibri" w:eastAsia="Calibri" w:hAnsi="Calibri" w:cs="Calibri"/>
          <w:sz w:val="24"/>
          <w:szCs w:val="24"/>
        </w:rPr>
      </w:pPr>
    </w:p>
    <w:p w:rsidR="00B22736" w14:paraId="0C51EF3E"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If the collection of information impacts small businesses or other small entities, describe any methods used to minimize burden.</w:t>
      </w:r>
    </w:p>
    <w:p w:rsidR="00B22736" w14:paraId="3E53C636" w14:textId="77777777">
      <w:pPr>
        <w:ind w:left="630" w:hanging="360"/>
        <w:rPr>
          <w:rFonts w:ascii="Calibri" w:eastAsia="Calibri" w:hAnsi="Calibri" w:cs="Calibri"/>
          <w:sz w:val="24"/>
          <w:szCs w:val="24"/>
        </w:rPr>
      </w:pPr>
    </w:p>
    <w:p w:rsidR="00B22736" w14:paraId="2EE7D14C" w14:textId="77777777">
      <w:pPr>
        <w:ind w:left="630"/>
        <w:rPr>
          <w:rFonts w:ascii="Calibri" w:eastAsia="Calibri" w:hAnsi="Calibri" w:cs="Calibri"/>
          <w:sz w:val="24"/>
          <w:szCs w:val="24"/>
        </w:rPr>
      </w:pPr>
      <w:r>
        <w:rPr>
          <w:rFonts w:ascii="Calibri" w:eastAsia="Calibri" w:hAnsi="Calibri" w:cs="Calibri"/>
          <w:sz w:val="24"/>
          <w:szCs w:val="24"/>
        </w:rPr>
        <w:t>The collection of the information does not have a significant impact on a substantial number of small businesses or other small entities.</w:t>
      </w:r>
    </w:p>
    <w:p w:rsidR="00B22736" w14:paraId="0E55159F" w14:textId="77777777">
      <w:pPr>
        <w:ind w:left="630" w:hanging="360"/>
        <w:rPr>
          <w:rFonts w:ascii="Calibri" w:eastAsia="Calibri" w:hAnsi="Calibri" w:cs="Calibri"/>
          <w:sz w:val="24"/>
          <w:szCs w:val="24"/>
        </w:rPr>
      </w:pPr>
    </w:p>
    <w:p w:rsidR="00B22736" w14:paraId="712B3366"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the consequence to Federal program or policy activities if the collection is not conducted or is conducted less frequently, as well as any technical or legal obstacles to reducing burden.</w:t>
      </w:r>
    </w:p>
    <w:p w:rsidR="00B22736" w14:paraId="215FCA91" w14:textId="77777777">
      <w:pPr>
        <w:ind w:left="630" w:hanging="360"/>
        <w:rPr>
          <w:rFonts w:ascii="Calibri" w:eastAsia="Calibri" w:hAnsi="Calibri" w:cs="Calibri"/>
          <w:sz w:val="24"/>
          <w:szCs w:val="24"/>
        </w:rPr>
      </w:pPr>
    </w:p>
    <w:p w:rsidR="00B22736" w14:paraId="72EACF8D" w14:textId="77777777">
      <w:pPr>
        <w:ind w:left="630"/>
        <w:rPr>
          <w:rFonts w:ascii="Calibri" w:eastAsia="Calibri" w:hAnsi="Calibri" w:cs="Calibri"/>
          <w:sz w:val="24"/>
          <w:szCs w:val="24"/>
        </w:rPr>
      </w:pPr>
      <w:r>
        <w:rPr>
          <w:rFonts w:ascii="Calibri" w:eastAsia="Calibri" w:hAnsi="Calibri" w:cs="Calibri"/>
          <w:sz w:val="24"/>
          <w:szCs w:val="24"/>
        </w:rPr>
        <w:t xml:space="preserve">If conducted less frequently than monthly, this information collection will not be useful for the purposes described above. Timely return of PIV and access credentials and effective oversight of this process is essential for security reasons and control of both facilities access and logical access to USAID information systems. </w:t>
      </w:r>
    </w:p>
    <w:p w:rsidR="00B22736" w14:paraId="35293AE0" w14:textId="77777777">
      <w:pPr>
        <w:ind w:left="630" w:hanging="360"/>
        <w:rPr>
          <w:rFonts w:ascii="Calibri" w:eastAsia="Calibri" w:hAnsi="Calibri" w:cs="Calibri"/>
          <w:sz w:val="24"/>
          <w:szCs w:val="24"/>
        </w:rPr>
      </w:pPr>
    </w:p>
    <w:p w:rsidR="00B22736" w14:paraId="09C47786"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any special circumstances for the information collection.</w:t>
      </w:r>
    </w:p>
    <w:p w:rsidR="00B22736" w14:paraId="512A027B" w14:textId="77777777">
      <w:pPr>
        <w:ind w:left="630" w:hanging="360"/>
        <w:rPr>
          <w:rFonts w:ascii="Calibri" w:eastAsia="Calibri" w:hAnsi="Calibri" w:cs="Calibri"/>
          <w:sz w:val="24"/>
          <w:szCs w:val="24"/>
        </w:rPr>
      </w:pPr>
    </w:p>
    <w:p w:rsidR="00B22736" w14:paraId="53AE085E" w14:textId="77777777">
      <w:pPr>
        <w:ind w:left="630"/>
        <w:rPr>
          <w:rFonts w:ascii="Calibri" w:eastAsia="Calibri" w:hAnsi="Calibri" w:cs="Calibri"/>
          <w:sz w:val="24"/>
          <w:szCs w:val="24"/>
        </w:rPr>
      </w:pPr>
      <w:r>
        <w:rPr>
          <w:rFonts w:ascii="Calibri" w:eastAsia="Calibri" w:hAnsi="Calibri" w:cs="Calibri"/>
          <w:sz w:val="24"/>
          <w:szCs w:val="24"/>
        </w:rPr>
        <w:t xml:space="preserve">The collection of information is conducted in a manner consistent with the guidelines in 5 CFR 1320.6, </w:t>
      </w:r>
      <w:r>
        <w:rPr>
          <w:rFonts w:ascii="Calibri" w:eastAsia="Calibri" w:hAnsi="Calibri" w:cs="Calibri"/>
          <w:sz w:val="24"/>
          <w:szCs w:val="24"/>
        </w:rPr>
        <w:t>with the exception of</w:t>
      </w:r>
      <w:r>
        <w:rPr>
          <w:rFonts w:ascii="Calibri" w:eastAsia="Calibri" w:hAnsi="Calibri" w:cs="Calibri"/>
          <w:sz w:val="24"/>
          <w:szCs w:val="24"/>
        </w:rPr>
        <w:t xml:space="preserve"> requiring respondents to report information to the agency more often than quarterly. The monthly reporting by contractors will ensure the effective oversight and increased accountability for the return of PIV and access credentials, essential to the security of facilities and USAID information systems.</w:t>
      </w:r>
    </w:p>
    <w:p w:rsidR="00B22736" w14:paraId="5683D643" w14:textId="77777777">
      <w:pPr>
        <w:ind w:left="630" w:hanging="360"/>
        <w:rPr>
          <w:rFonts w:ascii="Calibri" w:eastAsia="Calibri" w:hAnsi="Calibri" w:cs="Calibri"/>
          <w:sz w:val="24"/>
          <w:szCs w:val="24"/>
        </w:rPr>
      </w:pPr>
    </w:p>
    <w:p w:rsidR="00B22736" w14:paraId="1ABFB98F"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 xml:space="preserve">If applicable, provide a copy and identify the date and page number of publication in the Federal Register of the agency's notice, required by 5 CFR 1320.8(d), soliciting </w:t>
      </w:r>
      <w:r>
        <w:rPr>
          <w:rFonts w:ascii="Calibri" w:eastAsia="Calibri" w:hAnsi="Calibri" w:cs="Calibri"/>
          <w:b/>
          <w:color w:val="000000"/>
          <w:sz w:val="24"/>
          <w:szCs w:val="24"/>
        </w:rPr>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22736" w14:paraId="483E6808" w14:textId="77777777">
      <w:pPr>
        <w:ind w:left="630" w:hanging="360"/>
        <w:rPr>
          <w:rFonts w:ascii="Calibri" w:eastAsia="Calibri" w:hAnsi="Calibri" w:cs="Calibri"/>
          <w:sz w:val="24"/>
          <w:szCs w:val="24"/>
        </w:rPr>
      </w:pPr>
    </w:p>
    <w:p w:rsidR="00B22736" w14:paraId="1D29E6E1" w14:textId="77777777">
      <w:pPr>
        <w:ind w:left="630"/>
        <w:rPr>
          <w:rFonts w:ascii="Calibri" w:eastAsia="Calibri" w:hAnsi="Calibri" w:cs="Calibri"/>
          <w:sz w:val="24"/>
          <w:szCs w:val="24"/>
        </w:rPr>
      </w:pPr>
      <w:r>
        <w:rPr>
          <w:rFonts w:ascii="Calibri" w:eastAsia="Calibri" w:hAnsi="Calibri" w:cs="Calibri"/>
          <w:sz w:val="24"/>
          <w:szCs w:val="24"/>
        </w:rPr>
        <w:t xml:space="preserve">USAID published a </w:t>
      </w:r>
      <w:hyperlink r:id="rId10">
        <w:r>
          <w:rPr>
            <w:rFonts w:ascii="Calibri" w:eastAsia="Calibri" w:hAnsi="Calibri" w:cs="Calibri"/>
            <w:color w:val="1155CC"/>
            <w:sz w:val="24"/>
            <w:szCs w:val="24"/>
            <w:u w:val="single"/>
          </w:rPr>
          <w:t>proposed rule</w:t>
        </w:r>
      </w:hyperlink>
      <w:r>
        <w:rPr>
          <w:rFonts w:ascii="Calibri" w:eastAsia="Calibri" w:hAnsi="Calibri" w:cs="Calibri"/>
          <w:sz w:val="24"/>
          <w:szCs w:val="24"/>
        </w:rPr>
        <w:t xml:space="preserve"> in the Federal Register titled “United States Agency for International Development Acquisition Regulation (AIDAR): Security and Information Technology Requirements ” (84 FR 10469). In this proposed rule, USAID solicited public comments on the information collection requirements and associated burden.</w:t>
      </w:r>
    </w:p>
    <w:p w:rsidR="00B22736" w14:paraId="6B8B15C2" w14:textId="77777777">
      <w:pPr>
        <w:ind w:left="630"/>
        <w:rPr>
          <w:rFonts w:ascii="Calibri" w:eastAsia="Calibri" w:hAnsi="Calibri" w:cs="Calibri"/>
          <w:sz w:val="24"/>
          <w:szCs w:val="24"/>
        </w:rPr>
      </w:pPr>
    </w:p>
    <w:p w:rsidR="00B22736" w14:paraId="51CEB361" w14:textId="7F90597B">
      <w:pPr>
        <w:ind w:left="630"/>
        <w:rPr>
          <w:rFonts w:ascii="Calibri" w:eastAsia="Calibri" w:hAnsi="Calibri" w:cs="Calibri"/>
          <w:sz w:val="24"/>
          <w:szCs w:val="24"/>
        </w:rPr>
      </w:pPr>
      <w:r>
        <w:rPr>
          <w:rFonts w:ascii="Calibri" w:eastAsia="Calibri" w:hAnsi="Calibri" w:cs="Calibri"/>
          <w:sz w:val="24"/>
          <w:szCs w:val="24"/>
        </w:rPr>
        <w:t>No comments were received on the information collection requirements outlined in the proposed rule.</w:t>
      </w:r>
      <w:r w:rsidRPr="00F95CE8" w:rsidR="00F95CE8">
        <w:t xml:space="preserve"> </w:t>
      </w:r>
      <w:r w:rsidRPr="00F95CE8" w:rsidR="00F95CE8">
        <w:rPr>
          <w:rFonts w:ascii="Calibri" w:eastAsia="Calibri" w:hAnsi="Calibri" w:cs="Calibri"/>
          <w:sz w:val="24"/>
          <w:szCs w:val="24"/>
        </w:rPr>
        <w:br/>
      </w:r>
      <w:r w:rsidRPr="00F95CE8" w:rsidR="00F95CE8">
        <w:rPr>
          <w:rFonts w:ascii="Calibri" w:eastAsia="Calibri" w:hAnsi="Calibri" w:cs="Calibri"/>
          <w:sz w:val="24"/>
          <w:szCs w:val="24"/>
        </w:rPr>
        <w:br/>
        <w:t xml:space="preserve">USAID published a </w:t>
      </w:r>
      <w:hyperlink r:id="rId11" w:history="1">
        <w:r w:rsidRPr="00F95CE8" w:rsidR="00F95CE8">
          <w:rPr>
            <w:rStyle w:val="Hyperlink"/>
            <w:rFonts w:ascii="Calibri" w:eastAsia="Calibri" w:hAnsi="Calibri" w:cs="Calibri"/>
            <w:sz w:val="24"/>
            <w:szCs w:val="24"/>
          </w:rPr>
          <w:t>final rule</w:t>
        </w:r>
      </w:hyperlink>
      <w:r w:rsidRPr="00F95CE8" w:rsidR="00F95CE8">
        <w:rPr>
          <w:rFonts w:ascii="Calibri" w:eastAsia="Calibri" w:hAnsi="Calibri" w:cs="Calibri"/>
          <w:sz w:val="24"/>
          <w:szCs w:val="24"/>
        </w:rPr>
        <w:t xml:space="preserve"> in the Federal Register titled “USAID Acquisition Regulation (AIDAR): Security and Information Technology Requirements” (89 FR 19754). In this final rule, USAID referenced this information collection and noted that no comments were received.</w:t>
      </w:r>
    </w:p>
    <w:p w:rsidR="00B22736" w14:paraId="01C46C7B" w14:textId="77777777">
      <w:pPr>
        <w:ind w:left="630" w:hanging="360"/>
        <w:rPr>
          <w:rFonts w:ascii="Calibri" w:eastAsia="Calibri" w:hAnsi="Calibri" w:cs="Calibri"/>
          <w:sz w:val="24"/>
          <w:szCs w:val="24"/>
        </w:rPr>
      </w:pPr>
    </w:p>
    <w:p w:rsidR="00B22736" w14:paraId="67824ECC"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any decision to provide any payment or gift to respondents, other than remuneration of contractors or grantees.</w:t>
      </w:r>
    </w:p>
    <w:p w:rsidR="00B22736" w14:paraId="0D15D715" w14:textId="77777777">
      <w:pPr>
        <w:ind w:left="630" w:hanging="360"/>
        <w:rPr>
          <w:rFonts w:ascii="Calibri" w:eastAsia="Calibri" w:hAnsi="Calibri" w:cs="Calibri"/>
          <w:sz w:val="24"/>
          <w:szCs w:val="24"/>
        </w:rPr>
      </w:pPr>
    </w:p>
    <w:p w:rsidR="00B22736" w14:paraId="19E90B7C" w14:textId="77777777">
      <w:pPr>
        <w:ind w:left="630"/>
        <w:rPr>
          <w:rFonts w:ascii="Calibri" w:eastAsia="Calibri" w:hAnsi="Calibri" w:cs="Calibri"/>
          <w:sz w:val="24"/>
          <w:szCs w:val="24"/>
        </w:rPr>
      </w:pPr>
      <w:r>
        <w:rPr>
          <w:rFonts w:ascii="Calibri" w:eastAsia="Calibri" w:hAnsi="Calibri" w:cs="Calibri"/>
          <w:sz w:val="24"/>
          <w:szCs w:val="24"/>
        </w:rPr>
        <w:t>No payment or gift will be provided to respondents, only remuneration to contractors under their contracts.</w:t>
      </w:r>
    </w:p>
    <w:p w:rsidR="00B22736" w14:paraId="1C6A5922" w14:textId="77777777">
      <w:pPr>
        <w:ind w:left="630" w:hanging="360"/>
        <w:rPr>
          <w:rFonts w:ascii="Calibri" w:eastAsia="Calibri" w:hAnsi="Calibri" w:cs="Calibri"/>
          <w:sz w:val="24"/>
          <w:szCs w:val="24"/>
        </w:rPr>
      </w:pPr>
    </w:p>
    <w:p w:rsidR="00B22736" w14:paraId="36EA32F6"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22736" w14:paraId="51B1D764" w14:textId="77777777">
      <w:pPr>
        <w:ind w:left="630" w:hanging="360"/>
        <w:rPr>
          <w:rFonts w:ascii="Calibri" w:eastAsia="Calibri" w:hAnsi="Calibri" w:cs="Calibri"/>
          <w:sz w:val="24"/>
          <w:szCs w:val="24"/>
        </w:rPr>
      </w:pPr>
    </w:p>
    <w:p w:rsidR="00B22736" w14:paraId="2EA0F0DE" w14:textId="77777777">
      <w:pPr>
        <w:ind w:left="630"/>
        <w:rPr>
          <w:rFonts w:ascii="Calibri" w:eastAsia="Calibri" w:hAnsi="Calibri" w:cs="Calibri"/>
          <w:sz w:val="24"/>
          <w:szCs w:val="24"/>
        </w:rPr>
      </w:pPr>
      <w:r>
        <w:rPr>
          <w:rFonts w:ascii="Calibri" w:eastAsia="Calibri" w:hAnsi="Calibri" w:cs="Calibri"/>
          <w:sz w:val="24"/>
          <w:szCs w:val="24"/>
        </w:rPr>
        <w:t>This information is disclosed only to the extent consistent with prudent business practices and current regulations.</w:t>
      </w:r>
    </w:p>
    <w:p w:rsidR="00B22736" w14:paraId="6F4550CF" w14:textId="77777777">
      <w:pPr>
        <w:ind w:left="630" w:hanging="360"/>
        <w:rPr>
          <w:rFonts w:ascii="Calibri" w:eastAsia="Calibri" w:hAnsi="Calibri" w:cs="Calibri"/>
          <w:sz w:val="24"/>
          <w:szCs w:val="24"/>
        </w:rPr>
      </w:pPr>
    </w:p>
    <w:p w:rsidR="00B22736" w14:paraId="5139FF12"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2736" w14:paraId="38FB48B4" w14:textId="77777777">
      <w:pPr>
        <w:ind w:left="630" w:hanging="360"/>
        <w:rPr>
          <w:rFonts w:ascii="Calibri" w:eastAsia="Calibri" w:hAnsi="Calibri" w:cs="Calibri"/>
          <w:sz w:val="24"/>
          <w:szCs w:val="24"/>
        </w:rPr>
      </w:pPr>
    </w:p>
    <w:p w:rsidR="00B22736" w14:paraId="1B210233" w14:textId="77777777">
      <w:pPr>
        <w:ind w:left="630"/>
        <w:rPr>
          <w:rFonts w:ascii="Calibri" w:eastAsia="Calibri" w:hAnsi="Calibri" w:cs="Calibri"/>
          <w:sz w:val="24"/>
          <w:szCs w:val="24"/>
        </w:rPr>
      </w:pPr>
      <w:r>
        <w:rPr>
          <w:rFonts w:ascii="Calibri" w:eastAsia="Calibri" w:hAnsi="Calibri" w:cs="Calibri"/>
          <w:sz w:val="24"/>
          <w:szCs w:val="24"/>
        </w:rPr>
        <w:t>No questions of a sensitive nature are included in this information collection.</w:t>
      </w:r>
    </w:p>
    <w:p w:rsidR="00B22736" w14:paraId="5C5E2C14" w14:textId="77777777">
      <w:pPr>
        <w:ind w:left="630" w:hanging="360"/>
        <w:rPr>
          <w:rFonts w:ascii="Calibri" w:eastAsia="Calibri" w:hAnsi="Calibri" w:cs="Calibri"/>
          <w:sz w:val="24"/>
          <w:szCs w:val="24"/>
        </w:rPr>
      </w:pPr>
    </w:p>
    <w:p w:rsidR="00B22736" w14:paraId="23CDD508"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estimates of the hour burden of the collection of information.</w:t>
      </w:r>
    </w:p>
    <w:p w:rsidR="00B22736" w14:paraId="2A725E9D" w14:textId="77777777">
      <w:pPr>
        <w:rPr>
          <w:rFonts w:ascii="Calibri" w:eastAsia="Calibri" w:hAnsi="Calibri" w:cs="Calibri"/>
          <w:sz w:val="24"/>
          <w:szCs w:val="24"/>
        </w:rPr>
      </w:pPr>
    </w:p>
    <w:p w:rsidR="00B22736" w14:paraId="00A46430" w14:textId="77777777">
      <w:pPr>
        <w:ind w:left="630"/>
        <w:rPr>
          <w:rFonts w:ascii="Calibri" w:eastAsia="Calibri" w:hAnsi="Calibri" w:cs="Calibri"/>
          <w:sz w:val="24"/>
          <w:szCs w:val="24"/>
        </w:rPr>
      </w:pPr>
      <w:r>
        <w:rPr>
          <w:rFonts w:ascii="Calibri" w:eastAsia="Calibri" w:hAnsi="Calibri" w:cs="Calibri"/>
          <w:sz w:val="24"/>
          <w:szCs w:val="24"/>
        </w:rPr>
        <w:t xml:space="preserve">The estimated cost to the public is based on the estimated number of contracts that are </w:t>
      </w:r>
      <w:r>
        <w:rPr>
          <w:rFonts w:ascii="Calibri" w:eastAsia="Calibri" w:hAnsi="Calibri" w:cs="Calibri"/>
          <w:sz w:val="24"/>
          <w:szCs w:val="24"/>
        </w:rPr>
        <w:t>currently in effect at the Agency, with estimated annual salaries extrapolated from a staffing report submitted to Congress by the Agency. The staffing report provided an analysis on estimated annual salaries which was used to develop the estimated financial burden for providing USAID with a staffing report upon award of the contract, and monthly thereafter.</w:t>
      </w:r>
    </w:p>
    <w:p w:rsidR="00B22736" w14:paraId="3DA42CED" w14:textId="77777777">
      <w:pPr>
        <w:ind w:left="630"/>
        <w:rPr>
          <w:rFonts w:ascii="Calibri" w:eastAsia="Calibri" w:hAnsi="Calibri" w:cs="Calibri"/>
          <w:sz w:val="24"/>
          <w:szCs w:val="24"/>
        </w:rPr>
      </w:pPr>
    </w:p>
    <w:p w:rsidR="00B22736" w14:paraId="5E5C4F5F" w14:textId="65DAF40D">
      <w:pPr>
        <w:ind w:left="630"/>
        <w:rPr>
          <w:rFonts w:ascii="Calibri" w:eastAsia="Calibri" w:hAnsi="Calibri" w:cs="Calibri"/>
          <w:sz w:val="24"/>
          <w:szCs w:val="24"/>
        </w:rPr>
      </w:pPr>
      <w:r>
        <w:rPr>
          <w:rFonts w:ascii="Calibri" w:eastAsia="Calibri" w:hAnsi="Calibri" w:cs="Calibri"/>
          <w:sz w:val="24"/>
          <w:szCs w:val="24"/>
        </w:rPr>
        <w:t>We extrapolated that the on-boarding list at contract award could be developed in approximately eight (8) business hours by a mid-level human resources professional. Maintenance and updating of the contractor staffing report would require minimal effort by the contractors and if maintained should be able to be updated in approximately two (2) hours per month. Based on that data, USAID developed an estimated annual cost to the respondents.</w:t>
      </w:r>
    </w:p>
    <w:p w:rsidR="00B22736" w14:paraId="165DDB90" w14:textId="77777777">
      <w:pPr>
        <w:widowControl/>
        <w:spacing w:line="276" w:lineRule="auto"/>
        <w:ind w:left="720"/>
        <w:rPr>
          <w:rFonts w:ascii="Arial" w:eastAsia="Arial" w:hAnsi="Arial" w:cs="Arial"/>
        </w:rPr>
      </w:pPr>
    </w:p>
    <w:tbl>
      <w:tblPr>
        <w:tblStyle w:val="a"/>
        <w:tblW w:w="8670"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80"/>
        <w:gridCol w:w="1890"/>
      </w:tblGrid>
      <w:tr w14:paraId="4C1B99F8" w14:textId="77777777">
        <w:tblPrEx>
          <w:tblW w:w="8670"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80"/>
        </w:trPr>
        <w:tc>
          <w:tcPr>
            <w:tcW w:w="8670" w:type="dxa"/>
            <w:gridSpan w:val="2"/>
            <w:vAlign w:val="center"/>
          </w:tcPr>
          <w:p w:rsidR="00B22736" w14:paraId="29BCD3F1" w14:textId="77777777">
            <w:pPr>
              <w:rPr>
                <w:sz w:val="24"/>
                <w:szCs w:val="24"/>
              </w:rPr>
            </w:pPr>
            <w:r>
              <w:rPr>
                <w:rFonts w:ascii="Calibri" w:eastAsia="Calibri" w:hAnsi="Calibri" w:cs="Calibri"/>
                <w:sz w:val="24"/>
                <w:szCs w:val="24"/>
              </w:rPr>
              <w:t>Estimated Burden: Information Collection under AIDAR 752.204-72, “Access to USAID Facilities and USAID’s Information Systems”</w:t>
            </w:r>
          </w:p>
        </w:tc>
      </w:tr>
      <w:tr w14:paraId="604AF797" w14:textId="77777777">
        <w:tblPrEx>
          <w:tblW w:w="8670" w:type="dxa"/>
          <w:tblInd w:w="600" w:type="dxa"/>
          <w:tblLayout w:type="fixed"/>
          <w:tblLook w:val="0000"/>
        </w:tblPrEx>
        <w:trPr>
          <w:trHeight w:val="380"/>
        </w:trPr>
        <w:tc>
          <w:tcPr>
            <w:tcW w:w="6780" w:type="dxa"/>
            <w:vAlign w:val="center"/>
          </w:tcPr>
          <w:p w:rsidR="00B22736" w14:paraId="59EE9BA1" w14:textId="77777777">
            <w:pPr>
              <w:pBdr>
                <w:top w:val="nil"/>
                <w:left w:val="nil"/>
                <w:bottom w:val="nil"/>
                <w:right w:val="nil"/>
                <w:between w:val="nil"/>
              </w:pBdr>
              <w:rPr>
                <w:rFonts w:ascii="Calibri" w:eastAsia="Calibri" w:hAnsi="Calibri" w:cs="Calibri"/>
                <w:sz w:val="24"/>
                <w:szCs w:val="24"/>
              </w:rPr>
            </w:pPr>
            <w:bookmarkStart w:id="0" w:name="kix.lxk0l5k7vxjo" w:colFirst="0" w:colLast="0"/>
            <w:bookmarkEnd w:id="0"/>
            <w:r>
              <w:rPr>
                <w:rFonts w:ascii="Calibri" w:eastAsia="Calibri" w:hAnsi="Calibri" w:cs="Calibri"/>
                <w:sz w:val="24"/>
                <w:szCs w:val="24"/>
              </w:rPr>
              <w:t xml:space="preserve">Number of respondents </w:t>
            </w:r>
          </w:p>
        </w:tc>
        <w:tc>
          <w:tcPr>
            <w:tcW w:w="1890" w:type="dxa"/>
            <w:vAlign w:val="center"/>
          </w:tcPr>
          <w:p w:rsidR="00B22736" w14:paraId="31D555D7" w14:textId="77777777">
            <w:pPr>
              <w:pBdr>
                <w:top w:val="nil"/>
                <w:left w:val="nil"/>
                <w:bottom w:val="nil"/>
                <w:right w:val="nil"/>
                <w:between w:val="nil"/>
              </w:pBdr>
              <w:jc w:val="right"/>
              <w:rPr>
                <w:rFonts w:ascii="Calibri" w:eastAsia="Calibri" w:hAnsi="Calibri" w:cs="Calibri"/>
                <w:sz w:val="24"/>
                <w:szCs w:val="24"/>
              </w:rPr>
            </w:pPr>
            <w:r>
              <w:rPr>
                <w:rFonts w:ascii="Calibri" w:eastAsia="Calibri" w:hAnsi="Calibri" w:cs="Calibri"/>
                <w:sz w:val="24"/>
                <w:szCs w:val="24"/>
              </w:rPr>
              <w:t>138</w:t>
            </w:r>
          </w:p>
        </w:tc>
      </w:tr>
      <w:tr w14:paraId="276276E6" w14:textId="77777777">
        <w:tblPrEx>
          <w:tblW w:w="8670" w:type="dxa"/>
          <w:tblInd w:w="600" w:type="dxa"/>
          <w:tblLayout w:type="fixed"/>
          <w:tblLook w:val="0000"/>
        </w:tblPrEx>
        <w:trPr>
          <w:trHeight w:val="420"/>
        </w:trPr>
        <w:tc>
          <w:tcPr>
            <w:tcW w:w="6780" w:type="dxa"/>
            <w:vAlign w:val="center"/>
          </w:tcPr>
          <w:p w:rsidR="00B22736" w14:paraId="37093792" w14:textId="27EA829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Responses per respondent (annually)</w:t>
            </w:r>
          </w:p>
        </w:tc>
        <w:tc>
          <w:tcPr>
            <w:tcW w:w="1890" w:type="dxa"/>
            <w:vAlign w:val="center"/>
          </w:tcPr>
          <w:p w:rsidR="00B22736" w14:paraId="77A59C1A" w14:textId="47D2E4BB">
            <w:pPr>
              <w:pBdr>
                <w:top w:val="nil"/>
                <w:left w:val="nil"/>
                <w:bottom w:val="nil"/>
                <w:right w:val="nil"/>
                <w:between w:val="nil"/>
              </w:pBdr>
              <w:jc w:val="right"/>
              <w:rPr>
                <w:rFonts w:ascii="Calibri" w:eastAsia="Calibri" w:hAnsi="Calibri" w:cs="Calibri"/>
                <w:sz w:val="24"/>
                <w:szCs w:val="24"/>
              </w:rPr>
            </w:pPr>
            <w:r>
              <w:rPr>
                <w:rFonts w:ascii="Calibri" w:eastAsia="Calibri" w:hAnsi="Calibri" w:cs="Calibri"/>
                <w:sz w:val="24"/>
                <w:szCs w:val="24"/>
              </w:rPr>
              <w:t>12</w:t>
            </w:r>
          </w:p>
        </w:tc>
      </w:tr>
      <w:tr w14:paraId="33D6BF3D" w14:textId="77777777">
        <w:tblPrEx>
          <w:tblW w:w="8670" w:type="dxa"/>
          <w:tblInd w:w="600" w:type="dxa"/>
          <w:tblLayout w:type="fixed"/>
          <w:tblLook w:val="0000"/>
        </w:tblPrEx>
        <w:trPr>
          <w:trHeight w:val="420"/>
        </w:trPr>
        <w:tc>
          <w:tcPr>
            <w:tcW w:w="6780" w:type="dxa"/>
            <w:vAlign w:val="center"/>
          </w:tcPr>
          <w:p w:rsidR="00B22736" w14:paraId="07782D4D" w14:textId="77777777">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Number of responses </w:t>
            </w:r>
          </w:p>
        </w:tc>
        <w:tc>
          <w:tcPr>
            <w:tcW w:w="1890" w:type="dxa"/>
            <w:vAlign w:val="center"/>
          </w:tcPr>
          <w:p w:rsidR="00B22736" w14:paraId="286E8AFC" w14:textId="6CD17CA3">
            <w:pPr>
              <w:pBdr>
                <w:top w:val="nil"/>
                <w:left w:val="nil"/>
                <w:bottom w:val="nil"/>
                <w:right w:val="nil"/>
                <w:between w:val="nil"/>
              </w:pBdr>
              <w:jc w:val="right"/>
              <w:rPr>
                <w:rFonts w:ascii="Calibri" w:eastAsia="Calibri" w:hAnsi="Calibri" w:cs="Calibri"/>
                <w:sz w:val="24"/>
                <w:szCs w:val="24"/>
              </w:rPr>
            </w:pPr>
            <w:r>
              <w:rPr>
                <w:rFonts w:ascii="Calibri" w:eastAsia="Calibri" w:hAnsi="Calibri" w:cs="Calibri"/>
                <w:sz w:val="24"/>
                <w:szCs w:val="24"/>
              </w:rPr>
              <w:t>1,656</w:t>
            </w:r>
          </w:p>
        </w:tc>
      </w:tr>
      <w:tr w14:paraId="7AE4B020" w14:textId="77777777">
        <w:tblPrEx>
          <w:tblW w:w="8670" w:type="dxa"/>
          <w:tblInd w:w="600" w:type="dxa"/>
          <w:tblLayout w:type="fixed"/>
          <w:tblLook w:val="0000"/>
        </w:tblPrEx>
        <w:trPr>
          <w:trHeight w:val="440"/>
        </w:trPr>
        <w:tc>
          <w:tcPr>
            <w:tcW w:w="6780" w:type="dxa"/>
            <w:vAlign w:val="center"/>
          </w:tcPr>
          <w:p w:rsidR="00B22736" w14:paraId="50734AE5" w14:textId="77777777">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Hours per response (approximately)</w:t>
            </w:r>
          </w:p>
        </w:tc>
        <w:tc>
          <w:tcPr>
            <w:tcW w:w="1890" w:type="dxa"/>
            <w:vAlign w:val="center"/>
          </w:tcPr>
          <w:p w:rsidR="00B22736" w14:paraId="720D14D2" w14:textId="77777777">
            <w:pPr>
              <w:pBdr>
                <w:top w:val="nil"/>
                <w:left w:val="nil"/>
                <w:bottom w:val="nil"/>
                <w:right w:val="nil"/>
                <w:between w:val="nil"/>
              </w:pBdr>
              <w:jc w:val="right"/>
              <w:rPr>
                <w:rFonts w:ascii="Calibri" w:eastAsia="Calibri" w:hAnsi="Calibri" w:cs="Calibri"/>
                <w:sz w:val="24"/>
                <w:szCs w:val="24"/>
              </w:rPr>
            </w:pPr>
            <w:r>
              <w:rPr>
                <w:rFonts w:ascii="Calibri" w:eastAsia="Calibri" w:hAnsi="Calibri" w:cs="Calibri"/>
                <w:sz w:val="24"/>
                <w:szCs w:val="24"/>
              </w:rPr>
              <w:t>2</w:t>
            </w:r>
          </w:p>
        </w:tc>
      </w:tr>
      <w:tr w14:paraId="70215C41" w14:textId="77777777">
        <w:tblPrEx>
          <w:tblW w:w="8670" w:type="dxa"/>
          <w:tblInd w:w="600" w:type="dxa"/>
          <w:tblLayout w:type="fixed"/>
          <w:tblLook w:val="0000"/>
        </w:tblPrEx>
        <w:trPr>
          <w:trHeight w:val="440"/>
        </w:trPr>
        <w:tc>
          <w:tcPr>
            <w:tcW w:w="6780" w:type="dxa"/>
            <w:vAlign w:val="center"/>
          </w:tcPr>
          <w:p w:rsidR="00B22736" w14:paraId="3245B4EF" w14:textId="77777777">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Total estimated hours annually</w:t>
            </w:r>
          </w:p>
        </w:tc>
        <w:tc>
          <w:tcPr>
            <w:tcW w:w="1890" w:type="dxa"/>
            <w:vAlign w:val="center"/>
          </w:tcPr>
          <w:p w:rsidR="00B22736" w14:paraId="373B11A9" w14:textId="77777777">
            <w:pPr>
              <w:pBdr>
                <w:top w:val="nil"/>
                <w:left w:val="nil"/>
                <w:bottom w:val="nil"/>
                <w:right w:val="nil"/>
                <w:between w:val="nil"/>
              </w:pBdr>
              <w:jc w:val="right"/>
              <w:rPr>
                <w:rFonts w:ascii="Calibri" w:eastAsia="Calibri" w:hAnsi="Calibri" w:cs="Calibri"/>
                <w:sz w:val="24"/>
                <w:szCs w:val="24"/>
              </w:rPr>
            </w:pPr>
            <w:r>
              <w:rPr>
                <w:rFonts w:ascii="Calibri" w:eastAsia="Calibri" w:hAnsi="Calibri" w:cs="Calibri"/>
                <w:sz w:val="24"/>
                <w:szCs w:val="24"/>
              </w:rPr>
              <w:t>3,312</w:t>
            </w:r>
          </w:p>
        </w:tc>
      </w:tr>
      <w:tr w14:paraId="1DD6341F" w14:textId="77777777">
        <w:tblPrEx>
          <w:tblW w:w="8670" w:type="dxa"/>
          <w:tblInd w:w="600" w:type="dxa"/>
          <w:tblLayout w:type="fixed"/>
          <w:tblLook w:val="0000"/>
        </w:tblPrEx>
        <w:trPr>
          <w:trHeight w:val="420"/>
        </w:trPr>
        <w:tc>
          <w:tcPr>
            <w:tcW w:w="6780" w:type="dxa"/>
            <w:vAlign w:val="center"/>
          </w:tcPr>
          <w:p w:rsidR="00B22736" w14:paraId="4ADD1DFA" w14:textId="77777777">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Cost per hour (hourly wage)</w:t>
            </w:r>
          </w:p>
        </w:tc>
        <w:tc>
          <w:tcPr>
            <w:tcW w:w="1890" w:type="dxa"/>
            <w:vAlign w:val="center"/>
          </w:tcPr>
          <w:p w:rsidR="00B22736" w14:paraId="1FD3DD1C" w14:textId="77777777">
            <w:pPr>
              <w:pBdr>
                <w:top w:val="nil"/>
                <w:left w:val="nil"/>
                <w:bottom w:val="nil"/>
                <w:right w:val="nil"/>
                <w:between w:val="nil"/>
              </w:pBdr>
              <w:jc w:val="right"/>
              <w:rPr>
                <w:rFonts w:ascii="Calibri" w:eastAsia="Calibri" w:hAnsi="Calibri" w:cs="Calibri"/>
                <w:sz w:val="24"/>
                <w:szCs w:val="24"/>
              </w:rPr>
            </w:pPr>
            <w:r>
              <w:rPr>
                <w:rFonts w:ascii="Calibri" w:eastAsia="Calibri" w:hAnsi="Calibri" w:cs="Calibri"/>
                <w:sz w:val="24"/>
                <w:szCs w:val="24"/>
              </w:rPr>
              <w:t>$49.40</w:t>
            </w:r>
          </w:p>
        </w:tc>
      </w:tr>
      <w:tr w14:paraId="6B62B3A4" w14:textId="77777777">
        <w:tblPrEx>
          <w:tblW w:w="8670" w:type="dxa"/>
          <w:tblInd w:w="600" w:type="dxa"/>
          <w:tblLayout w:type="fixed"/>
          <w:tblLook w:val="0000"/>
        </w:tblPrEx>
        <w:trPr>
          <w:trHeight w:val="440"/>
        </w:trPr>
        <w:tc>
          <w:tcPr>
            <w:tcW w:w="6780" w:type="dxa"/>
            <w:vAlign w:val="center"/>
          </w:tcPr>
          <w:p w:rsidR="00B22736" w14:paraId="3D9A3E89" w14:textId="77777777">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Annual public burden (reporting)</w:t>
            </w:r>
          </w:p>
        </w:tc>
        <w:tc>
          <w:tcPr>
            <w:tcW w:w="1890" w:type="dxa"/>
            <w:vAlign w:val="center"/>
          </w:tcPr>
          <w:p w:rsidR="00B22736" w14:paraId="615DED3A" w14:textId="77777777">
            <w:pPr>
              <w:pBdr>
                <w:top w:val="nil"/>
                <w:left w:val="nil"/>
                <w:bottom w:val="nil"/>
                <w:right w:val="nil"/>
                <w:between w:val="nil"/>
              </w:pBdr>
              <w:jc w:val="right"/>
              <w:rPr>
                <w:rFonts w:ascii="Calibri" w:eastAsia="Calibri" w:hAnsi="Calibri" w:cs="Calibri"/>
                <w:sz w:val="24"/>
                <w:szCs w:val="24"/>
              </w:rPr>
            </w:pPr>
            <w:r>
              <w:rPr>
                <w:rFonts w:ascii="Calibri" w:eastAsia="Calibri" w:hAnsi="Calibri" w:cs="Calibri"/>
                <w:sz w:val="24"/>
                <w:szCs w:val="24"/>
              </w:rPr>
              <w:t>$163,612</w:t>
            </w:r>
          </w:p>
        </w:tc>
      </w:tr>
    </w:tbl>
    <w:p w:rsidR="00B22736" w14:paraId="44929828" w14:textId="77777777">
      <w:pPr>
        <w:widowControl/>
        <w:tabs>
          <w:tab w:val="left" w:pos="360"/>
          <w:tab w:val="left" w:pos="720"/>
          <w:tab w:val="left" w:pos="1080"/>
          <w:tab w:val="left" w:pos="1440"/>
        </w:tabs>
        <w:rPr>
          <w:rFonts w:ascii="Calibri" w:eastAsia="Calibri" w:hAnsi="Calibri" w:cs="Calibri"/>
          <w:sz w:val="24"/>
          <w:szCs w:val="24"/>
        </w:rPr>
      </w:pPr>
      <w:bookmarkStart w:id="1" w:name="kix.vptw87panor5" w:colFirst="0" w:colLast="0"/>
      <w:bookmarkEnd w:id="1"/>
      <w:r>
        <w:rPr>
          <w:sz w:val="24"/>
          <w:szCs w:val="24"/>
        </w:rPr>
        <w:tab/>
      </w:r>
    </w:p>
    <w:p w:rsidR="00B22736" w14:paraId="46E420DB"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B22736" w14:paraId="38CD41BC" w14:textId="77777777">
      <w:pPr>
        <w:ind w:left="630" w:hanging="360"/>
        <w:rPr>
          <w:rFonts w:ascii="Calibri" w:eastAsia="Calibri" w:hAnsi="Calibri" w:cs="Calibri"/>
          <w:sz w:val="24"/>
          <w:szCs w:val="24"/>
        </w:rPr>
      </w:pPr>
    </w:p>
    <w:p w:rsidR="00B22736" w14:paraId="355F8A69" w14:textId="77777777">
      <w:pPr>
        <w:ind w:left="630"/>
        <w:rPr>
          <w:rFonts w:ascii="Calibri" w:eastAsia="Calibri" w:hAnsi="Calibri" w:cs="Calibri"/>
          <w:sz w:val="24"/>
          <w:szCs w:val="24"/>
        </w:rPr>
      </w:pPr>
      <w:r>
        <w:rPr>
          <w:rFonts w:ascii="Calibri" w:eastAsia="Calibri" w:hAnsi="Calibri" w:cs="Calibri"/>
          <w:sz w:val="24"/>
          <w:szCs w:val="24"/>
        </w:rPr>
        <w:t>See table above.</w:t>
      </w:r>
    </w:p>
    <w:p w:rsidR="00B22736" w14:paraId="2D4DB211" w14:textId="77777777">
      <w:pPr>
        <w:ind w:left="630" w:hanging="360"/>
        <w:rPr>
          <w:rFonts w:ascii="Calibri" w:eastAsia="Calibri" w:hAnsi="Calibri" w:cs="Calibri"/>
          <w:sz w:val="24"/>
          <w:szCs w:val="24"/>
        </w:rPr>
      </w:pPr>
    </w:p>
    <w:p w:rsidR="00B22736" w14:paraId="18B4FA70"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If there will be no costs beyond the normal labor costs for staff, state that here.</w:t>
      </w:r>
    </w:p>
    <w:p w:rsidR="00B22736" w14:paraId="71F8605E" w14:textId="77777777">
      <w:pPr>
        <w:ind w:left="630" w:hanging="360"/>
        <w:rPr>
          <w:rFonts w:ascii="Calibri" w:eastAsia="Calibri" w:hAnsi="Calibri" w:cs="Calibri"/>
          <w:sz w:val="24"/>
          <w:szCs w:val="24"/>
        </w:rPr>
      </w:pPr>
    </w:p>
    <w:p w:rsidR="00B22736" w14:paraId="6095F38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sz w:val="24"/>
          <w:szCs w:val="24"/>
        </w:rPr>
      </w:pPr>
    </w:p>
    <w:tbl>
      <w:tblPr>
        <w:tblStyle w:val="a0"/>
        <w:tblW w:w="95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770"/>
        <w:gridCol w:w="1470"/>
        <w:gridCol w:w="2010"/>
        <w:gridCol w:w="1980"/>
        <w:gridCol w:w="2280"/>
      </w:tblGrid>
      <w:tr w14:paraId="13289391" w14:textId="77777777">
        <w:tblPrEx>
          <w:tblW w:w="95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Ex>
        <w:trPr>
          <w:trHeight w:val="280"/>
        </w:trPr>
        <w:tc>
          <w:tcPr>
            <w:tcW w:w="9510" w:type="dxa"/>
            <w:gridSpan w:val="5"/>
          </w:tcPr>
          <w:p w:rsidR="00B22736" w14:paraId="73AB715B" w14:textId="77777777">
            <w:pPr>
              <w:widowControl/>
              <w:spacing w:line="276" w:lineRule="auto"/>
              <w:jc w:val="center"/>
              <w:rPr>
                <w:rFonts w:ascii="Calibri" w:eastAsia="Calibri" w:hAnsi="Calibri" w:cs="Calibri"/>
                <w:b/>
              </w:rPr>
            </w:pPr>
            <w:r>
              <w:rPr>
                <w:rFonts w:ascii="Calibri" w:eastAsia="Calibri" w:hAnsi="Calibri" w:cs="Calibri"/>
                <w:b/>
              </w:rPr>
              <w:t>Estimation of Burden Hours: 752.204-9 - Reporting</w:t>
            </w:r>
          </w:p>
        </w:tc>
      </w:tr>
      <w:tr w14:paraId="40AF19CF" w14:textId="77777777">
        <w:tblPrEx>
          <w:tblW w:w="9510" w:type="dxa"/>
          <w:tblInd w:w="-370" w:type="dxa"/>
          <w:tblLayout w:type="fixed"/>
          <w:tblLook w:val="0000"/>
        </w:tblPrEx>
        <w:tc>
          <w:tcPr>
            <w:tcW w:w="1770" w:type="dxa"/>
            <w:vMerge w:val="restart"/>
          </w:tcPr>
          <w:p w:rsidR="00B22736" w14:paraId="16B1DD8C" w14:textId="77777777">
            <w:pPr>
              <w:widowControl/>
              <w:spacing w:line="276" w:lineRule="auto"/>
              <w:ind w:left="113" w:right="113"/>
              <w:jc w:val="center"/>
              <w:rPr>
                <w:rFonts w:ascii="Calibri" w:eastAsia="Calibri" w:hAnsi="Calibri" w:cs="Calibri"/>
              </w:rPr>
            </w:pPr>
            <w:r>
              <w:rPr>
                <w:rFonts w:ascii="Calibri" w:eastAsia="Calibri" w:hAnsi="Calibri" w:cs="Calibri"/>
                <w:b/>
              </w:rPr>
              <w:t>Contract Award List of Proposed Contract Support</w:t>
            </w:r>
          </w:p>
        </w:tc>
        <w:tc>
          <w:tcPr>
            <w:tcW w:w="1470" w:type="dxa"/>
            <w:tcMar>
              <w:top w:w="100" w:type="dxa"/>
              <w:left w:w="100" w:type="dxa"/>
              <w:bottom w:w="100" w:type="dxa"/>
              <w:right w:w="100" w:type="dxa"/>
            </w:tcMar>
          </w:tcPr>
          <w:p w:rsidR="00B22736" w14:paraId="408CFC5B" w14:textId="77777777">
            <w:pPr>
              <w:widowControl/>
              <w:spacing w:line="276" w:lineRule="auto"/>
              <w:rPr>
                <w:rFonts w:ascii="Calibri" w:eastAsia="Calibri" w:hAnsi="Calibri" w:cs="Calibri"/>
              </w:rPr>
            </w:pPr>
            <w:r>
              <w:rPr>
                <w:rFonts w:ascii="Calibri" w:eastAsia="Calibri" w:hAnsi="Calibri" w:cs="Calibri"/>
                <w:b/>
              </w:rPr>
              <w:t xml:space="preserve">Number of Contractors </w:t>
            </w:r>
          </w:p>
        </w:tc>
        <w:tc>
          <w:tcPr>
            <w:tcW w:w="2010" w:type="dxa"/>
            <w:tcMar>
              <w:top w:w="100" w:type="dxa"/>
              <w:left w:w="100" w:type="dxa"/>
              <w:bottom w:w="100" w:type="dxa"/>
              <w:right w:w="100" w:type="dxa"/>
            </w:tcMar>
          </w:tcPr>
          <w:p w:rsidR="00B22736" w14:paraId="7BBA073F" w14:textId="77777777">
            <w:pPr>
              <w:widowControl/>
              <w:spacing w:line="276" w:lineRule="auto"/>
              <w:rPr>
                <w:rFonts w:ascii="Calibri" w:eastAsia="Calibri" w:hAnsi="Calibri" w:cs="Calibri"/>
              </w:rPr>
            </w:pPr>
            <w:r>
              <w:rPr>
                <w:rFonts w:ascii="Calibri" w:eastAsia="Calibri" w:hAnsi="Calibri" w:cs="Calibri"/>
                <w:b/>
              </w:rPr>
              <w:t xml:space="preserve">Contract Award: List of Employees Level of Effort (LOE) </w:t>
            </w:r>
          </w:p>
        </w:tc>
        <w:tc>
          <w:tcPr>
            <w:tcW w:w="1980" w:type="dxa"/>
            <w:tcMar>
              <w:top w:w="100" w:type="dxa"/>
              <w:left w:w="100" w:type="dxa"/>
              <w:bottom w:w="100" w:type="dxa"/>
              <w:right w:w="100" w:type="dxa"/>
            </w:tcMar>
          </w:tcPr>
          <w:p w:rsidR="00B22736" w14:paraId="2AB4F413" w14:textId="77777777">
            <w:pPr>
              <w:widowControl/>
              <w:spacing w:line="276" w:lineRule="auto"/>
              <w:rPr>
                <w:rFonts w:ascii="Calibri" w:eastAsia="Calibri" w:hAnsi="Calibri" w:cs="Calibri"/>
              </w:rPr>
            </w:pPr>
            <w:r>
              <w:rPr>
                <w:rFonts w:ascii="Calibri" w:eastAsia="Calibri" w:hAnsi="Calibri" w:cs="Calibri"/>
                <w:b/>
              </w:rPr>
              <w:t>Estimated</w:t>
            </w:r>
          </w:p>
          <w:p w:rsidR="00B22736" w14:paraId="7B043DDD" w14:textId="77777777">
            <w:pPr>
              <w:widowControl/>
              <w:spacing w:line="276" w:lineRule="auto"/>
              <w:rPr>
                <w:rFonts w:ascii="Calibri" w:eastAsia="Calibri" w:hAnsi="Calibri" w:cs="Calibri"/>
              </w:rPr>
            </w:pPr>
            <w:r>
              <w:rPr>
                <w:rFonts w:ascii="Calibri" w:eastAsia="Calibri" w:hAnsi="Calibri" w:cs="Calibri"/>
                <w:b/>
              </w:rPr>
              <w:t xml:space="preserve">One-time Financial Impact to Contractor </w:t>
            </w:r>
          </w:p>
          <w:p w:rsidR="00B22736" w14:paraId="6CC633A1" w14:textId="77777777">
            <w:pPr>
              <w:widowControl/>
              <w:spacing w:line="276" w:lineRule="auto"/>
              <w:rPr>
                <w:rFonts w:ascii="Calibri" w:eastAsia="Calibri" w:hAnsi="Calibri" w:cs="Calibri"/>
              </w:rPr>
            </w:pPr>
            <w:r>
              <w:rPr>
                <w:rFonts w:ascii="Calibri" w:eastAsia="Calibri" w:hAnsi="Calibri" w:cs="Calibri"/>
                <w:b/>
              </w:rPr>
              <w:t>(GS 11 - 13 hourly rate)</w:t>
            </w:r>
          </w:p>
        </w:tc>
        <w:tc>
          <w:tcPr>
            <w:tcW w:w="2280" w:type="dxa"/>
            <w:tcMar>
              <w:top w:w="100" w:type="dxa"/>
              <w:left w:w="100" w:type="dxa"/>
              <w:bottom w:w="100" w:type="dxa"/>
              <w:right w:w="100" w:type="dxa"/>
            </w:tcMar>
          </w:tcPr>
          <w:p w:rsidR="00B22736" w14:paraId="0AB79A82" w14:textId="77777777">
            <w:pPr>
              <w:widowControl/>
              <w:spacing w:line="276" w:lineRule="auto"/>
              <w:rPr>
                <w:rFonts w:ascii="Calibri" w:eastAsia="Calibri" w:hAnsi="Calibri" w:cs="Calibri"/>
              </w:rPr>
            </w:pPr>
            <w:r>
              <w:rPr>
                <w:rFonts w:ascii="Calibri" w:eastAsia="Calibri" w:hAnsi="Calibri" w:cs="Calibri"/>
                <w:b/>
              </w:rPr>
              <w:t xml:space="preserve">Estimated One-Time Financial Impact to All Contractors </w:t>
            </w:r>
          </w:p>
        </w:tc>
      </w:tr>
      <w:tr w14:paraId="798E6B9C" w14:textId="77777777">
        <w:tblPrEx>
          <w:tblW w:w="9510" w:type="dxa"/>
          <w:tblInd w:w="-370" w:type="dxa"/>
          <w:tblLayout w:type="fixed"/>
          <w:tblLook w:val="0000"/>
        </w:tblPrEx>
        <w:tc>
          <w:tcPr>
            <w:tcW w:w="1770" w:type="dxa"/>
            <w:vMerge/>
          </w:tcPr>
          <w:p w:rsidR="00B22736" w14:paraId="187DF6F7" w14:textId="77777777">
            <w:pPr>
              <w:spacing w:line="276" w:lineRule="auto"/>
              <w:rPr>
                <w:rFonts w:ascii="Arial" w:eastAsia="Arial" w:hAnsi="Arial" w:cs="Arial"/>
              </w:rPr>
            </w:pPr>
          </w:p>
        </w:tc>
        <w:tc>
          <w:tcPr>
            <w:tcW w:w="1470" w:type="dxa"/>
            <w:tcMar>
              <w:top w:w="100" w:type="dxa"/>
              <w:left w:w="100" w:type="dxa"/>
              <w:bottom w:w="100" w:type="dxa"/>
              <w:right w:w="100" w:type="dxa"/>
            </w:tcMar>
          </w:tcPr>
          <w:p w:rsidR="00B22736" w14:paraId="33781043" w14:textId="77777777">
            <w:pPr>
              <w:widowControl/>
              <w:spacing w:line="276" w:lineRule="auto"/>
              <w:rPr>
                <w:rFonts w:ascii="Calibri" w:eastAsia="Calibri" w:hAnsi="Calibri" w:cs="Calibri"/>
              </w:rPr>
            </w:pPr>
            <w:r>
              <w:rPr>
                <w:rFonts w:ascii="Calibri" w:eastAsia="Calibri" w:hAnsi="Calibri" w:cs="Calibri"/>
              </w:rPr>
              <w:t>138</w:t>
            </w:r>
          </w:p>
        </w:tc>
        <w:tc>
          <w:tcPr>
            <w:tcW w:w="2010" w:type="dxa"/>
            <w:tcMar>
              <w:top w:w="100" w:type="dxa"/>
              <w:left w:w="100" w:type="dxa"/>
              <w:bottom w:w="100" w:type="dxa"/>
              <w:right w:w="100" w:type="dxa"/>
            </w:tcMar>
          </w:tcPr>
          <w:p w:rsidR="00B22736" w14:paraId="2014AC77" w14:textId="77777777">
            <w:pPr>
              <w:widowControl/>
              <w:spacing w:line="276" w:lineRule="auto"/>
              <w:rPr>
                <w:rFonts w:ascii="Calibri" w:eastAsia="Calibri" w:hAnsi="Calibri" w:cs="Calibri"/>
              </w:rPr>
            </w:pPr>
            <w:r>
              <w:rPr>
                <w:rFonts w:ascii="Calibri" w:eastAsia="Calibri" w:hAnsi="Calibri" w:cs="Calibri"/>
              </w:rPr>
              <w:t>8 hours</w:t>
            </w:r>
          </w:p>
        </w:tc>
        <w:tc>
          <w:tcPr>
            <w:tcW w:w="1980" w:type="dxa"/>
            <w:tcMar>
              <w:top w:w="100" w:type="dxa"/>
              <w:left w:w="100" w:type="dxa"/>
              <w:bottom w:w="100" w:type="dxa"/>
              <w:right w:w="100" w:type="dxa"/>
            </w:tcMar>
          </w:tcPr>
          <w:p w:rsidR="00B22736" w14:paraId="542907B4" w14:textId="77777777">
            <w:pPr>
              <w:widowControl/>
              <w:spacing w:line="276" w:lineRule="auto"/>
              <w:rPr>
                <w:rFonts w:ascii="Calibri" w:eastAsia="Calibri" w:hAnsi="Calibri" w:cs="Calibri"/>
              </w:rPr>
            </w:pPr>
            <w:r>
              <w:rPr>
                <w:rFonts w:ascii="Calibri" w:eastAsia="Calibri" w:hAnsi="Calibri" w:cs="Calibri"/>
              </w:rPr>
              <w:t>$49.40/rate * 8/hours = $399.20</w:t>
            </w:r>
          </w:p>
        </w:tc>
        <w:tc>
          <w:tcPr>
            <w:tcW w:w="2280" w:type="dxa"/>
            <w:tcMar>
              <w:top w:w="100" w:type="dxa"/>
              <w:left w:w="100" w:type="dxa"/>
              <w:bottom w:w="100" w:type="dxa"/>
              <w:right w:w="100" w:type="dxa"/>
            </w:tcMar>
          </w:tcPr>
          <w:p w:rsidR="00B22736" w14:paraId="45196041" w14:textId="77777777">
            <w:pPr>
              <w:widowControl/>
              <w:spacing w:line="276" w:lineRule="auto"/>
              <w:rPr>
                <w:rFonts w:ascii="Calibri" w:eastAsia="Calibri" w:hAnsi="Calibri" w:cs="Calibri"/>
              </w:rPr>
            </w:pPr>
            <w:r>
              <w:rPr>
                <w:rFonts w:ascii="Calibri" w:eastAsia="Calibri" w:hAnsi="Calibri" w:cs="Calibri"/>
              </w:rPr>
              <w:t>138 *8/hours = 1,104 hours</w:t>
            </w:r>
          </w:p>
        </w:tc>
      </w:tr>
      <w:tr w14:paraId="54405A2B" w14:textId="77777777">
        <w:tblPrEx>
          <w:tblW w:w="9510" w:type="dxa"/>
          <w:tblInd w:w="-370" w:type="dxa"/>
          <w:tblLayout w:type="fixed"/>
          <w:tblLook w:val="0000"/>
        </w:tblPrEx>
        <w:tc>
          <w:tcPr>
            <w:tcW w:w="1770" w:type="dxa"/>
            <w:vMerge/>
          </w:tcPr>
          <w:p w:rsidR="00B22736" w14:paraId="67C3433E" w14:textId="77777777">
            <w:pPr>
              <w:spacing w:line="276" w:lineRule="auto"/>
              <w:rPr>
                <w:rFonts w:ascii="Arial" w:eastAsia="Arial" w:hAnsi="Arial" w:cs="Arial"/>
              </w:rPr>
            </w:pPr>
          </w:p>
        </w:tc>
        <w:tc>
          <w:tcPr>
            <w:tcW w:w="1470" w:type="dxa"/>
            <w:shd w:val="clear" w:color="auto" w:fill="999999"/>
            <w:tcMar>
              <w:top w:w="100" w:type="dxa"/>
              <w:left w:w="100" w:type="dxa"/>
              <w:bottom w:w="100" w:type="dxa"/>
              <w:right w:w="100" w:type="dxa"/>
            </w:tcMar>
          </w:tcPr>
          <w:p w:rsidR="00B22736" w14:paraId="48F7A03A" w14:textId="77777777">
            <w:pPr>
              <w:widowControl/>
              <w:spacing w:line="276" w:lineRule="auto"/>
              <w:rPr>
                <w:rFonts w:ascii="Calibri" w:eastAsia="Calibri" w:hAnsi="Calibri" w:cs="Calibri"/>
              </w:rPr>
            </w:pPr>
          </w:p>
        </w:tc>
        <w:tc>
          <w:tcPr>
            <w:tcW w:w="2010" w:type="dxa"/>
            <w:shd w:val="clear" w:color="auto" w:fill="999999"/>
            <w:tcMar>
              <w:top w:w="100" w:type="dxa"/>
              <w:left w:w="100" w:type="dxa"/>
              <w:bottom w:w="100" w:type="dxa"/>
              <w:right w:w="100" w:type="dxa"/>
            </w:tcMar>
          </w:tcPr>
          <w:p w:rsidR="00B22736" w14:paraId="5ECAB0D4" w14:textId="77777777">
            <w:pPr>
              <w:widowControl/>
              <w:spacing w:line="276" w:lineRule="auto"/>
              <w:rPr>
                <w:rFonts w:ascii="Calibri" w:eastAsia="Calibri" w:hAnsi="Calibri" w:cs="Calibri"/>
              </w:rPr>
            </w:pPr>
          </w:p>
        </w:tc>
        <w:tc>
          <w:tcPr>
            <w:tcW w:w="1980" w:type="dxa"/>
            <w:shd w:val="clear" w:color="auto" w:fill="999999"/>
            <w:tcMar>
              <w:top w:w="100" w:type="dxa"/>
              <w:left w:w="100" w:type="dxa"/>
              <w:bottom w:w="100" w:type="dxa"/>
              <w:right w:w="100" w:type="dxa"/>
            </w:tcMar>
          </w:tcPr>
          <w:p w:rsidR="00B22736" w14:paraId="20EE941A" w14:textId="77777777">
            <w:pPr>
              <w:widowControl/>
              <w:spacing w:line="276" w:lineRule="auto"/>
              <w:rPr>
                <w:rFonts w:ascii="Calibri" w:eastAsia="Calibri" w:hAnsi="Calibri" w:cs="Calibri"/>
              </w:rPr>
            </w:pPr>
          </w:p>
        </w:tc>
        <w:tc>
          <w:tcPr>
            <w:tcW w:w="2280" w:type="dxa"/>
            <w:tcMar>
              <w:top w:w="100" w:type="dxa"/>
              <w:left w:w="100" w:type="dxa"/>
              <w:bottom w:w="100" w:type="dxa"/>
              <w:right w:w="100" w:type="dxa"/>
            </w:tcMar>
          </w:tcPr>
          <w:p w:rsidR="00B22736" w14:paraId="7BB4702D" w14:textId="77777777">
            <w:pPr>
              <w:widowControl/>
              <w:spacing w:line="276" w:lineRule="auto"/>
              <w:rPr>
                <w:rFonts w:ascii="Calibri" w:eastAsia="Calibri" w:hAnsi="Calibri" w:cs="Calibri"/>
              </w:rPr>
            </w:pPr>
            <w:r>
              <w:rPr>
                <w:rFonts w:ascii="Calibri" w:eastAsia="Calibri" w:hAnsi="Calibri" w:cs="Calibri"/>
              </w:rPr>
              <w:t>1,104/hours * $49.40 = $54,537.00</w:t>
            </w:r>
          </w:p>
        </w:tc>
      </w:tr>
      <w:tr w14:paraId="0D8B7CEA" w14:textId="77777777">
        <w:tblPrEx>
          <w:tblW w:w="9510" w:type="dxa"/>
          <w:tblInd w:w="-370" w:type="dxa"/>
          <w:tblLayout w:type="fixed"/>
          <w:tblLook w:val="0000"/>
        </w:tblPrEx>
        <w:tc>
          <w:tcPr>
            <w:tcW w:w="1770" w:type="dxa"/>
            <w:vMerge w:val="restart"/>
          </w:tcPr>
          <w:p w:rsidR="00B22736" w14:paraId="43D00C25" w14:textId="77777777">
            <w:pPr>
              <w:widowControl/>
              <w:spacing w:line="276" w:lineRule="auto"/>
              <w:ind w:left="113" w:right="113"/>
              <w:jc w:val="center"/>
              <w:rPr>
                <w:rFonts w:ascii="Calibri" w:eastAsia="Calibri" w:hAnsi="Calibri" w:cs="Calibri"/>
              </w:rPr>
            </w:pPr>
            <w:r>
              <w:rPr>
                <w:rFonts w:ascii="Calibri" w:eastAsia="Calibri" w:hAnsi="Calibri" w:cs="Calibri"/>
                <w:b/>
              </w:rPr>
              <w:t>Monthly Report to Contracting Officer</w:t>
            </w:r>
          </w:p>
        </w:tc>
        <w:tc>
          <w:tcPr>
            <w:tcW w:w="1470" w:type="dxa"/>
            <w:tcMar>
              <w:top w:w="100" w:type="dxa"/>
              <w:left w:w="100" w:type="dxa"/>
              <w:bottom w:w="100" w:type="dxa"/>
              <w:right w:w="100" w:type="dxa"/>
            </w:tcMar>
          </w:tcPr>
          <w:p w:rsidR="00B22736" w14:paraId="1F6ED032" w14:textId="77777777">
            <w:pPr>
              <w:widowControl/>
              <w:spacing w:line="276" w:lineRule="auto"/>
              <w:rPr>
                <w:rFonts w:ascii="Calibri" w:eastAsia="Calibri" w:hAnsi="Calibri" w:cs="Calibri"/>
              </w:rPr>
            </w:pPr>
            <w:r>
              <w:rPr>
                <w:rFonts w:ascii="Calibri" w:eastAsia="Calibri" w:hAnsi="Calibri" w:cs="Calibri"/>
                <w:b/>
              </w:rPr>
              <w:t xml:space="preserve">Number of Contractors </w:t>
            </w:r>
          </w:p>
        </w:tc>
        <w:tc>
          <w:tcPr>
            <w:tcW w:w="2010" w:type="dxa"/>
            <w:tcMar>
              <w:top w:w="100" w:type="dxa"/>
              <w:left w:w="100" w:type="dxa"/>
              <w:bottom w:w="100" w:type="dxa"/>
              <w:right w:w="100" w:type="dxa"/>
            </w:tcMar>
          </w:tcPr>
          <w:p w:rsidR="00B22736" w14:paraId="7935BF17" w14:textId="77777777">
            <w:pPr>
              <w:widowControl/>
              <w:spacing w:line="276" w:lineRule="auto"/>
              <w:rPr>
                <w:rFonts w:ascii="Calibri" w:eastAsia="Calibri" w:hAnsi="Calibri" w:cs="Calibri"/>
              </w:rPr>
            </w:pPr>
            <w:r>
              <w:rPr>
                <w:rFonts w:ascii="Calibri" w:eastAsia="Calibri" w:hAnsi="Calibri" w:cs="Calibri"/>
                <w:b/>
              </w:rPr>
              <w:t>Contractor Monthly Staffing Reports LOE</w:t>
            </w:r>
          </w:p>
        </w:tc>
        <w:tc>
          <w:tcPr>
            <w:tcW w:w="1980" w:type="dxa"/>
            <w:tcMar>
              <w:top w:w="100" w:type="dxa"/>
              <w:left w:w="100" w:type="dxa"/>
              <w:bottom w:w="100" w:type="dxa"/>
              <w:right w:w="100" w:type="dxa"/>
            </w:tcMar>
          </w:tcPr>
          <w:p w:rsidR="00B22736" w14:paraId="1DF0C6A6" w14:textId="77777777">
            <w:pPr>
              <w:widowControl/>
              <w:spacing w:line="276" w:lineRule="auto"/>
              <w:rPr>
                <w:rFonts w:ascii="Calibri" w:eastAsia="Calibri" w:hAnsi="Calibri" w:cs="Calibri"/>
              </w:rPr>
            </w:pPr>
            <w:r>
              <w:rPr>
                <w:rFonts w:ascii="Calibri" w:eastAsia="Calibri" w:hAnsi="Calibri" w:cs="Calibri"/>
                <w:b/>
              </w:rPr>
              <w:t xml:space="preserve">Estimated Annual Financial Impact to Contractor (GS 11 - 13) </w:t>
            </w:r>
          </w:p>
        </w:tc>
        <w:tc>
          <w:tcPr>
            <w:tcW w:w="2280" w:type="dxa"/>
            <w:tcMar>
              <w:top w:w="100" w:type="dxa"/>
              <w:left w:w="100" w:type="dxa"/>
              <w:bottom w:w="100" w:type="dxa"/>
              <w:right w:w="100" w:type="dxa"/>
            </w:tcMar>
          </w:tcPr>
          <w:p w:rsidR="00B22736" w14:paraId="39019A5C" w14:textId="77777777">
            <w:pPr>
              <w:widowControl/>
              <w:spacing w:line="276" w:lineRule="auto"/>
              <w:rPr>
                <w:rFonts w:ascii="Calibri" w:eastAsia="Calibri" w:hAnsi="Calibri" w:cs="Calibri"/>
              </w:rPr>
            </w:pPr>
            <w:r>
              <w:rPr>
                <w:rFonts w:ascii="Calibri" w:eastAsia="Calibri" w:hAnsi="Calibri" w:cs="Calibri"/>
                <w:b/>
              </w:rPr>
              <w:t>Estimated Annual public burden (reporting)</w:t>
            </w:r>
          </w:p>
        </w:tc>
      </w:tr>
      <w:tr w14:paraId="1B0C9ED5" w14:textId="77777777">
        <w:tblPrEx>
          <w:tblW w:w="9510" w:type="dxa"/>
          <w:tblInd w:w="-370" w:type="dxa"/>
          <w:tblLayout w:type="fixed"/>
          <w:tblLook w:val="0000"/>
        </w:tblPrEx>
        <w:tc>
          <w:tcPr>
            <w:tcW w:w="1770" w:type="dxa"/>
            <w:vMerge/>
          </w:tcPr>
          <w:p w:rsidR="00B22736" w14:paraId="3B43C70B" w14:textId="77777777">
            <w:pPr>
              <w:spacing w:line="276" w:lineRule="auto"/>
              <w:rPr>
                <w:rFonts w:ascii="Arial" w:eastAsia="Arial" w:hAnsi="Arial" w:cs="Arial"/>
              </w:rPr>
            </w:pPr>
          </w:p>
        </w:tc>
        <w:tc>
          <w:tcPr>
            <w:tcW w:w="1470" w:type="dxa"/>
            <w:tcMar>
              <w:top w:w="100" w:type="dxa"/>
              <w:left w:w="100" w:type="dxa"/>
              <w:bottom w:w="100" w:type="dxa"/>
              <w:right w:w="100" w:type="dxa"/>
            </w:tcMar>
          </w:tcPr>
          <w:p w:rsidR="00B22736" w14:paraId="3237C704" w14:textId="77777777">
            <w:pPr>
              <w:widowControl/>
              <w:spacing w:line="276" w:lineRule="auto"/>
              <w:rPr>
                <w:rFonts w:ascii="Calibri" w:eastAsia="Calibri" w:hAnsi="Calibri" w:cs="Calibri"/>
              </w:rPr>
            </w:pPr>
            <w:r>
              <w:rPr>
                <w:rFonts w:ascii="Calibri" w:eastAsia="Calibri" w:hAnsi="Calibri" w:cs="Calibri"/>
              </w:rPr>
              <w:t>138</w:t>
            </w:r>
          </w:p>
        </w:tc>
        <w:tc>
          <w:tcPr>
            <w:tcW w:w="2010" w:type="dxa"/>
            <w:tcMar>
              <w:top w:w="100" w:type="dxa"/>
              <w:left w:w="100" w:type="dxa"/>
              <w:bottom w:w="100" w:type="dxa"/>
              <w:right w:w="100" w:type="dxa"/>
            </w:tcMar>
          </w:tcPr>
          <w:p w:rsidR="00B22736" w14:paraId="20DAAC03" w14:textId="77777777">
            <w:pPr>
              <w:widowControl/>
              <w:spacing w:line="276" w:lineRule="auto"/>
              <w:rPr>
                <w:rFonts w:ascii="Calibri" w:eastAsia="Calibri" w:hAnsi="Calibri" w:cs="Calibri"/>
              </w:rPr>
            </w:pPr>
            <w:r>
              <w:rPr>
                <w:rFonts w:ascii="Calibri" w:eastAsia="Calibri" w:hAnsi="Calibri" w:cs="Calibri"/>
              </w:rPr>
              <w:t xml:space="preserve">24 hours annually </w:t>
            </w:r>
          </w:p>
          <w:p w:rsidR="00B22736" w14:paraId="0005B47A" w14:textId="77777777">
            <w:pPr>
              <w:widowControl/>
              <w:spacing w:line="276" w:lineRule="auto"/>
              <w:rPr>
                <w:rFonts w:ascii="Calibri" w:eastAsia="Calibri" w:hAnsi="Calibri" w:cs="Calibri"/>
              </w:rPr>
            </w:pPr>
            <w:r>
              <w:rPr>
                <w:rFonts w:ascii="Calibri" w:eastAsia="Calibri" w:hAnsi="Calibri" w:cs="Calibri"/>
              </w:rPr>
              <w:t>*2 hours per month</w:t>
            </w:r>
          </w:p>
        </w:tc>
        <w:tc>
          <w:tcPr>
            <w:tcW w:w="1980" w:type="dxa"/>
            <w:tcMar>
              <w:top w:w="100" w:type="dxa"/>
              <w:left w:w="100" w:type="dxa"/>
              <w:bottom w:w="100" w:type="dxa"/>
              <w:right w:w="100" w:type="dxa"/>
            </w:tcMar>
          </w:tcPr>
          <w:p w:rsidR="00B22736" w14:paraId="75E96770" w14:textId="77777777">
            <w:pPr>
              <w:widowControl/>
              <w:spacing w:line="276" w:lineRule="auto"/>
              <w:rPr>
                <w:rFonts w:ascii="Calibri" w:eastAsia="Calibri" w:hAnsi="Calibri" w:cs="Calibri"/>
              </w:rPr>
            </w:pPr>
            <w:r>
              <w:rPr>
                <w:rFonts w:ascii="Calibri" w:eastAsia="Calibri" w:hAnsi="Calibri" w:cs="Calibri"/>
              </w:rPr>
              <w:t>$49.40/rate * 24/hours = $1,185.60</w:t>
            </w:r>
          </w:p>
        </w:tc>
        <w:tc>
          <w:tcPr>
            <w:tcW w:w="2280" w:type="dxa"/>
            <w:tcMar>
              <w:top w:w="100" w:type="dxa"/>
              <w:left w:w="100" w:type="dxa"/>
              <w:bottom w:w="100" w:type="dxa"/>
              <w:right w:w="100" w:type="dxa"/>
            </w:tcMar>
          </w:tcPr>
          <w:p w:rsidR="00B22736" w14:paraId="16321998" w14:textId="77777777">
            <w:pPr>
              <w:widowControl/>
              <w:spacing w:line="276" w:lineRule="auto"/>
              <w:rPr>
                <w:rFonts w:ascii="Calibri" w:eastAsia="Calibri" w:hAnsi="Calibri" w:cs="Calibri"/>
              </w:rPr>
            </w:pPr>
            <w:r>
              <w:rPr>
                <w:rFonts w:ascii="Calibri" w:eastAsia="Calibri" w:hAnsi="Calibri" w:cs="Calibri"/>
              </w:rPr>
              <w:t>138* 24/hours = 3,312 hours</w:t>
            </w:r>
          </w:p>
        </w:tc>
      </w:tr>
      <w:tr w14:paraId="22A74FD5" w14:textId="77777777">
        <w:tblPrEx>
          <w:tblW w:w="9510" w:type="dxa"/>
          <w:tblInd w:w="-370" w:type="dxa"/>
          <w:tblLayout w:type="fixed"/>
          <w:tblLook w:val="0000"/>
        </w:tblPrEx>
        <w:trPr>
          <w:trHeight w:val="1120"/>
        </w:trPr>
        <w:tc>
          <w:tcPr>
            <w:tcW w:w="1770" w:type="dxa"/>
            <w:vMerge/>
          </w:tcPr>
          <w:p w:rsidR="00B22736" w14:paraId="4E361736" w14:textId="77777777">
            <w:pPr>
              <w:spacing w:line="276" w:lineRule="auto"/>
              <w:rPr>
                <w:rFonts w:ascii="Arial" w:eastAsia="Arial" w:hAnsi="Arial" w:cs="Arial"/>
              </w:rPr>
            </w:pPr>
          </w:p>
        </w:tc>
        <w:tc>
          <w:tcPr>
            <w:tcW w:w="1470" w:type="dxa"/>
            <w:shd w:val="clear" w:color="auto" w:fill="7F7F7F"/>
            <w:tcMar>
              <w:top w:w="100" w:type="dxa"/>
              <w:left w:w="100" w:type="dxa"/>
              <w:bottom w:w="100" w:type="dxa"/>
              <w:right w:w="100" w:type="dxa"/>
            </w:tcMar>
          </w:tcPr>
          <w:p w:rsidR="00B22736" w14:paraId="0C25578D" w14:textId="77777777">
            <w:pPr>
              <w:widowControl/>
              <w:spacing w:line="276" w:lineRule="auto"/>
              <w:rPr>
                <w:rFonts w:ascii="Calibri" w:eastAsia="Calibri" w:hAnsi="Calibri" w:cs="Calibri"/>
              </w:rPr>
            </w:pPr>
          </w:p>
        </w:tc>
        <w:tc>
          <w:tcPr>
            <w:tcW w:w="2010" w:type="dxa"/>
            <w:shd w:val="clear" w:color="auto" w:fill="7F7F7F"/>
            <w:tcMar>
              <w:top w:w="100" w:type="dxa"/>
              <w:left w:w="100" w:type="dxa"/>
              <w:bottom w:w="100" w:type="dxa"/>
              <w:right w:w="100" w:type="dxa"/>
            </w:tcMar>
          </w:tcPr>
          <w:p w:rsidR="00B22736" w14:paraId="0F9C630A" w14:textId="77777777">
            <w:pPr>
              <w:widowControl/>
              <w:spacing w:line="276" w:lineRule="auto"/>
              <w:rPr>
                <w:rFonts w:ascii="Calibri" w:eastAsia="Calibri" w:hAnsi="Calibri" w:cs="Calibri"/>
              </w:rPr>
            </w:pPr>
          </w:p>
        </w:tc>
        <w:tc>
          <w:tcPr>
            <w:tcW w:w="1980" w:type="dxa"/>
            <w:shd w:val="clear" w:color="auto" w:fill="7F7F7F"/>
            <w:tcMar>
              <w:top w:w="100" w:type="dxa"/>
              <w:left w:w="100" w:type="dxa"/>
              <w:bottom w:w="100" w:type="dxa"/>
              <w:right w:w="100" w:type="dxa"/>
            </w:tcMar>
          </w:tcPr>
          <w:p w:rsidR="00B22736" w14:paraId="7D902D8D" w14:textId="77777777">
            <w:pPr>
              <w:widowControl/>
              <w:spacing w:line="276" w:lineRule="auto"/>
              <w:rPr>
                <w:rFonts w:ascii="Calibri" w:eastAsia="Calibri" w:hAnsi="Calibri" w:cs="Calibri"/>
              </w:rPr>
            </w:pPr>
          </w:p>
        </w:tc>
        <w:tc>
          <w:tcPr>
            <w:tcW w:w="2280" w:type="dxa"/>
            <w:tcMar>
              <w:top w:w="100" w:type="dxa"/>
              <w:left w:w="100" w:type="dxa"/>
              <w:bottom w:w="100" w:type="dxa"/>
              <w:right w:w="100" w:type="dxa"/>
            </w:tcMar>
          </w:tcPr>
          <w:p w:rsidR="00B22736" w14:paraId="1F307FE6" w14:textId="77777777">
            <w:pPr>
              <w:widowControl/>
              <w:spacing w:line="276" w:lineRule="auto"/>
              <w:rPr>
                <w:rFonts w:ascii="Calibri" w:eastAsia="Calibri" w:hAnsi="Calibri" w:cs="Calibri"/>
              </w:rPr>
            </w:pPr>
            <w:r>
              <w:rPr>
                <w:rFonts w:ascii="Calibri" w:eastAsia="Calibri" w:hAnsi="Calibri" w:cs="Calibri"/>
              </w:rPr>
              <w:t>3,312/hours * $49.40 = $163,613.00.</w:t>
            </w:r>
          </w:p>
        </w:tc>
      </w:tr>
      <w:tr w14:paraId="71AA2ABB" w14:textId="77777777">
        <w:tblPrEx>
          <w:tblW w:w="9510" w:type="dxa"/>
          <w:tblInd w:w="-370" w:type="dxa"/>
          <w:tblLayout w:type="fixed"/>
          <w:tblLook w:val="0000"/>
        </w:tblPrEx>
        <w:trPr>
          <w:trHeight w:val="1120"/>
        </w:trPr>
        <w:tc>
          <w:tcPr>
            <w:tcW w:w="1770" w:type="dxa"/>
            <w:vMerge w:val="restart"/>
          </w:tcPr>
          <w:p w:rsidR="00B22736" w14:paraId="07AE577A" w14:textId="77777777">
            <w:pPr>
              <w:widowControl/>
              <w:spacing w:line="276" w:lineRule="auto"/>
              <w:ind w:left="113" w:right="113"/>
              <w:jc w:val="center"/>
              <w:rPr>
                <w:rFonts w:ascii="Calibri" w:eastAsia="Calibri" w:hAnsi="Calibri" w:cs="Calibri"/>
              </w:rPr>
            </w:pPr>
            <w:r>
              <w:rPr>
                <w:rFonts w:ascii="Calibri" w:eastAsia="Calibri" w:hAnsi="Calibri" w:cs="Calibri"/>
                <w:b/>
              </w:rPr>
              <w:t>Estimated Cost to the Federal Government</w:t>
            </w:r>
          </w:p>
        </w:tc>
        <w:tc>
          <w:tcPr>
            <w:tcW w:w="1470" w:type="dxa"/>
            <w:tcMar>
              <w:top w:w="100" w:type="dxa"/>
              <w:left w:w="100" w:type="dxa"/>
              <w:bottom w:w="100" w:type="dxa"/>
              <w:right w:w="100" w:type="dxa"/>
            </w:tcMar>
          </w:tcPr>
          <w:p w:rsidR="00B22736" w14:paraId="465EA688" w14:textId="77777777">
            <w:pPr>
              <w:widowControl/>
              <w:spacing w:line="276" w:lineRule="auto"/>
              <w:rPr>
                <w:rFonts w:ascii="Calibri" w:eastAsia="Calibri" w:hAnsi="Calibri" w:cs="Calibri"/>
                <w:b/>
              </w:rPr>
            </w:pPr>
            <w:r>
              <w:rPr>
                <w:rFonts w:ascii="Calibri" w:eastAsia="Calibri" w:hAnsi="Calibri" w:cs="Calibri"/>
                <w:b/>
              </w:rPr>
              <w:t>Estimated Number of Contracts</w:t>
            </w:r>
          </w:p>
        </w:tc>
        <w:tc>
          <w:tcPr>
            <w:tcW w:w="2010" w:type="dxa"/>
            <w:tcMar>
              <w:top w:w="100" w:type="dxa"/>
              <w:left w:w="100" w:type="dxa"/>
              <w:bottom w:w="100" w:type="dxa"/>
              <w:right w:w="100" w:type="dxa"/>
            </w:tcMar>
          </w:tcPr>
          <w:p w:rsidR="00B22736" w14:paraId="382786A0" w14:textId="77777777">
            <w:pPr>
              <w:widowControl/>
              <w:spacing w:line="276" w:lineRule="auto"/>
              <w:rPr>
                <w:rFonts w:ascii="Calibri" w:eastAsia="Calibri" w:hAnsi="Calibri" w:cs="Calibri"/>
                <w:b/>
              </w:rPr>
            </w:pPr>
            <w:r>
              <w:rPr>
                <w:rFonts w:ascii="Calibri" w:eastAsia="Calibri" w:hAnsi="Calibri" w:cs="Calibri"/>
                <w:b/>
              </w:rPr>
              <w:t>Estimated level of effort for USAID</w:t>
            </w:r>
          </w:p>
        </w:tc>
        <w:tc>
          <w:tcPr>
            <w:tcW w:w="1980" w:type="dxa"/>
            <w:tcMar>
              <w:top w:w="100" w:type="dxa"/>
              <w:left w:w="100" w:type="dxa"/>
              <w:bottom w:w="100" w:type="dxa"/>
              <w:right w:w="100" w:type="dxa"/>
            </w:tcMar>
          </w:tcPr>
          <w:p w:rsidR="00B22736" w14:paraId="5F646C15" w14:textId="77777777">
            <w:pPr>
              <w:widowControl/>
              <w:spacing w:line="276" w:lineRule="auto"/>
              <w:rPr>
                <w:rFonts w:ascii="Calibri" w:eastAsia="Calibri" w:hAnsi="Calibri" w:cs="Calibri"/>
                <w:b/>
              </w:rPr>
            </w:pPr>
            <w:r>
              <w:rPr>
                <w:rFonts w:ascii="Calibri" w:eastAsia="Calibri" w:hAnsi="Calibri" w:cs="Calibri"/>
                <w:b/>
              </w:rPr>
              <w:t xml:space="preserve">Estimated Monthly Cost to the Federal Government </w:t>
            </w:r>
          </w:p>
        </w:tc>
        <w:tc>
          <w:tcPr>
            <w:tcW w:w="2280" w:type="dxa"/>
            <w:tcMar>
              <w:top w:w="100" w:type="dxa"/>
              <w:left w:w="100" w:type="dxa"/>
              <w:bottom w:w="100" w:type="dxa"/>
              <w:right w:w="100" w:type="dxa"/>
            </w:tcMar>
          </w:tcPr>
          <w:p w:rsidR="00B22736" w14:paraId="2A93582B" w14:textId="77777777">
            <w:pPr>
              <w:widowControl/>
              <w:spacing w:line="276" w:lineRule="auto"/>
              <w:rPr>
                <w:rFonts w:ascii="Calibri" w:eastAsia="Calibri" w:hAnsi="Calibri" w:cs="Calibri"/>
                <w:b/>
              </w:rPr>
            </w:pPr>
            <w:r>
              <w:rPr>
                <w:rFonts w:ascii="Calibri" w:eastAsia="Calibri" w:hAnsi="Calibri" w:cs="Calibri"/>
                <w:b/>
              </w:rPr>
              <w:t>Estimated Annualized Cost to the Federal Government</w:t>
            </w:r>
          </w:p>
        </w:tc>
      </w:tr>
      <w:tr w14:paraId="1C1239C6" w14:textId="77777777">
        <w:tblPrEx>
          <w:tblW w:w="9510" w:type="dxa"/>
          <w:tblInd w:w="-370" w:type="dxa"/>
          <w:tblLayout w:type="fixed"/>
          <w:tblLook w:val="0000"/>
        </w:tblPrEx>
        <w:trPr>
          <w:trHeight w:val="1560"/>
        </w:trPr>
        <w:tc>
          <w:tcPr>
            <w:tcW w:w="1770" w:type="dxa"/>
            <w:vMerge/>
          </w:tcPr>
          <w:p w:rsidR="00B22736" w14:paraId="28364238" w14:textId="77777777">
            <w:pPr>
              <w:spacing w:line="276" w:lineRule="auto"/>
              <w:rPr>
                <w:b/>
              </w:rPr>
            </w:pPr>
          </w:p>
        </w:tc>
        <w:tc>
          <w:tcPr>
            <w:tcW w:w="1470" w:type="dxa"/>
            <w:tcMar>
              <w:top w:w="100" w:type="dxa"/>
              <w:left w:w="100" w:type="dxa"/>
              <w:bottom w:w="100" w:type="dxa"/>
              <w:right w:w="100" w:type="dxa"/>
            </w:tcMar>
          </w:tcPr>
          <w:p w:rsidR="00B22736" w14:paraId="4497229A" w14:textId="77777777">
            <w:pPr>
              <w:widowControl/>
              <w:spacing w:line="276" w:lineRule="auto"/>
              <w:rPr>
                <w:rFonts w:ascii="Calibri" w:eastAsia="Calibri" w:hAnsi="Calibri" w:cs="Calibri"/>
              </w:rPr>
            </w:pPr>
            <w:r>
              <w:rPr>
                <w:rFonts w:ascii="Calibri" w:eastAsia="Calibri" w:hAnsi="Calibri" w:cs="Calibri"/>
              </w:rPr>
              <w:t xml:space="preserve">138 National Industrial Security Program </w:t>
            </w:r>
          </w:p>
        </w:tc>
        <w:tc>
          <w:tcPr>
            <w:tcW w:w="2010" w:type="dxa"/>
            <w:tcMar>
              <w:top w:w="100" w:type="dxa"/>
              <w:left w:w="100" w:type="dxa"/>
              <w:bottom w:w="100" w:type="dxa"/>
              <w:right w:w="100" w:type="dxa"/>
            </w:tcMar>
          </w:tcPr>
          <w:p w:rsidR="00B22736" w14:paraId="751759FD" w14:textId="77777777">
            <w:pPr>
              <w:widowControl/>
              <w:spacing w:line="276" w:lineRule="auto"/>
              <w:rPr>
                <w:rFonts w:ascii="Calibri" w:eastAsia="Calibri" w:hAnsi="Calibri" w:cs="Calibri"/>
              </w:rPr>
            </w:pPr>
            <w:r>
              <w:rPr>
                <w:rFonts w:ascii="Calibri" w:eastAsia="Calibri" w:hAnsi="Calibri" w:cs="Calibri"/>
              </w:rPr>
              <w:t>1 hours per month</w:t>
            </w:r>
          </w:p>
        </w:tc>
        <w:tc>
          <w:tcPr>
            <w:tcW w:w="1980" w:type="dxa"/>
            <w:tcMar>
              <w:top w:w="100" w:type="dxa"/>
              <w:left w:w="100" w:type="dxa"/>
              <w:bottom w:w="100" w:type="dxa"/>
              <w:right w:w="100" w:type="dxa"/>
            </w:tcMar>
          </w:tcPr>
          <w:p w:rsidR="00B22736" w14:paraId="1BE43C45" w14:textId="77777777">
            <w:pPr>
              <w:widowControl/>
              <w:spacing w:line="276" w:lineRule="auto"/>
              <w:rPr>
                <w:rFonts w:ascii="Calibri" w:eastAsia="Calibri" w:hAnsi="Calibri" w:cs="Calibri"/>
              </w:rPr>
            </w:pPr>
            <w:r>
              <w:rPr>
                <w:rFonts w:ascii="Calibri" w:eastAsia="Calibri" w:hAnsi="Calibri" w:cs="Calibri"/>
              </w:rPr>
              <w:t>GS-13 Step 5:</w:t>
            </w:r>
          </w:p>
          <w:p w:rsidR="00B22736" w14:paraId="1DE8D233" w14:textId="77777777">
            <w:pPr>
              <w:widowControl/>
              <w:spacing w:line="276" w:lineRule="auto"/>
              <w:rPr>
                <w:rFonts w:ascii="Calibri" w:eastAsia="Calibri" w:hAnsi="Calibri" w:cs="Calibri"/>
              </w:rPr>
            </w:pPr>
            <w:r>
              <w:rPr>
                <w:rFonts w:ascii="Calibri" w:eastAsia="Calibri" w:hAnsi="Calibri" w:cs="Calibri"/>
              </w:rPr>
              <w:t>$40.10 * 138/hours = $5,534.00</w:t>
            </w:r>
          </w:p>
          <w:p w:rsidR="00B22736" w14:paraId="07D4ABAC" w14:textId="77777777">
            <w:pPr>
              <w:widowControl/>
              <w:spacing w:line="276" w:lineRule="auto"/>
              <w:rPr>
                <w:rFonts w:ascii="Calibri" w:eastAsia="Calibri" w:hAnsi="Calibri" w:cs="Calibri"/>
              </w:rPr>
            </w:pPr>
          </w:p>
          <w:p w:rsidR="00B22736" w14:paraId="04CAA15B" w14:textId="77777777">
            <w:pPr>
              <w:widowControl/>
              <w:spacing w:line="276" w:lineRule="auto"/>
              <w:rPr>
                <w:rFonts w:ascii="Calibri" w:eastAsia="Calibri" w:hAnsi="Calibri" w:cs="Calibri"/>
              </w:rPr>
            </w:pPr>
          </w:p>
        </w:tc>
        <w:tc>
          <w:tcPr>
            <w:tcW w:w="2280" w:type="dxa"/>
            <w:tcMar>
              <w:top w:w="100" w:type="dxa"/>
              <w:left w:w="100" w:type="dxa"/>
              <w:bottom w:w="100" w:type="dxa"/>
              <w:right w:w="100" w:type="dxa"/>
            </w:tcMar>
          </w:tcPr>
          <w:p w:rsidR="00B22736" w14:paraId="6C9CD88D" w14:textId="77777777">
            <w:pPr>
              <w:widowControl/>
              <w:spacing w:line="276" w:lineRule="auto"/>
              <w:rPr>
                <w:rFonts w:ascii="Calibri" w:eastAsia="Calibri" w:hAnsi="Calibri" w:cs="Calibri"/>
              </w:rPr>
            </w:pPr>
            <w:r>
              <w:rPr>
                <w:rFonts w:ascii="Calibri" w:eastAsia="Calibri" w:hAnsi="Calibri" w:cs="Calibri"/>
              </w:rPr>
              <w:t>GS-13 Step 5:</w:t>
            </w:r>
          </w:p>
          <w:p w:rsidR="00B22736" w14:paraId="582C97C7" w14:textId="77777777">
            <w:pPr>
              <w:widowControl/>
              <w:spacing w:line="276" w:lineRule="auto"/>
              <w:rPr>
                <w:rFonts w:ascii="Calibri" w:eastAsia="Calibri" w:hAnsi="Calibri" w:cs="Calibri"/>
              </w:rPr>
            </w:pPr>
            <w:r>
              <w:rPr>
                <w:rFonts w:ascii="Calibri" w:eastAsia="Calibri" w:hAnsi="Calibri" w:cs="Calibri"/>
              </w:rPr>
              <w:t xml:space="preserve">$40.10 *1,656/hours = $66,406.00 </w:t>
            </w:r>
          </w:p>
          <w:p w:rsidR="00B22736" w14:paraId="41C77F31" w14:textId="77777777">
            <w:pPr>
              <w:widowControl/>
              <w:spacing w:line="276" w:lineRule="auto"/>
              <w:rPr>
                <w:rFonts w:ascii="Calibri" w:eastAsia="Calibri" w:hAnsi="Calibri" w:cs="Calibri"/>
              </w:rPr>
            </w:pPr>
          </w:p>
          <w:p w:rsidR="00B22736" w14:paraId="1D6742BC" w14:textId="77777777">
            <w:pPr>
              <w:widowControl/>
              <w:spacing w:line="276" w:lineRule="auto"/>
              <w:rPr>
                <w:rFonts w:ascii="Calibri" w:eastAsia="Calibri" w:hAnsi="Calibri" w:cs="Calibri"/>
              </w:rPr>
            </w:pPr>
          </w:p>
          <w:p w:rsidR="00B22736" w14:paraId="1D77E829" w14:textId="77777777">
            <w:pPr>
              <w:widowControl/>
              <w:spacing w:line="276" w:lineRule="auto"/>
              <w:rPr>
                <w:rFonts w:ascii="Calibri" w:eastAsia="Calibri" w:hAnsi="Calibri" w:cs="Calibri"/>
              </w:rPr>
            </w:pPr>
          </w:p>
        </w:tc>
      </w:tr>
    </w:tbl>
    <w:p w:rsidR="00B22736" w14:paraId="023F2259" w14:textId="77777777">
      <w:pPr>
        <w:ind w:left="630" w:hanging="360"/>
        <w:rPr>
          <w:rFonts w:ascii="Calibri" w:eastAsia="Calibri" w:hAnsi="Calibri" w:cs="Calibri"/>
          <w:sz w:val="24"/>
          <w:szCs w:val="24"/>
        </w:rPr>
      </w:pPr>
    </w:p>
    <w:p w:rsidR="00B22736" w14:paraId="4B155366"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the reasons for any program changes or adjustments reported on the burden worksheet.</w:t>
      </w:r>
    </w:p>
    <w:p w:rsidR="00B22736" w14:paraId="0C2D4A33" w14:textId="77777777">
      <w:pPr>
        <w:ind w:left="630" w:hanging="360"/>
        <w:rPr>
          <w:rFonts w:ascii="Calibri" w:eastAsia="Calibri" w:hAnsi="Calibri" w:cs="Calibri"/>
          <w:sz w:val="24"/>
          <w:szCs w:val="24"/>
        </w:rPr>
      </w:pPr>
    </w:p>
    <w:p w:rsidR="00B22736" w14:paraId="40843E59" w14:textId="77777777">
      <w:pPr>
        <w:ind w:left="630"/>
        <w:rPr>
          <w:rFonts w:ascii="Calibri" w:eastAsia="Calibri" w:hAnsi="Calibri" w:cs="Calibri"/>
          <w:sz w:val="24"/>
          <w:szCs w:val="24"/>
        </w:rPr>
      </w:pPr>
      <w:r>
        <w:rPr>
          <w:rFonts w:ascii="Calibri" w:eastAsia="Calibri" w:hAnsi="Calibri" w:cs="Calibri"/>
          <w:sz w:val="24"/>
          <w:szCs w:val="24"/>
        </w:rPr>
        <w:t xml:space="preserve">This submission requests OMB approval for a new information collection requirement in the existing AIDAR clause. </w:t>
      </w:r>
    </w:p>
    <w:p w:rsidR="00B22736" w14:paraId="2C58C289" w14:textId="77777777">
      <w:pPr>
        <w:ind w:left="630" w:hanging="360"/>
        <w:rPr>
          <w:rFonts w:ascii="Calibri" w:eastAsia="Calibri" w:hAnsi="Calibri" w:cs="Calibri"/>
          <w:sz w:val="24"/>
          <w:szCs w:val="24"/>
        </w:rPr>
      </w:pPr>
    </w:p>
    <w:p w:rsidR="00B22736" w14:paraId="642BD251" w14:textId="77777777">
      <w:pPr>
        <w:numPr>
          <w:ilvl w:val="0"/>
          <w:numId w:val="1"/>
        </w:numPr>
        <w:pBdr>
          <w:top w:val="nil"/>
          <w:left w:val="nil"/>
          <w:bottom w:val="nil"/>
          <w:right w:val="nil"/>
          <w:between w:val="nil"/>
        </w:pBdr>
        <w:ind w:left="630"/>
        <w:rPr>
          <w:rFonts w:ascii="Calibri" w:eastAsia="Calibri" w:hAnsi="Calibri" w:cs="Calibri"/>
          <w:color w:val="000000"/>
          <w:sz w:val="24"/>
          <w:szCs w:val="24"/>
        </w:rPr>
      </w:pPr>
      <w:r>
        <w:rPr>
          <w:rFonts w:ascii="Calibri" w:eastAsia="Calibri" w:hAnsi="Calibri" w:cs="Calibri"/>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2736" w14:paraId="00305162" w14:textId="77777777">
      <w:pPr>
        <w:ind w:left="630" w:hanging="360"/>
        <w:rPr>
          <w:rFonts w:ascii="Calibri" w:eastAsia="Calibri" w:hAnsi="Calibri" w:cs="Calibri"/>
          <w:sz w:val="24"/>
          <w:szCs w:val="24"/>
        </w:rPr>
      </w:pPr>
    </w:p>
    <w:p w:rsidR="00B22736" w14:paraId="58AEDBEA" w14:textId="77777777">
      <w:pPr>
        <w:ind w:left="630"/>
        <w:rPr>
          <w:rFonts w:ascii="Calibri" w:eastAsia="Calibri" w:hAnsi="Calibri" w:cs="Calibri"/>
          <w:sz w:val="24"/>
          <w:szCs w:val="24"/>
        </w:rPr>
      </w:pPr>
      <w:r>
        <w:rPr>
          <w:rFonts w:ascii="Calibri" w:eastAsia="Calibri" w:hAnsi="Calibri" w:cs="Calibri"/>
          <w:sz w:val="24"/>
          <w:szCs w:val="24"/>
        </w:rPr>
        <w:t>This information collection will not be published.</w:t>
      </w:r>
    </w:p>
    <w:p w:rsidR="00B22736" w14:paraId="47378C81" w14:textId="77777777">
      <w:pPr>
        <w:ind w:left="630" w:hanging="360"/>
        <w:rPr>
          <w:rFonts w:ascii="Calibri" w:eastAsia="Calibri" w:hAnsi="Calibri" w:cs="Calibri"/>
          <w:sz w:val="24"/>
          <w:szCs w:val="24"/>
        </w:rPr>
      </w:pPr>
    </w:p>
    <w:p w:rsidR="00B22736" w14:paraId="391619B0"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If seeking approval to not display the expiration date for OMB approval of the information collection, explain the reasons that display would be inappropriate.</w:t>
      </w:r>
    </w:p>
    <w:p w:rsidR="00B22736" w14:paraId="1FE45333" w14:textId="77777777">
      <w:pPr>
        <w:ind w:left="630" w:hanging="360"/>
        <w:rPr>
          <w:rFonts w:ascii="Calibri" w:eastAsia="Calibri" w:hAnsi="Calibri" w:cs="Calibri"/>
          <w:sz w:val="24"/>
          <w:szCs w:val="24"/>
        </w:rPr>
      </w:pPr>
    </w:p>
    <w:p w:rsidR="00B22736" w14:paraId="15589256" w14:textId="77777777">
      <w:pPr>
        <w:ind w:left="630"/>
        <w:rPr>
          <w:rFonts w:ascii="Calibri" w:eastAsia="Calibri" w:hAnsi="Calibri" w:cs="Calibri"/>
          <w:sz w:val="24"/>
          <w:szCs w:val="24"/>
        </w:rPr>
      </w:pPr>
      <w:r>
        <w:rPr>
          <w:rFonts w:ascii="Calibri" w:eastAsia="Calibri" w:hAnsi="Calibri" w:cs="Calibri"/>
          <w:sz w:val="24"/>
          <w:szCs w:val="24"/>
        </w:rPr>
        <w:t xml:space="preserve">Not applicable. </w:t>
      </w:r>
    </w:p>
    <w:p w:rsidR="00B22736" w14:paraId="01F2B9AC" w14:textId="77777777">
      <w:pPr>
        <w:ind w:left="630" w:hanging="360"/>
        <w:rPr>
          <w:rFonts w:ascii="Calibri" w:eastAsia="Calibri" w:hAnsi="Calibri" w:cs="Calibri"/>
          <w:sz w:val="24"/>
          <w:szCs w:val="24"/>
        </w:rPr>
      </w:pPr>
    </w:p>
    <w:p w:rsidR="00B22736" w14:paraId="57C9B973"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each exception to the topics of the certification statement identified in “Certification for Paperwork Reduction Act Submissions.” (See Pg. 2 of the OMB 83-I form)</w:t>
      </w:r>
    </w:p>
    <w:p w:rsidR="00B22736" w14:paraId="70DC52EF" w14:textId="77777777">
      <w:pPr>
        <w:rPr>
          <w:rFonts w:ascii="Calibri" w:eastAsia="Calibri" w:hAnsi="Calibri" w:cs="Calibri"/>
          <w:sz w:val="24"/>
          <w:szCs w:val="24"/>
        </w:rPr>
      </w:pPr>
    </w:p>
    <w:p w:rsidR="00B22736" w14:paraId="4F6689B8" w14:textId="77777777">
      <w:pPr>
        <w:ind w:left="630"/>
        <w:rPr>
          <w:rFonts w:ascii="Calibri" w:eastAsia="Calibri" w:hAnsi="Calibri" w:cs="Calibri"/>
          <w:sz w:val="24"/>
          <w:szCs w:val="24"/>
        </w:rPr>
      </w:pPr>
      <w:r>
        <w:rPr>
          <w:rFonts w:ascii="Calibri" w:eastAsia="Calibri" w:hAnsi="Calibri" w:cs="Calibri"/>
          <w:sz w:val="24"/>
          <w:szCs w:val="24"/>
        </w:rPr>
        <w:t>There are no exceptions to the certification statement.</w:t>
      </w:r>
    </w:p>
    <w:sectPr>
      <w:footerReference w:type="default" r:id="rId12"/>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736" w14:paraId="00B3354B" w14:textId="77777777">
    <w:pPr>
      <w:pBdr>
        <w:top w:val="nil"/>
        <w:left w:val="nil"/>
        <w:bottom w:val="nil"/>
        <w:right w:val="nil"/>
        <w:between w:val="nil"/>
      </w:pBdr>
      <w:tabs>
        <w:tab w:val="center" w:pos="4680"/>
        <w:tab w:val="right" w:pos="9360"/>
      </w:tabs>
      <w:jc w:val="right"/>
    </w:pPr>
    <w:r>
      <w:rPr>
        <w:color w:val="000000"/>
      </w:rPr>
      <w:fldChar w:fldCharType="begin"/>
    </w:r>
    <w:r>
      <w:rPr>
        <w:color w:val="000000"/>
      </w:rPr>
      <w:instrText>PAGE</w:instrText>
    </w:r>
    <w:r>
      <w:rPr>
        <w:color w:val="000000"/>
      </w:rPr>
      <w:fldChar w:fldCharType="separate"/>
    </w:r>
    <w:r w:rsidR="00F95CE8">
      <w:rPr>
        <w:noProof/>
        <w:color w:val="000000"/>
      </w:rPr>
      <w:t>1</w:t>
    </w:r>
    <w:r>
      <w:rPr>
        <w:color w:val="000000"/>
      </w:rPr>
      <w:fldChar w:fldCharType="end"/>
    </w:r>
    <w:r>
      <w:rPr>
        <w:color w:val="000000"/>
      </w:rPr>
      <w:t xml:space="preserve"> of </w:t>
    </w:r>
    <w:r>
      <w:t>7</w:t>
    </w:r>
  </w:p>
  <w:p w:rsidR="00B22736" w14:paraId="76103012"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0150F"/>
    <w:multiLevelType w:val="multilevel"/>
    <w:tmpl w:val="4D4CD4C0"/>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126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36"/>
    <w:rsid w:val="007D1197"/>
    <w:rsid w:val="00A03F55"/>
    <w:rsid w:val="00B22736"/>
    <w:rsid w:val="00CC1B3C"/>
    <w:rsid w:val="00DE5969"/>
    <w:rsid w:val="00E36F41"/>
    <w:rsid w:val="00F95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68D25"/>
  <w15:docId w15:val="{A2F00C51-6520-4952-8A4B-624C6334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227"/>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paragraph" w:styleId="Revision">
    <w:name w:val="Revision"/>
    <w:hidden/>
    <w:uiPriority w:val="99"/>
    <w:semiHidden/>
    <w:rsid w:val="00F95CE8"/>
    <w:pPr>
      <w:widowControl/>
    </w:pPr>
  </w:style>
  <w:style w:type="character" w:styleId="Hyperlink">
    <w:name w:val="Hyperlink"/>
    <w:basedOn w:val="DefaultParagraphFont"/>
    <w:uiPriority w:val="99"/>
    <w:unhideWhenUsed/>
    <w:rsid w:val="00F95CE8"/>
    <w:rPr>
      <w:color w:val="0000FF" w:themeColor="hyperlink"/>
      <w:u w:val="single"/>
    </w:rPr>
  </w:style>
  <w:style w:type="character" w:styleId="UnresolvedMention">
    <w:name w:val="Unresolved Mention"/>
    <w:basedOn w:val="DefaultParagraphFont"/>
    <w:uiPriority w:val="99"/>
    <w:semiHidden/>
    <w:unhideWhenUsed/>
    <w:rsid w:val="00F9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9/03/21/2019-04654/united-states-agency-for-international-development-acquisition-regulation-aidar-security-and" TargetMode="External" /><Relationship Id="rId11" Type="http://schemas.openxmlformats.org/officeDocument/2006/relationships/hyperlink" Target="https://www.federalregister.gov/documents/2024/03/20/2024-05748/usaid-acquisition-regulation-aidar-security-and-information-technology-requirement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48/chapter-1/subchapter-A/part-4/subpart-4.13" TargetMode="External" /><Relationship Id="rId5" Type="http://schemas.openxmlformats.org/officeDocument/2006/relationships/hyperlink" Target="https://csrc.nist.gov/pubs/fips/201-3/final" TargetMode="External" /><Relationship Id="rId6" Type="http://schemas.openxmlformats.org/officeDocument/2006/relationships/hyperlink" Target="https://georgewbush-whitehouse.archives.gov/omb/memoranda/fy2005/m05-24.pdf" TargetMode="External" /><Relationship Id="rId7" Type="http://schemas.openxmlformats.org/officeDocument/2006/relationships/hyperlink" Target="https://www.ecfr.gov/current/title-48/chapter-7" TargetMode="External" /><Relationship Id="rId8" Type="http://schemas.openxmlformats.org/officeDocument/2006/relationships/hyperlink" Target="https://www.ecfr.gov/current/title-48/chapter-7/subchapter-H/part-752/subpart-752.2/section-752.204-72" TargetMode="External" /><Relationship Id="rId9" Type="http://schemas.openxmlformats.org/officeDocument/2006/relationships/hyperlink" Target="https://www.ecfr.gov/current/title-48/chapter-1/subchapter-H/part-52/subpart-52.2/section-52.20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12562</Characters>
  <Application>Microsoft Office Word</Application>
  <DocSecurity>0</DocSecurity>
  <Lines>104</Lines>
  <Paragraphs>29</Paragraphs>
  <ScaleCrop>false</ScaleCrop>
  <Company>USAID</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Hamilton, Kelly L. (M/MS/IRD)</cp:lastModifiedBy>
  <cp:revision>2</cp:revision>
  <dcterms:created xsi:type="dcterms:W3CDTF">2024-10-17T16:33:00Z</dcterms:created>
  <dcterms:modified xsi:type="dcterms:W3CDTF">2024-10-17T16:33:00Z</dcterms:modified>
</cp:coreProperties>
</file>