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5936" w:rsidRPr="00B85BF7" w:rsidP="00B85BF7" w14:paraId="49BD1365" w14:textId="43551861">
      <w:pPr>
        <w:rPr>
          <w:rFonts w:ascii="Times New Roman" w:hAnsi="Times New Roman" w:cs="Times New Roman"/>
          <w:b/>
          <w:bCs/>
          <w:sz w:val="24"/>
          <w:szCs w:val="24"/>
        </w:rPr>
      </w:pPr>
      <w:r w:rsidRPr="00B85BF7">
        <w:rPr>
          <w:rFonts w:ascii="Times New Roman" w:hAnsi="Times New Roman" w:cs="Times New Roman"/>
          <w:b/>
          <w:bCs/>
          <w:sz w:val="24"/>
          <w:szCs w:val="24"/>
        </w:rPr>
        <w:t>S</w:t>
      </w:r>
      <w:r w:rsidR="00F55BDD">
        <w:rPr>
          <w:rFonts w:ascii="Times New Roman" w:hAnsi="Times New Roman" w:cs="Times New Roman"/>
          <w:b/>
          <w:bCs/>
          <w:sz w:val="24"/>
          <w:szCs w:val="24"/>
        </w:rPr>
        <w:t xml:space="preserve">upporting </w:t>
      </w:r>
      <w:r w:rsidRPr="00B85BF7">
        <w:rPr>
          <w:rFonts w:ascii="Times New Roman" w:hAnsi="Times New Roman" w:cs="Times New Roman"/>
          <w:b/>
          <w:bCs/>
          <w:sz w:val="24"/>
          <w:szCs w:val="24"/>
        </w:rPr>
        <w:t>S</w:t>
      </w:r>
      <w:r w:rsidR="00F55BDD">
        <w:rPr>
          <w:rFonts w:ascii="Times New Roman" w:hAnsi="Times New Roman" w:cs="Times New Roman"/>
          <w:b/>
          <w:bCs/>
          <w:sz w:val="24"/>
          <w:szCs w:val="24"/>
        </w:rPr>
        <w:t>tatement</w:t>
      </w:r>
      <w:r w:rsidRPr="00B85BF7">
        <w:rPr>
          <w:rFonts w:ascii="Times New Roman" w:hAnsi="Times New Roman" w:cs="Times New Roman"/>
          <w:b/>
          <w:bCs/>
          <w:sz w:val="24"/>
          <w:szCs w:val="24"/>
        </w:rPr>
        <w:t xml:space="preserve"> – P</w:t>
      </w:r>
      <w:r w:rsidR="00F55BDD">
        <w:rPr>
          <w:rFonts w:ascii="Times New Roman" w:hAnsi="Times New Roman" w:cs="Times New Roman"/>
          <w:b/>
          <w:bCs/>
          <w:sz w:val="24"/>
          <w:szCs w:val="24"/>
        </w:rPr>
        <w:t>art</w:t>
      </w:r>
      <w:r w:rsidRPr="00B85BF7">
        <w:rPr>
          <w:rFonts w:ascii="Times New Roman" w:hAnsi="Times New Roman" w:cs="Times New Roman"/>
          <w:b/>
          <w:bCs/>
          <w:sz w:val="24"/>
          <w:szCs w:val="24"/>
        </w:rPr>
        <w:t xml:space="preserve"> A</w:t>
      </w:r>
    </w:p>
    <w:p w:rsidR="00427EBA" w:rsidRPr="00B85BF7" w:rsidP="00B85BF7" w14:paraId="2F06EB2F" w14:textId="40024BAB">
      <w:pPr>
        <w:rPr>
          <w:rFonts w:ascii="Times New Roman" w:hAnsi="Times New Roman" w:cs="Times New Roman"/>
          <w:sz w:val="24"/>
          <w:szCs w:val="24"/>
        </w:rPr>
      </w:pPr>
      <w:r w:rsidRPr="00B85BF7">
        <w:rPr>
          <w:rFonts w:ascii="Times New Roman" w:hAnsi="Times New Roman" w:cs="Times New Roman"/>
          <w:b/>
          <w:bCs/>
          <w:sz w:val="24"/>
          <w:szCs w:val="24"/>
        </w:rPr>
        <w:t>OMB C</w:t>
      </w:r>
      <w:r w:rsidR="00F55BDD">
        <w:rPr>
          <w:rFonts w:ascii="Times New Roman" w:hAnsi="Times New Roman" w:cs="Times New Roman"/>
          <w:b/>
          <w:bCs/>
          <w:sz w:val="24"/>
          <w:szCs w:val="24"/>
        </w:rPr>
        <w:t>ontrol</w:t>
      </w:r>
      <w:r w:rsidRPr="00B85BF7">
        <w:rPr>
          <w:rFonts w:ascii="Times New Roman" w:hAnsi="Times New Roman" w:cs="Times New Roman"/>
          <w:b/>
          <w:bCs/>
          <w:sz w:val="24"/>
          <w:szCs w:val="24"/>
        </w:rPr>
        <w:t xml:space="preserve"> N</w:t>
      </w:r>
      <w:r w:rsidR="00F55BDD">
        <w:rPr>
          <w:rFonts w:ascii="Times New Roman" w:hAnsi="Times New Roman" w:cs="Times New Roman"/>
          <w:b/>
          <w:bCs/>
          <w:sz w:val="24"/>
          <w:szCs w:val="24"/>
        </w:rPr>
        <w:t>umber</w:t>
      </w:r>
      <w:r w:rsidRPr="00B85BF7">
        <w:rPr>
          <w:rFonts w:ascii="Times New Roman" w:hAnsi="Times New Roman" w:cs="Times New Roman"/>
          <w:b/>
          <w:bCs/>
          <w:sz w:val="24"/>
          <w:szCs w:val="24"/>
        </w:rPr>
        <w:t xml:space="preserve">: </w:t>
      </w:r>
      <w:r w:rsidRPr="00B85BF7">
        <w:rPr>
          <w:rFonts w:ascii="Times New Roman" w:hAnsi="Times New Roman" w:cs="Times New Roman"/>
          <w:sz w:val="24"/>
          <w:szCs w:val="24"/>
        </w:rPr>
        <w:t>0579-</w:t>
      </w:r>
      <w:r w:rsidR="001A7579">
        <w:rPr>
          <w:rFonts w:ascii="Times New Roman" w:hAnsi="Times New Roman" w:cs="Times New Roman"/>
          <w:sz w:val="24"/>
          <w:szCs w:val="24"/>
        </w:rPr>
        <w:t>0430</w:t>
      </w:r>
    </w:p>
    <w:p w:rsidR="00427EBA" w:rsidRPr="0085497F" w:rsidP="0085497F" w14:paraId="6725FE51" w14:textId="66F8FB98">
      <w:pPr>
        <w:pStyle w:val="Heading1"/>
        <w:rPr>
          <w:rStyle w:val="SubtleEmphasis"/>
          <w:rFonts w:ascii="Times New Roman" w:hAnsi="Times New Roman" w:cs="Times New Roman"/>
          <w:i w:val="0"/>
          <w:iCs w:val="0"/>
          <w:sz w:val="24"/>
          <w:szCs w:val="24"/>
        </w:rPr>
      </w:pPr>
      <w:bookmarkStart w:id="0" w:name="_Toc173393790"/>
      <w:r w:rsidRPr="0085497F">
        <w:rPr>
          <w:rStyle w:val="SubtleEmphasis"/>
          <w:rFonts w:ascii="Times New Roman" w:hAnsi="Times New Roman" w:cs="Times New Roman"/>
          <w:b/>
          <w:bCs/>
          <w:i w:val="0"/>
          <w:iCs w:val="0"/>
          <w:sz w:val="24"/>
          <w:szCs w:val="24"/>
        </w:rPr>
        <w:t>T</w:t>
      </w:r>
      <w:r w:rsidRPr="0085497F" w:rsidR="00F55BDD">
        <w:rPr>
          <w:rStyle w:val="SubtleEmphasis"/>
          <w:rFonts w:ascii="Times New Roman" w:hAnsi="Times New Roman" w:cs="Times New Roman"/>
          <w:b/>
          <w:bCs/>
          <w:i w:val="0"/>
          <w:iCs w:val="0"/>
          <w:sz w:val="24"/>
          <w:szCs w:val="24"/>
        </w:rPr>
        <w:t>it</w:t>
      </w:r>
      <w:r w:rsidRPr="0085497F" w:rsidR="00587C75">
        <w:rPr>
          <w:rStyle w:val="SubtleEmphasis"/>
          <w:rFonts w:ascii="Times New Roman" w:hAnsi="Times New Roman" w:cs="Times New Roman"/>
          <w:b/>
          <w:bCs/>
          <w:i w:val="0"/>
          <w:iCs w:val="0"/>
          <w:sz w:val="24"/>
          <w:szCs w:val="24"/>
        </w:rPr>
        <w:t>l</w:t>
      </w:r>
      <w:r w:rsidRPr="0085497F" w:rsidR="00F55BDD">
        <w:rPr>
          <w:rStyle w:val="SubtleEmphasis"/>
          <w:rFonts w:ascii="Times New Roman" w:hAnsi="Times New Roman" w:cs="Times New Roman"/>
          <w:b/>
          <w:bCs/>
          <w:i w:val="0"/>
          <w:iCs w:val="0"/>
          <w:sz w:val="24"/>
          <w:szCs w:val="24"/>
        </w:rPr>
        <w:t>e</w:t>
      </w:r>
      <w:r w:rsidRPr="0085497F">
        <w:rPr>
          <w:rStyle w:val="SubtleEmphasis"/>
          <w:rFonts w:ascii="Times New Roman" w:hAnsi="Times New Roman" w:cs="Times New Roman"/>
          <w:b/>
          <w:bCs/>
          <w:i w:val="0"/>
          <w:iCs w:val="0"/>
          <w:sz w:val="24"/>
          <w:szCs w:val="24"/>
        </w:rPr>
        <w:t xml:space="preserve">: </w:t>
      </w:r>
      <w:r w:rsidRPr="0085497F" w:rsidR="001A7579">
        <w:rPr>
          <w:rStyle w:val="SubtleEmphasis"/>
          <w:rFonts w:ascii="Times New Roman" w:hAnsi="Times New Roman" w:cs="Times New Roman"/>
          <w:i w:val="0"/>
          <w:iCs w:val="0"/>
          <w:sz w:val="24"/>
          <w:szCs w:val="24"/>
        </w:rPr>
        <w:t>Nation</w:t>
      </w:r>
      <w:r w:rsidRPr="0085497F" w:rsidR="00F55BDD">
        <w:rPr>
          <w:rStyle w:val="SubtleEmphasis"/>
          <w:rFonts w:ascii="Times New Roman" w:hAnsi="Times New Roman" w:cs="Times New Roman"/>
          <w:i w:val="0"/>
          <w:iCs w:val="0"/>
          <w:sz w:val="24"/>
          <w:szCs w:val="24"/>
        </w:rPr>
        <w:t>al</w:t>
      </w:r>
      <w:r w:rsidRPr="0085497F" w:rsidR="001A7579">
        <w:rPr>
          <w:rStyle w:val="SubtleEmphasis"/>
          <w:rFonts w:ascii="Times New Roman" w:hAnsi="Times New Roman" w:cs="Times New Roman"/>
          <w:i w:val="0"/>
          <w:iCs w:val="0"/>
          <w:sz w:val="24"/>
          <w:szCs w:val="24"/>
        </w:rPr>
        <w:t xml:space="preserve"> Veterinary Services Laboratories Request Forms</w:t>
      </w:r>
      <w:bookmarkEnd w:id="0"/>
    </w:p>
    <w:p w:rsidR="00427EBA" w:rsidRPr="00B85BF7" w:rsidP="00B85BF7" w14:paraId="03353C25" w14:textId="4A8F0AE8">
      <w:pPr>
        <w:rPr>
          <w:rStyle w:val="SubtleEmphasis"/>
          <w:rFonts w:ascii="Times New Roman" w:hAnsi="Times New Roman" w:cs="Times New Roman"/>
          <w:b/>
          <w:bCs/>
          <w:i w:val="0"/>
          <w:iCs w:val="0"/>
          <w:sz w:val="24"/>
          <w:szCs w:val="24"/>
        </w:rPr>
      </w:pPr>
      <w:r w:rsidRPr="00B85BF7">
        <w:rPr>
          <w:rStyle w:val="SubtleEmphasis"/>
          <w:rFonts w:ascii="Times New Roman" w:hAnsi="Times New Roman" w:cs="Times New Roman"/>
          <w:b/>
          <w:bCs/>
          <w:i w:val="0"/>
          <w:iCs w:val="0"/>
          <w:sz w:val="24"/>
          <w:szCs w:val="24"/>
        </w:rPr>
        <w:t>D</w:t>
      </w:r>
      <w:r w:rsidR="00F55BDD">
        <w:rPr>
          <w:rStyle w:val="SubtleEmphasis"/>
          <w:rFonts w:ascii="Times New Roman" w:hAnsi="Times New Roman" w:cs="Times New Roman"/>
          <w:b/>
          <w:bCs/>
          <w:i w:val="0"/>
          <w:iCs w:val="0"/>
          <w:sz w:val="24"/>
          <w:szCs w:val="24"/>
        </w:rPr>
        <w:t>ate Prepared</w:t>
      </w:r>
      <w:r w:rsidRPr="00B85BF7">
        <w:rPr>
          <w:rStyle w:val="SubtleEmphasis"/>
          <w:rFonts w:ascii="Times New Roman" w:hAnsi="Times New Roman" w:cs="Times New Roman"/>
          <w:b/>
          <w:bCs/>
          <w:i w:val="0"/>
          <w:iCs w:val="0"/>
          <w:sz w:val="24"/>
          <w:szCs w:val="24"/>
        </w:rPr>
        <w:t>:</w:t>
      </w:r>
      <w:r w:rsidR="001A7579">
        <w:rPr>
          <w:rStyle w:val="SubtleEmphasis"/>
          <w:rFonts w:ascii="Times New Roman" w:hAnsi="Times New Roman" w:cs="Times New Roman"/>
          <w:b/>
          <w:bCs/>
          <w:i w:val="0"/>
          <w:iCs w:val="0"/>
          <w:sz w:val="24"/>
          <w:szCs w:val="24"/>
        </w:rPr>
        <w:t xml:space="preserve">  </w:t>
      </w:r>
      <w:r w:rsidR="00D834CD">
        <w:rPr>
          <w:rStyle w:val="SubtleEmphasis"/>
          <w:rFonts w:ascii="Times New Roman" w:hAnsi="Times New Roman" w:cs="Times New Roman"/>
          <w:i w:val="0"/>
          <w:iCs w:val="0"/>
          <w:sz w:val="24"/>
          <w:szCs w:val="24"/>
        </w:rPr>
        <w:t>October</w:t>
      </w:r>
      <w:r w:rsidR="00587C75">
        <w:rPr>
          <w:rStyle w:val="SubtleEmphasis"/>
          <w:rFonts w:ascii="Times New Roman" w:hAnsi="Times New Roman" w:cs="Times New Roman"/>
          <w:i w:val="0"/>
          <w:iCs w:val="0"/>
          <w:sz w:val="24"/>
          <w:szCs w:val="24"/>
        </w:rPr>
        <w:t xml:space="preserve"> 2024</w:t>
      </w:r>
    </w:p>
    <w:p w:rsidR="00427EBA" w:rsidRPr="0069023C" w:rsidP="00B85BF7" w14:paraId="416666C9" w14:textId="77777777">
      <w:pPr>
        <w:rPr>
          <w:sz w:val="24"/>
          <w:szCs w:val="24"/>
        </w:rPr>
      </w:pPr>
    </w:p>
    <w:p w:rsidR="00AD0C12" w:rsidP="00AD0C12" w14:paraId="4E99C302" w14:textId="77777777">
      <w:pPr>
        <w:rPr>
          <w:rFonts w:ascii="Times New Roman" w:hAnsi="Times New Roman" w:cs="Times New Roman"/>
          <w:b/>
          <w:bCs/>
          <w:sz w:val="24"/>
          <w:szCs w:val="24"/>
        </w:rPr>
      </w:pPr>
    </w:p>
    <w:p w:rsidR="00AD0C12" w:rsidRPr="00AD0C12" w:rsidP="00427EBA" w14:paraId="4B17D22F" w14:textId="77777777">
      <w:pPr>
        <w:pStyle w:val="ListParagraph"/>
        <w:numPr>
          <w:ilvl w:val="0"/>
          <w:numId w:val="2"/>
        </w:numPr>
        <w:rPr>
          <w:rFonts w:ascii="Times New Roman" w:hAnsi="Times New Roman" w:cs="Times New Roman"/>
          <w:b/>
          <w:bCs/>
          <w:sz w:val="24"/>
          <w:szCs w:val="24"/>
        </w:rPr>
      </w:pPr>
      <w:bookmarkStart w:id="1" w:name="_Toc173393791"/>
      <w:r w:rsidRPr="00AD0C12">
        <w:rPr>
          <w:rStyle w:val="Heading2Char"/>
          <w:rFonts w:ascii="Times New Roman" w:hAnsi="Times New Roman" w:cs="Times New Roman"/>
          <w:b/>
          <w:bCs/>
          <w:color w:val="auto"/>
        </w:rPr>
        <w:t>Explain the circumstances that make the collection of information necessary.</w:t>
      </w:r>
      <w:bookmarkEnd w:id="1"/>
      <w:r w:rsidRPr="00AD0C12">
        <w:rPr>
          <w:rFonts w:ascii="Times New Roman" w:hAnsi="Times New Roman" w:cs="Times New Roman"/>
          <w:b/>
          <w:bCs/>
          <w:sz w:val="24"/>
          <w:szCs w:val="24"/>
        </w:rPr>
        <w:t xml:space="preserve"> </w:t>
      </w:r>
    </w:p>
    <w:p w:rsidR="00427EBA" w:rsidRPr="0069023C" w:rsidP="00AD0C12" w14:paraId="3B8942E9" w14:textId="7B2B66E8">
      <w:pPr>
        <w:pStyle w:val="ListParagraph"/>
        <w:ind w:left="360"/>
        <w:rPr>
          <w:rFonts w:ascii="Times New Roman" w:hAnsi="Times New Roman" w:cs="Times New Roman"/>
          <w:b/>
          <w:bCs/>
          <w:sz w:val="24"/>
          <w:szCs w:val="24"/>
        </w:rPr>
      </w:pPr>
      <w:r w:rsidRPr="0069023C">
        <w:rPr>
          <w:rFonts w:ascii="Times New Roman" w:hAnsi="Times New Roman" w:cs="Times New Roman"/>
          <w:b/>
          <w:bCs/>
          <w:sz w:val="24"/>
          <w:szCs w:val="24"/>
        </w:rPr>
        <w:t>Identify any legal or administrative requirements that necessitate the collection. Attach a copy of the appropriate section of each statute and regulation mandating or authorizing the collection of information.</w:t>
      </w:r>
    </w:p>
    <w:p w:rsidR="00427EBA" w:rsidRPr="0069023C" w:rsidP="00427EBA" w14:paraId="663D3635" w14:textId="77777777">
      <w:pPr>
        <w:rPr>
          <w:rFonts w:ascii="Times New Roman" w:hAnsi="Times New Roman" w:cs="Times New Roman"/>
          <w:b/>
          <w:bCs/>
          <w:sz w:val="24"/>
          <w:szCs w:val="24"/>
        </w:rPr>
      </w:pPr>
    </w:p>
    <w:p w:rsidR="0069023C" w:rsidP="0069023C" w14:paraId="558BD81C" w14:textId="20857DC0">
      <w:pPr>
        <w:ind w:left="360"/>
        <w:rPr>
          <w:rFonts w:ascii="Times New Roman" w:hAnsi="Times New Roman" w:cs="Times New Roman"/>
          <w:sz w:val="24"/>
          <w:szCs w:val="24"/>
        </w:rPr>
      </w:pPr>
      <w:r w:rsidRPr="0069023C">
        <w:rPr>
          <w:rFonts w:ascii="Times New Roman" w:hAnsi="Times New Roman" w:cs="Times New Roman"/>
          <w:sz w:val="24"/>
          <w:szCs w:val="24"/>
        </w:rPr>
        <w:t xml:space="preserve">This is a request </w:t>
      </w:r>
      <w:r w:rsidRPr="00304FB1">
        <w:rPr>
          <w:rFonts w:ascii="Times New Roman" w:hAnsi="Times New Roman" w:cs="Times New Roman"/>
          <w:sz w:val="24"/>
          <w:szCs w:val="24"/>
        </w:rPr>
        <w:t xml:space="preserve">for </w:t>
      </w:r>
      <w:r w:rsidRPr="00304FB1" w:rsidR="00B06499">
        <w:rPr>
          <w:rFonts w:ascii="Times New Roman" w:hAnsi="Times New Roman" w:cs="Times New Roman"/>
          <w:sz w:val="24"/>
          <w:szCs w:val="24"/>
        </w:rPr>
        <w:t>extension</w:t>
      </w:r>
      <w:r w:rsidR="00C77674">
        <w:rPr>
          <w:rFonts w:ascii="Times New Roman" w:hAnsi="Times New Roman" w:cs="Times New Roman"/>
          <w:sz w:val="24"/>
          <w:szCs w:val="24"/>
        </w:rPr>
        <w:t>,</w:t>
      </w:r>
      <w:r w:rsidRPr="00304FB1" w:rsidR="00B06499">
        <w:rPr>
          <w:rFonts w:ascii="Times New Roman" w:hAnsi="Times New Roman" w:cs="Times New Roman"/>
          <w:sz w:val="24"/>
          <w:szCs w:val="24"/>
        </w:rPr>
        <w:t xml:space="preserve"> </w:t>
      </w:r>
      <w:r w:rsidRPr="00304FB1" w:rsidR="00304FB1">
        <w:rPr>
          <w:rFonts w:ascii="Times New Roman" w:hAnsi="Times New Roman" w:cs="Times New Roman"/>
          <w:sz w:val="24"/>
          <w:szCs w:val="24"/>
        </w:rPr>
        <w:t>without change</w:t>
      </w:r>
      <w:r w:rsidR="00C77674">
        <w:rPr>
          <w:rFonts w:ascii="Times New Roman" w:hAnsi="Times New Roman" w:cs="Times New Roman"/>
          <w:sz w:val="24"/>
          <w:szCs w:val="24"/>
        </w:rPr>
        <w:t>,</w:t>
      </w:r>
      <w:r w:rsidR="00304FB1">
        <w:rPr>
          <w:rFonts w:ascii="Times New Roman" w:hAnsi="Times New Roman" w:cs="Times New Roman"/>
          <w:sz w:val="24"/>
          <w:szCs w:val="24"/>
        </w:rPr>
        <w:t xml:space="preserve"> </w:t>
      </w:r>
      <w:r w:rsidRPr="00B06499">
        <w:rPr>
          <w:rFonts w:ascii="Times New Roman" w:hAnsi="Times New Roman" w:cs="Times New Roman"/>
          <w:sz w:val="24"/>
          <w:szCs w:val="24"/>
        </w:rPr>
        <w:t>of a currently</w:t>
      </w:r>
      <w:r w:rsidRPr="0069023C">
        <w:rPr>
          <w:rFonts w:ascii="Times New Roman" w:hAnsi="Times New Roman" w:cs="Times New Roman"/>
          <w:sz w:val="24"/>
          <w:szCs w:val="24"/>
        </w:rPr>
        <w:t xml:space="preserve"> approved</w:t>
      </w:r>
      <w:r w:rsidR="001A7579">
        <w:rPr>
          <w:rFonts w:ascii="Times New Roman" w:hAnsi="Times New Roman" w:cs="Times New Roman"/>
          <w:sz w:val="24"/>
          <w:szCs w:val="24"/>
        </w:rPr>
        <w:t xml:space="preserve"> </w:t>
      </w:r>
      <w:r w:rsidRPr="0069023C">
        <w:rPr>
          <w:rFonts w:ascii="Times New Roman" w:hAnsi="Times New Roman" w:cs="Times New Roman"/>
          <w:sz w:val="24"/>
          <w:szCs w:val="24"/>
        </w:rPr>
        <w:t>information collection request.  APHIS is asking</w:t>
      </w:r>
      <w:r w:rsidR="00F55BDD">
        <w:rPr>
          <w:rFonts w:ascii="Times New Roman" w:hAnsi="Times New Roman" w:cs="Times New Roman"/>
          <w:sz w:val="24"/>
          <w:szCs w:val="24"/>
        </w:rPr>
        <w:t xml:space="preserve"> the Office of Management and Budget (</w:t>
      </w:r>
      <w:r w:rsidRPr="0069023C">
        <w:rPr>
          <w:rFonts w:ascii="Times New Roman" w:hAnsi="Times New Roman" w:cs="Times New Roman"/>
          <w:sz w:val="24"/>
          <w:szCs w:val="24"/>
        </w:rPr>
        <w:t>OMB</w:t>
      </w:r>
      <w:r w:rsidR="00F55BDD">
        <w:rPr>
          <w:rFonts w:ascii="Times New Roman" w:hAnsi="Times New Roman" w:cs="Times New Roman"/>
          <w:sz w:val="24"/>
          <w:szCs w:val="24"/>
        </w:rPr>
        <w:t>)</w:t>
      </w:r>
      <w:r w:rsidRPr="0069023C">
        <w:rPr>
          <w:rFonts w:ascii="Times New Roman" w:hAnsi="Times New Roman" w:cs="Times New Roman"/>
          <w:sz w:val="24"/>
          <w:szCs w:val="24"/>
        </w:rPr>
        <w:t xml:space="preserve"> to approve</w:t>
      </w:r>
      <w:r w:rsidR="00F55BDD">
        <w:rPr>
          <w:rFonts w:ascii="Times New Roman" w:hAnsi="Times New Roman" w:cs="Times New Roman"/>
          <w:sz w:val="24"/>
          <w:szCs w:val="24"/>
        </w:rPr>
        <w:t xml:space="preserve"> </w:t>
      </w:r>
      <w:r w:rsidRPr="0069023C">
        <w:rPr>
          <w:rFonts w:ascii="Times New Roman" w:hAnsi="Times New Roman" w:cs="Times New Roman"/>
          <w:sz w:val="24"/>
          <w:szCs w:val="24"/>
        </w:rPr>
        <w:t xml:space="preserve">for an additional 3 years, its use of these information collection activities in connection with </w:t>
      </w:r>
      <w:r w:rsidR="00F55BDD">
        <w:rPr>
          <w:rFonts w:ascii="Times New Roman" w:hAnsi="Times New Roman" w:cs="Times New Roman"/>
          <w:sz w:val="24"/>
          <w:szCs w:val="24"/>
        </w:rPr>
        <w:t>the National Veterinary Services Laboratories Request Forms.</w:t>
      </w:r>
    </w:p>
    <w:p w:rsidR="00F55BDD" w:rsidP="0069023C" w14:paraId="57F5C78F" w14:textId="77777777">
      <w:pPr>
        <w:ind w:left="360"/>
        <w:rPr>
          <w:rFonts w:ascii="Times New Roman" w:hAnsi="Times New Roman" w:cs="Times New Roman"/>
          <w:sz w:val="24"/>
          <w:szCs w:val="24"/>
        </w:rPr>
      </w:pPr>
    </w:p>
    <w:p w:rsidR="00F55BDD" w:rsidRPr="00F55BDD" w:rsidP="00F55BDD" w14:paraId="769A891A" w14:textId="77777777">
      <w:pPr>
        <w:ind w:left="360"/>
        <w:rPr>
          <w:rFonts w:ascii="Times New Roman" w:hAnsi="Times New Roman" w:cs="Times New Roman"/>
          <w:sz w:val="24"/>
          <w:szCs w:val="24"/>
        </w:rPr>
      </w:pPr>
      <w:r w:rsidRPr="00F55BDD">
        <w:rPr>
          <w:rFonts w:ascii="Times New Roman" w:hAnsi="Times New Roman" w:cs="Times New Roman"/>
          <w:sz w:val="24"/>
          <w:szCs w:val="24"/>
        </w:rPr>
        <w:t>The Animal Health Protection Act (7 U.S.C. 8301-8317) provides the Secretary of Agriculture broad authority to prohibit or restrict, through orders and regulations, the importation or entry of any animal, article, or means of conveyance if USDA determines that the prohibition or restriction is necessary to prevent the introduction or spread of any pest or disease of livestock within the United States. Disease prevention is the most effective method for maintaining a healthy animal population.</w:t>
      </w:r>
    </w:p>
    <w:p w:rsidR="00F55BDD" w:rsidRPr="00F55BDD" w:rsidP="00F55BDD" w14:paraId="218AA960" w14:textId="77777777">
      <w:pPr>
        <w:ind w:left="360"/>
        <w:rPr>
          <w:rFonts w:ascii="Times New Roman" w:hAnsi="Times New Roman" w:cs="Times New Roman"/>
          <w:sz w:val="24"/>
          <w:szCs w:val="24"/>
        </w:rPr>
      </w:pPr>
    </w:p>
    <w:p w:rsidR="00F55BDD" w:rsidRPr="0069023C" w:rsidP="00F55BDD" w14:paraId="0E2651DB" w14:textId="30264077">
      <w:pPr>
        <w:ind w:left="360"/>
        <w:rPr>
          <w:rFonts w:ascii="Times New Roman" w:hAnsi="Times New Roman" w:cs="Times New Roman"/>
          <w:sz w:val="24"/>
          <w:szCs w:val="24"/>
        </w:rPr>
      </w:pPr>
      <w:r w:rsidRPr="00F55BDD">
        <w:rPr>
          <w:rFonts w:ascii="Times New Roman" w:hAnsi="Times New Roman" w:cs="Times New Roman"/>
          <w:sz w:val="24"/>
          <w:szCs w:val="24"/>
        </w:rPr>
        <w:t>As an element of the Animal and Plant Health Inspection Service (APHIS) disease prevention mission, the National Veterinary Services Laboratories (NVSL) safeguard U.S. animal health by providing timely and accurate laboratory support through a nationwide animal health diagnostic system. The NVSL’s work requires completing several information collection activities including the VS Form 4-9 (Request for Reagents or Supplies); VS</w:t>
      </w:r>
      <w:r w:rsidR="006B4CD1">
        <w:rPr>
          <w:rFonts w:ascii="Times New Roman" w:hAnsi="Times New Roman" w:cs="Times New Roman"/>
          <w:sz w:val="24"/>
          <w:szCs w:val="24"/>
        </w:rPr>
        <w:t> </w:t>
      </w:r>
      <w:r w:rsidRPr="00F55BDD">
        <w:rPr>
          <w:rFonts w:ascii="Times New Roman" w:hAnsi="Times New Roman" w:cs="Times New Roman"/>
          <w:sz w:val="24"/>
          <w:szCs w:val="24"/>
        </w:rPr>
        <w:t>Form</w:t>
      </w:r>
      <w:r w:rsidR="0085497F">
        <w:rPr>
          <w:rFonts w:ascii="Times New Roman" w:hAnsi="Times New Roman" w:cs="Times New Roman"/>
          <w:sz w:val="24"/>
          <w:szCs w:val="24"/>
        </w:rPr>
        <w:t> </w:t>
      </w:r>
      <w:r w:rsidRPr="00F55BDD">
        <w:rPr>
          <w:rFonts w:ascii="Times New Roman" w:hAnsi="Times New Roman" w:cs="Times New Roman"/>
          <w:sz w:val="24"/>
          <w:szCs w:val="24"/>
        </w:rPr>
        <w:t>4-10 (NVSL Contact Information Update); VS Form 4-11 (NVSL Application for Laboratory Training); and VS Form 4-12 (NVSL Laboratories Kit and Instrument Order Form).</w:t>
      </w:r>
    </w:p>
    <w:p w:rsidR="00427EBA" w:rsidP="00427EBA" w14:paraId="65534118" w14:textId="77777777">
      <w:pPr>
        <w:rPr>
          <w:rFonts w:ascii="Times New Roman" w:hAnsi="Times New Roman" w:cs="Times New Roman"/>
          <w:sz w:val="24"/>
          <w:szCs w:val="24"/>
        </w:rPr>
      </w:pPr>
    </w:p>
    <w:p w:rsidR="00427EBA" w:rsidRPr="0069023C" w:rsidP="00427EBA" w14:paraId="73C26DB3" w14:textId="77777777">
      <w:pPr>
        <w:rPr>
          <w:rFonts w:ascii="Times New Roman" w:hAnsi="Times New Roman" w:cs="Times New Roman"/>
          <w:sz w:val="24"/>
          <w:szCs w:val="24"/>
        </w:rPr>
      </w:pPr>
    </w:p>
    <w:p w:rsidR="00427EBA" w:rsidRPr="0069023C" w:rsidP="00427EBA" w14:paraId="22A9A910" w14:textId="052C354C">
      <w:pPr>
        <w:pStyle w:val="ListParagraph"/>
        <w:numPr>
          <w:ilvl w:val="0"/>
          <w:numId w:val="2"/>
        </w:numPr>
        <w:rPr>
          <w:rFonts w:ascii="Times New Roman" w:hAnsi="Times New Roman" w:cs="Times New Roman"/>
          <w:b/>
          <w:bCs/>
          <w:sz w:val="24"/>
          <w:szCs w:val="24"/>
        </w:rPr>
      </w:pPr>
      <w:bookmarkStart w:id="2" w:name="_Toc173393792"/>
      <w:r w:rsidRPr="00AD0C12">
        <w:rPr>
          <w:rStyle w:val="Heading2Char"/>
          <w:rFonts w:ascii="Times New Roman" w:hAnsi="Times New Roman" w:cs="Times New Roman"/>
          <w:b/>
          <w:bCs/>
          <w:color w:val="auto"/>
        </w:rPr>
        <w:t>Indicate how, by whom, and for what purpose the information is to be used.</w:t>
      </w:r>
      <w:bookmarkEnd w:id="2"/>
      <w:r w:rsidRPr="00AD0C12">
        <w:rPr>
          <w:rFonts w:ascii="Times New Roman" w:hAnsi="Times New Roman" w:cs="Times New Roman"/>
          <w:b/>
          <w:bCs/>
          <w:sz w:val="24"/>
          <w:szCs w:val="24"/>
        </w:rPr>
        <w:t xml:space="preserve"> </w:t>
      </w:r>
      <w:r w:rsidRPr="0069023C">
        <w:rPr>
          <w:rFonts w:ascii="Times New Roman" w:hAnsi="Times New Roman" w:cs="Times New Roman"/>
          <w:b/>
          <w:bCs/>
          <w:sz w:val="24"/>
          <w:szCs w:val="24"/>
        </w:rPr>
        <w:t>Except for a new collection, indicate the actual use the agency has made of the information received from the current collection.</w:t>
      </w:r>
    </w:p>
    <w:p w:rsidR="00427EBA" w:rsidRPr="0069023C" w:rsidP="00427EBA" w14:paraId="4D490406" w14:textId="77777777">
      <w:pPr>
        <w:rPr>
          <w:rFonts w:ascii="Times New Roman" w:hAnsi="Times New Roman" w:cs="Times New Roman"/>
          <w:sz w:val="24"/>
          <w:szCs w:val="24"/>
        </w:rPr>
      </w:pPr>
    </w:p>
    <w:p w:rsidR="00F55BDD" w:rsidRPr="00F55BDD" w:rsidP="00F55BDD" w14:paraId="61B864E8" w14:textId="12CED5E2">
      <w:pPr>
        <w:ind w:left="360"/>
        <w:rPr>
          <w:rFonts w:ascii="Times New Roman" w:hAnsi="Times New Roman" w:cs="Times New Roman"/>
          <w:sz w:val="24"/>
          <w:szCs w:val="24"/>
        </w:rPr>
      </w:pPr>
      <w:bookmarkStart w:id="3" w:name="_Hlk176856845"/>
      <w:r w:rsidRPr="00F55BDD">
        <w:rPr>
          <w:rFonts w:ascii="Times New Roman" w:hAnsi="Times New Roman" w:cs="Times New Roman"/>
          <w:sz w:val="24"/>
          <w:szCs w:val="24"/>
        </w:rPr>
        <w:t>APHIS uses the following information collection activities to</w:t>
      </w:r>
      <w:bookmarkEnd w:id="3"/>
      <w:r w:rsidRPr="00F55BDD">
        <w:rPr>
          <w:rFonts w:ascii="Times New Roman" w:hAnsi="Times New Roman" w:cs="Times New Roman"/>
          <w:sz w:val="24"/>
          <w:szCs w:val="24"/>
        </w:rPr>
        <w:t xml:space="preserve"> effectively safeguard the U.S. animal population from pests and diseases:</w:t>
      </w:r>
    </w:p>
    <w:p w:rsidR="00F55BDD" w:rsidRPr="00F55BDD" w:rsidP="00F55BDD" w14:paraId="7A0404D9" w14:textId="77777777">
      <w:pPr>
        <w:ind w:left="360"/>
        <w:rPr>
          <w:rFonts w:ascii="Times New Roman" w:hAnsi="Times New Roman" w:cs="Times New Roman"/>
          <w:sz w:val="24"/>
          <w:szCs w:val="24"/>
        </w:rPr>
      </w:pPr>
    </w:p>
    <w:p w:rsidR="00F55BDD" w:rsidRPr="00F55BDD" w:rsidP="00F55BDD" w14:paraId="073B009B" w14:textId="3CEF133B">
      <w:pPr>
        <w:ind w:left="360"/>
        <w:rPr>
          <w:rFonts w:ascii="Times New Roman" w:hAnsi="Times New Roman" w:cs="Times New Roman"/>
          <w:b/>
          <w:bCs/>
          <w:sz w:val="24"/>
          <w:szCs w:val="24"/>
          <w:u w:val="single"/>
        </w:rPr>
      </w:pPr>
      <w:bookmarkStart w:id="4" w:name="_Hlk174003322"/>
      <w:r w:rsidRPr="00F55BDD">
        <w:rPr>
          <w:rFonts w:ascii="Times New Roman" w:hAnsi="Times New Roman" w:cs="Times New Roman"/>
          <w:b/>
          <w:bCs/>
          <w:sz w:val="24"/>
          <w:szCs w:val="24"/>
          <w:u w:val="single"/>
        </w:rPr>
        <w:t>Request for Reagents or Supplies (VS Form 4-9); (9 CFR part 130);</w:t>
      </w:r>
      <w:r w:rsidR="00C77674">
        <w:rPr>
          <w:rFonts w:ascii="Times New Roman" w:hAnsi="Times New Roman" w:cs="Times New Roman"/>
          <w:b/>
          <w:bCs/>
          <w:sz w:val="24"/>
          <w:szCs w:val="24"/>
          <w:u w:val="single"/>
        </w:rPr>
        <w:t xml:space="preserve"> </w:t>
      </w:r>
      <w:r w:rsidRPr="00F55BDD">
        <w:rPr>
          <w:rFonts w:ascii="Times New Roman" w:hAnsi="Times New Roman" w:cs="Times New Roman"/>
          <w:b/>
          <w:bCs/>
          <w:sz w:val="24"/>
          <w:szCs w:val="24"/>
          <w:u w:val="single"/>
        </w:rPr>
        <w:t>(Foreign Government; State, Local, or Tribal Government; Business)</w:t>
      </w:r>
    </w:p>
    <w:p w:rsidR="00F55BDD" w:rsidRPr="00F55BDD" w:rsidP="00F55BDD" w14:paraId="7D92F2E0" w14:textId="77777777">
      <w:pPr>
        <w:ind w:left="360"/>
        <w:rPr>
          <w:rFonts w:ascii="Times New Roman" w:hAnsi="Times New Roman" w:cs="Times New Roman"/>
          <w:sz w:val="24"/>
          <w:szCs w:val="24"/>
        </w:rPr>
      </w:pPr>
      <w:r w:rsidRPr="00F55BDD">
        <w:rPr>
          <w:rFonts w:ascii="Times New Roman" w:hAnsi="Times New Roman" w:cs="Times New Roman"/>
          <w:sz w:val="24"/>
          <w:szCs w:val="24"/>
        </w:rPr>
        <w:t xml:space="preserve">Diagnostic laboratories (Federal, State, university, or private) or researchers (academia, private, or government), both domestic and foreign, must complete a VS Form 4-9 to request reagents or supplies from the NVSL. This form is used to ensure that the NVSL collects all </w:t>
      </w:r>
      <w:r w:rsidRPr="00F55BDD">
        <w:rPr>
          <w:rFonts w:ascii="Times New Roman" w:hAnsi="Times New Roman" w:cs="Times New Roman"/>
          <w:sz w:val="24"/>
          <w:szCs w:val="24"/>
        </w:rPr>
        <w:t>the information needed to process the requests efficiently and accurately. The form is used every time a customer requests reagents or supplies (typically four times per year for an average customer).</w:t>
      </w:r>
    </w:p>
    <w:bookmarkEnd w:id="4"/>
    <w:p w:rsidR="00F55BDD" w:rsidRPr="00F55BDD" w:rsidP="00F55BDD" w14:paraId="097C80E7" w14:textId="77777777">
      <w:pPr>
        <w:ind w:left="360"/>
        <w:rPr>
          <w:rFonts w:ascii="Times New Roman" w:hAnsi="Times New Roman" w:cs="Times New Roman"/>
          <w:sz w:val="24"/>
          <w:szCs w:val="24"/>
        </w:rPr>
      </w:pPr>
    </w:p>
    <w:p w:rsidR="00F55BDD" w:rsidRPr="00F55BDD" w:rsidP="00F55BDD" w14:paraId="0869C569" w14:textId="4ACD3269">
      <w:pPr>
        <w:ind w:left="360"/>
        <w:rPr>
          <w:rFonts w:ascii="Times New Roman" w:hAnsi="Times New Roman" w:cs="Times New Roman"/>
          <w:b/>
          <w:bCs/>
          <w:sz w:val="24"/>
          <w:szCs w:val="24"/>
          <w:u w:val="single"/>
        </w:rPr>
      </w:pPr>
      <w:r w:rsidRPr="00F55BDD">
        <w:rPr>
          <w:rFonts w:ascii="Times New Roman" w:hAnsi="Times New Roman" w:cs="Times New Roman"/>
          <w:b/>
          <w:bCs/>
          <w:sz w:val="24"/>
          <w:szCs w:val="24"/>
          <w:u w:val="single"/>
        </w:rPr>
        <w:t>NVSL Customer Contact Update (VS Form 4-10); (9 CFR part 130);</w:t>
      </w:r>
      <w:r w:rsidR="00C77674">
        <w:rPr>
          <w:rFonts w:ascii="Times New Roman" w:hAnsi="Times New Roman" w:cs="Times New Roman"/>
          <w:b/>
          <w:bCs/>
          <w:sz w:val="24"/>
          <w:szCs w:val="24"/>
          <w:u w:val="single"/>
        </w:rPr>
        <w:t xml:space="preserve"> </w:t>
      </w:r>
      <w:r w:rsidRPr="00F55BDD">
        <w:rPr>
          <w:rFonts w:ascii="Times New Roman" w:hAnsi="Times New Roman" w:cs="Times New Roman"/>
          <w:b/>
          <w:bCs/>
          <w:sz w:val="24"/>
          <w:szCs w:val="24"/>
          <w:u w:val="single"/>
        </w:rPr>
        <w:t>(Foreign Government; State, Local, or Tribal Government; Business; Non-Profit; Individual)</w:t>
      </w:r>
    </w:p>
    <w:p w:rsidR="00F55BDD" w:rsidRPr="00F55BDD" w:rsidP="00F55BDD" w14:paraId="5CC6F60E" w14:textId="1113AE30">
      <w:pPr>
        <w:ind w:left="360"/>
        <w:rPr>
          <w:rFonts w:ascii="Times New Roman" w:hAnsi="Times New Roman" w:cs="Times New Roman"/>
          <w:sz w:val="24"/>
          <w:szCs w:val="24"/>
        </w:rPr>
      </w:pPr>
      <w:r w:rsidRPr="00F55BDD">
        <w:rPr>
          <w:rFonts w:ascii="Times New Roman" w:hAnsi="Times New Roman" w:cs="Times New Roman"/>
          <w:sz w:val="24"/>
          <w:szCs w:val="24"/>
        </w:rPr>
        <w:t>Established diagnostic submitters, diagnostic laboratories (Federal, State, university, or for-profit businesses) or researchers (academia, private, government, nonprofit business), both domestic and foreign, can provide updated contact information. This form is not required but is offered as a courtesy to customers who wish to proactively inform the NVSL of changes in contact information. The form helps ensure that the NVSL obtains all necessary information to update records efficiently and accurately.</w:t>
      </w:r>
    </w:p>
    <w:p w:rsidR="00F55BDD" w:rsidRPr="00F55BDD" w:rsidP="00F55BDD" w14:paraId="57DA57AB" w14:textId="77777777">
      <w:pPr>
        <w:ind w:left="360"/>
        <w:rPr>
          <w:rFonts w:ascii="Times New Roman" w:hAnsi="Times New Roman" w:cs="Times New Roman"/>
          <w:sz w:val="24"/>
          <w:szCs w:val="24"/>
        </w:rPr>
      </w:pPr>
    </w:p>
    <w:p w:rsidR="00F55BDD" w:rsidRPr="00F55BDD" w:rsidP="00F55BDD" w14:paraId="6E621A21" w14:textId="3B0E3357">
      <w:pPr>
        <w:ind w:left="360"/>
        <w:rPr>
          <w:rFonts w:ascii="Times New Roman" w:hAnsi="Times New Roman" w:cs="Times New Roman"/>
          <w:b/>
          <w:bCs/>
          <w:sz w:val="24"/>
          <w:szCs w:val="24"/>
          <w:u w:val="single"/>
        </w:rPr>
      </w:pPr>
      <w:r w:rsidRPr="00F55BDD">
        <w:rPr>
          <w:rFonts w:ascii="Times New Roman" w:hAnsi="Times New Roman" w:cs="Times New Roman"/>
          <w:b/>
          <w:bCs/>
          <w:sz w:val="24"/>
          <w:szCs w:val="24"/>
          <w:u w:val="single"/>
        </w:rPr>
        <w:t>Request for Training at the NVSL (VS Form 4-11); (9 CFR part 130); (Foreign Government; State, Local, or Tribal Government; Business)</w:t>
      </w:r>
    </w:p>
    <w:p w:rsidR="00F55BDD" w:rsidRPr="00F55BDD" w:rsidP="00F55BDD" w14:paraId="44914A1E" w14:textId="77777777">
      <w:pPr>
        <w:ind w:left="360"/>
        <w:rPr>
          <w:rFonts w:ascii="Times New Roman" w:hAnsi="Times New Roman" w:cs="Times New Roman"/>
          <w:sz w:val="24"/>
          <w:szCs w:val="24"/>
        </w:rPr>
      </w:pPr>
      <w:r w:rsidRPr="00F55BDD">
        <w:rPr>
          <w:rFonts w:ascii="Times New Roman" w:hAnsi="Times New Roman" w:cs="Times New Roman"/>
          <w:sz w:val="24"/>
          <w:szCs w:val="24"/>
        </w:rPr>
        <w:t>Laboratory personnel (Federal, State, university, private, foreign, or domestic) who wish to take an NVSL class must contact the NVSL training department directly via this form. This form helps ensure that the NVSL gets the information it needs to process training requests efficiently and accurately. The NVSL needs the information to know which courses the public wishes to take and to document that they have approval from the Area Veterinarian in Charge (when required).</w:t>
      </w:r>
    </w:p>
    <w:p w:rsidR="00F55BDD" w:rsidRPr="00F55BDD" w:rsidP="00F55BDD" w14:paraId="14D52A8E" w14:textId="77777777">
      <w:pPr>
        <w:ind w:left="360"/>
        <w:rPr>
          <w:rFonts w:ascii="Times New Roman" w:hAnsi="Times New Roman" w:cs="Times New Roman"/>
          <w:sz w:val="24"/>
          <w:szCs w:val="24"/>
        </w:rPr>
      </w:pPr>
    </w:p>
    <w:p w:rsidR="00F55BDD" w:rsidRPr="00F55BDD" w:rsidP="00F55BDD" w14:paraId="1636DBE3" w14:textId="5C86B445">
      <w:pPr>
        <w:ind w:left="360"/>
        <w:rPr>
          <w:rFonts w:ascii="Times New Roman" w:hAnsi="Times New Roman" w:cs="Times New Roman"/>
          <w:b/>
          <w:bCs/>
          <w:sz w:val="24"/>
          <w:szCs w:val="24"/>
          <w:u w:val="single"/>
        </w:rPr>
      </w:pPr>
      <w:r w:rsidRPr="00F55BDD">
        <w:rPr>
          <w:rFonts w:ascii="Times New Roman" w:hAnsi="Times New Roman" w:cs="Times New Roman"/>
          <w:b/>
          <w:bCs/>
          <w:sz w:val="24"/>
          <w:szCs w:val="24"/>
          <w:u w:val="single"/>
        </w:rPr>
        <w:t>NVSL Laboratories Kit and Instrument Order Form (VS Form 4-12); (9 CFR part 130);</w:t>
      </w:r>
      <w:r>
        <w:rPr>
          <w:rFonts w:ascii="Times New Roman" w:hAnsi="Times New Roman" w:cs="Times New Roman"/>
          <w:b/>
          <w:bCs/>
          <w:sz w:val="24"/>
          <w:szCs w:val="24"/>
          <w:u w:val="single"/>
        </w:rPr>
        <w:t xml:space="preserve"> </w:t>
      </w:r>
      <w:r w:rsidRPr="00F55BDD">
        <w:rPr>
          <w:rFonts w:ascii="Times New Roman" w:hAnsi="Times New Roman" w:cs="Times New Roman"/>
          <w:b/>
          <w:bCs/>
          <w:sz w:val="24"/>
          <w:szCs w:val="24"/>
          <w:u w:val="single"/>
        </w:rPr>
        <w:t>(Business; State)</w:t>
      </w:r>
    </w:p>
    <w:p w:rsidR="00F55BDD" w:rsidRPr="0069023C" w:rsidP="00F55BDD" w14:paraId="7201B95B" w14:textId="519E5D7E">
      <w:pPr>
        <w:ind w:left="360"/>
        <w:rPr>
          <w:rFonts w:ascii="Times New Roman" w:hAnsi="Times New Roman" w:cs="Times New Roman"/>
          <w:sz w:val="24"/>
          <w:szCs w:val="24"/>
        </w:rPr>
      </w:pPr>
      <w:r w:rsidRPr="00F55BDD">
        <w:rPr>
          <w:rFonts w:ascii="Times New Roman" w:hAnsi="Times New Roman" w:cs="Times New Roman"/>
          <w:sz w:val="24"/>
          <w:szCs w:val="24"/>
        </w:rPr>
        <w:t>Laboratory personnel use this form to order test kits and testing/sampling equipment from the NVSL. The sender provides their name (as the contact), the name of the requesting organization, the requesting organization’s address and telephone number, and the date of the request. Requesting contacts can fax or email the form to the NVSL Shipping Department.</w:t>
      </w:r>
    </w:p>
    <w:p w:rsidR="00427EBA" w:rsidRPr="0069023C" w:rsidP="00427EBA" w14:paraId="010493E4" w14:textId="77777777">
      <w:pPr>
        <w:rPr>
          <w:rFonts w:ascii="Times New Roman" w:hAnsi="Times New Roman" w:cs="Times New Roman"/>
          <w:sz w:val="24"/>
          <w:szCs w:val="24"/>
        </w:rPr>
      </w:pPr>
    </w:p>
    <w:p w:rsidR="00427EBA" w:rsidRPr="0069023C" w:rsidP="00427EBA" w14:paraId="4876E6ED" w14:textId="77777777">
      <w:pPr>
        <w:rPr>
          <w:rFonts w:ascii="Times New Roman" w:hAnsi="Times New Roman" w:cs="Times New Roman"/>
          <w:sz w:val="24"/>
          <w:szCs w:val="24"/>
        </w:rPr>
      </w:pPr>
    </w:p>
    <w:p w:rsidR="00427EBA" w:rsidRPr="00713521" w:rsidP="0069023C" w14:paraId="25B96A07" w14:textId="4A7984E7">
      <w:pPr>
        <w:pStyle w:val="ListParagraph"/>
        <w:numPr>
          <w:ilvl w:val="0"/>
          <w:numId w:val="2"/>
        </w:numPr>
        <w:rPr>
          <w:rFonts w:ascii="Times New Roman" w:hAnsi="Times New Roman" w:cs="Times New Roman"/>
          <w:b/>
          <w:bCs/>
          <w:sz w:val="24"/>
          <w:szCs w:val="24"/>
        </w:rPr>
      </w:pPr>
      <w:bookmarkStart w:id="5" w:name="_Toc173393793"/>
      <w:r w:rsidRPr="00713521">
        <w:rPr>
          <w:rStyle w:val="Heading2Char"/>
          <w:rFonts w:ascii="Times New Roman" w:hAnsi="Times New Roman" w:cs="Times New Roman"/>
          <w:b/>
          <w:bCs/>
          <w:color w:val="auto"/>
          <w:sz w:val="24"/>
          <w:szCs w:val="24"/>
        </w:rPr>
        <w:t>D</w:t>
      </w:r>
      <w:r w:rsidRPr="00713521">
        <w:rPr>
          <w:rStyle w:val="Heading2Char"/>
          <w:rFonts w:ascii="Times New Roman" w:hAnsi="Times New Roman" w:cs="Times New Roman"/>
          <w:b/>
          <w:bCs/>
          <w:color w:val="auto"/>
          <w:sz w:val="24"/>
          <w:szCs w:val="24"/>
        </w:rPr>
        <w:t>escribe</w:t>
      </w:r>
      <w:r w:rsidRPr="00713521" w:rsidR="00713521">
        <w:rPr>
          <w:rStyle w:val="Heading2Char"/>
          <w:rFonts w:ascii="Times New Roman" w:hAnsi="Times New Roman" w:cs="Times New Roman"/>
          <w:b/>
          <w:bCs/>
          <w:color w:val="auto"/>
          <w:sz w:val="24"/>
          <w:szCs w:val="24"/>
        </w:rPr>
        <w:t xml:space="preserve"> use of technological collection technique.</w:t>
      </w:r>
      <w:bookmarkEnd w:id="5"/>
      <w:r w:rsidRPr="00713521" w:rsidR="00713521">
        <w:rPr>
          <w:rStyle w:val="Heading2Char"/>
          <w:rFonts w:ascii="Times New Roman" w:hAnsi="Times New Roman" w:cs="Times New Roman"/>
          <w:b/>
          <w:bCs/>
          <w:color w:val="auto"/>
          <w:sz w:val="24"/>
          <w:szCs w:val="24"/>
        </w:rPr>
        <w:t xml:space="preserve"> </w:t>
      </w:r>
      <w:r w:rsidRPr="00713521" w:rsidR="00713521">
        <w:rPr>
          <w:rFonts w:ascii="Times New Roman" w:hAnsi="Times New Roman" w:cs="Times New Roman"/>
          <w:b/>
          <w:bCs/>
          <w:sz w:val="24"/>
          <w:szCs w:val="24"/>
        </w:rPr>
        <w:t>T</w:t>
      </w:r>
      <w:r w:rsidRPr="00713521">
        <w:rPr>
          <w:rFonts w:ascii="Times New Roman" w:hAnsi="Times New Roman" w:cs="Times New Roman"/>
          <w:b/>
          <w:bCs/>
          <w:sz w:val="24"/>
          <w:szCs w:val="24"/>
        </w:rPr>
        <w: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7EBA" w:rsidRPr="0069023C" w:rsidP="00427EBA" w14:paraId="55255EA4" w14:textId="77777777">
      <w:pPr>
        <w:rPr>
          <w:rFonts w:ascii="Times New Roman" w:hAnsi="Times New Roman" w:cs="Times New Roman"/>
          <w:sz w:val="24"/>
          <w:szCs w:val="24"/>
        </w:rPr>
      </w:pPr>
    </w:p>
    <w:p w:rsidR="00427EBA" w:rsidRPr="0069023C" w:rsidP="0069023C" w14:paraId="53DBA1E1" w14:textId="23EFFF04">
      <w:pPr>
        <w:ind w:left="360"/>
        <w:rPr>
          <w:rFonts w:ascii="Times New Roman" w:hAnsi="Times New Roman" w:cs="Times New Roman"/>
          <w:sz w:val="24"/>
          <w:szCs w:val="24"/>
        </w:rPr>
      </w:pPr>
      <w:r w:rsidRPr="0069023C">
        <w:rPr>
          <w:rFonts w:ascii="Times New Roman" w:hAnsi="Times New Roman" w:cs="Times New Roman"/>
          <w:sz w:val="24"/>
          <w:szCs w:val="24"/>
        </w:rPr>
        <w:t>APHIS makes every effort to comply with E-Government Act, 2002 (E-Gov) and to provide for alternative submission of information collections.</w:t>
      </w:r>
    </w:p>
    <w:p w:rsidR="0069023C" w:rsidRPr="0069023C" w:rsidP="00427EBA" w14:paraId="3B218CE4" w14:textId="77777777">
      <w:pPr>
        <w:rPr>
          <w:rFonts w:ascii="Times New Roman" w:hAnsi="Times New Roman" w:cs="Times New Roman"/>
          <w:sz w:val="24"/>
          <w:szCs w:val="24"/>
        </w:rPr>
      </w:pPr>
    </w:p>
    <w:p w:rsidR="00427EBA" w:rsidRPr="00ED2124" w:rsidP="00ED2124" w14:paraId="53896857" w14:textId="15F6ACF5">
      <w:pPr>
        <w:ind w:left="360"/>
        <w:rPr>
          <w:rFonts w:ascii="Times New Roman" w:hAnsi="Times New Roman" w:cs="Times New Roman"/>
          <w:sz w:val="24"/>
          <w:szCs w:val="24"/>
        </w:rPr>
      </w:pPr>
      <w:r w:rsidRPr="00ED2124">
        <w:rPr>
          <w:rFonts w:ascii="Times New Roman" w:hAnsi="Times New Roman" w:cs="Times New Roman"/>
          <w:sz w:val="24"/>
          <w:szCs w:val="24"/>
        </w:rPr>
        <w:t>The</w:t>
      </w:r>
      <w:r w:rsidR="00C77674">
        <w:rPr>
          <w:rFonts w:ascii="Times New Roman" w:hAnsi="Times New Roman" w:cs="Times New Roman"/>
          <w:sz w:val="24"/>
          <w:szCs w:val="24"/>
        </w:rPr>
        <w:t xml:space="preserve"> forms</w:t>
      </w:r>
      <w:r w:rsidRPr="00ED2124">
        <w:rPr>
          <w:rFonts w:ascii="Times New Roman" w:hAnsi="Times New Roman" w:cs="Times New Roman"/>
          <w:sz w:val="24"/>
          <w:szCs w:val="24"/>
        </w:rPr>
        <w:t xml:space="preserve"> VS 4-9, VS 4-10, VS 4-11, and VS 4-12 may be downloaded from the </w:t>
      </w:r>
      <w:hyperlink r:id="rId5" w:history="1">
        <w:r w:rsidRPr="00ED2124">
          <w:rPr>
            <w:rStyle w:val="Hyperlink"/>
            <w:rFonts w:ascii="Times New Roman" w:hAnsi="Times New Roman" w:cs="Times New Roman"/>
            <w:sz w:val="24"/>
            <w:szCs w:val="24"/>
          </w:rPr>
          <w:t>APHIS Electronic Forms Library</w:t>
        </w:r>
      </w:hyperlink>
      <w:r w:rsidRPr="00ED2124">
        <w:rPr>
          <w:rFonts w:ascii="Times New Roman" w:hAnsi="Times New Roman" w:cs="Times New Roman"/>
          <w:sz w:val="24"/>
          <w:szCs w:val="24"/>
        </w:rPr>
        <w:t>, and be submitted email, fax, or U.S. mail. Information from the VS 4-10 and VS 4-11 may also be transmitted via telephone. Web-based interfaces to submit these forms have been considered and may be implemented as resources and security considerations allow.</w:t>
      </w:r>
    </w:p>
    <w:p w:rsidR="0069023C" w:rsidRPr="00BE36B1" w:rsidP="00427EBA" w14:paraId="655255D9" w14:textId="77777777">
      <w:pPr>
        <w:rPr>
          <w:rFonts w:ascii="Times New Roman" w:hAnsi="Times New Roman" w:cs="Times New Roman"/>
          <w:b/>
          <w:bCs/>
          <w:sz w:val="24"/>
          <w:szCs w:val="24"/>
        </w:rPr>
      </w:pPr>
    </w:p>
    <w:p w:rsidR="00427EBA" w:rsidRPr="00C0175C" w:rsidP="0069023C" w14:paraId="5974A6B9" w14:textId="7406374B">
      <w:pPr>
        <w:pStyle w:val="ListParagraph"/>
        <w:numPr>
          <w:ilvl w:val="0"/>
          <w:numId w:val="2"/>
        </w:numPr>
        <w:rPr>
          <w:rFonts w:ascii="Times New Roman" w:hAnsi="Times New Roman" w:cs="Times New Roman"/>
          <w:b/>
          <w:bCs/>
          <w:sz w:val="24"/>
          <w:szCs w:val="24"/>
        </w:rPr>
      </w:pPr>
      <w:bookmarkStart w:id="6" w:name="_Toc173393794"/>
      <w:r w:rsidRPr="00BE36B1">
        <w:rPr>
          <w:rStyle w:val="Heading2Char"/>
          <w:rFonts w:ascii="Times New Roman" w:hAnsi="Times New Roman" w:cs="Times New Roman"/>
          <w:b/>
          <w:bCs/>
          <w:color w:val="auto"/>
          <w:sz w:val="24"/>
          <w:szCs w:val="24"/>
        </w:rPr>
        <w:t>Describe efforts to identify duplication.</w:t>
      </w:r>
      <w:bookmarkEnd w:id="6"/>
      <w:r w:rsidRPr="00BE36B1">
        <w:rPr>
          <w:rFonts w:ascii="Times New Roman" w:hAnsi="Times New Roman" w:cs="Times New Roman"/>
          <w:b/>
          <w:bCs/>
          <w:sz w:val="24"/>
          <w:szCs w:val="24"/>
        </w:rPr>
        <w:t xml:space="preserve"> Show </w:t>
      </w:r>
      <w:r w:rsidRPr="00C0175C">
        <w:rPr>
          <w:rFonts w:ascii="Times New Roman" w:hAnsi="Times New Roman" w:cs="Times New Roman"/>
          <w:b/>
          <w:bCs/>
          <w:sz w:val="24"/>
          <w:szCs w:val="24"/>
        </w:rPr>
        <w:t>specifically why any similar information already available cannot be used or modified for use for the purposes described in Item</w:t>
      </w:r>
      <w:r w:rsidR="00D834CD">
        <w:rPr>
          <w:rFonts w:ascii="Times New Roman" w:hAnsi="Times New Roman" w:cs="Times New Roman"/>
          <w:b/>
          <w:bCs/>
          <w:sz w:val="24"/>
          <w:szCs w:val="24"/>
        </w:rPr>
        <w:t> </w:t>
      </w:r>
      <w:r w:rsidRPr="00C0175C">
        <w:rPr>
          <w:rFonts w:ascii="Times New Roman" w:hAnsi="Times New Roman" w:cs="Times New Roman"/>
          <w:b/>
          <w:bCs/>
          <w:sz w:val="24"/>
          <w:szCs w:val="24"/>
        </w:rPr>
        <w:t>2 above.</w:t>
      </w:r>
    </w:p>
    <w:p w:rsidR="00427EBA" w:rsidP="00427EBA" w14:paraId="6B2CEE3B" w14:textId="77777777">
      <w:pPr>
        <w:rPr>
          <w:rFonts w:ascii="Times New Roman" w:hAnsi="Times New Roman" w:cs="Times New Roman"/>
          <w:sz w:val="24"/>
          <w:szCs w:val="24"/>
        </w:rPr>
      </w:pPr>
    </w:p>
    <w:p w:rsidR="00CF523B" w:rsidP="00CF523B" w14:paraId="373CBAD4" w14:textId="52630829">
      <w:pPr>
        <w:pStyle w:val="DefaultText"/>
        <w:ind w:left="360"/>
        <w:rPr>
          <w:rStyle w:val="InitialStyle"/>
          <w:rFonts w:ascii="Times New Roman" w:hAnsi="Times New Roman" w:cs="Times New Roman"/>
          <w:szCs w:val="24"/>
        </w:rPr>
      </w:pPr>
      <w:bookmarkStart w:id="7" w:name="_Hlk176857084"/>
      <w:bookmarkStart w:id="8" w:name="_Toc173393795"/>
      <w:r w:rsidRPr="006B4CD1">
        <w:rPr>
          <w:rStyle w:val="InitialStyle"/>
          <w:rFonts w:ascii="Times New Roman" w:hAnsi="Times New Roman" w:cs="Times New Roman"/>
          <w:szCs w:val="24"/>
        </w:rPr>
        <w:t>The information that APHIS collects is not available from any other source</w:t>
      </w:r>
      <w:r w:rsidRPr="006B4CD1" w:rsidR="006B4CD1">
        <w:rPr>
          <w:rStyle w:val="InitialStyle"/>
          <w:rFonts w:ascii="Times New Roman" w:hAnsi="Times New Roman" w:cs="Times New Roman"/>
          <w:szCs w:val="24"/>
        </w:rPr>
        <w:t xml:space="preserve"> and every effort has been made to avoid duplication</w:t>
      </w:r>
      <w:r w:rsidRPr="006B4CD1">
        <w:rPr>
          <w:rStyle w:val="InitialStyle"/>
          <w:rFonts w:ascii="Times New Roman" w:hAnsi="Times New Roman" w:cs="Times New Roman"/>
          <w:szCs w:val="24"/>
        </w:rPr>
        <w:t xml:space="preserve">. </w:t>
      </w:r>
      <w:bookmarkEnd w:id="7"/>
      <w:r w:rsidRPr="006B4CD1">
        <w:rPr>
          <w:rStyle w:val="InitialStyle"/>
          <w:rFonts w:ascii="Times New Roman" w:hAnsi="Times New Roman" w:cs="Times New Roman"/>
          <w:szCs w:val="24"/>
        </w:rPr>
        <w:t>These forms pertain to interactions specifically with the NVSL (reagent orders, NVSL-sponsored training). Contact information is configured according to customer preferences to receive communications and shipments specifically from the NVSL.</w:t>
      </w:r>
    </w:p>
    <w:p w:rsidR="006B4CD1" w:rsidP="00CF523B" w14:paraId="55784988" w14:textId="77777777">
      <w:pPr>
        <w:pStyle w:val="DefaultText"/>
        <w:ind w:left="360"/>
        <w:rPr>
          <w:rStyle w:val="InitialStyle"/>
          <w:rFonts w:ascii="Times New Roman" w:hAnsi="Times New Roman" w:cs="Times New Roman"/>
          <w:szCs w:val="24"/>
        </w:rPr>
      </w:pPr>
    </w:p>
    <w:p w:rsidR="00CF523B" w:rsidRPr="0031039D" w:rsidP="00CF523B" w14:paraId="64B829CD" w14:textId="77777777">
      <w:pPr>
        <w:pStyle w:val="DefaultText"/>
        <w:ind w:left="360"/>
        <w:rPr>
          <w:rStyle w:val="InitialStyle"/>
          <w:rFonts w:ascii="Times New Roman" w:hAnsi="Times New Roman" w:cs="Times New Roman"/>
          <w:szCs w:val="24"/>
        </w:rPr>
      </w:pPr>
    </w:p>
    <w:p w:rsidR="00427EBA" w:rsidRPr="00C0175C" w:rsidP="0069023C" w14:paraId="4F3FE443" w14:textId="73060BD0">
      <w:pPr>
        <w:pStyle w:val="ListParagraph"/>
        <w:numPr>
          <w:ilvl w:val="0"/>
          <w:numId w:val="2"/>
        </w:numPr>
        <w:rPr>
          <w:rFonts w:ascii="Times New Roman" w:hAnsi="Times New Roman" w:cs="Times New Roman"/>
          <w:b/>
          <w:bCs/>
          <w:sz w:val="24"/>
          <w:szCs w:val="24"/>
        </w:rPr>
      </w:pPr>
      <w:r w:rsidRPr="00BE36B1">
        <w:rPr>
          <w:rStyle w:val="Heading2Char"/>
          <w:rFonts w:ascii="Times New Roman" w:hAnsi="Times New Roman" w:cs="Times New Roman"/>
          <w:b/>
          <w:bCs/>
          <w:color w:val="auto"/>
          <w:sz w:val="24"/>
          <w:szCs w:val="24"/>
        </w:rPr>
        <w:t>Describe the impact to small businesses.</w:t>
      </w:r>
      <w:bookmarkEnd w:id="8"/>
      <w:r w:rsidRPr="00BE36B1">
        <w:rPr>
          <w:rFonts w:ascii="Times New Roman" w:hAnsi="Times New Roman" w:cs="Times New Roman"/>
          <w:b/>
          <w:bCs/>
          <w:sz w:val="24"/>
          <w:szCs w:val="24"/>
        </w:rPr>
        <w:t xml:space="preserve"> </w:t>
      </w:r>
      <w:r w:rsidRPr="00BE36B1">
        <w:rPr>
          <w:rFonts w:ascii="Times New Roman" w:hAnsi="Times New Roman" w:cs="Times New Roman"/>
          <w:b/>
          <w:bCs/>
          <w:sz w:val="24"/>
          <w:szCs w:val="24"/>
        </w:rPr>
        <w:t xml:space="preserve">If the collection </w:t>
      </w:r>
      <w:r w:rsidRPr="00C0175C">
        <w:rPr>
          <w:rFonts w:ascii="Times New Roman" w:hAnsi="Times New Roman" w:cs="Times New Roman"/>
          <w:b/>
          <w:bCs/>
          <w:sz w:val="24"/>
          <w:szCs w:val="24"/>
        </w:rPr>
        <w:t>of information impacts small businesses or other small entities (Item 5 of OMB Form 83-I), describe any methods used to minimize burden.</w:t>
      </w:r>
    </w:p>
    <w:p w:rsidR="0069023C" w:rsidRPr="00C0175C" w:rsidP="0069023C" w14:paraId="202F1A43" w14:textId="77777777">
      <w:pPr>
        <w:rPr>
          <w:rFonts w:ascii="Times New Roman" w:hAnsi="Times New Roman" w:cs="Times New Roman"/>
          <w:b/>
          <w:bCs/>
          <w:sz w:val="24"/>
          <w:szCs w:val="24"/>
        </w:rPr>
      </w:pPr>
    </w:p>
    <w:p w:rsidR="0069023C" w:rsidP="0069023C" w14:paraId="33FE5D7C" w14:textId="456B94F4">
      <w:pPr>
        <w:ind w:left="360"/>
        <w:rPr>
          <w:rFonts w:ascii="Times New Roman" w:hAnsi="Times New Roman" w:cs="Times New Roman"/>
          <w:sz w:val="24"/>
          <w:szCs w:val="24"/>
        </w:rPr>
      </w:pPr>
      <w:r w:rsidRPr="0069023C">
        <w:rPr>
          <w:rFonts w:ascii="Times New Roman" w:hAnsi="Times New Roman" w:cs="Times New Roman"/>
          <w:sz w:val="24"/>
          <w:szCs w:val="24"/>
        </w:rPr>
        <w:t xml:space="preserve">APHIS estimates that </w:t>
      </w:r>
      <w:r w:rsidR="006B4CD1">
        <w:rPr>
          <w:rFonts w:ascii="Times New Roman" w:hAnsi="Times New Roman" w:cs="Times New Roman"/>
          <w:sz w:val="24"/>
          <w:szCs w:val="24"/>
        </w:rPr>
        <w:t>70</w:t>
      </w:r>
      <w:r w:rsidRPr="0069023C">
        <w:rPr>
          <w:rFonts w:ascii="Times New Roman" w:hAnsi="Times New Roman" w:cs="Times New Roman"/>
          <w:sz w:val="24"/>
          <w:szCs w:val="24"/>
        </w:rPr>
        <w:t xml:space="preserve"> percent of the business respondents are </w:t>
      </w:r>
      <w:r w:rsidR="006B4CD1">
        <w:rPr>
          <w:rFonts w:ascii="Times New Roman" w:hAnsi="Times New Roman" w:cs="Times New Roman"/>
          <w:sz w:val="24"/>
          <w:szCs w:val="24"/>
        </w:rPr>
        <w:t xml:space="preserve">universities and </w:t>
      </w:r>
      <w:r w:rsidRPr="0069023C">
        <w:rPr>
          <w:rFonts w:ascii="Times New Roman" w:hAnsi="Times New Roman" w:cs="Times New Roman"/>
          <w:sz w:val="24"/>
          <w:szCs w:val="24"/>
        </w:rPr>
        <w:t>small entities.</w:t>
      </w:r>
    </w:p>
    <w:p w:rsidR="0069023C" w:rsidP="0069023C" w14:paraId="15E9C494" w14:textId="77777777">
      <w:pPr>
        <w:ind w:left="360"/>
        <w:rPr>
          <w:rFonts w:ascii="Times New Roman" w:hAnsi="Times New Roman" w:cs="Times New Roman"/>
          <w:sz w:val="24"/>
          <w:szCs w:val="24"/>
        </w:rPr>
      </w:pPr>
    </w:p>
    <w:p w:rsidR="00427EBA" w:rsidRPr="0069023C" w:rsidP="00427EBA" w14:paraId="40D08C57" w14:textId="77777777">
      <w:pPr>
        <w:rPr>
          <w:rFonts w:ascii="Times New Roman" w:hAnsi="Times New Roman" w:cs="Times New Roman"/>
          <w:sz w:val="24"/>
          <w:szCs w:val="24"/>
        </w:rPr>
      </w:pPr>
    </w:p>
    <w:p w:rsidR="00427EBA" w:rsidRPr="00713521" w:rsidP="0069023C" w14:paraId="1BA4BFAC" w14:textId="6DA42F51">
      <w:pPr>
        <w:pStyle w:val="ListParagraph"/>
        <w:numPr>
          <w:ilvl w:val="0"/>
          <w:numId w:val="2"/>
        </w:numPr>
        <w:rPr>
          <w:rFonts w:ascii="Times New Roman" w:hAnsi="Times New Roman" w:cs="Times New Roman"/>
          <w:b/>
          <w:bCs/>
          <w:sz w:val="24"/>
          <w:szCs w:val="24"/>
        </w:rPr>
      </w:pPr>
      <w:bookmarkStart w:id="9" w:name="_Toc173393796"/>
      <w:r w:rsidRPr="00713521">
        <w:rPr>
          <w:rStyle w:val="Heading2Char"/>
          <w:rFonts w:ascii="Times New Roman" w:hAnsi="Times New Roman" w:cs="Times New Roman"/>
          <w:b/>
          <w:bCs/>
          <w:color w:val="auto"/>
          <w:sz w:val="24"/>
          <w:szCs w:val="24"/>
        </w:rPr>
        <w:t>Describe the consequence</w:t>
      </w:r>
      <w:r w:rsidRPr="00713521" w:rsidR="00713521">
        <w:rPr>
          <w:rStyle w:val="Heading2Char"/>
          <w:rFonts w:ascii="Times New Roman" w:hAnsi="Times New Roman" w:cs="Times New Roman"/>
          <w:b/>
          <w:bCs/>
          <w:color w:val="auto"/>
          <w:sz w:val="24"/>
          <w:szCs w:val="24"/>
        </w:rPr>
        <w:t>s of not conducting information collection.</w:t>
      </w:r>
      <w:bookmarkEnd w:id="9"/>
      <w:r w:rsidRPr="00713521" w:rsidR="00713521">
        <w:rPr>
          <w:rStyle w:val="Heading2Char"/>
          <w:rFonts w:ascii="Times New Roman" w:hAnsi="Times New Roman" w:cs="Times New Roman"/>
          <w:b/>
          <w:bCs/>
          <w:color w:val="auto"/>
          <w:sz w:val="24"/>
          <w:szCs w:val="24"/>
        </w:rPr>
        <w:t xml:space="preserve"> </w:t>
      </w:r>
      <w:r w:rsidRPr="00713521" w:rsidR="00713521">
        <w:rPr>
          <w:rFonts w:ascii="Times New Roman" w:hAnsi="Times New Roman" w:cs="Times New Roman"/>
          <w:b/>
          <w:bCs/>
          <w:sz w:val="24"/>
          <w:szCs w:val="24"/>
        </w:rPr>
        <w:t xml:space="preserve">What happens to the </w:t>
      </w:r>
      <w:r w:rsidRPr="00713521">
        <w:rPr>
          <w:rFonts w:ascii="Times New Roman" w:hAnsi="Times New Roman" w:cs="Times New Roman"/>
          <w:b/>
          <w:bCs/>
          <w:sz w:val="24"/>
          <w:szCs w:val="24"/>
        </w:rPr>
        <w:t>Federal program or policy activities if the collection is not conducted or is conducted less frequently, as well as any technical or legal obstacles to reducing burden.</w:t>
      </w:r>
    </w:p>
    <w:p w:rsidR="0069023C" w:rsidRPr="00C0175C" w:rsidP="0069023C" w14:paraId="5E65AE2C" w14:textId="61DF2BCC">
      <w:pPr>
        <w:ind w:left="360"/>
        <w:rPr>
          <w:rFonts w:ascii="Times New Roman" w:hAnsi="Times New Roman" w:cs="Times New Roman"/>
          <w:b/>
          <w:bCs/>
          <w:sz w:val="24"/>
          <w:szCs w:val="24"/>
        </w:rPr>
      </w:pPr>
    </w:p>
    <w:p w:rsidR="0069023C" w:rsidP="0069023C" w14:paraId="246D4851" w14:textId="35D20FA4">
      <w:pPr>
        <w:ind w:left="360"/>
        <w:rPr>
          <w:rFonts w:ascii="Times New Roman" w:hAnsi="Times New Roman" w:cs="Times New Roman"/>
          <w:sz w:val="24"/>
          <w:szCs w:val="24"/>
        </w:rPr>
      </w:pPr>
      <w:r w:rsidRPr="0069023C">
        <w:rPr>
          <w:rFonts w:ascii="Times New Roman" w:hAnsi="Times New Roman" w:cs="Times New Roman"/>
          <w:sz w:val="24"/>
          <w:szCs w:val="24"/>
        </w:rPr>
        <w:t xml:space="preserve">This is </w:t>
      </w:r>
      <w:r>
        <w:rPr>
          <w:rFonts w:ascii="Times New Roman" w:hAnsi="Times New Roman" w:cs="Times New Roman"/>
          <w:sz w:val="24"/>
          <w:szCs w:val="24"/>
        </w:rPr>
        <w:t xml:space="preserve">an </w:t>
      </w:r>
      <w:r w:rsidRPr="0069023C">
        <w:rPr>
          <w:rFonts w:ascii="Times New Roman" w:hAnsi="Times New Roman" w:cs="Times New Roman"/>
          <w:sz w:val="24"/>
          <w:szCs w:val="24"/>
        </w:rPr>
        <w:t xml:space="preserve">ongoing </w:t>
      </w:r>
      <w:r w:rsidR="00994A27">
        <w:rPr>
          <w:rFonts w:ascii="Times New Roman" w:hAnsi="Times New Roman" w:cs="Times New Roman"/>
          <w:sz w:val="24"/>
          <w:szCs w:val="24"/>
        </w:rPr>
        <w:t xml:space="preserve">voluntary </w:t>
      </w:r>
      <w:r w:rsidRPr="0069023C">
        <w:rPr>
          <w:rFonts w:ascii="Times New Roman" w:hAnsi="Times New Roman" w:cs="Times New Roman"/>
          <w:sz w:val="24"/>
          <w:szCs w:val="24"/>
        </w:rPr>
        <w:t>information collection request</w:t>
      </w:r>
      <w:r>
        <w:rPr>
          <w:rFonts w:ascii="Times New Roman" w:hAnsi="Times New Roman" w:cs="Times New Roman"/>
          <w:sz w:val="24"/>
          <w:szCs w:val="24"/>
        </w:rPr>
        <w:t>.</w:t>
      </w:r>
      <w:r w:rsidR="00F55BDD">
        <w:rPr>
          <w:rFonts w:ascii="Times New Roman" w:hAnsi="Times New Roman" w:cs="Times New Roman"/>
          <w:sz w:val="24"/>
          <w:szCs w:val="24"/>
        </w:rPr>
        <w:t xml:space="preserve"> </w:t>
      </w:r>
      <w:r w:rsidRPr="00F55BDD" w:rsidR="00F55BDD">
        <w:rPr>
          <w:rFonts w:ascii="Times New Roman" w:hAnsi="Times New Roman" w:cs="Times New Roman"/>
          <w:sz w:val="24"/>
          <w:szCs w:val="24"/>
        </w:rPr>
        <w:t>If the information is collected less frequently or not collected, APHIS will be unable to process reagent orders and provide requested training</w:t>
      </w:r>
      <w:r w:rsidRPr="00416740" w:rsidR="00F55BDD">
        <w:rPr>
          <w:rFonts w:ascii="Times New Roman" w:hAnsi="Times New Roman" w:cs="Times New Roman"/>
          <w:sz w:val="24"/>
          <w:szCs w:val="24"/>
        </w:rPr>
        <w:t>. The reagents, test kits, and testing supplies the NVSL distributes are critical for veterinary diagnostic testing and cannot be bought elsewhere. The training the NVSL provides is necessary to ensure that APHIS-approved laboratories are conducting diagnostic testing in the proper manner with proficient personnel, and in some circumstances cannot be conducted in alternative locations. Both service activities are critical to the NVSL mission as the USDA’s national reference laboratory.</w:t>
      </w:r>
    </w:p>
    <w:p w:rsidR="0069023C" w:rsidP="0069023C" w14:paraId="47172B3C" w14:textId="77777777">
      <w:pPr>
        <w:ind w:left="360"/>
        <w:rPr>
          <w:rFonts w:ascii="Times New Roman" w:hAnsi="Times New Roman" w:cs="Times New Roman"/>
          <w:sz w:val="24"/>
          <w:szCs w:val="24"/>
        </w:rPr>
      </w:pPr>
    </w:p>
    <w:p w:rsidR="00427EBA" w:rsidRPr="0069023C" w:rsidP="00427EBA" w14:paraId="42D0F96F" w14:textId="77777777">
      <w:pPr>
        <w:rPr>
          <w:rFonts w:ascii="Times New Roman" w:hAnsi="Times New Roman" w:cs="Times New Roman"/>
          <w:sz w:val="24"/>
          <w:szCs w:val="24"/>
        </w:rPr>
      </w:pPr>
    </w:p>
    <w:p w:rsidR="00427EBA" w:rsidRPr="00C0175C" w:rsidP="00427EBA" w14:paraId="5C27B243" w14:textId="38E164B5">
      <w:pPr>
        <w:pStyle w:val="ListParagraph"/>
        <w:numPr>
          <w:ilvl w:val="0"/>
          <w:numId w:val="2"/>
        </w:numPr>
        <w:rPr>
          <w:rFonts w:ascii="Times New Roman" w:hAnsi="Times New Roman" w:cs="Times New Roman"/>
          <w:b/>
          <w:bCs/>
          <w:sz w:val="24"/>
          <w:szCs w:val="24"/>
        </w:rPr>
      </w:pPr>
      <w:bookmarkStart w:id="10" w:name="_Toc173393797"/>
      <w:r w:rsidRPr="00BE36B1">
        <w:rPr>
          <w:rStyle w:val="Heading2Char"/>
          <w:rFonts w:ascii="Times New Roman" w:hAnsi="Times New Roman" w:cs="Times New Roman"/>
          <w:b/>
          <w:bCs/>
          <w:color w:val="auto"/>
          <w:sz w:val="24"/>
          <w:szCs w:val="24"/>
        </w:rPr>
        <w:t>Explain any special circumstances</w:t>
      </w:r>
      <w:bookmarkEnd w:id="10"/>
      <w:r w:rsidRPr="00BE36B1">
        <w:rPr>
          <w:rFonts w:ascii="Times New Roman" w:hAnsi="Times New Roman" w:cs="Times New Roman"/>
          <w:b/>
          <w:bCs/>
          <w:sz w:val="24"/>
          <w:szCs w:val="24"/>
        </w:rPr>
        <w:t xml:space="preserve"> that</w:t>
      </w:r>
      <w:r w:rsidRPr="00C0175C">
        <w:rPr>
          <w:rFonts w:ascii="Times New Roman" w:hAnsi="Times New Roman" w:cs="Times New Roman"/>
          <w:b/>
          <w:bCs/>
          <w:sz w:val="24"/>
          <w:szCs w:val="24"/>
        </w:rPr>
        <w:t xml:space="preserve"> would cause an information collection to be conducted in a manner:</w:t>
      </w:r>
    </w:p>
    <w:p w:rsidR="0069023C" w:rsidRPr="00C0175C" w:rsidP="00AB5ED7" w14:paraId="6F866CAB" w14:textId="77777777">
      <w:pPr>
        <w:pStyle w:val="ListParagraph"/>
        <w:numPr>
          <w:ilvl w:val="0"/>
          <w:numId w:val="3"/>
        </w:numPr>
        <w:spacing w:before="120" w:after="120"/>
        <w:contextualSpacing w:val="0"/>
        <w:rPr>
          <w:rFonts w:ascii="Times New Roman" w:hAnsi="Times New Roman" w:cs="Times New Roman"/>
          <w:b/>
          <w:bCs/>
          <w:sz w:val="24"/>
          <w:szCs w:val="24"/>
        </w:rPr>
      </w:pPr>
      <w:r w:rsidRPr="00C0175C">
        <w:rPr>
          <w:rFonts w:ascii="Times New Roman" w:hAnsi="Times New Roman" w:cs="Times New Roman"/>
          <w:b/>
          <w:bCs/>
          <w:sz w:val="24"/>
          <w:szCs w:val="24"/>
        </w:rPr>
        <w:t>requiring respondents to report information to the agency more often than quarterly;</w:t>
      </w:r>
    </w:p>
    <w:p w:rsidR="0069023C" w:rsidRPr="00C0175C" w:rsidP="00AB5ED7" w14:paraId="093E8379" w14:textId="77777777">
      <w:pPr>
        <w:pStyle w:val="ListParagraph"/>
        <w:numPr>
          <w:ilvl w:val="0"/>
          <w:numId w:val="3"/>
        </w:numPr>
        <w:spacing w:before="120" w:after="120"/>
        <w:contextualSpacing w:val="0"/>
        <w:rPr>
          <w:rFonts w:ascii="Times New Roman" w:hAnsi="Times New Roman" w:cs="Times New Roman"/>
          <w:b/>
          <w:bCs/>
          <w:sz w:val="24"/>
          <w:szCs w:val="24"/>
        </w:rPr>
      </w:pPr>
      <w:r w:rsidRPr="00C0175C">
        <w:rPr>
          <w:rFonts w:ascii="Times New Roman" w:hAnsi="Times New Roman" w:cs="Times New Roman"/>
          <w:b/>
          <w:bCs/>
          <w:sz w:val="24"/>
          <w:szCs w:val="24"/>
        </w:rPr>
        <w:t>requiring respondents to prepare a written response to a collection of information in fewer than 30 days after receipt of it;</w:t>
      </w:r>
    </w:p>
    <w:p w:rsidR="0069023C" w:rsidRPr="00C0175C" w:rsidP="00AB5ED7" w14:paraId="69F107AD" w14:textId="77777777">
      <w:pPr>
        <w:pStyle w:val="ListParagraph"/>
        <w:numPr>
          <w:ilvl w:val="0"/>
          <w:numId w:val="3"/>
        </w:numPr>
        <w:spacing w:before="120" w:after="120"/>
        <w:contextualSpacing w:val="0"/>
        <w:rPr>
          <w:rFonts w:ascii="Times New Roman" w:hAnsi="Times New Roman" w:cs="Times New Roman"/>
          <w:b/>
          <w:bCs/>
          <w:sz w:val="24"/>
          <w:szCs w:val="24"/>
        </w:rPr>
      </w:pPr>
      <w:r w:rsidRPr="00C0175C">
        <w:rPr>
          <w:rFonts w:ascii="Times New Roman" w:hAnsi="Times New Roman" w:cs="Times New Roman"/>
          <w:b/>
          <w:bCs/>
          <w:sz w:val="24"/>
          <w:szCs w:val="24"/>
        </w:rPr>
        <w:t>requiring respondents to submit more than an original and two copies of any document;</w:t>
      </w:r>
    </w:p>
    <w:p w:rsidR="0069023C" w:rsidRPr="00C0175C" w:rsidP="00AB5ED7" w14:paraId="4422BD9B" w14:textId="77777777">
      <w:pPr>
        <w:pStyle w:val="ListParagraph"/>
        <w:numPr>
          <w:ilvl w:val="0"/>
          <w:numId w:val="3"/>
        </w:numPr>
        <w:spacing w:before="120" w:after="120"/>
        <w:contextualSpacing w:val="0"/>
        <w:rPr>
          <w:rFonts w:ascii="Times New Roman" w:hAnsi="Times New Roman" w:cs="Times New Roman"/>
          <w:b/>
          <w:bCs/>
          <w:sz w:val="24"/>
          <w:szCs w:val="24"/>
        </w:rPr>
      </w:pPr>
      <w:r w:rsidRPr="00C0175C">
        <w:rPr>
          <w:rFonts w:ascii="Times New Roman" w:hAnsi="Times New Roman" w:cs="Times New Roman"/>
          <w:b/>
          <w:bCs/>
          <w:sz w:val="24"/>
          <w:szCs w:val="24"/>
        </w:rPr>
        <w:t>requiring respondents to retain records, other than health, medical, government contract, grant-in-aid, or tax records for more than three years;</w:t>
      </w:r>
    </w:p>
    <w:p w:rsidR="0069023C" w:rsidRPr="00C0175C" w:rsidP="00AB5ED7" w14:paraId="5B58ABCB" w14:textId="77777777">
      <w:pPr>
        <w:pStyle w:val="ListParagraph"/>
        <w:numPr>
          <w:ilvl w:val="0"/>
          <w:numId w:val="3"/>
        </w:numPr>
        <w:spacing w:before="120" w:after="120"/>
        <w:contextualSpacing w:val="0"/>
        <w:rPr>
          <w:rFonts w:ascii="Times New Roman" w:hAnsi="Times New Roman" w:cs="Times New Roman"/>
          <w:b/>
          <w:bCs/>
          <w:sz w:val="24"/>
          <w:szCs w:val="24"/>
        </w:rPr>
      </w:pPr>
      <w:r w:rsidRPr="00C0175C">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69023C" w:rsidRPr="00C0175C" w:rsidP="00AB5ED7" w14:paraId="3C8A3184" w14:textId="77777777">
      <w:pPr>
        <w:pStyle w:val="ListParagraph"/>
        <w:numPr>
          <w:ilvl w:val="0"/>
          <w:numId w:val="3"/>
        </w:numPr>
        <w:spacing w:before="120" w:after="120"/>
        <w:contextualSpacing w:val="0"/>
        <w:rPr>
          <w:rFonts w:ascii="Times New Roman" w:hAnsi="Times New Roman" w:cs="Times New Roman"/>
          <w:b/>
          <w:bCs/>
          <w:sz w:val="24"/>
          <w:szCs w:val="24"/>
        </w:rPr>
      </w:pPr>
      <w:r w:rsidRPr="00C0175C">
        <w:rPr>
          <w:rFonts w:ascii="Times New Roman" w:hAnsi="Times New Roman" w:cs="Times New Roman"/>
          <w:b/>
          <w:bCs/>
          <w:sz w:val="24"/>
          <w:szCs w:val="24"/>
        </w:rPr>
        <w:t>requiring the use of a statistical data classification that has not been reviewed and approved by OMB;</w:t>
      </w:r>
    </w:p>
    <w:p w:rsidR="0069023C" w:rsidRPr="00C0175C" w:rsidP="00AB5ED7" w14:paraId="19647965" w14:textId="77777777">
      <w:pPr>
        <w:pStyle w:val="ListParagraph"/>
        <w:numPr>
          <w:ilvl w:val="0"/>
          <w:numId w:val="3"/>
        </w:numPr>
        <w:spacing w:before="120" w:after="120"/>
        <w:contextualSpacing w:val="0"/>
        <w:rPr>
          <w:rFonts w:ascii="Times New Roman" w:hAnsi="Times New Roman" w:cs="Times New Roman"/>
          <w:b/>
          <w:bCs/>
          <w:sz w:val="24"/>
          <w:szCs w:val="24"/>
        </w:rPr>
      </w:pPr>
      <w:r w:rsidRPr="00C0175C">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7EBA" w:rsidRPr="00C0175C" w:rsidP="00AB5ED7" w14:paraId="49BA147F" w14:textId="62B01D64">
      <w:pPr>
        <w:pStyle w:val="ListParagraph"/>
        <w:numPr>
          <w:ilvl w:val="0"/>
          <w:numId w:val="3"/>
        </w:numPr>
        <w:spacing w:before="120" w:after="120"/>
        <w:contextualSpacing w:val="0"/>
        <w:rPr>
          <w:rFonts w:ascii="Times New Roman" w:hAnsi="Times New Roman" w:cs="Times New Roman"/>
          <w:b/>
          <w:bCs/>
          <w:sz w:val="24"/>
          <w:szCs w:val="24"/>
        </w:rPr>
      </w:pPr>
      <w:r w:rsidRPr="00C0175C">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27EBA" w:rsidRPr="0069023C" w:rsidP="0069023C" w14:paraId="02B12215" w14:textId="1CF40647">
      <w:pPr>
        <w:ind w:left="360"/>
        <w:rPr>
          <w:rFonts w:ascii="Times New Roman" w:hAnsi="Times New Roman" w:cs="Times New Roman"/>
          <w:sz w:val="24"/>
          <w:szCs w:val="24"/>
        </w:rPr>
      </w:pPr>
      <w:r w:rsidRPr="00AB5ED7">
        <w:rPr>
          <w:rFonts w:ascii="Times New Roman" w:hAnsi="Times New Roman" w:cs="Times New Roman"/>
          <w:sz w:val="24"/>
          <w:szCs w:val="24"/>
        </w:rPr>
        <w:t>No special circumstances exist that would require this collection to be conducted in a manner inconsistent with the general information collection guidelines in 5 CFR 1320.5.</w:t>
      </w:r>
    </w:p>
    <w:p w:rsidR="00427EBA" w:rsidP="00427EBA" w14:paraId="60754037" w14:textId="77777777">
      <w:pPr>
        <w:rPr>
          <w:rFonts w:ascii="Times New Roman" w:hAnsi="Times New Roman" w:cs="Times New Roman"/>
          <w:sz w:val="24"/>
          <w:szCs w:val="24"/>
        </w:rPr>
      </w:pPr>
    </w:p>
    <w:p w:rsidR="00AB5ED7" w:rsidRPr="0069023C" w:rsidP="00427EBA" w14:paraId="22163DCD" w14:textId="77777777">
      <w:pPr>
        <w:rPr>
          <w:rFonts w:ascii="Times New Roman" w:hAnsi="Times New Roman" w:cs="Times New Roman"/>
          <w:sz w:val="24"/>
          <w:szCs w:val="24"/>
        </w:rPr>
      </w:pPr>
    </w:p>
    <w:p w:rsidR="00427EBA" w:rsidRPr="00C0175C" w:rsidP="00BF5336" w14:paraId="70429EE8" w14:textId="038BDF1C">
      <w:pPr>
        <w:pStyle w:val="ListParagraph"/>
        <w:numPr>
          <w:ilvl w:val="0"/>
          <w:numId w:val="2"/>
        </w:numPr>
        <w:rPr>
          <w:rFonts w:ascii="Times New Roman" w:hAnsi="Times New Roman" w:cs="Times New Roman"/>
          <w:b/>
          <w:bCs/>
          <w:sz w:val="24"/>
          <w:szCs w:val="24"/>
        </w:rPr>
      </w:pPr>
      <w:bookmarkStart w:id="11" w:name="_Toc173393798"/>
      <w:r w:rsidRPr="00BE36B1">
        <w:rPr>
          <w:rStyle w:val="Heading2Char"/>
          <w:rFonts w:ascii="Times New Roman" w:hAnsi="Times New Roman" w:cs="Times New Roman"/>
          <w:b/>
          <w:bCs/>
          <w:color w:val="auto"/>
          <w:sz w:val="24"/>
          <w:szCs w:val="24"/>
        </w:rPr>
        <w:t>Federal Register notice and consultation.</w:t>
      </w:r>
      <w:bookmarkEnd w:id="11"/>
      <w:r w:rsidRPr="00BE36B1">
        <w:rPr>
          <w:rStyle w:val="Heading2Char"/>
          <w:color w:val="auto"/>
        </w:rPr>
        <w:t xml:space="preserve"> </w:t>
      </w:r>
      <w:r w:rsidRPr="00C0175C">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0175C" w:rsidR="00BF5336">
        <w:rPr>
          <w:rFonts w:ascii="Times New Roman" w:hAnsi="Times New Roman" w:cs="Times New Roman"/>
          <w:b/>
          <w:bCs/>
          <w:sz w:val="24"/>
          <w:szCs w:val="24"/>
        </w:rPr>
        <w:t>.</w:t>
      </w:r>
    </w:p>
    <w:p w:rsidR="00BF5336" w:rsidRPr="00C0175C" w:rsidP="00BF5336" w14:paraId="7A27E1E9" w14:textId="77777777">
      <w:pPr>
        <w:rPr>
          <w:rFonts w:ascii="Times New Roman" w:hAnsi="Times New Roman" w:cs="Times New Roman"/>
          <w:b/>
          <w:bCs/>
          <w:sz w:val="24"/>
          <w:szCs w:val="24"/>
        </w:rPr>
      </w:pPr>
    </w:p>
    <w:p w:rsidR="00D834CD" w:rsidRPr="00E02247" w:rsidP="00D834CD" w14:paraId="25304589" w14:textId="77777777">
      <w:pPr>
        <w:ind w:left="360"/>
        <w:rPr>
          <w:rFonts w:ascii="Times New Roman" w:hAnsi="Times New Roman" w:cs="Times New Roman"/>
          <w:sz w:val="24"/>
          <w:szCs w:val="24"/>
        </w:rPr>
      </w:pPr>
      <w:r>
        <w:rPr>
          <w:rFonts w:ascii="Times New Roman" w:hAnsi="Times New Roman" w:cs="Times New Roman"/>
          <w:sz w:val="24"/>
          <w:szCs w:val="24"/>
        </w:rPr>
        <w:t xml:space="preserve">APHIS consulted with the three individuals listed below (outside the agency) for this information collection request to obtain their views on the activities. The consultation with these individual stakeholders occurred by email and phone to discuss the information outlined in this package, i.e., the information APHIS collects to distribute reagents, forms, and other supplies, and track requests for laboratory testing, reagent use, and other lab-adjacent training. </w:t>
      </w:r>
      <w:r w:rsidRPr="00CB1528">
        <w:rPr>
          <w:rFonts w:ascii="Times New Roman" w:hAnsi="Times New Roman" w:cs="Times New Roman"/>
          <w:sz w:val="24"/>
          <w:szCs w:val="24"/>
        </w:rPr>
        <w:t>APHIS discussed the need for the data and frequency of collection; whether the forms were easy to use; and the clarity of, and necessity for, any recordkeeping requirements. The respondents stated they had no concerns with any of these activities and had no further recommendations.</w:t>
      </w:r>
    </w:p>
    <w:p w:rsidR="00E02247" w:rsidP="00E02247" w14:paraId="731F066E" w14:textId="77777777">
      <w:pPr>
        <w:ind w:left="360"/>
        <w:rPr>
          <w:rFonts w:ascii="Times New Roman" w:hAnsi="Times New Roman" w:cs="Times New Roman"/>
          <w:sz w:val="24"/>
          <w:szCs w:val="24"/>
        </w:rPr>
      </w:pPr>
    </w:p>
    <w:p w:rsidR="00E02247" w:rsidP="00E02247" w14:paraId="2DD847BB" w14:textId="0DDDBC2C">
      <w:pPr>
        <w:ind w:left="360"/>
        <w:rPr>
          <w:rFonts w:ascii="Times New Roman" w:hAnsi="Times New Roman" w:cs="Times New Roman"/>
          <w:sz w:val="24"/>
          <w:szCs w:val="24"/>
        </w:rPr>
      </w:pPr>
      <w:r>
        <w:rPr>
          <w:rFonts w:ascii="Times New Roman" w:hAnsi="Times New Roman" w:cs="Times New Roman"/>
          <w:sz w:val="24"/>
          <w:szCs w:val="24"/>
        </w:rPr>
        <w:t>Jennifer W.</w:t>
      </w:r>
    </w:p>
    <w:p w:rsidR="00E02247" w:rsidRPr="00E02247" w:rsidP="00E02247" w14:paraId="19F7FF36" w14:textId="77777777">
      <w:pPr>
        <w:ind w:left="360"/>
        <w:rPr>
          <w:rFonts w:ascii="Times New Roman" w:hAnsi="Times New Roman" w:cs="Times New Roman"/>
          <w:sz w:val="24"/>
          <w:szCs w:val="24"/>
        </w:rPr>
      </w:pPr>
      <w:r w:rsidRPr="00E02247">
        <w:rPr>
          <w:rFonts w:ascii="Times New Roman" w:hAnsi="Times New Roman" w:cs="Times New Roman"/>
          <w:sz w:val="24"/>
          <w:szCs w:val="24"/>
        </w:rPr>
        <w:t>Administrative Coordination Specialist</w:t>
      </w:r>
    </w:p>
    <w:p w:rsidR="00E02247" w:rsidP="00E02247" w14:paraId="5A067FB3" w14:textId="77777777">
      <w:pPr>
        <w:ind w:left="360"/>
        <w:rPr>
          <w:rFonts w:ascii="Times New Roman" w:hAnsi="Times New Roman" w:cs="Times New Roman"/>
          <w:sz w:val="24"/>
          <w:szCs w:val="24"/>
        </w:rPr>
      </w:pPr>
      <w:r w:rsidRPr="00E02247">
        <w:rPr>
          <w:rFonts w:ascii="Times New Roman" w:hAnsi="Times New Roman" w:cs="Times New Roman"/>
          <w:sz w:val="24"/>
          <w:szCs w:val="24"/>
        </w:rPr>
        <w:t>Texas A&amp;M Veterinary Medical Diagnostic Laboratory (TVMDL)</w:t>
      </w:r>
    </w:p>
    <w:p w:rsidR="00416740" w:rsidRPr="00E02247" w:rsidP="00E02247" w14:paraId="2B644B4F" w14:textId="38DCCA84">
      <w:pPr>
        <w:ind w:left="360"/>
        <w:rPr>
          <w:rFonts w:ascii="Times New Roman" w:hAnsi="Times New Roman" w:cs="Times New Roman"/>
          <w:sz w:val="24"/>
          <w:szCs w:val="24"/>
        </w:rPr>
      </w:pPr>
      <w:r>
        <w:rPr>
          <w:rFonts w:ascii="Times New Roman" w:hAnsi="Times New Roman" w:cs="Times New Roman"/>
          <w:sz w:val="24"/>
          <w:szCs w:val="24"/>
        </w:rPr>
        <w:t>979-845-3414</w:t>
      </w:r>
    </w:p>
    <w:p w:rsidR="00E02247" w:rsidRPr="00E02247" w:rsidP="00E02247" w14:paraId="5058EC3D" w14:textId="77777777">
      <w:pPr>
        <w:ind w:left="360"/>
        <w:rPr>
          <w:rFonts w:ascii="Times New Roman" w:hAnsi="Times New Roman" w:cs="Times New Roman"/>
          <w:sz w:val="24"/>
          <w:szCs w:val="24"/>
        </w:rPr>
      </w:pPr>
    </w:p>
    <w:p w:rsidR="00E02247" w:rsidRPr="00E02247" w:rsidP="00E02247" w14:paraId="7E6BC3E3" w14:textId="37A7ADDA">
      <w:pPr>
        <w:ind w:left="360"/>
        <w:rPr>
          <w:rFonts w:ascii="Times New Roman" w:hAnsi="Times New Roman" w:cs="Times New Roman"/>
          <w:sz w:val="24"/>
          <w:szCs w:val="24"/>
        </w:rPr>
      </w:pPr>
      <w:r w:rsidRPr="00E02247">
        <w:rPr>
          <w:rFonts w:ascii="Times New Roman" w:hAnsi="Times New Roman" w:cs="Times New Roman"/>
          <w:sz w:val="24"/>
          <w:szCs w:val="24"/>
        </w:rPr>
        <w:t>Lynn B</w:t>
      </w:r>
      <w:r>
        <w:rPr>
          <w:rFonts w:ascii="Times New Roman" w:hAnsi="Times New Roman" w:cs="Times New Roman"/>
          <w:sz w:val="24"/>
          <w:szCs w:val="24"/>
        </w:rPr>
        <w:t>.</w:t>
      </w:r>
    </w:p>
    <w:p w:rsidR="00E02247" w:rsidRPr="00E02247" w:rsidP="00E02247" w14:paraId="0746D29B" w14:textId="77777777">
      <w:pPr>
        <w:ind w:left="360"/>
        <w:rPr>
          <w:rFonts w:ascii="Times New Roman" w:hAnsi="Times New Roman" w:cs="Times New Roman"/>
          <w:sz w:val="24"/>
          <w:szCs w:val="24"/>
        </w:rPr>
      </w:pPr>
      <w:r w:rsidRPr="00E02247">
        <w:rPr>
          <w:rFonts w:ascii="Times New Roman" w:hAnsi="Times New Roman" w:cs="Times New Roman"/>
          <w:sz w:val="24"/>
          <w:szCs w:val="24"/>
        </w:rPr>
        <w:t>Research and Information Specialist</w:t>
      </w:r>
    </w:p>
    <w:p w:rsidR="00E02247" w:rsidP="00E02247" w14:paraId="430A3097" w14:textId="77777777">
      <w:pPr>
        <w:ind w:left="360"/>
        <w:rPr>
          <w:rFonts w:ascii="Times New Roman" w:hAnsi="Times New Roman" w:cs="Times New Roman"/>
          <w:sz w:val="24"/>
          <w:szCs w:val="24"/>
        </w:rPr>
      </w:pPr>
      <w:r w:rsidRPr="00E02247">
        <w:rPr>
          <w:rFonts w:ascii="Times New Roman" w:hAnsi="Times New Roman" w:cs="Times New Roman"/>
          <w:sz w:val="24"/>
          <w:szCs w:val="24"/>
        </w:rPr>
        <w:t xml:space="preserve">Perdue Farms, Inc. </w:t>
      </w:r>
    </w:p>
    <w:p w:rsidR="00416740" w:rsidRPr="00E02247" w:rsidP="00E02247" w14:paraId="2F6C14D0" w14:textId="221D052F">
      <w:pPr>
        <w:ind w:left="360"/>
        <w:rPr>
          <w:rFonts w:ascii="Times New Roman" w:hAnsi="Times New Roman" w:cs="Times New Roman"/>
          <w:sz w:val="24"/>
          <w:szCs w:val="24"/>
        </w:rPr>
      </w:pPr>
      <w:r>
        <w:rPr>
          <w:rFonts w:ascii="Times New Roman" w:hAnsi="Times New Roman" w:cs="Times New Roman"/>
          <w:sz w:val="24"/>
          <w:szCs w:val="24"/>
        </w:rPr>
        <w:t>410-543-3269</w:t>
      </w:r>
    </w:p>
    <w:p w:rsidR="00E02247" w:rsidRPr="00E02247" w:rsidP="00E02247" w14:paraId="2A5488F6" w14:textId="77777777">
      <w:pPr>
        <w:ind w:left="360"/>
        <w:rPr>
          <w:rFonts w:ascii="Times New Roman" w:hAnsi="Times New Roman" w:cs="Times New Roman"/>
          <w:sz w:val="24"/>
          <w:szCs w:val="24"/>
        </w:rPr>
      </w:pPr>
    </w:p>
    <w:p w:rsidR="00E02247" w:rsidRPr="00E02247" w:rsidP="00E02247" w14:paraId="08170C41" w14:textId="0F8A65C3">
      <w:pPr>
        <w:ind w:left="360"/>
        <w:rPr>
          <w:rFonts w:ascii="Times New Roman" w:hAnsi="Times New Roman" w:cs="Times New Roman"/>
          <w:sz w:val="24"/>
          <w:szCs w:val="24"/>
        </w:rPr>
      </w:pPr>
      <w:r w:rsidRPr="00E02247">
        <w:rPr>
          <w:rFonts w:ascii="Times New Roman" w:hAnsi="Times New Roman" w:cs="Times New Roman"/>
          <w:sz w:val="24"/>
          <w:szCs w:val="24"/>
        </w:rPr>
        <w:t>Lester B</w:t>
      </w:r>
      <w:r>
        <w:rPr>
          <w:rFonts w:ascii="Times New Roman" w:hAnsi="Times New Roman" w:cs="Times New Roman"/>
          <w:sz w:val="24"/>
          <w:szCs w:val="24"/>
        </w:rPr>
        <w:t>.</w:t>
      </w:r>
    </w:p>
    <w:p w:rsidR="00E02247" w:rsidRPr="00E02247" w:rsidP="00E02247" w14:paraId="773DC6A4" w14:textId="77777777">
      <w:pPr>
        <w:ind w:left="360"/>
        <w:rPr>
          <w:rFonts w:ascii="Times New Roman" w:hAnsi="Times New Roman" w:cs="Times New Roman"/>
          <w:sz w:val="24"/>
          <w:szCs w:val="24"/>
        </w:rPr>
      </w:pPr>
      <w:r w:rsidRPr="00E02247">
        <w:rPr>
          <w:rFonts w:ascii="Times New Roman" w:hAnsi="Times New Roman" w:cs="Times New Roman"/>
          <w:sz w:val="24"/>
          <w:szCs w:val="24"/>
        </w:rPr>
        <w:t>Lab Technician</w:t>
      </w:r>
    </w:p>
    <w:p w:rsidR="00E02247" w:rsidP="00E02247" w14:paraId="17FA8827" w14:textId="77777777">
      <w:pPr>
        <w:ind w:left="360"/>
        <w:rPr>
          <w:rFonts w:ascii="Times New Roman" w:hAnsi="Times New Roman" w:cs="Times New Roman"/>
          <w:sz w:val="24"/>
          <w:szCs w:val="24"/>
        </w:rPr>
      </w:pPr>
      <w:r w:rsidRPr="00E02247">
        <w:rPr>
          <w:rFonts w:ascii="Times New Roman" w:hAnsi="Times New Roman" w:cs="Times New Roman"/>
          <w:sz w:val="24"/>
          <w:szCs w:val="24"/>
        </w:rPr>
        <w:t>Murray State University</w:t>
      </w:r>
    </w:p>
    <w:p w:rsidR="00416740" w:rsidRPr="00E02247" w:rsidP="00E02247" w14:paraId="01A85B5D" w14:textId="6A5D5C11">
      <w:pPr>
        <w:ind w:left="360"/>
        <w:rPr>
          <w:rFonts w:ascii="Times New Roman" w:hAnsi="Times New Roman" w:cs="Times New Roman"/>
          <w:sz w:val="24"/>
          <w:szCs w:val="24"/>
        </w:rPr>
      </w:pPr>
      <w:r>
        <w:rPr>
          <w:rFonts w:ascii="Times New Roman" w:hAnsi="Times New Roman" w:cs="Times New Roman"/>
          <w:sz w:val="24"/>
          <w:szCs w:val="24"/>
        </w:rPr>
        <w:t>270-886-3959</w:t>
      </w:r>
    </w:p>
    <w:p w:rsidR="00BF5336" w:rsidP="00BF5336" w14:paraId="635164A4" w14:textId="2388AB53">
      <w:pPr>
        <w:ind w:left="360"/>
        <w:rPr>
          <w:rFonts w:ascii="Times New Roman" w:hAnsi="Times New Roman" w:cs="Times New Roman"/>
          <w:sz w:val="24"/>
          <w:szCs w:val="24"/>
        </w:rPr>
      </w:pPr>
      <w:r w:rsidRPr="00ED7E70">
        <w:rPr>
          <w:rFonts w:ascii="Times New Roman" w:hAnsi="Times New Roman" w:cs="Times New Roman"/>
          <w:sz w:val="24"/>
          <w:szCs w:val="24"/>
        </w:rPr>
        <w:t xml:space="preserve">On </w:t>
      </w:r>
      <w:r w:rsidRPr="00ED7E70" w:rsidR="00587C75">
        <w:rPr>
          <w:rFonts w:ascii="Times New Roman" w:hAnsi="Times New Roman" w:cs="Times New Roman"/>
          <w:sz w:val="24"/>
          <w:szCs w:val="24"/>
        </w:rPr>
        <w:t xml:space="preserve">Monday, July 16, 2024, </w:t>
      </w:r>
      <w:r w:rsidRPr="00ED7E70">
        <w:rPr>
          <w:rFonts w:ascii="Times New Roman" w:hAnsi="Times New Roman" w:cs="Times New Roman"/>
          <w:sz w:val="24"/>
          <w:szCs w:val="24"/>
        </w:rPr>
        <w:t>APHIS published in the Federal Register (</w:t>
      </w:r>
      <w:r w:rsidRPr="00ED7E70" w:rsidR="00ED7E70">
        <w:rPr>
          <w:rFonts w:ascii="Times New Roman" w:hAnsi="Times New Roman" w:cs="Times New Roman"/>
          <w:sz w:val="24"/>
          <w:szCs w:val="24"/>
        </w:rPr>
        <w:t>89</w:t>
      </w:r>
      <w:r w:rsidRPr="00ED7E70">
        <w:rPr>
          <w:rFonts w:ascii="Times New Roman" w:hAnsi="Times New Roman" w:cs="Times New Roman"/>
          <w:sz w:val="24"/>
          <w:szCs w:val="24"/>
        </w:rPr>
        <w:t xml:space="preserve"> FR </w:t>
      </w:r>
      <w:r w:rsidRPr="00ED7E70" w:rsidR="00ED7E70">
        <w:rPr>
          <w:rFonts w:ascii="Times New Roman" w:hAnsi="Times New Roman" w:cs="Times New Roman"/>
          <w:sz w:val="24"/>
          <w:szCs w:val="24"/>
        </w:rPr>
        <w:t>57843</w:t>
      </w:r>
      <w:r w:rsidRPr="00ED7E70">
        <w:rPr>
          <w:rFonts w:ascii="Times New Roman" w:hAnsi="Times New Roman" w:cs="Times New Roman"/>
          <w:sz w:val="24"/>
          <w:szCs w:val="24"/>
        </w:rPr>
        <w:t>), a 60</w:t>
      </w:r>
      <w:r w:rsidRPr="00ED7E70" w:rsidR="00587C75">
        <w:rPr>
          <w:rFonts w:ascii="Times New Roman" w:hAnsi="Times New Roman" w:cs="Times New Roman"/>
          <w:sz w:val="24"/>
          <w:szCs w:val="24"/>
        </w:rPr>
        <w:noBreakHyphen/>
      </w:r>
      <w:r w:rsidRPr="00ED7E70">
        <w:rPr>
          <w:rFonts w:ascii="Times New Roman" w:hAnsi="Times New Roman" w:cs="Times New Roman"/>
          <w:sz w:val="24"/>
          <w:szCs w:val="24"/>
        </w:rPr>
        <w:t xml:space="preserve">day notice seeking public comments on its plan to request a 3-year renewal of this </w:t>
      </w:r>
      <w:r w:rsidRPr="008C628E">
        <w:rPr>
          <w:rFonts w:ascii="Times New Roman" w:hAnsi="Times New Roman" w:cs="Times New Roman"/>
          <w:sz w:val="24"/>
          <w:szCs w:val="24"/>
        </w:rPr>
        <w:t xml:space="preserve">collection of information. APHIS </w:t>
      </w:r>
      <w:r w:rsidRPr="008C628E" w:rsidR="008C628E">
        <w:rPr>
          <w:rFonts w:ascii="Times New Roman" w:hAnsi="Times New Roman" w:cs="Times New Roman"/>
          <w:sz w:val="24"/>
          <w:szCs w:val="24"/>
        </w:rPr>
        <w:t>did not receive any comments from the public.</w:t>
      </w:r>
    </w:p>
    <w:p w:rsidR="00BF5336" w:rsidP="00BF5336" w14:paraId="179FAA35" w14:textId="77777777">
      <w:pPr>
        <w:ind w:left="360"/>
        <w:rPr>
          <w:rFonts w:ascii="Times New Roman" w:hAnsi="Times New Roman" w:cs="Times New Roman"/>
          <w:sz w:val="24"/>
          <w:szCs w:val="24"/>
        </w:rPr>
      </w:pPr>
    </w:p>
    <w:p w:rsidR="00BF5336" w:rsidRPr="00BE36B1" w:rsidP="00BF5336" w14:paraId="7883EB32" w14:textId="77777777">
      <w:pPr>
        <w:ind w:left="360"/>
        <w:rPr>
          <w:rFonts w:ascii="Times New Roman" w:hAnsi="Times New Roman" w:cs="Times New Roman"/>
          <w:b/>
          <w:bCs/>
          <w:sz w:val="24"/>
          <w:szCs w:val="24"/>
        </w:rPr>
      </w:pPr>
    </w:p>
    <w:p w:rsidR="00427EBA" w:rsidRPr="00673E22" w:rsidP="00673E22" w14:paraId="15382429" w14:textId="172F90F5">
      <w:pPr>
        <w:pStyle w:val="ListParagraph"/>
        <w:numPr>
          <w:ilvl w:val="0"/>
          <w:numId w:val="2"/>
        </w:numPr>
        <w:rPr>
          <w:rFonts w:ascii="Times New Roman" w:hAnsi="Times New Roman" w:cs="Times New Roman"/>
          <w:b/>
          <w:bCs/>
          <w:sz w:val="24"/>
          <w:szCs w:val="24"/>
        </w:rPr>
      </w:pPr>
      <w:bookmarkStart w:id="12" w:name="_Toc173393799"/>
      <w:r w:rsidRPr="00BE36B1">
        <w:rPr>
          <w:rStyle w:val="Heading2Char"/>
          <w:rFonts w:ascii="Times New Roman" w:hAnsi="Times New Roman" w:cs="Times New Roman"/>
          <w:b/>
          <w:bCs/>
          <w:color w:val="auto"/>
        </w:rPr>
        <w:t>Explain any decision to provide any payment or gift to respondents</w:t>
      </w:r>
      <w:bookmarkEnd w:id="12"/>
      <w:r w:rsidRPr="00BE36B1">
        <w:rPr>
          <w:rFonts w:ascii="Times New Roman" w:hAnsi="Times New Roman" w:cs="Times New Roman"/>
          <w:b/>
          <w:bCs/>
          <w:sz w:val="24"/>
          <w:szCs w:val="24"/>
        </w:rPr>
        <w:t xml:space="preserve">, other </w:t>
      </w:r>
      <w:r w:rsidRPr="00673E22">
        <w:rPr>
          <w:rFonts w:ascii="Times New Roman" w:hAnsi="Times New Roman" w:cs="Times New Roman"/>
          <w:b/>
          <w:bCs/>
          <w:sz w:val="24"/>
          <w:szCs w:val="24"/>
        </w:rPr>
        <w:t>than reenumeration of contractors or grantees.</w:t>
      </w:r>
    </w:p>
    <w:p w:rsidR="00427EBA" w:rsidRPr="0069023C" w:rsidP="00427EBA" w14:paraId="25CFFF08" w14:textId="77777777">
      <w:pPr>
        <w:rPr>
          <w:rFonts w:ascii="Times New Roman" w:hAnsi="Times New Roman" w:cs="Times New Roman"/>
          <w:sz w:val="24"/>
          <w:szCs w:val="24"/>
        </w:rPr>
      </w:pPr>
    </w:p>
    <w:p w:rsidR="00427EBA" w:rsidP="00673E22" w14:paraId="377789FB" w14:textId="3F8B9A7E">
      <w:pPr>
        <w:ind w:left="360"/>
        <w:rPr>
          <w:rFonts w:ascii="Times New Roman" w:hAnsi="Times New Roman" w:cs="Times New Roman"/>
          <w:sz w:val="24"/>
          <w:szCs w:val="24"/>
        </w:rPr>
      </w:pPr>
      <w:r w:rsidRPr="00673E22">
        <w:rPr>
          <w:rFonts w:ascii="Times New Roman" w:hAnsi="Times New Roman" w:cs="Times New Roman"/>
          <w:sz w:val="24"/>
          <w:szCs w:val="24"/>
        </w:rPr>
        <w:t>This information collection activity involves no payments or gifts to respondents.</w:t>
      </w:r>
    </w:p>
    <w:p w:rsidR="00673E22" w:rsidRPr="0069023C" w:rsidP="00673E22" w14:paraId="12A86ACD" w14:textId="77777777">
      <w:pPr>
        <w:ind w:left="360"/>
        <w:rPr>
          <w:rFonts w:ascii="Times New Roman" w:hAnsi="Times New Roman" w:cs="Times New Roman"/>
          <w:sz w:val="24"/>
          <w:szCs w:val="24"/>
        </w:rPr>
      </w:pPr>
    </w:p>
    <w:p w:rsidR="00427EBA" w:rsidRPr="0069023C" w:rsidP="00427EBA" w14:paraId="7FF5453C" w14:textId="77777777">
      <w:pPr>
        <w:rPr>
          <w:rFonts w:ascii="Times New Roman" w:hAnsi="Times New Roman" w:cs="Times New Roman"/>
          <w:sz w:val="24"/>
          <w:szCs w:val="24"/>
        </w:rPr>
      </w:pPr>
    </w:p>
    <w:p w:rsidR="00427EBA" w:rsidRPr="00BE36B1" w:rsidP="00673E22" w14:paraId="7F6E13F1" w14:textId="5C5002F1">
      <w:pPr>
        <w:pStyle w:val="ListParagraph"/>
        <w:numPr>
          <w:ilvl w:val="0"/>
          <w:numId w:val="2"/>
        </w:numPr>
        <w:rPr>
          <w:rFonts w:ascii="Times New Roman" w:hAnsi="Times New Roman" w:cs="Times New Roman"/>
          <w:b/>
          <w:bCs/>
          <w:sz w:val="24"/>
          <w:szCs w:val="24"/>
        </w:rPr>
      </w:pPr>
      <w:bookmarkStart w:id="13" w:name="_Toc173393800"/>
      <w:r w:rsidRPr="00BE36B1">
        <w:rPr>
          <w:rStyle w:val="Heading2Char"/>
          <w:rFonts w:ascii="Times New Roman" w:hAnsi="Times New Roman" w:cs="Times New Roman"/>
          <w:b/>
          <w:bCs/>
          <w:color w:val="auto"/>
          <w:sz w:val="24"/>
          <w:szCs w:val="24"/>
        </w:rPr>
        <w:t>Describe any assurance of confidentiality</w:t>
      </w:r>
      <w:bookmarkEnd w:id="13"/>
      <w:r w:rsidRPr="00BE36B1">
        <w:rPr>
          <w:rFonts w:ascii="Times New Roman" w:hAnsi="Times New Roman" w:cs="Times New Roman"/>
          <w:b/>
          <w:bCs/>
          <w:sz w:val="24"/>
          <w:szCs w:val="24"/>
        </w:rPr>
        <w:t xml:space="preserve"> provided to respondents and the basis for the assurance in statute, regulation, or agency policy.</w:t>
      </w:r>
    </w:p>
    <w:p w:rsidR="00427EBA" w:rsidRPr="00673E22" w:rsidP="00427EBA" w14:paraId="3CFFFC36" w14:textId="77777777">
      <w:pPr>
        <w:rPr>
          <w:rFonts w:ascii="Times New Roman" w:hAnsi="Times New Roman" w:cs="Times New Roman"/>
          <w:sz w:val="24"/>
          <w:szCs w:val="24"/>
        </w:rPr>
      </w:pPr>
    </w:p>
    <w:p w:rsidR="00427EBA" w:rsidP="00673E22" w14:paraId="437B809A" w14:textId="3C077D7F">
      <w:pPr>
        <w:ind w:left="360"/>
        <w:rPr>
          <w:rFonts w:ascii="Times New Roman" w:hAnsi="Times New Roman" w:cs="Times New Roman"/>
          <w:sz w:val="24"/>
          <w:szCs w:val="24"/>
        </w:rPr>
      </w:pPr>
      <w:r w:rsidRPr="00673E22">
        <w:rPr>
          <w:rFonts w:ascii="Times New Roman" w:hAnsi="Times New Roman" w:cs="Times New Roman"/>
          <w:sz w:val="24"/>
          <w:szCs w:val="24"/>
        </w:rPr>
        <w:t>No additional assurance of confidentiality is provided with this information collection. Any and all information obtained in this collection shall not be disclosed except in accordance with 5 U.S.C. 552a</w:t>
      </w:r>
      <w:r w:rsidR="00263DDC">
        <w:rPr>
          <w:rFonts w:ascii="Times New Roman" w:hAnsi="Times New Roman" w:cs="Times New Roman"/>
          <w:sz w:val="24"/>
          <w:szCs w:val="24"/>
        </w:rPr>
        <w:t>, Privacy Act of 1974</w:t>
      </w:r>
      <w:r w:rsidRPr="00673E22">
        <w:rPr>
          <w:rFonts w:ascii="Times New Roman" w:hAnsi="Times New Roman" w:cs="Times New Roman"/>
          <w:sz w:val="24"/>
          <w:szCs w:val="24"/>
        </w:rPr>
        <w:t>.</w:t>
      </w:r>
    </w:p>
    <w:p w:rsidR="00427EBA" w:rsidP="00427EBA" w14:paraId="74017DBE" w14:textId="77777777">
      <w:pPr>
        <w:rPr>
          <w:rFonts w:ascii="Times New Roman" w:hAnsi="Times New Roman" w:cs="Times New Roman"/>
          <w:sz w:val="24"/>
          <w:szCs w:val="24"/>
        </w:rPr>
      </w:pPr>
    </w:p>
    <w:p w:rsidR="00673E22" w:rsidRPr="0069023C" w:rsidP="00427EBA" w14:paraId="15E20C33" w14:textId="77777777">
      <w:pPr>
        <w:rPr>
          <w:rFonts w:ascii="Times New Roman" w:hAnsi="Times New Roman" w:cs="Times New Roman"/>
          <w:sz w:val="24"/>
          <w:szCs w:val="24"/>
        </w:rPr>
      </w:pPr>
    </w:p>
    <w:p w:rsidR="00427EBA" w:rsidRPr="00673E22" w:rsidP="00673E22" w14:paraId="7841CE24" w14:textId="483586F7">
      <w:pPr>
        <w:pStyle w:val="ListParagraph"/>
        <w:numPr>
          <w:ilvl w:val="0"/>
          <w:numId w:val="2"/>
        </w:numPr>
        <w:rPr>
          <w:rFonts w:ascii="Times New Roman" w:hAnsi="Times New Roman" w:cs="Times New Roman"/>
          <w:b/>
          <w:bCs/>
          <w:sz w:val="24"/>
          <w:szCs w:val="24"/>
        </w:rPr>
      </w:pPr>
      <w:bookmarkStart w:id="14" w:name="_Toc173393801"/>
      <w:r w:rsidRPr="00BE36B1">
        <w:rPr>
          <w:rStyle w:val="Heading2Char"/>
          <w:rFonts w:ascii="Times New Roman" w:hAnsi="Times New Roman" w:cs="Times New Roman"/>
          <w:b/>
          <w:bCs/>
          <w:color w:val="auto"/>
          <w:sz w:val="24"/>
          <w:szCs w:val="24"/>
        </w:rPr>
        <w:t>Provide additional justification for any questions of a sensitive nature</w:t>
      </w:r>
      <w:bookmarkEnd w:id="14"/>
      <w:r w:rsidRPr="00BE36B1">
        <w:rPr>
          <w:rFonts w:ascii="Times New Roman" w:hAnsi="Times New Roman" w:cs="Times New Roman"/>
          <w:b/>
          <w:bCs/>
          <w:sz w:val="24"/>
          <w:szCs w:val="24"/>
        </w:rPr>
        <w:t xml:space="preserve">, </w:t>
      </w:r>
      <w:r w:rsidRPr="00673E22">
        <w:rPr>
          <w:rFonts w:ascii="Times New Roman" w:hAnsi="Times New Roman" w:cs="Times New Roman"/>
          <w:b/>
          <w:bCs/>
          <w:sz w:val="24"/>
          <w:szCs w:val="24"/>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7EBA" w:rsidP="00427EBA" w14:paraId="0F8E3F7B" w14:textId="77777777">
      <w:pPr>
        <w:rPr>
          <w:rFonts w:ascii="Times New Roman" w:hAnsi="Times New Roman" w:cs="Times New Roman"/>
          <w:sz w:val="24"/>
          <w:szCs w:val="24"/>
        </w:rPr>
      </w:pPr>
    </w:p>
    <w:p w:rsidR="00673E22" w:rsidP="00673E22" w14:paraId="5A195545" w14:textId="06175915">
      <w:pPr>
        <w:ind w:left="360"/>
        <w:rPr>
          <w:rFonts w:ascii="Times New Roman" w:hAnsi="Times New Roman" w:cs="Times New Roman"/>
          <w:sz w:val="24"/>
          <w:szCs w:val="24"/>
        </w:rPr>
      </w:pPr>
      <w:r w:rsidRPr="00673E22">
        <w:rPr>
          <w:rFonts w:ascii="Times New Roman" w:hAnsi="Times New Roman" w:cs="Times New Roman"/>
          <w:sz w:val="24"/>
          <w:szCs w:val="24"/>
        </w:rPr>
        <w:t>This information collection activity will ask no questions of a personal or sensitive nature.</w:t>
      </w:r>
    </w:p>
    <w:p w:rsidR="00673E22" w:rsidP="00673E22" w14:paraId="16E5556B" w14:textId="77777777">
      <w:pPr>
        <w:ind w:left="360"/>
        <w:rPr>
          <w:rFonts w:ascii="Times New Roman" w:hAnsi="Times New Roman" w:cs="Times New Roman"/>
          <w:sz w:val="24"/>
          <w:szCs w:val="24"/>
        </w:rPr>
      </w:pPr>
    </w:p>
    <w:p w:rsidR="00673E22" w:rsidRPr="0069023C" w:rsidP="00673E22" w14:paraId="6F821723" w14:textId="77777777">
      <w:pPr>
        <w:ind w:left="360"/>
        <w:rPr>
          <w:rFonts w:ascii="Times New Roman" w:hAnsi="Times New Roman" w:cs="Times New Roman"/>
          <w:sz w:val="24"/>
          <w:szCs w:val="24"/>
        </w:rPr>
      </w:pPr>
    </w:p>
    <w:p w:rsidR="00427EBA" w:rsidRPr="00673E22" w:rsidP="00673E22" w14:paraId="25949941" w14:textId="4F2588E2">
      <w:pPr>
        <w:pStyle w:val="ListParagraph"/>
        <w:numPr>
          <w:ilvl w:val="0"/>
          <w:numId w:val="2"/>
        </w:numPr>
        <w:rPr>
          <w:rFonts w:ascii="Times New Roman" w:hAnsi="Times New Roman" w:cs="Times New Roman"/>
          <w:b/>
          <w:bCs/>
          <w:sz w:val="24"/>
          <w:szCs w:val="24"/>
        </w:rPr>
      </w:pPr>
      <w:bookmarkStart w:id="15" w:name="_Toc173393802"/>
      <w:r w:rsidRPr="00BE36B1">
        <w:rPr>
          <w:rStyle w:val="Heading2Char"/>
          <w:rFonts w:ascii="Times New Roman" w:hAnsi="Times New Roman" w:cs="Times New Roman"/>
          <w:b/>
          <w:bCs/>
          <w:color w:val="auto"/>
          <w:sz w:val="24"/>
          <w:szCs w:val="24"/>
        </w:rPr>
        <w:t>Provide estimates of the hour burden of the collection of information.</w:t>
      </w:r>
      <w:bookmarkEnd w:id="15"/>
      <w:r w:rsidRPr="00BE36B1">
        <w:rPr>
          <w:rFonts w:ascii="Times New Roman" w:hAnsi="Times New Roman" w:cs="Times New Roman"/>
          <w:b/>
          <w:bCs/>
          <w:sz w:val="24"/>
          <w:szCs w:val="24"/>
        </w:rPr>
        <w:t xml:space="preserve"> Indicate </w:t>
      </w:r>
      <w:r w:rsidRPr="00673E22">
        <w:rPr>
          <w:rFonts w:ascii="Times New Roman" w:hAnsi="Times New Roman" w:cs="Times New Roman"/>
          <w:b/>
          <w:bCs/>
          <w:sz w:val="24"/>
          <w:szCs w:val="24"/>
        </w:rPr>
        <w:t>the number of respondents, frequency of response, annual hour burden, and an explanation of how the burden was estimated.</w:t>
      </w:r>
    </w:p>
    <w:p w:rsidR="00427EBA" w:rsidRPr="00673E22" w:rsidP="00427EBA" w14:paraId="50C81958" w14:textId="77777777">
      <w:pPr>
        <w:rPr>
          <w:rFonts w:ascii="Times New Roman" w:hAnsi="Times New Roman" w:cs="Times New Roman"/>
          <w:b/>
          <w:bCs/>
          <w:sz w:val="24"/>
          <w:szCs w:val="24"/>
        </w:rPr>
      </w:pPr>
    </w:p>
    <w:p w:rsidR="00427EBA" w:rsidRPr="00673E22" w:rsidP="00673E22" w14:paraId="1768D62A" w14:textId="52D080EE">
      <w:pPr>
        <w:pStyle w:val="ListParagraph"/>
        <w:numPr>
          <w:ilvl w:val="0"/>
          <w:numId w:val="4"/>
        </w:numPr>
        <w:rPr>
          <w:rFonts w:ascii="Times New Roman" w:hAnsi="Times New Roman" w:cs="Times New Roman"/>
          <w:b/>
          <w:bCs/>
          <w:sz w:val="24"/>
          <w:szCs w:val="24"/>
        </w:rPr>
      </w:pPr>
      <w:r w:rsidRPr="00673E22">
        <w:rPr>
          <w:rFonts w:ascii="Times New Roman" w:hAnsi="Times New Roman" w:cs="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73E22" w:rsidP="00673E22" w14:paraId="34A03DEC" w14:textId="77777777">
      <w:pPr>
        <w:rPr>
          <w:rFonts w:ascii="Times New Roman" w:hAnsi="Times New Roman" w:cs="Times New Roman"/>
          <w:sz w:val="24"/>
          <w:szCs w:val="24"/>
        </w:rPr>
      </w:pPr>
    </w:p>
    <w:p w:rsidR="00673E22" w:rsidRPr="00673E22" w:rsidP="00673E22" w14:paraId="4CF4A06F" w14:textId="5788BC03">
      <w:pPr>
        <w:ind w:left="720"/>
        <w:rPr>
          <w:rFonts w:ascii="Times New Roman" w:hAnsi="Times New Roman" w:cs="Times New Roman"/>
          <w:sz w:val="24"/>
          <w:szCs w:val="24"/>
        </w:rPr>
      </w:pPr>
      <w:r w:rsidRPr="00673E22">
        <w:rPr>
          <w:rFonts w:ascii="Times New Roman" w:hAnsi="Times New Roman" w:cs="Times New Roman"/>
          <w:sz w:val="24"/>
          <w:szCs w:val="24"/>
        </w:rPr>
        <w:t xml:space="preserve">APHIS is seeking approval for </w:t>
      </w:r>
      <w:r w:rsidR="00E02247">
        <w:rPr>
          <w:rFonts w:ascii="Times New Roman" w:hAnsi="Times New Roman" w:cs="Times New Roman"/>
          <w:sz w:val="24"/>
          <w:szCs w:val="24"/>
        </w:rPr>
        <w:t>970</w:t>
      </w:r>
      <w:r>
        <w:rPr>
          <w:rFonts w:ascii="Times New Roman" w:hAnsi="Times New Roman" w:cs="Times New Roman"/>
          <w:sz w:val="24"/>
          <w:szCs w:val="24"/>
        </w:rPr>
        <w:t xml:space="preserve"> r</w:t>
      </w:r>
      <w:r w:rsidRPr="00673E22">
        <w:rPr>
          <w:rFonts w:ascii="Times New Roman" w:hAnsi="Times New Roman" w:cs="Times New Roman"/>
          <w:sz w:val="24"/>
          <w:szCs w:val="24"/>
        </w:rPr>
        <w:t xml:space="preserve">espondents, (affected public: </w:t>
      </w:r>
      <w:r w:rsidR="00E02247">
        <w:rPr>
          <w:rFonts w:ascii="Times New Roman" w:hAnsi="Times New Roman" w:cs="Times New Roman"/>
          <w:sz w:val="24"/>
          <w:szCs w:val="24"/>
        </w:rPr>
        <w:t>1</w:t>
      </w:r>
      <w:r w:rsidRPr="00673E22">
        <w:rPr>
          <w:rFonts w:ascii="Times New Roman" w:hAnsi="Times New Roman" w:cs="Times New Roman"/>
          <w:sz w:val="24"/>
          <w:szCs w:val="24"/>
        </w:rPr>
        <w:t xml:space="preserve"> Individual/</w:t>
      </w:r>
      <w:r w:rsidR="00ED7E70">
        <w:rPr>
          <w:rFonts w:ascii="Times New Roman" w:hAnsi="Times New Roman" w:cs="Times New Roman"/>
          <w:sz w:val="24"/>
          <w:szCs w:val="24"/>
        </w:rPr>
        <w:t xml:space="preserve"> </w:t>
      </w:r>
      <w:r w:rsidRPr="00673E22">
        <w:rPr>
          <w:rFonts w:ascii="Times New Roman" w:hAnsi="Times New Roman" w:cs="Times New Roman"/>
          <w:sz w:val="24"/>
          <w:szCs w:val="24"/>
        </w:rPr>
        <w:t xml:space="preserve">Household; </w:t>
      </w:r>
      <w:r w:rsidR="00E02247">
        <w:rPr>
          <w:rFonts w:ascii="Times New Roman" w:hAnsi="Times New Roman" w:cs="Times New Roman"/>
          <w:sz w:val="24"/>
          <w:szCs w:val="24"/>
        </w:rPr>
        <w:t>768</w:t>
      </w:r>
      <w:r w:rsidRPr="00673E22">
        <w:rPr>
          <w:rFonts w:ascii="Times New Roman" w:hAnsi="Times New Roman" w:cs="Times New Roman"/>
          <w:sz w:val="24"/>
          <w:szCs w:val="24"/>
        </w:rPr>
        <w:t xml:space="preserve"> Business</w:t>
      </w:r>
      <w:r w:rsidR="00E02247">
        <w:rPr>
          <w:rFonts w:ascii="Times New Roman" w:hAnsi="Times New Roman" w:cs="Times New Roman"/>
          <w:sz w:val="24"/>
          <w:szCs w:val="24"/>
        </w:rPr>
        <w:t>; 109 State, Local, and Tribal;</w:t>
      </w:r>
      <w:r w:rsidRPr="00673E22">
        <w:rPr>
          <w:rFonts w:ascii="Times New Roman" w:hAnsi="Times New Roman" w:cs="Times New Roman"/>
          <w:sz w:val="24"/>
          <w:szCs w:val="24"/>
        </w:rPr>
        <w:t xml:space="preserve"> and </w:t>
      </w:r>
      <w:r w:rsidR="00E02247">
        <w:rPr>
          <w:rFonts w:ascii="Times New Roman" w:hAnsi="Times New Roman" w:cs="Times New Roman"/>
          <w:sz w:val="24"/>
          <w:szCs w:val="24"/>
        </w:rPr>
        <w:t>92</w:t>
      </w:r>
      <w:r>
        <w:rPr>
          <w:rFonts w:ascii="Times New Roman" w:hAnsi="Times New Roman" w:cs="Times New Roman"/>
          <w:sz w:val="24"/>
          <w:szCs w:val="24"/>
        </w:rPr>
        <w:t xml:space="preserve"> </w:t>
      </w:r>
      <w:r w:rsidRPr="00673E22">
        <w:rPr>
          <w:rFonts w:ascii="Times New Roman" w:hAnsi="Times New Roman" w:cs="Times New Roman"/>
          <w:sz w:val="24"/>
          <w:szCs w:val="24"/>
        </w:rPr>
        <w:t>F</w:t>
      </w:r>
      <w:r w:rsidR="00E02247">
        <w:rPr>
          <w:rFonts w:ascii="Times New Roman" w:hAnsi="Times New Roman" w:cs="Times New Roman"/>
          <w:sz w:val="24"/>
          <w:szCs w:val="24"/>
        </w:rPr>
        <w:t>oreign</w:t>
      </w:r>
      <w:r w:rsidRPr="00673E22">
        <w:rPr>
          <w:rFonts w:ascii="Times New Roman" w:hAnsi="Times New Roman" w:cs="Times New Roman"/>
          <w:sz w:val="24"/>
          <w:szCs w:val="24"/>
        </w:rPr>
        <w:t xml:space="preserve"> Government</w:t>
      </w:r>
      <w:r>
        <w:rPr>
          <w:rFonts w:ascii="Times New Roman" w:hAnsi="Times New Roman" w:cs="Times New Roman"/>
          <w:sz w:val="24"/>
          <w:szCs w:val="24"/>
        </w:rPr>
        <w:t>, etc.</w:t>
      </w:r>
      <w:r w:rsidRPr="00673E22">
        <w:rPr>
          <w:rFonts w:ascii="Times New Roman" w:hAnsi="Times New Roman" w:cs="Times New Roman"/>
          <w:sz w:val="24"/>
          <w:szCs w:val="24"/>
        </w:rPr>
        <w:t xml:space="preserve">) </w:t>
      </w:r>
      <w:r w:rsidR="00E02247">
        <w:rPr>
          <w:rFonts w:ascii="Times New Roman" w:hAnsi="Times New Roman" w:cs="Times New Roman"/>
          <w:sz w:val="24"/>
          <w:szCs w:val="24"/>
        </w:rPr>
        <w:t xml:space="preserve">4,079 </w:t>
      </w:r>
      <w:r w:rsidRPr="00673E22">
        <w:rPr>
          <w:rFonts w:ascii="Times New Roman" w:hAnsi="Times New Roman" w:cs="Times New Roman"/>
          <w:sz w:val="24"/>
          <w:szCs w:val="24"/>
        </w:rPr>
        <w:t xml:space="preserve">total annual responses and </w:t>
      </w:r>
      <w:r w:rsidR="00E02247">
        <w:rPr>
          <w:rFonts w:ascii="Times New Roman" w:hAnsi="Times New Roman" w:cs="Times New Roman"/>
          <w:sz w:val="24"/>
          <w:szCs w:val="24"/>
        </w:rPr>
        <w:t>1</w:t>
      </w:r>
      <w:r>
        <w:rPr>
          <w:rFonts w:ascii="Times New Roman" w:hAnsi="Times New Roman" w:cs="Times New Roman"/>
          <w:sz w:val="24"/>
          <w:szCs w:val="24"/>
        </w:rPr>
        <w:t>,</w:t>
      </w:r>
      <w:r w:rsidR="00E02247">
        <w:rPr>
          <w:rFonts w:ascii="Times New Roman" w:hAnsi="Times New Roman" w:cs="Times New Roman"/>
          <w:sz w:val="24"/>
          <w:szCs w:val="24"/>
        </w:rPr>
        <w:t>013</w:t>
      </w:r>
      <w:r w:rsidRPr="00673E22">
        <w:rPr>
          <w:rFonts w:ascii="Times New Roman" w:hAnsi="Times New Roman" w:cs="Times New Roman"/>
          <w:sz w:val="24"/>
          <w:szCs w:val="24"/>
        </w:rPr>
        <w:t xml:space="preserve"> total annual burden hours</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bookmarkStart w:id="16" w:name="_Hlk173318627"/>
      <w:r w:rsidRPr="00936E24">
        <w:rPr>
          <w:rFonts w:ascii="Times New Roman" w:hAnsi="Times New Roman" w:cs="Times New Roman"/>
          <w:sz w:val="24"/>
          <w:szCs w:val="24"/>
        </w:rPr>
        <w:t>Burden estimates breakouts were developed from discussions with the</w:t>
      </w:r>
      <w:r w:rsidRPr="00936E24" w:rsidR="00936E24">
        <w:rPr>
          <w:rFonts w:ascii="Times New Roman" w:hAnsi="Times New Roman" w:cs="Times New Roman"/>
          <w:sz w:val="24"/>
          <w:szCs w:val="24"/>
        </w:rPr>
        <w:t xml:space="preserve"> animal scientists; life, physical and social science technicians; and veterinarians.</w:t>
      </w:r>
      <w:r w:rsidR="00936E24">
        <w:rPr>
          <w:rFonts w:ascii="Times New Roman" w:hAnsi="Times New Roman" w:cs="Times New Roman"/>
          <w:sz w:val="24"/>
          <w:szCs w:val="24"/>
        </w:rPr>
        <w:t xml:space="preserve"> </w:t>
      </w:r>
      <w:r w:rsidRPr="00673E22" w:rsidR="00936E24">
        <w:rPr>
          <w:rFonts w:ascii="Times New Roman" w:hAnsi="Times New Roman" w:cs="Times New Roman"/>
          <w:sz w:val="24"/>
          <w:szCs w:val="24"/>
        </w:rPr>
        <w:t xml:space="preserve">See </w:t>
      </w:r>
      <w:r w:rsidR="00936E24">
        <w:rPr>
          <w:rFonts w:ascii="Times New Roman" w:hAnsi="Times New Roman" w:cs="Times New Roman"/>
          <w:sz w:val="24"/>
          <w:szCs w:val="24"/>
        </w:rPr>
        <w:t>supportin</w:t>
      </w:r>
      <w:r w:rsidRPr="00936E24" w:rsidR="00936E24">
        <w:rPr>
          <w:rFonts w:ascii="Times New Roman" w:hAnsi="Times New Roman" w:cs="Times New Roman"/>
          <w:sz w:val="24"/>
          <w:szCs w:val="24"/>
        </w:rPr>
        <w:t>g APHIS Form 71.</w:t>
      </w:r>
    </w:p>
    <w:bookmarkEnd w:id="16"/>
    <w:p w:rsidR="00427EBA" w:rsidP="00427EBA" w14:paraId="2BECBE4F" w14:textId="77777777">
      <w:pPr>
        <w:rPr>
          <w:rFonts w:ascii="Times New Roman" w:hAnsi="Times New Roman" w:cs="Times New Roman"/>
          <w:sz w:val="24"/>
          <w:szCs w:val="24"/>
        </w:rPr>
      </w:pPr>
    </w:p>
    <w:p w:rsidR="00427EBA" w:rsidRPr="00673E22" w:rsidP="00673E22" w14:paraId="31762AC6" w14:textId="4A5135CD">
      <w:pPr>
        <w:pStyle w:val="ListParagraph"/>
        <w:numPr>
          <w:ilvl w:val="0"/>
          <w:numId w:val="4"/>
        </w:numPr>
        <w:rPr>
          <w:rFonts w:ascii="Times New Roman" w:hAnsi="Times New Roman" w:cs="Times New Roman"/>
          <w:b/>
          <w:bCs/>
          <w:sz w:val="24"/>
          <w:szCs w:val="24"/>
        </w:rPr>
      </w:pPr>
      <w:r w:rsidRPr="00673E22">
        <w:rPr>
          <w:rFonts w:ascii="Times New Roman" w:hAnsi="Times New Roman" w:cs="Times New Roman"/>
          <w:b/>
          <w:bCs/>
          <w:sz w:val="24"/>
          <w:szCs w:val="24"/>
        </w:rPr>
        <w:t>Provide estimates of annualized cost to respondents for the hour burdens for collections of information, identifying and using appropriate wage rate categories.</w:t>
      </w:r>
    </w:p>
    <w:p w:rsidR="00427EBA" w:rsidP="00427EBA" w14:paraId="1D53CA9E" w14:textId="77777777">
      <w:pPr>
        <w:rPr>
          <w:rFonts w:ascii="Times New Roman" w:hAnsi="Times New Roman" w:cs="Times New Roman"/>
          <w:sz w:val="24"/>
          <w:szCs w:val="24"/>
        </w:rPr>
      </w:pPr>
    </w:p>
    <w:p w:rsidR="00673E22" w:rsidRPr="00673E22" w:rsidP="00673E22" w14:paraId="3EC22E22" w14:textId="5EEA8999">
      <w:pPr>
        <w:ind w:left="720"/>
        <w:rPr>
          <w:rFonts w:ascii="Times New Roman" w:hAnsi="Times New Roman" w:cs="Times New Roman"/>
          <w:sz w:val="24"/>
          <w:szCs w:val="24"/>
        </w:rPr>
      </w:pPr>
      <w:r w:rsidRPr="00673E22">
        <w:rPr>
          <w:rFonts w:ascii="Times New Roman" w:hAnsi="Times New Roman" w:cs="Times New Roman"/>
          <w:sz w:val="24"/>
          <w:szCs w:val="24"/>
        </w:rPr>
        <w:t>APHIS estimates the total annualized cost to these respondents to be $</w:t>
      </w:r>
      <w:r w:rsidR="00E02247">
        <w:rPr>
          <w:rFonts w:ascii="Times New Roman" w:hAnsi="Times New Roman" w:cs="Times New Roman"/>
          <w:sz w:val="24"/>
          <w:szCs w:val="24"/>
        </w:rPr>
        <w:t>6</w:t>
      </w:r>
      <w:r w:rsidR="00A70C35">
        <w:rPr>
          <w:rFonts w:ascii="Times New Roman" w:hAnsi="Times New Roman" w:cs="Times New Roman"/>
          <w:sz w:val="24"/>
          <w:szCs w:val="24"/>
        </w:rPr>
        <w:t>6,888</w:t>
      </w:r>
      <w:r w:rsidRPr="00673E22">
        <w:rPr>
          <w:rFonts w:ascii="Times New Roman" w:hAnsi="Times New Roman" w:cs="Times New Roman"/>
          <w:sz w:val="24"/>
          <w:szCs w:val="24"/>
        </w:rPr>
        <w:t xml:space="preserve">. APHIS arrived at this figure </w:t>
      </w:r>
      <w:bookmarkStart w:id="17" w:name="_Hlk173318725"/>
      <w:r w:rsidRPr="00673E22">
        <w:rPr>
          <w:rFonts w:ascii="Times New Roman" w:hAnsi="Times New Roman" w:cs="Times New Roman"/>
          <w:sz w:val="24"/>
          <w:szCs w:val="24"/>
        </w:rPr>
        <w:t>by multiplyin</w:t>
      </w:r>
      <w:r w:rsidRPr="00572D92">
        <w:rPr>
          <w:rFonts w:ascii="Times New Roman" w:hAnsi="Times New Roman" w:cs="Times New Roman"/>
          <w:sz w:val="24"/>
          <w:szCs w:val="24"/>
        </w:rPr>
        <w:t xml:space="preserve">g </w:t>
      </w:r>
      <w:r w:rsidRPr="00572D92" w:rsidR="00572D92">
        <w:rPr>
          <w:rFonts w:ascii="Times New Roman" w:hAnsi="Times New Roman" w:cs="Times New Roman"/>
          <w:sz w:val="24"/>
          <w:szCs w:val="24"/>
        </w:rPr>
        <w:t xml:space="preserve">the number of estimated burden hours </w:t>
      </w:r>
      <w:bookmarkEnd w:id="17"/>
      <w:r w:rsidRPr="00673E22">
        <w:rPr>
          <w:rFonts w:ascii="Times New Roman" w:hAnsi="Times New Roman" w:cs="Times New Roman"/>
          <w:sz w:val="24"/>
          <w:szCs w:val="24"/>
        </w:rPr>
        <w:t>(</w:t>
      </w:r>
      <w:r w:rsidR="00E02247">
        <w:rPr>
          <w:rFonts w:ascii="Times New Roman" w:hAnsi="Times New Roman" w:cs="Times New Roman"/>
          <w:sz w:val="24"/>
          <w:szCs w:val="24"/>
        </w:rPr>
        <w:t>1,013</w:t>
      </w:r>
      <w:r>
        <w:rPr>
          <w:rFonts w:ascii="Times New Roman" w:hAnsi="Times New Roman" w:cs="Times New Roman"/>
          <w:sz w:val="24"/>
          <w:szCs w:val="24"/>
        </w:rPr>
        <w:t>)</w:t>
      </w:r>
      <w:r w:rsidRPr="00673E22">
        <w:rPr>
          <w:rFonts w:ascii="Times New Roman" w:hAnsi="Times New Roman" w:cs="Times New Roman"/>
          <w:sz w:val="24"/>
          <w:szCs w:val="24"/>
        </w:rPr>
        <w:t xml:space="preserve"> hours) by the estimated average hourly wage </w:t>
      </w:r>
      <w:r w:rsidR="00572D92">
        <w:rPr>
          <w:rFonts w:ascii="Times New Roman" w:hAnsi="Times New Roman" w:cs="Times New Roman"/>
          <w:sz w:val="24"/>
          <w:szCs w:val="24"/>
        </w:rPr>
        <w:t>of the below</w:t>
      </w:r>
      <w:r w:rsidRPr="00673E22">
        <w:rPr>
          <w:rFonts w:ascii="Times New Roman" w:hAnsi="Times New Roman" w:cs="Times New Roman"/>
          <w:sz w:val="24"/>
          <w:szCs w:val="24"/>
        </w:rPr>
        <w:t xml:space="preserve"> respondents ($</w:t>
      </w:r>
      <w:r w:rsidR="00E02247">
        <w:rPr>
          <w:rFonts w:ascii="Times New Roman" w:hAnsi="Times New Roman" w:cs="Times New Roman"/>
          <w:sz w:val="24"/>
          <w:szCs w:val="24"/>
        </w:rPr>
        <w:t>4</w:t>
      </w:r>
      <w:r w:rsidR="00A70C35">
        <w:rPr>
          <w:rFonts w:ascii="Times New Roman" w:hAnsi="Times New Roman" w:cs="Times New Roman"/>
          <w:sz w:val="24"/>
          <w:szCs w:val="24"/>
        </w:rPr>
        <w:t>6</w:t>
      </w:r>
      <w:r w:rsidR="00E02247">
        <w:rPr>
          <w:rFonts w:ascii="Times New Roman" w:hAnsi="Times New Roman" w:cs="Times New Roman"/>
          <w:sz w:val="24"/>
          <w:szCs w:val="24"/>
        </w:rPr>
        <w:t>.</w:t>
      </w:r>
      <w:r w:rsidR="00A70C35">
        <w:rPr>
          <w:rFonts w:ascii="Times New Roman" w:hAnsi="Times New Roman" w:cs="Times New Roman"/>
          <w:sz w:val="24"/>
          <w:szCs w:val="24"/>
        </w:rPr>
        <w:t>22</w:t>
      </w:r>
      <w:r w:rsidRPr="00673E22">
        <w:rPr>
          <w:rFonts w:ascii="Times New Roman" w:hAnsi="Times New Roman" w:cs="Times New Roman"/>
          <w:sz w:val="24"/>
          <w:szCs w:val="24"/>
        </w:rPr>
        <w:t>) and then multiplying the result ($</w:t>
      </w:r>
      <w:r w:rsidR="00E02247">
        <w:rPr>
          <w:rFonts w:ascii="Times New Roman" w:hAnsi="Times New Roman" w:cs="Times New Roman"/>
          <w:sz w:val="24"/>
          <w:szCs w:val="24"/>
        </w:rPr>
        <w:t>4</w:t>
      </w:r>
      <w:r w:rsidR="00A70C35">
        <w:rPr>
          <w:rFonts w:ascii="Times New Roman" w:hAnsi="Times New Roman" w:cs="Times New Roman"/>
          <w:sz w:val="24"/>
          <w:szCs w:val="24"/>
        </w:rPr>
        <w:t>6</w:t>
      </w:r>
      <w:r w:rsidR="00E02247">
        <w:rPr>
          <w:rFonts w:ascii="Times New Roman" w:hAnsi="Times New Roman" w:cs="Times New Roman"/>
          <w:sz w:val="24"/>
          <w:szCs w:val="24"/>
        </w:rPr>
        <w:t>,</w:t>
      </w:r>
      <w:r w:rsidR="00A70C35">
        <w:rPr>
          <w:rFonts w:ascii="Times New Roman" w:hAnsi="Times New Roman" w:cs="Times New Roman"/>
          <w:sz w:val="24"/>
          <w:szCs w:val="24"/>
        </w:rPr>
        <w:t>821</w:t>
      </w:r>
      <w:r w:rsidRPr="00673E22">
        <w:rPr>
          <w:rFonts w:ascii="Times New Roman" w:hAnsi="Times New Roman" w:cs="Times New Roman"/>
          <w:sz w:val="24"/>
          <w:szCs w:val="24"/>
        </w:rPr>
        <w:t>) by 1.4</w:t>
      </w:r>
      <w:r>
        <w:rPr>
          <w:rFonts w:ascii="Times New Roman" w:hAnsi="Times New Roman" w:cs="Times New Roman"/>
          <w:sz w:val="24"/>
          <w:szCs w:val="24"/>
        </w:rPr>
        <w:t>286</w:t>
      </w:r>
      <w:r w:rsidRPr="00673E22">
        <w:rPr>
          <w:rFonts w:ascii="Times New Roman" w:hAnsi="Times New Roman" w:cs="Times New Roman"/>
          <w:sz w:val="24"/>
          <w:szCs w:val="24"/>
        </w:rPr>
        <w:t xml:space="preserve"> to capture benefit costs.</w:t>
      </w:r>
    </w:p>
    <w:p w:rsidR="00673E22" w:rsidRPr="00673E22" w:rsidP="00673E22" w14:paraId="3A70A113" w14:textId="77777777">
      <w:pPr>
        <w:ind w:left="720"/>
        <w:rPr>
          <w:rFonts w:ascii="Times New Roman" w:hAnsi="Times New Roman" w:cs="Times New Roman"/>
          <w:sz w:val="24"/>
          <w:szCs w:val="24"/>
        </w:rPr>
      </w:pPr>
    </w:p>
    <w:p w:rsidR="00673E22" w:rsidRPr="00673E22" w:rsidP="00673E22" w14:paraId="55332BAE" w14:textId="0DE01DC3">
      <w:pPr>
        <w:ind w:left="720"/>
        <w:rPr>
          <w:rFonts w:ascii="Times New Roman" w:hAnsi="Times New Roman" w:cs="Times New Roman"/>
          <w:sz w:val="24"/>
          <w:szCs w:val="24"/>
        </w:rPr>
      </w:pPr>
      <w:r w:rsidRPr="00673E22">
        <w:rPr>
          <w:rFonts w:ascii="Times New Roman" w:hAnsi="Times New Roman" w:cs="Times New Roman"/>
          <w:sz w:val="24"/>
          <w:szCs w:val="24"/>
        </w:rPr>
        <w:t>The average hourly rates used to calculate the estimates include the following:</w:t>
      </w:r>
    </w:p>
    <w:p w:rsidR="00673E22" w:rsidRPr="0069023C" w:rsidP="00427EBA" w14:paraId="53F0AEBF" w14:textId="77777777">
      <w:pPr>
        <w:rPr>
          <w:rFonts w:ascii="Times New Roman" w:hAnsi="Times New Roman" w:cs="Times New Roman"/>
          <w:sz w:val="24"/>
          <w:szCs w:val="24"/>
        </w:rPr>
      </w:pPr>
    </w:p>
    <w:tbl>
      <w:tblPr>
        <w:tblStyle w:val="PlainTable2"/>
        <w:tblW w:w="8640" w:type="dxa"/>
        <w:tblInd w:w="630" w:type="dxa"/>
        <w:tblLook w:val="04A0"/>
      </w:tblPr>
      <w:tblGrid>
        <w:gridCol w:w="1710"/>
        <w:gridCol w:w="1530"/>
        <w:gridCol w:w="5400"/>
      </w:tblGrid>
      <w:tr w14:paraId="2596BD56" w14:textId="77777777" w:rsidTr="00EB7173">
        <w:tblPrEx>
          <w:tblW w:w="8640" w:type="dxa"/>
          <w:tblInd w:w="630" w:type="dxa"/>
          <w:tblLook w:val="04A0"/>
        </w:tblPrEx>
        <w:tc>
          <w:tcPr>
            <w:tcW w:w="1710" w:type="dxa"/>
            <w:tcBorders>
              <w:top w:val="single" w:sz="4" w:space="0" w:color="7F7F7F" w:themeColor="text1" w:themeTint="80"/>
              <w:left w:val="nil"/>
              <w:right w:val="nil"/>
            </w:tcBorders>
            <w:vAlign w:val="bottom"/>
            <w:hideMark/>
          </w:tcPr>
          <w:p w:rsidR="00673E22" w:rsidRPr="00C0175C" w14:paraId="3C7BE157" w14:textId="7DC2548E">
            <w:pPr>
              <w:jc w:val="center"/>
            </w:pPr>
            <w:r>
              <w:t xml:space="preserve">Dept of Labor </w:t>
            </w:r>
            <w:r w:rsidRPr="00C0175C">
              <w:t>SOCC Code</w:t>
            </w:r>
          </w:p>
        </w:tc>
        <w:tc>
          <w:tcPr>
            <w:tcW w:w="1530" w:type="dxa"/>
            <w:tcBorders>
              <w:top w:val="single" w:sz="4" w:space="0" w:color="7F7F7F" w:themeColor="text1" w:themeTint="80"/>
              <w:left w:val="nil"/>
              <w:right w:val="nil"/>
            </w:tcBorders>
            <w:vAlign w:val="bottom"/>
            <w:hideMark/>
          </w:tcPr>
          <w:p w:rsidR="00673E22" w:rsidRPr="00C0175C" w14:paraId="7780888A" w14:textId="3526947D">
            <w:pPr>
              <w:jc w:val="center"/>
              <w:rPr>
                <w:bCs w:val="0"/>
                <w:sz w:val="22"/>
                <w:szCs w:val="22"/>
              </w:rPr>
            </w:pPr>
            <w:r>
              <w:rPr>
                <w:bCs w:val="0"/>
                <w:sz w:val="22"/>
                <w:szCs w:val="22"/>
              </w:rPr>
              <w:t>Average Wage</w:t>
            </w:r>
          </w:p>
        </w:tc>
        <w:tc>
          <w:tcPr>
            <w:tcW w:w="5400" w:type="dxa"/>
            <w:tcBorders>
              <w:top w:val="single" w:sz="4" w:space="0" w:color="7F7F7F" w:themeColor="text1" w:themeTint="80"/>
              <w:left w:val="nil"/>
              <w:right w:val="nil"/>
            </w:tcBorders>
            <w:vAlign w:val="bottom"/>
            <w:hideMark/>
          </w:tcPr>
          <w:p w:rsidR="00673E22" w:rsidRPr="00C0175C" w14:paraId="19031058" w14:textId="77777777">
            <w:pPr>
              <w:rPr>
                <w:bCs w:val="0"/>
                <w:sz w:val="22"/>
                <w:szCs w:val="22"/>
              </w:rPr>
            </w:pPr>
            <w:r w:rsidRPr="00C0175C">
              <w:rPr>
                <w:bCs w:val="0"/>
                <w:sz w:val="22"/>
                <w:szCs w:val="22"/>
              </w:rPr>
              <w:t>Occupation Description</w:t>
            </w:r>
          </w:p>
        </w:tc>
      </w:tr>
      <w:tr w14:paraId="34BEB97A" w14:textId="77777777" w:rsidTr="00EB7173">
        <w:tblPrEx>
          <w:tblW w:w="8640" w:type="dxa"/>
          <w:tblInd w:w="630" w:type="dxa"/>
          <w:tblLook w:val="04A0"/>
        </w:tblPrEx>
        <w:trPr>
          <w:trHeight w:val="288"/>
        </w:trPr>
        <w:tc>
          <w:tcPr>
            <w:tcW w:w="1710" w:type="dxa"/>
            <w:tcBorders>
              <w:left w:val="nil"/>
              <w:right w:val="nil"/>
            </w:tcBorders>
            <w:vAlign w:val="center"/>
            <w:hideMark/>
          </w:tcPr>
          <w:p w:rsidR="00E02247" w:rsidRPr="00F668AD" w:rsidP="00E02247" w14:paraId="22EA5D04" w14:textId="009784C4">
            <w:pPr>
              <w:jc w:val="center"/>
              <w:rPr>
                <w:b w:val="0"/>
                <w:bCs w:val="0"/>
                <w:sz w:val="22"/>
                <w:szCs w:val="22"/>
              </w:rPr>
            </w:pPr>
            <w:r w:rsidRPr="00F668AD">
              <w:rPr>
                <w:b w:val="0"/>
                <w:bCs w:val="0"/>
                <w:sz w:val="22"/>
                <w:szCs w:val="22"/>
              </w:rPr>
              <w:t>19-1011</w:t>
            </w:r>
          </w:p>
        </w:tc>
        <w:tc>
          <w:tcPr>
            <w:tcW w:w="1530" w:type="dxa"/>
            <w:tcBorders>
              <w:left w:val="nil"/>
              <w:right w:val="nil"/>
            </w:tcBorders>
            <w:vAlign w:val="center"/>
            <w:hideMark/>
          </w:tcPr>
          <w:p w:rsidR="00E02247" w:rsidRPr="00E02247" w:rsidP="00E02247" w14:paraId="13FF34F4" w14:textId="69580189">
            <w:pPr>
              <w:jc w:val="center"/>
              <w:rPr>
                <w:bCs/>
                <w:sz w:val="22"/>
                <w:szCs w:val="22"/>
              </w:rPr>
            </w:pPr>
            <w:r w:rsidRPr="00E02247">
              <w:rPr>
                <w:sz w:val="22"/>
                <w:szCs w:val="22"/>
              </w:rPr>
              <w:t>$43.01</w:t>
            </w:r>
          </w:p>
        </w:tc>
        <w:tc>
          <w:tcPr>
            <w:tcW w:w="5400" w:type="dxa"/>
            <w:tcBorders>
              <w:left w:val="nil"/>
              <w:right w:val="nil"/>
            </w:tcBorders>
            <w:vAlign w:val="center"/>
            <w:hideMark/>
          </w:tcPr>
          <w:p w:rsidR="00E02247" w:rsidRPr="00E02247" w:rsidP="00E02247" w14:paraId="409F2798" w14:textId="07576D7E">
            <w:pPr>
              <w:rPr>
                <w:bCs/>
                <w:sz w:val="22"/>
                <w:szCs w:val="22"/>
              </w:rPr>
            </w:pPr>
            <w:r w:rsidRPr="00E02247">
              <w:rPr>
                <w:sz w:val="22"/>
                <w:szCs w:val="22"/>
              </w:rPr>
              <w:t>Animal Scientists</w:t>
            </w:r>
          </w:p>
        </w:tc>
      </w:tr>
      <w:tr w14:paraId="429F2113" w14:textId="77777777" w:rsidTr="00EB7173">
        <w:tblPrEx>
          <w:tblW w:w="8640" w:type="dxa"/>
          <w:tblInd w:w="630" w:type="dxa"/>
          <w:tblLook w:val="04A0"/>
        </w:tblPrEx>
        <w:trPr>
          <w:trHeight w:val="288"/>
        </w:trPr>
        <w:tc>
          <w:tcPr>
            <w:tcW w:w="1710" w:type="dxa"/>
            <w:tcBorders>
              <w:top w:val="single" w:sz="4" w:space="0" w:color="7F7F7F" w:themeColor="text1" w:themeTint="80"/>
              <w:left w:val="nil"/>
              <w:bottom w:val="single" w:sz="4" w:space="0" w:color="7F7F7F" w:themeColor="text1" w:themeTint="80"/>
              <w:right w:val="nil"/>
            </w:tcBorders>
            <w:vAlign w:val="center"/>
          </w:tcPr>
          <w:p w:rsidR="00E02247" w:rsidRPr="00F668AD" w:rsidP="00E02247" w14:paraId="363FB7E8" w14:textId="40102EED">
            <w:pPr>
              <w:jc w:val="center"/>
              <w:rPr>
                <w:b w:val="0"/>
                <w:bCs w:val="0"/>
                <w:sz w:val="22"/>
                <w:szCs w:val="22"/>
              </w:rPr>
            </w:pPr>
            <w:r w:rsidRPr="00F668AD">
              <w:rPr>
                <w:b w:val="0"/>
                <w:bCs w:val="0"/>
                <w:sz w:val="22"/>
                <w:szCs w:val="22"/>
              </w:rPr>
              <w:t>19-4099</w:t>
            </w:r>
          </w:p>
        </w:tc>
        <w:tc>
          <w:tcPr>
            <w:tcW w:w="1530" w:type="dxa"/>
            <w:tcBorders>
              <w:top w:val="single" w:sz="4" w:space="0" w:color="7F7F7F" w:themeColor="text1" w:themeTint="80"/>
              <w:left w:val="nil"/>
              <w:bottom w:val="single" w:sz="4" w:space="0" w:color="7F7F7F" w:themeColor="text1" w:themeTint="80"/>
              <w:right w:val="nil"/>
            </w:tcBorders>
            <w:vAlign w:val="center"/>
          </w:tcPr>
          <w:p w:rsidR="00E02247" w:rsidRPr="00E02247" w:rsidP="00E02247" w14:paraId="457F17D9" w14:textId="7677B497">
            <w:pPr>
              <w:jc w:val="center"/>
              <w:rPr>
                <w:sz w:val="22"/>
                <w:szCs w:val="22"/>
              </w:rPr>
            </w:pPr>
            <w:r w:rsidRPr="00E02247">
              <w:rPr>
                <w:sz w:val="22"/>
                <w:szCs w:val="22"/>
              </w:rPr>
              <w:t>$30.12</w:t>
            </w:r>
          </w:p>
        </w:tc>
        <w:tc>
          <w:tcPr>
            <w:tcW w:w="5400" w:type="dxa"/>
            <w:tcBorders>
              <w:top w:val="single" w:sz="4" w:space="0" w:color="7F7F7F" w:themeColor="text1" w:themeTint="80"/>
              <w:left w:val="nil"/>
              <w:bottom w:val="single" w:sz="4" w:space="0" w:color="7F7F7F" w:themeColor="text1" w:themeTint="80"/>
              <w:right w:val="nil"/>
            </w:tcBorders>
            <w:vAlign w:val="center"/>
          </w:tcPr>
          <w:p w:rsidR="00E02247" w:rsidRPr="00E02247" w:rsidP="00E02247" w14:paraId="37C2AE22" w14:textId="36E7D624">
            <w:pPr>
              <w:rPr>
                <w:sz w:val="22"/>
                <w:szCs w:val="22"/>
              </w:rPr>
            </w:pPr>
            <w:r w:rsidRPr="00E02247">
              <w:rPr>
                <w:sz w:val="22"/>
                <w:szCs w:val="22"/>
              </w:rPr>
              <w:t>Life, Physical, and Social Science Technicians, All Other</w:t>
            </w:r>
          </w:p>
        </w:tc>
      </w:tr>
      <w:tr w14:paraId="79C24C6E" w14:textId="77777777" w:rsidTr="00EB7173">
        <w:tblPrEx>
          <w:tblW w:w="8640" w:type="dxa"/>
          <w:tblInd w:w="630" w:type="dxa"/>
          <w:tblLook w:val="04A0"/>
        </w:tblPrEx>
        <w:trPr>
          <w:trHeight w:val="288"/>
        </w:trPr>
        <w:tc>
          <w:tcPr>
            <w:tcW w:w="1710" w:type="dxa"/>
            <w:tcBorders>
              <w:left w:val="nil"/>
              <w:right w:val="nil"/>
            </w:tcBorders>
            <w:vAlign w:val="center"/>
            <w:hideMark/>
          </w:tcPr>
          <w:p w:rsidR="00E02247" w:rsidRPr="00F668AD" w:rsidP="00E02247" w14:paraId="13DE4D32" w14:textId="13CD6346">
            <w:pPr>
              <w:jc w:val="center"/>
              <w:rPr>
                <w:b w:val="0"/>
                <w:bCs w:val="0"/>
                <w:sz w:val="22"/>
                <w:szCs w:val="22"/>
              </w:rPr>
            </w:pPr>
            <w:r w:rsidRPr="00F668AD">
              <w:rPr>
                <w:b w:val="0"/>
                <w:bCs w:val="0"/>
                <w:sz w:val="22"/>
                <w:szCs w:val="22"/>
              </w:rPr>
              <w:t>29-1131</w:t>
            </w:r>
          </w:p>
        </w:tc>
        <w:tc>
          <w:tcPr>
            <w:tcW w:w="1530" w:type="dxa"/>
            <w:tcBorders>
              <w:left w:val="nil"/>
              <w:right w:val="nil"/>
            </w:tcBorders>
            <w:vAlign w:val="center"/>
            <w:hideMark/>
          </w:tcPr>
          <w:p w:rsidR="00E02247" w:rsidRPr="00E02247" w:rsidP="00E02247" w14:paraId="524442C4" w14:textId="306B13DA">
            <w:pPr>
              <w:jc w:val="center"/>
              <w:rPr>
                <w:bCs/>
                <w:sz w:val="22"/>
                <w:szCs w:val="22"/>
              </w:rPr>
            </w:pPr>
            <w:r w:rsidRPr="00E02247">
              <w:rPr>
                <w:sz w:val="22"/>
                <w:szCs w:val="22"/>
              </w:rPr>
              <w:t>$65.53</w:t>
            </w:r>
          </w:p>
        </w:tc>
        <w:tc>
          <w:tcPr>
            <w:tcW w:w="5400" w:type="dxa"/>
            <w:tcBorders>
              <w:left w:val="nil"/>
              <w:right w:val="nil"/>
            </w:tcBorders>
            <w:vAlign w:val="center"/>
            <w:hideMark/>
          </w:tcPr>
          <w:p w:rsidR="00E02247" w:rsidRPr="00E02247" w:rsidP="00E02247" w14:paraId="1FC23D9C" w14:textId="0EC1EEEF">
            <w:pPr>
              <w:rPr>
                <w:bCs/>
                <w:sz w:val="22"/>
                <w:szCs w:val="22"/>
              </w:rPr>
            </w:pPr>
            <w:r w:rsidRPr="00E02247">
              <w:rPr>
                <w:sz w:val="22"/>
                <w:szCs w:val="22"/>
              </w:rPr>
              <w:t>Veterinarians</w:t>
            </w:r>
          </w:p>
        </w:tc>
      </w:tr>
      <w:tr w14:paraId="1AFAF7C8" w14:textId="77777777" w:rsidTr="00EB7173">
        <w:tblPrEx>
          <w:tblW w:w="8640" w:type="dxa"/>
          <w:tblInd w:w="630" w:type="dxa"/>
          <w:tblLook w:val="04A0"/>
        </w:tblPrEx>
        <w:trPr>
          <w:trHeight w:val="288"/>
        </w:trPr>
        <w:tc>
          <w:tcPr>
            <w:tcW w:w="1710" w:type="dxa"/>
            <w:tcBorders>
              <w:left w:val="nil"/>
              <w:right w:val="nil"/>
            </w:tcBorders>
            <w:vAlign w:val="center"/>
          </w:tcPr>
          <w:p w:rsidR="00673E22" w:rsidRPr="00C0175C" w:rsidP="00673E22" w14:paraId="2DFB1218" w14:textId="77777777">
            <w:pPr>
              <w:rPr>
                <w:bCs w:val="0"/>
                <w:sz w:val="22"/>
                <w:szCs w:val="22"/>
              </w:rPr>
            </w:pPr>
          </w:p>
        </w:tc>
        <w:tc>
          <w:tcPr>
            <w:tcW w:w="1530" w:type="dxa"/>
            <w:tcBorders>
              <w:left w:val="nil"/>
              <w:right w:val="nil"/>
            </w:tcBorders>
            <w:vAlign w:val="center"/>
            <w:hideMark/>
          </w:tcPr>
          <w:p w:rsidR="00673E22" w:rsidRPr="00C0175C" w:rsidP="00673E22" w14:paraId="13F1FF8F" w14:textId="794B4095">
            <w:pPr>
              <w:jc w:val="center"/>
              <w:rPr>
                <w:b/>
                <w:sz w:val="22"/>
                <w:szCs w:val="22"/>
              </w:rPr>
            </w:pPr>
            <w:r w:rsidRPr="00C0175C">
              <w:rPr>
                <w:b/>
                <w:sz w:val="22"/>
                <w:szCs w:val="22"/>
              </w:rPr>
              <w:t>$</w:t>
            </w:r>
            <w:r w:rsidR="00E02247">
              <w:rPr>
                <w:b/>
                <w:sz w:val="22"/>
                <w:szCs w:val="22"/>
              </w:rPr>
              <w:t>4</w:t>
            </w:r>
            <w:r w:rsidR="00A70C35">
              <w:rPr>
                <w:b/>
                <w:sz w:val="22"/>
                <w:szCs w:val="22"/>
              </w:rPr>
              <w:t>6</w:t>
            </w:r>
            <w:r w:rsidR="00E02247">
              <w:rPr>
                <w:b/>
                <w:sz w:val="22"/>
                <w:szCs w:val="22"/>
              </w:rPr>
              <w:t>.</w:t>
            </w:r>
            <w:r w:rsidR="00A70C35">
              <w:rPr>
                <w:b/>
                <w:sz w:val="22"/>
                <w:szCs w:val="22"/>
              </w:rPr>
              <w:t>22</w:t>
            </w:r>
          </w:p>
        </w:tc>
        <w:tc>
          <w:tcPr>
            <w:tcW w:w="5400" w:type="dxa"/>
            <w:tcBorders>
              <w:left w:val="nil"/>
              <w:right w:val="nil"/>
            </w:tcBorders>
            <w:vAlign w:val="center"/>
            <w:hideMark/>
          </w:tcPr>
          <w:p w:rsidR="00673E22" w:rsidRPr="00EB7173" w:rsidP="00673E22" w14:paraId="45E5C673" w14:textId="3D1D7CA9">
            <w:pPr>
              <w:rPr>
                <w:rStyle w:val="InitialStyle"/>
                <w:rFonts w:ascii="Times New Roman" w:hAnsi="Times New Roman" w:cs="Times New Roman"/>
                <w:b/>
                <w:bCs/>
                <w:sz w:val="22"/>
                <w:szCs w:val="22"/>
              </w:rPr>
            </w:pPr>
            <w:r w:rsidRPr="00EB7173">
              <w:rPr>
                <w:b/>
                <w:bCs/>
                <w:sz w:val="22"/>
                <w:szCs w:val="22"/>
              </w:rPr>
              <w:t xml:space="preserve">Average </w:t>
            </w:r>
            <w:r w:rsidRPr="00EB7173" w:rsidR="00EB7173">
              <w:rPr>
                <w:b/>
                <w:bCs/>
                <w:sz w:val="22"/>
                <w:szCs w:val="22"/>
              </w:rPr>
              <w:t>Hourly Wage</w:t>
            </w:r>
          </w:p>
        </w:tc>
      </w:tr>
    </w:tbl>
    <w:p w:rsidR="00427EBA" w:rsidP="00427EBA" w14:paraId="09D26A61" w14:textId="77777777">
      <w:pPr>
        <w:rPr>
          <w:rFonts w:ascii="Times New Roman" w:hAnsi="Times New Roman" w:cs="Times New Roman"/>
          <w:sz w:val="24"/>
          <w:szCs w:val="24"/>
        </w:rPr>
      </w:pPr>
    </w:p>
    <w:p w:rsidR="00673E22" w:rsidRPr="00673E22" w:rsidP="00673E22" w14:paraId="6321404B" w14:textId="45A59317">
      <w:pPr>
        <w:ind w:left="720"/>
        <w:rPr>
          <w:rFonts w:ascii="Times New Roman" w:hAnsi="Times New Roman" w:cs="Times New Roman"/>
          <w:sz w:val="24"/>
          <w:szCs w:val="24"/>
        </w:rPr>
      </w:pPr>
      <w:bookmarkStart w:id="18" w:name="_Hlk173318795"/>
      <w:r w:rsidRPr="00673E22">
        <w:rPr>
          <w:rFonts w:ascii="Times New Roman" w:hAnsi="Times New Roman" w:cs="Times New Roman"/>
          <w:sz w:val="24"/>
          <w:szCs w:val="24"/>
        </w:rPr>
        <w:t xml:space="preserve">APHIS derived the estimated wage by averaging the following figures from the </w:t>
      </w:r>
      <w:hyperlink r:id="rId6" w:history="1">
        <w:r w:rsidRPr="00567EE5">
          <w:rPr>
            <w:rStyle w:val="Hyperlink"/>
            <w:rFonts w:ascii="Times New Roman" w:hAnsi="Times New Roman" w:cs="Times New Roman"/>
            <w:sz w:val="24"/>
            <w:szCs w:val="24"/>
          </w:rPr>
          <w:t>U.S. Department of Labor; Bureau of Labor Statistics website</w:t>
        </w:r>
      </w:hyperlink>
      <w:r w:rsidR="00567EE5">
        <w:rPr>
          <w:rFonts w:ascii="Times New Roman" w:hAnsi="Times New Roman" w:cs="Times New Roman"/>
          <w:sz w:val="24"/>
          <w:szCs w:val="24"/>
        </w:rPr>
        <w:t>.</w:t>
      </w:r>
    </w:p>
    <w:p w:rsidR="00673E22" w:rsidRPr="00673E22" w:rsidP="00673E22" w14:paraId="0DAC74C3" w14:textId="77777777">
      <w:pPr>
        <w:rPr>
          <w:rFonts w:ascii="Times New Roman" w:hAnsi="Times New Roman" w:cs="Times New Roman"/>
          <w:sz w:val="24"/>
          <w:szCs w:val="24"/>
        </w:rPr>
      </w:pPr>
    </w:p>
    <w:p w:rsidR="00673E22" w:rsidP="00673E22" w14:paraId="3650F35C" w14:textId="6C14FE14">
      <w:pPr>
        <w:ind w:left="720"/>
        <w:rPr>
          <w:rFonts w:ascii="Times New Roman" w:hAnsi="Times New Roman" w:cs="Times New Roman"/>
          <w:sz w:val="24"/>
          <w:szCs w:val="24"/>
        </w:rPr>
      </w:pPr>
      <w:r w:rsidRPr="00B76A26">
        <w:rPr>
          <w:rFonts w:ascii="Times New Roman" w:hAnsi="Times New Roman" w:cs="Times New Roman"/>
          <w:sz w:val="24"/>
          <w:szCs w:val="24"/>
        </w:rPr>
        <w:t xml:space="preserve">According to </w:t>
      </w:r>
      <w:hyperlink r:id="rId7" w:history="1">
        <w:r w:rsidRPr="00772982">
          <w:rPr>
            <w:rStyle w:val="Hyperlink"/>
            <w:rFonts w:ascii="Times New Roman" w:hAnsi="Times New Roman" w:cs="Times New Roman"/>
            <w:sz w:val="24"/>
            <w:szCs w:val="24"/>
          </w:rPr>
          <w:t>DOL BLS news release USDL-24-0485 dated March 13, 2024</w:t>
        </w:r>
      </w:hyperlink>
      <w:r w:rsidRPr="00B76A26">
        <w:rPr>
          <w:rFonts w:ascii="Times New Roman" w:hAnsi="Times New Roman" w:cs="Times New Roman"/>
          <w:sz w:val="24"/>
          <w:szCs w:val="24"/>
        </w:rPr>
        <w:t>, benefits account for 3</w:t>
      </w:r>
      <w:r w:rsidRPr="00B76A26" w:rsidR="00F304E7">
        <w:rPr>
          <w:rFonts w:ascii="Times New Roman" w:hAnsi="Times New Roman" w:cs="Times New Roman"/>
          <w:sz w:val="24"/>
          <w:szCs w:val="24"/>
        </w:rPr>
        <w:t>0</w:t>
      </w:r>
      <w:r w:rsidRPr="00B76A26">
        <w:rPr>
          <w:rFonts w:ascii="Times New Roman" w:hAnsi="Times New Roman" w:cs="Times New Roman"/>
          <w:sz w:val="24"/>
          <w:szCs w:val="24"/>
        </w:rPr>
        <w:t xml:space="preserve"> percent of employee costs, and wages account for the remaining </w:t>
      </w:r>
      <w:r w:rsidRPr="00B76A26" w:rsidR="00F304E7">
        <w:rPr>
          <w:rFonts w:ascii="Times New Roman" w:hAnsi="Times New Roman" w:cs="Times New Roman"/>
          <w:sz w:val="24"/>
          <w:szCs w:val="24"/>
        </w:rPr>
        <w:t>70</w:t>
      </w:r>
      <w:r w:rsidR="00772982">
        <w:rPr>
          <w:rFonts w:ascii="Times New Roman" w:hAnsi="Times New Roman" w:cs="Times New Roman"/>
          <w:sz w:val="24"/>
          <w:szCs w:val="24"/>
        </w:rPr>
        <w:t> </w:t>
      </w:r>
      <w:r w:rsidRPr="00B76A26">
        <w:rPr>
          <w:rFonts w:ascii="Times New Roman" w:hAnsi="Times New Roman" w:cs="Times New Roman"/>
          <w:sz w:val="24"/>
          <w:szCs w:val="24"/>
        </w:rPr>
        <w:t>percent.  Mathematically, total costs can be calculated as a function of wages, resulting in a multiplier of 1.4</w:t>
      </w:r>
      <w:r w:rsidRPr="00B76A26" w:rsidR="00F304E7">
        <w:rPr>
          <w:rFonts w:ascii="Times New Roman" w:hAnsi="Times New Roman" w:cs="Times New Roman"/>
          <w:sz w:val="24"/>
          <w:szCs w:val="24"/>
        </w:rPr>
        <w:t>286.</w:t>
      </w:r>
    </w:p>
    <w:bookmarkEnd w:id="18"/>
    <w:p w:rsidR="00673E22" w:rsidP="00427EBA" w14:paraId="1D08C83B" w14:textId="77777777">
      <w:pPr>
        <w:rPr>
          <w:rFonts w:ascii="Times New Roman" w:hAnsi="Times New Roman" w:cs="Times New Roman"/>
          <w:sz w:val="24"/>
          <w:szCs w:val="24"/>
        </w:rPr>
      </w:pPr>
    </w:p>
    <w:p w:rsidR="00673E22" w:rsidRPr="00AD0C12" w:rsidP="00427EBA" w14:paraId="5F9E67C8" w14:textId="77777777">
      <w:pPr>
        <w:rPr>
          <w:rFonts w:ascii="Times New Roman" w:hAnsi="Times New Roman" w:cs="Times New Roman"/>
          <w:b/>
          <w:bCs/>
          <w:sz w:val="24"/>
          <w:szCs w:val="24"/>
        </w:rPr>
      </w:pPr>
    </w:p>
    <w:p w:rsidR="00F304E7" w:rsidRPr="00F304E7" w:rsidP="00F304E7" w14:paraId="7F2FE179" w14:textId="4D439D0F">
      <w:pPr>
        <w:pStyle w:val="ListParagraph"/>
        <w:numPr>
          <w:ilvl w:val="0"/>
          <w:numId w:val="2"/>
        </w:numPr>
        <w:rPr>
          <w:rFonts w:ascii="Times New Roman" w:hAnsi="Times New Roman" w:cs="Times New Roman"/>
          <w:b/>
          <w:bCs/>
          <w:sz w:val="24"/>
          <w:szCs w:val="24"/>
        </w:rPr>
      </w:pPr>
      <w:bookmarkStart w:id="19" w:name="_Toc173393803"/>
      <w:r w:rsidRPr="00AD0C12">
        <w:rPr>
          <w:rStyle w:val="Heading2Char"/>
          <w:rFonts w:ascii="Times New Roman" w:hAnsi="Times New Roman" w:cs="Times New Roman"/>
          <w:b/>
          <w:bCs/>
          <w:color w:val="auto"/>
          <w:sz w:val="24"/>
          <w:szCs w:val="24"/>
        </w:rPr>
        <w:t>Capital and start-up and/or operation and maintenance.</w:t>
      </w:r>
      <w:bookmarkEnd w:id="19"/>
      <w:r w:rsidRPr="00AD0C12">
        <w:rPr>
          <w:rStyle w:val="Heading2Char"/>
          <w:color w:val="auto"/>
        </w:rPr>
        <w:t xml:space="preserve"> </w:t>
      </w:r>
      <w:r w:rsidRPr="00F304E7">
        <w:rPr>
          <w:rFonts w:ascii="Times New Roman" w:hAnsi="Times New Roman" w:cs="Times New Roman"/>
          <w:b/>
          <w:bCs/>
          <w:sz w:val="24"/>
          <w:szCs w:val="24"/>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304E7" w:rsidRPr="00F304E7" w:rsidP="00F304E7" w14:paraId="6AE9E24E" w14:textId="77777777">
      <w:pPr>
        <w:rPr>
          <w:rFonts w:ascii="Times New Roman" w:hAnsi="Times New Roman" w:cs="Times New Roman"/>
          <w:sz w:val="24"/>
          <w:szCs w:val="24"/>
        </w:rPr>
      </w:pPr>
    </w:p>
    <w:p w:rsidR="00F304E7" w:rsidRPr="00F304E7" w:rsidP="00F304E7" w14:paraId="299BB436" w14:textId="2E3715B0">
      <w:pPr>
        <w:ind w:left="360"/>
        <w:rPr>
          <w:rFonts w:ascii="Times New Roman" w:hAnsi="Times New Roman" w:cs="Times New Roman"/>
          <w:sz w:val="24"/>
          <w:szCs w:val="24"/>
        </w:rPr>
      </w:pPr>
      <w:bookmarkStart w:id="20" w:name="_Hlk173750250"/>
      <w:r w:rsidRPr="00F304E7">
        <w:rPr>
          <w:rFonts w:ascii="Times New Roman" w:hAnsi="Times New Roman" w:cs="Times New Roman"/>
          <w:sz w:val="24"/>
          <w:szCs w:val="24"/>
        </w:rPr>
        <w:t>No annual cost burden is associated with capital and startup costs, operation and maintenance expenditures, and purchase of services.</w:t>
      </w:r>
    </w:p>
    <w:p w:rsidR="00F304E7" w:rsidRPr="00F304E7" w:rsidP="00F304E7" w14:paraId="555D486B" w14:textId="77777777">
      <w:pPr>
        <w:rPr>
          <w:rFonts w:ascii="Times New Roman" w:hAnsi="Times New Roman" w:cs="Times New Roman"/>
          <w:sz w:val="24"/>
          <w:szCs w:val="24"/>
        </w:rPr>
      </w:pPr>
    </w:p>
    <w:bookmarkEnd w:id="20"/>
    <w:p w:rsidR="00F304E7" w:rsidRPr="00F304E7" w:rsidP="00F304E7" w14:paraId="76B011AD" w14:textId="77777777">
      <w:pPr>
        <w:rPr>
          <w:rFonts w:ascii="Times New Roman" w:hAnsi="Times New Roman" w:cs="Times New Roman"/>
          <w:sz w:val="24"/>
          <w:szCs w:val="24"/>
        </w:rPr>
      </w:pPr>
    </w:p>
    <w:p w:rsidR="00F304E7" w:rsidRPr="00F304E7" w:rsidP="00F304E7" w14:paraId="5BA30DC3" w14:textId="6BDA2FD7">
      <w:pPr>
        <w:pStyle w:val="ListParagraph"/>
        <w:numPr>
          <w:ilvl w:val="0"/>
          <w:numId w:val="2"/>
        </w:numPr>
        <w:rPr>
          <w:rFonts w:ascii="Times New Roman" w:hAnsi="Times New Roman" w:cs="Times New Roman"/>
          <w:b/>
          <w:bCs/>
          <w:sz w:val="24"/>
          <w:szCs w:val="24"/>
        </w:rPr>
      </w:pPr>
      <w:bookmarkStart w:id="21" w:name="_Toc173393804"/>
      <w:r w:rsidRPr="00AD0C12">
        <w:rPr>
          <w:rStyle w:val="Heading2Char"/>
          <w:rFonts w:ascii="Times New Roman" w:hAnsi="Times New Roman" w:cs="Times New Roman"/>
          <w:b/>
          <w:bCs/>
          <w:color w:val="auto"/>
          <w:sz w:val="24"/>
          <w:szCs w:val="24"/>
        </w:rPr>
        <w:t>Provide estimates of annualized cost to the Federal government.</w:t>
      </w:r>
      <w:bookmarkEnd w:id="21"/>
      <w:r w:rsidRPr="00AD0C12">
        <w:rPr>
          <w:rFonts w:ascii="Times New Roman" w:hAnsi="Times New Roman" w:cs="Times New Roman"/>
          <w:b/>
          <w:bCs/>
          <w:sz w:val="24"/>
          <w:szCs w:val="24"/>
        </w:rPr>
        <w:t xml:space="preserve">  </w:t>
      </w:r>
      <w:r w:rsidRPr="00F304E7">
        <w:rPr>
          <w:rFonts w:ascii="Times New Roman" w:hAnsi="Times New Roman" w:cs="Times New Roman"/>
          <w:b/>
          <w:bCs/>
          <w:sz w:val="24"/>
          <w:szCs w:val="24"/>
        </w:rPr>
        <w:t>Provide a description of the method used to estimate cost and any other expense that would not have been incurred without this collection of information.</w:t>
      </w:r>
    </w:p>
    <w:p w:rsidR="00F304E7" w:rsidRPr="00F304E7" w:rsidP="00F304E7" w14:paraId="1953CBAE" w14:textId="77777777">
      <w:pPr>
        <w:rPr>
          <w:rFonts w:ascii="Times New Roman" w:hAnsi="Times New Roman" w:cs="Times New Roman"/>
          <w:sz w:val="24"/>
          <w:szCs w:val="24"/>
        </w:rPr>
      </w:pPr>
    </w:p>
    <w:p w:rsidR="00F304E7" w:rsidP="00F304E7" w14:paraId="725BA043" w14:textId="1247C3C7">
      <w:pPr>
        <w:ind w:left="360"/>
        <w:rPr>
          <w:rFonts w:ascii="Times New Roman" w:hAnsi="Times New Roman" w:cs="Times New Roman"/>
          <w:sz w:val="24"/>
          <w:szCs w:val="24"/>
        </w:rPr>
      </w:pPr>
      <w:bookmarkStart w:id="22" w:name="_Hlk173751021"/>
      <w:r w:rsidRPr="00F304E7">
        <w:rPr>
          <w:rFonts w:ascii="Times New Roman" w:hAnsi="Times New Roman" w:cs="Times New Roman"/>
          <w:sz w:val="24"/>
          <w:szCs w:val="24"/>
        </w:rPr>
        <w:t>See APHIS 79. The annualized cost to the Federal government is estimated at $</w:t>
      </w:r>
      <w:r w:rsidR="00567EE5">
        <w:rPr>
          <w:rFonts w:ascii="Times New Roman" w:hAnsi="Times New Roman" w:cs="Times New Roman"/>
          <w:sz w:val="24"/>
          <w:szCs w:val="24"/>
        </w:rPr>
        <w:t>198,106</w:t>
      </w:r>
      <w:r w:rsidRPr="00F304E7">
        <w:rPr>
          <w:rFonts w:ascii="Times New Roman" w:hAnsi="Times New Roman" w:cs="Times New Roman"/>
          <w:sz w:val="24"/>
          <w:szCs w:val="24"/>
        </w:rPr>
        <w:t>.</w:t>
      </w:r>
    </w:p>
    <w:bookmarkEnd w:id="22"/>
    <w:p w:rsidR="00F304E7" w:rsidP="00427EBA" w14:paraId="296C71F1" w14:textId="77777777">
      <w:pPr>
        <w:rPr>
          <w:rFonts w:ascii="Times New Roman" w:hAnsi="Times New Roman" w:cs="Times New Roman"/>
          <w:sz w:val="24"/>
          <w:szCs w:val="24"/>
        </w:rPr>
      </w:pPr>
    </w:p>
    <w:p w:rsidR="00C77674" w:rsidP="00427EBA" w14:paraId="45A2C443" w14:textId="77777777">
      <w:pPr>
        <w:rPr>
          <w:rFonts w:ascii="Times New Roman" w:hAnsi="Times New Roman" w:cs="Times New Roman"/>
          <w:sz w:val="24"/>
          <w:szCs w:val="24"/>
        </w:rPr>
      </w:pPr>
    </w:p>
    <w:p w:rsidR="00A05486" w14:paraId="6DFEB335" w14:textId="77777777">
      <w:pPr>
        <w:rPr>
          <w:rFonts w:ascii="Times New Roman" w:hAnsi="Times New Roman" w:cs="Times New Roman"/>
          <w:b/>
          <w:bCs/>
          <w:sz w:val="24"/>
          <w:szCs w:val="24"/>
          <w:highlight w:val="lightGray"/>
        </w:rPr>
      </w:pPr>
      <w:bookmarkStart w:id="23" w:name="_Toc173393805"/>
      <w:r>
        <w:rPr>
          <w:rFonts w:ascii="Times New Roman" w:hAnsi="Times New Roman" w:cs="Times New Roman"/>
          <w:b/>
          <w:bCs/>
          <w:sz w:val="24"/>
          <w:szCs w:val="24"/>
          <w:highlight w:val="lightGray"/>
        </w:rPr>
        <w:br w:type="page"/>
      </w:r>
    </w:p>
    <w:p w:rsidR="00427EBA" w:rsidRPr="00A05486" w:rsidP="00A05486" w14:paraId="3E2DCF92" w14:textId="00FA9D1F">
      <w:pPr>
        <w:pStyle w:val="ListParagraph"/>
        <w:numPr>
          <w:ilvl w:val="0"/>
          <w:numId w:val="2"/>
        </w:numPr>
        <w:rPr>
          <w:rFonts w:ascii="Times New Roman" w:hAnsi="Times New Roman" w:cs="Times New Roman"/>
          <w:b/>
          <w:bCs/>
          <w:sz w:val="24"/>
          <w:szCs w:val="24"/>
        </w:rPr>
      </w:pPr>
      <w:r w:rsidRPr="00A05486">
        <w:rPr>
          <w:rStyle w:val="Heading2Char"/>
          <w:rFonts w:ascii="Times New Roman" w:hAnsi="Times New Roman" w:cs="Times New Roman"/>
          <w:b/>
          <w:bCs/>
          <w:color w:val="auto"/>
          <w:sz w:val="24"/>
          <w:szCs w:val="24"/>
        </w:rPr>
        <w:t>Explain the reasons for any program changes or adjustments</w:t>
      </w:r>
      <w:bookmarkEnd w:id="23"/>
      <w:r w:rsidRPr="00A05486">
        <w:rPr>
          <w:rFonts w:ascii="Times New Roman" w:hAnsi="Times New Roman" w:cs="Times New Roman"/>
          <w:b/>
          <w:bCs/>
          <w:sz w:val="24"/>
          <w:szCs w:val="24"/>
        </w:rPr>
        <w:t xml:space="preserve"> reported in Items 13 or 14 of the OMB Form 83-1.</w:t>
      </w:r>
    </w:p>
    <w:p w:rsidR="00427EBA" w:rsidP="003F4AE0" w14:paraId="643EE8EC" w14:textId="20E602C8">
      <w:pPr>
        <w:rPr>
          <w:rFonts w:ascii="Times New Roman" w:hAnsi="Times New Roman" w:cs="Times New Roman"/>
          <w:b/>
          <w:bCs/>
          <w:sz w:val="24"/>
          <w:szCs w:val="24"/>
        </w:rPr>
      </w:pPr>
    </w:p>
    <w:p w:rsidR="003F4AE0" w:rsidRPr="00AD0C12" w:rsidP="003F4AE0" w14:paraId="42125934" w14:textId="1C80E284">
      <w:pPr>
        <w:ind w:left="360"/>
        <w:rPr>
          <w:rFonts w:ascii="Times New Roman" w:hAnsi="Times New Roman" w:cs="Times New Roman"/>
          <w:sz w:val="24"/>
          <w:szCs w:val="24"/>
        </w:rPr>
      </w:pPr>
      <w:bookmarkStart w:id="24" w:name="_Hlk173751347"/>
      <w:r w:rsidRPr="00AD0C12">
        <w:rPr>
          <w:rFonts w:ascii="Times New Roman" w:hAnsi="Times New Roman" w:cs="Times New Roman"/>
          <w:sz w:val="24"/>
          <w:szCs w:val="24"/>
        </w:rPr>
        <w:t>APHIS is seeking</w:t>
      </w:r>
      <w:r w:rsidR="007F2C8E">
        <w:rPr>
          <w:rFonts w:ascii="Times New Roman" w:hAnsi="Times New Roman" w:cs="Times New Roman"/>
          <w:sz w:val="24"/>
          <w:szCs w:val="24"/>
        </w:rPr>
        <w:t xml:space="preserve"> an extension </w:t>
      </w:r>
      <w:r w:rsidRPr="00B06499" w:rsidR="007F2C8E">
        <w:rPr>
          <w:rFonts w:ascii="Times New Roman" w:hAnsi="Times New Roman" w:cs="Times New Roman"/>
          <w:sz w:val="24"/>
          <w:szCs w:val="24"/>
        </w:rPr>
        <w:t>of a currently</w:t>
      </w:r>
      <w:r w:rsidRPr="0069023C" w:rsidR="007F2C8E">
        <w:rPr>
          <w:rFonts w:ascii="Times New Roman" w:hAnsi="Times New Roman" w:cs="Times New Roman"/>
          <w:sz w:val="24"/>
          <w:szCs w:val="24"/>
        </w:rPr>
        <w:t xml:space="preserve"> approved</w:t>
      </w:r>
      <w:r w:rsidR="007F2C8E">
        <w:rPr>
          <w:rFonts w:ascii="Times New Roman" w:hAnsi="Times New Roman" w:cs="Times New Roman"/>
          <w:sz w:val="24"/>
          <w:szCs w:val="24"/>
        </w:rPr>
        <w:t xml:space="preserve"> </w:t>
      </w:r>
      <w:r w:rsidRPr="0069023C" w:rsidR="007F2C8E">
        <w:rPr>
          <w:rFonts w:ascii="Times New Roman" w:hAnsi="Times New Roman" w:cs="Times New Roman"/>
          <w:sz w:val="24"/>
          <w:szCs w:val="24"/>
        </w:rPr>
        <w:t>information collection request</w:t>
      </w:r>
      <w:r w:rsidRPr="00AD0C12">
        <w:rPr>
          <w:rFonts w:ascii="Times New Roman" w:hAnsi="Times New Roman" w:cs="Times New Roman"/>
          <w:sz w:val="24"/>
          <w:szCs w:val="24"/>
        </w:rPr>
        <w:t>.</w:t>
      </w:r>
      <w:r>
        <w:rPr>
          <w:rFonts w:ascii="Times New Roman" w:hAnsi="Times New Roman" w:cs="Times New Roman"/>
          <w:sz w:val="24"/>
          <w:szCs w:val="24"/>
        </w:rPr>
        <w:t xml:space="preserve"> </w:t>
      </w:r>
      <w:r w:rsidRPr="00AD0C12">
        <w:rPr>
          <w:rFonts w:ascii="Times New Roman" w:hAnsi="Times New Roman" w:cs="Times New Roman"/>
          <w:sz w:val="24"/>
          <w:szCs w:val="24"/>
        </w:rPr>
        <w:t xml:space="preserve">The currently approved burden for this request is </w:t>
      </w:r>
      <w:r w:rsidR="00D1709D">
        <w:rPr>
          <w:rFonts w:ascii="Times New Roman" w:hAnsi="Times New Roman" w:cs="Times New Roman"/>
          <w:sz w:val="24"/>
          <w:szCs w:val="24"/>
        </w:rPr>
        <w:t>1,115</w:t>
      </w:r>
      <w:r w:rsidRPr="00AD0C12">
        <w:rPr>
          <w:rFonts w:ascii="Times New Roman" w:hAnsi="Times New Roman" w:cs="Times New Roman"/>
          <w:sz w:val="24"/>
          <w:szCs w:val="24"/>
        </w:rPr>
        <w:t xml:space="preserve"> total annual respondents, </w:t>
      </w:r>
      <w:r w:rsidR="00D1709D">
        <w:rPr>
          <w:rFonts w:ascii="Times New Roman" w:hAnsi="Times New Roman" w:cs="Times New Roman"/>
          <w:sz w:val="24"/>
          <w:szCs w:val="24"/>
        </w:rPr>
        <w:t>5,101</w:t>
      </w:r>
      <w:r w:rsidRPr="00AD0C12">
        <w:rPr>
          <w:rFonts w:ascii="Times New Roman" w:hAnsi="Times New Roman" w:cs="Times New Roman"/>
          <w:sz w:val="24"/>
          <w:szCs w:val="24"/>
        </w:rPr>
        <w:t xml:space="preserve"> total annual responses and </w:t>
      </w:r>
      <w:r w:rsidR="00D1709D">
        <w:rPr>
          <w:rFonts w:ascii="Times New Roman" w:hAnsi="Times New Roman" w:cs="Times New Roman"/>
          <w:sz w:val="24"/>
          <w:szCs w:val="24"/>
        </w:rPr>
        <w:t>1,223</w:t>
      </w:r>
      <w:r w:rsidRPr="00AD0C12">
        <w:rPr>
          <w:rFonts w:ascii="Times New Roman" w:hAnsi="Times New Roman" w:cs="Times New Roman"/>
          <w:sz w:val="24"/>
          <w:szCs w:val="24"/>
        </w:rPr>
        <w:t xml:space="preserve"> total annual burden hours. This request for renewal is for </w:t>
      </w:r>
      <w:r w:rsidR="00D1709D">
        <w:rPr>
          <w:rFonts w:ascii="Times New Roman" w:hAnsi="Times New Roman" w:cs="Times New Roman"/>
          <w:sz w:val="24"/>
          <w:szCs w:val="24"/>
        </w:rPr>
        <w:t>970</w:t>
      </w:r>
      <w:r w:rsidRPr="00AD0C12">
        <w:rPr>
          <w:rFonts w:ascii="Times New Roman" w:hAnsi="Times New Roman" w:cs="Times New Roman"/>
          <w:sz w:val="24"/>
          <w:szCs w:val="24"/>
        </w:rPr>
        <w:t xml:space="preserve"> respondents, </w:t>
      </w:r>
      <w:r w:rsidR="00D1709D">
        <w:rPr>
          <w:rFonts w:ascii="Times New Roman" w:hAnsi="Times New Roman" w:cs="Times New Roman"/>
          <w:sz w:val="24"/>
          <w:szCs w:val="24"/>
        </w:rPr>
        <w:t>4,079</w:t>
      </w:r>
      <w:r w:rsidRPr="00AD0C12">
        <w:rPr>
          <w:rFonts w:ascii="Times New Roman" w:hAnsi="Times New Roman" w:cs="Times New Roman"/>
          <w:sz w:val="24"/>
          <w:szCs w:val="24"/>
        </w:rPr>
        <w:t xml:space="preserve"> estimated responses and </w:t>
      </w:r>
      <w:r w:rsidR="00D1709D">
        <w:rPr>
          <w:rFonts w:ascii="Times New Roman" w:hAnsi="Times New Roman" w:cs="Times New Roman"/>
          <w:sz w:val="24"/>
          <w:szCs w:val="24"/>
        </w:rPr>
        <w:t>1,013</w:t>
      </w:r>
      <w:r w:rsidRPr="00AD0C12">
        <w:rPr>
          <w:rFonts w:ascii="Times New Roman" w:hAnsi="Times New Roman" w:cs="Times New Roman"/>
          <w:sz w:val="24"/>
          <w:szCs w:val="24"/>
        </w:rPr>
        <w:t xml:space="preserve"> estimated burden hours</w:t>
      </w:r>
      <w:r w:rsidR="000925F4">
        <w:rPr>
          <w:rFonts w:ascii="Times New Roman" w:hAnsi="Times New Roman" w:cs="Times New Roman"/>
          <w:sz w:val="24"/>
          <w:szCs w:val="24"/>
        </w:rPr>
        <w:t xml:space="preserve">. The requests reflects a </w:t>
      </w:r>
      <w:r w:rsidRPr="00AD0C12">
        <w:rPr>
          <w:rFonts w:ascii="Times New Roman" w:hAnsi="Times New Roman" w:cs="Times New Roman"/>
          <w:sz w:val="24"/>
          <w:szCs w:val="24"/>
        </w:rPr>
        <w:t xml:space="preserve">decrease of </w:t>
      </w:r>
      <w:r w:rsidR="00D1709D">
        <w:rPr>
          <w:rFonts w:ascii="Times New Roman" w:hAnsi="Times New Roman" w:cs="Times New Roman"/>
          <w:sz w:val="24"/>
          <w:szCs w:val="24"/>
        </w:rPr>
        <w:t>145</w:t>
      </w:r>
      <w:r w:rsidRPr="00AD0C12">
        <w:rPr>
          <w:rFonts w:ascii="Times New Roman" w:hAnsi="Times New Roman" w:cs="Times New Roman"/>
          <w:sz w:val="24"/>
          <w:szCs w:val="24"/>
        </w:rPr>
        <w:t xml:space="preserve"> respondents, </w:t>
      </w:r>
      <w:r w:rsidR="00705598">
        <w:rPr>
          <w:rFonts w:ascii="Times New Roman" w:hAnsi="Times New Roman" w:cs="Times New Roman"/>
          <w:sz w:val="24"/>
          <w:szCs w:val="24"/>
        </w:rPr>
        <w:t xml:space="preserve">a decrease in </w:t>
      </w:r>
      <w:r w:rsidR="000925F4">
        <w:rPr>
          <w:rFonts w:ascii="Times New Roman" w:hAnsi="Times New Roman" w:cs="Times New Roman"/>
          <w:sz w:val="24"/>
          <w:szCs w:val="24"/>
        </w:rPr>
        <w:t xml:space="preserve">1,022 </w:t>
      </w:r>
      <w:r w:rsidRPr="00AD0C12">
        <w:rPr>
          <w:rFonts w:ascii="Times New Roman" w:hAnsi="Times New Roman" w:cs="Times New Roman"/>
          <w:sz w:val="24"/>
          <w:szCs w:val="24"/>
        </w:rPr>
        <w:t xml:space="preserve">estimated responses and </w:t>
      </w:r>
      <w:r w:rsidR="00705598">
        <w:rPr>
          <w:rFonts w:ascii="Times New Roman" w:hAnsi="Times New Roman" w:cs="Times New Roman"/>
          <w:sz w:val="24"/>
          <w:szCs w:val="24"/>
        </w:rPr>
        <w:t xml:space="preserve">a decrease in </w:t>
      </w:r>
      <w:r w:rsidR="000925F4">
        <w:rPr>
          <w:rFonts w:ascii="Times New Roman" w:hAnsi="Times New Roman" w:cs="Times New Roman"/>
          <w:sz w:val="24"/>
          <w:szCs w:val="24"/>
        </w:rPr>
        <w:t>210</w:t>
      </w:r>
      <w:r w:rsidRPr="00AD0C12">
        <w:rPr>
          <w:rFonts w:ascii="Times New Roman" w:hAnsi="Times New Roman" w:cs="Times New Roman"/>
          <w:sz w:val="24"/>
          <w:szCs w:val="24"/>
        </w:rPr>
        <w:t xml:space="preserve"> hours of estimated burden from the previous renewal request.</w:t>
      </w:r>
    </w:p>
    <w:p w:rsidR="003F4AE0" w:rsidRPr="00AD0C12" w:rsidP="003F4AE0" w14:paraId="54F4F349" w14:textId="77777777">
      <w:pPr>
        <w:ind w:left="360"/>
        <w:rPr>
          <w:rFonts w:ascii="Times New Roman" w:hAnsi="Times New Roman" w:cs="Times New Roman"/>
          <w:sz w:val="24"/>
          <w:szCs w:val="24"/>
        </w:rPr>
      </w:pPr>
    </w:p>
    <w:p w:rsidR="003F4AE0" w:rsidRPr="00AD0C12" w:rsidP="003F4AE0" w14:paraId="542617BA" w14:textId="62933B02">
      <w:pPr>
        <w:ind w:left="360"/>
        <w:rPr>
          <w:rFonts w:ascii="Times New Roman" w:hAnsi="Times New Roman" w:cs="Times New Roman"/>
          <w:sz w:val="24"/>
          <w:szCs w:val="24"/>
        </w:rPr>
      </w:pPr>
      <w:r w:rsidRPr="00AD0C12">
        <w:rPr>
          <w:rFonts w:ascii="Times New Roman" w:hAnsi="Times New Roman" w:cs="Times New Roman"/>
          <w:sz w:val="24"/>
          <w:szCs w:val="24"/>
        </w:rPr>
        <w:t>There are no third-party disclosure burden estimates.</w:t>
      </w:r>
    </w:p>
    <w:p w:rsidR="003F4AE0" w:rsidP="003F4AE0" w14:paraId="57B7D279" w14:textId="77777777">
      <w:pPr>
        <w:ind w:left="360"/>
        <w:rPr>
          <w:rFonts w:ascii="Times New Roman" w:hAnsi="Times New Roman" w:cs="Times New Roman"/>
          <w:sz w:val="24"/>
          <w:szCs w:val="24"/>
        </w:rPr>
      </w:pPr>
    </w:p>
    <w:tbl>
      <w:tblPr>
        <w:tblStyle w:val="PlainTable2"/>
        <w:tblW w:w="4545" w:type="pct"/>
        <w:tblInd w:w="404" w:type="dxa"/>
        <w:tblLook w:val="04A0"/>
      </w:tblPr>
      <w:tblGrid>
        <w:gridCol w:w="1297"/>
        <w:gridCol w:w="1154"/>
        <w:gridCol w:w="1154"/>
        <w:gridCol w:w="1154"/>
        <w:gridCol w:w="1152"/>
        <w:gridCol w:w="1300"/>
        <w:gridCol w:w="1297"/>
      </w:tblGrid>
      <w:tr w14:paraId="578AB4B8" w14:textId="77777777" w:rsidTr="00EC0627">
        <w:tblPrEx>
          <w:tblW w:w="4545" w:type="pct"/>
          <w:tblInd w:w="404" w:type="dxa"/>
          <w:tblLook w:val="04A0"/>
        </w:tblPrEx>
        <w:tc>
          <w:tcPr>
            <w:tcW w:w="762" w:type="pct"/>
            <w:hideMark/>
          </w:tcPr>
          <w:p w:rsidR="00657BD8" w:rsidRPr="00F304E7" w14:paraId="55518444" w14:textId="77777777">
            <w:pPr>
              <w:rPr>
                <w:rFonts w:ascii="Arial" w:hAnsi="Arial" w:cs="Arial"/>
                <w:sz w:val="16"/>
                <w:szCs w:val="16"/>
              </w:rPr>
            </w:pPr>
          </w:p>
        </w:tc>
        <w:tc>
          <w:tcPr>
            <w:tcW w:w="678" w:type="pct"/>
            <w:vAlign w:val="bottom"/>
            <w:hideMark/>
          </w:tcPr>
          <w:p w:rsidR="00657BD8" w:rsidRPr="00F304E7" w:rsidP="00EC0627" w14:paraId="334C0E81" w14:textId="1C654C16">
            <w:pPr>
              <w:jc w:val="center"/>
              <w:rPr>
                <w:rFonts w:ascii="Arial" w:hAnsi="Arial" w:cs="Arial"/>
                <w:b w:val="0"/>
                <w:bCs w:val="0"/>
                <w:sz w:val="16"/>
                <w:szCs w:val="16"/>
              </w:rPr>
            </w:pPr>
            <w:r>
              <w:rPr>
                <w:rFonts w:ascii="Arial" w:hAnsi="Arial" w:cs="Arial"/>
                <w:sz w:val="16"/>
                <w:szCs w:val="16"/>
              </w:rPr>
              <w:t>Total Request</w:t>
            </w:r>
            <w:r w:rsidR="004C4800">
              <w:rPr>
                <w:rFonts w:ascii="Arial" w:hAnsi="Arial" w:cs="Arial"/>
                <w:sz w:val="16"/>
                <w:szCs w:val="16"/>
              </w:rPr>
              <w:t>ed</w:t>
            </w:r>
          </w:p>
        </w:tc>
        <w:tc>
          <w:tcPr>
            <w:tcW w:w="678" w:type="pct"/>
            <w:vAlign w:val="bottom"/>
          </w:tcPr>
          <w:p w:rsidR="00657BD8" w:rsidRPr="00F304E7" w:rsidP="00EC0627" w14:paraId="46ACEE67" w14:textId="509B611B">
            <w:pPr>
              <w:jc w:val="center"/>
              <w:rPr>
                <w:rFonts w:ascii="Arial" w:hAnsi="Arial" w:cs="Arial"/>
                <w:b w:val="0"/>
                <w:bCs w:val="0"/>
                <w:sz w:val="16"/>
                <w:szCs w:val="16"/>
              </w:rPr>
            </w:pPr>
            <w:r>
              <w:rPr>
                <w:rFonts w:ascii="Arial" w:hAnsi="Arial" w:cs="Arial"/>
                <w:sz w:val="16"/>
                <w:szCs w:val="16"/>
              </w:rPr>
              <w:t>Previously Approved</w:t>
            </w:r>
          </w:p>
        </w:tc>
        <w:tc>
          <w:tcPr>
            <w:tcW w:w="678" w:type="pct"/>
            <w:vAlign w:val="bottom"/>
            <w:hideMark/>
          </w:tcPr>
          <w:p w:rsidR="00657BD8" w:rsidRPr="00F304E7" w:rsidP="00EC0627" w14:paraId="07D530A0" w14:textId="2F1238EA">
            <w:pPr>
              <w:jc w:val="center"/>
              <w:rPr>
                <w:rFonts w:ascii="Arial" w:hAnsi="Arial" w:cs="Arial"/>
                <w:b w:val="0"/>
                <w:bCs w:val="0"/>
                <w:sz w:val="16"/>
                <w:szCs w:val="16"/>
              </w:rPr>
            </w:pPr>
            <w:r>
              <w:rPr>
                <w:rFonts w:ascii="Arial" w:hAnsi="Arial" w:cs="Arial"/>
                <w:sz w:val="16"/>
                <w:szCs w:val="16"/>
              </w:rPr>
              <w:t>Change Due to New Statute</w:t>
            </w:r>
          </w:p>
        </w:tc>
        <w:tc>
          <w:tcPr>
            <w:tcW w:w="677" w:type="pct"/>
            <w:vAlign w:val="bottom"/>
            <w:hideMark/>
          </w:tcPr>
          <w:p w:rsidR="00657BD8" w:rsidRPr="00F304E7" w:rsidP="00EC0627" w14:paraId="18B721B9" w14:textId="72328AB9">
            <w:pPr>
              <w:jc w:val="center"/>
              <w:rPr>
                <w:rFonts w:ascii="Arial" w:hAnsi="Arial" w:cs="Arial"/>
                <w:b w:val="0"/>
                <w:bCs w:val="0"/>
                <w:sz w:val="16"/>
                <w:szCs w:val="16"/>
              </w:rPr>
            </w:pPr>
            <w:r>
              <w:rPr>
                <w:rFonts w:ascii="Arial" w:hAnsi="Arial" w:cs="Arial"/>
                <w:sz w:val="16"/>
                <w:szCs w:val="16"/>
              </w:rPr>
              <w:t>Change Due to Agency Discretion</w:t>
            </w:r>
          </w:p>
        </w:tc>
        <w:tc>
          <w:tcPr>
            <w:tcW w:w="764" w:type="pct"/>
            <w:vAlign w:val="bottom"/>
            <w:hideMark/>
          </w:tcPr>
          <w:p w:rsidR="00657BD8" w:rsidRPr="00F304E7" w:rsidP="00EC0627" w14:paraId="44958781" w14:textId="1F628B1F">
            <w:pPr>
              <w:jc w:val="center"/>
              <w:rPr>
                <w:rFonts w:ascii="Arial" w:hAnsi="Arial" w:cs="Arial"/>
                <w:b w:val="0"/>
                <w:bCs w:val="0"/>
                <w:sz w:val="16"/>
                <w:szCs w:val="16"/>
              </w:rPr>
            </w:pPr>
            <w:r>
              <w:rPr>
                <w:rFonts w:ascii="Arial" w:hAnsi="Arial" w:cs="Arial"/>
                <w:sz w:val="16"/>
                <w:szCs w:val="16"/>
              </w:rPr>
              <w:t xml:space="preserve">Change due to </w:t>
            </w:r>
            <w:r w:rsidR="008B6D44">
              <w:rPr>
                <w:rFonts w:ascii="Arial" w:hAnsi="Arial" w:cs="Arial"/>
                <w:sz w:val="16"/>
                <w:szCs w:val="16"/>
              </w:rPr>
              <w:t>Adjustment in Estimate</w:t>
            </w:r>
          </w:p>
        </w:tc>
        <w:tc>
          <w:tcPr>
            <w:tcW w:w="762" w:type="pct"/>
            <w:vAlign w:val="bottom"/>
            <w:hideMark/>
          </w:tcPr>
          <w:p w:rsidR="00657BD8" w:rsidRPr="00F304E7" w:rsidP="00EC0627" w14:paraId="377C3CC6" w14:textId="741EA70F">
            <w:pPr>
              <w:jc w:val="center"/>
              <w:rPr>
                <w:rFonts w:ascii="Arial" w:hAnsi="Arial" w:cs="Arial"/>
                <w:b w:val="0"/>
                <w:bCs w:val="0"/>
                <w:sz w:val="16"/>
                <w:szCs w:val="16"/>
              </w:rPr>
            </w:pPr>
            <w:r>
              <w:rPr>
                <w:rFonts w:ascii="Arial" w:hAnsi="Arial" w:cs="Arial"/>
                <w:sz w:val="16"/>
                <w:szCs w:val="16"/>
              </w:rPr>
              <w:t>Change Due to Potential Violation of the PRA</w:t>
            </w:r>
          </w:p>
        </w:tc>
      </w:tr>
      <w:tr w14:paraId="46147310" w14:textId="77777777" w:rsidTr="00EC0627">
        <w:tblPrEx>
          <w:tblW w:w="4545" w:type="pct"/>
          <w:tblInd w:w="404" w:type="dxa"/>
          <w:tblLook w:val="04A0"/>
        </w:tblPrEx>
        <w:trPr>
          <w:trHeight w:val="620"/>
        </w:trPr>
        <w:tc>
          <w:tcPr>
            <w:tcW w:w="762" w:type="pct"/>
            <w:vAlign w:val="center"/>
            <w:hideMark/>
          </w:tcPr>
          <w:p w:rsidR="00657BD8" w:rsidRPr="00F304E7" w:rsidP="00EC0627" w14:paraId="7F43D46D" w14:textId="77777777">
            <w:pPr>
              <w:rPr>
                <w:rFonts w:ascii="Arial" w:hAnsi="Arial" w:cs="Arial"/>
                <w:b w:val="0"/>
                <w:bCs w:val="0"/>
                <w:sz w:val="16"/>
                <w:szCs w:val="16"/>
              </w:rPr>
            </w:pPr>
            <w:r w:rsidRPr="00F304E7">
              <w:rPr>
                <w:rFonts w:ascii="Arial" w:hAnsi="Arial" w:cs="Arial"/>
                <w:sz w:val="16"/>
                <w:szCs w:val="16"/>
              </w:rPr>
              <w:t>Annual Number of Responses</w:t>
            </w:r>
          </w:p>
        </w:tc>
        <w:tc>
          <w:tcPr>
            <w:tcW w:w="678" w:type="pct"/>
            <w:vAlign w:val="center"/>
            <w:hideMark/>
          </w:tcPr>
          <w:p w:rsidR="00657BD8" w:rsidRPr="003F4AE0" w:rsidP="00EC0627" w14:paraId="683954C7" w14:textId="6BA92667">
            <w:pPr>
              <w:jc w:val="center"/>
              <w:rPr>
                <w:sz w:val="22"/>
                <w:szCs w:val="22"/>
              </w:rPr>
            </w:pPr>
            <w:r>
              <w:rPr>
                <w:sz w:val="22"/>
                <w:szCs w:val="22"/>
              </w:rPr>
              <w:t>4,079</w:t>
            </w:r>
          </w:p>
        </w:tc>
        <w:tc>
          <w:tcPr>
            <w:tcW w:w="678" w:type="pct"/>
            <w:vAlign w:val="center"/>
          </w:tcPr>
          <w:p w:rsidR="00657BD8" w:rsidRPr="003F4AE0" w:rsidP="00EC0627" w14:paraId="62F235AC" w14:textId="2D4E40A9">
            <w:pPr>
              <w:jc w:val="center"/>
              <w:rPr>
                <w:sz w:val="22"/>
                <w:szCs w:val="22"/>
              </w:rPr>
            </w:pPr>
            <w:r>
              <w:rPr>
                <w:sz w:val="22"/>
                <w:szCs w:val="22"/>
              </w:rPr>
              <w:t>5,101</w:t>
            </w:r>
          </w:p>
        </w:tc>
        <w:tc>
          <w:tcPr>
            <w:tcW w:w="678" w:type="pct"/>
            <w:vAlign w:val="center"/>
            <w:hideMark/>
          </w:tcPr>
          <w:p w:rsidR="00657BD8" w:rsidRPr="003F4AE0" w:rsidP="00EC0627" w14:paraId="7A7647CE" w14:textId="015FACFB">
            <w:pPr>
              <w:jc w:val="center"/>
              <w:rPr>
                <w:sz w:val="22"/>
                <w:szCs w:val="22"/>
              </w:rPr>
            </w:pPr>
            <w:r>
              <w:rPr>
                <w:sz w:val="22"/>
                <w:szCs w:val="22"/>
              </w:rPr>
              <w:t>0</w:t>
            </w:r>
          </w:p>
        </w:tc>
        <w:tc>
          <w:tcPr>
            <w:tcW w:w="677" w:type="pct"/>
            <w:vAlign w:val="center"/>
            <w:hideMark/>
          </w:tcPr>
          <w:p w:rsidR="00657BD8" w:rsidRPr="003F4AE0" w:rsidP="00EC0627" w14:paraId="26ADB129" w14:textId="7B6AA377">
            <w:pPr>
              <w:jc w:val="center"/>
              <w:rPr>
                <w:sz w:val="22"/>
                <w:szCs w:val="22"/>
              </w:rPr>
            </w:pPr>
            <w:r>
              <w:rPr>
                <w:sz w:val="22"/>
                <w:szCs w:val="22"/>
              </w:rPr>
              <w:t>0</w:t>
            </w:r>
          </w:p>
        </w:tc>
        <w:tc>
          <w:tcPr>
            <w:tcW w:w="764" w:type="pct"/>
            <w:vAlign w:val="center"/>
            <w:hideMark/>
          </w:tcPr>
          <w:p w:rsidR="00657BD8" w:rsidRPr="003F4AE0" w:rsidP="00EC0627" w14:paraId="7072272A" w14:textId="07175DD8">
            <w:pPr>
              <w:jc w:val="center"/>
              <w:rPr>
                <w:sz w:val="22"/>
                <w:szCs w:val="22"/>
              </w:rPr>
            </w:pPr>
            <w:r>
              <w:rPr>
                <w:sz w:val="22"/>
                <w:szCs w:val="22"/>
              </w:rPr>
              <w:t>(1,022)</w:t>
            </w:r>
          </w:p>
        </w:tc>
        <w:tc>
          <w:tcPr>
            <w:tcW w:w="762" w:type="pct"/>
            <w:vAlign w:val="center"/>
            <w:hideMark/>
          </w:tcPr>
          <w:p w:rsidR="00657BD8" w:rsidRPr="003F4AE0" w:rsidP="00EC0627" w14:paraId="66557C14" w14:textId="61B7E952">
            <w:pPr>
              <w:jc w:val="center"/>
              <w:rPr>
                <w:sz w:val="22"/>
                <w:szCs w:val="22"/>
              </w:rPr>
            </w:pPr>
            <w:r>
              <w:rPr>
                <w:sz w:val="22"/>
                <w:szCs w:val="22"/>
              </w:rPr>
              <w:t>0</w:t>
            </w:r>
          </w:p>
        </w:tc>
      </w:tr>
      <w:tr w14:paraId="7F14E97D" w14:textId="77777777" w:rsidTr="00EC0627">
        <w:tblPrEx>
          <w:tblW w:w="4545" w:type="pct"/>
          <w:tblInd w:w="404" w:type="dxa"/>
          <w:tblLook w:val="04A0"/>
        </w:tblPrEx>
        <w:trPr>
          <w:trHeight w:val="620"/>
        </w:trPr>
        <w:tc>
          <w:tcPr>
            <w:tcW w:w="762" w:type="pct"/>
            <w:vAlign w:val="center"/>
            <w:hideMark/>
          </w:tcPr>
          <w:p w:rsidR="00657BD8" w:rsidRPr="00F304E7" w:rsidP="00EC0627" w14:paraId="198F0F0C" w14:textId="77777777">
            <w:pPr>
              <w:rPr>
                <w:rFonts w:ascii="Arial" w:hAnsi="Arial" w:cs="Arial"/>
                <w:b w:val="0"/>
                <w:bCs w:val="0"/>
                <w:sz w:val="16"/>
                <w:szCs w:val="16"/>
              </w:rPr>
            </w:pPr>
            <w:r w:rsidRPr="00F304E7">
              <w:rPr>
                <w:rFonts w:ascii="Arial" w:hAnsi="Arial" w:cs="Arial"/>
                <w:sz w:val="16"/>
                <w:szCs w:val="16"/>
              </w:rPr>
              <w:t>Annual Time Burden (Hr)</w:t>
            </w:r>
          </w:p>
        </w:tc>
        <w:tc>
          <w:tcPr>
            <w:tcW w:w="678" w:type="pct"/>
            <w:vAlign w:val="center"/>
            <w:hideMark/>
          </w:tcPr>
          <w:p w:rsidR="00657BD8" w:rsidRPr="003F4AE0" w:rsidP="00EC0627" w14:paraId="2040F7DC" w14:textId="24EF026E">
            <w:pPr>
              <w:jc w:val="center"/>
              <w:rPr>
                <w:sz w:val="22"/>
                <w:szCs w:val="22"/>
              </w:rPr>
            </w:pPr>
            <w:r>
              <w:rPr>
                <w:sz w:val="22"/>
                <w:szCs w:val="22"/>
              </w:rPr>
              <w:t>1,013</w:t>
            </w:r>
          </w:p>
        </w:tc>
        <w:tc>
          <w:tcPr>
            <w:tcW w:w="678" w:type="pct"/>
            <w:vAlign w:val="center"/>
          </w:tcPr>
          <w:p w:rsidR="00657BD8" w:rsidRPr="003F4AE0" w:rsidP="00EC0627" w14:paraId="432A9C6C" w14:textId="3EB4CD1C">
            <w:pPr>
              <w:jc w:val="center"/>
              <w:rPr>
                <w:sz w:val="22"/>
                <w:szCs w:val="22"/>
              </w:rPr>
            </w:pPr>
            <w:r>
              <w:rPr>
                <w:sz w:val="22"/>
                <w:szCs w:val="22"/>
              </w:rPr>
              <w:t>1,223</w:t>
            </w:r>
          </w:p>
        </w:tc>
        <w:tc>
          <w:tcPr>
            <w:tcW w:w="678" w:type="pct"/>
            <w:vAlign w:val="center"/>
            <w:hideMark/>
          </w:tcPr>
          <w:p w:rsidR="00657BD8" w:rsidRPr="003F4AE0" w:rsidP="00EC0627" w14:paraId="777164BF" w14:textId="210444E5">
            <w:pPr>
              <w:jc w:val="center"/>
              <w:rPr>
                <w:sz w:val="22"/>
                <w:szCs w:val="22"/>
              </w:rPr>
            </w:pPr>
            <w:r>
              <w:rPr>
                <w:sz w:val="22"/>
                <w:szCs w:val="22"/>
              </w:rPr>
              <w:t>0</w:t>
            </w:r>
          </w:p>
        </w:tc>
        <w:tc>
          <w:tcPr>
            <w:tcW w:w="677" w:type="pct"/>
            <w:vAlign w:val="center"/>
            <w:hideMark/>
          </w:tcPr>
          <w:p w:rsidR="00657BD8" w:rsidRPr="003F4AE0" w:rsidP="00EC0627" w14:paraId="5432EB92" w14:textId="0AC8E1C7">
            <w:pPr>
              <w:jc w:val="center"/>
              <w:rPr>
                <w:sz w:val="22"/>
                <w:szCs w:val="22"/>
              </w:rPr>
            </w:pPr>
            <w:r>
              <w:rPr>
                <w:sz w:val="22"/>
                <w:szCs w:val="22"/>
              </w:rPr>
              <w:t>0</w:t>
            </w:r>
          </w:p>
        </w:tc>
        <w:tc>
          <w:tcPr>
            <w:tcW w:w="764" w:type="pct"/>
            <w:vAlign w:val="center"/>
            <w:hideMark/>
          </w:tcPr>
          <w:p w:rsidR="00657BD8" w:rsidRPr="003F4AE0" w:rsidP="00EC0627" w14:paraId="4084275E" w14:textId="59BC5004">
            <w:pPr>
              <w:jc w:val="center"/>
              <w:rPr>
                <w:sz w:val="22"/>
                <w:szCs w:val="22"/>
              </w:rPr>
            </w:pPr>
            <w:r>
              <w:rPr>
                <w:sz w:val="22"/>
                <w:szCs w:val="22"/>
              </w:rPr>
              <w:t>(</w:t>
            </w:r>
            <w:r w:rsidR="00ED7D84">
              <w:rPr>
                <w:sz w:val="22"/>
                <w:szCs w:val="22"/>
              </w:rPr>
              <w:t>210</w:t>
            </w:r>
            <w:r>
              <w:rPr>
                <w:sz w:val="22"/>
                <w:szCs w:val="22"/>
              </w:rPr>
              <w:t>)</w:t>
            </w:r>
          </w:p>
        </w:tc>
        <w:tc>
          <w:tcPr>
            <w:tcW w:w="762" w:type="pct"/>
            <w:vAlign w:val="center"/>
            <w:hideMark/>
          </w:tcPr>
          <w:p w:rsidR="00657BD8" w:rsidRPr="003F4AE0" w:rsidP="00EC0627" w14:paraId="28E70722" w14:textId="5C7E3846">
            <w:pPr>
              <w:jc w:val="center"/>
              <w:rPr>
                <w:sz w:val="22"/>
                <w:szCs w:val="22"/>
              </w:rPr>
            </w:pPr>
            <w:r>
              <w:rPr>
                <w:sz w:val="22"/>
                <w:szCs w:val="22"/>
              </w:rPr>
              <w:t>0</w:t>
            </w:r>
          </w:p>
        </w:tc>
      </w:tr>
    </w:tbl>
    <w:p w:rsidR="00F304E7" w:rsidP="00F304E7" w14:paraId="5550F416" w14:textId="77777777">
      <w:pPr>
        <w:ind w:left="360"/>
        <w:rPr>
          <w:rFonts w:ascii="Times New Roman" w:hAnsi="Times New Roman" w:cs="Times New Roman"/>
          <w:sz w:val="24"/>
          <w:szCs w:val="24"/>
        </w:rPr>
      </w:pPr>
    </w:p>
    <w:p w:rsidR="00C0175C" w:rsidRPr="00AD0C12" w:rsidP="00C0175C" w14:paraId="03FFF1ED" w14:textId="4070B502">
      <w:pPr>
        <w:ind w:left="360"/>
        <w:rPr>
          <w:rFonts w:ascii="Times New Roman" w:hAnsi="Times New Roman" w:cs="Times New Roman"/>
          <w:b/>
          <w:bCs/>
          <w:sz w:val="24"/>
          <w:szCs w:val="24"/>
        </w:rPr>
      </w:pPr>
      <w:r w:rsidRPr="00700AA7">
        <w:rPr>
          <w:rFonts w:ascii="Times New Roman" w:hAnsi="Times New Roman" w:cs="Times New Roman"/>
          <w:b/>
          <w:bCs/>
          <w:sz w:val="24"/>
          <w:szCs w:val="24"/>
        </w:rPr>
        <w:t>Change(s) in estimate due to Agency discretion include</w:t>
      </w:r>
      <w:r w:rsidRPr="00AD0C12">
        <w:rPr>
          <w:rFonts w:ascii="Times New Roman" w:hAnsi="Times New Roman" w:cs="Times New Roman"/>
          <w:b/>
          <w:bCs/>
          <w:sz w:val="24"/>
          <w:szCs w:val="24"/>
        </w:rPr>
        <w:t>:</w:t>
      </w:r>
    </w:p>
    <w:p w:rsidR="00657BD8" w:rsidRPr="00AD0C12" w:rsidP="00657BD8" w14:paraId="03D8F4A2" w14:textId="5385F69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There are no changes due to Agency discretion.</w:t>
      </w:r>
    </w:p>
    <w:p w:rsidR="00EC0627" w:rsidP="00700AA7" w14:paraId="157235B4" w14:textId="77777777">
      <w:pPr>
        <w:ind w:left="360"/>
        <w:rPr>
          <w:rFonts w:ascii="Times New Roman" w:hAnsi="Times New Roman" w:cs="Times New Roman"/>
          <w:b/>
          <w:bCs/>
          <w:sz w:val="24"/>
          <w:szCs w:val="24"/>
        </w:rPr>
      </w:pPr>
    </w:p>
    <w:p w:rsidR="00700AA7" w:rsidP="00700AA7" w14:paraId="6D10D1F9" w14:textId="4D35616A">
      <w:pPr>
        <w:ind w:left="360"/>
        <w:rPr>
          <w:rFonts w:ascii="Times New Roman" w:hAnsi="Times New Roman" w:cs="Times New Roman"/>
          <w:b/>
          <w:bCs/>
          <w:sz w:val="24"/>
          <w:szCs w:val="24"/>
        </w:rPr>
      </w:pPr>
      <w:r w:rsidRPr="00700AA7">
        <w:rPr>
          <w:rFonts w:ascii="Times New Roman" w:hAnsi="Times New Roman" w:cs="Times New Roman"/>
          <w:b/>
          <w:bCs/>
          <w:sz w:val="24"/>
          <w:szCs w:val="24"/>
        </w:rPr>
        <w:t>Change(s) in estimate due to adjustments</w:t>
      </w:r>
      <w:r w:rsidR="008B6D44">
        <w:rPr>
          <w:rFonts w:ascii="Times New Roman" w:hAnsi="Times New Roman" w:cs="Times New Roman"/>
          <w:b/>
          <w:bCs/>
          <w:sz w:val="24"/>
          <w:szCs w:val="24"/>
        </w:rPr>
        <w:t xml:space="preserve"> in estimate</w:t>
      </w:r>
      <w:r w:rsidRPr="00700AA7">
        <w:rPr>
          <w:rFonts w:ascii="Times New Roman" w:hAnsi="Times New Roman" w:cs="Times New Roman"/>
          <w:b/>
          <w:bCs/>
          <w:sz w:val="24"/>
          <w:szCs w:val="24"/>
        </w:rPr>
        <w:t xml:space="preserve"> </w:t>
      </w:r>
      <w:r w:rsidR="00ED7D84">
        <w:rPr>
          <w:rFonts w:ascii="Times New Roman" w:hAnsi="Times New Roman" w:cs="Times New Roman"/>
          <w:b/>
          <w:bCs/>
          <w:sz w:val="24"/>
          <w:szCs w:val="24"/>
        </w:rPr>
        <w:t>are due to tracking revisions and increased accuracy in reporting, despite somewhat increased disease-related activity in the United States</w:t>
      </w:r>
      <w:r w:rsidRPr="00700AA7">
        <w:rPr>
          <w:rFonts w:ascii="Times New Roman" w:hAnsi="Times New Roman" w:cs="Times New Roman"/>
          <w:b/>
          <w:bCs/>
          <w:sz w:val="24"/>
          <w:szCs w:val="24"/>
        </w:rPr>
        <w:t>:</w:t>
      </w:r>
    </w:p>
    <w:p w:rsidR="00657BD8" w:rsidRPr="00700AA7" w:rsidP="00A70C35" w14:paraId="09AED3D7" w14:textId="6F4AC8F3">
      <w:pPr>
        <w:pStyle w:val="ListParagraph"/>
        <w:numPr>
          <w:ilvl w:val="0"/>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Requests for Reagents or Supplies (VS 4-9) </w:t>
      </w:r>
      <w:r w:rsidR="00A70C35">
        <w:rPr>
          <w:rFonts w:ascii="Times New Roman" w:hAnsi="Times New Roman" w:cs="Times New Roman"/>
          <w:sz w:val="24"/>
          <w:szCs w:val="24"/>
        </w:rPr>
        <w:t xml:space="preserve">estimates had a </w:t>
      </w:r>
      <w:r>
        <w:rPr>
          <w:rFonts w:ascii="Times New Roman" w:hAnsi="Times New Roman" w:cs="Times New Roman"/>
          <w:sz w:val="24"/>
          <w:szCs w:val="24"/>
        </w:rPr>
        <w:t xml:space="preserve">decrease in 145 respondents, 1,548 estimated responses and 386 estimated hours of burden. </w:t>
      </w:r>
      <w:r w:rsidR="00051844">
        <w:rPr>
          <w:rFonts w:ascii="Times New Roman" w:hAnsi="Times New Roman" w:cs="Times New Roman"/>
          <w:sz w:val="24"/>
          <w:szCs w:val="24"/>
        </w:rPr>
        <w:t xml:space="preserve">Estimates </w:t>
      </w:r>
      <w:r>
        <w:rPr>
          <w:rFonts w:ascii="Times New Roman" w:hAnsi="Times New Roman" w:cs="Times New Roman"/>
          <w:sz w:val="24"/>
          <w:szCs w:val="24"/>
        </w:rPr>
        <w:t>are attributed more like</w:t>
      </w:r>
      <w:r w:rsidR="00051844">
        <w:rPr>
          <w:rFonts w:ascii="Times New Roman" w:hAnsi="Times New Roman" w:cs="Times New Roman"/>
          <w:sz w:val="24"/>
          <w:szCs w:val="24"/>
        </w:rPr>
        <w:t>ly</w:t>
      </w:r>
      <w:r>
        <w:rPr>
          <w:rFonts w:ascii="Times New Roman" w:hAnsi="Times New Roman" w:cs="Times New Roman"/>
          <w:sz w:val="24"/>
          <w:szCs w:val="24"/>
        </w:rPr>
        <w:t xml:space="preserve"> due to laboratories </w:t>
      </w:r>
      <w:r w:rsidR="00051844">
        <w:rPr>
          <w:rFonts w:ascii="Times New Roman" w:hAnsi="Times New Roman" w:cs="Times New Roman"/>
          <w:sz w:val="24"/>
          <w:szCs w:val="24"/>
        </w:rPr>
        <w:t xml:space="preserve">being prepared and </w:t>
      </w:r>
      <w:r>
        <w:rPr>
          <w:rFonts w:ascii="Times New Roman" w:hAnsi="Times New Roman" w:cs="Times New Roman"/>
          <w:sz w:val="24"/>
          <w:szCs w:val="24"/>
        </w:rPr>
        <w:t>having the materials to conduct testing in stock.</w:t>
      </w:r>
    </w:p>
    <w:p w:rsidR="00657BD8" w:rsidP="00A70C35" w14:paraId="208E2350" w14:textId="3DCB9ED2">
      <w:pPr>
        <w:pStyle w:val="ListParagraph"/>
        <w:numPr>
          <w:ilvl w:val="0"/>
          <w:numId w:val="6"/>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Request for Training at NVSL (VS 4-11) </w:t>
      </w:r>
      <w:r w:rsidR="00A70C35">
        <w:rPr>
          <w:rFonts w:ascii="Times New Roman" w:hAnsi="Times New Roman" w:cs="Times New Roman"/>
          <w:sz w:val="24"/>
          <w:szCs w:val="24"/>
        </w:rPr>
        <w:t xml:space="preserve">estimates had a </w:t>
      </w:r>
      <w:r>
        <w:rPr>
          <w:rFonts w:ascii="Times New Roman" w:hAnsi="Times New Roman" w:cs="Times New Roman"/>
          <w:sz w:val="24"/>
          <w:szCs w:val="24"/>
        </w:rPr>
        <w:t>decrease of 11 res</w:t>
      </w:r>
      <w:r w:rsidR="00051844">
        <w:rPr>
          <w:rFonts w:ascii="Times New Roman" w:hAnsi="Times New Roman" w:cs="Times New Roman"/>
          <w:sz w:val="24"/>
          <w:szCs w:val="24"/>
        </w:rPr>
        <w:t>pondents but an increase of 727 estimated responses and increase of 162 estimated hours of burden. Estimates are attributed to Novel disease situations and respondents being prepared for possible African swine fever incursions and an uptick in avian influenza.</w:t>
      </w:r>
    </w:p>
    <w:p w:rsidR="00ED7D84" w:rsidRPr="00AD0C12" w:rsidP="00A70C35" w14:paraId="01E4B4AC" w14:textId="4897AF6E">
      <w:pPr>
        <w:pStyle w:val="ListParagraph"/>
        <w:numPr>
          <w:ilvl w:val="0"/>
          <w:numId w:val="6"/>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NVSL Laboratories Kit and Instrument Order Form (VS 4-12) </w:t>
      </w:r>
      <w:r w:rsidR="00A70C35">
        <w:rPr>
          <w:rFonts w:ascii="Times New Roman" w:hAnsi="Times New Roman" w:cs="Times New Roman"/>
          <w:sz w:val="24"/>
          <w:szCs w:val="24"/>
        </w:rPr>
        <w:t xml:space="preserve">estimates had a </w:t>
      </w:r>
      <w:r w:rsidR="00051844">
        <w:rPr>
          <w:rFonts w:ascii="Times New Roman" w:hAnsi="Times New Roman" w:cs="Times New Roman"/>
          <w:sz w:val="24"/>
          <w:szCs w:val="24"/>
        </w:rPr>
        <w:t>decrease of 1 estimated response, 201 estimated responses, and 6 hours of estimated hours of burden. Estimates attributed to laboratories being prepared being prepared and having the materials in stock.</w:t>
      </w:r>
    </w:p>
    <w:bookmarkEnd w:id="24"/>
    <w:p w:rsidR="00767F77" w:rsidRPr="00AD0C12" w:rsidP="00427EBA" w14:paraId="4A839B3F" w14:textId="77777777">
      <w:pPr>
        <w:rPr>
          <w:rFonts w:ascii="Times New Roman" w:hAnsi="Times New Roman" w:cs="Times New Roman"/>
          <w:sz w:val="24"/>
          <w:szCs w:val="24"/>
        </w:rPr>
      </w:pPr>
    </w:p>
    <w:p w:rsidR="00427EBA" w:rsidRPr="00713521" w:rsidP="00713521" w14:paraId="5C7A936E" w14:textId="3EF6CB68">
      <w:pPr>
        <w:pStyle w:val="ListParagraph"/>
        <w:numPr>
          <w:ilvl w:val="0"/>
          <w:numId w:val="2"/>
        </w:numPr>
        <w:rPr>
          <w:rFonts w:ascii="Times New Roman" w:hAnsi="Times New Roman" w:cs="Times New Roman"/>
          <w:b/>
          <w:bCs/>
          <w:sz w:val="24"/>
          <w:szCs w:val="24"/>
        </w:rPr>
      </w:pPr>
      <w:bookmarkStart w:id="25" w:name="_Toc173393806"/>
      <w:r w:rsidRPr="00713521">
        <w:rPr>
          <w:rStyle w:val="Heading2Char"/>
          <w:rFonts w:ascii="Times New Roman" w:hAnsi="Times New Roman" w:cs="Times New Roman"/>
          <w:b/>
          <w:bCs/>
          <w:color w:val="auto"/>
          <w:sz w:val="24"/>
          <w:szCs w:val="24"/>
        </w:rPr>
        <w:t>Plans for tabulation and publication.</w:t>
      </w:r>
      <w:bookmarkEnd w:id="25"/>
      <w:r w:rsidRPr="00713521">
        <w:rPr>
          <w:rStyle w:val="Heading2Char"/>
          <w:rFonts w:ascii="Times New Roman" w:hAnsi="Times New Roman" w:cs="Times New Roman"/>
          <w:b/>
          <w:bCs/>
          <w:color w:val="auto"/>
          <w:sz w:val="24"/>
          <w:szCs w:val="24"/>
        </w:rPr>
        <w:t xml:space="preserve"> </w:t>
      </w:r>
      <w:r w:rsidRPr="00AF17A5">
        <w:rPr>
          <w:rFonts w:ascii="Times New Roman" w:hAnsi="Times New Roman" w:cs="Times New Roman"/>
          <w:b/>
          <w:bCs/>
          <w:sz w:val="24"/>
          <w:szCs w:val="24"/>
        </w:rPr>
        <w:t>For collections of information whose results are planned to be published, outline plans for tabulation and publication.</w:t>
      </w:r>
    </w:p>
    <w:p w:rsidR="00C0175C" w:rsidRPr="00AD0C12" w:rsidP="00713521" w14:paraId="0D3BDB5C" w14:textId="77777777"/>
    <w:p w:rsidR="00C0175C" w:rsidRPr="00AD0C12" w:rsidP="00C0175C" w14:paraId="40970596" w14:textId="1BCC41B0">
      <w:pPr>
        <w:ind w:left="360"/>
        <w:rPr>
          <w:rFonts w:ascii="Times New Roman" w:hAnsi="Times New Roman" w:cs="Times New Roman"/>
          <w:b/>
          <w:bCs/>
          <w:sz w:val="24"/>
          <w:szCs w:val="24"/>
        </w:rPr>
      </w:pPr>
      <w:r w:rsidRPr="00AD0C12">
        <w:rPr>
          <w:rFonts w:ascii="Times New Roman" w:hAnsi="Times New Roman" w:cs="Times New Roman"/>
          <w:sz w:val="24"/>
          <w:szCs w:val="24"/>
        </w:rPr>
        <w:t>APHIS has no plans to publish information collected in connection with this program.</w:t>
      </w:r>
    </w:p>
    <w:p w:rsidR="00427EBA" w:rsidRPr="00AD0C12" w:rsidP="00427EBA" w14:paraId="6576B9CD" w14:textId="77777777">
      <w:pPr>
        <w:rPr>
          <w:rFonts w:ascii="Times New Roman" w:hAnsi="Times New Roman" w:cs="Times New Roman"/>
          <w:sz w:val="24"/>
          <w:szCs w:val="24"/>
        </w:rPr>
      </w:pPr>
    </w:p>
    <w:p w:rsidR="00C0175C" w:rsidRPr="00AD0C12" w:rsidP="00C0175C" w14:paraId="3ECE994A" w14:textId="0B23EBB9">
      <w:pPr>
        <w:pStyle w:val="ListParagraph"/>
        <w:numPr>
          <w:ilvl w:val="0"/>
          <w:numId w:val="2"/>
        </w:numPr>
        <w:rPr>
          <w:rFonts w:ascii="Times New Roman" w:hAnsi="Times New Roman" w:cs="Times New Roman"/>
          <w:b/>
          <w:bCs/>
          <w:sz w:val="24"/>
          <w:szCs w:val="24"/>
        </w:rPr>
      </w:pPr>
      <w:r w:rsidRPr="00AD0C12">
        <w:rPr>
          <w:rStyle w:val="Heading2Char"/>
          <w:rFonts w:ascii="Times New Roman" w:hAnsi="Times New Roman" w:cs="Times New Roman"/>
          <w:sz w:val="24"/>
          <w:szCs w:val="24"/>
        </w:rPr>
        <w:t xml:space="preserve"> </w:t>
      </w:r>
      <w:bookmarkStart w:id="26" w:name="_Toc173393807"/>
      <w:r w:rsidRPr="00AD0C12" w:rsidR="00AD0C12">
        <w:rPr>
          <w:rStyle w:val="Heading2Char"/>
          <w:rFonts w:ascii="Times New Roman" w:hAnsi="Times New Roman" w:cs="Times New Roman"/>
          <w:b/>
          <w:bCs/>
          <w:color w:val="auto"/>
          <w:sz w:val="24"/>
          <w:szCs w:val="24"/>
        </w:rPr>
        <w:t>Forms and approval dates.</w:t>
      </w:r>
      <w:bookmarkEnd w:id="26"/>
      <w:r w:rsidRPr="00AD0C12" w:rsidR="00AD0C12">
        <w:rPr>
          <w:rFonts w:ascii="Times New Roman" w:hAnsi="Times New Roman" w:cs="Times New Roman"/>
          <w:b/>
          <w:bCs/>
          <w:sz w:val="24"/>
          <w:szCs w:val="24"/>
        </w:rPr>
        <w:t xml:space="preserve"> </w:t>
      </w:r>
      <w:r w:rsidRPr="00AD0C12">
        <w:rPr>
          <w:rFonts w:ascii="Times New Roman" w:hAnsi="Times New Roman" w:cs="Times New Roman"/>
          <w:b/>
          <w:bCs/>
          <w:sz w:val="24"/>
          <w:szCs w:val="24"/>
        </w:rPr>
        <w:t>If seeking approval to not display the expiration date for OMB approval of the information collection, explain the reasons that display would be inappropriate.</w:t>
      </w:r>
    </w:p>
    <w:p w:rsidR="00C0175C" w:rsidRPr="00AD0C12" w:rsidP="00C0175C" w14:paraId="16DB9203" w14:textId="77777777">
      <w:pPr>
        <w:rPr>
          <w:rFonts w:ascii="Times New Roman" w:hAnsi="Times New Roman" w:cs="Times New Roman"/>
          <w:b/>
          <w:bCs/>
          <w:sz w:val="24"/>
          <w:szCs w:val="24"/>
        </w:rPr>
      </w:pPr>
    </w:p>
    <w:p w:rsidR="00C0175C" w:rsidRPr="00AD0C12" w:rsidP="00C0175C" w14:paraId="007D46AC" w14:textId="36EDE091">
      <w:pPr>
        <w:ind w:left="360"/>
        <w:rPr>
          <w:rFonts w:ascii="Times New Roman" w:hAnsi="Times New Roman" w:cs="Times New Roman"/>
          <w:sz w:val="24"/>
          <w:szCs w:val="24"/>
        </w:rPr>
      </w:pPr>
      <w:r w:rsidRPr="00AD0C12">
        <w:rPr>
          <w:rFonts w:ascii="Times New Roman" w:hAnsi="Times New Roman" w:cs="Times New Roman"/>
          <w:sz w:val="24"/>
          <w:szCs w:val="24"/>
        </w:rPr>
        <w:t xml:space="preserve"> APHIS will display the </w:t>
      </w:r>
      <w:r w:rsidR="009545CF">
        <w:rPr>
          <w:rFonts w:ascii="Times New Roman" w:hAnsi="Times New Roman" w:cs="Times New Roman"/>
          <w:sz w:val="24"/>
          <w:szCs w:val="24"/>
        </w:rPr>
        <w:t xml:space="preserve">OMB approval </w:t>
      </w:r>
      <w:r w:rsidRPr="00AD0C12">
        <w:rPr>
          <w:rFonts w:ascii="Times New Roman" w:hAnsi="Times New Roman" w:cs="Times New Roman"/>
          <w:sz w:val="24"/>
          <w:szCs w:val="24"/>
        </w:rPr>
        <w:t>expiration date</w:t>
      </w:r>
      <w:r w:rsidR="009545CF">
        <w:rPr>
          <w:rFonts w:ascii="Times New Roman" w:hAnsi="Times New Roman" w:cs="Times New Roman"/>
          <w:sz w:val="24"/>
          <w:szCs w:val="24"/>
        </w:rPr>
        <w:t xml:space="preserve"> on the forms.</w:t>
      </w:r>
    </w:p>
    <w:p w:rsidR="00427EBA" w:rsidRPr="00AD0C12" w:rsidP="00427EBA" w14:paraId="6B39464D" w14:textId="77777777">
      <w:pPr>
        <w:rPr>
          <w:rFonts w:ascii="Times New Roman" w:hAnsi="Times New Roman" w:cs="Times New Roman"/>
          <w:sz w:val="24"/>
          <w:szCs w:val="24"/>
        </w:rPr>
      </w:pPr>
    </w:p>
    <w:p w:rsidR="00427EBA" w:rsidRPr="00AD0C12" w:rsidP="00427EBA" w14:paraId="2E10AE0F" w14:textId="77777777">
      <w:pPr>
        <w:rPr>
          <w:rFonts w:ascii="Times New Roman" w:hAnsi="Times New Roman" w:cs="Times New Roman"/>
          <w:sz w:val="24"/>
          <w:szCs w:val="24"/>
        </w:rPr>
      </w:pPr>
    </w:p>
    <w:p w:rsidR="00C0175C" w:rsidRPr="00AD0C12" w:rsidP="00C0175C" w14:paraId="3119330D" w14:textId="1D060ABF">
      <w:pPr>
        <w:pStyle w:val="ListParagraph"/>
        <w:numPr>
          <w:ilvl w:val="0"/>
          <w:numId w:val="2"/>
        </w:numPr>
        <w:rPr>
          <w:rFonts w:ascii="Times New Roman" w:hAnsi="Times New Roman" w:cs="Times New Roman"/>
          <w:b/>
          <w:bCs/>
          <w:sz w:val="24"/>
          <w:szCs w:val="24"/>
        </w:rPr>
      </w:pPr>
      <w:bookmarkStart w:id="27" w:name="_Toc173393808"/>
      <w:r w:rsidRPr="00AD0C12">
        <w:rPr>
          <w:rStyle w:val="Heading2Char"/>
          <w:rFonts w:ascii="Times New Roman" w:hAnsi="Times New Roman" w:cs="Times New Roman"/>
          <w:b/>
          <w:bCs/>
          <w:color w:val="auto"/>
          <w:sz w:val="24"/>
          <w:szCs w:val="24"/>
        </w:rPr>
        <w:t>Explain each exception to the certification statement</w:t>
      </w:r>
      <w:bookmarkEnd w:id="27"/>
      <w:r w:rsidRPr="00AD0C12">
        <w:rPr>
          <w:rFonts w:ascii="Times New Roman" w:hAnsi="Times New Roman" w:cs="Times New Roman"/>
          <w:b/>
          <w:bCs/>
          <w:sz w:val="24"/>
          <w:szCs w:val="24"/>
        </w:rPr>
        <w:t xml:space="preserve"> identified in the "Certification for Paperwork Reduction Act."</w:t>
      </w:r>
    </w:p>
    <w:p w:rsidR="00C0175C" w:rsidRPr="00AD0C12" w:rsidP="00C0175C" w14:paraId="2EC848A0" w14:textId="77777777">
      <w:pPr>
        <w:rPr>
          <w:rFonts w:ascii="Times New Roman" w:hAnsi="Times New Roman" w:cs="Times New Roman"/>
          <w:sz w:val="24"/>
          <w:szCs w:val="24"/>
        </w:rPr>
      </w:pPr>
    </w:p>
    <w:p w:rsidR="00C0175C" w:rsidRPr="00AD0C12" w:rsidP="00C0175C" w14:paraId="5496DFDD" w14:textId="5ECCE587">
      <w:pPr>
        <w:ind w:left="360"/>
        <w:rPr>
          <w:rFonts w:ascii="Times New Roman" w:hAnsi="Times New Roman" w:cs="Times New Roman"/>
          <w:sz w:val="24"/>
          <w:szCs w:val="24"/>
        </w:rPr>
      </w:pPr>
      <w:r w:rsidRPr="00AD0C12">
        <w:rPr>
          <w:rFonts w:ascii="Times New Roman" w:hAnsi="Times New Roman" w:cs="Times New Roman"/>
          <w:sz w:val="24"/>
          <w:szCs w:val="24"/>
        </w:rPr>
        <w:t>APHIS can certify compliance with all provisions of the Act.</w:t>
      </w:r>
    </w:p>
    <w:p w:rsidR="00C0175C" w:rsidRPr="00AD0C12" w:rsidP="00C0175C" w14:paraId="7F899FCE" w14:textId="77777777">
      <w:pPr>
        <w:rPr>
          <w:rFonts w:ascii="Times New Roman" w:hAnsi="Times New Roman" w:cs="Times New Roman"/>
          <w:sz w:val="24"/>
          <w:szCs w:val="24"/>
        </w:rPr>
      </w:pPr>
    </w:p>
    <w:p w:rsidR="00C0175C" w:rsidRPr="00AD0C12" w:rsidP="00C0175C" w14:paraId="5DC4A363" w14:textId="77777777">
      <w:pPr>
        <w:ind w:left="360"/>
        <w:rPr>
          <w:rFonts w:ascii="Times New Roman" w:hAnsi="Times New Roman" w:cs="Times New Roman"/>
          <w:b/>
          <w:bCs/>
          <w:sz w:val="24"/>
          <w:szCs w:val="24"/>
        </w:rPr>
      </w:pPr>
      <w:r w:rsidRPr="00AD0C12">
        <w:rPr>
          <w:rFonts w:ascii="Times New Roman" w:hAnsi="Times New Roman" w:cs="Times New Roman"/>
          <w:b/>
          <w:bCs/>
          <w:sz w:val="24"/>
          <w:szCs w:val="24"/>
        </w:rPr>
        <w:t>B.  Collections of Information Employing Statistical Methods</w:t>
      </w:r>
    </w:p>
    <w:p w:rsidR="00C0175C" w:rsidRPr="00AD0C12" w:rsidP="00C0175C" w14:paraId="5BBCE90D" w14:textId="77777777">
      <w:pPr>
        <w:rPr>
          <w:rFonts w:ascii="Times New Roman" w:hAnsi="Times New Roman" w:cs="Times New Roman"/>
          <w:sz w:val="24"/>
          <w:szCs w:val="24"/>
        </w:rPr>
      </w:pPr>
    </w:p>
    <w:p w:rsidR="00C0175C" w:rsidRPr="0069023C" w:rsidP="00C0175C" w14:paraId="7E045C53" w14:textId="758E577D">
      <w:pPr>
        <w:ind w:left="360"/>
        <w:rPr>
          <w:rFonts w:ascii="Times New Roman" w:hAnsi="Times New Roman" w:cs="Times New Roman"/>
          <w:sz w:val="24"/>
          <w:szCs w:val="24"/>
        </w:rPr>
      </w:pPr>
      <w:r w:rsidRPr="00AD0C12">
        <w:rPr>
          <w:rFonts w:ascii="Times New Roman" w:hAnsi="Times New Roman" w:cs="Times New Roman"/>
          <w:sz w:val="24"/>
          <w:szCs w:val="24"/>
        </w:rPr>
        <w:t>Statistical methods are not employed in this information collect</w:t>
      </w:r>
      <w:r w:rsidRPr="00C0175C">
        <w:rPr>
          <w:rFonts w:ascii="Times New Roman" w:hAnsi="Times New Roman" w:cs="Times New Roman"/>
          <w:sz w:val="24"/>
          <w:szCs w:val="24"/>
        </w:rPr>
        <w:t>ion activity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B5668"/>
    <w:multiLevelType w:val="hybridMultilevel"/>
    <w:tmpl w:val="15084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A1922AD"/>
    <w:multiLevelType w:val="hybridMultilevel"/>
    <w:tmpl w:val="EB50FE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4E82A26"/>
    <w:multiLevelType w:val="hybridMultilevel"/>
    <w:tmpl w:val="32625F5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57E3293"/>
    <w:multiLevelType w:val="hybridMultilevel"/>
    <w:tmpl w:val="699ABE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3E3242"/>
    <w:multiLevelType w:val="hybridMultilevel"/>
    <w:tmpl w:val="8B70B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3943149">
    <w:abstractNumId w:val="3"/>
  </w:num>
  <w:num w:numId="2" w16cid:durableId="1647054794">
    <w:abstractNumId w:val="1"/>
  </w:num>
  <w:num w:numId="3" w16cid:durableId="75564295">
    <w:abstractNumId w:val="7"/>
  </w:num>
  <w:num w:numId="4" w16cid:durableId="125046610">
    <w:abstractNumId w:val="6"/>
  </w:num>
  <w:num w:numId="5" w16cid:durableId="1851791998">
    <w:abstractNumId w:val="0"/>
  </w:num>
  <w:num w:numId="6" w16cid:durableId="1619525827">
    <w:abstractNumId w:val="5"/>
  </w:num>
  <w:num w:numId="7" w16cid:durableId="749810432">
    <w:abstractNumId w:val="2"/>
  </w:num>
  <w:num w:numId="8" w16cid:durableId="1248542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BA"/>
    <w:rsid w:val="00004804"/>
    <w:rsid w:val="00011593"/>
    <w:rsid w:val="000221EC"/>
    <w:rsid w:val="00022626"/>
    <w:rsid w:val="00023CCA"/>
    <w:rsid w:val="00025832"/>
    <w:rsid w:val="000312E6"/>
    <w:rsid w:val="000314AD"/>
    <w:rsid w:val="00036058"/>
    <w:rsid w:val="00051844"/>
    <w:rsid w:val="0006524F"/>
    <w:rsid w:val="0008024A"/>
    <w:rsid w:val="00082429"/>
    <w:rsid w:val="000925F4"/>
    <w:rsid w:val="000A7739"/>
    <w:rsid w:val="000B5CF6"/>
    <w:rsid w:val="000D5B68"/>
    <w:rsid w:val="0011450F"/>
    <w:rsid w:val="0013289E"/>
    <w:rsid w:val="00133CBB"/>
    <w:rsid w:val="00143125"/>
    <w:rsid w:val="00151DCC"/>
    <w:rsid w:val="001616C1"/>
    <w:rsid w:val="00163AA6"/>
    <w:rsid w:val="00167A00"/>
    <w:rsid w:val="001845DF"/>
    <w:rsid w:val="00186B8F"/>
    <w:rsid w:val="00193F48"/>
    <w:rsid w:val="00194688"/>
    <w:rsid w:val="00195E24"/>
    <w:rsid w:val="001A7579"/>
    <w:rsid w:val="001C3CF7"/>
    <w:rsid w:val="001D12B8"/>
    <w:rsid w:val="001D288C"/>
    <w:rsid w:val="001E1E41"/>
    <w:rsid w:val="001E2ED5"/>
    <w:rsid w:val="001F05E2"/>
    <w:rsid w:val="001F3AD1"/>
    <w:rsid w:val="00206985"/>
    <w:rsid w:val="0021412B"/>
    <w:rsid w:val="00231181"/>
    <w:rsid w:val="00236021"/>
    <w:rsid w:val="00240014"/>
    <w:rsid w:val="002605BE"/>
    <w:rsid w:val="00261EBD"/>
    <w:rsid w:val="00263DDC"/>
    <w:rsid w:val="00266484"/>
    <w:rsid w:val="00274DA9"/>
    <w:rsid w:val="002A2836"/>
    <w:rsid w:val="002A3236"/>
    <w:rsid w:val="002A7A1B"/>
    <w:rsid w:val="002C68E4"/>
    <w:rsid w:val="002D1833"/>
    <w:rsid w:val="002D3D72"/>
    <w:rsid w:val="002D77F9"/>
    <w:rsid w:val="002E0115"/>
    <w:rsid w:val="002F4CC9"/>
    <w:rsid w:val="00304FB1"/>
    <w:rsid w:val="00305E31"/>
    <w:rsid w:val="0031039D"/>
    <w:rsid w:val="00314A03"/>
    <w:rsid w:val="00322138"/>
    <w:rsid w:val="00332084"/>
    <w:rsid w:val="003402B2"/>
    <w:rsid w:val="00355E60"/>
    <w:rsid w:val="00371FF2"/>
    <w:rsid w:val="00373604"/>
    <w:rsid w:val="003865AA"/>
    <w:rsid w:val="003C64AC"/>
    <w:rsid w:val="003C6C10"/>
    <w:rsid w:val="003D51C5"/>
    <w:rsid w:val="003E4705"/>
    <w:rsid w:val="003F1270"/>
    <w:rsid w:val="003F4AE0"/>
    <w:rsid w:val="003F51A6"/>
    <w:rsid w:val="003F7AE3"/>
    <w:rsid w:val="00403E27"/>
    <w:rsid w:val="004042FB"/>
    <w:rsid w:val="004111B8"/>
    <w:rsid w:val="00413DA3"/>
    <w:rsid w:val="00416740"/>
    <w:rsid w:val="00422F58"/>
    <w:rsid w:val="004255D5"/>
    <w:rsid w:val="00427EBA"/>
    <w:rsid w:val="004371E1"/>
    <w:rsid w:val="00446036"/>
    <w:rsid w:val="00452BA0"/>
    <w:rsid w:val="00465529"/>
    <w:rsid w:val="0047237B"/>
    <w:rsid w:val="00477FFA"/>
    <w:rsid w:val="00487084"/>
    <w:rsid w:val="00487E29"/>
    <w:rsid w:val="00496002"/>
    <w:rsid w:val="004A6EC6"/>
    <w:rsid w:val="004B0AD6"/>
    <w:rsid w:val="004B1110"/>
    <w:rsid w:val="004C4800"/>
    <w:rsid w:val="004D1BEC"/>
    <w:rsid w:val="004D6D3A"/>
    <w:rsid w:val="004E553F"/>
    <w:rsid w:val="004E574A"/>
    <w:rsid w:val="004F3A6F"/>
    <w:rsid w:val="00516EC1"/>
    <w:rsid w:val="00522A1F"/>
    <w:rsid w:val="00522A8A"/>
    <w:rsid w:val="00545517"/>
    <w:rsid w:val="00545CD3"/>
    <w:rsid w:val="005523BE"/>
    <w:rsid w:val="005574D7"/>
    <w:rsid w:val="00566C3A"/>
    <w:rsid w:val="00567EE5"/>
    <w:rsid w:val="00572CC1"/>
    <w:rsid w:val="00572D92"/>
    <w:rsid w:val="00587C75"/>
    <w:rsid w:val="005A27AF"/>
    <w:rsid w:val="005B18C8"/>
    <w:rsid w:val="005B60F7"/>
    <w:rsid w:val="005D203A"/>
    <w:rsid w:val="005D2B1B"/>
    <w:rsid w:val="005D59E6"/>
    <w:rsid w:val="005E671F"/>
    <w:rsid w:val="005F6AC7"/>
    <w:rsid w:val="00607082"/>
    <w:rsid w:val="00615E26"/>
    <w:rsid w:val="0063528F"/>
    <w:rsid w:val="00643C07"/>
    <w:rsid w:val="0065269F"/>
    <w:rsid w:val="00655C5C"/>
    <w:rsid w:val="00657BD8"/>
    <w:rsid w:val="0066665C"/>
    <w:rsid w:val="00670EB7"/>
    <w:rsid w:val="00673E22"/>
    <w:rsid w:val="00681404"/>
    <w:rsid w:val="00681BFA"/>
    <w:rsid w:val="0069023C"/>
    <w:rsid w:val="00690694"/>
    <w:rsid w:val="006A0EE2"/>
    <w:rsid w:val="006A2D89"/>
    <w:rsid w:val="006A7460"/>
    <w:rsid w:val="006B07A8"/>
    <w:rsid w:val="006B0B2F"/>
    <w:rsid w:val="006B18BE"/>
    <w:rsid w:val="006B4CD1"/>
    <w:rsid w:val="006B53A7"/>
    <w:rsid w:val="006B55D4"/>
    <w:rsid w:val="006B60F8"/>
    <w:rsid w:val="006B724C"/>
    <w:rsid w:val="006C140E"/>
    <w:rsid w:val="006C2688"/>
    <w:rsid w:val="006C2A69"/>
    <w:rsid w:val="006C30BA"/>
    <w:rsid w:val="006C765A"/>
    <w:rsid w:val="006D1F6E"/>
    <w:rsid w:val="006D6952"/>
    <w:rsid w:val="006F3DAB"/>
    <w:rsid w:val="006F5772"/>
    <w:rsid w:val="00700AA7"/>
    <w:rsid w:val="00705598"/>
    <w:rsid w:val="007063E4"/>
    <w:rsid w:val="00713521"/>
    <w:rsid w:val="00741C82"/>
    <w:rsid w:val="0074684C"/>
    <w:rsid w:val="007523EE"/>
    <w:rsid w:val="00754C75"/>
    <w:rsid w:val="00754DB2"/>
    <w:rsid w:val="00767BC2"/>
    <w:rsid w:val="00767EB1"/>
    <w:rsid w:val="00767F77"/>
    <w:rsid w:val="00772982"/>
    <w:rsid w:val="00786078"/>
    <w:rsid w:val="007872CB"/>
    <w:rsid w:val="00795E97"/>
    <w:rsid w:val="007B2E97"/>
    <w:rsid w:val="007D6079"/>
    <w:rsid w:val="007F18D9"/>
    <w:rsid w:val="007F2292"/>
    <w:rsid w:val="007F2C8E"/>
    <w:rsid w:val="007F3897"/>
    <w:rsid w:val="007F51EE"/>
    <w:rsid w:val="00843494"/>
    <w:rsid w:val="008535D4"/>
    <w:rsid w:val="0085497F"/>
    <w:rsid w:val="00873653"/>
    <w:rsid w:val="008A5BB7"/>
    <w:rsid w:val="008A70B1"/>
    <w:rsid w:val="008B6D44"/>
    <w:rsid w:val="008C39B2"/>
    <w:rsid w:val="008C628E"/>
    <w:rsid w:val="008D1898"/>
    <w:rsid w:val="008E0120"/>
    <w:rsid w:val="009104AE"/>
    <w:rsid w:val="00910EA2"/>
    <w:rsid w:val="00926C23"/>
    <w:rsid w:val="009279AD"/>
    <w:rsid w:val="00936E24"/>
    <w:rsid w:val="009379DB"/>
    <w:rsid w:val="00937E36"/>
    <w:rsid w:val="0094756C"/>
    <w:rsid w:val="009545CF"/>
    <w:rsid w:val="00957CD6"/>
    <w:rsid w:val="00965714"/>
    <w:rsid w:val="0096598B"/>
    <w:rsid w:val="00966812"/>
    <w:rsid w:val="00985FF3"/>
    <w:rsid w:val="00994A27"/>
    <w:rsid w:val="009A5ACB"/>
    <w:rsid w:val="00A01E46"/>
    <w:rsid w:val="00A05486"/>
    <w:rsid w:val="00A1418E"/>
    <w:rsid w:val="00A25168"/>
    <w:rsid w:val="00A30A4D"/>
    <w:rsid w:val="00A33A15"/>
    <w:rsid w:val="00A34A3D"/>
    <w:rsid w:val="00A47716"/>
    <w:rsid w:val="00A62844"/>
    <w:rsid w:val="00A67EAC"/>
    <w:rsid w:val="00A70C35"/>
    <w:rsid w:val="00A71562"/>
    <w:rsid w:val="00A7710F"/>
    <w:rsid w:val="00A77B88"/>
    <w:rsid w:val="00A93344"/>
    <w:rsid w:val="00AA6935"/>
    <w:rsid w:val="00AB027A"/>
    <w:rsid w:val="00AB37CE"/>
    <w:rsid w:val="00AB5ED7"/>
    <w:rsid w:val="00AD0C12"/>
    <w:rsid w:val="00AD76FB"/>
    <w:rsid w:val="00AE6048"/>
    <w:rsid w:val="00AF17A5"/>
    <w:rsid w:val="00AF7D58"/>
    <w:rsid w:val="00B06499"/>
    <w:rsid w:val="00B10F66"/>
    <w:rsid w:val="00B42D62"/>
    <w:rsid w:val="00B46B28"/>
    <w:rsid w:val="00B553C4"/>
    <w:rsid w:val="00B609B2"/>
    <w:rsid w:val="00B64167"/>
    <w:rsid w:val="00B7152D"/>
    <w:rsid w:val="00B76A26"/>
    <w:rsid w:val="00B825A3"/>
    <w:rsid w:val="00B85936"/>
    <w:rsid w:val="00B85BF7"/>
    <w:rsid w:val="00BA5A8D"/>
    <w:rsid w:val="00BB6FE4"/>
    <w:rsid w:val="00BC5D5E"/>
    <w:rsid w:val="00BD0BD6"/>
    <w:rsid w:val="00BD2F9A"/>
    <w:rsid w:val="00BD3238"/>
    <w:rsid w:val="00BE2E93"/>
    <w:rsid w:val="00BE36B1"/>
    <w:rsid w:val="00BF31F1"/>
    <w:rsid w:val="00BF3DD9"/>
    <w:rsid w:val="00BF5336"/>
    <w:rsid w:val="00C0175C"/>
    <w:rsid w:val="00C0678A"/>
    <w:rsid w:val="00C20630"/>
    <w:rsid w:val="00C24C5D"/>
    <w:rsid w:val="00C37A6E"/>
    <w:rsid w:val="00C4694D"/>
    <w:rsid w:val="00C50DEC"/>
    <w:rsid w:val="00C53325"/>
    <w:rsid w:val="00C5616F"/>
    <w:rsid w:val="00C56BA2"/>
    <w:rsid w:val="00C77674"/>
    <w:rsid w:val="00C84708"/>
    <w:rsid w:val="00C93B76"/>
    <w:rsid w:val="00CA235A"/>
    <w:rsid w:val="00CA2E26"/>
    <w:rsid w:val="00CA462E"/>
    <w:rsid w:val="00CB1528"/>
    <w:rsid w:val="00CC0401"/>
    <w:rsid w:val="00CD0AF9"/>
    <w:rsid w:val="00CD2B52"/>
    <w:rsid w:val="00CD419D"/>
    <w:rsid w:val="00CD64F9"/>
    <w:rsid w:val="00CF2A90"/>
    <w:rsid w:val="00CF523B"/>
    <w:rsid w:val="00D0065D"/>
    <w:rsid w:val="00D1709D"/>
    <w:rsid w:val="00D50D18"/>
    <w:rsid w:val="00D52266"/>
    <w:rsid w:val="00D52926"/>
    <w:rsid w:val="00D5526B"/>
    <w:rsid w:val="00D72267"/>
    <w:rsid w:val="00D734F9"/>
    <w:rsid w:val="00D77372"/>
    <w:rsid w:val="00D834CD"/>
    <w:rsid w:val="00D8637A"/>
    <w:rsid w:val="00D92C06"/>
    <w:rsid w:val="00D96FE5"/>
    <w:rsid w:val="00DA2D72"/>
    <w:rsid w:val="00DB1588"/>
    <w:rsid w:val="00DC1838"/>
    <w:rsid w:val="00DD6520"/>
    <w:rsid w:val="00DF2FF9"/>
    <w:rsid w:val="00E02247"/>
    <w:rsid w:val="00E07B20"/>
    <w:rsid w:val="00E113E4"/>
    <w:rsid w:val="00E433C5"/>
    <w:rsid w:val="00E466BA"/>
    <w:rsid w:val="00E50E92"/>
    <w:rsid w:val="00E514DD"/>
    <w:rsid w:val="00E56045"/>
    <w:rsid w:val="00E634C5"/>
    <w:rsid w:val="00E72AAD"/>
    <w:rsid w:val="00E92AC7"/>
    <w:rsid w:val="00E97FF5"/>
    <w:rsid w:val="00EA7147"/>
    <w:rsid w:val="00EB7173"/>
    <w:rsid w:val="00EC0627"/>
    <w:rsid w:val="00EC126B"/>
    <w:rsid w:val="00ED2124"/>
    <w:rsid w:val="00ED7D84"/>
    <w:rsid w:val="00ED7E70"/>
    <w:rsid w:val="00EF0F86"/>
    <w:rsid w:val="00EF127A"/>
    <w:rsid w:val="00F013DE"/>
    <w:rsid w:val="00F01968"/>
    <w:rsid w:val="00F132DA"/>
    <w:rsid w:val="00F23A62"/>
    <w:rsid w:val="00F304E7"/>
    <w:rsid w:val="00F3231D"/>
    <w:rsid w:val="00F3397D"/>
    <w:rsid w:val="00F34B62"/>
    <w:rsid w:val="00F42DC4"/>
    <w:rsid w:val="00F551E1"/>
    <w:rsid w:val="00F55BDD"/>
    <w:rsid w:val="00F642E2"/>
    <w:rsid w:val="00F668AD"/>
    <w:rsid w:val="00F70DFC"/>
    <w:rsid w:val="00F73181"/>
    <w:rsid w:val="00F7646F"/>
    <w:rsid w:val="00F830BA"/>
    <w:rsid w:val="00F917CF"/>
    <w:rsid w:val="00FA3415"/>
    <w:rsid w:val="00FB49C6"/>
    <w:rsid w:val="00FB588B"/>
    <w:rsid w:val="00FB752E"/>
    <w:rsid w:val="00FC34B0"/>
    <w:rsid w:val="00FC4099"/>
    <w:rsid w:val="00FD33D0"/>
    <w:rsid w:val="00FE0C52"/>
    <w:rsid w:val="00FF1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0515A"/>
  <w15:chartTrackingRefBased/>
  <w15:docId w15:val="{6A125198-22C3-4F33-B685-17D35D8A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7B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BA"/>
    <w:pPr>
      <w:ind w:left="720"/>
      <w:contextualSpacing/>
    </w:pPr>
  </w:style>
  <w:style w:type="character" w:customStyle="1" w:styleId="InitialStyle">
    <w:name w:val="InitialStyle"/>
    <w:rsid w:val="00673E22"/>
    <w:rPr>
      <w:rFonts w:ascii="Courier New" w:hAnsi="Courier New" w:cs="Courier New" w:hint="default"/>
      <w:color w:val="auto"/>
      <w:spacing w:val="0"/>
      <w:sz w:val="24"/>
    </w:rPr>
  </w:style>
  <w:style w:type="table" w:styleId="PlainTable2">
    <w:name w:val="Plain Table 2"/>
    <w:basedOn w:val="TableNormal"/>
    <w:uiPriority w:val="42"/>
    <w:rsid w:val="00673E22"/>
    <w:rPr>
      <w:rFonts w:ascii="Times New Roman" w:eastAsia="Calibri" w:hAnsi="Times New Roman" w:cs="Times New Roman"/>
      <w:kern w:val="0"/>
      <w:sz w:val="20"/>
      <w:szCs w:val="2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73E22"/>
    <w:rPr>
      <w:color w:val="0563C1"/>
      <w:u w:val="single"/>
    </w:rPr>
  </w:style>
  <w:style w:type="character" w:styleId="FollowedHyperlink">
    <w:name w:val="FollowedHyperlink"/>
    <w:basedOn w:val="DefaultParagraphFont"/>
    <w:uiPriority w:val="99"/>
    <w:semiHidden/>
    <w:unhideWhenUsed/>
    <w:rsid w:val="00673E22"/>
    <w:rPr>
      <w:color w:val="954F72" w:themeColor="followedHyperlink"/>
      <w:u w:val="single"/>
    </w:rPr>
  </w:style>
  <w:style w:type="table" w:styleId="TableGrid">
    <w:name w:val="Table Grid"/>
    <w:basedOn w:val="TableNormal"/>
    <w:rsid w:val="00F304E7"/>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304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F304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7B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7BD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57B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D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7BD8"/>
    <w:rPr>
      <w:rFonts w:eastAsiaTheme="minorEastAsia"/>
      <w:color w:val="5A5A5A" w:themeColor="text1" w:themeTint="A5"/>
      <w:spacing w:val="15"/>
    </w:rPr>
  </w:style>
  <w:style w:type="character" w:styleId="SubtleEmphasis">
    <w:name w:val="Subtle Emphasis"/>
    <w:basedOn w:val="DefaultParagraphFont"/>
    <w:uiPriority w:val="19"/>
    <w:qFormat/>
    <w:rsid w:val="00657BD8"/>
    <w:rPr>
      <w:i/>
      <w:iCs/>
      <w:color w:val="404040" w:themeColor="text1" w:themeTint="BF"/>
    </w:rPr>
  </w:style>
  <w:style w:type="character" w:styleId="Emphasis">
    <w:name w:val="Emphasis"/>
    <w:basedOn w:val="DefaultParagraphFont"/>
    <w:uiPriority w:val="20"/>
    <w:qFormat/>
    <w:rsid w:val="00657BD8"/>
    <w:rPr>
      <w:i/>
      <w:iCs/>
    </w:rPr>
  </w:style>
  <w:style w:type="paragraph" w:styleId="TOCHeading">
    <w:name w:val="TOC Heading"/>
    <w:basedOn w:val="Heading1"/>
    <w:next w:val="Normal"/>
    <w:uiPriority w:val="39"/>
    <w:unhideWhenUsed/>
    <w:qFormat/>
    <w:rsid w:val="00B85BF7"/>
    <w:pPr>
      <w:spacing w:line="259" w:lineRule="auto"/>
      <w:outlineLvl w:val="9"/>
    </w:pPr>
    <w:rPr>
      <w:kern w:val="0"/>
      <w14:ligatures w14:val="none"/>
    </w:rPr>
  </w:style>
  <w:style w:type="paragraph" w:styleId="TOC2">
    <w:name w:val="toc 2"/>
    <w:basedOn w:val="Normal"/>
    <w:next w:val="Normal"/>
    <w:autoRedefine/>
    <w:uiPriority w:val="39"/>
    <w:unhideWhenUsed/>
    <w:rsid w:val="004D1BEC"/>
    <w:pPr>
      <w:tabs>
        <w:tab w:val="left" w:pos="720"/>
        <w:tab w:val="right" w:leader="dot" w:pos="9350"/>
      </w:tabs>
      <w:spacing w:after="100" w:line="259" w:lineRule="auto"/>
      <w:ind w:left="220"/>
    </w:pPr>
    <w:rPr>
      <w:rFonts w:eastAsiaTheme="minorEastAsia" w:cs="Times New Roman"/>
      <w:kern w:val="0"/>
      <w14:ligatures w14:val="none"/>
    </w:rPr>
  </w:style>
  <w:style w:type="paragraph" w:styleId="TOC1">
    <w:name w:val="toc 1"/>
    <w:basedOn w:val="Normal"/>
    <w:next w:val="Normal"/>
    <w:autoRedefine/>
    <w:uiPriority w:val="39"/>
    <w:unhideWhenUsed/>
    <w:rsid w:val="00B85BF7"/>
    <w:pPr>
      <w:spacing w:after="100" w:line="259" w:lineRule="auto"/>
    </w:pPr>
    <w:rPr>
      <w:rFonts w:eastAsiaTheme="minorEastAsia" w:cs="Times New Roman"/>
      <w:kern w:val="0"/>
      <w14:ligatures w14:val="none"/>
    </w:rPr>
  </w:style>
  <w:style w:type="paragraph" w:styleId="TOC3">
    <w:name w:val="toc 3"/>
    <w:basedOn w:val="Normal"/>
    <w:next w:val="Normal"/>
    <w:autoRedefine/>
    <w:uiPriority w:val="39"/>
    <w:unhideWhenUsed/>
    <w:rsid w:val="00B85BF7"/>
    <w:pPr>
      <w:spacing w:after="100" w:line="259" w:lineRule="auto"/>
      <w:ind w:left="440"/>
    </w:pPr>
    <w:rPr>
      <w:rFonts w:eastAsiaTheme="minorEastAsia" w:cs="Times New Roman"/>
      <w:kern w:val="0"/>
      <w14:ligatures w14:val="none"/>
    </w:rPr>
  </w:style>
  <w:style w:type="character" w:styleId="UnresolvedMention">
    <w:name w:val="Unresolved Mention"/>
    <w:basedOn w:val="DefaultParagraphFont"/>
    <w:uiPriority w:val="99"/>
    <w:semiHidden/>
    <w:unhideWhenUsed/>
    <w:rsid w:val="00567EE5"/>
    <w:rPr>
      <w:color w:val="605E5C"/>
      <w:shd w:val="clear" w:color="auto" w:fill="E1DFDD"/>
    </w:rPr>
  </w:style>
  <w:style w:type="paragraph" w:customStyle="1" w:styleId="DefaultText">
    <w:name w:val="Default Text"/>
    <w:basedOn w:val="Normal"/>
    <w:rsid w:val="00CF523B"/>
    <w:pPr>
      <w:overflowPunct w:val="0"/>
      <w:autoSpaceDE w:val="0"/>
      <w:autoSpaceDN w:val="0"/>
      <w:adjustRightInd w:val="0"/>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416740"/>
    <w:rPr>
      <w:sz w:val="16"/>
      <w:szCs w:val="16"/>
    </w:rPr>
  </w:style>
  <w:style w:type="paragraph" w:styleId="CommentText">
    <w:name w:val="annotation text"/>
    <w:basedOn w:val="Normal"/>
    <w:link w:val="CommentTextChar"/>
    <w:uiPriority w:val="99"/>
    <w:unhideWhenUsed/>
    <w:rsid w:val="00416740"/>
    <w:rPr>
      <w:sz w:val="20"/>
      <w:szCs w:val="20"/>
    </w:rPr>
  </w:style>
  <w:style w:type="character" w:customStyle="1" w:styleId="CommentTextChar">
    <w:name w:val="Comment Text Char"/>
    <w:basedOn w:val="DefaultParagraphFont"/>
    <w:link w:val="CommentText"/>
    <w:uiPriority w:val="99"/>
    <w:rsid w:val="00416740"/>
    <w:rPr>
      <w:sz w:val="20"/>
      <w:szCs w:val="20"/>
    </w:rPr>
  </w:style>
  <w:style w:type="paragraph" w:styleId="CommentSubject">
    <w:name w:val="annotation subject"/>
    <w:basedOn w:val="CommentText"/>
    <w:next w:val="CommentText"/>
    <w:link w:val="CommentSubjectChar"/>
    <w:uiPriority w:val="99"/>
    <w:semiHidden/>
    <w:unhideWhenUsed/>
    <w:rsid w:val="00416740"/>
    <w:rPr>
      <w:b/>
      <w:bCs/>
    </w:rPr>
  </w:style>
  <w:style w:type="character" w:customStyle="1" w:styleId="CommentSubjectChar">
    <w:name w:val="Comment Subject Char"/>
    <w:basedOn w:val="CommentTextChar"/>
    <w:link w:val="CommentSubject"/>
    <w:uiPriority w:val="99"/>
    <w:semiHidden/>
    <w:rsid w:val="004167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phis.usda.gov/organization/business-services/forms/aphis-forms?column=form%20number&amp;filter=vs-" TargetMode="External" /><Relationship Id="rId6" Type="http://schemas.openxmlformats.org/officeDocument/2006/relationships/hyperlink" Target="https://www.bls.gov/oes/current/oes_stru.htm" TargetMode="External" /><Relationship Id="rId7" Type="http://schemas.openxmlformats.org/officeDocument/2006/relationships/hyperlink" Target="https://www.bls.gov/news.release/ecec.nr0.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7CBD-5C65-455F-B593-42256008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Regina - MRP-APHIS</dc:creator>
  <cp:lastModifiedBy>Keegan, Regina - MRP-APHIS</cp:lastModifiedBy>
  <cp:revision>3</cp:revision>
  <dcterms:created xsi:type="dcterms:W3CDTF">2024-10-24T11:26:00Z</dcterms:created>
  <dcterms:modified xsi:type="dcterms:W3CDTF">2024-10-24T20:08:00Z</dcterms:modified>
</cp:coreProperties>
</file>